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3620E" w14:textId="0C78121E" w:rsidR="00F74BD5" w:rsidRPr="002A59BF" w:rsidRDefault="00685965" w:rsidP="00055D83">
      <w:pPr>
        <w:spacing w:line="240" w:lineRule="auto"/>
        <w:jc w:val="center"/>
        <w:rPr>
          <w:rFonts w:cs="Times New Roman"/>
          <w:b/>
          <w:bCs/>
          <w:color w:val="EE0000"/>
          <w:sz w:val="28"/>
          <w:szCs w:val="28"/>
        </w:rPr>
      </w:pPr>
      <w:r w:rsidRPr="002A59BF">
        <w:rPr>
          <w:rFonts w:cs="Times New Roman"/>
          <w:b/>
          <w:bCs/>
          <w:color w:val="EE0000"/>
          <w:sz w:val="28"/>
          <w:szCs w:val="28"/>
        </w:rPr>
        <w:t xml:space="preserve">Firm Characteristics </w:t>
      </w:r>
      <w:r w:rsidR="002A59BF" w:rsidRPr="002A59BF">
        <w:rPr>
          <w:rFonts w:cs="Times New Roman"/>
          <w:b/>
          <w:bCs/>
          <w:color w:val="EE0000"/>
          <w:sz w:val="28"/>
          <w:szCs w:val="28"/>
        </w:rPr>
        <w:t>on</w:t>
      </w:r>
      <w:r w:rsidRPr="002A59BF">
        <w:rPr>
          <w:rFonts w:cs="Times New Roman"/>
          <w:b/>
          <w:bCs/>
          <w:color w:val="EE0000"/>
          <w:sz w:val="28"/>
          <w:szCs w:val="28"/>
        </w:rPr>
        <w:t xml:space="preserve"> the Financial Performance of Pension Funds</w:t>
      </w:r>
      <w:r w:rsidR="002A59BF" w:rsidRPr="002A59BF">
        <w:rPr>
          <w:rFonts w:cs="Times New Roman"/>
          <w:b/>
          <w:bCs/>
          <w:color w:val="EE0000"/>
          <w:sz w:val="28"/>
          <w:szCs w:val="28"/>
        </w:rPr>
        <w:t xml:space="preserve"> Schemes with Moderating Role of Regulatory Frameworks</w:t>
      </w:r>
      <w:r w:rsidRPr="002A59BF">
        <w:rPr>
          <w:rFonts w:cs="Times New Roman"/>
          <w:b/>
          <w:bCs/>
          <w:color w:val="EE0000"/>
          <w:sz w:val="28"/>
          <w:szCs w:val="28"/>
        </w:rPr>
        <w:t xml:space="preserve"> in Kenya</w:t>
      </w:r>
    </w:p>
    <w:p w14:paraId="1DE6ECA6" w14:textId="77777777" w:rsidR="00685965" w:rsidRPr="002A59BF" w:rsidRDefault="00685965" w:rsidP="00055D83">
      <w:pPr>
        <w:spacing w:line="240" w:lineRule="auto"/>
        <w:jc w:val="center"/>
        <w:rPr>
          <w:rFonts w:cs="Times New Roman"/>
          <w:b/>
          <w:bCs/>
          <w:color w:val="EE0000"/>
          <w:sz w:val="28"/>
          <w:szCs w:val="28"/>
        </w:rPr>
      </w:pPr>
    </w:p>
    <w:p w14:paraId="5A05B718" w14:textId="77777777" w:rsidR="007A48D9" w:rsidRPr="00FB2E0F" w:rsidRDefault="007A48D9" w:rsidP="00055D83">
      <w:pPr>
        <w:spacing w:before="0" w:line="240" w:lineRule="auto"/>
        <w:jc w:val="center"/>
        <w:rPr>
          <w:rFonts w:cs="Times New Roman"/>
          <w:b/>
          <w:color w:val="000000" w:themeColor="text1"/>
          <w:szCs w:val="24"/>
        </w:rPr>
      </w:pPr>
    </w:p>
    <w:p w14:paraId="42946DD8" w14:textId="77777777" w:rsidR="00055D83" w:rsidRPr="002A59BF" w:rsidRDefault="00055D83" w:rsidP="002A59BF">
      <w:pPr>
        <w:pStyle w:val="Heading1"/>
      </w:pPr>
      <w:bookmarkStart w:id="0" w:name="_Toc488404692"/>
      <w:bookmarkStart w:id="1" w:name="_Toc102409737"/>
      <w:r w:rsidRPr="002A59BF">
        <w:t>ABSTRACT</w:t>
      </w:r>
      <w:bookmarkEnd w:id="0"/>
      <w:bookmarkEnd w:id="1"/>
    </w:p>
    <w:p w14:paraId="46152EE6" w14:textId="7CDAB8F1" w:rsidR="002A59BF" w:rsidRPr="002A59BF" w:rsidRDefault="00685965" w:rsidP="00685965">
      <w:pPr>
        <w:spacing w:line="240" w:lineRule="auto"/>
        <w:rPr>
          <w:rFonts w:cs="Times New Roman"/>
          <w:color w:val="EE0000"/>
          <w:szCs w:val="24"/>
        </w:rPr>
      </w:pPr>
      <w:r w:rsidRPr="00685965">
        <w:rPr>
          <w:rFonts w:cs="Times New Roman"/>
          <w:color w:val="000000" w:themeColor="text1"/>
          <w:szCs w:val="24"/>
        </w:rPr>
        <w:t xml:space="preserve">Pension schemes are critical to national economic stability, offering retirement income security and supporting long-term financial planning. While global studies have explored determinants of pension fund performance, limited evidence exists in the Kenyan context. </w:t>
      </w:r>
      <w:r w:rsidRPr="002A59BF">
        <w:rPr>
          <w:rFonts w:cs="Times New Roman"/>
          <w:color w:val="EE0000"/>
          <w:szCs w:val="24"/>
        </w:rPr>
        <w:t xml:space="preserve">This </w:t>
      </w:r>
      <w:r w:rsidR="002A59BF">
        <w:rPr>
          <w:rFonts w:cs="Times New Roman"/>
          <w:color w:val="EE0000"/>
          <w:szCs w:val="24"/>
        </w:rPr>
        <w:t xml:space="preserve">aim/objectives of </w:t>
      </w:r>
      <w:r w:rsidRPr="002A59BF">
        <w:rPr>
          <w:rFonts w:cs="Times New Roman"/>
          <w:color w:val="EE0000"/>
          <w:szCs w:val="24"/>
        </w:rPr>
        <w:t xml:space="preserve">study </w:t>
      </w:r>
      <w:r w:rsidRPr="00685965">
        <w:rPr>
          <w:rFonts w:cs="Times New Roman"/>
          <w:color w:val="000000" w:themeColor="text1"/>
          <w:szCs w:val="24"/>
        </w:rPr>
        <w:t>investigated the effect of firm characteristics on the financial performance of pension schemes in Kenya, focusing on fund size, fund design, portfolio mix, and membership age, while also examining the moderating role of regulatory frameworks. Anchored on Stakeholder Theory, Agency Theory, and the Theory of Constraints</w:t>
      </w:r>
      <w:r w:rsidR="002A59BF">
        <w:rPr>
          <w:rFonts w:cs="Times New Roman"/>
          <w:color w:val="000000" w:themeColor="text1"/>
          <w:szCs w:val="24"/>
        </w:rPr>
        <w:t>.</w:t>
      </w:r>
      <w:r w:rsidRPr="00685965">
        <w:rPr>
          <w:rFonts w:cs="Times New Roman"/>
          <w:color w:val="000000" w:themeColor="text1"/>
          <w:szCs w:val="24"/>
        </w:rPr>
        <w:t xml:space="preserve"> </w:t>
      </w:r>
      <w:r w:rsidR="002A59BF">
        <w:rPr>
          <w:rFonts w:cs="Times New Roman"/>
          <w:color w:val="EE0000"/>
          <w:szCs w:val="24"/>
        </w:rPr>
        <w:t>T</w:t>
      </w:r>
      <w:r w:rsidRPr="002A59BF">
        <w:rPr>
          <w:rFonts w:cs="Times New Roman"/>
          <w:color w:val="EE0000"/>
          <w:szCs w:val="24"/>
        </w:rPr>
        <w:t>he</w:t>
      </w:r>
      <w:r w:rsidR="002A59BF" w:rsidRPr="002A59BF">
        <w:rPr>
          <w:rFonts w:cs="Times New Roman"/>
          <w:color w:val="EE0000"/>
          <w:szCs w:val="24"/>
        </w:rPr>
        <w:t xml:space="preserve"> research methodology of</w:t>
      </w:r>
      <w:r w:rsidRPr="002A59BF">
        <w:rPr>
          <w:rFonts w:cs="Times New Roman"/>
          <w:color w:val="EE0000"/>
          <w:szCs w:val="24"/>
        </w:rPr>
        <w:t xml:space="preserve"> </w:t>
      </w:r>
      <w:r w:rsidRPr="00685965">
        <w:rPr>
          <w:rFonts w:cs="Times New Roman"/>
          <w:color w:val="000000" w:themeColor="text1"/>
          <w:szCs w:val="24"/>
        </w:rPr>
        <w:t xml:space="preserve">study employed a descriptive research design targeting 1,075 registered pension schemes, with a purposive sample of 39 schemes. Secondary data from annual reports (2018–2022) were analyzed using SPSS Version 20, employing both descriptive and inferential statistics. Multiple regression analysis, supported by diagnostic tests, confirmed model reliability. </w:t>
      </w:r>
      <w:r w:rsidRPr="002A59BF">
        <w:rPr>
          <w:rFonts w:cs="Times New Roman"/>
          <w:color w:val="EE0000"/>
          <w:szCs w:val="24"/>
        </w:rPr>
        <w:t>The findings</w:t>
      </w:r>
      <w:r w:rsidR="002A59BF" w:rsidRPr="002A59BF">
        <w:rPr>
          <w:rFonts w:cs="Times New Roman"/>
          <w:color w:val="EE0000"/>
          <w:szCs w:val="24"/>
        </w:rPr>
        <w:t xml:space="preserve"> of study</w:t>
      </w:r>
      <w:r w:rsidR="002A59BF">
        <w:rPr>
          <w:rFonts w:cs="Times New Roman"/>
          <w:color w:val="000000" w:themeColor="text1"/>
          <w:szCs w:val="24"/>
        </w:rPr>
        <w:t xml:space="preserve"> </w:t>
      </w:r>
      <w:proofErr w:type="gramStart"/>
      <w:r w:rsidR="002A59BF">
        <w:rPr>
          <w:rFonts w:cs="Times New Roman"/>
          <w:color w:val="000000" w:themeColor="text1"/>
          <w:szCs w:val="24"/>
        </w:rPr>
        <w:t xml:space="preserve">is </w:t>
      </w:r>
      <w:r w:rsidRPr="00685965">
        <w:rPr>
          <w:rFonts w:cs="Times New Roman"/>
          <w:color w:val="000000" w:themeColor="text1"/>
          <w:szCs w:val="24"/>
        </w:rPr>
        <w:t xml:space="preserve"> revealed</w:t>
      </w:r>
      <w:proofErr w:type="gramEnd"/>
      <w:r w:rsidRPr="00685965">
        <w:rPr>
          <w:rFonts w:cs="Times New Roman"/>
          <w:color w:val="000000" w:themeColor="text1"/>
          <w:szCs w:val="24"/>
        </w:rPr>
        <w:t xml:space="preserve"> that fund size, portfolio composition, and membership age significantly and positively influenced financial performance, whereas fund design had a significant negative effect. Furthermore, the regulatory framework moderated the relationship between firm characteristics and financial outcomes. </w:t>
      </w:r>
      <w:r w:rsidR="002A59BF" w:rsidRPr="002A59BF">
        <w:rPr>
          <w:rFonts w:cs="Times New Roman"/>
          <w:color w:val="EE0000"/>
          <w:szCs w:val="24"/>
        </w:rPr>
        <w:t>The theoretical and practical implications are…</w:t>
      </w:r>
    </w:p>
    <w:p w14:paraId="6032ADF7" w14:textId="0DED34E8" w:rsidR="002A59BF" w:rsidRPr="00685965" w:rsidRDefault="00685965" w:rsidP="00685965">
      <w:pPr>
        <w:spacing w:line="240" w:lineRule="auto"/>
        <w:rPr>
          <w:rFonts w:cs="Times New Roman"/>
          <w:color w:val="000000" w:themeColor="text1"/>
          <w:szCs w:val="24"/>
        </w:rPr>
      </w:pPr>
      <w:r w:rsidRPr="00685965">
        <w:rPr>
          <w:rFonts w:cs="Times New Roman"/>
          <w:color w:val="000000" w:themeColor="text1"/>
          <w:szCs w:val="24"/>
        </w:rPr>
        <w:t xml:space="preserve">The </w:t>
      </w:r>
      <w:r w:rsidR="002A59BF" w:rsidRPr="002A59BF">
        <w:rPr>
          <w:rFonts w:cs="Times New Roman"/>
          <w:color w:val="EE0000"/>
          <w:szCs w:val="24"/>
        </w:rPr>
        <w:t xml:space="preserve">conclusion of </w:t>
      </w:r>
      <w:r w:rsidRPr="002A59BF">
        <w:rPr>
          <w:rFonts w:cs="Times New Roman"/>
          <w:color w:val="EE0000"/>
          <w:szCs w:val="24"/>
        </w:rPr>
        <w:t xml:space="preserve">study </w:t>
      </w:r>
      <w:r w:rsidRPr="00685965">
        <w:rPr>
          <w:rFonts w:cs="Times New Roman"/>
          <w:color w:val="000000" w:themeColor="text1"/>
          <w:szCs w:val="24"/>
        </w:rPr>
        <w:t>concludes that these characteristics are critical determinants of pension fund performance in Kenya. Key recommendations include encouraging consolidation strategies to achieve economies of scale, diversifying investment portfolios to enhance returns, attracting younger contributors to ensure sustainability, transitioning from defined benefit to contributory schemes, and strengthening regulatory oversight to foster innovation and compliance. These insights contribute to policy and practice, offering actionable strategies to enhance pension fund sustainability and performance in Kenya.</w:t>
      </w:r>
      <w:r w:rsidR="002A59BF">
        <w:rPr>
          <w:rFonts w:cs="Times New Roman"/>
          <w:color w:val="000000" w:themeColor="text1"/>
          <w:szCs w:val="24"/>
        </w:rPr>
        <w:t xml:space="preserve"> </w:t>
      </w:r>
      <w:r w:rsidR="002A59BF" w:rsidRPr="002A59BF">
        <w:rPr>
          <w:rFonts w:cs="Times New Roman"/>
          <w:color w:val="EE0000"/>
          <w:szCs w:val="24"/>
        </w:rPr>
        <w:t>The contributions of study are</w:t>
      </w:r>
      <w:proofErr w:type="gramStart"/>
      <w:r w:rsidR="002A59BF" w:rsidRPr="002A59BF">
        <w:rPr>
          <w:rFonts w:cs="Times New Roman"/>
          <w:color w:val="EE0000"/>
          <w:szCs w:val="24"/>
        </w:rPr>
        <w:t>..</w:t>
      </w:r>
      <w:proofErr w:type="gramEnd"/>
    </w:p>
    <w:p w14:paraId="593DB886" w14:textId="77777777" w:rsidR="00685965" w:rsidRPr="00685965" w:rsidRDefault="00685965" w:rsidP="00685965">
      <w:pPr>
        <w:spacing w:line="240" w:lineRule="auto"/>
        <w:rPr>
          <w:rFonts w:cs="Times New Roman"/>
          <w:color w:val="000000" w:themeColor="text1"/>
          <w:szCs w:val="24"/>
        </w:rPr>
      </w:pPr>
    </w:p>
    <w:p w14:paraId="04306579" w14:textId="34839B89" w:rsidR="00F74BD5" w:rsidRPr="00685965" w:rsidRDefault="00685965" w:rsidP="00685965">
      <w:pPr>
        <w:spacing w:line="240" w:lineRule="auto"/>
        <w:rPr>
          <w:rFonts w:cs="Times New Roman"/>
          <w:i/>
          <w:color w:val="000000" w:themeColor="text1"/>
          <w:szCs w:val="24"/>
        </w:rPr>
      </w:pPr>
      <w:r w:rsidRPr="00685965">
        <w:rPr>
          <w:rFonts w:cs="Times New Roman"/>
          <w:b/>
          <w:color w:val="000000" w:themeColor="text1"/>
          <w:szCs w:val="24"/>
        </w:rPr>
        <w:t>Keywords:</w:t>
      </w:r>
      <w:r w:rsidRPr="00685965">
        <w:rPr>
          <w:rFonts w:cs="Times New Roman"/>
          <w:color w:val="000000" w:themeColor="text1"/>
          <w:szCs w:val="24"/>
        </w:rPr>
        <w:t xml:space="preserve"> </w:t>
      </w:r>
      <w:r w:rsidRPr="00685965">
        <w:rPr>
          <w:rFonts w:cs="Times New Roman"/>
          <w:i/>
          <w:color w:val="000000" w:themeColor="text1"/>
          <w:szCs w:val="24"/>
        </w:rPr>
        <w:t xml:space="preserve">Pension </w:t>
      </w:r>
      <w:r w:rsidR="002A59BF">
        <w:rPr>
          <w:rFonts w:cs="Times New Roman"/>
          <w:i/>
          <w:color w:val="000000" w:themeColor="text1"/>
          <w:szCs w:val="24"/>
        </w:rPr>
        <w:t>S</w:t>
      </w:r>
      <w:r w:rsidRPr="00685965">
        <w:rPr>
          <w:rFonts w:cs="Times New Roman"/>
          <w:i/>
          <w:color w:val="000000" w:themeColor="text1"/>
          <w:szCs w:val="24"/>
        </w:rPr>
        <w:t>chemes</w:t>
      </w:r>
      <w:proofErr w:type="gramStart"/>
      <w:r w:rsidRPr="00685965">
        <w:rPr>
          <w:rFonts w:cs="Times New Roman"/>
          <w:i/>
          <w:color w:val="000000" w:themeColor="text1"/>
          <w:szCs w:val="24"/>
        </w:rPr>
        <w:t>,</w:t>
      </w:r>
      <w:r w:rsidR="002A59BF">
        <w:rPr>
          <w:rFonts w:cs="Times New Roman"/>
          <w:i/>
          <w:color w:val="000000" w:themeColor="text1"/>
          <w:szCs w:val="24"/>
        </w:rPr>
        <w:t>,</w:t>
      </w:r>
      <w:proofErr w:type="gramEnd"/>
      <w:r w:rsidR="002A59BF">
        <w:rPr>
          <w:rFonts w:cs="Times New Roman"/>
          <w:i/>
          <w:color w:val="000000" w:themeColor="text1"/>
          <w:szCs w:val="24"/>
        </w:rPr>
        <w:t xml:space="preserve"> F</w:t>
      </w:r>
      <w:r w:rsidRPr="00685965">
        <w:rPr>
          <w:rFonts w:cs="Times New Roman"/>
          <w:i/>
          <w:color w:val="000000" w:themeColor="text1"/>
          <w:szCs w:val="24"/>
        </w:rPr>
        <w:t xml:space="preserve">irm </w:t>
      </w:r>
      <w:r w:rsidR="002A59BF">
        <w:rPr>
          <w:rFonts w:cs="Times New Roman"/>
          <w:i/>
          <w:color w:val="000000" w:themeColor="text1"/>
          <w:szCs w:val="24"/>
        </w:rPr>
        <w:t>C</w:t>
      </w:r>
      <w:r w:rsidRPr="00685965">
        <w:rPr>
          <w:rFonts w:cs="Times New Roman"/>
          <w:i/>
          <w:color w:val="000000" w:themeColor="text1"/>
          <w:szCs w:val="24"/>
        </w:rPr>
        <w:t xml:space="preserve">haracteristics, </w:t>
      </w:r>
      <w:r w:rsidR="002A59BF">
        <w:rPr>
          <w:rFonts w:cs="Times New Roman"/>
          <w:i/>
          <w:color w:val="000000" w:themeColor="text1"/>
          <w:szCs w:val="24"/>
        </w:rPr>
        <w:t>F</w:t>
      </w:r>
      <w:r w:rsidRPr="00685965">
        <w:rPr>
          <w:rFonts w:cs="Times New Roman"/>
          <w:i/>
          <w:color w:val="000000" w:themeColor="text1"/>
          <w:szCs w:val="24"/>
        </w:rPr>
        <w:t xml:space="preserve">inancial </w:t>
      </w:r>
      <w:r w:rsidR="002A59BF">
        <w:rPr>
          <w:rFonts w:cs="Times New Roman"/>
          <w:i/>
          <w:color w:val="000000" w:themeColor="text1"/>
          <w:szCs w:val="24"/>
        </w:rPr>
        <w:t>P</w:t>
      </w:r>
      <w:r w:rsidRPr="00685965">
        <w:rPr>
          <w:rFonts w:cs="Times New Roman"/>
          <w:i/>
          <w:color w:val="000000" w:themeColor="text1"/>
          <w:szCs w:val="24"/>
        </w:rPr>
        <w:t xml:space="preserve">erformance, </w:t>
      </w:r>
      <w:r w:rsidR="002A59BF">
        <w:rPr>
          <w:rFonts w:cs="Times New Roman"/>
          <w:i/>
          <w:color w:val="000000" w:themeColor="text1"/>
          <w:szCs w:val="24"/>
        </w:rPr>
        <w:t>F</w:t>
      </w:r>
      <w:r w:rsidRPr="00685965">
        <w:rPr>
          <w:rFonts w:cs="Times New Roman"/>
          <w:i/>
          <w:color w:val="000000" w:themeColor="text1"/>
          <w:szCs w:val="24"/>
        </w:rPr>
        <w:t xml:space="preserve">und </w:t>
      </w:r>
      <w:r w:rsidR="002A59BF">
        <w:rPr>
          <w:rFonts w:cs="Times New Roman"/>
          <w:i/>
          <w:color w:val="000000" w:themeColor="text1"/>
          <w:szCs w:val="24"/>
        </w:rPr>
        <w:t>S</w:t>
      </w:r>
      <w:r w:rsidRPr="00685965">
        <w:rPr>
          <w:rFonts w:cs="Times New Roman"/>
          <w:i/>
          <w:color w:val="000000" w:themeColor="text1"/>
          <w:szCs w:val="24"/>
        </w:rPr>
        <w:t>ize</w:t>
      </w:r>
      <w:r w:rsidR="002A59BF">
        <w:rPr>
          <w:rFonts w:cs="Times New Roman"/>
          <w:i/>
          <w:color w:val="000000" w:themeColor="text1"/>
          <w:szCs w:val="24"/>
        </w:rPr>
        <w:t xml:space="preserve"> &amp;</w:t>
      </w:r>
      <w:r w:rsidRPr="00685965">
        <w:rPr>
          <w:rFonts w:cs="Times New Roman"/>
          <w:i/>
          <w:color w:val="000000" w:themeColor="text1"/>
          <w:szCs w:val="24"/>
        </w:rPr>
        <w:t xml:space="preserve"> </w:t>
      </w:r>
      <w:r w:rsidR="002A59BF">
        <w:rPr>
          <w:rFonts w:cs="Times New Roman"/>
          <w:i/>
          <w:color w:val="000000" w:themeColor="text1"/>
          <w:szCs w:val="24"/>
        </w:rPr>
        <w:t>P</w:t>
      </w:r>
      <w:r w:rsidRPr="00685965">
        <w:rPr>
          <w:rFonts w:cs="Times New Roman"/>
          <w:i/>
          <w:color w:val="000000" w:themeColor="text1"/>
          <w:szCs w:val="24"/>
        </w:rPr>
        <w:t xml:space="preserve">ortfolio </w:t>
      </w:r>
      <w:r w:rsidR="002A59BF">
        <w:rPr>
          <w:rFonts w:cs="Times New Roman"/>
          <w:i/>
          <w:color w:val="000000" w:themeColor="text1"/>
          <w:szCs w:val="24"/>
        </w:rPr>
        <w:t>M</w:t>
      </w:r>
      <w:r w:rsidRPr="00685965">
        <w:rPr>
          <w:rFonts w:cs="Times New Roman"/>
          <w:i/>
          <w:color w:val="000000" w:themeColor="text1"/>
          <w:szCs w:val="24"/>
        </w:rPr>
        <w:t xml:space="preserve">ix,  </w:t>
      </w:r>
      <w:r w:rsidR="002A59BF">
        <w:rPr>
          <w:rFonts w:cs="Times New Roman"/>
          <w:i/>
          <w:color w:val="000000" w:themeColor="text1"/>
          <w:szCs w:val="24"/>
        </w:rPr>
        <w:t>R</w:t>
      </w:r>
      <w:r w:rsidRPr="00685965">
        <w:rPr>
          <w:rFonts w:cs="Times New Roman"/>
          <w:i/>
          <w:color w:val="000000" w:themeColor="text1"/>
          <w:szCs w:val="24"/>
        </w:rPr>
        <w:t>egula</w:t>
      </w:r>
      <w:r w:rsidR="002A59BF">
        <w:rPr>
          <w:rFonts w:cs="Times New Roman"/>
          <w:i/>
          <w:color w:val="000000" w:themeColor="text1"/>
          <w:szCs w:val="24"/>
        </w:rPr>
        <w:t>tory Framework</w:t>
      </w:r>
      <w:r w:rsidR="00F74BD5" w:rsidRPr="00685965">
        <w:rPr>
          <w:rFonts w:cs="Times New Roman"/>
          <w:i/>
          <w:color w:val="000000" w:themeColor="text1"/>
          <w:szCs w:val="24"/>
        </w:rPr>
        <w:t>.</w:t>
      </w:r>
    </w:p>
    <w:p w14:paraId="2CF9CB18" w14:textId="1C2F1B41" w:rsidR="00FB2E0F" w:rsidRDefault="00FB2E0F" w:rsidP="00FB2E0F">
      <w:pPr>
        <w:spacing w:line="240" w:lineRule="auto"/>
        <w:rPr>
          <w:rFonts w:cs="Times New Roman"/>
          <w:b/>
          <w:bCs/>
          <w:color w:val="000000" w:themeColor="text1"/>
          <w:szCs w:val="24"/>
        </w:rPr>
      </w:pPr>
    </w:p>
    <w:p w14:paraId="56354E19" w14:textId="77777777" w:rsidR="00685965" w:rsidRDefault="00685965" w:rsidP="00FB2E0F">
      <w:pPr>
        <w:spacing w:line="240" w:lineRule="auto"/>
        <w:rPr>
          <w:rFonts w:cs="Times New Roman"/>
          <w:color w:val="000000" w:themeColor="text1"/>
          <w:szCs w:val="24"/>
        </w:rPr>
      </w:pPr>
    </w:p>
    <w:p w14:paraId="2120DAD9" w14:textId="77777777" w:rsidR="00CF47CB" w:rsidRDefault="00CF47CB" w:rsidP="00FB2E0F">
      <w:pPr>
        <w:spacing w:line="240" w:lineRule="auto"/>
        <w:rPr>
          <w:rFonts w:cs="Times New Roman"/>
          <w:color w:val="000000" w:themeColor="text1"/>
          <w:szCs w:val="24"/>
        </w:rPr>
      </w:pPr>
    </w:p>
    <w:p w14:paraId="1A652C71" w14:textId="77777777" w:rsidR="00CF47CB" w:rsidRDefault="00CF47CB" w:rsidP="00FB2E0F">
      <w:pPr>
        <w:spacing w:line="240" w:lineRule="auto"/>
        <w:rPr>
          <w:rFonts w:cs="Times New Roman"/>
          <w:color w:val="000000" w:themeColor="text1"/>
          <w:szCs w:val="24"/>
        </w:rPr>
      </w:pPr>
    </w:p>
    <w:p w14:paraId="1DED03E7" w14:textId="77777777" w:rsidR="00CF47CB" w:rsidRDefault="00CF47CB" w:rsidP="00FB2E0F">
      <w:pPr>
        <w:spacing w:line="240" w:lineRule="auto"/>
        <w:rPr>
          <w:rFonts w:cs="Times New Roman"/>
          <w:color w:val="000000" w:themeColor="text1"/>
          <w:szCs w:val="24"/>
        </w:rPr>
      </w:pPr>
    </w:p>
    <w:p w14:paraId="393635A4" w14:textId="77777777" w:rsidR="00CF47CB" w:rsidRDefault="00CF47CB" w:rsidP="00FB2E0F">
      <w:pPr>
        <w:spacing w:line="240" w:lineRule="auto"/>
        <w:rPr>
          <w:rFonts w:cs="Times New Roman"/>
          <w:color w:val="000000" w:themeColor="text1"/>
          <w:szCs w:val="24"/>
        </w:rPr>
      </w:pPr>
    </w:p>
    <w:p w14:paraId="7E24781D" w14:textId="77777777" w:rsidR="00CF47CB" w:rsidRPr="00FB2E0F" w:rsidRDefault="00CF47CB" w:rsidP="00FB2E0F">
      <w:pPr>
        <w:spacing w:line="240" w:lineRule="auto"/>
        <w:rPr>
          <w:rFonts w:cs="Times New Roman"/>
          <w:color w:val="000000" w:themeColor="text1"/>
          <w:szCs w:val="24"/>
        </w:rPr>
      </w:pPr>
    </w:p>
    <w:p w14:paraId="60C890DF" w14:textId="77777777" w:rsidR="00055D83" w:rsidRPr="00FB2E0F" w:rsidRDefault="00055D83" w:rsidP="00055D83">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lastRenderedPageBreak/>
        <w:t>1.0 INTRODUCTION</w:t>
      </w:r>
    </w:p>
    <w:p w14:paraId="5EBAFE34" w14:textId="7777777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Pension funds play a critical role in fostering economic development by strengthening capital markets and providing long-term investment capital. Higher levels of pension fund assets enhance enterprise financing, thereby stimulating overall economic growth (</w:t>
      </w:r>
      <w:proofErr w:type="spellStart"/>
      <w:r w:rsidRPr="00685965">
        <w:rPr>
          <w:rFonts w:cs="Times New Roman"/>
          <w:color w:val="000000" w:themeColor="text1"/>
          <w:szCs w:val="24"/>
        </w:rPr>
        <w:t>Bajlsma</w:t>
      </w:r>
      <w:proofErr w:type="spellEnd"/>
      <w:r w:rsidRPr="00685965">
        <w:rPr>
          <w:rFonts w:cs="Times New Roman"/>
          <w:color w:val="000000" w:themeColor="text1"/>
          <w:szCs w:val="24"/>
        </w:rPr>
        <w:t xml:space="preserve">, </w:t>
      </w:r>
      <w:proofErr w:type="spellStart"/>
      <w:r w:rsidRPr="00685965">
        <w:rPr>
          <w:rFonts w:cs="Times New Roman"/>
          <w:color w:val="000000" w:themeColor="text1"/>
          <w:szCs w:val="24"/>
        </w:rPr>
        <w:t>Bonekamp</w:t>
      </w:r>
      <w:proofErr w:type="spellEnd"/>
      <w:r w:rsidRPr="00685965">
        <w:rPr>
          <w:rFonts w:cs="Times New Roman"/>
          <w:color w:val="000000" w:themeColor="text1"/>
          <w:szCs w:val="24"/>
        </w:rPr>
        <w:t xml:space="preserve">, </w:t>
      </w:r>
      <w:proofErr w:type="spellStart"/>
      <w:r w:rsidRPr="00685965">
        <w:rPr>
          <w:rFonts w:cs="Times New Roman"/>
          <w:color w:val="000000" w:themeColor="text1"/>
          <w:szCs w:val="24"/>
        </w:rPr>
        <w:t>Ewijk</w:t>
      </w:r>
      <w:proofErr w:type="spellEnd"/>
      <w:r w:rsidRPr="00685965">
        <w:rPr>
          <w:rFonts w:cs="Times New Roman"/>
          <w:color w:val="000000" w:themeColor="text1"/>
          <w:szCs w:val="24"/>
        </w:rPr>
        <w:t xml:space="preserve"> &amp; </w:t>
      </w:r>
      <w:proofErr w:type="spellStart"/>
      <w:r w:rsidRPr="00685965">
        <w:rPr>
          <w:rFonts w:cs="Times New Roman"/>
          <w:color w:val="000000" w:themeColor="text1"/>
          <w:szCs w:val="24"/>
        </w:rPr>
        <w:t>Haaijen</w:t>
      </w:r>
      <w:proofErr w:type="spellEnd"/>
      <w:r w:rsidRPr="00685965">
        <w:rPr>
          <w:rFonts w:cs="Times New Roman"/>
          <w:color w:val="000000" w:themeColor="text1"/>
          <w:szCs w:val="24"/>
        </w:rPr>
        <w:t>, 2018). Pension funds primarily serve to accumulate financial reserves during an individual’s active working life to meet retirement needs (</w:t>
      </w:r>
      <w:proofErr w:type="spellStart"/>
      <w:r w:rsidRPr="00685965">
        <w:rPr>
          <w:rFonts w:cs="Times New Roman"/>
          <w:color w:val="000000" w:themeColor="text1"/>
          <w:szCs w:val="24"/>
        </w:rPr>
        <w:t>Consigli</w:t>
      </w:r>
      <w:proofErr w:type="spellEnd"/>
      <w:r w:rsidRPr="00685965">
        <w:rPr>
          <w:rFonts w:cs="Times New Roman"/>
          <w:color w:val="000000" w:themeColor="text1"/>
          <w:szCs w:val="24"/>
        </w:rPr>
        <w:t xml:space="preserve">, </w:t>
      </w:r>
      <w:proofErr w:type="spellStart"/>
      <w:r w:rsidRPr="00685965">
        <w:rPr>
          <w:rFonts w:cs="Times New Roman"/>
          <w:color w:val="000000" w:themeColor="text1"/>
          <w:szCs w:val="24"/>
        </w:rPr>
        <w:t>Moriggia</w:t>
      </w:r>
      <w:proofErr w:type="spellEnd"/>
      <w:r w:rsidRPr="00685965">
        <w:rPr>
          <w:rFonts w:cs="Times New Roman"/>
          <w:color w:val="000000" w:themeColor="text1"/>
          <w:szCs w:val="24"/>
        </w:rPr>
        <w:t xml:space="preserve"> &amp; </w:t>
      </w:r>
      <w:proofErr w:type="spellStart"/>
      <w:r w:rsidRPr="00685965">
        <w:rPr>
          <w:rFonts w:cs="Times New Roman"/>
          <w:color w:val="000000" w:themeColor="text1"/>
          <w:szCs w:val="24"/>
        </w:rPr>
        <w:t>Uristani</w:t>
      </w:r>
      <w:proofErr w:type="spellEnd"/>
      <w:r w:rsidRPr="00685965">
        <w:rPr>
          <w:rFonts w:cs="Times New Roman"/>
          <w:color w:val="000000" w:themeColor="text1"/>
          <w:szCs w:val="24"/>
        </w:rPr>
        <w:t>, 2018).</w:t>
      </w:r>
    </w:p>
    <w:p w14:paraId="72075D39" w14:textId="7777777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Globally, pension funds are a major source of investment, with assets in developed nations accounting for up to 62% of GDP (</w:t>
      </w:r>
      <w:proofErr w:type="spellStart"/>
      <w:r w:rsidRPr="00685965">
        <w:rPr>
          <w:rFonts w:cs="Times New Roman"/>
          <w:color w:val="000000" w:themeColor="text1"/>
          <w:szCs w:val="24"/>
        </w:rPr>
        <w:t>Pandurics</w:t>
      </w:r>
      <w:proofErr w:type="spellEnd"/>
      <w:r w:rsidRPr="00685965">
        <w:rPr>
          <w:rFonts w:cs="Times New Roman"/>
          <w:color w:val="000000" w:themeColor="text1"/>
          <w:szCs w:val="24"/>
        </w:rPr>
        <w:t xml:space="preserve"> &amp; </w:t>
      </w:r>
      <w:proofErr w:type="spellStart"/>
      <w:r w:rsidRPr="00685965">
        <w:rPr>
          <w:rFonts w:cs="Times New Roman"/>
          <w:color w:val="000000" w:themeColor="text1"/>
          <w:szCs w:val="24"/>
        </w:rPr>
        <w:t>Szalai</w:t>
      </w:r>
      <w:proofErr w:type="spellEnd"/>
      <w:r w:rsidRPr="00685965">
        <w:rPr>
          <w:rFonts w:cs="Times New Roman"/>
          <w:color w:val="000000" w:themeColor="text1"/>
          <w:szCs w:val="24"/>
        </w:rPr>
        <w:t>, 2017). In Africa, pension schemes predominantly adopt pay-as-you-go defined benefit plans, where contributions from current workers finance the benefits of current retirees. Out of 38 pension systems globally, 31 operate as pay-as-you-go programs, while four are guarantee funds (World Bank, 2019). These schemes have been credited with reducing poverty levels by 13% and improving the incomes of vulnerable groups by more than 50% (Stewart &amp; Yermo, 2009).</w:t>
      </w:r>
    </w:p>
    <w:p w14:paraId="13638695" w14:textId="56BFB916" w:rsidR="00822A7E"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In Kenya, however, pension coverage remains limited. Only about 20% of the workforce participates in pension systems, largely because most schemes target formal sector employees, who represent less than one-fifth of the labor force. Over 80% of workers in the informal sector lack structured mechanisms for retirement savings (</w:t>
      </w:r>
      <w:proofErr w:type="spellStart"/>
      <w:r w:rsidRPr="00685965">
        <w:rPr>
          <w:rFonts w:cs="Times New Roman"/>
          <w:color w:val="000000" w:themeColor="text1"/>
          <w:szCs w:val="24"/>
        </w:rPr>
        <w:t>Cytonn</w:t>
      </w:r>
      <w:proofErr w:type="spellEnd"/>
      <w:r w:rsidRPr="00685965">
        <w:rPr>
          <w:rFonts w:cs="Times New Roman"/>
          <w:color w:val="000000" w:themeColor="text1"/>
          <w:szCs w:val="24"/>
        </w:rPr>
        <w:t xml:space="preserve">, 2022). In response, the Retirement Benefits Authority (RBA) has promoted digital pension products such as </w:t>
      </w:r>
      <w:proofErr w:type="spellStart"/>
      <w:r w:rsidRPr="00685965">
        <w:rPr>
          <w:rFonts w:cs="Times New Roman"/>
          <w:color w:val="000000" w:themeColor="text1"/>
          <w:szCs w:val="24"/>
        </w:rPr>
        <w:t>Haba</w:t>
      </w:r>
      <w:proofErr w:type="spellEnd"/>
      <w:r w:rsidRPr="00685965">
        <w:rPr>
          <w:rFonts w:cs="Times New Roman"/>
          <w:color w:val="000000" w:themeColor="text1"/>
          <w:szCs w:val="24"/>
        </w:rPr>
        <w:t xml:space="preserve"> </w:t>
      </w:r>
      <w:proofErr w:type="spellStart"/>
      <w:r w:rsidRPr="00685965">
        <w:rPr>
          <w:rFonts w:cs="Times New Roman"/>
          <w:color w:val="000000" w:themeColor="text1"/>
          <w:szCs w:val="24"/>
        </w:rPr>
        <w:t>na</w:t>
      </w:r>
      <w:proofErr w:type="spellEnd"/>
      <w:r w:rsidRPr="00685965">
        <w:rPr>
          <w:rFonts w:cs="Times New Roman"/>
          <w:color w:val="000000" w:themeColor="text1"/>
          <w:szCs w:val="24"/>
        </w:rPr>
        <w:t xml:space="preserve"> </w:t>
      </w:r>
      <w:proofErr w:type="spellStart"/>
      <w:r w:rsidRPr="00685965">
        <w:rPr>
          <w:rFonts w:cs="Times New Roman"/>
          <w:color w:val="000000" w:themeColor="text1"/>
          <w:szCs w:val="24"/>
        </w:rPr>
        <w:t>Haba</w:t>
      </w:r>
      <w:proofErr w:type="spellEnd"/>
      <w:r w:rsidRPr="00685965">
        <w:rPr>
          <w:rFonts w:cs="Times New Roman"/>
          <w:color w:val="000000" w:themeColor="text1"/>
          <w:szCs w:val="24"/>
        </w:rPr>
        <w:t xml:space="preserve"> by NSSF, Gift a Pension by </w:t>
      </w:r>
      <w:proofErr w:type="spellStart"/>
      <w:r w:rsidRPr="00685965">
        <w:rPr>
          <w:rFonts w:cs="Times New Roman"/>
          <w:color w:val="000000" w:themeColor="text1"/>
          <w:szCs w:val="24"/>
        </w:rPr>
        <w:t>Zamara</w:t>
      </w:r>
      <w:proofErr w:type="spellEnd"/>
      <w:r w:rsidRPr="00685965">
        <w:rPr>
          <w:rFonts w:cs="Times New Roman"/>
          <w:color w:val="000000" w:themeColor="text1"/>
          <w:szCs w:val="24"/>
        </w:rPr>
        <w:t xml:space="preserve">, and </w:t>
      </w:r>
      <w:proofErr w:type="spellStart"/>
      <w:r w:rsidRPr="00685965">
        <w:rPr>
          <w:rFonts w:cs="Times New Roman"/>
          <w:color w:val="000000" w:themeColor="text1"/>
          <w:szCs w:val="24"/>
        </w:rPr>
        <w:t>Mobikeza</w:t>
      </w:r>
      <w:proofErr w:type="spellEnd"/>
      <w:r w:rsidRPr="00685965">
        <w:rPr>
          <w:rFonts w:cs="Times New Roman"/>
          <w:color w:val="000000" w:themeColor="text1"/>
          <w:szCs w:val="24"/>
        </w:rPr>
        <w:t xml:space="preserve"> by Octagon. Nonetheless, the National Social Security Fund (NSSF) continues to face slow growth in membership and contributions, constrained by sluggish economic growth and persistent unemployment.</w:t>
      </w:r>
    </w:p>
    <w:p w14:paraId="02D2B6F9" w14:textId="1B72965E" w:rsidR="003D3EAF" w:rsidRDefault="003D3EAF" w:rsidP="003D3EAF">
      <w:pPr>
        <w:keepNext/>
        <w:autoSpaceDE w:val="0"/>
        <w:autoSpaceDN w:val="0"/>
        <w:adjustRightInd w:val="0"/>
        <w:spacing w:after="240" w:line="360" w:lineRule="auto"/>
        <w:jc w:val="center"/>
      </w:pPr>
      <w:r w:rsidRPr="003F0065">
        <w:rPr>
          <w:rFonts w:cs="Times New Roman"/>
          <w:noProof/>
          <w:szCs w:val="24"/>
        </w:rPr>
        <w:drawing>
          <wp:inline distT="0" distB="0" distL="0" distR="0" wp14:anchorId="15FF4947" wp14:editId="7DAAD3F3">
            <wp:extent cx="6143625" cy="2057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397" t="28221" r="11539" b="35291"/>
                    <a:stretch/>
                  </pic:blipFill>
                  <pic:spPr bwMode="auto">
                    <a:xfrm>
                      <a:off x="0" y="0"/>
                      <a:ext cx="6143625" cy="2057400"/>
                    </a:xfrm>
                    <a:prstGeom prst="rect">
                      <a:avLst/>
                    </a:prstGeom>
                    <a:ln>
                      <a:noFill/>
                    </a:ln>
                    <a:extLst>
                      <a:ext uri="{53640926-AAD7-44D8-BBD7-CCE9431645EC}">
                        <a14:shadowObscured xmlns:a14="http://schemas.microsoft.com/office/drawing/2010/main"/>
                      </a:ext>
                    </a:extLst>
                  </pic:spPr>
                </pic:pic>
              </a:graphicData>
            </a:graphic>
          </wp:inline>
        </w:drawing>
      </w:r>
    </w:p>
    <w:p w14:paraId="4F6993A2" w14:textId="402BDBA6" w:rsidR="003D3EAF" w:rsidRDefault="003D3EAF" w:rsidP="003D3EAF">
      <w:pPr>
        <w:autoSpaceDE w:val="0"/>
        <w:autoSpaceDN w:val="0"/>
        <w:adjustRightInd w:val="0"/>
        <w:spacing w:after="240" w:line="360" w:lineRule="auto"/>
        <w:jc w:val="center"/>
        <w:rPr>
          <w:rFonts w:cs="Times New Roman"/>
          <w:b/>
          <w:szCs w:val="24"/>
        </w:rPr>
      </w:pPr>
      <w:r w:rsidRPr="00685965">
        <w:t xml:space="preserve">Figure </w:t>
      </w:r>
      <w:r>
        <w:t>1</w:t>
      </w:r>
      <w:r w:rsidRPr="00685965">
        <w:t xml:space="preserve"> NSSF Members Contribution </w:t>
      </w:r>
      <w:proofErr w:type="gramStart"/>
      <w:r w:rsidRPr="00685965">
        <w:t>Trend(</w:t>
      </w:r>
      <w:proofErr w:type="spellStart"/>
      <w:proofErr w:type="gramEnd"/>
      <w:r w:rsidRPr="00685965">
        <w:t>K</w:t>
      </w:r>
      <w:r w:rsidR="00E91189">
        <w:t>S</w:t>
      </w:r>
      <w:r w:rsidRPr="00685965">
        <w:t>h</w:t>
      </w:r>
      <w:proofErr w:type="spellEnd"/>
      <w:r w:rsidRPr="00685965">
        <w:t xml:space="preserve"> B</w:t>
      </w:r>
      <w:r w:rsidR="00E91189">
        <w:t>illion</w:t>
      </w:r>
      <w:r w:rsidRPr="00685965">
        <w:t>)</w:t>
      </w:r>
    </w:p>
    <w:p w14:paraId="5B48AF3B" w14:textId="39C2FF24" w:rsidR="00685965" w:rsidRPr="003D3EAF" w:rsidRDefault="003D3EAF" w:rsidP="00685965">
      <w:pPr>
        <w:autoSpaceDE w:val="0"/>
        <w:autoSpaceDN w:val="0"/>
        <w:adjustRightInd w:val="0"/>
        <w:spacing w:after="240" w:line="360" w:lineRule="auto"/>
        <w:rPr>
          <w:rFonts w:cs="Times New Roman"/>
          <w:b/>
          <w:color w:val="EE0000"/>
          <w:szCs w:val="24"/>
        </w:rPr>
      </w:pPr>
      <w:r>
        <w:rPr>
          <w:rFonts w:cs="Times New Roman"/>
          <w:b/>
          <w:szCs w:val="24"/>
        </w:rPr>
        <w:t xml:space="preserve">     </w:t>
      </w:r>
      <w:r w:rsidR="00685965" w:rsidRPr="003F0065">
        <w:rPr>
          <w:rFonts w:cs="Times New Roman"/>
          <w:b/>
          <w:szCs w:val="24"/>
        </w:rPr>
        <w:t>Source: NSSF Annual Reports</w:t>
      </w:r>
      <w:r>
        <w:rPr>
          <w:rFonts w:cs="Times New Roman"/>
          <w:b/>
          <w:szCs w:val="24"/>
        </w:rPr>
        <w:t xml:space="preserve"> (</w:t>
      </w:r>
      <w:r>
        <w:rPr>
          <w:rFonts w:cs="Times New Roman"/>
          <w:b/>
          <w:color w:val="EE0000"/>
          <w:szCs w:val="24"/>
        </w:rPr>
        <w:t xml:space="preserve">No explanations on this </w:t>
      </w:r>
      <w:r w:rsidR="00E91189">
        <w:rPr>
          <w:rFonts w:cs="Times New Roman"/>
          <w:b/>
          <w:color w:val="EE0000"/>
          <w:szCs w:val="24"/>
        </w:rPr>
        <w:t>F</w:t>
      </w:r>
      <w:r>
        <w:rPr>
          <w:rFonts w:cs="Times New Roman"/>
          <w:b/>
          <w:color w:val="EE0000"/>
          <w:szCs w:val="24"/>
        </w:rPr>
        <w:t>igure 1…)</w:t>
      </w:r>
    </w:p>
    <w:p w14:paraId="058D8644" w14:textId="77777777" w:rsidR="003D3EAF" w:rsidRPr="003F0065" w:rsidRDefault="003D3EAF" w:rsidP="00685965">
      <w:pPr>
        <w:autoSpaceDE w:val="0"/>
        <w:autoSpaceDN w:val="0"/>
        <w:adjustRightInd w:val="0"/>
        <w:spacing w:after="240" w:line="360" w:lineRule="auto"/>
        <w:rPr>
          <w:rFonts w:cs="Times New Roman"/>
          <w:b/>
          <w:szCs w:val="24"/>
        </w:rPr>
      </w:pPr>
    </w:p>
    <w:p w14:paraId="1C407BA9" w14:textId="7777777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Pension funds play a critical role in ensuring financial security for retirees by providing income through lump sums or annuities, while also supplying capital to firms, consumers, and governments through investments or guaranteed loans (Chohan, 2017). In Kenya, retirement income accounts for 68% of retirees’ total income (RBA, 2019), underscoring the importance of effective pension fund management. Fund directors are therefore tasked with prudent investment decisions across various asset classes to safeguard contributors’ savings and support individuals in their later years (Antolin, 2008). Given this context, the efficient management and monitoring of resources entrusted to pension schemes is crucial.</w:t>
      </w:r>
    </w:p>
    <w:p w14:paraId="70D4D02B" w14:textId="77777777" w:rsidR="00685965" w:rsidRPr="00685965" w:rsidRDefault="00685965" w:rsidP="00685965">
      <w:pPr>
        <w:shd w:val="clear" w:color="auto" w:fill="FFFFFF"/>
        <w:spacing w:line="240" w:lineRule="auto"/>
        <w:rPr>
          <w:rFonts w:cs="Times New Roman"/>
          <w:color w:val="000000" w:themeColor="text1"/>
          <w:szCs w:val="24"/>
        </w:rPr>
      </w:pPr>
    </w:p>
    <w:p w14:paraId="0BEC24D2" w14:textId="0165766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Firm characteristics refer to the attributes that differentiate one pension scheme from another. These features, often reflected in financial statements and reports, guide stakeholders in assessing financial performance and making informed decisions (</w:t>
      </w:r>
      <w:proofErr w:type="spellStart"/>
      <w:r w:rsidRPr="00685965">
        <w:rPr>
          <w:rFonts w:cs="Times New Roman"/>
          <w:color w:val="000000" w:themeColor="text1"/>
          <w:szCs w:val="24"/>
        </w:rPr>
        <w:t>Shuaibul</w:t>
      </w:r>
      <w:proofErr w:type="spellEnd"/>
      <w:r w:rsidRPr="00685965">
        <w:rPr>
          <w:rFonts w:cs="Times New Roman"/>
          <w:color w:val="000000" w:themeColor="text1"/>
          <w:szCs w:val="24"/>
        </w:rPr>
        <w:t xml:space="preserve"> &amp; </w:t>
      </w:r>
      <w:proofErr w:type="spellStart"/>
      <w:r w:rsidRPr="00685965">
        <w:rPr>
          <w:rFonts w:cs="Times New Roman"/>
          <w:color w:val="000000" w:themeColor="text1"/>
          <w:szCs w:val="24"/>
        </w:rPr>
        <w:t>Moh’d</w:t>
      </w:r>
      <w:proofErr w:type="spellEnd"/>
      <w:r w:rsidRPr="00685965">
        <w:rPr>
          <w:rFonts w:cs="Times New Roman"/>
          <w:color w:val="000000" w:themeColor="text1"/>
          <w:szCs w:val="24"/>
        </w:rPr>
        <w:t>, 2019). Literature identifies several firm-level attributes influencing pension performance, including fund size, fund design, portfolio mix, and membership age. This study emphasizes these characteristics due to their consistent empirical significance across contexts.</w:t>
      </w:r>
      <w:r>
        <w:rPr>
          <w:rFonts w:cs="Times New Roman"/>
          <w:color w:val="000000" w:themeColor="text1"/>
          <w:szCs w:val="24"/>
        </w:rPr>
        <w:t xml:space="preserve"> </w:t>
      </w:r>
      <w:r w:rsidRPr="00685965">
        <w:rPr>
          <w:rFonts w:cs="Times New Roman"/>
          <w:color w:val="000000" w:themeColor="text1"/>
          <w:szCs w:val="24"/>
        </w:rPr>
        <w:t xml:space="preserve">Fund size is one of the most widely studied characteristics. Pension assets, which represent accumulated long-term contributions, determine fund size. Larger funds tend to enjoy economies of scale, greater investment flexibility, and stronger bargaining power. </w:t>
      </w:r>
      <w:proofErr w:type="spellStart"/>
      <w:r w:rsidRPr="00685965">
        <w:rPr>
          <w:rFonts w:cs="Times New Roman"/>
          <w:color w:val="000000" w:themeColor="text1"/>
          <w:szCs w:val="24"/>
        </w:rPr>
        <w:t>Kigen</w:t>
      </w:r>
      <w:proofErr w:type="spellEnd"/>
      <w:r w:rsidRPr="00685965">
        <w:rPr>
          <w:rFonts w:cs="Times New Roman"/>
          <w:color w:val="000000" w:themeColor="text1"/>
          <w:szCs w:val="24"/>
        </w:rPr>
        <w:t xml:space="preserve"> (2016) and </w:t>
      </w:r>
      <w:proofErr w:type="spellStart"/>
      <w:r w:rsidRPr="00685965">
        <w:rPr>
          <w:rFonts w:cs="Times New Roman"/>
          <w:color w:val="000000" w:themeColor="text1"/>
          <w:szCs w:val="24"/>
        </w:rPr>
        <w:t>Muli</w:t>
      </w:r>
      <w:proofErr w:type="spellEnd"/>
      <w:r w:rsidRPr="00685965">
        <w:rPr>
          <w:rFonts w:cs="Times New Roman"/>
          <w:color w:val="000000" w:themeColor="text1"/>
          <w:szCs w:val="24"/>
        </w:rPr>
        <w:t xml:space="preserve"> &amp; </w:t>
      </w:r>
      <w:proofErr w:type="spellStart"/>
      <w:r w:rsidRPr="00685965">
        <w:rPr>
          <w:rFonts w:cs="Times New Roman"/>
          <w:color w:val="000000" w:themeColor="text1"/>
          <w:szCs w:val="24"/>
        </w:rPr>
        <w:t>Jagongo</w:t>
      </w:r>
      <w:proofErr w:type="spellEnd"/>
      <w:r w:rsidRPr="00685965">
        <w:rPr>
          <w:rFonts w:cs="Times New Roman"/>
          <w:color w:val="000000" w:themeColor="text1"/>
          <w:szCs w:val="24"/>
        </w:rPr>
        <w:t xml:space="preserve"> (2019) highlight that fund size directly influences investment strategies, thereby enhancing financial performance.</w:t>
      </w:r>
    </w:p>
    <w:p w14:paraId="6CD7F280" w14:textId="17365BEC"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Fund design is another critical determinant of outcomes. Kenya’s pension landscape includes defined contribution (DC) and defined benefit (DB) schemes. Under DC systems, both employers and employees contribute fixed amounts, with retirement benefits tied to accumulated contributions and investment returns. Conversely, DB schemes predetermine benefits based on salary and years of service. Empirical evidence suggests that DC plans tend to outperform DB schemes due to their flexibility and efficiency (</w:t>
      </w:r>
      <w:proofErr w:type="spellStart"/>
      <w:r w:rsidRPr="00685965">
        <w:rPr>
          <w:rFonts w:cs="Times New Roman"/>
          <w:color w:val="000000" w:themeColor="text1"/>
          <w:szCs w:val="24"/>
        </w:rPr>
        <w:t>Nyangeri</w:t>
      </w:r>
      <w:proofErr w:type="spellEnd"/>
      <w:r w:rsidRPr="00685965">
        <w:rPr>
          <w:rFonts w:cs="Times New Roman"/>
          <w:color w:val="000000" w:themeColor="text1"/>
          <w:szCs w:val="24"/>
        </w:rPr>
        <w:t>, 2014).</w:t>
      </w:r>
      <w:r>
        <w:rPr>
          <w:rFonts w:cs="Times New Roman"/>
          <w:color w:val="000000" w:themeColor="text1"/>
          <w:szCs w:val="24"/>
        </w:rPr>
        <w:t xml:space="preserve"> </w:t>
      </w:r>
      <w:r w:rsidRPr="00685965">
        <w:rPr>
          <w:rFonts w:cs="Times New Roman"/>
          <w:color w:val="000000" w:themeColor="text1"/>
          <w:szCs w:val="24"/>
        </w:rPr>
        <w:t xml:space="preserve">Membership age also shapes pension performance. Younger membership cohorts allow for longer investment horizons, which can yield higher returns. </w:t>
      </w:r>
      <w:proofErr w:type="spellStart"/>
      <w:r w:rsidRPr="00685965">
        <w:rPr>
          <w:rFonts w:cs="Times New Roman"/>
          <w:color w:val="000000" w:themeColor="text1"/>
          <w:szCs w:val="24"/>
        </w:rPr>
        <w:t>Nyangeri</w:t>
      </w:r>
      <w:proofErr w:type="spellEnd"/>
      <w:r w:rsidRPr="00685965">
        <w:rPr>
          <w:rFonts w:cs="Times New Roman"/>
          <w:color w:val="000000" w:themeColor="text1"/>
          <w:szCs w:val="24"/>
        </w:rPr>
        <w:t xml:space="preserve"> (2014) stresses that financial performance improves when schemes attract younger contributors, as this provides stability in contribution flows and supports compounding returns over time. This implies the need for regulations and policies that encourage early enrollment in pension plans.</w:t>
      </w:r>
    </w:p>
    <w:p w14:paraId="6C5FE2F5" w14:textId="0DC2364C"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Portfolio mix</w:t>
      </w:r>
      <w:r w:rsidR="00806DB8">
        <w:rPr>
          <w:rFonts w:cs="Times New Roman"/>
          <w:color w:val="000000" w:themeColor="text1"/>
          <w:szCs w:val="24"/>
        </w:rPr>
        <w:t xml:space="preserve"> </w:t>
      </w:r>
      <w:r w:rsidRPr="00685965">
        <w:rPr>
          <w:rFonts w:cs="Times New Roman"/>
          <w:color w:val="000000" w:themeColor="text1"/>
          <w:szCs w:val="24"/>
        </w:rPr>
        <w:t>the composition of assets in which pension contributions are invested</w:t>
      </w:r>
      <w:r w:rsidR="00806DB8">
        <w:rPr>
          <w:rFonts w:cs="Times New Roman"/>
          <w:color w:val="000000" w:themeColor="text1"/>
          <w:szCs w:val="24"/>
        </w:rPr>
        <w:t xml:space="preserve"> </w:t>
      </w:r>
      <w:r w:rsidRPr="00685965">
        <w:rPr>
          <w:rFonts w:cs="Times New Roman"/>
          <w:color w:val="000000" w:themeColor="text1"/>
          <w:szCs w:val="24"/>
        </w:rPr>
        <w:t>is equally significant. Modern Portfolio Theory (Markowitz, 1952) emphasizes diversification to minimize unsystematic risks. In Kenya, pension schemes typically invest in government securities, equities, and real estate, which help reduce risk and improve fund performance (Maina, 2013; Ondieki, 2022). A well-diversified portfolio not only safeguards member contributions but also enhances fund competitiveness and service quality.</w:t>
      </w:r>
      <w:r>
        <w:rPr>
          <w:rFonts w:cs="Times New Roman"/>
          <w:color w:val="000000" w:themeColor="text1"/>
          <w:szCs w:val="24"/>
        </w:rPr>
        <w:t xml:space="preserve"> </w:t>
      </w:r>
      <w:r w:rsidRPr="00685965">
        <w:rPr>
          <w:rFonts w:cs="Times New Roman"/>
          <w:color w:val="000000" w:themeColor="text1"/>
          <w:szCs w:val="24"/>
        </w:rPr>
        <w:t>Collectively, these characteristics</w:t>
      </w:r>
      <w:r w:rsidR="00806DB8">
        <w:rPr>
          <w:rFonts w:cs="Times New Roman"/>
          <w:color w:val="000000" w:themeColor="text1"/>
          <w:szCs w:val="24"/>
        </w:rPr>
        <w:t xml:space="preserve"> </w:t>
      </w:r>
      <w:r w:rsidRPr="00685965">
        <w:rPr>
          <w:rFonts w:cs="Times New Roman"/>
          <w:color w:val="000000" w:themeColor="text1"/>
          <w:szCs w:val="24"/>
        </w:rPr>
        <w:t>fund size, design, membership age, and portfolio mix</w:t>
      </w:r>
      <w:r w:rsidR="00806DB8">
        <w:rPr>
          <w:rFonts w:cs="Times New Roman"/>
          <w:color w:val="000000" w:themeColor="text1"/>
          <w:szCs w:val="24"/>
        </w:rPr>
        <w:t xml:space="preserve"> </w:t>
      </w:r>
      <w:r w:rsidRPr="00685965">
        <w:rPr>
          <w:rFonts w:cs="Times New Roman"/>
          <w:color w:val="000000" w:themeColor="text1"/>
          <w:szCs w:val="24"/>
        </w:rPr>
        <w:t>represent crucial internal drivers of pension fund performance. Firms that adapt effectively to these factors are better positioned to meet client expectations and sustain competitiveness (</w:t>
      </w:r>
      <w:proofErr w:type="spellStart"/>
      <w:r w:rsidRPr="00685965">
        <w:rPr>
          <w:rFonts w:cs="Times New Roman"/>
          <w:color w:val="000000" w:themeColor="text1"/>
          <w:szCs w:val="24"/>
        </w:rPr>
        <w:t>Adekoya</w:t>
      </w:r>
      <w:proofErr w:type="spellEnd"/>
      <w:r w:rsidRPr="00685965">
        <w:rPr>
          <w:rFonts w:cs="Times New Roman"/>
          <w:color w:val="000000" w:themeColor="text1"/>
          <w:szCs w:val="24"/>
        </w:rPr>
        <w:t xml:space="preserve">, </w:t>
      </w:r>
      <w:proofErr w:type="spellStart"/>
      <w:r w:rsidRPr="00685965">
        <w:rPr>
          <w:rFonts w:cs="Times New Roman"/>
          <w:color w:val="000000" w:themeColor="text1"/>
          <w:szCs w:val="24"/>
        </w:rPr>
        <w:t>Nwaobia</w:t>
      </w:r>
      <w:proofErr w:type="spellEnd"/>
      <w:r w:rsidRPr="00685965">
        <w:rPr>
          <w:rFonts w:cs="Times New Roman"/>
          <w:color w:val="000000" w:themeColor="text1"/>
          <w:szCs w:val="24"/>
        </w:rPr>
        <w:t xml:space="preserve"> &amp; </w:t>
      </w:r>
      <w:proofErr w:type="spellStart"/>
      <w:r w:rsidRPr="00685965">
        <w:rPr>
          <w:rFonts w:cs="Times New Roman"/>
          <w:color w:val="000000" w:themeColor="text1"/>
          <w:szCs w:val="24"/>
        </w:rPr>
        <w:t>Siyanbola</w:t>
      </w:r>
      <w:proofErr w:type="spellEnd"/>
      <w:r w:rsidRPr="00685965">
        <w:rPr>
          <w:rFonts w:cs="Times New Roman"/>
          <w:color w:val="000000" w:themeColor="text1"/>
          <w:szCs w:val="24"/>
        </w:rPr>
        <w:t>, 2022).</w:t>
      </w:r>
    </w:p>
    <w:p w14:paraId="18E1A1A4" w14:textId="7777777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The financial performance of pension funds is pivotal not only for members’ welfare but also for national economic stability. Performance encompasses the ability of an institution to meet its objectives, generate adequate returns, and ensure client satisfaction (</w:t>
      </w:r>
      <w:proofErr w:type="spellStart"/>
      <w:r w:rsidRPr="00685965">
        <w:rPr>
          <w:rFonts w:cs="Times New Roman"/>
          <w:color w:val="000000" w:themeColor="text1"/>
          <w:szCs w:val="24"/>
        </w:rPr>
        <w:t>Aguinis</w:t>
      </w:r>
      <w:proofErr w:type="spellEnd"/>
      <w:r w:rsidRPr="00685965">
        <w:rPr>
          <w:rFonts w:cs="Times New Roman"/>
          <w:color w:val="000000" w:themeColor="text1"/>
          <w:szCs w:val="24"/>
        </w:rPr>
        <w:t xml:space="preserve"> &amp; </w:t>
      </w:r>
      <w:proofErr w:type="spellStart"/>
      <w:r w:rsidRPr="00685965">
        <w:rPr>
          <w:rFonts w:cs="Times New Roman"/>
          <w:color w:val="000000" w:themeColor="text1"/>
          <w:szCs w:val="24"/>
        </w:rPr>
        <w:t>Kraiger</w:t>
      </w:r>
      <w:proofErr w:type="spellEnd"/>
      <w:r w:rsidRPr="00685965">
        <w:rPr>
          <w:rFonts w:cs="Times New Roman"/>
          <w:color w:val="000000" w:themeColor="text1"/>
          <w:szCs w:val="24"/>
        </w:rPr>
        <w:t>, 2012). In the pension sector, performance is typically assessed using profitability, efficiency, liquidity, and market value indicators.</w:t>
      </w:r>
    </w:p>
    <w:p w14:paraId="6FD0A798" w14:textId="52322D9B"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Ratio analysis is commonly employed in evaluating financial health. Ratios such as Return on Assets (ROA) and Return on Equity (ROE) measure how effectively resources are utilized to generate returns. ROE reflects management’s ability to deploy shareholder capital, while ROA indicates the return generated from total assets (Brunner, 2008). Return on Investment (ROI), however, is often preferred as a holistic measure, since it evaluates profitability relative to total capital outlay (Gallagher &amp; Martin, 2009). ROI highlights the efficiency of fund management and serves as an accurate performance indicator in the pension context.</w:t>
      </w:r>
      <w:r>
        <w:rPr>
          <w:rFonts w:cs="Times New Roman"/>
          <w:color w:val="000000" w:themeColor="text1"/>
          <w:szCs w:val="24"/>
        </w:rPr>
        <w:t xml:space="preserve"> </w:t>
      </w:r>
      <w:r w:rsidRPr="00685965">
        <w:rPr>
          <w:rFonts w:cs="Times New Roman"/>
          <w:color w:val="000000" w:themeColor="text1"/>
          <w:szCs w:val="24"/>
        </w:rPr>
        <w:t>Kigen (2016) observes that the challenges facing pension plans are less about stock market volatility and more about inappropriate benchmark selection for evaluating risk and returns. Thus, rigorous performance measurement through ROI analysis provides insights into the effectiveness of investment decisions and management practices.</w:t>
      </w:r>
    </w:p>
    <w:p w14:paraId="26D49C8F" w14:textId="7777777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Regulation plays a central role in safeguarding pension funds. Oversight frameworks ensure compliance with investment standards, risk controls, and fiduciary responsibilities. Globally, pension systems are subject to quantitative restrictions and legal frameworks designed to protect members’ contributions. In Kenya, the Retirement Benefits Authority (RBA) regulates the industry under the Retirement Benefits Act.</w:t>
      </w:r>
    </w:p>
    <w:p w14:paraId="4586E793" w14:textId="77777777" w:rsidR="00685965" w:rsidRPr="00685965" w:rsidRDefault="00685965" w:rsidP="00685965">
      <w:pPr>
        <w:shd w:val="clear" w:color="auto" w:fill="FFFFFF"/>
        <w:spacing w:line="240" w:lineRule="auto"/>
        <w:rPr>
          <w:rFonts w:cs="Times New Roman"/>
          <w:color w:val="000000" w:themeColor="text1"/>
          <w:szCs w:val="24"/>
        </w:rPr>
      </w:pPr>
    </w:p>
    <w:p w14:paraId="636ED322" w14:textId="7777777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 xml:space="preserve">Empirical studies reveal that regulation positively influences pension fund performance. Miriti (2014) highlights that restrictions on investments improve fund stability, while Njeru (2012) emphasizes that the Retirement Benefits Act enhanced operational coherence and spurred sectoral growth. Similarly, </w:t>
      </w:r>
      <w:proofErr w:type="spellStart"/>
      <w:r w:rsidRPr="00685965">
        <w:rPr>
          <w:rFonts w:cs="Times New Roman"/>
          <w:color w:val="000000" w:themeColor="text1"/>
          <w:szCs w:val="24"/>
        </w:rPr>
        <w:t>Kusewa</w:t>
      </w:r>
      <w:proofErr w:type="spellEnd"/>
      <w:r w:rsidRPr="00685965">
        <w:rPr>
          <w:rFonts w:cs="Times New Roman"/>
          <w:color w:val="000000" w:themeColor="text1"/>
          <w:szCs w:val="24"/>
        </w:rPr>
        <w:t xml:space="preserve"> (2007) found a statistically significant positive relationship between regulatory enforcement and pension fund outcomes. Effective regulation thus provides both oversight and investor confidence, contributing to sustained financial performance.</w:t>
      </w:r>
    </w:p>
    <w:p w14:paraId="27426883" w14:textId="02FBD77B"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 xml:space="preserve">Kenya’s pension sector comprises four major programs: </w:t>
      </w:r>
      <w:r w:rsidR="00806DB8" w:rsidRPr="00685965">
        <w:rPr>
          <w:rFonts w:cs="Times New Roman"/>
          <w:color w:val="000000" w:themeColor="text1"/>
          <w:szCs w:val="24"/>
        </w:rPr>
        <w:t>The</w:t>
      </w:r>
      <w:r w:rsidRPr="00685965">
        <w:rPr>
          <w:rFonts w:cs="Times New Roman"/>
          <w:color w:val="000000" w:themeColor="text1"/>
          <w:szCs w:val="24"/>
        </w:rPr>
        <w:t xml:space="preserve"> Civil Service Pension Scheme, the National Social Security Fund (NSSF), occupational retirement schemes, and individual retirement schemes (RBA, Chapter 197). The first two </w:t>
      </w:r>
      <w:r w:rsidR="00806DB8" w:rsidRPr="00685965">
        <w:rPr>
          <w:rFonts w:cs="Times New Roman"/>
          <w:color w:val="000000" w:themeColor="text1"/>
          <w:szCs w:val="24"/>
        </w:rPr>
        <w:t>is</w:t>
      </w:r>
      <w:r w:rsidRPr="00685965">
        <w:rPr>
          <w:rFonts w:cs="Times New Roman"/>
          <w:color w:val="000000" w:themeColor="text1"/>
          <w:szCs w:val="24"/>
        </w:rPr>
        <w:t xml:space="preserve"> established through Acts of Parliament, while occupational and individual schemes are founded on trust deeds. Occupational schemes mainly serve formal sector employees, whereas individual schemes accommodate both formal and informal sector contributors on a voluntary basis.</w:t>
      </w:r>
      <w:r>
        <w:rPr>
          <w:rFonts w:cs="Times New Roman"/>
          <w:color w:val="000000" w:themeColor="text1"/>
          <w:szCs w:val="24"/>
        </w:rPr>
        <w:t xml:space="preserve"> </w:t>
      </w:r>
      <w:r w:rsidRPr="00685965">
        <w:rPr>
          <w:rFonts w:cs="Times New Roman"/>
          <w:color w:val="000000" w:themeColor="text1"/>
          <w:szCs w:val="24"/>
        </w:rPr>
        <w:t xml:space="preserve">The sector’s contribution to the economy is significant. As of June 2021, pension assets totaled </w:t>
      </w:r>
      <w:proofErr w:type="spellStart"/>
      <w:r w:rsidRPr="00685965">
        <w:rPr>
          <w:rFonts w:cs="Times New Roman"/>
          <w:color w:val="000000" w:themeColor="text1"/>
          <w:szCs w:val="24"/>
        </w:rPr>
        <w:t>Ksh</w:t>
      </w:r>
      <w:proofErr w:type="spellEnd"/>
      <w:r w:rsidRPr="00685965">
        <w:rPr>
          <w:rFonts w:cs="Times New Roman"/>
          <w:color w:val="000000" w:themeColor="text1"/>
          <w:szCs w:val="24"/>
        </w:rPr>
        <w:t>. 1.5 trillion</w:t>
      </w:r>
      <w:r w:rsidR="00806DB8">
        <w:rPr>
          <w:rFonts w:cs="Times New Roman"/>
          <w:color w:val="000000" w:themeColor="text1"/>
          <w:szCs w:val="24"/>
        </w:rPr>
        <w:t xml:space="preserve"> </w:t>
      </w:r>
      <w:r w:rsidRPr="00685965">
        <w:rPr>
          <w:rFonts w:cs="Times New Roman"/>
          <w:color w:val="000000" w:themeColor="text1"/>
          <w:szCs w:val="24"/>
        </w:rPr>
        <w:t>equivalent to 16% of Kenya’s GDP (RBA, 2022). Investment allocations were heavily concentrated in government securities (44.1%), listed equities (16.9%), and real estate (16.7%). Pension funds therefore play a dual role: ensuring financial stability for retirees while channeling capital into national development through investments in infrastructure and capital markets.</w:t>
      </w:r>
    </w:p>
    <w:p w14:paraId="142C64E0" w14:textId="39B00BA9" w:rsidR="00685965" w:rsidRPr="00FB2E0F"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The growth of pension assets has also enabled the government to design retirement-focused policies that protect public interests while leveraging pension resources for economic growth. In many developing economies, including Kenya, pension funds are increasingly viewed as strategic tools for reducing public debt, fostering investment, and driving long-term growth.</w:t>
      </w:r>
      <w:r>
        <w:rPr>
          <w:rFonts w:cs="Times New Roman"/>
          <w:color w:val="000000" w:themeColor="text1"/>
          <w:szCs w:val="24"/>
        </w:rPr>
        <w:t xml:space="preserve"> </w:t>
      </w:r>
      <w:r w:rsidRPr="00685965">
        <w:rPr>
          <w:rFonts w:cs="Times New Roman"/>
          <w:color w:val="000000" w:themeColor="text1"/>
          <w:szCs w:val="24"/>
        </w:rPr>
        <w:t>Pension funds are central to both individual welfare and macroeconomic stability. Their performance is shaped by firm characteristics such as fund size, design, portfolio mix, and membership age, which influence investment strategies and returns. Financial performance is best assessed using ROI and related ratios, while robust regulatory frameworks enhance trust, efficiency, and sustainability. Kenya’s pension sector, with assets equivalent to 16% of GDP, plays a pivotal role in securing retiree livelihoods and financing national development. Effective governance and strategic management of firm characteristics are therefore essential for ensuring both the growth of pension schemes and their contribution to economic progress</w:t>
      </w:r>
    </w:p>
    <w:p w14:paraId="48C38FDC" w14:textId="4C473802" w:rsidR="00055D83" w:rsidRPr="00FB2E0F" w:rsidRDefault="00055D83" w:rsidP="00CE4C91">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1.1 Research Problem</w:t>
      </w:r>
    </w:p>
    <w:p w14:paraId="3C6C03C9" w14:textId="5CB789B3" w:rsidR="0021142D" w:rsidRPr="0021142D" w:rsidRDefault="0021142D" w:rsidP="0021142D">
      <w:pPr>
        <w:spacing w:line="240" w:lineRule="auto"/>
        <w:rPr>
          <w:rFonts w:cs="Times New Roman"/>
          <w:color w:val="000000" w:themeColor="text1"/>
          <w:szCs w:val="24"/>
        </w:rPr>
      </w:pPr>
      <w:r w:rsidRPr="0021142D">
        <w:rPr>
          <w:rFonts w:cs="Times New Roman"/>
          <w:color w:val="000000" w:themeColor="text1"/>
          <w:szCs w:val="24"/>
        </w:rPr>
        <w:t>Financial performance is a vital indicator of an organization’s wellbeing, reflecting its ability to sustain growth and meet obligations. In the pension industry, strong performance is particularly crucial as it encourages individuals to save for retirement, thereby ensuring long-term financial security. However, recent trends reveal inconsistencies in the financial performance of pension funds, raising questions about the firm-level characteristics that may influence these outcomes.</w:t>
      </w:r>
      <w:r>
        <w:rPr>
          <w:rFonts w:cs="Times New Roman"/>
          <w:color w:val="000000" w:themeColor="text1"/>
          <w:szCs w:val="24"/>
        </w:rPr>
        <w:t xml:space="preserve"> </w:t>
      </w:r>
      <w:r w:rsidRPr="0021142D">
        <w:rPr>
          <w:rFonts w:cs="Times New Roman"/>
          <w:color w:val="000000" w:themeColor="text1"/>
          <w:szCs w:val="24"/>
        </w:rPr>
        <w:t xml:space="preserve">The Retirement Benefits Authority (2022) reports show uneven growth in assets under management between 2013 and 2020, signaling suboptimal investment decisions and high administrative costs. Similarly, ACTSERV Surveys (2022) highlight erratic pension industry returns, fluctuating from as high as 20.3% in 2013 to as low as 1.4% in 2015, with no consistent upward trend. These findings </w:t>
      </w:r>
      <w:r w:rsidR="00CF4F91">
        <w:rPr>
          <w:rFonts w:cs="Times New Roman"/>
          <w:color w:val="000000" w:themeColor="text1"/>
          <w:szCs w:val="24"/>
        </w:rPr>
        <w:t xml:space="preserve">of study </w:t>
      </w:r>
      <w:r w:rsidRPr="0021142D">
        <w:rPr>
          <w:rFonts w:cs="Times New Roman"/>
          <w:color w:val="000000" w:themeColor="text1"/>
          <w:szCs w:val="24"/>
        </w:rPr>
        <w:t>suggest that despite the growth of the sector, performance remains volatile.</w:t>
      </w:r>
    </w:p>
    <w:p w14:paraId="45367CC9" w14:textId="77777777" w:rsidR="0021142D" w:rsidRPr="0021142D" w:rsidRDefault="0021142D" w:rsidP="0021142D">
      <w:pPr>
        <w:spacing w:line="240" w:lineRule="auto"/>
        <w:rPr>
          <w:rFonts w:cs="Times New Roman"/>
          <w:color w:val="000000" w:themeColor="text1"/>
          <w:szCs w:val="24"/>
        </w:rPr>
      </w:pPr>
      <w:r w:rsidRPr="0021142D">
        <w:rPr>
          <w:rFonts w:cs="Times New Roman"/>
          <w:color w:val="000000" w:themeColor="text1"/>
          <w:szCs w:val="24"/>
        </w:rPr>
        <w:t xml:space="preserve">Scholarly work underscores the importance of organizational characteristics in shaping pension fund outcomes. For instance, </w:t>
      </w:r>
      <w:proofErr w:type="spellStart"/>
      <w:r w:rsidRPr="0021142D">
        <w:rPr>
          <w:rFonts w:cs="Times New Roman"/>
          <w:color w:val="000000" w:themeColor="text1"/>
          <w:szCs w:val="24"/>
        </w:rPr>
        <w:t>Adekoya</w:t>
      </w:r>
      <w:proofErr w:type="spellEnd"/>
      <w:r w:rsidRPr="0021142D">
        <w:rPr>
          <w:rFonts w:cs="Times New Roman"/>
          <w:color w:val="000000" w:themeColor="text1"/>
          <w:szCs w:val="24"/>
        </w:rPr>
        <w:t xml:space="preserve">, </w:t>
      </w:r>
      <w:proofErr w:type="spellStart"/>
      <w:r w:rsidRPr="0021142D">
        <w:rPr>
          <w:rFonts w:cs="Times New Roman"/>
          <w:color w:val="000000" w:themeColor="text1"/>
          <w:szCs w:val="24"/>
        </w:rPr>
        <w:t>Nwaobia</w:t>
      </w:r>
      <w:proofErr w:type="spellEnd"/>
      <w:r w:rsidRPr="0021142D">
        <w:rPr>
          <w:rFonts w:cs="Times New Roman"/>
          <w:color w:val="000000" w:themeColor="text1"/>
          <w:szCs w:val="24"/>
        </w:rPr>
        <w:t xml:space="preserve">, and </w:t>
      </w:r>
      <w:proofErr w:type="spellStart"/>
      <w:r w:rsidRPr="0021142D">
        <w:rPr>
          <w:rFonts w:cs="Times New Roman"/>
          <w:color w:val="000000" w:themeColor="text1"/>
          <w:szCs w:val="24"/>
        </w:rPr>
        <w:t>Siyanbola</w:t>
      </w:r>
      <w:proofErr w:type="spellEnd"/>
      <w:r w:rsidRPr="0021142D">
        <w:rPr>
          <w:rFonts w:cs="Times New Roman"/>
          <w:color w:val="000000" w:themeColor="text1"/>
          <w:szCs w:val="24"/>
        </w:rPr>
        <w:t xml:space="preserve"> (2022) found that factors such as firm age, size, membership, board composition, and branch networks significantly influenced pension fund management in Nigeria. Yet, their study concentrated more on firm value than financial performance. In Kenya, Kigen (2016) observed that fund size strongly influences financial outcomes, with larger funds often underperforming due to managerial inefficiencies. Similarly, Oluoch (2013) noted that increased fund valuations did not always translate to improved returns. Conversely, </w:t>
      </w:r>
      <w:proofErr w:type="spellStart"/>
      <w:r w:rsidRPr="0021142D">
        <w:rPr>
          <w:rFonts w:cs="Times New Roman"/>
          <w:color w:val="000000" w:themeColor="text1"/>
          <w:szCs w:val="24"/>
        </w:rPr>
        <w:t>Ondieki</w:t>
      </w:r>
      <w:proofErr w:type="spellEnd"/>
      <w:r w:rsidRPr="0021142D">
        <w:rPr>
          <w:rFonts w:cs="Times New Roman"/>
          <w:color w:val="000000" w:themeColor="text1"/>
          <w:szCs w:val="24"/>
        </w:rPr>
        <w:t xml:space="preserve"> (2022) and </w:t>
      </w:r>
      <w:proofErr w:type="spellStart"/>
      <w:r w:rsidRPr="0021142D">
        <w:rPr>
          <w:rFonts w:cs="Times New Roman"/>
          <w:color w:val="000000" w:themeColor="text1"/>
          <w:szCs w:val="24"/>
        </w:rPr>
        <w:t>Nyangeri</w:t>
      </w:r>
      <w:proofErr w:type="spellEnd"/>
      <w:r w:rsidRPr="0021142D">
        <w:rPr>
          <w:rFonts w:cs="Times New Roman"/>
          <w:color w:val="000000" w:themeColor="text1"/>
          <w:szCs w:val="24"/>
        </w:rPr>
        <w:t xml:space="preserve"> (2014) suggested that while larger funds face greater risks, they also have the potential to generate higher returns through better investment opportunities.</w:t>
      </w:r>
    </w:p>
    <w:p w14:paraId="565E1365" w14:textId="77777777" w:rsidR="0021142D" w:rsidRPr="0021142D" w:rsidRDefault="0021142D" w:rsidP="0021142D">
      <w:pPr>
        <w:spacing w:line="240" w:lineRule="auto"/>
        <w:rPr>
          <w:rFonts w:cs="Times New Roman"/>
          <w:color w:val="000000" w:themeColor="text1"/>
          <w:szCs w:val="24"/>
        </w:rPr>
      </w:pPr>
    </w:p>
    <w:p w14:paraId="721AE480" w14:textId="77777777" w:rsidR="0021142D" w:rsidRPr="0021142D" w:rsidRDefault="0021142D" w:rsidP="0021142D">
      <w:pPr>
        <w:spacing w:line="240" w:lineRule="auto"/>
        <w:rPr>
          <w:rFonts w:cs="Times New Roman"/>
          <w:color w:val="000000" w:themeColor="text1"/>
          <w:szCs w:val="24"/>
        </w:rPr>
      </w:pPr>
      <w:r w:rsidRPr="0021142D">
        <w:rPr>
          <w:rFonts w:cs="Times New Roman"/>
          <w:color w:val="000000" w:themeColor="text1"/>
          <w:szCs w:val="24"/>
        </w:rPr>
        <w:t xml:space="preserve">Beyond organizational traits, governance and investment practices also affect pension fund performance. Poor investment diversification, as highlighted by </w:t>
      </w:r>
      <w:proofErr w:type="spellStart"/>
      <w:r w:rsidRPr="0021142D">
        <w:rPr>
          <w:rFonts w:cs="Times New Roman"/>
          <w:color w:val="000000" w:themeColor="text1"/>
          <w:szCs w:val="24"/>
        </w:rPr>
        <w:t>Ngugi</w:t>
      </w:r>
      <w:proofErr w:type="spellEnd"/>
      <w:r w:rsidRPr="0021142D">
        <w:rPr>
          <w:rFonts w:cs="Times New Roman"/>
          <w:color w:val="000000" w:themeColor="text1"/>
          <w:szCs w:val="24"/>
        </w:rPr>
        <w:t xml:space="preserve">, </w:t>
      </w:r>
      <w:proofErr w:type="spellStart"/>
      <w:r w:rsidRPr="0021142D">
        <w:rPr>
          <w:rFonts w:cs="Times New Roman"/>
          <w:color w:val="000000" w:themeColor="text1"/>
          <w:szCs w:val="24"/>
        </w:rPr>
        <w:t>Njuguna</w:t>
      </w:r>
      <w:proofErr w:type="spellEnd"/>
      <w:r w:rsidRPr="0021142D">
        <w:rPr>
          <w:rFonts w:cs="Times New Roman"/>
          <w:color w:val="000000" w:themeColor="text1"/>
          <w:szCs w:val="24"/>
        </w:rPr>
        <w:t xml:space="preserve">, and </w:t>
      </w:r>
      <w:proofErr w:type="spellStart"/>
      <w:r w:rsidRPr="0021142D">
        <w:rPr>
          <w:rFonts w:cs="Times New Roman"/>
          <w:color w:val="000000" w:themeColor="text1"/>
          <w:szCs w:val="24"/>
        </w:rPr>
        <w:t>Wambalaba</w:t>
      </w:r>
      <w:proofErr w:type="spellEnd"/>
      <w:r w:rsidRPr="0021142D">
        <w:rPr>
          <w:rFonts w:cs="Times New Roman"/>
          <w:color w:val="000000" w:themeColor="text1"/>
          <w:szCs w:val="24"/>
        </w:rPr>
        <w:t xml:space="preserve"> (2018), exposes schemes to avoidable risks. Moreover, cases of mismanagement and embezzlement by politically appointed executives (</w:t>
      </w:r>
      <w:proofErr w:type="spellStart"/>
      <w:r w:rsidRPr="0021142D">
        <w:rPr>
          <w:rFonts w:cs="Times New Roman"/>
          <w:color w:val="000000" w:themeColor="text1"/>
          <w:szCs w:val="24"/>
        </w:rPr>
        <w:t>Namusonge</w:t>
      </w:r>
      <w:proofErr w:type="spellEnd"/>
      <w:r w:rsidRPr="0021142D">
        <w:rPr>
          <w:rFonts w:cs="Times New Roman"/>
          <w:color w:val="000000" w:themeColor="text1"/>
          <w:szCs w:val="24"/>
        </w:rPr>
        <w:t xml:space="preserve"> &amp; </w:t>
      </w:r>
      <w:proofErr w:type="spellStart"/>
      <w:r w:rsidRPr="0021142D">
        <w:rPr>
          <w:rFonts w:cs="Times New Roman"/>
          <w:color w:val="000000" w:themeColor="text1"/>
          <w:szCs w:val="24"/>
        </w:rPr>
        <w:t>Gathogo</w:t>
      </w:r>
      <w:proofErr w:type="spellEnd"/>
      <w:r w:rsidRPr="0021142D">
        <w:rPr>
          <w:rFonts w:cs="Times New Roman"/>
          <w:color w:val="000000" w:themeColor="text1"/>
          <w:szCs w:val="24"/>
        </w:rPr>
        <w:t>, 2017) undermine trust and lead to financial losses for beneficiaries. These governance failures highlight structural weaknesses that threaten the sustainability of pension funds.</w:t>
      </w:r>
    </w:p>
    <w:p w14:paraId="17E29A75" w14:textId="5430BB86" w:rsidR="00B717D1" w:rsidRDefault="0021142D" w:rsidP="0021142D">
      <w:pPr>
        <w:spacing w:line="240" w:lineRule="auto"/>
        <w:rPr>
          <w:rFonts w:cs="Times New Roman"/>
          <w:color w:val="000000" w:themeColor="text1"/>
          <w:szCs w:val="24"/>
        </w:rPr>
      </w:pPr>
      <w:r w:rsidRPr="0021142D">
        <w:rPr>
          <w:rFonts w:cs="Times New Roman"/>
          <w:color w:val="000000" w:themeColor="text1"/>
          <w:szCs w:val="24"/>
        </w:rPr>
        <w:t>Despite these insights, existing literature reveals a critical gap. While several studies have investigated pension fund performance, few have examined the direct influence of specific firm-level characteristics on financial outcomes within the Kenyan context. Given that pension funds are unique institutions with long-term obligations to beneficiaries (Oyoo, 2020), understanding the drivers of their financial performance is essential for strengthening regulatory frameworks and improving fund management practices.</w:t>
      </w:r>
      <w:r>
        <w:rPr>
          <w:rFonts w:cs="Times New Roman"/>
          <w:color w:val="000000" w:themeColor="text1"/>
          <w:szCs w:val="24"/>
        </w:rPr>
        <w:t xml:space="preserve"> </w:t>
      </w:r>
      <w:r w:rsidRPr="0021142D">
        <w:rPr>
          <w:rFonts w:cs="Times New Roman"/>
          <w:color w:val="000000" w:themeColor="text1"/>
          <w:szCs w:val="24"/>
        </w:rPr>
        <w:t>This study therefore seeks to explore how firm characteristics</w:t>
      </w:r>
      <w:r w:rsidR="00806DB8">
        <w:rPr>
          <w:rFonts w:cs="Times New Roman"/>
          <w:color w:val="000000" w:themeColor="text1"/>
          <w:szCs w:val="24"/>
        </w:rPr>
        <w:t xml:space="preserve"> </w:t>
      </w:r>
      <w:r w:rsidRPr="0021142D">
        <w:rPr>
          <w:rFonts w:cs="Times New Roman"/>
          <w:color w:val="000000" w:themeColor="text1"/>
          <w:szCs w:val="24"/>
        </w:rPr>
        <w:t>such as fund size, governance structures, and operational practices</w:t>
      </w:r>
      <w:r w:rsidR="00806DB8">
        <w:rPr>
          <w:rFonts w:cs="Times New Roman"/>
          <w:color w:val="000000" w:themeColor="text1"/>
          <w:szCs w:val="24"/>
        </w:rPr>
        <w:t xml:space="preserve"> </w:t>
      </w:r>
      <w:r w:rsidRPr="0021142D">
        <w:rPr>
          <w:rFonts w:cs="Times New Roman"/>
          <w:color w:val="000000" w:themeColor="text1"/>
          <w:szCs w:val="24"/>
        </w:rPr>
        <w:t>affect the financial performance of pension funds in Kenya. By addressing this research gap, the study aims to provide evidence-based insights that can guide policy reforms and enhance the sustainability of pension schemes</w:t>
      </w:r>
      <w:r w:rsidR="00A81F27" w:rsidRPr="00A81F27">
        <w:rPr>
          <w:rFonts w:cs="Times New Roman"/>
          <w:color w:val="000000" w:themeColor="text1"/>
          <w:szCs w:val="24"/>
        </w:rPr>
        <w:t>.</w:t>
      </w:r>
      <w:r w:rsidR="00A85B82" w:rsidRPr="00FB2E0F">
        <w:rPr>
          <w:rFonts w:cs="Times New Roman"/>
          <w:color w:val="000000" w:themeColor="text1"/>
          <w:szCs w:val="24"/>
        </w:rPr>
        <w:t xml:space="preserve"> </w:t>
      </w:r>
    </w:p>
    <w:tbl>
      <w:tblPr>
        <w:tblpPr w:leftFromText="180" w:rightFromText="180" w:vertAnchor="text" w:horzAnchor="margin" w:tblpXSpec="center" w:tblpY="624"/>
        <w:tblW w:w="6835" w:type="dxa"/>
        <w:tblLook w:val="04A0" w:firstRow="1" w:lastRow="0" w:firstColumn="1" w:lastColumn="0" w:noHBand="0" w:noVBand="1"/>
      </w:tblPr>
      <w:tblGrid>
        <w:gridCol w:w="1802"/>
        <w:gridCol w:w="2423"/>
        <w:gridCol w:w="2610"/>
      </w:tblGrid>
      <w:tr w:rsidR="00673AE4" w:rsidRPr="003F0065" w14:paraId="5E67C8CE" w14:textId="77777777" w:rsidTr="00673AE4">
        <w:trPr>
          <w:trHeight w:val="300"/>
        </w:trPr>
        <w:tc>
          <w:tcPr>
            <w:tcW w:w="1802" w:type="dxa"/>
            <w:tcBorders>
              <w:top w:val="single" w:sz="4" w:space="0" w:color="auto"/>
              <w:left w:val="single" w:sz="4" w:space="0" w:color="auto"/>
              <w:bottom w:val="single" w:sz="4" w:space="0" w:color="auto"/>
              <w:right w:val="single" w:sz="4" w:space="0" w:color="auto"/>
            </w:tcBorders>
            <w:noWrap/>
            <w:vAlign w:val="bottom"/>
            <w:hideMark/>
          </w:tcPr>
          <w:p w14:paraId="1828528B" w14:textId="77777777" w:rsidR="00673AE4" w:rsidRPr="003F0065" w:rsidRDefault="00673AE4" w:rsidP="00673AE4">
            <w:pPr>
              <w:spacing w:before="0" w:line="240" w:lineRule="auto"/>
              <w:jc w:val="center"/>
              <w:rPr>
                <w:rFonts w:eastAsia="Times New Roman" w:cs="Times New Roman"/>
                <w:b/>
                <w:szCs w:val="24"/>
              </w:rPr>
            </w:pPr>
            <w:bookmarkStart w:id="2" w:name="_Toc206757653"/>
            <w:bookmarkStart w:id="3" w:name="_Toc206758330"/>
            <w:r w:rsidRPr="003F0065">
              <w:rPr>
                <w:rFonts w:eastAsia="Times New Roman" w:cs="Times New Roman"/>
                <w:b/>
                <w:szCs w:val="24"/>
              </w:rPr>
              <w:t>YEAR</w:t>
            </w:r>
          </w:p>
        </w:tc>
        <w:tc>
          <w:tcPr>
            <w:tcW w:w="2423" w:type="dxa"/>
            <w:tcBorders>
              <w:top w:val="single" w:sz="4" w:space="0" w:color="auto"/>
              <w:left w:val="nil"/>
              <w:bottom w:val="single" w:sz="4" w:space="0" w:color="auto"/>
              <w:right w:val="single" w:sz="4" w:space="0" w:color="auto"/>
            </w:tcBorders>
            <w:noWrap/>
            <w:vAlign w:val="bottom"/>
            <w:hideMark/>
          </w:tcPr>
          <w:p w14:paraId="5DF35F62" w14:textId="4128CC95" w:rsidR="00673AE4" w:rsidRPr="00CF4F91" w:rsidRDefault="00673AE4" w:rsidP="00673AE4">
            <w:pPr>
              <w:spacing w:before="0" w:line="240" w:lineRule="auto"/>
              <w:jc w:val="center"/>
              <w:rPr>
                <w:rFonts w:eastAsia="Times New Roman" w:cs="Times New Roman"/>
                <w:b/>
                <w:color w:val="EE0000"/>
                <w:szCs w:val="24"/>
              </w:rPr>
            </w:pPr>
            <w:r w:rsidRPr="00CF4F91">
              <w:rPr>
                <w:rFonts w:eastAsia="Times New Roman" w:cs="Times New Roman"/>
                <w:b/>
                <w:color w:val="EE0000"/>
                <w:szCs w:val="24"/>
              </w:rPr>
              <w:t>Kenyan Shilling (KSH) (BILLION)</w:t>
            </w:r>
          </w:p>
        </w:tc>
        <w:tc>
          <w:tcPr>
            <w:tcW w:w="2610" w:type="dxa"/>
            <w:tcBorders>
              <w:top w:val="single" w:sz="4" w:space="0" w:color="auto"/>
              <w:left w:val="nil"/>
              <w:bottom w:val="single" w:sz="4" w:space="0" w:color="auto"/>
              <w:right w:val="single" w:sz="4" w:space="0" w:color="auto"/>
            </w:tcBorders>
            <w:noWrap/>
            <w:vAlign w:val="bottom"/>
            <w:hideMark/>
          </w:tcPr>
          <w:p w14:paraId="5C9F17FA" w14:textId="45FEA902" w:rsidR="00673AE4" w:rsidRPr="003F0065" w:rsidRDefault="00673AE4" w:rsidP="00673AE4">
            <w:pPr>
              <w:spacing w:before="0" w:line="240" w:lineRule="auto"/>
              <w:jc w:val="center"/>
              <w:rPr>
                <w:rFonts w:eastAsia="Times New Roman" w:cs="Times New Roman"/>
                <w:b/>
                <w:szCs w:val="24"/>
              </w:rPr>
            </w:pPr>
            <w:r w:rsidRPr="003F0065">
              <w:rPr>
                <w:rFonts w:eastAsia="Times New Roman" w:cs="Times New Roman"/>
                <w:b/>
                <w:szCs w:val="24"/>
              </w:rPr>
              <w:t>INCREASE</w:t>
            </w:r>
            <w:r>
              <w:rPr>
                <w:rFonts w:eastAsia="Times New Roman" w:cs="Times New Roman"/>
                <w:b/>
                <w:szCs w:val="24"/>
              </w:rPr>
              <w:t xml:space="preserve"> (%)</w:t>
            </w:r>
          </w:p>
        </w:tc>
      </w:tr>
      <w:tr w:rsidR="00673AE4" w:rsidRPr="003F0065" w14:paraId="1D0FB54A" w14:textId="77777777" w:rsidTr="00673AE4">
        <w:trPr>
          <w:trHeight w:val="300"/>
        </w:trPr>
        <w:tc>
          <w:tcPr>
            <w:tcW w:w="1802" w:type="dxa"/>
            <w:tcBorders>
              <w:top w:val="nil"/>
              <w:left w:val="single" w:sz="4" w:space="0" w:color="auto"/>
              <w:bottom w:val="single" w:sz="4" w:space="0" w:color="auto"/>
              <w:right w:val="single" w:sz="4" w:space="0" w:color="auto"/>
            </w:tcBorders>
            <w:noWrap/>
            <w:vAlign w:val="bottom"/>
            <w:hideMark/>
          </w:tcPr>
          <w:p w14:paraId="4E8F71C2"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2013</w:t>
            </w:r>
          </w:p>
        </w:tc>
        <w:tc>
          <w:tcPr>
            <w:tcW w:w="2423" w:type="dxa"/>
            <w:tcBorders>
              <w:top w:val="nil"/>
              <w:left w:val="nil"/>
              <w:bottom w:val="single" w:sz="4" w:space="0" w:color="auto"/>
              <w:right w:val="single" w:sz="4" w:space="0" w:color="auto"/>
            </w:tcBorders>
            <w:noWrap/>
            <w:vAlign w:val="bottom"/>
            <w:hideMark/>
          </w:tcPr>
          <w:p w14:paraId="700C0108"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696</w:t>
            </w:r>
          </w:p>
        </w:tc>
        <w:tc>
          <w:tcPr>
            <w:tcW w:w="2610" w:type="dxa"/>
            <w:tcBorders>
              <w:top w:val="nil"/>
              <w:left w:val="nil"/>
              <w:bottom w:val="single" w:sz="4" w:space="0" w:color="auto"/>
              <w:right w:val="single" w:sz="4" w:space="0" w:color="auto"/>
            </w:tcBorders>
            <w:noWrap/>
            <w:vAlign w:val="bottom"/>
            <w:hideMark/>
          </w:tcPr>
          <w:p w14:paraId="17907CC8"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26.78</w:t>
            </w:r>
          </w:p>
        </w:tc>
      </w:tr>
      <w:tr w:rsidR="00673AE4" w:rsidRPr="003F0065" w14:paraId="76A23860" w14:textId="77777777" w:rsidTr="00673AE4">
        <w:trPr>
          <w:trHeight w:val="300"/>
        </w:trPr>
        <w:tc>
          <w:tcPr>
            <w:tcW w:w="1802" w:type="dxa"/>
            <w:tcBorders>
              <w:top w:val="nil"/>
              <w:left w:val="single" w:sz="4" w:space="0" w:color="auto"/>
              <w:bottom w:val="single" w:sz="4" w:space="0" w:color="auto"/>
              <w:right w:val="single" w:sz="4" w:space="0" w:color="auto"/>
            </w:tcBorders>
            <w:noWrap/>
            <w:vAlign w:val="bottom"/>
            <w:hideMark/>
          </w:tcPr>
          <w:p w14:paraId="7EAA86EF"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2014</w:t>
            </w:r>
          </w:p>
        </w:tc>
        <w:tc>
          <w:tcPr>
            <w:tcW w:w="2423" w:type="dxa"/>
            <w:tcBorders>
              <w:top w:val="nil"/>
              <w:left w:val="nil"/>
              <w:bottom w:val="single" w:sz="4" w:space="0" w:color="auto"/>
              <w:right w:val="single" w:sz="4" w:space="0" w:color="auto"/>
            </w:tcBorders>
            <w:noWrap/>
            <w:vAlign w:val="bottom"/>
            <w:hideMark/>
          </w:tcPr>
          <w:p w14:paraId="6F0781B9"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788</w:t>
            </w:r>
          </w:p>
        </w:tc>
        <w:tc>
          <w:tcPr>
            <w:tcW w:w="2610" w:type="dxa"/>
            <w:tcBorders>
              <w:top w:val="nil"/>
              <w:left w:val="nil"/>
              <w:bottom w:val="single" w:sz="4" w:space="0" w:color="auto"/>
              <w:right w:val="single" w:sz="4" w:space="0" w:color="auto"/>
            </w:tcBorders>
            <w:noWrap/>
            <w:vAlign w:val="bottom"/>
            <w:hideMark/>
          </w:tcPr>
          <w:p w14:paraId="0E087CA3"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11.68</w:t>
            </w:r>
          </w:p>
        </w:tc>
      </w:tr>
      <w:tr w:rsidR="00673AE4" w:rsidRPr="003F0065" w14:paraId="27E6138C" w14:textId="77777777" w:rsidTr="00673AE4">
        <w:trPr>
          <w:trHeight w:val="300"/>
        </w:trPr>
        <w:tc>
          <w:tcPr>
            <w:tcW w:w="1802" w:type="dxa"/>
            <w:tcBorders>
              <w:top w:val="nil"/>
              <w:left w:val="single" w:sz="4" w:space="0" w:color="auto"/>
              <w:bottom w:val="single" w:sz="4" w:space="0" w:color="auto"/>
              <w:right w:val="single" w:sz="4" w:space="0" w:color="auto"/>
            </w:tcBorders>
            <w:noWrap/>
            <w:vAlign w:val="bottom"/>
            <w:hideMark/>
          </w:tcPr>
          <w:p w14:paraId="4859BFCC"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2015</w:t>
            </w:r>
          </w:p>
        </w:tc>
        <w:tc>
          <w:tcPr>
            <w:tcW w:w="2423" w:type="dxa"/>
            <w:tcBorders>
              <w:top w:val="nil"/>
              <w:left w:val="nil"/>
              <w:bottom w:val="single" w:sz="4" w:space="0" w:color="auto"/>
              <w:right w:val="single" w:sz="4" w:space="0" w:color="auto"/>
            </w:tcBorders>
            <w:noWrap/>
            <w:vAlign w:val="bottom"/>
            <w:hideMark/>
          </w:tcPr>
          <w:p w14:paraId="361FD7F1"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814</w:t>
            </w:r>
          </w:p>
        </w:tc>
        <w:tc>
          <w:tcPr>
            <w:tcW w:w="2610" w:type="dxa"/>
            <w:tcBorders>
              <w:top w:val="nil"/>
              <w:left w:val="nil"/>
              <w:bottom w:val="single" w:sz="4" w:space="0" w:color="auto"/>
              <w:right w:val="single" w:sz="4" w:space="0" w:color="auto"/>
            </w:tcBorders>
            <w:noWrap/>
            <w:vAlign w:val="bottom"/>
            <w:hideMark/>
          </w:tcPr>
          <w:p w14:paraId="7EAC026D"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3.30</w:t>
            </w:r>
          </w:p>
        </w:tc>
      </w:tr>
      <w:tr w:rsidR="00673AE4" w:rsidRPr="003F0065" w14:paraId="2A5910B7" w14:textId="77777777" w:rsidTr="00673AE4">
        <w:trPr>
          <w:trHeight w:val="300"/>
        </w:trPr>
        <w:tc>
          <w:tcPr>
            <w:tcW w:w="1802" w:type="dxa"/>
            <w:tcBorders>
              <w:top w:val="nil"/>
              <w:left w:val="single" w:sz="4" w:space="0" w:color="auto"/>
              <w:bottom w:val="single" w:sz="4" w:space="0" w:color="auto"/>
              <w:right w:val="single" w:sz="4" w:space="0" w:color="auto"/>
            </w:tcBorders>
            <w:noWrap/>
            <w:vAlign w:val="bottom"/>
            <w:hideMark/>
          </w:tcPr>
          <w:p w14:paraId="4088B6C1"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2016</w:t>
            </w:r>
          </w:p>
        </w:tc>
        <w:tc>
          <w:tcPr>
            <w:tcW w:w="2423" w:type="dxa"/>
            <w:tcBorders>
              <w:top w:val="nil"/>
              <w:left w:val="nil"/>
              <w:bottom w:val="single" w:sz="4" w:space="0" w:color="auto"/>
              <w:right w:val="single" w:sz="4" w:space="0" w:color="auto"/>
            </w:tcBorders>
            <w:noWrap/>
            <w:vAlign w:val="bottom"/>
            <w:hideMark/>
          </w:tcPr>
          <w:p w14:paraId="57D7DC3C"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912</w:t>
            </w:r>
          </w:p>
        </w:tc>
        <w:tc>
          <w:tcPr>
            <w:tcW w:w="2610" w:type="dxa"/>
            <w:tcBorders>
              <w:top w:val="nil"/>
              <w:left w:val="nil"/>
              <w:bottom w:val="single" w:sz="4" w:space="0" w:color="auto"/>
              <w:right w:val="single" w:sz="4" w:space="0" w:color="auto"/>
            </w:tcBorders>
            <w:noWrap/>
            <w:vAlign w:val="bottom"/>
            <w:hideMark/>
          </w:tcPr>
          <w:p w14:paraId="0F28C6A3"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12.04</w:t>
            </w:r>
          </w:p>
        </w:tc>
      </w:tr>
      <w:tr w:rsidR="00673AE4" w:rsidRPr="003F0065" w14:paraId="01893B2B" w14:textId="77777777" w:rsidTr="00673AE4">
        <w:trPr>
          <w:trHeight w:val="300"/>
        </w:trPr>
        <w:tc>
          <w:tcPr>
            <w:tcW w:w="1802" w:type="dxa"/>
            <w:tcBorders>
              <w:top w:val="nil"/>
              <w:left w:val="single" w:sz="4" w:space="0" w:color="auto"/>
              <w:bottom w:val="single" w:sz="4" w:space="0" w:color="auto"/>
              <w:right w:val="single" w:sz="4" w:space="0" w:color="auto"/>
            </w:tcBorders>
            <w:noWrap/>
            <w:vAlign w:val="bottom"/>
            <w:hideMark/>
          </w:tcPr>
          <w:p w14:paraId="35E30A7B"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2017</w:t>
            </w:r>
          </w:p>
        </w:tc>
        <w:tc>
          <w:tcPr>
            <w:tcW w:w="2423" w:type="dxa"/>
            <w:tcBorders>
              <w:top w:val="nil"/>
              <w:left w:val="nil"/>
              <w:bottom w:val="single" w:sz="4" w:space="0" w:color="auto"/>
              <w:right w:val="single" w:sz="4" w:space="0" w:color="auto"/>
            </w:tcBorders>
            <w:noWrap/>
            <w:vAlign w:val="bottom"/>
            <w:hideMark/>
          </w:tcPr>
          <w:p w14:paraId="6215EDE5"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1080</w:t>
            </w:r>
          </w:p>
        </w:tc>
        <w:tc>
          <w:tcPr>
            <w:tcW w:w="2610" w:type="dxa"/>
            <w:tcBorders>
              <w:top w:val="nil"/>
              <w:left w:val="nil"/>
              <w:bottom w:val="single" w:sz="4" w:space="0" w:color="auto"/>
              <w:right w:val="single" w:sz="4" w:space="0" w:color="auto"/>
            </w:tcBorders>
            <w:noWrap/>
            <w:vAlign w:val="bottom"/>
            <w:hideMark/>
          </w:tcPr>
          <w:p w14:paraId="7E544287"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18.44</w:t>
            </w:r>
          </w:p>
        </w:tc>
      </w:tr>
      <w:tr w:rsidR="00673AE4" w:rsidRPr="003F0065" w14:paraId="591972DF" w14:textId="77777777" w:rsidTr="00673AE4">
        <w:trPr>
          <w:trHeight w:val="300"/>
        </w:trPr>
        <w:tc>
          <w:tcPr>
            <w:tcW w:w="1802" w:type="dxa"/>
            <w:tcBorders>
              <w:top w:val="nil"/>
              <w:left w:val="single" w:sz="4" w:space="0" w:color="auto"/>
              <w:bottom w:val="single" w:sz="4" w:space="0" w:color="auto"/>
              <w:right w:val="single" w:sz="4" w:space="0" w:color="auto"/>
            </w:tcBorders>
            <w:noWrap/>
            <w:vAlign w:val="bottom"/>
            <w:hideMark/>
          </w:tcPr>
          <w:p w14:paraId="08AF997F"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2018</w:t>
            </w:r>
          </w:p>
        </w:tc>
        <w:tc>
          <w:tcPr>
            <w:tcW w:w="2423" w:type="dxa"/>
            <w:tcBorders>
              <w:top w:val="nil"/>
              <w:left w:val="nil"/>
              <w:bottom w:val="single" w:sz="4" w:space="0" w:color="auto"/>
              <w:right w:val="single" w:sz="4" w:space="0" w:color="auto"/>
            </w:tcBorders>
            <w:noWrap/>
            <w:vAlign w:val="bottom"/>
            <w:hideMark/>
          </w:tcPr>
          <w:p w14:paraId="53A04B71"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1166</w:t>
            </w:r>
          </w:p>
        </w:tc>
        <w:tc>
          <w:tcPr>
            <w:tcW w:w="2610" w:type="dxa"/>
            <w:tcBorders>
              <w:top w:val="nil"/>
              <w:left w:val="nil"/>
              <w:bottom w:val="single" w:sz="4" w:space="0" w:color="auto"/>
              <w:right w:val="single" w:sz="4" w:space="0" w:color="auto"/>
            </w:tcBorders>
            <w:noWrap/>
            <w:vAlign w:val="bottom"/>
            <w:hideMark/>
          </w:tcPr>
          <w:p w14:paraId="477B1D22"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7.99</w:t>
            </w:r>
          </w:p>
        </w:tc>
      </w:tr>
      <w:tr w:rsidR="00673AE4" w:rsidRPr="003F0065" w14:paraId="559536BE" w14:textId="77777777" w:rsidTr="00673AE4">
        <w:trPr>
          <w:trHeight w:val="300"/>
        </w:trPr>
        <w:tc>
          <w:tcPr>
            <w:tcW w:w="1802" w:type="dxa"/>
            <w:tcBorders>
              <w:top w:val="nil"/>
              <w:left w:val="single" w:sz="4" w:space="0" w:color="auto"/>
              <w:bottom w:val="single" w:sz="4" w:space="0" w:color="auto"/>
              <w:right w:val="single" w:sz="4" w:space="0" w:color="auto"/>
            </w:tcBorders>
            <w:noWrap/>
            <w:vAlign w:val="bottom"/>
            <w:hideMark/>
          </w:tcPr>
          <w:p w14:paraId="4058C6D4"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2019</w:t>
            </w:r>
          </w:p>
        </w:tc>
        <w:tc>
          <w:tcPr>
            <w:tcW w:w="2423" w:type="dxa"/>
            <w:tcBorders>
              <w:top w:val="nil"/>
              <w:left w:val="nil"/>
              <w:bottom w:val="single" w:sz="4" w:space="0" w:color="auto"/>
              <w:right w:val="single" w:sz="4" w:space="0" w:color="auto"/>
            </w:tcBorders>
            <w:noWrap/>
            <w:vAlign w:val="bottom"/>
            <w:hideMark/>
          </w:tcPr>
          <w:p w14:paraId="28D0897C"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1298</w:t>
            </w:r>
          </w:p>
        </w:tc>
        <w:tc>
          <w:tcPr>
            <w:tcW w:w="2610" w:type="dxa"/>
            <w:tcBorders>
              <w:top w:val="nil"/>
              <w:left w:val="nil"/>
              <w:bottom w:val="single" w:sz="4" w:space="0" w:color="auto"/>
              <w:right w:val="single" w:sz="4" w:space="0" w:color="auto"/>
            </w:tcBorders>
            <w:noWrap/>
            <w:vAlign w:val="bottom"/>
            <w:hideMark/>
          </w:tcPr>
          <w:p w14:paraId="6337250C"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11.30</w:t>
            </w:r>
          </w:p>
        </w:tc>
      </w:tr>
      <w:tr w:rsidR="00673AE4" w:rsidRPr="003F0065" w14:paraId="29C3F2AF" w14:textId="77777777" w:rsidTr="00673AE4">
        <w:trPr>
          <w:trHeight w:val="300"/>
        </w:trPr>
        <w:tc>
          <w:tcPr>
            <w:tcW w:w="1802" w:type="dxa"/>
            <w:tcBorders>
              <w:top w:val="nil"/>
              <w:left w:val="single" w:sz="4" w:space="0" w:color="auto"/>
              <w:bottom w:val="single" w:sz="4" w:space="0" w:color="auto"/>
              <w:right w:val="single" w:sz="4" w:space="0" w:color="auto"/>
            </w:tcBorders>
            <w:noWrap/>
            <w:vAlign w:val="bottom"/>
            <w:hideMark/>
          </w:tcPr>
          <w:p w14:paraId="5861FAC0"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2020</w:t>
            </w:r>
          </w:p>
        </w:tc>
        <w:tc>
          <w:tcPr>
            <w:tcW w:w="2423" w:type="dxa"/>
            <w:tcBorders>
              <w:top w:val="nil"/>
              <w:left w:val="nil"/>
              <w:bottom w:val="single" w:sz="4" w:space="0" w:color="auto"/>
              <w:right w:val="single" w:sz="4" w:space="0" w:color="auto"/>
            </w:tcBorders>
            <w:noWrap/>
            <w:vAlign w:val="bottom"/>
            <w:hideMark/>
          </w:tcPr>
          <w:p w14:paraId="41DD8EE3"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1399</w:t>
            </w:r>
          </w:p>
        </w:tc>
        <w:tc>
          <w:tcPr>
            <w:tcW w:w="2610" w:type="dxa"/>
            <w:tcBorders>
              <w:top w:val="nil"/>
              <w:left w:val="nil"/>
              <w:bottom w:val="single" w:sz="4" w:space="0" w:color="auto"/>
              <w:right w:val="single" w:sz="4" w:space="0" w:color="auto"/>
            </w:tcBorders>
            <w:noWrap/>
            <w:vAlign w:val="bottom"/>
            <w:hideMark/>
          </w:tcPr>
          <w:p w14:paraId="6BBF6CF5"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7.75</w:t>
            </w:r>
          </w:p>
        </w:tc>
      </w:tr>
      <w:tr w:rsidR="00673AE4" w:rsidRPr="003F0065" w14:paraId="5AE24C62" w14:textId="77777777" w:rsidTr="00673AE4">
        <w:trPr>
          <w:trHeight w:val="300"/>
        </w:trPr>
        <w:tc>
          <w:tcPr>
            <w:tcW w:w="1802" w:type="dxa"/>
            <w:tcBorders>
              <w:top w:val="nil"/>
              <w:left w:val="single" w:sz="4" w:space="0" w:color="auto"/>
              <w:bottom w:val="single" w:sz="4" w:space="0" w:color="auto"/>
              <w:right w:val="single" w:sz="4" w:space="0" w:color="auto"/>
            </w:tcBorders>
            <w:noWrap/>
            <w:vAlign w:val="bottom"/>
            <w:hideMark/>
          </w:tcPr>
          <w:p w14:paraId="5D41EAD4"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2021</w:t>
            </w:r>
          </w:p>
        </w:tc>
        <w:tc>
          <w:tcPr>
            <w:tcW w:w="2423" w:type="dxa"/>
            <w:tcBorders>
              <w:top w:val="nil"/>
              <w:left w:val="nil"/>
              <w:bottom w:val="single" w:sz="4" w:space="0" w:color="auto"/>
              <w:right w:val="single" w:sz="4" w:space="0" w:color="auto"/>
            </w:tcBorders>
            <w:noWrap/>
            <w:vAlign w:val="bottom"/>
            <w:hideMark/>
          </w:tcPr>
          <w:p w14:paraId="44DABD41"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1547</w:t>
            </w:r>
          </w:p>
        </w:tc>
        <w:tc>
          <w:tcPr>
            <w:tcW w:w="2610" w:type="dxa"/>
            <w:tcBorders>
              <w:top w:val="nil"/>
              <w:left w:val="nil"/>
              <w:bottom w:val="single" w:sz="4" w:space="0" w:color="auto"/>
              <w:right w:val="single" w:sz="4" w:space="0" w:color="auto"/>
            </w:tcBorders>
            <w:noWrap/>
            <w:vAlign w:val="bottom"/>
            <w:hideMark/>
          </w:tcPr>
          <w:p w14:paraId="169B3238" w14:textId="77777777" w:rsidR="00673AE4" w:rsidRPr="003F0065" w:rsidRDefault="00673AE4" w:rsidP="00673AE4">
            <w:pPr>
              <w:spacing w:before="0" w:line="240" w:lineRule="auto"/>
              <w:jc w:val="center"/>
              <w:rPr>
                <w:rFonts w:eastAsia="Times New Roman" w:cs="Times New Roman"/>
                <w:szCs w:val="24"/>
              </w:rPr>
            </w:pPr>
            <w:r w:rsidRPr="003F0065">
              <w:rPr>
                <w:rFonts w:eastAsia="Times New Roman" w:cs="Times New Roman"/>
                <w:szCs w:val="24"/>
              </w:rPr>
              <w:t>10.62</w:t>
            </w:r>
          </w:p>
        </w:tc>
      </w:tr>
    </w:tbl>
    <w:p w14:paraId="2CB99BFE" w14:textId="77777777" w:rsidR="00673AE4" w:rsidRDefault="00673AE4" w:rsidP="00673AE4">
      <w:pPr>
        <w:spacing w:before="0" w:line="240" w:lineRule="auto"/>
        <w:jc w:val="center"/>
      </w:pPr>
    </w:p>
    <w:p w14:paraId="12200D21" w14:textId="1B7B53D7" w:rsidR="00BD15A0" w:rsidRPr="00BD15A0" w:rsidRDefault="00BD15A0" w:rsidP="00673AE4">
      <w:pPr>
        <w:spacing w:before="0" w:line="240" w:lineRule="auto"/>
        <w:jc w:val="center"/>
      </w:pPr>
      <w:r>
        <w:t>Table 1</w:t>
      </w:r>
      <w:r w:rsidR="00673AE4">
        <w:t xml:space="preserve">: </w:t>
      </w:r>
      <w:r w:rsidRPr="00BD15A0">
        <w:t xml:space="preserve">Assets Under </w:t>
      </w:r>
      <w:r w:rsidRPr="00CF4F91">
        <w:rPr>
          <w:color w:val="EE0000"/>
        </w:rPr>
        <w:t>Management</w:t>
      </w:r>
      <w:bookmarkEnd w:id="2"/>
      <w:bookmarkEnd w:id="3"/>
      <w:r w:rsidR="00673AE4" w:rsidRPr="00CF4F91">
        <w:rPr>
          <w:color w:val="EE0000"/>
        </w:rPr>
        <w:t xml:space="preserve"> from 2013-2022 in Kenyan Shilling (KSH) (Billion)</w:t>
      </w:r>
    </w:p>
    <w:p w14:paraId="2E889757" w14:textId="77777777" w:rsidR="00673AE4" w:rsidRDefault="00673AE4" w:rsidP="00673AE4">
      <w:pPr>
        <w:spacing w:before="0" w:line="240" w:lineRule="auto"/>
        <w:jc w:val="center"/>
        <w:rPr>
          <w:rFonts w:cs="Times New Roman"/>
          <w:b/>
          <w:szCs w:val="24"/>
        </w:rPr>
      </w:pPr>
    </w:p>
    <w:p w14:paraId="555E282C" w14:textId="77777777" w:rsidR="00673AE4" w:rsidRDefault="00673AE4" w:rsidP="00673AE4">
      <w:pPr>
        <w:spacing w:before="0" w:line="240" w:lineRule="auto"/>
        <w:jc w:val="center"/>
        <w:rPr>
          <w:rFonts w:cs="Times New Roman"/>
          <w:b/>
          <w:szCs w:val="24"/>
        </w:rPr>
      </w:pPr>
    </w:p>
    <w:p w14:paraId="35EDEB88" w14:textId="77777777" w:rsidR="00673AE4" w:rsidRDefault="00673AE4" w:rsidP="00673AE4">
      <w:pPr>
        <w:spacing w:before="0" w:line="240" w:lineRule="auto"/>
        <w:jc w:val="center"/>
        <w:rPr>
          <w:rFonts w:cs="Times New Roman"/>
          <w:b/>
          <w:szCs w:val="24"/>
        </w:rPr>
      </w:pPr>
    </w:p>
    <w:p w14:paraId="390BEAFD" w14:textId="77777777" w:rsidR="00673AE4" w:rsidRDefault="00673AE4" w:rsidP="00673AE4">
      <w:pPr>
        <w:spacing w:before="0" w:line="240" w:lineRule="auto"/>
        <w:jc w:val="center"/>
        <w:rPr>
          <w:rFonts w:cs="Times New Roman"/>
          <w:b/>
          <w:szCs w:val="24"/>
        </w:rPr>
      </w:pPr>
    </w:p>
    <w:p w14:paraId="11A50641" w14:textId="77777777" w:rsidR="00673AE4" w:rsidRDefault="00673AE4" w:rsidP="00673AE4">
      <w:pPr>
        <w:spacing w:before="0" w:line="240" w:lineRule="auto"/>
        <w:jc w:val="center"/>
        <w:rPr>
          <w:rFonts w:cs="Times New Roman"/>
          <w:b/>
          <w:szCs w:val="24"/>
        </w:rPr>
      </w:pPr>
    </w:p>
    <w:p w14:paraId="73C8C6D3" w14:textId="77777777" w:rsidR="00673AE4" w:rsidRDefault="00673AE4" w:rsidP="00673AE4">
      <w:pPr>
        <w:spacing w:before="0" w:line="240" w:lineRule="auto"/>
        <w:jc w:val="center"/>
        <w:rPr>
          <w:rFonts w:cs="Times New Roman"/>
          <w:b/>
          <w:szCs w:val="24"/>
        </w:rPr>
      </w:pPr>
    </w:p>
    <w:p w14:paraId="724A689D" w14:textId="77777777" w:rsidR="00673AE4" w:rsidRDefault="00673AE4" w:rsidP="00673AE4">
      <w:pPr>
        <w:spacing w:before="0" w:line="240" w:lineRule="auto"/>
        <w:jc w:val="center"/>
        <w:rPr>
          <w:rFonts w:cs="Times New Roman"/>
          <w:b/>
          <w:szCs w:val="24"/>
        </w:rPr>
      </w:pPr>
    </w:p>
    <w:p w14:paraId="25007B46" w14:textId="77777777" w:rsidR="00673AE4" w:rsidRDefault="00673AE4" w:rsidP="00673AE4">
      <w:pPr>
        <w:spacing w:before="0" w:line="240" w:lineRule="auto"/>
        <w:jc w:val="center"/>
        <w:rPr>
          <w:rFonts w:cs="Times New Roman"/>
          <w:b/>
          <w:szCs w:val="24"/>
        </w:rPr>
      </w:pPr>
    </w:p>
    <w:p w14:paraId="135B5CE4" w14:textId="77777777" w:rsidR="00673AE4" w:rsidRDefault="00673AE4" w:rsidP="00673AE4">
      <w:pPr>
        <w:spacing w:before="0" w:line="240" w:lineRule="auto"/>
        <w:jc w:val="center"/>
        <w:rPr>
          <w:rFonts w:cs="Times New Roman"/>
          <w:b/>
          <w:szCs w:val="24"/>
        </w:rPr>
      </w:pPr>
    </w:p>
    <w:p w14:paraId="3D9FD722" w14:textId="77777777" w:rsidR="00673AE4" w:rsidRDefault="00673AE4" w:rsidP="00673AE4">
      <w:pPr>
        <w:spacing w:before="0" w:line="240" w:lineRule="auto"/>
        <w:jc w:val="center"/>
        <w:rPr>
          <w:rFonts w:cs="Times New Roman"/>
          <w:b/>
          <w:szCs w:val="24"/>
        </w:rPr>
      </w:pPr>
    </w:p>
    <w:p w14:paraId="6619557B" w14:textId="77777777" w:rsidR="00673AE4" w:rsidRDefault="00673AE4" w:rsidP="00673AE4">
      <w:pPr>
        <w:spacing w:before="0" w:line="240" w:lineRule="auto"/>
        <w:jc w:val="center"/>
        <w:rPr>
          <w:rFonts w:cs="Times New Roman"/>
          <w:b/>
          <w:szCs w:val="24"/>
        </w:rPr>
      </w:pPr>
    </w:p>
    <w:p w14:paraId="674DB7C0" w14:textId="77777777" w:rsidR="00673AE4" w:rsidRDefault="00673AE4" w:rsidP="00673AE4">
      <w:pPr>
        <w:spacing w:before="0" w:line="240" w:lineRule="auto"/>
        <w:jc w:val="center"/>
        <w:rPr>
          <w:rFonts w:cs="Times New Roman"/>
          <w:b/>
          <w:szCs w:val="24"/>
        </w:rPr>
      </w:pPr>
    </w:p>
    <w:p w14:paraId="7C0E48EC" w14:textId="74F1476B" w:rsidR="00673AE4" w:rsidRDefault="00673AE4" w:rsidP="00673AE4">
      <w:pPr>
        <w:spacing w:before="0" w:line="240" w:lineRule="auto"/>
        <w:jc w:val="center"/>
        <w:rPr>
          <w:rFonts w:cs="Times New Roman"/>
          <w:b/>
          <w:szCs w:val="24"/>
        </w:rPr>
      </w:pPr>
      <w:r>
        <w:rPr>
          <w:rFonts w:cs="Times New Roman"/>
          <w:b/>
          <w:szCs w:val="24"/>
        </w:rPr>
        <w:t xml:space="preserve">                              </w:t>
      </w:r>
    </w:p>
    <w:p w14:paraId="27FDC211" w14:textId="79CEEE4D" w:rsidR="00BD15A0" w:rsidRDefault="00673AE4" w:rsidP="00673AE4">
      <w:pPr>
        <w:spacing w:before="0" w:line="240" w:lineRule="auto"/>
        <w:rPr>
          <w:rFonts w:cs="Times New Roman"/>
          <w:b/>
          <w:color w:val="EE0000"/>
          <w:szCs w:val="24"/>
        </w:rPr>
      </w:pPr>
      <w:r>
        <w:rPr>
          <w:rFonts w:cs="Times New Roman"/>
          <w:b/>
          <w:color w:val="EE0000"/>
          <w:szCs w:val="24"/>
        </w:rPr>
        <w:t xml:space="preserve">                                   </w:t>
      </w:r>
      <w:r w:rsidR="00BD15A0" w:rsidRPr="00673AE4">
        <w:rPr>
          <w:rFonts w:cs="Times New Roman"/>
          <w:b/>
          <w:color w:val="EE0000"/>
          <w:szCs w:val="24"/>
        </w:rPr>
        <w:t xml:space="preserve">Source: </w:t>
      </w:r>
      <w:r>
        <w:rPr>
          <w:rFonts w:cs="Times New Roman"/>
          <w:b/>
          <w:color w:val="EE0000"/>
          <w:szCs w:val="24"/>
        </w:rPr>
        <w:t xml:space="preserve">Retirement Benefit Authority (RBA), </w:t>
      </w:r>
      <w:r w:rsidR="00BD15A0" w:rsidRPr="00673AE4">
        <w:rPr>
          <w:rFonts w:cs="Times New Roman"/>
          <w:b/>
          <w:color w:val="EE0000"/>
          <w:szCs w:val="24"/>
        </w:rPr>
        <w:t>(</w:t>
      </w:r>
      <w:r w:rsidRPr="00673AE4">
        <w:rPr>
          <w:rFonts w:cs="Times New Roman"/>
          <w:b/>
          <w:color w:val="EE0000"/>
          <w:szCs w:val="24"/>
        </w:rPr>
        <w:t>2013-</w:t>
      </w:r>
      <w:r w:rsidR="00BD15A0" w:rsidRPr="00673AE4">
        <w:rPr>
          <w:rFonts w:cs="Times New Roman"/>
          <w:b/>
          <w:color w:val="EE0000"/>
          <w:szCs w:val="24"/>
        </w:rPr>
        <w:t>2022)</w:t>
      </w:r>
    </w:p>
    <w:p w14:paraId="03102637" w14:textId="77777777" w:rsidR="00CF4F91" w:rsidRDefault="00CF4F91" w:rsidP="00673AE4">
      <w:pPr>
        <w:spacing w:before="0" w:line="240" w:lineRule="auto"/>
        <w:rPr>
          <w:rFonts w:cs="Times New Roman"/>
          <w:b/>
          <w:color w:val="EE0000"/>
          <w:szCs w:val="24"/>
        </w:rPr>
      </w:pPr>
    </w:p>
    <w:p w14:paraId="3C277293" w14:textId="0CA557C9" w:rsidR="00CF4F91" w:rsidRPr="00CF4F91" w:rsidRDefault="00CF4F91" w:rsidP="00673AE4">
      <w:pPr>
        <w:spacing w:before="0" w:line="240" w:lineRule="auto"/>
        <w:rPr>
          <w:rFonts w:cs="Times New Roman"/>
          <w:bCs/>
          <w:color w:val="EE0000"/>
          <w:szCs w:val="24"/>
        </w:rPr>
      </w:pPr>
      <w:r w:rsidRPr="00CF4F91">
        <w:rPr>
          <w:rFonts w:cs="Times New Roman"/>
          <w:bCs/>
          <w:color w:val="EE0000"/>
          <w:szCs w:val="24"/>
        </w:rPr>
        <w:t>The new</w:t>
      </w:r>
      <w:r w:rsidR="00E91189">
        <w:rPr>
          <w:rFonts w:cs="Times New Roman"/>
          <w:bCs/>
          <w:color w:val="EE0000"/>
          <w:szCs w:val="24"/>
        </w:rPr>
        <w:t xml:space="preserve"> body</w:t>
      </w:r>
      <w:r w:rsidRPr="00CF4F91">
        <w:rPr>
          <w:rFonts w:cs="Times New Roman"/>
          <w:bCs/>
          <w:color w:val="EE0000"/>
          <w:szCs w:val="24"/>
        </w:rPr>
        <w:t xml:space="preserve"> knowledge and contributions of study are…</w:t>
      </w:r>
    </w:p>
    <w:p w14:paraId="7860FC20" w14:textId="23D4A425" w:rsidR="00055D83" w:rsidRDefault="00055D83" w:rsidP="00E5141C">
      <w:pPr>
        <w:spacing w:line="240" w:lineRule="auto"/>
        <w:rPr>
          <w:rFonts w:cs="Times New Roman"/>
          <w:b/>
          <w:bCs/>
          <w:color w:val="000000" w:themeColor="text1"/>
          <w:sz w:val="28"/>
          <w:szCs w:val="28"/>
        </w:rPr>
      </w:pPr>
      <w:r w:rsidRPr="00FB2E0F">
        <w:rPr>
          <w:rFonts w:cs="Times New Roman"/>
          <w:b/>
          <w:bCs/>
          <w:color w:val="000000" w:themeColor="text1"/>
          <w:sz w:val="28"/>
          <w:szCs w:val="28"/>
        </w:rPr>
        <w:t>1.2 Research Objective</w:t>
      </w:r>
      <w:r w:rsidR="009C3313">
        <w:rPr>
          <w:rFonts w:cs="Times New Roman"/>
          <w:b/>
          <w:bCs/>
          <w:color w:val="000000" w:themeColor="text1"/>
          <w:sz w:val="28"/>
          <w:szCs w:val="28"/>
        </w:rPr>
        <w:t>s</w:t>
      </w:r>
    </w:p>
    <w:p w14:paraId="3A006523" w14:textId="15D89F88" w:rsidR="0054398C" w:rsidRPr="00FB2E0F" w:rsidRDefault="00055D83" w:rsidP="0054398C">
      <w:pPr>
        <w:spacing w:line="240" w:lineRule="auto"/>
        <w:rPr>
          <w:rFonts w:cs="Times New Roman"/>
          <w:color w:val="000000" w:themeColor="text1"/>
          <w:szCs w:val="24"/>
        </w:rPr>
      </w:pPr>
      <w:r w:rsidRPr="00FB2E0F">
        <w:rPr>
          <w:rFonts w:cs="Times New Roman"/>
          <w:color w:val="000000" w:themeColor="text1"/>
          <w:szCs w:val="24"/>
        </w:rPr>
        <w:t>This study was guided by the following general objective to:</w:t>
      </w:r>
      <w:r w:rsidR="00784B96" w:rsidRPr="00FB2E0F">
        <w:rPr>
          <w:rFonts w:cs="Times New Roman"/>
          <w:color w:val="000000" w:themeColor="text1"/>
          <w:szCs w:val="24"/>
        </w:rPr>
        <w:t xml:space="preserve"> </w:t>
      </w:r>
      <w:r w:rsidR="0021142D" w:rsidRPr="0021142D">
        <w:rPr>
          <w:rFonts w:cs="Times New Roman"/>
          <w:color w:val="000000" w:themeColor="text1"/>
          <w:szCs w:val="24"/>
        </w:rPr>
        <w:t>decide whether firm characteristics have an impact on the financial performance of pension funds in Kenya</w:t>
      </w:r>
      <w:r w:rsidR="00D54CAA" w:rsidRPr="00D54CAA">
        <w:rPr>
          <w:rFonts w:cs="Times New Roman"/>
          <w:color w:val="000000" w:themeColor="text1"/>
          <w:szCs w:val="24"/>
        </w:rPr>
        <w:t>.</w:t>
      </w:r>
    </w:p>
    <w:p w14:paraId="6B071E8F" w14:textId="77777777" w:rsidR="00E448DE" w:rsidRPr="00FB2E0F" w:rsidRDefault="0054398C" w:rsidP="00F42A52">
      <w:pPr>
        <w:spacing w:line="240" w:lineRule="auto"/>
        <w:rPr>
          <w:rFonts w:cs="Times New Roman"/>
          <w:color w:val="000000" w:themeColor="text1"/>
          <w:szCs w:val="24"/>
        </w:rPr>
      </w:pPr>
      <w:r w:rsidRPr="00FB2E0F">
        <w:rPr>
          <w:rFonts w:cs="Times New Roman"/>
          <w:color w:val="000000" w:themeColor="text1"/>
          <w:szCs w:val="24"/>
        </w:rPr>
        <w:t>Specific Objectives were to;</w:t>
      </w:r>
      <w:r w:rsidR="00784B96" w:rsidRPr="00FB2E0F">
        <w:rPr>
          <w:rFonts w:cs="Times New Roman"/>
          <w:color w:val="000000" w:themeColor="text1"/>
          <w:szCs w:val="24"/>
        </w:rPr>
        <w:t xml:space="preserve"> </w:t>
      </w:r>
    </w:p>
    <w:p w14:paraId="67644D83" w14:textId="77777777" w:rsidR="0021142D" w:rsidRPr="0021142D" w:rsidRDefault="0021142D" w:rsidP="0021142D">
      <w:pPr>
        <w:pStyle w:val="ListParagraph"/>
        <w:numPr>
          <w:ilvl w:val="0"/>
          <w:numId w:val="14"/>
        </w:numPr>
        <w:spacing w:line="240" w:lineRule="auto"/>
        <w:rPr>
          <w:rFonts w:ascii="Times New Roman" w:hAnsi="Times New Roman"/>
          <w:color w:val="000000" w:themeColor="text1"/>
          <w:sz w:val="24"/>
          <w:szCs w:val="32"/>
        </w:rPr>
      </w:pPr>
      <w:r w:rsidRPr="0021142D">
        <w:rPr>
          <w:rFonts w:ascii="Times New Roman" w:hAnsi="Times New Roman"/>
          <w:color w:val="000000" w:themeColor="text1"/>
          <w:sz w:val="24"/>
          <w:szCs w:val="32"/>
        </w:rPr>
        <w:t>To evaluate the impact of fund size on the financial performance of pension funds in Kenya.</w:t>
      </w:r>
    </w:p>
    <w:p w14:paraId="0DFE80CC" w14:textId="77777777" w:rsidR="0021142D" w:rsidRPr="0021142D" w:rsidRDefault="0021142D" w:rsidP="0021142D">
      <w:pPr>
        <w:pStyle w:val="ListParagraph"/>
        <w:numPr>
          <w:ilvl w:val="0"/>
          <w:numId w:val="14"/>
        </w:numPr>
        <w:spacing w:line="240" w:lineRule="auto"/>
        <w:rPr>
          <w:rFonts w:ascii="Times New Roman" w:hAnsi="Times New Roman"/>
          <w:color w:val="000000" w:themeColor="text1"/>
          <w:sz w:val="24"/>
          <w:szCs w:val="32"/>
        </w:rPr>
      </w:pPr>
      <w:r w:rsidRPr="0021142D">
        <w:rPr>
          <w:rFonts w:ascii="Times New Roman" w:hAnsi="Times New Roman"/>
          <w:color w:val="000000" w:themeColor="text1"/>
          <w:sz w:val="24"/>
          <w:szCs w:val="32"/>
        </w:rPr>
        <w:t xml:space="preserve">To establish the effect of fund design on the financial performance of pension funds in Kenya. </w:t>
      </w:r>
    </w:p>
    <w:p w14:paraId="779FBC4A" w14:textId="29D90305" w:rsidR="0021142D" w:rsidRPr="0021142D" w:rsidRDefault="0021142D" w:rsidP="0021142D">
      <w:pPr>
        <w:pStyle w:val="ListParagraph"/>
        <w:numPr>
          <w:ilvl w:val="0"/>
          <w:numId w:val="14"/>
        </w:numPr>
        <w:spacing w:line="240" w:lineRule="auto"/>
        <w:rPr>
          <w:rFonts w:ascii="Times New Roman" w:hAnsi="Times New Roman"/>
          <w:color w:val="000000" w:themeColor="text1"/>
          <w:sz w:val="24"/>
          <w:szCs w:val="32"/>
        </w:rPr>
      </w:pPr>
      <w:r w:rsidRPr="0021142D">
        <w:rPr>
          <w:rFonts w:ascii="Times New Roman" w:hAnsi="Times New Roman"/>
          <w:color w:val="000000" w:themeColor="text1"/>
          <w:sz w:val="24"/>
          <w:szCs w:val="32"/>
        </w:rPr>
        <w:t xml:space="preserve">To </w:t>
      </w:r>
      <w:r w:rsidR="00CF4F91">
        <w:rPr>
          <w:rFonts w:ascii="Times New Roman" w:hAnsi="Times New Roman"/>
          <w:color w:val="000000" w:themeColor="text1"/>
          <w:sz w:val="24"/>
          <w:szCs w:val="32"/>
        </w:rPr>
        <w:t>determine</w:t>
      </w:r>
      <w:r w:rsidRPr="0021142D">
        <w:rPr>
          <w:rFonts w:ascii="Times New Roman" w:hAnsi="Times New Roman"/>
          <w:color w:val="000000" w:themeColor="text1"/>
          <w:sz w:val="24"/>
          <w:szCs w:val="32"/>
        </w:rPr>
        <w:t xml:space="preserve"> the impact of portfolio mix on the financial performance of pension funds in Kenya. </w:t>
      </w:r>
    </w:p>
    <w:p w14:paraId="46076D33" w14:textId="004D3847" w:rsidR="0021142D" w:rsidRPr="0021142D" w:rsidRDefault="0021142D" w:rsidP="0021142D">
      <w:pPr>
        <w:pStyle w:val="ListParagraph"/>
        <w:numPr>
          <w:ilvl w:val="0"/>
          <w:numId w:val="14"/>
        </w:numPr>
        <w:spacing w:line="240" w:lineRule="auto"/>
        <w:rPr>
          <w:rFonts w:ascii="Times New Roman" w:hAnsi="Times New Roman"/>
          <w:color w:val="000000" w:themeColor="text1"/>
          <w:sz w:val="24"/>
          <w:szCs w:val="32"/>
        </w:rPr>
      </w:pPr>
      <w:r w:rsidRPr="0021142D">
        <w:rPr>
          <w:rFonts w:ascii="Times New Roman" w:hAnsi="Times New Roman"/>
          <w:color w:val="000000" w:themeColor="text1"/>
          <w:sz w:val="24"/>
          <w:szCs w:val="32"/>
        </w:rPr>
        <w:t xml:space="preserve">To </w:t>
      </w:r>
      <w:r w:rsidR="00CF4F91">
        <w:rPr>
          <w:rFonts w:ascii="Times New Roman" w:hAnsi="Times New Roman"/>
          <w:color w:val="000000" w:themeColor="text1"/>
          <w:sz w:val="24"/>
          <w:szCs w:val="32"/>
        </w:rPr>
        <w:t>investigate</w:t>
      </w:r>
      <w:r w:rsidRPr="0021142D">
        <w:rPr>
          <w:rFonts w:ascii="Times New Roman" w:hAnsi="Times New Roman"/>
          <w:color w:val="000000" w:themeColor="text1"/>
          <w:sz w:val="24"/>
          <w:szCs w:val="32"/>
        </w:rPr>
        <w:t xml:space="preserve"> the influence of membership age on the financial performance of pension funds in Kenya.</w:t>
      </w:r>
    </w:p>
    <w:p w14:paraId="296CC6CA" w14:textId="25F5235B" w:rsidR="00D54CAA" w:rsidRPr="00D54CAA" w:rsidRDefault="0021142D" w:rsidP="0021142D">
      <w:pPr>
        <w:pStyle w:val="ListParagraph"/>
        <w:numPr>
          <w:ilvl w:val="0"/>
          <w:numId w:val="14"/>
        </w:numPr>
        <w:spacing w:line="240" w:lineRule="auto"/>
        <w:rPr>
          <w:rFonts w:ascii="Times New Roman" w:hAnsi="Times New Roman"/>
          <w:color w:val="000000" w:themeColor="text1"/>
          <w:sz w:val="24"/>
          <w:szCs w:val="32"/>
        </w:rPr>
      </w:pPr>
      <w:r w:rsidRPr="0021142D">
        <w:rPr>
          <w:rFonts w:ascii="Times New Roman" w:hAnsi="Times New Roman"/>
          <w:color w:val="000000" w:themeColor="text1"/>
          <w:sz w:val="24"/>
          <w:szCs w:val="32"/>
        </w:rPr>
        <w:t>To find out the moderating effect of regulation on the relationship between firm characteristics and financial performance of pension funds in Kenya</w:t>
      </w:r>
      <w:r w:rsidR="00D54CAA" w:rsidRPr="00D54CAA">
        <w:rPr>
          <w:rFonts w:ascii="Times New Roman" w:hAnsi="Times New Roman"/>
          <w:color w:val="000000" w:themeColor="text1"/>
          <w:sz w:val="24"/>
          <w:szCs w:val="32"/>
        </w:rPr>
        <w:t>.</w:t>
      </w:r>
    </w:p>
    <w:p w14:paraId="0F9E32C0" w14:textId="77777777" w:rsidR="00010C66" w:rsidRDefault="00010C66" w:rsidP="001450C8">
      <w:pPr>
        <w:spacing w:line="240" w:lineRule="auto"/>
        <w:rPr>
          <w:rFonts w:eastAsia="Times New Roman" w:cs="Times New Roman"/>
          <w:b/>
          <w:bCs/>
          <w:color w:val="000000" w:themeColor="text1"/>
          <w:sz w:val="28"/>
          <w:szCs w:val="28"/>
        </w:rPr>
      </w:pPr>
    </w:p>
    <w:p w14:paraId="01018E4B" w14:textId="77777777" w:rsidR="00010C66" w:rsidRDefault="00010C66" w:rsidP="001450C8">
      <w:pPr>
        <w:spacing w:line="240" w:lineRule="auto"/>
        <w:rPr>
          <w:rFonts w:eastAsia="Times New Roman" w:cs="Times New Roman"/>
          <w:b/>
          <w:bCs/>
          <w:color w:val="000000" w:themeColor="text1"/>
          <w:sz w:val="28"/>
          <w:szCs w:val="28"/>
        </w:rPr>
      </w:pPr>
    </w:p>
    <w:p w14:paraId="06BA9B23" w14:textId="430DBC67" w:rsidR="001450C8" w:rsidRPr="00FB2E0F" w:rsidRDefault="00055D83" w:rsidP="001450C8">
      <w:pPr>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 xml:space="preserve">1.3 </w:t>
      </w:r>
      <w:r w:rsidR="00F00D01" w:rsidRPr="00FB2E0F">
        <w:rPr>
          <w:rFonts w:eastAsia="Times New Roman" w:cs="Times New Roman"/>
          <w:b/>
          <w:bCs/>
          <w:color w:val="000000" w:themeColor="text1"/>
          <w:sz w:val="28"/>
          <w:szCs w:val="28"/>
        </w:rPr>
        <w:t xml:space="preserve">Research </w:t>
      </w:r>
      <w:r w:rsidR="00750F50">
        <w:rPr>
          <w:rFonts w:eastAsia="Times New Roman" w:cs="Times New Roman"/>
          <w:b/>
          <w:bCs/>
          <w:color w:val="000000" w:themeColor="text1"/>
          <w:sz w:val="28"/>
          <w:szCs w:val="28"/>
        </w:rPr>
        <w:t>Hypothesis</w:t>
      </w:r>
    </w:p>
    <w:p w14:paraId="0E3A51F1" w14:textId="77777777" w:rsidR="00750F50" w:rsidRPr="00750F50" w:rsidRDefault="00750F50" w:rsidP="00750F50">
      <w:pPr>
        <w:shd w:val="clear" w:color="auto" w:fill="FFFFFF"/>
        <w:spacing w:line="240" w:lineRule="auto"/>
        <w:rPr>
          <w:rFonts w:cs="Times New Roman"/>
          <w:color w:val="auto"/>
          <w:kern w:val="2"/>
          <w:szCs w:val="24"/>
        </w:rPr>
      </w:pPr>
      <w:r w:rsidRPr="00750F50">
        <w:rPr>
          <w:rFonts w:cs="Times New Roman"/>
          <w:color w:val="auto"/>
          <w:kern w:val="2"/>
          <w:szCs w:val="24"/>
        </w:rPr>
        <w:t>The study tested the following Hypothesis:</w:t>
      </w:r>
    </w:p>
    <w:p w14:paraId="6E664FA2" w14:textId="4766B082" w:rsidR="00750F50" w:rsidRPr="00750F50" w:rsidRDefault="00750F50" w:rsidP="00750F50">
      <w:pPr>
        <w:shd w:val="clear" w:color="auto" w:fill="FFFFFF"/>
        <w:spacing w:line="240" w:lineRule="auto"/>
        <w:rPr>
          <w:rFonts w:cs="Times New Roman"/>
          <w:color w:val="auto"/>
          <w:kern w:val="2"/>
          <w:szCs w:val="24"/>
        </w:rPr>
      </w:pPr>
      <w:r w:rsidRPr="00750F50">
        <w:rPr>
          <w:rFonts w:cs="Times New Roman"/>
          <w:color w:val="auto"/>
          <w:kern w:val="2"/>
          <w:szCs w:val="24"/>
        </w:rPr>
        <w:t>H_</w:t>
      </w:r>
      <w:r w:rsidR="00010C66">
        <w:rPr>
          <w:rFonts w:cs="Times New Roman"/>
          <w:color w:val="auto"/>
          <w:kern w:val="2"/>
          <w:szCs w:val="24"/>
        </w:rPr>
        <w:t>1</w:t>
      </w:r>
      <w:r w:rsidRPr="00750F50">
        <w:rPr>
          <w:rFonts w:cs="Times New Roman"/>
          <w:color w:val="auto"/>
          <w:kern w:val="2"/>
          <w:szCs w:val="24"/>
        </w:rPr>
        <w:t xml:space="preserve">- Fund size has </w:t>
      </w:r>
      <w:r w:rsidRPr="00010C66">
        <w:rPr>
          <w:rFonts w:cs="Times New Roman"/>
          <w:strike/>
          <w:color w:val="EE0000"/>
          <w:kern w:val="2"/>
          <w:szCs w:val="24"/>
        </w:rPr>
        <w:t>no</w:t>
      </w:r>
      <w:r w:rsidRPr="00750F50">
        <w:rPr>
          <w:rFonts w:cs="Times New Roman"/>
          <w:color w:val="auto"/>
          <w:kern w:val="2"/>
          <w:szCs w:val="24"/>
        </w:rPr>
        <w:t xml:space="preserve"> significant relationship with the financial performance of pension funds in Kenya</w:t>
      </w:r>
    </w:p>
    <w:p w14:paraId="6609E5D2" w14:textId="77EB17AA" w:rsidR="00750F50" w:rsidRPr="00750F50" w:rsidRDefault="00750F50" w:rsidP="00750F50">
      <w:pPr>
        <w:shd w:val="clear" w:color="auto" w:fill="FFFFFF"/>
        <w:spacing w:line="240" w:lineRule="auto"/>
        <w:rPr>
          <w:rFonts w:cs="Times New Roman"/>
          <w:color w:val="auto"/>
          <w:kern w:val="2"/>
          <w:szCs w:val="24"/>
        </w:rPr>
      </w:pPr>
      <w:r w:rsidRPr="00750F50">
        <w:rPr>
          <w:rFonts w:cs="Times New Roman"/>
          <w:color w:val="auto"/>
          <w:kern w:val="2"/>
          <w:szCs w:val="24"/>
        </w:rPr>
        <w:t>H_</w:t>
      </w:r>
      <w:r w:rsidR="00010C66">
        <w:rPr>
          <w:rFonts w:cs="Times New Roman"/>
          <w:color w:val="auto"/>
          <w:kern w:val="2"/>
          <w:szCs w:val="24"/>
        </w:rPr>
        <w:t>1</w:t>
      </w:r>
      <w:r w:rsidRPr="00750F50">
        <w:rPr>
          <w:rFonts w:cs="Times New Roman"/>
          <w:color w:val="auto"/>
          <w:kern w:val="2"/>
          <w:szCs w:val="24"/>
        </w:rPr>
        <w:t xml:space="preserve">- Fund design has </w:t>
      </w:r>
      <w:r w:rsidRPr="00010C66">
        <w:rPr>
          <w:rFonts w:cs="Times New Roman"/>
          <w:strike/>
          <w:color w:val="EE0000"/>
          <w:kern w:val="2"/>
          <w:szCs w:val="24"/>
        </w:rPr>
        <w:t>no</w:t>
      </w:r>
      <w:r w:rsidRPr="00750F50">
        <w:rPr>
          <w:rFonts w:cs="Times New Roman"/>
          <w:color w:val="auto"/>
          <w:kern w:val="2"/>
          <w:szCs w:val="24"/>
        </w:rPr>
        <w:t xml:space="preserve"> significant relationship with the financial performance of pension funds in Kenya</w:t>
      </w:r>
    </w:p>
    <w:p w14:paraId="24C29FC1" w14:textId="4CBACDEA" w:rsidR="00750F50" w:rsidRPr="00750F50" w:rsidRDefault="00750F50" w:rsidP="00750F50">
      <w:pPr>
        <w:shd w:val="clear" w:color="auto" w:fill="FFFFFF"/>
        <w:spacing w:line="240" w:lineRule="auto"/>
        <w:rPr>
          <w:rFonts w:cs="Times New Roman"/>
          <w:color w:val="auto"/>
          <w:kern w:val="2"/>
          <w:szCs w:val="24"/>
        </w:rPr>
      </w:pPr>
      <w:r w:rsidRPr="00750F50">
        <w:rPr>
          <w:rFonts w:cs="Times New Roman"/>
          <w:color w:val="auto"/>
          <w:kern w:val="2"/>
          <w:szCs w:val="24"/>
        </w:rPr>
        <w:t>H_</w:t>
      </w:r>
      <w:r w:rsidR="00010C66">
        <w:rPr>
          <w:rFonts w:cs="Times New Roman"/>
          <w:color w:val="auto"/>
          <w:kern w:val="2"/>
          <w:szCs w:val="24"/>
        </w:rPr>
        <w:t>1</w:t>
      </w:r>
      <w:r w:rsidRPr="00750F50">
        <w:rPr>
          <w:rFonts w:cs="Times New Roman"/>
          <w:color w:val="auto"/>
          <w:kern w:val="2"/>
          <w:szCs w:val="24"/>
        </w:rPr>
        <w:t xml:space="preserve">- Portfolio mix has </w:t>
      </w:r>
      <w:r w:rsidRPr="00010C66">
        <w:rPr>
          <w:rFonts w:cs="Times New Roman"/>
          <w:strike/>
          <w:color w:val="EE0000"/>
          <w:kern w:val="2"/>
          <w:szCs w:val="24"/>
        </w:rPr>
        <w:t>no</w:t>
      </w:r>
      <w:r w:rsidRPr="00750F50">
        <w:rPr>
          <w:rFonts w:cs="Times New Roman"/>
          <w:color w:val="auto"/>
          <w:kern w:val="2"/>
          <w:szCs w:val="24"/>
        </w:rPr>
        <w:t xml:space="preserve"> significant relationship with the financial performance of pension funds in Kenya</w:t>
      </w:r>
    </w:p>
    <w:p w14:paraId="59776942" w14:textId="7FF36861" w:rsidR="00750F50" w:rsidRPr="00750F50" w:rsidRDefault="00750F50" w:rsidP="00750F50">
      <w:pPr>
        <w:shd w:val="clear" w:color="auto" w:fill="FFFFFF"/>
        <w:spacing w:line="240" w:lineRule="auto"/>
        <w:rPr>
          <w:rFonts w:cs="Times New Roman"/>
          <w:color w:val="auto"/>
          <w:kern w:val="2"/>
          <w:szCs w:val="24"/>
        </w:rPr>
      </w:pPr>
      <w:r w:rsidRPr="00750F50">
        <w:rPr>
          <w:rFonts w:cs="Times New Roman"/>
          <w:color w:val="auto"/>
          <w:kern w:val="2"/>
          <w:szCs w:val="24"/>
        </w:rPr>
        <w:t>H_</w:t>
      </w:r>
      <w:r w:rsidR="00010C66">
        <w:rPr>
          <w:rFonts w:cs="Times New Roman"/>
          <w:color w:val="auto"/>
          <w:kern w:val="2"/>
          <w:szCs w:val="24"/>
        </w:rPr>
        <w:t>1</w:t>
      </w:r>
      <w:r w:rsidRPr="00750F50">
        <w:rPr>
          <w:rFonts w:cs="Times New Roman"/>
          <w:color w:val="auto"/>
          <w:kern w:val="2"/>
          <w:szCs w:val="24"/>
        </w:rPr>
        <w:t xml:space="preserve">- Membership age has </w:t>
      </w:r>
      <w:r w:rsidRPr="00010C66">
        <w:rPr>
          <w:rFonts w:cs="Times New Roman"/>
          <w:strike/>
          <w:color w:val="EE0000"/>
          <w:kern w:val="2"/>
          <w:szCs w:val="24"/>
        </w:rPr>
        <w:t>no</w:t>
      </w:r>
      <w:r w:rsidRPr="00750F50">
        <w:rPr>
          <w:rFonts w:cs="Times New Roman"/>
          <w:color w:val="auto"/>
          <w:kern w:val="2"/>
          <w:szCs w:val="24"/>
        </w:rPr>
        <w:t xml:space="preserve"> significant relationship with the financial performance of pension funds in Kenya.</w:t>
      </w:r>
    </w:p>
    <w:p w14:paraId="00423E9D" w14:textId="2DCF4C2D" w:rsidR="00750F50" w:rsidRDefault="00750F50" w:rsidP="00750F50">
      <w:pPr>
        <w:shd w:val="clear" w:color="auto" w:fill="FFFFFF"/>
        <w:spacing w:line="240" w:lineRule="auto"/>
        <w:rPr>
          <w:rFonts w:cs="Times New Roman"/>
          <w:color w:val="auto"/>
          <w:kern w:val="2"/>
          <w:szCs w:val="24"/>
        </w:rPr>
      </w:pPr>
      <w:r w:rsidRPr="00750F50">
        <w:rPr>
          <w:rFonts w:cs="Times New Roman"/>
          <w:color w:val="auto"/>
          <w:kern w:val="2"/>
          <w:szCs w:val="24"/>
        </w:rPr>
        <w:t>H_</w:t>
      </w:r>
      <w:r w:rsidR="00010C66">
        <w:rPr>
          <w:rFonts w:cs="Times New Roman"/>
          <w:color w:val="auto"/>
          <w:kern w:val="2"/>
          <w:szCs w:val="24"/>
        </w:rPr>
        <w:t>1</w:t>
      </w:r>
      <w:r w:rsidRPr="00750F50">
        <w:rPr>
          <w:rFonts w:cs="Times New Roman"/>
          <w:color w:val="auto"/>
          <w:kern w:val="2"/>
          <w:szCs w:val="24"/>
        </w:rPr>
        <w:t xml:space="preserve">- Regulation does </w:t>
      </w:r>
      <w:r w:rsidRPr="00010C66">
        <w:rPr>
          <w:rFonts w:cs="Times New Roman"/>
          <w:strike/>
          <w:color w:val="EE0000"/>
          <w:kern w:val="2"/>
          <w:szCs w:val="24"/>
        </w:rPr>
        <w:t xml:space="preserve">not </w:t>
      </w:r>
      <w:r w:rsidRPr="00750F50">
        <w:rPr>
          <w:rFonts w:cs="Times New Roman"/>
          <w:color w:val="auto"/>
          <w:kern w:val="2"/>
          <w:szCs w:val="24"/>
        </w:rPr>
        <w:t>significantly moderate the relationship between company firm characteristics and the financial performance of pension systems in Kenya</w:t>
      </w:r>
    </w:p>
    <w:p w14:paraId="35FF4706" w14:textId="6CBBEB64" w:rsidR="00055D83" w:rsidRDefault="00055D83" w:rsidP="00750F50">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1.4 Justification of the Study</w:t>
      </w:r>
    </w:p>
    <w:p w14:paraId="2837B674" w14:textId="77777777" w:rsidR="00010C66" w:rsidRDefault="00010C66" w:rsidP="00AD0959">
      <w:pPr>
        <w:autoSpaceDE w:val="0"/>
        <w:autoSpaceDN w:val="0"/>
        <w:adjustRightInd w:val="0"/>
        <w:spacing w:before="0" w:after="240" w:line="240" w:lineRule="auto"/>
        <w:rPr>
          <w:color w:val="000000" w:themeColor="text1"/>
          <w:szCs w:val="24"/>
        </w:rPr>
      </w:pPr>
    </w:p>
    <w:p w14:paraId="2F66289A" w14:textId="027D9E8A" w:rsidR="003E0D69" w:rsidRPr="00FB2E0F" w:rsidRDefault="00750F50" w:rsidP="00AD0959">
      <w:pPr>
        <w:autoSpaceDE w:val="0"/>
        <w:autoSpaceDN w:val="0"/>
        <w:adjustRightInd w:val="0"/>
        <w:spacing w:before="0" w:after="240" w:line="240" w:lineRule="auto"/>
        <w:rPr>
          <w:color w:val="000000" w:themeColor="text1"/>
          <w:szCs w:val="24"/>
        </w:rPr>
      </w:pPr>
      <w:r w:rsidRPr="00750F50">
        <w:rPr>
          <w:color w:val="000000" w:themeColor="text1"/>
          <w:szCs w:val="24"/>
        </w:rPr>
        <w:t>This study provides valuable insights into the relationship between firm characteristics and the financial performance of pension funds in Kenya. The findings are relevant to regulators, policymakers, and practitioners, as pension fund performance directly influences national economic stability. Regulators will benefit by understanding how prudential standards designed to minimize credit and liquidity risks affect fund outcomes, while policymakers</w:t>
      </w:r>
      <w:r w:rsidR="00806DB8">
        <w:rPr>
          <w:color w:val="000000" w:themeColor="text1"/>
          <w:szCs w:val="24"/>
        </w:rPr>
        <w:t xml:space="preserve"> </w:t>
      </w:r>
      <w:r w:rsidRPr="00750F50">
        <w:rPr>
          <w:color w:val="000000" w:themeColor="text1"/>
          <w:szCs w:val="24"/>
        </w:rPr>
        <w:t>both in government and the private sector</w:t>
      </w:r>
      <w:r w:rsidR="00806DB8">
        <w:rPr>
          <w:color w:val="000000" w:themeColor="text1"/>
          <w:szCs w:val="24"/>
        </w:rPr>
        <w:t xml:space="preserve"> </w:t>
      </w:r>
      <w:r w:rsidRPr="00750F50">
        <w:rPr>
          <w:color w:val="000000" w:themeColor="text1"/>
          <w:szCs w:val="24"/>
        </w:rPr>
        <w:t>can use the evidence to craft more effective policies. Pension scheme managers will gain practical guidance on performance-related factors within their control, enabling more informed decision-making and improved fund management. Additionally, the research contributes to the broader academic discourse on pension management, offering a foundation for future studies and highlighting new areas of inquiry. The results are especially valuable to pension schemes and stakeholders in Kenya seeking to enhance profitability, sustainability, and overall efficiency in the sector</w:t>
      </w:r>
      <w:r w:rsidR="00D54CAA" w:rsidRPr="00D54CAA">
        <w:rPr>
          <w:color w:val="000000" w:themeColor="text1"/>
          <w:szCs w:val="24"/>
        </w:rPr>
        <w:t>.</w:t>
      </w:r>
    </w:p>
    <w:p w14:paraId="0B892AC5" w14:textId="29BE698D" w:rsidR="00AE4AA5" w:rsidRPr="00FB2E0F" w:rsidRDefault="00AE4AA5" w:rsidP="00AE4AA5">
      <w:pPr>
        <w:rPr>
          <w:rFonts w:cs="Times New Roman"/>
          <w:b/>
          <w:bCs/>
          <w:color w:val="000000" w:themeColor="text1"/>
          <w:sz w:val="28"/>
          <w:szCs w:val="24"/>
        </w:rPr>
      </w:pPr>
      <w:r w:rsidRPr="00FB2E0F">
        <w:rPr>
          <w:rFonts w:cs="Times New Roman"/>
          <w:b/>
          <w:bCs/>
          <w:color w:val="000000" w:themeColor="text1"/>
          <w:sz w:val="28"/>
          <w:szCs w:val="24"/>
        </w:rPr>
        <w:t xml:space="preserve">1.5 </w:t>
      </w:r>
      <w:r w:rsidR="00D54CAA" w:rsidRPr="00D54CAA">
        <w:rPr>
          <w:rFonts w:cs="Times New Roman"/>
          <w:b/>
          <w:bCs/>
          <w:color w:val="000000" w:themeColor="text1"/>
          <w:sz w:val="28"/>
          <w:szCs w:val="24"/>
        </w:rPr>
        <w:t>Limitations of the Study</w:t>
      </w:r>
    </w:p>
    <w:p w14:paraId="01448711" w14:textId="543A687E" w:rsidR="001E21F0" w:rsidRPr="00FB2E0F" w:rsidRDefault="00750F50" w:rsidP="00AE4AA5">
      <w:pPr>
        <w:spacing w:before="0" w:line="240" w:lineRule="auto"/>
        <w:rPr>
          <w:rFonts w:cs="Times New Roman"/>
          <w:color w:val="000000" w:themeColor="text1"/>
        </w:rPr>
      </w:pPr>
      <w:r w:rsidRPr="00750F50">
        <w:rPr>
          <w:rFonts w:cs="Times New Roman"/>
          <w:color w:val="000000" w:themeColor="text1"/>
          <w:lang w:val="en-GB"/>
        </w:rPr>
        <w:t>The study was constrained by incomplete data from many pension schemes, which heightened the risk of error bias. To address this, a probabilistic sampling technique was employed, ensuring inclusion of schemes with consistent and reliable disclosures. The research examined four key variables presumed to influence pension scheme performance in Kenya. While some determinants, such as administrative quality, lie within managerial control, others</w:t>
      </w:r>
      <w:r w:rsidR="00806DB8">
        <w:rPr>
          <w:rFonts w:cs="Times New Roman"/>
          <w:color w:val="000000" w:themeColor="text1"/>
          <w:lang w:val="en-GB"/>
        </w:rPr>
        <w:t xml:space="preserve"> </w:t>
      </w:r>
      <w:r w:rsidRPr="00750F50">
        <w:rPr>
          <w:rFonts w:cs="Times New Roman"/>
          <w:color w:val="000000" w:themeColor="text1"/>
          <w:lang w:val="en-GB"/>
        </w:rPr>
        <w:t>including unemployment levels and political instability</w:t>
      </w:r>
      <w:r w:rsidR="00806DB8">
        <w:rPr>
          <w:rFonts w:cs="Times New Roman"/>
          <w:color w:val="000000" w:themeColor="text1"/>
          <w:lang w:val="en-GB"/>
        </w:rPr>
        <w:t xml:space="preserve"> </w:t>
      </w:r>
      <w:r w:rsidRPr="00750F50">
        <w:rPr>
          <w:rFonts w:cs="Times New Roman"/>
          <w:color w:val="000000" w:themeColor="text1"/>
          <w:lang w:val="en-GB"/>
        </w:rPr>
        <w:t>remain external, yet significantly affect operational outcomes and financial performance</w:t>
      </w:r>
      <w:r w:rsidR="003E0D69" w:rsidRPr="00FB2E0F">
        <w:rPr>
          <w:rFonts w:cs="Times New Roman"/>
          <w:color w:val="000000" w:themeColor="text1"/>
          <w:lang w:val="en-GB"/>
        </w:rPr>
        <w:t>.</w:t>
      </w:r>
      <w:r w:rsidR="001E21F0" w:rsidRPr="00FB2E0F">
        <w:rPr>
          <w:rFonts w:cs="Times New Roman"/>
          <w:color w:val="000000" w:themeColor="text1"/>
        </w:rPr>
        <w:br w:type="page"/>
      </w:r>
    </w:p>
    <w:p w14:paraId="60555E06" w14:textId="2D326474" w:rsidR="00055D83" w:rsidRPr="00FB2E0F"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FB2E0F">
        <w:rPr>
          <w:rFonts w:ascii="Times New Roman" w:hAnsi="Times New Roman"/>
          <w:b/>
          <w:color w:val="000000" w:themeColor="text1"/>
          <w:sz w:val="28"/>
          <w:szCs w:val="28"/>
          <w:lang w:val="en-GB"/>
        </w:rPr>
        <w:lastRenderedPageBreak/>
        <w:t xml:space="preserve">2.0 LITERATURE REVIEW  </w:t>
      </w:r>
    </w:p>
    <w:p w14:paraId="56FCEE52" w14:textId="5B6469AC" w:rsidR="000D1B44" w:rsidRPr="000D1B44" w:rsidRDefault="00A07C3D" w:rsidP="000D1B44">
      <w:pPr>
        <w:spacing w:before="0" w:after="160" w:line="259" w:lineRule="auto"/>
        <w:rPr>
          <w:rFonts w:cs="Times New Roman"/>
          <w:b/>
          <w:i/>
          <w:iCs/>
          <w:color w:val="000000" w:themeColor="text1"/>
          <w:kern w:val="2"/>
          <w:szCs w:val="24"/>
          <w:lang w:val="en-GB"/>
        </w:rPr>
      </w:pPr>
      <w:r>
        <w:rPr>
          <w:rFonts w:cs="Times New Roman"/>
          <w:b/>
          <w:i/>
          <w:iCs/>
          <w:color w:val="000000" w:themeColor="text1"/>
          <w:kern w:val="2"/>
          <w:szCs w:val="24"/>
          <w:lang w:val="en-GB"/>
        </w:rPr>
        <w:t xml:space="preserve">2.1. </w:t>
      </w:r>
      <w:r w:rsidR="000D1B44" w:rsidRPr="000D1B44">
        <w:rPr>
          <w:rFonts w:cs="Times New Roman"/>
          <w:b/>
          <w:i/>
          <w:iCs/>
          <w:color w:val="000000" w:themeColor="text1"/>
          <w:kern w:val="2"/>
          <w:szCs w:val="24"/>
          <w:lang w:val="en-GB"/>
        </w:rPr>
        <w:t>Theoretical Review</w:t>
      </w:r>
    </w:p>
    <w:p w14:paraId="7011BDF5" w14:textId="77777777" w:rsidR="00421E84" w:rsidRPr="00421E84" w:rsidRDefault="00421E84" w:rsidP="00421E84">
      <w:pPr>
        <w:spacing w:before="0" w:after="160" w:line="259" w:lineRule="auto"/>
        <w:rPr>
          <w:rFonts w:cs="Times New Roman"/>
          <w:bCs/>
          <w:color w:val="000000" w:themeColor="text1"/>
          <w:kern w:val="2"/>
          <w:szCs w:val="24"/>
          <w:lang w:val="en-GB"/>
        </w:rPr>
      </w:pPr>
      <w:r w:rsidRPr="00421E84">
        <w:rPr>
          <w:rFonts w:cs="Times New Roman"/>
          <w:bCs/>
          <w:color w:val="000000" w:themeColor="text1"/>
          <w:kern w:val="2"/>
          <w:szCs w:val="24"/>
          <w:lang w:val="en-GB"/>
        </w:rPr>
        <w:t>This study draws on key theoretical perspectives to explain the relationship between firm characteristics and the financial performance of pension funds in Kenya. Specifically, the Stakeholder Theory, Agency Theory, and Theory of Constraints provide a conceptual foundation for examining how pension fund managers and contributors interact to influence financial outcomes.</w:t>
      </w:r>
    </w:p>
    <w:p w14:paraId="75A25022" w14:textId="04AEF74B" w:rsidR="00421E84" w:rsidRPr="00421E84" w:rsidRDefault="00421E84" w:rsidP="00421E84">
      <w:pPr>
        <w:spacing w:before="0" w:after="160" w:line="259" w:lineRule="auto"/>
        <w:rPr>
          <w:rFonts w:cs="Times New Roman"/>
          <w:bCs/>
          <w:color w:val="000000" w:themeColor="text1"/>
          <w:kern w:val="2"/>
          <w:szCs w:val="24"/>
          <w:lang w:val="en-GB"/>
        </w:rPr>
      </w:pPr>
      <w:r w:rsidRPr="00421E84">
        <w:rPr>
          <w:rFonts w:cs="Times New Roman"/>
          <w:bCs/>
          <w:color w:val="000000" w:themeColor="text1"/>
          <w:kern w:val="2"/>
          <w:szCs w:val="24"/>
          <w:lang w:val="en-GB"/>
        </w:rPr>
        <w:t>Stakeholder Theory, introduced by Freeman (1994), emphasizes that organizations operate within a network of stakeholders, including shareholders, employees, suppliers, financiers, customers, and the community. The theory argues that firms must address the needs of these stakeholders to ensure sustainability. However, the theory has been critiqued for insufficiently distinguishing between internal and external stakeholders (Key, 1999). To address this, Post, Preston, and Sachs (2002) proposed a three-layer model of stakeholder relations</w:t>
      </w:r>
      <w:r w:rsidR="00806DB8">
        <w:rPr>
          <w:rFonts w:cs="Times New Roman"/>
          <w:bCs/>
          <w:color w:val="000000" w:themeColor="text1"/>
          <w:kern w:val="2"/>
          <w:szCs w:val="24"/>
          <w:lang w:val="en-GB"/>
        </w:rPr>
        <w:t xml:space="preserve"> </w:t>
      </w:r>
      <w:r w:rsidRPr="00421E84">
        <w:rPr>
          <w:rFonts w:cs="Times New Roman"/>
          <w:bCs/>
          <w:color w:val="000000" w:themeColor="text1"/>
          <w:kern w:val="2"/>
          <w:szCs w:val="24"/>
          <w:lang w:val="en-GB"/>
        </w:rPr>
        <w:t>resource base, industrial structure, and socio-political environment</w:t>
      </w:r>
      <w:r w:rsidR="00806DB8">
        <w:rPr>
          <w:rFonts w:cs="Times New Roman"/>
          <w:bCs/>
          <w:color w:val="000000" w:themeColor="text1"/>
          <w:kern w:val="2"/>
          <w:szCs w:val="24"/>
          <w:lang w:val="en-GB"/>
        </w:rPr>
        <w:t xml:space="preserve"> </w:t>
      </w:r>
      <w:r w:rsidRPr="00421E84">
        <w:rPr>
          <w:rFonts w:cs="Times New Roman"/>
          <w:bCs/>
          <w:color w:val="000000" w:themeColor="text1"/>
          <w:kern w:val="2"/>
          <w:szCs w:val="24"/>
          <w:lang w:val="en-GB"/>
        </w:rPr>
        <w:t xml:space="preserve">providing a clearer framework for </w:t>
      </w:r>
      <w:proofErr w:type="spellStart"/>
      <w:r w:rsidRPr="00421E84">
        <w:rPr>
          <w:rFonts w:cs="Times New Roman"/>
          <w:bCs/>
          <w:color w:val="000000" w:themeColor="text1"/>
          <w:kern w:val="2"/>
          <w:szCs w:val="24"/>
          <w:lang w:val="en-GB"/>
        </w:rPr>
        <w:t>analyzing</w:t>
      </w:r>
      <w:proofErr w:type="spellEnd"/>
      <w:r w:rsidRPr="00421E84">
        <w:rPr>
          <w:rFonts w:cs="Times New Roman"/>
          <w:bCs/>
          <w:color w:val="000000" w:themeColor="text1"/>
          <w:kern w:val="2"/>
          <w:szCs w:val="24"/>
          <w:lang w:val="en-GB"/>
        </w:rPr>
        <w:t xml:space="preserve"> stakeholder interactions (Carroll &amp; Buchholtz, 2006). In the pension fund context, the most critical stakeholders are fund managers and contributors, as fund performance directly affects retirement savings decisions and confidence in Pension Fund Administrators (PFAs) (Ajibade, 2022).</w:t>
      </w:r>
    </w:p>
    <w:p w14:paraId="02F093E3" w14:textId="77777777" w:rsidR="00421E84" w:rsidRPr="00421E84" w:rsidRDefault="00421E84" w:rsidP="00421E84">
      <w:pPr>
        <w:spacing w:before="0" w:after="160" w:line="259" w:lineRule="auto"/>
        <w:rPr>
          <w:rFonts w:cs="Times New Roman"/>
          <w:bCs/>
          <w:color w:val="000000" w:themeColor="text1"/>
          <w:kern w:val="2"/>
          <w:szCs w:val="24"/>
          <w:lang w:val="en-GB"/>
        </w:rPr>
      </w:pPr>
      <w:r w:rsidRPr="00421E84">
        <w:rPr>
          <w:rFonts w:cs="Times New Roman"/>
          <w:bCs/>
          <w:color w:val="000000" w:themeColor="text1"/>
          <w:kern w:val="2"/>
          <w:szCs w:val="24"/>
          <w:lang w:val="en-GB"/>
        </w:rPr>
        <w:t xml:space="preserve">Agency Theory, originally developed by </w:t>
      </w:r>
      <w:proofErr w:type="spellStart"/>
      <w:r w:rsidRPr="00421E84">
        <w:rPr>
          <w:rFonts w:cs="Times New Roman"/>
          <w:bCs/>
          <w:color w:val="000000" w:themeColor="text1"/>
          <w:kern w:val="2"/>
          <w:szCs w:val="24"/>
          <w:lang w:val="en-GB"/>
        </w:rPr>
        <w:t>Alchian</w:t>
      </w:r>
      <w:proofErr w:type="spellEnd"/>
      <w:r w:rsidRPr="00421E84">
        <w:rPr>
          <w:rFonts w:cs="Times New Roman"/>
          <w:bCs/>
          <w:color w:val="000000" w:themeColor="text1"/>
          <w:kern w:val="2"/>
          <w:szCs w:val="24"/>
          <w:lang w:val="en-GB"/>
        </w:rPr>
        <w:t xml:space="preserve"> and </w:t>
      </w:r>
      <w:proofErr w:type="spellStart"/>
      <w:r w:rsidRPr="00421E84">
        <w:rPr>
          <w:rFonts w:cs="Times New Roman"/>
          <w:bCs/>
          <w:color w:val="000000" w:themeColor="text1"/>
          <w:kern w:val="2"/>
          <w:szCs w:val="24"/>
          <w:lang w:val="en-GB"/>
        </w:rPr>
        <w:t>Demsetz</w:t>
      </w:r>
      <w:proofErr w:type="spellEnd"/>
      <w:r w:rsidRPr="00421E84">
        <w:rPr>
          <w:rFonts w:cs="Times New Roman"/>
          <w:bCs/>
          <w:color w:val="000000" w:themeColor="text1"/>
          <w:kern w:val="2"/>
          <w:szCs w:val="24"/>
          <w:lang w:val="en-GB"/>
        </w:rPr>
        <w:t xml:space="preserve"> (1972) and expanded by Jensen and Meckling (1976), conceptualizes the relationship between principals and agents. Principals delegate decision-making authority to agents, who may act in their own self-interest, creating a conflict of interest. Mechanisms such as incentives and monitoring are used to align interests, though they incur agency costs. Van Essen (2011) emphasized that ownership structures significantly influence firm strategy and performance, while Roe (1991) argued that political and legal contexts historically shaped ownership-control divisions in the U.S. In this study, contributors to pension schemes act as principals, while pension fund managers serve as agents. Their competence and integrity are crucial, as fund managers’ investment decisions directly determine financial performance outcomes.</w:t>
      </w:r>
    </w:p>
    <w:p w14:paraId="6C213BBC" w14:textId="707B474D" w:rsidR="00B449E1" w:rsidRPr="000D1B44" w:rsidRDefault="00421E84" w:rsidP="00421E84">
      <w:pPr>
        <w:spacing w:before="0" w:after="160" w:line="259" w:lineRule="auto"/>
        <w:rPr>
          <w:rFonts w:cs="Times New Roman"/>
          <w:bCs/>
          <w:color w:val="000000" w:themeColor="text1"/>
          <w:szCs w:val="24"/>
        </w:rPr>
      </w:pPr>
      <w:r w:rsidRPr="00421E84">
        <w:rPr>
          <w:rFonts w:cs="Times New Roman"/>
          <w:bCs/>
          <w:color w:val="000000" w:themeColor="text1"/>
          <w:kern w:val="2"/>
          <w:szCs w:val="24"/>
          <w:lang w:val="en-GB"/>
        </w:rPr>
        <w:t>The Theory of Constraints (TOC), developed by Goldratt in the early 1980s, views organizational performance as being limited by key bottlenecks. The theory emphasizes identifying and addressing these constraints to optimize overall system performance (IMA, 1999). Although initially applied to production scheduling, TOC has since been extended to a variety of organizational contexts. In pension fund management, effective handling of members’ contributions is critical. Fund administrators must overcome constraints such as limited investment opportunities, regulatory requirements, or overreliance on low-risk government securities. Optimizing resource allocation and designing sound investment strategies are therefore central to enhancing fund performance (Rosenthall &amp; Horn, 2013).</w:t>
      </w:r>
      <w:r>
        <w:rPr>
          <w:rFonts w:cs="Times New Roman"/>
          <w:bCs/>
          <w:color w:val="000000" w:themeColor="text1"/>
          <w:kern w:val="2"/>
          <w:szCs w:val="24"/>
          <w:lang w:val="en-GB"/>
        </w:rPr>
        <w:t xml:space="preserve"> </w:t>
      </w:r>
      <w:r w:rsidRPr="00421E84">
        <w:rPr>
          <w:rFonts w:cs="Times New Roman"/>
          <w:bCs/>
          <w:color w:val="000000" w:themeColor="text1"/>
          <w:kern w:val="2"/>
          <w:szCs w:val="24"/>
          <w:lang w:val="en-GB"/>
        </w:rPr>
        <w:t xml:space="preserve">Taken together, these theories provide a comprehensive lens for </w:t>
      </w:r>
      <w:proofErr w:type="spellStart"/>
      <w:r w:rsidRPr="00421E84">
        <w:rPr>
          <w:rFonts w:cs="Times New Roman"/>
          <w:bCs/>
          <w:color w:val="000000" w:themeColor="text1"/>
          <w:kern w:val="2"/>
          <w:szCs w:val="24"/>
          <w:lang w:val="en-GB"/>
        </w:rPr>
        <w:t>analyzing</w:t>
      </w:r>
      <w:proofErr w:type="spellEnd"/>
      <w:r w:rsidRPr="00421E84">
        <w:rPr>
          <w:rFonts w:cs="Times New Roman"/>
          <w:bCs/>
          <w:color w:val="000000" w:themeColor="text1"/>
          <w:kern w:val="2"/>
          <w:szCs w:val="24"/>
          <w:lang w:val="en-GB"/>
        </w:rPr>
        <w:t xml:space="preserve"> the financial performance of pension funds in Kenya. Stakeholder Theory underscores the importance of balancing diverse interests, Agency Theory highlights the role of governance and accountability, while TOC stresses the need to identify and manage operational constraints. Their integration enables a deeper understanding of how firm characteristics shape pension fund outcomes</w:t>
      </w:r>
      <w:r w:rsidR="000D1B44" w:rsidRPr="000D1B44">
        <w:rPr>
          <w:rFonts w:cs="Times New Roman"/>
          <w:bCs/>
          <w:color w:val="000000" w:themeColor="text1"/>
          <w:kern w:val="2"/>
          <w:szCs w:val="24"/>
          <w:lang w:val="en-GB"/>
        </w:rPr>
        <w:t>.</w:t>
      </w:r>
    </w:p>
    <w:p w14:paraId="0236764D" w14:textId="04543A73" w:rsidR="0025635B" w:rsidRPr="00FB2E0F" w:rsidRDefault="00E0554F" w:rsidP="0025635B">
      <w:pPr>
        <w:spacing w:before="0" w:after="160" w:line="259" w:lineRule="auto"/>
        <w:rPr>
          <w:rFonts w:cs="Times New Roman"/>
          <w:b/>
          <w:bCs/>
          <w:color w:val="000000" w:themeColor="text1"/>
          <w:sz w:val="28"/>
          <w:szCs w:val="28"/>
        </w:rPr>
      </w:pPr>
      <w:r w:rsidRPr="00FB2E0F">
        <w:rPr>
          <w:rFonts w:cs="Times New Roman"/>
          <w:b/>
          <w:bCs/>
          <w:color w:val="000000" w:themeColor="text1"/>
          <w:sz w:val="28"/>
          <w:szCs w:val="28"/>
        </w:rPr>
        <w:t>2.</w:t>
      </w:r>
      <w:r w:rsidR="00A07C3D">
        <w:rPr>
          <w:rFonts w:cs="Times New Roman"/>
          <w:b/>
          <w:bCs/>
          <w:color w:val="000000" w:themeColor="text1"/>
          <w:sz w:val="28"/>
          <w:szCs w:val="28"/>
        </w:rPr>
        <w:t>2</w:t>
      </w:r>
      <w:r w:rsidRPr="00FB2E0F">
        <w:rPr>
          <w:rFonts w:cs="Times New Roman"/>
          <w:b/>
          <w:bCs/>
          <w:color w:val="000000" w:themeColor="text1"/>
          <w:sz w:val="28"/>
          <w:szCs w:val="28"/>
        </w:rPr>
        <w:t xml:space="preserve"> </w:t>
      </w:r>
      <w:r w:rsidR="00CB6E82" w:rsidRPr="00FB2E0F">
        <w:rPr>
          <w:rFonts w:cs="Times New Roman"/>
          <w:b/>
          <w:bCs/>
          <w:color w:val="000000" w:themeColor="text1"/>
          <w:sz w:val="28"/>
          <w:szCs w:val="28"/>
        </w:rPr>
        <w:t xml:space="preserve">Empirical </w:t>
      </w:r>
      <w:r w:rsidR="00CF4F91">
        <w:rPr>
          <w:rFonts w:cs="Times New Roman"/>
          <w:b/>
          <w:bCs/>
          <w:color w:val="000000" w:themeColor="text1"/>
          <w:sz w:val="28"/>
          <w:szCs w:val="28"/>
        </w:rPr>
        <w:t xml:space="preserve">Study </w:t>
      </w:r>
      <w:r w:rsidR="00CB6E82" w:rsidRPr="00FB2E0F">
        <w:rPr>
          <w:rFonts w:cs="Times New Roman"/>
          <w:b/>
          <w:bCs/>
          <w:color w:val="000000" w:themeColor="text1"/>
          <w:sz w:val="28"/>
          <w:szCs w:val="28"/>
        </w:rPr>
        <w:t>Review</w:t>
      </w:r>
    </w:p>
    <w:p w14:paraId="0BBDC226" w14:textId="77777777"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 xml:space="preserve">The relationship between fund size and financial performance has been a dominant theme in pension research. Ondieki (2022) examined retirement schemes in Kenya between 2009 and 2017, establishing that scheme size exerted a substantial influence on returns. Using a descriptive research design, the study emphasized the role of operational efficiency in maximizing returns and recommended further investigation into the impact of global crises on fund size and financial competence. Similarly, Waweru (2021) confirmed that larger pension funds significantly </w:t>
      </w:r>
      <w:r w:rsidRPr="00BD1ED4">
        <w:rPr>
          <w:rFonts w:cs="Times New Roman"/>
          <w:bCs/>
          <w:iCs/>
          <w:color w:val="000000" w:themeColor="text1"/>
          <w:szCs w:val="24"/>
        </w:rPr>
        <w:lastRenderedPageBreak/>
        <w:t>outperformed smaller ones between 2016 and 2020, attributing this advantage to their stronger bargaining power and ability to secure favorable investment agreements.</w:t>
      </w:r>
    </w:p>
    <w:p w14:paraId="3BD3099F" w14:textId="12E8D3AC"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 xml:space="preserve">Complementary evidence from </w:t>
      </w:r>
      <w:proofErr w:type="spellStart"/>
      <w:r w:rsidRPr="00BD1ED4">
        <w:rPr>
          <w:rFonts w:cs="Times New Roman"/>
          <w:bCs/>
          <w:iCs/>
          <w:color w:val="000000" w:themeColor="text1"/>
          <w:szCs w:val="24"/>
        </w:rPr>
        <w:t>Ichingwa</w:t>
      </w:r>
      <w:proofErr w:type="spellEnd"/>
      <w:r w:rsidRPr="00BD1ED4">
        <w:rPr>
          <w:rFonts w:cs="Times New Roman"/>
          <w:bCs/>
          <w:iCs/>
          <w:color w:val="000000" w:themeColor="text1"/>
          <w:szCs w:val="24"/>
        </w:rPr>
        <w:t xml:space="preserve"> and </w:t>
      </w:r>
      <w:proofErr w:type="spellStart"/>
      <w:r w:rsidRPr="00BD1ED4">
        <w:rPr>
          <w:rFonts w:cs="Times New Roman"/>
          <w:bCs/>
          <w:iCs/>
          <w:color w:val="000000" w:themeColor="text1"/>
          <w:szCs w:val="24"/>
        </w:rPr>
        <w:t>Mbithi</w:t>
      </w:r>
      <w:proofErr w:type="spellEnd"/>
      <w:r w:rsidRPr="00BD1ED4">
        <w:rPr>
          <w:rFonts w:cs="Times New Roman"/>
          <w:bCs/>
          <w:iCs/>
          <w:color w:val="000000" w:themeColor="text1"/>
          <w:szCs w:val="24"/>
        </w:rPr>
        <w:t xml:space="preserve"> (2017) revealed that aggregate contributions</w:t>
      </w:r>
      <w:r w:rsidR="00806DB8">
        <w:rPr>
          <w:rFonts w:cs="Times New Roman"/>
          <w:bCs/>
          <w:iCs/>
          <w:color w:val="000000" w:themeColor="text1"/>
          <w:szCs w:val="24"/>
        </w:rPr>
        <w:t xml:space="preserve"> </w:t>
      </w:r>
      <w:r w:rsidRPr="00BD1ED4">
        <w:rPr>
          <w:rFonts w:cs="Times New Roman"/>
          <w:bCs/>
          <w:iCs/>
          <w:color w:val="000000" w:themeColor="text1"/>
          <w:szCs w:val="24"/>
        </w:rPr>
        <w:t>an indicator of fund size</w:t>
      </w:r>
      <w:r w:rsidR="00806DB8">
        <w:rPr>
          <w:rFonts w:cs="Times New Roman"/>
          <w:bCs/>
          <w:iCs/>
          <w:color w:val="000000" w:themeColor="text1"/>
          <w:szCs w:val="24"/>
        </w:rPr>
        <w:t xml:space="preserve"> </w:t>
      </w:r>
      <w:r w:rsidRPr="00BD1ED4">
        <w:rPr>
          <w:rFonts w:cs="Times New Roman"/>
          <w:bCs/>
          <w:iCs/>
          <w:color w:val="000000" w:themeColor="text1"/>
          <w:szCs w:val="24"/>
        </w:rPr>
        <w:t xml:space="preserve">positively and significantly influenced pension schemes’ financial performance. The study advised pension schemes to increase membership and contributions to enhance financial outcomes. Research beyond Kenya provides similar insights. </w:t>
      </w:r>
      <w:proofErr w:type="spellStart"/>
      <w:r w:rsidRPr="00BD1ED4">
        <w:rPr>
          <w:rFonts w:cs="Times New Roman"/>
          <w:bCs/>
          <w:iCs/>
          <w:color w:val="000000" w:themeColor="text1"/>
          <w:szCs w:val="24"/>
        </w:rPr>
        <w:t>Adekoya</w:t>
      </w:r>
      <w:proofErr w:type="spellEnd"/>
      <w:r w:rsidRPr="00BD1ED4">
        <w:rPr>
          <w:rFonts w:cs="Times New Roman"/>
          <w:bCs/>
          <w:iCs/>
          <w:color w:val="000000" w:themeColor="text1"/>
          <w:szCs w:val="24"/>
        </w:rPr>
        <w:t xml:space="preserve">, </w:t>
      </w:r>
      <w:proofErr w:type="spellStart"/>
      <w:r w:rsidRPr="00BD1ED4">
        <w:rPr>
          <w:rFonts w:cs="Times New Roman"/>
          <w:bCs/>
          <w:iCs/>
          <w:color w:val="000000" w:themeColor="text1"/>
          <w:szCs w:val="24"/>
        </w:rPr>
        <w:t>Nwaobia</w:t>
      </w:r>
      <w:proofErr w:type="spellEnd"/>
      <w:r w:rsidRPr="00BD1ED4">
        <w:rPr>
          <w:rFonts w:cs="Times New Roman"/>
          <w:bCs/>
          <w:iCs/>
          <w:color w:val="000000" w:themeColor="text1"/>
          <w:szCs w:val="24"/>
        </w:rPr>
        <w:t xml:space="preserve">, and </w:t>
      </w:r>
      <w:proofErr w:type="spellStart"/>
      <w:r w:rsidRPr="00BD1ED4">
        <w:rPr>
          <w:rFonts w:cs="Times New Roman"/>
          <w:bCs/>
          <w:iCs/>
          <w:color w:val="000000" w:themeColor="text1"/>
          <w:szCs w:val="24"/>
        </w:rPr>
        <w:t>Siyanbola</w:t>
      </w:r>
      <w:proofErr w:type="spellEnd"/>
      <w:r w:rsidRPr="00BD1ED4">
        <w:rPr>
          <w:rFonts w:cs="Times New Roman"/>
          <w:bCs/>
          <w:iCs/>
          <w:color w:val="000000" w:themeColor="text1"/>
          <w:szCs w:val="24"/>
        </w:rPr>
        <w:t xml:space="preserve"> (2022), analyzing Nigerian pension funds between 2011 and 2020, found that while individual firm characteristics had insignificant effects on net asset value, their combined influence was positive and significant. The study highlighted asset size, marketing strategies, and governance experience as critical factors in enhancing performance.</w:t>
      </w:r>
    </w:p>
    <w:p w14:paraId="62DE3942" w14:textId="77777777"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Oyoo (2020) further demonstrated that in Kenya, larger pension funds had a significant performance edge due to their capacity to make substantial stock market investments. However, he observed that fund size did not affect operational efficiency, suggesting that scale primarily influences investment opportunities rather than internal processes. Collectively, these studies underscore that fund size enhances financial performance through economies of scale, improved investment options, and better negotiation power, though operational efficiency may depend on other factors.</w:t>
      </w:r>
    </w:p>
    <w:p w14:paraId="71C594B4" w14:textId="77777777"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 xml:space="preserve">The structure of pension schemes is also pivotal in shaping financial outcomes. </w:t>
      </w:r>
      <w:proofErr w:type="spellStart"/>
      <w:r w:rsidRPr="00BD1ED4">
        <w:rPr>
          <w:rFonts w:cs="Times New Roman"/>
          <w:bCs/>
          <w:iCs/>
          <w:color w:val="000000" w:themeColor="text1"/>
          <w:szCs w:val="24"/>
        </w:rPr>
        <w:t>Ondieki</w:t>
      </w:r>
      <w:proofErr w:type="spellEnd"/>
      <w:r w:rsidRPr="00BD1ED4">
        <w:rPr>
          <w:rFonts w:cs="Times New Roman"/>
          <w:bCs/>
          <w:iCs/>
          <w:color w:val="000000" w:themeColor="text1"/>
          <w:szCs w:val="24"/>
        </w:rPr>
        <w:t xml:space="preserve"> (2022) and </w:t>
      </w:r>
      <w:proofErr w:type="spellStart"/>
      <w:r w:rsidRPr="00BD1ED4">
        <w:rPr>
          <w:rFonts w:cs="Times New Roman"/>
          <w:bCs/>
          <w:iCs/>
          <w:color w:val="000000" w:themeColor="text1"/>
          <w:szCs w:val="24"/>
        </w:rPr>
        <w:t>Okeiga</w:t>
      </w:r>
      <w:proofErr w:type="spellEnd"/>
      <w:r w:rsidRPr="00BD1ED4">
        <w:rPr>
          <w:rFonts w:cs="Times New Roman"/>
          <w:bCs/>
          <w:iCs/>
          <w:color w:val="000000" w:themeColor="text1"/>
          <w:szCs w:val="24"/>
        </w:rPr>
        <w:t xml:space="preserve"> (2015) examined the influence of defined benefit (DB) and defined contribution (DC) schemes. Their findings suggested that DC plans generally outperform DB plans, as contributions from members reduce costs to sponsoring firms and provide incentives for long-term retention. While </w:t>
      </w:r>
      <w:proofErr w:type="spellStart"/>
      <w:r w:rsidRPr="00BD1ED4">
        <w:rPr>
          <w:rFonts w:cs="Times New Roman"/>
          <w:bCs/>
          <w:iCs/>
          <w:color w:val="000000" w:themeColor="text1"/>
          <w:szCs w:val="24"/>
        </w:rPr>
        <w:t>Okeiga</w:t>
      </w:r>
      <w:proofErr w:type="spellEnd"/>
      <w:r w:rsidRPr="00BD1ED4">
        <w:rPr>
          <w:rFonts w:cs="Times New Roman"/>
          <w:bCs/>
          <w:iCs/>
          <w:color w:val="000000" w:themeColor="text1"/>
          <w:szCs w:val="24"/>
        </w:rPr>
        <w:t xml:space="preserve"> (2015) demonstrated that DC plans encouraged employees to remain longer in service, DB plans often motivated earlier retirement.</w:t>
      </w:r>
    </w:p>
    <w:p w14:paraId="114A22DB" w14:textId="059320BC"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International perspectives reinforce this shift. Tonks (2005) and Brady (2009) documented the global transition from DB to DC plans as organizations sought to minimize risks and reduce operating costs. Under DC schemes, contributions are jointly made by employers and employees, with returns determined largely by market dynamics. This structure aligns with employers’ desire to transfer risk while encouraging employees to secure their post-retirement well-being.</w:t>
      </w:r>
      <w:r>
        <w:rPr>
          <w:rFonts w:cs="Times New Roman"/>
          <w:bCs/>
          <w:iCs/>
          <w:color w:val="000000" w:themeColor="text1"/>
          <w:szCs w:val="24"/>
        </w:rPr>
        <w:t xml:space="preserve"> </w:t>
      </w:r>
      <w:r w:rsidRPr="00BD1ED4">
        <w:rPr>
          <w:rFonts w:cs="Times New Roman"/>
          <w:bCs/>
          <w:iCs/>
          <w:color w:val="000000" w:themeColor="text1"/>
          <w:szCs w:val="24"/>
        </w:rPr>
        <w:t xml:space="preserve">In Kenya, the Retirement Benefits Authority (RBA, 2014) recognized both DB and DC frameworks, but the sector has rapidly transitioned toward DC schemes, particularly occupational retirement plans. However, as Rutledge and </w:t>
      </w:r>
      <w:proofErr w:type="spellStart"/>
      <w:r w:rsidRPr="00BD1ED4">
        <w:rPr>
          <w:rFonts w:cs="Times New Roman"/>
          <w:bCs/>
          <w:iCs/>
          <w:color w:val="000000" w:themeColor="text1"/>
          <w:szCs w:val="24"/>
        </w:rPr>
        <w:t>Penglase</w:t>
      </w:r>
      <w:proofErr w:type="spellEnd"/>
      <w:r w:rsidRPr="00BD1ED4">
        <w:rPr>
          <w:rFonts w:cs="Times New Roman"/>
          <w:bCs/>
          <w:iCs/>
          <w:color w:val="000000" w:themeColor="text1"/>
          <w:szCs w:val="24"/>
        </w:rPr>
        <w:t xml:space="preserve"> (2014) observed, participation remains uneven: higher-income earners are more likely to engage in pension schemes than their lower-income counterparts. Despite this, evidence on how scheme design directly influences the financial performance of funds remains limited, with most studies focusing on participation and retirement incentives rather than investment outcomes.</w:t>
      </w:r>
    </w:p>
    <w:p w14:paraId="4BD5E7CF" w14:textId="77777777"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 xml:space="preserve">Asset allocation remains a central determinant of pension fund performance. </w:t>
      </w:r>
      <w:proofErr w:type="spellStart"/>
      <w:r w:rsidRPr="00BD1ED4">
        <w:rPr>
          <w:rFonts w:cs="Times New Roman"/>
          <w:bCs/>
          <w:iCs/>
          <w:color w:val="000000" w:themeColor="text1"/>
          <w:szCs w:val="24"/>
        </w:rPr>
        <w:t>Namusonge</w:t>
      </w:r>
      <w:proofErr w:type="spellEnd"/>
      <w:r w:rsidRPr="00BD1ED4">
        <w:rPr>
          <w:rFonts w:cs="Times New Roman"/>
          <w:bCs/>
          <w:iCs/>
          <w:color w:val="000000" w:themeColor="text1"/>
          <w:szCs w:val="24"/>
        </w:rPr>
        <w:t xml:space="preserve"> and </w:t>
      </w:r>
      <w:proofErr w:type="spellStart"/>
      <w:r w:rsidRPr="00BD1ED4">
        <w:rPr>
          <w:rFonts w:cs="Times New Roman"/>
          <w:bCs/>
          <w:iCs/>
          <w:color w:val="000000" w:themeColor="text1"/>
          <w:szCs w:val="24"/>
        </w:rPr>
        <w:t>Gathogo</w:t>
      </w:r>
      <w:proofErr w:type="spellEnd"/>
      <w:r w:rsidRPr="00BD1ED4">
        <w:rPr>
          <w:rFonts w:cs="Times New Roman"/>
          <w:bCs/>
          <w:iCs/>
          <w:color w:val="000000" w:themeColor="text1"/>
          <w:szCs w:val="24"/>
        </w:rPr>
        <w:t xml:space="preserve"> (2017) found that portfolio mix explained 66.1% of the variation in financial outcomes among Kenyan pension schemes, underlining the critical role of investment structure in ensuring sustainability. Waweru (2021) corroborated these findings, showing that diversified portfolios enhanced pension fund performance between 2016 and 2020.</w:t>
      </w:r>
    </w:p>
    <w:p w14:paraId="7D9DD33F" w14:textId="3239AEF4"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Other scholars echo these conclusions. Njeru, Njeru, and Kasomi (2015) revealed that pension funds’ financial performance is shaped by investment flexibility and nondiscretionary decisions imposed on fund managers. Similarly, Chirchir (2007) and Nyakundi (2014) established a positive association between resource allocation and financial returns, emphasizing the importance of asset allocation strategies in delivering superior results.</w:t>
      </w:r>
      <w:r>
        <w:rPr>
          <w:rFonts w:cs="Times New Roman"/>
          <w:bCs/>
          <w:iCs/>
          <w:color w:val="000000" w:themeColor="text1"/>
          <w:szCs w:val="24"/>
        </w:rPr>
        <w:t xml:space="preserve"> </w:t>
      </w:r>
      <w:r w:rsidRPr="00BD1ED4">
        <w:rPr>
          <w:rFonts w:cs="Times New Roman"/>
          <w:bCs/>
          <w:iCs/>
          <w:color w:val="000000" w:themeColor="text1"/>
          <w:szCs w:val="24"/>
        </w:rPr>
        <w:t>These findings align with modern portfolio theory, which advocates for diversification as a means of minimizing risk and enhancing returns. However, few studies directly explore how fund managers’ investment decision-making processes mediate the link between asset mix and performance. This remains a critical gap in pension research, particularly in developing economies where market structures may limit diversification options.</w:t>
      </w:r>
    </w:p>
    <w:p w14:paraId="71652013" w14:textId="15BB1FEB"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lastRenderedPageBreak/>
        <w:t>Membership demographics, particularly age composition, significantly affect pension funds’ performance. Lungu (2019) argued that younger membership bases provide higher contribution flows, enabling funds to pursue expansive investment strategies and generate higher earnings. In contrast, funds with older members allocate more resources to benefit payouts, limiting investable surpluses and reducing returns.</w:t>
      </w:r>
      <w:r>
        <w:rPr>
          <w:rFonts w:cs="Times New Roman"/>
          <w:bCs/>
          <w:iCs/>
          <w:color w:val="000000" w:themeColor="text1"/>
          <w:szCs w:val="24"/>
        </w:rPr>
        <w:t xml:space="preserve"> </w:t>
      </w:r>
      <w:r w:rsidRPr="00BD1ED4">
        <w:rPr>
          <w:rFonts w:cs="Times New Roman"/>
          <w:bCs/>
          <w:iCs/>
          <w:color w:val="000000" w:themeColor="text1"/>
          <w:szCs w:val="24"/>
        </w:rPr>
        <w:t>Defau and De Moor (2018) supported this view, noting that pension strategies account for participant age profiles, with younger active members contributing more heavily to financial asset growth than retired or dormant ones. Similarly, Lucas and Zeldes (2019), analyzing data from U.S. states and municipalities, found that scheme maturity influenced equity investment strategies, as funds sought to minimize exposure to high-risk assets when members approached retirement.</w:t>
      </w:r>
    </w:p>
    <w:p w14:paraId="5A0EFE24" w14:textId="77777777"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 xml:space="preserve">However, evidence from Kenya complicates this narrative. </w:t>
      </w:r>
      <w:proofErr w:type="spellStart"/>
      <w:r w:rsidRPr="00BD1ED4">
        <w:rPr>
          <w:rFonts w:cs="Times New Roman"/>
          <w:bCs/>
          <w:iCs/>
          <w:color w:val="000000" w:themeColor="text1"/>
          <w:szCs w:val="24"/>
        </w:rPr>
        <w:t>Ngugi</w:t>
      </w:r>
      <w:proofErr w:type="spellEnd"/>
      <w:r w:rsidRPr="00BD1ED4">
        <w:rPr>
          <w:rFonts w:cs="Times New Roman"/>
          <w:bCs/>
          <w:iCs/>
          <w:color w:val="000000" w:themeColor="text1"/>
          <w:szCs w:val="24"/>
        </w:rPr>
        <w:t xml:space="preserve">, </w:t>
      </w:r>
      <w:proofErr w:type="spellStart"/>
      <w:r w:rsidRPr="00BD1ED4">
        <w:rPr>
          <w:rFonts w:cs="Times New Roman"/>
          <w:bCs/>
          <w:iCs/>
          <w:color w:val="000000" w:themeColor="text1"/>
          <w:szCs w:val="24"/>
        </w:rPr>
        <w:t>Njuguna</w:t>
      </w:r>
      <w:proofErr w:type="spellEnd"/>
      <w:r w:rsidRPr="00BD1ED4">
        <w:rPr>
          <w:rFonts w:cs="Times New Roman"/>
          <w:bCs/>
          <w:iCs/>
          <w:color w:val="000000" w:themeColor="text1"/>
          <w:szCs w:val="24"/>
        </w:rPr>
        <w:t xml:space="preserve">, and </w:t>
      </w:r>
      <w:proofErr w:type="spellStart"/>
      <w:r w:rsidRPr="00BD1ED4">
        <w:rPr>
          <w:rFonts w:cs="Times New Roman"/>
          <w:bCs/>
          <w:iCs/>
          <w:color w:val="000000" w:themeColor="text1"/>
          <w:szCs w:val="24"/>
        </w:rPr>
        <w:t>Wambalaba</w:t>
      </w:r>
      <w:proofErr w:type="spellEnd"/>
      <w:r w:rsidRPr="00BD1ED4">
        <w:rPr>
          <w:rFonts w:cs="Times New Roman"/>
          <w:bCs/>
          <w:iCs/>
          <w:color w:val="000000" w:themeColor="text1"/>
          <w:szCs w:val="24"/>
        </w:rPr>
        <w:t xml:space="preserve"> (2018), studying 206 occupational pension schemes, found little effect of scheme maturity on investment strategies, contrary to life cycle theory. This suggests that Kenyan pension schemes may not sufficiently adjust asset allocations in line with member demographics, raising concerns about sustainability and risk management practices.</w:t>
      </w:r>
    </w:p>
    <w:p w14:paraId="38665311" w14:textId="77777777"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The role of regulatory compliance in shaping pension fund performance has also been extensively examined. Since the enactment of the Retirement Benefits Authority Act, pension management in Kenya has become more structured and efficient. Miriti (2014) demonstrated a positive association between RBA investment directives and financial outcomes, attributing performance improvements to enhanced oversight and operational efficiency.</w:t>
      </w:r>
    </w:p>
    <w:p w14:paraId="32563425" w14:textId="2E2F6993"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Globally, regulatory regimes vary significantly. While some countries impose stringent oversight, others, such as the United States, adopt a “prudent person rule,” granting fund managers discretion without strict asset allocation guidelines. Kipkoech (2012) emphasized that regulation stimulates pension plan growth and strengthens economic development, while Mutula (2018) found that diversity, management ability, investment strategies, and regulatory compliance collectively enhanced pension fund investment performance.</w:t>
      </w:r>
      <w:r>
        <w:rPr>
          <w:rFonts w:cs="Times New Roman"/>
          <w:bCs/>
          <w:iCs/>
          <w:color w:val="000000" w:themeColor="text1"/>
          <w:szCs w:val="24"/>
        </w:rPr>
        <w:t xml:space="preserve"> </w:t>
      </w:r>
      <w:r w:rsidRPr="00BD1ED4">
        <w:rPr>
          <w:rFonts w:cs="Times New Roman"/>
          <w:bCs/>
          <w:iCs/>
          <w:color w:val="000000" w:themeColor="text1"/>
          <w:szCs w:val="24"/>
        </w:rPr>
        <w:t>In Kenya, compliance with RBA regulations has been associated with growth in both occupational and individual pension schemes. These findings highlight the moderating role of regulation, ensuring prudent investment practices, protecting contributors, and enhancing fund performance. However, overregulation could constrain innovation and flexibility, suggesting the need for balanced approaches.</w:t>
      </w:r>
    </w:p>
    <w:p w14:paraId="1211445F" w14:textId="5D216063" w:rsidR="00CB6E82" w:rsidRDefault="00BD1ED4" w:rsidP="00BD1ED4">
      <w:pPr>
        <w:spacing w:before="0" w:after="160" w:line="259" w:lineRule="auto"/>
        <w:rPr>
          <w:rFonts w:cs="Times New Roman"/>
          <w:color w:val="000000" w:themeColor="text1"/>
          <w:szCs w:val="24"/>
        </w:rPr>
      </w:pPr>
      <w:r w:rsidRPr="00BD1ED4">
        <w:rPr>
          <w:rFonts w:cs="Times New Roman"/>
          <w:bCs/>
          <w:iCs/>
          <w:color w:val="000000" w:themeColor="text1"/>
          <w:szCs w:val="24"/>
        </w:rPr>
        <w:t>Overall, empirical research reveals that pension fund performance is shaped by a complex interplay of fund size, design, portfolio composition, membership demographics, and regulatory compliance. Larger funds benefit from economies of scale and enhanced bargaining power, while diversified portfolios consistently outperform concentrated ones. Fund design, particularly the shift from DB to DC schemes, has improved cost efficiency and reduced employer risk, though its direct impact on fund performance is less clear. Membership demographics, especially age distribution, strongly influence contribution flows and investment strategies, though evidence from Kenya suggests limited adaptation to life cycle considerations. Finally, regulatory compliance plays a critical moderating role, enhancing oversight and ensuring sustainability.</w:t>
      </w:r>
      <w:r>
        <w:rPr>
          <w:rFonts w:cs="Times New Roman"/>
          <w:bCs/>
          <w:iCs/>
          <w:color w:val="000000" w:themeColor="text1"/>
          <w:szCs w:val="24"/>
        </w:rPr>
        <w:t xml:space="preserve"> </w:t>
      </w:r>
      <w:r w:rsidRPr="00BD1ED4">
        <w:rPr>
          <w:rFonts w:cs="Times New Roman"/>
          <w:bCs/>
          <w:iCs/>
          <w:color w:val="000000" w:themeColor="text1"/>
          <w:szCs w:val="24"/>
        </w:rPr>
        <w:t>Despite these insights, several gaps remain. Few studies explore how fund managers’ decision-making processes mediate performance outcomes, how global financial shocks interact with fund characteristics, or how regulatory frameworks can balance flexibility with prudence. Addressing these gaps would strengthen understanding of pension fund dynamics in Kenya and beyond, informing both policy and practice</w:t>
      </w:r>
      <w:r w:rsidR="00C237CE" w:rsidRPr="00C237CE">
        <w:rPr>
          <w:rFonts w:cs="Times New Roman"/>
          <w:color w:val="000000" w:themeColor="text1"/>
          <w:szCs w:val="24"/>
        </w:rPr>
        <w:t>.</w:t>
      </w:r>
    </w:p>
    <w:p w14:paraId="4055B871" w14:textId="77777777" w:rsidR="00CF4F91" w:rsidRDefault="00CF4F91" w:rsidP="00BD1ED4">
      <w:pPr>
        <w:spacing w:before="0" w:after="160" w:line="259" w:lineRule="auto"/>
        <w:rPr>
          <w:rFonts w:cs="Times New Roman"/>
          <w:color w:val="000000" w:themeColor="text1"/>
          <w:szCs w:val="24"/>
        </w:rPr>
      </w:pPr>
    </w:p>
    <w:p w14:paraId="755496CF" w14:textId="77777777" w:rsidR="00CF4F91" w:rsidRDefault="00CF4F91" w:rsidP="00BD1ED4">
      <w:pPr>
        <w:spacing w:before="0" w:after="160" w:line="259" w:lineRule="auto"/>
        <w:rPr>
          <w:rFonts w:cs="Times New Roman"/>
          <w:color w:val="000000" w:themeColor="text1"/>
          <w:szCs w:val="24"/>
        </w:rPr>
      </w:pPr>
    </w:p>
    <w:p w14:paraId="7AC1490C" w14:textId="77777777" w:rsidR="00CF4F91" w:rsidRDefault="00CF4F91" w:rsidP="00BD1ED4">
      <w:pPr>
        <w:spacing w:before="0" w:after="160" w:line="259" w:lineRule="auto"/>
        <w:rPr>
          <w:rFonts w:cs="Times New Roman"/>
          <w:color w:val="000000" w:themeColor="text1"/>
          <w:szCs w:val="24"/>
        </w:rPr>
      </w:pPr>
    </w:p>
    <w:p w14:paraId="2C2741DC" w14:textId="77777777" w:rsidR="00CF4F91" w:rsidRDefault="00CF4F91" w:rsidP="00BD1ED4">
      <w:pPr>
        <w:spacing w:before="0" w:after="160" w:line="259" w:lineRule="auto"/>
        <w:rPr>
          <w:rFonts w:cs="Times New Roman"/>
          <w:color w:val="000000" w:themeColor="text1"/>
          <w:szCs w:val="24"/>
        </w:rPr>
      </w:pPr>
    </w:p>
    <w:p w14:paraId="45142BC9" w14:textId="1176504D" w:rsidR="004A63A3" w:rsidRDefault="00A07C3D">
      <w:pPr>
        <w:spacing w:before="0" w:after="160" w:line="259" w:lineRule="auto"/>
        <w:jc w:val="left"/>
        <w:rPr>
          <w:rFonts w:cs="Times New Roman"/>
          <w:b/>
          <w:bCs/>
          <w:color w:val="EE0000"/>
          <w:sz w:val="28"/>
          <w:szCs w:val="28"/>
        </w:rPr>
      </w:pPr>
      <w:r w:rsidRPr="00387331">
        <w:rPr>
          <w:rFonts w:cs="Times New Roman"/>
          <w:b/>
          <w:bCs/>
          <w:color w:val="EE0000"/>
          <w:sz w:val="28"/>
          <w:szCs w:val="28"/>
        </w:rPr>
        <w:lastRenderedPageBreak/>
        <w:t>2.3. Theoretical Framework</w:t>
      </w:r>
      <w:r w:rsidR="00CF4F91">
        <w:rPr>
          <w:rFonts w:cs="Times New Roman"/>
          <w:b/>
          <w:bCs/>
          <w:color w:val="EE0000"/>
          <w:sz w:val="28"/>
          <w:szCs w:val="28"/>
        </w:rPr>
        <w:t>…………….elaboration</w:t>
      </w:r>
    </w:p>
    <w:p w14:paraId="400315E7" w14:textId="77777777" w:rsidR="00CF4F91" w:rsidRDefault="00CF4F91">
      <w:pPr>
        <w:spacing w:before="0" w:after="160" w:line="259" w:lineRule="auto"/>
        <w:jc w:val="left"/>
        <w:rPr>
          <w:rFonts w:cs="Times New Roman"/>
          <w:b/>
          <w:bCs/>
          <w:color w:val="EE0000"/>
          <w:sz w:val="28"/>
          <w:szCs w:val="28"/>
        </w:rPr>
      </w:pPr>
    </w:p>
    <w:p w14:paraId="38A01770" w14:textId="77777777" w:rsidR="00CF4F91" w:rsidRDefault="00CF4F91">
      <w:pPr>
        <w:spacing w:before="0" w:after="160" w:line="259" w:lineRule="auto"/>
        <w:jc w:val="left"/>
        <w:rPr>
          <w:rFonts w:cs="Times New Roman"/>
          <w:b/>
          <w:bCs/>
          <w:color w:val="000000" w:themeColor="text1"/>
          <w:sz w:val="28"/>
          <w:szCs w:val="28"/>
        </w:rPr>
      </w:pPr>
    </w:p>
    <w:p w14:paraId="35BCEF5F" w14:textId="511C4872" w:rsidR="00055D83" w:rsidRPr="00FB2E0F" w:rsidRDefault="00055D83" w:rsidP="002C6F25">
      <w:pPr>
        <w:spacing w:line="240" w:lineRule="auto"/>
        <w:rPr>
          <w:rFonts w:cs="Times New Roman"/>
          <w:b/>
          <w:bCs/>
          <w:color w:val="000000" w:themeColor="text1"/>
          <w:sz w:val="28"/>
          <w:szCs w:val="28"/>
        </w:rPr>
      </w:pPr>
      <w:r w:rsidRPr="00FB2E0F">
        <w:rPr>
          <w:rFonts w:cs="Times New Roman"/>
          <w:b/>
          <w:bCs/>
          <w:color w:val="000000" w:themeColor="text1"/>
          <w:sz w:val="28"/>
          <w:szCs w:val="28"/>
        </w:rPr>
        <w:t>3.0 RESEARCH METHODOLOGY</w:t>
      </w:r>
    </w:p>
    <w:p w14:paraId="2D9F7636" w14:textId="66323CF6" w:rsidR="00387331" w:rsidRPr="00387331" w:rsidRDefault="00387331" w:rsidP="00A63E94">
      <w:pPr>
        <w:spacing w:after="160" w:line="259" w:lineRule="auto"/>
        <w:rPr>
          <w:rFonts w:cs="Times New Roman"/>
          <w:color w:val="EE0000"/>
          <w:szCs w:val="24"/>
        </w:rPr>
      </w:pPr>
      <w:r w:rsidRPr="00387331">
        <w:rPr>
          <w:rFonts w:cs="Times New Roman"/>
          <w:color w:val="EE0000"/>
          <w:szCs w:val="24"/>
        </w:rPr>
        <w:t>3.1. Research Design</w:t>
      </w:r>
      <w:r>
        <w:rPr>
          <w:rFonts w:cs="Times New Roman"/>
          <w:color w:val="EE0000"/>
          <w:szCs w:val="24"/>
        </w:rPr>
        <w:t>….</w:t>
      </w:r>
      <w:r w:rsidR="00CF4F91">
        <w:rPr>
          <w:rFonts w:cs="Times New Roman"/>
          <w:color w:val="EE0000"/>
          <w:szCs w:val="24"/>
        </w:rPr>
        <w:t>elaborations</w:t>
      </w:r>
    </w:p>
    <w:p w14:paraId="776F7DC9" w14:textId="0FB77EA0" w:rsidR="00387331" w:rsidRPr="00387331" w:rsidRDefault="00387331" w:rsidP="00A63E94">
      <w:pPr>
        <w:spacing w:after="160" w:line="259" w:lineRule="auto"/>
        <w:rPr>
          <w:rFonts w:cs="Times New Roman"/>
          <w:color w:val="EE0000"/>
          <w:szCs w:val="24"/>
        </w:rPr>
      </w:pPr>
      <w:r w:rsidRPr="00387331">
        <w:rPr>
          <w:rFonts w:cs="Times New Roman"/>
          <w:color w:val="EE0000"/>
          <w:szCs w:val="24"/>
        </w:rPr>
        <w:t>3.2. Sampling Design</w:t>
      </w:r>
    </w:p>
    <w:p w14:paraId="38308C9F" w14:textId="14255661" w:rsidR="00A63E94" w:rsidRPr="00A63E94" w:rsidRDefault="00A63E94" w:rsidP="00A63E94">
      <w:pPr>
        <w:spacing w:after="160" w:line="259" w:lineRule="auto"/>
        <w:rPr>
          <w:rFonts w:cs="Times New Roman"/>
          <w:color w:val="000000" w:themeColor="text1"/>
          <w:szCs w:val="24"/>
        </w:rPr>
      </w:pPr>
      <w:r w:rsidRPr="00A63E94">
        <w:rPr>
          <w:rFonts w:cs="Times New Roman"/>
          <w:color w:val="000000" w:themeColor="text1"/>
          <w:szCs w:val="24"/>
        </w:rPr>
        <w:t>This study employed a descriptive research design to investigate the relationship between firm characteristics and the financial performance of pension funds in Kenya. A descriptive design was appropriate because it enabled the collection and evaluation of information without manipulating the study environment, thus reflecting the actual state of affairs (Cooper &amp; Schindler, 2008). The objective was to examine associations among the study variables systematically and objectively.</w:t>
      </w:r>
      <w:r>
        <w:rPr>
          <w:rFonts w:cs="Times New Roman"/>
          <w:color w:val="000000" w:themeColor="text1"/>
          <w:szCs w:val="24"/>
        </w:rPr>
        <w:t xml:space="preserve"> </w:t>
      </w:r>
      <w:r w:rsidRPr="00A63E94">
        <w:rPr>
          <w:rFonts w:cs="Times New Roman"/>
          <w:color w:val="000000" w:themeColor="text1"/>
          <w:szCs w:val="24"/>
        </w:rPr>
        <w:t>The target population consisted of all 1,075 pension schemes registered in Kenya as of 2022. The study focused on the period between 2018 and 2022 to capture recent trends. From this population, a sample of 39 officially registered schemes was selected using a simple random sampling technique. This method ensured that each scheme had an equal chance of selection, thereby minimizing selection bias and enhancing the representativeness of findings (Bryman, 2016).</w:t>
      </w:r>
    </w:p>
    <w:p w14:paraId="578E9FF4" w14:textId="3E8D2763" w:rsidR="00387331" w:rsidRPr="00387331" w:rsidRDefault="00387331" w:rsidP="00A63E94">
      <w:pPr>
        <w:spacing w:after="160" w:line="259" w:lineRule="auto"/>
        <w:rPr>
          <w:rFonts w:cs="Times New Roman"/>
          <w:color w:val="EE0000"/>
          <w:szCs w:val="24"/>
        </w:rPr>
      </w:pPr>
      <w:r w:rsidRPr="00387331">
        <w:rPr>
          <w:rFonts w:cs="Times New Roman"/>
          <w:color w:val="EE0000"/>
          <w:szCs w:val="24"/>
        </w:rPr>
        <w:t>3.3. Data Collections</w:t>
      </w:r>
    </w:p>
    <w:p w14:paraId="4F968D89" w14:textId="304B65D6" w:rsidR="00A63E94" w:rsidRPr="00A63E94" w:rsidRDefault="00A63E94" w:rsidP="00A63E94">
      <w:pPr>
        <w:spacing w:after="160" w:line="259" w:lineRule="auto"/>
        <w:rPr>
          <w:rFonts w:cs="Times New Roman"/>
          <w:color w:val="000000" w:themeColor="text1"/>
          <w:szCs w:val="24"/>
        </w:rPr>
      </w:pPr>
      <w:r w:rsidRPr="00A63E94">
        <w:rPr>
          <w:rFonts w:cs="Times New Roman"/>
          <w:color w:val="000000" w:themeColor="text1"/>
          <w:szCs w:val="24"/>
        </w:rPr>
        <w:t>Data collection relied on secondary sources, primarily annual financial statements and reports published by pension schemes and the Retirement Benefits Authority (RBA). These sources provided information on key fund characteristics such as fund size, design, membership age, and portfolio mix, alongside financial performance indicators. A secondary data extraction tool (Appendix 1) was used to systematically record data covering the five-year period. Prior to data collection, authorization was obtained from the National Commission for Science, Technology and Innovation (NACOSTI). The data collection exercise spanned three months.</w:t>
      </w:r>
    </w:p>
    <w:p w14:paraId="78BF45F1" w14:textId="13CF7FFA" w:rsidR="00387331" w:rsidRPr="00387331" w:rsidRDefault="00387331" w:rsidP="00A63E94">
      <w:pPr>
        <w:spacing w:after="160" w:line="259" w:lineRule="auto"/>
        <w:rPr>
          <w:rFonts w:cs="Times New Roman"/>
          <w:color w:val="EE0000"/>
          <w:szCs w:val="24"/>
        </w:rPr>
      </w:pPr>
      <w:r w:rsidRPr="00387331">
        <w:rPr>
          <w:rFonts w:cs="Times New Roman"/>
          <w:color w:val="EE0000"/>
          <w:szCs w:val="24"/>
        </w:rPr>
        <w:t xml:space="preserve">3.4. Data Analysis </w:t>
      </w:r>
      <w:r>
        <w:rPr>
          <w:rFonts w:cs="Times New Roman"/>
          <w:color w:val="EE0000"/>
          <w:szCs w:val="24"/>
        </w:rPr>
        <w:t>and Measurement</w:t>
      </w:r>
    </w:p>
    <w:p w14:paraId="40ECA4DC" w14:textId="482CC646" w:rsidR="00A63E94" w:rsidRPr="00A63E94" w:rsidRDefault="00A63E94" w:rsidP="00A63E94">
      <w:pPr>
        <w:spacing w:after="160" w:line="259" w:lineRule="auto"/>
        <w:rPr>
          <w:rFonts w:cs="Times New Roman"/>
          <w:color w:val="000000" w:themeColor="text1"/>
          <w:szCs w:val="24"/>
        </w:rPr>
      </w:pPr>
      <w:r w:rsidRPr="00A63E94">
        <w:rPr>
          <w:rFonts w:cs="Times New Roman"/>
          <w:color w:val="000000" w:themeColor="text1"/>
          <w:szCs w:val="24"/>
        </w:rPr>
        <w:t>The analysis was conducted using SPSS version 20. Descriptive statistics, including means, maximums, minimums, and standard deviations, were computed to provide insights into the distribution of variables. Inferential statistics were then applied to test hypotheses. Correlation analysis determined the strength and direction of associations between variables, while multivariate regression analysis assessed the linear relationships between dependent and independent variables.</w:t>
      </w:r>
    </w:p>
    <w:p w14:paraId="68ECED9B" w14:textId="102BDD02" w:rsidR="009B3203" w:rsidRPr="00C237CE" w:rsidRDefault="00A63E94" w:rsidP="00A63E94">
      <w:pPr>
        <w:spacing w:after="160" w:line="259" w:lineRule="auto"/>
        <w:rPr>
          <w:rFonts w:cs="Times New Roman"/>
          <w:color w:val="000000" w:themeColor="text1"/>
          <w:szCs w:val="24"/>
        </w:rPr>
      </w:pPr>
      <w:r w:rsidRPr="00A63E94">
        <w:rPr>
          <w:rFonts w:cs="Times New Roman"/>
          <w:color w:val="000000" w:themeColor="text1"/>
          <w:szCs w:val="24"/>
        </w:rPr>
        <w:t>To ensure validity and robustness, diagnostic tests were performed on the regression model. Normality of residuals was assessed using the Shapiro-Wilk and Kolmogorov-Smirnov tests, with logarithmic transformations applied where necessary. Stationarity was evaluated using the Dickey-Fuller test, and robust standard errors were applied if assumptions were violated (Khan, 2008). Autocorrelation was tested using the Wooldridge test, while multicollinearity was examined through Variance Inflation Factors (VIF) and tolerance levels. Heteroscedasticity was assessed using White’s test (</w:t>
      </w:r>
      <w:proofErr w:type="spellStart"/>
      <w:r w:rsidRPr="00A63E94">
        <w:rPr>
          <w:rFonts w:cs="Times New Roman"/>
          <w:color w:val="000000" w:themeColor="text1"/>
          <w:szCs w:val="24"/>
        </w:rPr>
        <w:t>Ghozali</w:t>
      </w:r>
      <w:proofErr w:type="spellEnd"/>
      <w:r w:rsidRPr="00A63E94">
        <w:rPr>
          <w:rFonts w:cs="Times New Roman"/>
          <w:color w:val="000000" w:themeColor="text1"/>
          <w:szCs w:val="24"/>
        </w:rPr>
        <w:t>, 2002).</w:t>
      </w:r>
      <w:r>
        <w:rPr>
          <w:rFonts w:cs="Times New Roman"/>
          <w:color w:val="000000" w:themeColor="text1"/>
          <w:szCs w:val="24"/>
        </w:rPr>
        <w:t xml:space="preserve"> </w:t>
      </w:r>
      <w:r w:rsidRPr="00A63E94">
        <w:rPr>
          <w:rFonts w:cs="Times New Roman"/>
          <w:color w:val="000000" w:themeColor="text1"/>
          <w:szCs w:val="24"/>
        </w:rPr>
        <w:t>By integrating these procedures, the study ensured that results were unbiased, reliable, and generalizable. The combination of descriptive and inferential analyses, supported by rigorous diagnostic tests, provided a strong foundation for understanding how firm characteristics influence the financial performance of pension funds in Kenya.</w:t>
      </w:r>
    </w:p>
    <w:p w14:paraId="2E8664C6" w14:textId="654A43DF" w:rsidR="00E730D7" w:rsidRPr="00DE7041" w:rsidRDefault="002B2D3C" w:rsidP="00DE7041">
      <w:pPr>
        <w:rPr>
          <w:b/>
          <w:bCs/>
          <w:color w:val="000000" w:themeColor="text1"/>
          <w:sz w:val="28"/>
          <w:szCs w:val="24"/>
        </w:rPr>
      </w:pPr>
      <w:r w:rsidRPr="00FB2E0F">
        <w:rPr>
          <w:b/>
          <w:bCs/>
          <w:color w:val="000000" w:themeColor="text1"/>
          <w:sz w:val="28"/>
          <w:szCs w:val="24"/>
        </w:rPr>
        <w:lastRenderedPageBreak/>
        <w:t xml:space="preserve">4.0 </w:t>
      </w:r>
      <w:r w:rsidR="00055D83" w:rsidRPr="00FB2E0F">
        <w:rPr>
          <w:b/>
          <w:bCs/>
          <w:color w:val="000000" w:themeColor="text1"/>
          <w:sz w:val="28"/>
          <w:szCs w:val="24"/>
        </w:rPr>
        <w:t>RESULTS AND DISCUSSION</w:t>
      </w:r>
    </w:p>
    <w:p w14:paraId="6694CEDC" w14:textId="77777777" w:rsidR="00615B2D" w:rsidRPr="00FB2E0F" w:rsidRDefault="00615B2D" w:rsidP="00615B2D">
      <w:pPr>
        <w:spacing w:before="0" w:line="240" w:lineRule="auto"/>
        <w:rPr>
          <w:color w:val="000000" w:themeColor="text1"/>
        </w:rPr>
      </w:pPr>
    </w:p>
    <w:p w14:paraId="695C60A9" w14:textId="0342A487" w:rsidR="00BB3A83" w:rsidRDefault="00BB3A83" w:rsidP="002B2D3C">
      <w:pPr>
        <w:spacing w:before="0" w:line="240" w:lineRule="auto"/>
        <w:rPr>
          <w:rFonts w:cs="Times New Roman"/>
          <w:b/>
          <w:bCs/>
          <w:color w:val="000000" w:themeColor="text1"/>
          <w:sz w:val="28"/>
          <w:szCs w:val="24"/>
        </w:rPr>
      </w:pPr>
      <w:r w:rsidRPr="00FB2E0F">
        <w:rPr>
          <w:rFonts w:cs="Times New Roman"/>
          <w:b/>
          <w:bCs/>
          <w:color w:val="000000" w:themeColor="text1"/>
          <w:sz w:val="28"/>
          <w:szCs w:val="24"/>
        </w:rPr>
        <w:t>4.</w:t>
      </w:r>
      <w:r w:rsidR="00DE7041">
        <w:rPr>
          <w:rFonts w:cs="Times New Roman"/>
          <w:b/>
          <w:bCs/>
          <w:color w:val="000000" w:themeColor="text1"/>
          <w:sz w:val="28"/>
          <w:szCs w:val="24"/>
        </w:rPr>
        <w:t>1</w:t>
      </w:r>
      <w:r w:rsidRPr="00FB2E0F">
        <w:rPr>
          <w:rFonts w:cs="Times New Roman"/>
          <w:b/>
          <w:bCs/>
          <w:color w:val="000000" w:themeColor="text1"/>
          <w:sz w:val="28"/>
          <w:szCs w:val="24"/>
        </w:rPr>
        <w:t xml:space="preserve"> Descriptive </w:t>
      </w:r>
      <w:bookmarkStart w:id="4" w:name="_Toc180395353"/>
      <w:r w:rsidR="00A52C12" w:rsidRPr="00FB2E0F">
        <w:rPr>
          <w:rFonts w:cs="Times New Roman"/>
          <w:b/>
          <w:bCs/>
          <w:color w:val="000000" w:themeColor="text1"/>
          <w:sz w:val="28"/>
          <w:szCs w:val="24"/>
        </w:rPr>
        <w:t>Analysis</w:t>
      </w:r>
    </w:p>
    <w:p w14:paraId="2EAE8A2A" w14:textId="3D6C44E8" w:rsidR="00DE7041" w:rsidRDefault="00DE7041" w:rsidP="002B2D3C">
      <w:pPr>
        <w:spacing w:before="0" w:line="240" w:lineRule="auto"/>
        <w:rPr>
          <w:rFonts w:cs="Times New Roman"/>
          <w:b/>
          <w:bCs/>
          <w:color w:val="000000" w:themeColor="text1"/>
          <w:sz w:val="28"/>
          <w:szCs w:val="24"/>
        </w:rPr>
      </w:pPr>
    </w:p>
    <w:p w14:paraId="22AE6761" w14:textId="25F23A95" w:rsidR="00DE7041" w:rsidRPr="00DE7041" w:rsidRDefault="00DE7041" w:rsidP="00DE7041">
      <w:pPr>
        <w:spacing w:before="0" w:line="240" w:lineRule="auto"/>
        <w:rPr>
          <w:rFonts w:cs="Times New Roman"/>
          <w:bCs/>
          <w:color w:val="000000" w:themeColor="text1"/>
          <w:szCs w:val="24"/>
        </w:rPr>
      </w:pPr>
      <w:r w:rsidRPr="00DE7041">
        <w:rPr>
          <w:rFonts w:cs="Times New Roman"/>
          <w:bCs/>
          <w:color w:val="000000" w:themeColor="text1"/>
          <w:szCs w:val="24"/>
        </w:rPr>
        <w:t>Descriptive statistical techniques were applied to profile the unbalanced panel dataset and reveal underlying patterns in the characteristics of pension funds. These methods provided insights into central tendencies</w:t>
      </w:r>
      <w:r w:rsidR="00806DB8">
        <w:rPr>
          <w:rFonts w:cs="Times New Roman"/>
          <w:bCs/>
          <w:color w:val="000000" w:themeColor="text1"/>
          <w:szCs w:val="24"/>
        </w:rPr>
        <w:t xml:space="preserve"> </w:t>
      </w:r>
      <w:r w:rsidRPr="00DE7041">
        <w:rPr>
          <w:rFonts w:cs="Times New Roman"/>
          <w:bCs/>
          <w:color w:val="000000" w:themeColor="text1"/>
          <w:szCs w:val="24"/>
        </w:rPr>
        <w:t>such as mean values</w:t>
      </w:r>
      <w:r w:rsidR="00806DB8">
        <w:rPr>
          <w:rFonts w:cs="Times New Roman"/>
          <w:bCs/>
          <w:color w:val="000000" w:themeColor="text1"/>
          <w:szCs w:val="24"/>
        </w:rPr>
        <w:t xml:space="preserve"> </w:t>
      </w:r>
      <w:r w:rsidRPr="00DE7041">
        <w:rPr>
          <w:rFonts w:cs="Times New Roman"/>
          <w:bCs/>
          <w:color w:val="000000" w:themeColor="text1"/>
          <w:szCs w:val="24"/>
        </w:rPr>
        <w:t>and measures of variability, including standard deviation, minimum, and maximum values. Distributional properties were also examined through skewness and kurtosis, offering a clearer understanding of the dataset’s structure. Although descriptive statistics do not allow inferential conclusions, they effectively contextualized the data for subsequent regression analysis.</w:t>
      </w:r>
    </w:p>
    <w:p w14:paraId="17C0BAAC" w14:textId="77777777" w:rsidR="00DE7041" w:rsidRPr="00DE7041" w:rsidRDefault="00DE7041" w:rsidP="00DE7041">
      <w:pPr>
        <w:spacing w:before="0" w:line="240" w:lineRule="auto"/>
        <w:rPr>
          <w:rFonts w:cs="Times New Roman"/>
          <w:bCs/>
          <w:color w:val="000000" w:themeColor="text1"/>
          <w:szCs w:val="24"/>
        </w:rPr>
      </w:pPr>
    </w:p>
    <w:p w14:paraId="57C6286F" w14:textId="2C2C1F00" w:rsidR="00DE7041" w:rsidRPr="00DE7041" w:rsidRDefault="00DE7041" w:rsidP="00DE7041">
      <w:pPr>
        <w:spacing w:before="0" w:line="240" w:lineRule="auto"/>
        <w:rPr>
          <w:rFonts w:cs="Times New Roman"/>
          <w:bCs/>
          <w:color w:val="000000" w:themeColor="text1"/>
          <w:szCs w:val="24"/>
        </w:rPr>
      </w:pPr>
      <w:r w:rsidRPr="00DE7041">
        <w:rPr>
          <w:rFonts w:cs="Times New Roman"/>
          <w:bCs/>
          <w:color w:val="000000" w:themeColor="text1"/>
          <w:szCs w:val="24"/>
        </w:rPr>
        <w:t>The results</w:t>
      </w:r>
      <w:r w:rsidR="0099156E">
        <w:rPr>
          <w:rFonts w:cs="Times New Roman"/>
          <w:bCs/>
          <w:color w:val="000000" w:themeColor="text1"/>
          <w:szCs w:val="24"/>
        </w:rPr>
        <w:t xml:space="preserve"> in Table 2</w:t>
      </w:r>
      <w:r w:rsidRPr="00DE7041">
        <w:rPr>
          <w:rFonts w:cs="Times New Roman"/>
          <w:bCs/>
          <w:color w:val="000000" w:themeColor="text1"/>
          <w:szCs w:val="24"/>
        </w:rPr>
        <w:t xml:space="preserve"> showed that the mean values of the study variables ranged from 0.07 to 57.88. Financial performance, measured by Return on Investment (ROI), recorded an average of 1.41 with a standard deviation of 4.475, indicating fluctuations of approximately 4.5% around the mean. Firm size, expressed as the natural logarithm of total assets, had a mean of 0.16 and a standard deviation of 0.622, reflecting moderate variability across pension schemes.</w:t>
      </w:r>
    </w:p>
    <w:p w14:paraId="6809FCE5" w14:textId="77777777" w:rsidR="00DE7041" w:rsidRPr="00DE7041" w:rsidRDefault="00DE7041" w:rsidP="00DE7041">
      <w:pPr>
        <w:spacing w:before="0" w:line="240" w:lineRule="auto"/>
        <w:rPr>
          <w:rFonts w:cs="Times New Roman"/>
          <w:bCs/>
          <w:color w:val="000000" w:themeColor="text1"/>
          <w:szCs w:val="24"/>
        </w:rPr>
      </w:pPr>
    </w:p>
    <w:p w14:paraId="7D9C5A82" w14:textId="6237BD79" w:rsidR="00DE7041" w:rsidRPr="00DE7041" w:rsidRDefault="00DE7041" w:rsidP="00DE7041">
      <w:pPr>
        <w:spacing w:before="0" w:line="240" w:lineRule="auto"/>
        <w:rPr>
          <w:rFonts w:cs="Times New Roman"/>
          <w:bCs/>
          <w:color w:val="000000" w:themeColor="text1"/>
          <w:szCs w:val="24"/>
        </w:rPr>
      </w:pPr>
      <w:r w:rsidRPr="00DE7041">
        <w:rPr>
          <w:rFonts w:cs="Times New Roman"/>
          <w:bCs/>
          <w:color w:val="000000" w:themeColor="text1"/>
          <w:szCs w:val="24"/>
        </w:rPr>
        <w:t>Additional variables exhibited notable patterns. Fund structure, participant age, and asset allocation recorded mean values of 17.717, 56.67, and 16.30, respectively, with standard deviations of 5.777, 3.276, and 4.74. The average participant age was 56.67 years, with variability spanning about three years. Fund size, based on total investments, recorded a mean of 1.191 and a standard deviation of 0.622, underscoring moderate dispersion. Overall, the relatively high mean scores of the independent variables suggested their measurable influence on the financial performance of pension funds in Kenya.</w:t>
      </w:r>
    </w:p>
    <w:p w14:paraId="2EBBEA94" w14:textId="27679D81" w:rsidR="00DE7041" w:rsidRDefault="00DE7041" w:rsidP="002B2D3C">
      <w:pPr>
        <w:spacing w:before="0" w:line="240" w:lineRule="auto"/>
        <w:rPr>
          <w:rFonts w:cs="Times New Roman"/>
          <w:b/>
          <w:bCs/>
          <w:color w:val="000000" w:themeColor="text1"/>
          <w:sz w:val="28"/>
          <w:szCs w:val="24"/>
        </w:rPr>
      </w:pPr>
    </w:p>
    <w:p w14:paraId="36150A63" w14:textId="77777777" w:rsidR="00DE7041" w:rsidRPr="00DE7041" w:rsidRDefault="00DE7041" w:rsidP="0099156E">
      <w:pPr>
        <w:spacing w:before="0" w:line="240" w:lineRule="auto"/>
        <w:jc w:val="center"/>
        <w:rPr>
          <w:b/>
          <w:i/>
        </w:rPr>
      </w:pPr>
      <w:bookmarkStart w:id="5" w:name="_Toc206758537"/>
      <w:r w:rsidRPr="00DE7041">
        <w:rPr>
          <w:b/>
          <w:i/>
        </w:rPr>
        <w:t>Table 2 Summary Descriptive Statistics</w:t>
      </w:r>
      <w:bookmarkEnd w:id="5"/>
    </w:p>
    <w:p w14:paraId="05041E8C" w14:textId="4C399794" w:rsidR="00DE7041" w:rsidRPr="004F2CD0" w:rsidRDefault="00DE7041" w:rsidP="00DE7041">
      <w:pPr>
        <w:pBdr>
          <w:top w:val="single" w:sz="4" w:space="1" w:color="auto"/>
          <w:bottom w:val="single" w:sz="4" w:space="1" w:color="auto"/>
        </w:pBdr>
        <w:spacing w:line="240" w:lineRule="auto"/>
        <w:rPr>
          <w:szCs w:val="24"/>
        </w:rPr>
      </w:pPr>
      <w:r w:rsidRPr="004F2CD0">
        <w:rPr>
          <w:szCs w:val="24"/>
        </w:rPr>
        <w:t xml:space="preserve">VAR                             MINIM                         MAXIM                            MEAN </w:t>
      </w:r>
      <w:r>
        <w:rPr>
          <w:szCs w:val="24"/>
        </w:rPr>
        <w:t xml:space="preserve">                      STD</w:t>
      </w:r>
      <w:r w:rsidR="00CF4F91">
        <w:rPr>
          <w:szCs w:val="24"/>
        </w:rPr>
        <w:t xml:space="preserve"> </w:t>
      </w:r>
      <w:r>
        <w:rPr>
          <w:szCs w:val="24"/>
        </w:rPr>
        <w:t>DV</w:t>
      </w:r>
    </w:p>
    <w:p w14:paraId="0A148E7F" w14:textId="5F389AB9" w:rsidR="00DE7041" w:rsidRPr="004F2CD0" w:rsidRDefault="00DE7041" w:rsidP="00DE7041">
      <w:pPr>
        <w:spacing w:before="0" w:line="240" w:lineRule="auto"/>
        <w:rPr>
          <w:szCs w:val="24"/>
        </w:rPr>
      </w:pPr>
      <w:r w:rsidRPr="004F2CD0">
        <w:rPr>
          <w:szCs w:val="24"/>
        </w:rPr>
        <w:t xml:space="preserve">Portfolio mix         </w:t>
      </w:r>
      <w:r w:rsidR="0099156E">
        <w:rPr>
          <w:szCs w:val="24"/>
        </w:rPr>
        <w:t xml:space="preserve">   </w:t>
      </w:r>
      <w:r w:rsidRPr="004F2CD0">
        <w:rPr>
          <w:szCs w:val="24"/>
        </w:rPr>
        <w:t xml:space="preserve">    0.20                              21.21                      </w:t>
      </w:r>
      <w:r>
        <w:rPr>
          <w:szCs w:val="24"/>
        </w:rPr>
        <w:t xml:space="preserve">    </w:t>
      </w:r>
      <w:r w:rsidR="0099156E">
        <w:rPr>
          <w:szCs w:val="24"/>
        </w:rPr>
        <w:t xml:space="preserve">  </w:t>
      </w:r>
      <w:r>
        <w:rPr>
          <w:szCs w:val="24"/>
        </w:rPr>
        <w:t xml:space="preserve">    16.30                   </w:t>
      </w:r>
      <w:r w:rsidRPr="004F2CD0">
        <w:rPr>
          <w:szCs w:val="24"/>
        </w:rPr>
        <w:t xml:space="preserve"> </w:t>
      </w:r>
      <w:r w:rsidR="0099156E">
        <w:rPr>
          <w:szCs w:val="24"/>
        </w:rPr>
        <w:t xml:space="preserve">  </w:t>
      </w:r>
      <w:r>
        <w:rPr>
          <w:szCs w:val="24"/>
        </w:rPr>
        <w:t xml:space="preserve"> </w:t>
      </w:r>
      <w:r w:rsidRPr="004F2CD0">
        <w:rPr>
          <w:szCs w:val="24"/>
        </w:rPr>
        <w:t xml:space="preserve">  </w:t>
      </w:r>
      <w:r w:rsidR="0099156E">
        <w:rPr>
          <w:szCs w:val="24"/>
        </w:rPr>
        <w:t xml:space="preserve"> </w:t>
      </w:r>
      <w:r w:rsidRPr="004F2CD0">
        <w:rPr>
          <w:szCs w:val="24"/>
        </w:rPr>
        <w:t xml:space="preserve">   4.740</w:t>
      </w:r>
    </w:p>
    <w:p w14:paraId="51AB4300" w14:textId="1F91EE4B" w:rsidR="00DE7041" w:rsidRPr="004F2CD0" w:rsidRDefault="00DE7041" w:rsidP="00DE7041">
      <w:pPr>
        <w:spacing w:before="0" w:line="240" w:lineRule="auto"/>
        <w:rPr>
          <w:szCs w:val="24"/>
        </w:rPr>
      </w:pPr>
      <w:r w:rsidRPr="004F2CD0">
        <w:rPr>
          <w:szCs w:val="24"/>
        </w:rPr>
        <w:t xml:space="preserve">Fund size              </w:t>
      </w:r>
      <w:r w:rsidR="0099156E">
        <w:rPr>
          <w:szCs w:val="24"/>
        </w:rPr>
        <w:t xml:space="preserve">   </w:t>
      </w:r>
      <w:r w:rsidRPr="004F2CD0">
        <w:rPr>
          <w:szCs w:val="24"/>
        </w:rPr>
        <w:t xml:space="preserve">    </w:t>
      </w:r>
      <w:r>
        <w:rPr>
          <w:szCs w:val="24"/>
        </w:rPr>
        <w:t xml:space="preserve"> </w:t>
      </w:r>
      <w:r w:rsidRPr="004F2CD0">
        <w:rPr>
          <w:szCs w:val="24"/>
        </w:rPr>
        <w:t xml:space="preserve">0.16                       </w:t>
      </w:r>
      <w:r w:rsidR="0099156E">
        <w:rPr>
          <w:szCs w:val="24"/>
        </w:rPr>
        <w:t xml:space="preserve">  </w:t>
      </w:r>
      <w:r w:rsidRPr="004F2CD0">
        <w:rPr>
          <w:szCs w:val="24"/>
        </w:rPr>
        <w:t xml:space="preserve">       2.98                           </w:t>
      </w:r>
      <w:r w:rsidR="0099156E">
        <w:rPr>
          <w:szCs w:val="24"/>
        </w:rPr>
        <w:t xml:space="preserve">  </w:t>
      </w:r>
      <w:r w:rsidRPr="004F2CD0">
        <w:rPr>
          <w:szCs w:val="24"/>
        </w:rPr>
        <w:t xml:space="preserve">     </w:t>
      </w:r>
      <w:r>
        <w:rPr>
          <w:szCs w:val="24"/>
        </w:rPr>
        <w:t>1.19</w:t>
      </w:r>
      <w:r w:rsidRPr="004F2CD0">
        <w:rPr>
          <w:szCs w:val="24"/>
        </w:rPr>
        <w:t xml:space="preserve"> </w:t>
      </w:r>
      <w:r>
        <w:rPr>
          <w:szCs w:val="24"/>
        </w:rPr>
        <w:t xml:space="preserve">                    </w:t>
      </w:r>
      <w:r w:rsidR="0099156E">
        <w:rPr>
          <w:szCs w:val="24"/>
        </w:rPr>
        <w:t xml:space="preserve">   </w:t>
      </w:r>
      <w:r>
        <w:rPr>
          <w:szCs w:val="24"/>
        </w:rPr>
        <w:t xml:space="preserve">     </w:t>
      </w:r>
      <w:r w:rsidRPr="004F2CD0">
        <w:rPr>
          <w:szCs w:val="24"/>
        </w:rPr>
        <w:t>0.622</w:t>
      </w:r>
    </w:p>
    <w:p w14:paraId="32363EED" w14:textId="0DCA9F31" w:rsidR="00DE7041" w:rsidRPr="004F2CD0" w:rsidRDefault="00DE7041" w:rsidP="00DE7041">
      <w:pPr>
        <w:spacing w:before="0" w:line="240" w:lineRule="auto"/>
        <w:rPr>
          <w:szCs w:val="24"/>
        </w:rPr>
      </w:pPr>
      <w:r w:rsidRPr="004F2CD0">
        <w:rPr>
          <w:szCs w:val="24"/>
        </w:rPr>
        <w:t xml:space="preserve">Member Age        </w:t>
      </w:r>
      <w:r>
        <w:rPr>
          <w:szCs w:val="24"/>
        </w:rPr>
        <w:t xml:space="preserve"> </w:t>
      </w:r>
      <w:r w:rsidR="0099156E">
        <w:rPr>
          <w:szCs w:val="24"/>
        </w:rPr>
        <w:t xml:space="preserve">   </w:t>
      </w:r>
      <w:r w:rsidRPr="004F2CD0">
        <w:rPr>
          <w:szCs w:val="24"/>
        </w:rPr>
        <w:t xml:space="preserve">  55.56                              57.88                            </w:t>
      </w:r>
      <w:r w:rsidR="0099156E">
        <w:rPr>
          <w:szCs w:val="24"/>
        </w:rPr>
        <w:t xml:space="preserve"> </w:t>
      </w:r>
      <w:r w:rsidRPr="004F2CD0">
        <w:rPr>
          <w:szCs w:val="24"/>
        </w:rPr>
        <w:t xml:space="preserve">   56.67  </w:t>
      </w:r>
      <w:r>
        <w:rPr>
          <w:szCs w:val="24"/>
        </w:rPr>
        <w:t xml:space="preserve">                     </w:t>
      </w:r>
      <w:r w:rsidR="0099156E">
        <w:rPr>
          <w:szCs w:val="24"/>
        </w:rPr>
        <w:t xml:space="preserve">    </w:t>
      </w:r>
      <w:r>
        <w:rPr>
          <w:szCs w:val="24"/>
        </w:rPr>
        <w:t xml:space="preserve">  </w:t>
      </w:r>
      <w:r w:rsidRPr="004F2CD0">
        <w:rPr>
          <w:szCs w:val="24"/>
        </w:rPr>
        <w:t>3.276</w:t>
      </w:r>
    </w:p>
    <w:p w14:paraId="6618E176" w14:textId="54552A2D" w:rsidR="00DE7041" w:rsidRPr="004F2CD0" w:rsidRDefault="00DE7041" w:rsidP="00DE7041">
      <w:pPr>
        <w:spacing w:before="0" w:line="240" w:lineRule="auto"/>
        <w:rPr>
          <w:szCs w:val="24"/>
        </w:rPr>
      </w:pPr>
      <w:r w:rsidRPr="004F2CD0">
        <w:rPr>
          <w:szCs w:val="24"/>
        </w:rPr>
        <w:t xml:space="preserve">Fund design          </w:t>
      </w:r>
      <w:r w:rsidR="0099156E">
        <w:rPr>
          <w:szCs w:val="24"/>
        </w:rPr>
        <w:t xml:space="preserve">   </w:t>
      </w:r>
      <w:r w:rsidRPr="004F2CD0">
        <w:rPr>
          <w:szCs w:val="24"/>
        </w:rPr>
        <w:t xml:space="preserve">    0.07                         </w:t>
      </w:r>
      <w:r w:rsidR="0099156E">
        <w:rPr>
          <w:szCs w:val="24"/>
        </w:rPr>
        <w:t xml:space="preserve">  </w:t>
      </w:r>
      <w:r w:rsidRPr="004F2CD0">
        <w:rPr>
          <w:szCs w:val="24"/>
        </w:rPr>
        <w:t xml:space="preserve">    27.23                             </w:t>
      </w:r>
      <w:r>
        <w:rPr>
          <w:szCs w:val="24"/>
        </w:rPr>
        <w:t xml:space="preserve"> </w:t>
      </w:r>
      <w:r w:rsidRPr="004F2CD0">
        <w:rPr>
          <w:szCs w:val="24"/>
        </w:rPr>
        <w:t xml:space="preserve">  </w:t>
      </w:r>
      <w:r>
        <w:rPr>
          <w:szCs w:val="24"/>
        </w:rPr>
        <w:t xml:space="preserve">17.72 </w:t>
      </w:r>
      <w:r w:rsidRPr="004F2CD0">
        <w:rPr>
          <w:szCs w:val="24"/>
        </w:rPr>
        <w:t xml:space="preserve"> </w:t>
      </w:r>
      <w:r>
        <w:rPr>
          <w:szCs w:val="24"/>
        </w:rPr>
        <w:t xml:space="preserve">                   </w:t>
      </w:r>
      <w:r w:rsidR="0099156E">
        <w:rPr>
          <w:szCs w:val="24"/>
        </w:rPr>
        <w:t xml:space="preserve">   </w:t>
      </w:r>
      <w:r>
        <w:rPr>
          <w:szCs w:val="24"/>
        </w:rPr>
        <w:t xml:space="preserve">     </w:t>
      </w:r>
      <w:r w:rsidRPr="004F2CD0">
        <w:rPr>
          <w:szCs w:val="24"/>
        </w:rPr>
        <w:t>5.777</w:t>
      </w:r>
    </w:p>
    <w:p w14:paraId="638E6420" w14:textId="1899CC20" w:rsidR="00DE7041" w:rsidRPr="004F2CD0" w:rsidRDefault="00DE7041" w:rsidP="00DE7041">
      <w:pPr>
        <w:pBdr>
          <w:bottom w:val="single" w:sz="4" w:space="1" w:color="auto"/>
        </w:pBdr>
        <w:spacing w:before="0" w:line="240" w:lineRule="auto"/>
        <w:rPr>
          <w:szCs w:val="24"/>
        </w:rPr>
      </w:pPr>
      <w:r w:rsidRPr="004F2CD0">
        <w:rPr>
          <w:szCs w:val="24"/>
        </w:rPr>
        <w:t xml:space="preserve">ROI                              0.27                       </w:t>
      </w:r>
      <w:r w:rsidR="0099156E">
        <w:rPr>
          <w:szCs w:val="24"/>
        </w:rPr>
        <w:t xml:space="preserve">  </w:t>
      </w:r>
      <w:r w:rsidRPr="004F2CD0">
        <w:rPr>
          <w:szCs w:val="24"/>
        </w:rPr>
        <w:t xml:space="preserve">      20.45                               </w:t>
      </w:r>
      <w:r w:rsidR="0099156E">
        <w:rPr>
          <w:szCs w:val="24"/>
        </w:rPr>
        <w:t xml:space="preserve">  </w:t>
      </w:r>
      <w:r w:rsidRPr="004F2CD0">
        <w:rPr>
          <w:szCs w:val="24"/>
        </w:rPr>
        <w:t xml:space="preserve"> 1.41</w:t>
      </w:r>
      <w:r>
        <w:rPr>
          <w:szCs w:val="24"/>
        </w:rPr>
        <w:t xml:space="preserve">                     </w:t>
      </w:r>
      <w:r w:rsidR="0099156E">
        <w:rPr>
          <w:szCs w:val="24"/>
        </w:rPr>
        <w:t xml:space="preserve">   </w:t>
      </w:r>
      <w:r>
        <w:rPr>
          <w:szCs w:val="24"/>
        </w:rPr>
        <w:t xml:space="preserve">     </w:t>
      </w:r>
      <w:r w:rsidRPr="004F2CD0">
        <w:rPr>
          <w:szCs w:val="24"/>
        </w:rPr>
        <w:t>4.475</w:t>
      </w:r>
    </w:p>
    <w:p w14:paraId="68A40DEB" w14:textId="675DE7FD" w:rsidR="00DE7041" w:rsidRPr="004F2CD0" w:rsidRDefault="00DE7041" w:rsidP="00DE7041">
      <w:pPr>
        <w:pBdr>
          <w:bottom w:val="single" w:sz="4" w:space="1" w:color="auto"/>
        </w:pBdr>
        <w:spacing w:before="0" w:line="240" w:lineRule="auto"/>
        <w:rPr>
          <w:szCs w:val="24"/>
        </w:rPr>
      </w:pPr>
      <w:r w:rsidRPr="004F2CD0">
        <w:rPr>
          <w:szCs w:val="24"/>
        </w:rPr>
        <w:t xml:space="preserve">Regulations            </w:t>
      </w:r>
      <w:r w:rsidR="0099156E">
        <w:rPr>
          <w:szCs w:val="24"/>
        </w:rPr>
        <w:t xml:space="preserve">  </w:t>
      </w:r>
      <w:r w:rsidRPr="004F2CD0">
        <w:rPr>
          <w:szCs w:val="24"/>
        </w:rPr>
        <w:t xml:space="preserve">    0.09                       </w:t>
      </w:r>
      <w:r w:rsidR="0099156E">
        <w:rPr>
          <w:szCs w:val="24"/>
        </w:rPr>
        <w:t xml:space="preserve"> </w:t>
      </w:r>
      <w:r w:rsidRPr="004F2CD0">
        <w:rPr>
          <w:szCs w:val="24"/>
        </w:rPr>
        <w:t xml:space="preserve">  </w:t>
      </w:r>
      <w:r w:rsidR="0099156E">
        <w:rPr>
          <w:szCs w:val="24"/>
        </w:rPr>
        <w:t xml:space="preserve">   </w:t>
      </w:r>
      <w:r w:rsidRPr="004F2CD0">
        <w:rPr>
          <w:szCs w:val="24"/>
        </w:rPr>
        <w:t xml:space="preserve">    0.82                                 0.73</w:t>
      </w:r>
      <w:r>
        <w:rPr>
          <w:szCs w:val="24"/>
        </w:rPr>
        <w:t xml:space="preserve">                        </w:t>
      </w:r>
      <w:r w:rsidR="0099156E">
        <w:rPr>
          <w:szCs w:val="24"/>
        </w:rPr>
        <w:t xml:space="preserve">   </w:t>
      </w:r>
      <w:r>
        <w:rPr>
          <w:szCs w:val="24"/>
        </w:rPr>
        <w:t xml:space="preserve">   </w:t>
      </w:r>
      <w:r w:rsidRPr="004F2CD0">
        <w:rPr>
          <w:szCs w:val="24"/>
        </w:rPr>
        <w:t>2.976</w:t>
      </w:r>
    </w:p>
    <w:p w14:paraId="78B6D898" w14:textId="59799EEC" w:rsidR="00DE7041" w:rsidRPr="0099156E" w:rsidRDefault="00DE7041" w:rsidP="00DE7041">
      <w:pPr>
        <w:spacing w:line="240" w:lineRule="auto"/>
        <w:rPr>
          <w:rFonts w:cs="Times New Roman"/>
          <w:b/>
          <w:color w:val="EE0000"/>
          <w:szCs w:val="24"/>
        </w:rPr>
      </w:pPr>
      <w:r w:rsidRPr="0099156E">
        <w:rPr>
          <w:rFonts w:cs="Times New Roman"/>
          <w:b/>
          <w:color w:val="EE0000"/>
          <w:szCs w:val="24"/>
        </w:rPr>
        <w:t>Source: Re</w:t>
      </w:r>
      <w:r w:rsidR="0099156E" w:rsidRPr="0099156E">
        <w:rPr>
          <w:rFonts w:cs="Times New Roman"/>
          <w:b/>
          <w:color w:val="EE0000"/>
          <w:szCs w:val="24"/>
        </w:rPr>
        <w:t>search Findings (2</w:t>
      </w:r>
      <w:r w:rsidRPr="0099156E">
        <w:rPr>
          <w:rFonts w:cs="Times New Roman"/>
          <w:b/>
          <w:color w:val="EE0000"/>
          <w:szCs w:val="24"/>
        </w:rPr>
        <w:t>024</w:t>
      </w:r>
      <w:r w:rsidR="0099156E" w:rsidRPr="0099156E">
        <w:rPr>
          <w:rFonts w:cs="Times New Roman"/>
          <w:b/>
          <w:color w:val="EE0000"/>
          <w:szCs w:val="24"/>
        </w:rPr>
        <w:t>)</w:t>
      </w:r>
    </w:p>
    <w:p w14:paraId="2FF1EF8E" w14:textId="3B4E6E53" w:rsidR="004A5E22" w:rsidRDefault="00120FC1" w:rsidP="00DE7041">
      <w:pPr>
        <w:spacing w:line="240" w:lineRule="auto"/>
        <w:rPr>
          <w:rFonts w:cs="Times New Roman"/>
          <w:b/>
          <w:color w:val="auto"/>
          <w:sz w:val="28"/>
        </w:rPr>
      </w:pPr>
      <w:r w:rsidRPr="00120FC1">
        <w:rPr>
          <w:rFonts w:cs="Times New Roman"/>
          <w:b/>
          <w:color w:val="auto"/>
          <w:sz w:val="28"/>
        </w:rPr>
        <w:t>4.2</w:t>
      </w:r>
      <w:r w:rsidR="004A5E22">
        <w:rPr>
          <w:rFonts w:cs="Times New Roman"/>
          <w:b/>
          <w:color w:val="auto"/>
          <w:sz w:val="28"/>
        </w:rPr>
        <w:t xml:space="preserve"> Diagnostic tests</w:t>
      </w:r>
      <w:r w:rsidRPr="00120FC1">
        <w:rPr>
          <w:rFonts w:cs="Times New Roman"/>
          <w:b/>
          <w:color w:val="auto"/>
          <w:sz w:val="28"/>
        </w:rPr>
        <w:t xml:space="preserve"> </w:t>
      </w:r>
    </w:p>
    <w:p w14:paraId="75F072D4" w14:textId="770C5A52" w:rsidR="00120FC1" w:rsidRPr="004A63A3" w:rsidRDefault="00120FC1" w:rsidP="00DE7041">
      <w:pPr>
        <w:spacing w:line="240" w:lineRule="auto"/>
        <w:rPr>
          <w:rFonts w:cs="Times New Roman"/>
          <w:b/>
          <w:i/>
          <w:color w:val="auto"/>
        </w:rPr>
      </w:pPr>
      <w:r w:rsidRPr="004A63A3">
        <w:rPr>
          <w:rFonts w:cs="Times New Roman"/>
          <w:b/>
          <w:i/>
          <w:color w:val="auto"/>
        </w:rPr>
        <w:t>Test of Normality</w:t>
      </w:r>
    </w:p>
    <w:p w14:paraId="600FEDB2" w14:textId="29D2B5C7" w:rsidR="004E6332" w:rsidRDefault="004E6332" w:rsidP="004E6332">
      <w:pPr>
        <w:spacing w:before="0" w:line="240" w:lineRule="auto"/>
      </w:pPr>
      <w:r w:rsidRPr="004E6332">
        <w:t xml:space="preserve">The study assessed variable distribution using the Kolmogorov-Smirnov, Shapiro-Wilk, and Jarque-Bera tests. Results (Table </w:t>
      </w:r>
      <w:r w:rsidR="009A28E6">
        <w:t>3</w:t>
      </w:r>
      <w:r w:rsidRPr="004E6332">
        <w:t>) indicated that p-values for fund design, portfolio composition, participant age, fund magnitude, and return on investment exceeded the 5% threshold, confirming no violation of the normality assumption. The Shapiro-Wilk test reinforced these findings, while the Jarque-Bera test further validated normal distribution with p-values above 0.05. Overall, the variables were deemed normally distributed and independently dispersed, justifying their suitability for subsequent statistical analysis</w:t>
      </w:r>
      <w:r w:rsidR="0099156E">
        <w:t>.</w:t>
      </w:r>
    </w:p>
    <w:p w14:paraId="3EC43331" w14:textId="77777777" w:rsidR="0099156E" w:rsidRDefault="0099156E" w:rsidP="004E6332">
      <w:pPr>
        <w:spacing w:before="0" w:line="240" w:lineRule="auto"/>
      </w:pPr>
    </w:p>
    <w:p w14:paraId="1C18C3EC" w14:textId="77777777" w:rsidR="0099156E" w:rsidRDefault="0099156E" w:rsidP="004E6332">
      <w:pPr>
        <w:spacing w:before="0" w:line="240" w:lineRule="auto"/>
      </w:pPr>
    </w:p>
    <w:p w14:paraId="73174A2C" w14:textId="77777777" w:rsidR="0099156E" w:rsidRPr="004E6332" w:rsidRDefault="0099156E" w:rsidP="004E6332">
      <w:pPr>
        <w:spacing w:before="0" w:line="240" w:lineRule="auto"/>
      </w:pPr>
    </w:p>
    <w:p w14:paraId="3E3E77A3" w14:textId="26B8B350" w:rsidR="00120FC1" w:rsidRDefault="00120FC1" w:rsidP="004E6332">
      <w:pPr>
        <w:spacing w:before="0" w:line="240" w:lineRule="auto"/>
        <w:rPr>
          <w:rFonts w:cs="Times New Roman"/>
          <w:b/>
          <w:szCs w:val="24"/>
        </w:rPr>
      </w:pPr>
    </w:p>
    <w:p w14:paraId="766EB95F" w14:textId="77777777" w:rsidR="004E6332" w:rsidRPr="004E6332" w:rsidRDefault="004E6332" w:rsidP="0099156E">
      <w:pPr>
        <w:spacing w:before="0" w:line="240" w:lineRule="auto"/>
        <w:jc w:val="center"/>
        <w:rPr>
          <w:b/>
          <w:i/>
        </w:rPr>
      </w:pPr>
      <w:bookmarkStart w:id="6" w:name="_Toc206758533"/>
      <w:r w:rsidRPr="004E6332">
        <w:rPr>
          <w:b/>
          <w:i/>
        </w:rPr>
        <w:t xml:space="preserve">Table 3 Kolmogorov-Smirnov Test, Shapiro-Wilk Test </w:t>
      </w:r>
      <w:proofErr w:type="gramStart"/>
      <w:r w:rsidRPr="004E6332">
        <w:rPr>
          <w:b/>
          <w:i/>
        </w:rPr>
        <w:t>And</w:t>
      </w:r>
      <w:proofErr w:type="gramEnd"/>
      <w:r w:rsidRPr="004E6332">
        <w:rPr>
          <w:b/>
          <w:i/>
        </w:rPr>
        <w:t xml:space="preserve"> Jacque-Bera Test</w:t>
      </w:r>
      <w:bookmarkEnd w:id="6"/>
    </w:p>
    <w:p w14:paraId="10CA770A" w14:textId="77777777" w:rsidR="004E6332" w:rsidRPr="00903668" w:rsidRDefault="004E6332" w:rsidP="004E6332">
      <w:pPr>
        <w:pBdr>
          <w:top w:val="single" w:sz="4" w:space="1" w:color="auto"/>
          <w:bottom w:val="single" w:sz="4" w:space="1" w:color="auto"/>
        </w:pBdr>
        <w:spacing w:before="0" w:line="240" w:lineRule="auto"/>
        <w:rPr>
          <w:rFonts w:cstheme="minorHAnsi"/>
          <w:b/>
          <w:szCs w:val="24"/>
        </w:rPr>
      </w:pPr>
      <w:r w:rsidRPr="00903668">
        <w:rPr>
          <w:rFonts w:cstheme="minorHAnsi"/>
          <w:b/>
          <w:szCs w:val="24"/>
        </w:rPr>
        <w:t>Variable                     KS               P (KS)            SW                P (SW)            JB              P-value (JB)</w:t>
      </w:r>
    </w:p>
    <w:p w14:paraId="4245621F" w14:textId="715F4549" w:rsidR="004E6332" w:rsidRPr="00903668" w:rsidRDefault="004E6332" w:rsidP="004E6332">
      <w:pPr>
        <w:spacing w:before="0" w:line="240" w:lineRule="auto"/>
        <w:rPr>
          <w:rFonts w:cstheme="minorHAnsi"/>
          <w:szCs w:val="24"/>
        </w:rPr>
      </w:pPr>
      <w:r w:rsidRPr="00903668">
        <w:rPr>
          <w:rFonts w:cstheme="minorHAnsi"/>
          <w:szCs w:val="24"/>
        </w:rPr>
        <w:t xml:space="preserve">Fund design               </w:t>
      </w:r>
      <w:r w:rsidR="0099156E">
        <w:rPr>
          <w:rFonts w:cstheme="minorHAnsi"/>
          <w:szCs w:val="24"/>
        </w:rPr>
        <w:t xml:space="preserve"> </w:t>
      </w:r>
      <w:r w:rsidRPr="00903668">
        <w:rPr>
          <w:rFonts w:cstheme="minorHAnsi"/>
          <w:szCs w:val="24"/>
        </w:rPr>
        <w:t xml:space="preserve">  .039              .200c              .973             .058             </w:t>
      </w:r>
      <w:r w:rsidR="0099156E">
        <w:rPr>
          <w:rFonts w:cstheme="minorHAnsi"/>
          <w:szCs w:val="24"/>
        </w:rPr>
        <w:t xml:space="preserve"> </w:t>
      </w:r>
      <w:r w:rsidRPr="00903668">
        <w:rPr>
          <w:rFonts w:cstheme="minorHAnsi"/>
          <w:szCs w:val="24"/>
        </w:rPr>
        <w:t xml:space="preserve"> 1.673          </w:t>
      </w:r>
      <w:r w:rsidR="0099156E">
        <w:rPr>
          <w:rFonts w:cstheme="minorHAnsi"/>
          <w:szCs w:val="24"/>
        </w:rPr>
        <w:t xml:space="preserve"> </w:t>
      </w:r>
      <w:r w:rsidRPr="00903668">
        <w:rPr>
          <w:rFonts w:cstheme="minorHAnsi"/>
          <w:szCs w:val="24"/>
        </w:rPr>
        <w:t xml:space="preserve"> 0.450</w:t>
      </w:r>
    </w:p>
    <w:p w14:paraId="7AD20E88" w14:textId="310D96CF" w:rsidR="004E6332" w:rsidRPr="00903668" w:rsidRDefault="004E6332" w:rsidP="004E6332">
      <w:pPr>
        <w:spacing w:before="0" w:line="240" w:lineRule="auto"/>
        <w:rPr>
          <w:rFonts w:cstheme="minorHAnsi"/>
          <w:szCs w:val="24"/>
        </w:rPr>
      </w:pPr>
      <w:r w:rsidRPr="00903668">
        <w:rPr>
          <w:rFonts w:cstheme="minorHAnsi"/>
          <w:szCs w:val="24"/>
        </w:rPr>
        <w:t xml:space="preserve">Portfolio mix             </w:t>
      </w:r>
      <w:r w:rsidR="0099156E">
        <w:rPr>
          <w:rFonts w:cstheme="minorHAnsi"/>
          <w:szCs w:val="24"/>
        </w:rPr>
        <w:t xml:space="preserve"> </w:t>
      </w:r>
      <w:r w:rsidRPr="00903668">
        <w:rPr>
          <w:rFonts w:cstheme="minorHAnsi"/>
          <w:szCs w:val="24"/>
        </w:rPr>
        <w:t xml:space="preserve">  .058              .200c              .992     </w:t>
      </w:r>
      <w:r w:rsidR="0099156E">
        <w:rPr>
          <w:rFonts w:cstheme="minorHAnsi"/>
          <w:szCs w:val="24"/>
        </w:rPr>
        <w:t xml:space="preserve"> </w:t>
      </w:r>
      <w:r w:rsidRPr="00903668">
        <w:rPr>
          <w:rFonts w:cstheme="minorHAnsi"/>
          <w:szCs w:val="24"/>
        </w:rPr>
        <w:t xml:space="preserve">       .876               1.761            0.563           </w:t>
      </w:r>
    </w:p>
    <w:p w14:paraId="67847E5A" w14:textId="5878D498" w:rsidR="004E6332" w:rsidRPr="00903668" w:rsidRDefault="004E6332" w:rsidP="004E6332">
      <w:pPr>
        <w:spacing w:before="0" w:line="240" w:lineRule="auto"/>
        <w:rPr>
          <w:rFonts w:cstheme="minorHAnsi"/>
          <w:szCs w:val="24"/>
        </w:rPr>
      </w:pPr>
      <w:r>
        <w:rPr>
          <w:rFonts w:cstheme="minorHAnsi"/>
          <w:szCs w:val="24"/>
        </w:rPr>
        <w:t>Fund</w:t>
      </w:r>
      <w:r w:rsidRPr="00903668">
        <w:rPr>
          <w:rFonts w:cstheme="minorHAnsi"/>
          <w:szCs w:val="24"/>
        </w:rPr>
        <w:t xml:space="preserve"> size                      .080               .178c             .974        </w:t>
      </w:r>
      <w:r w:rsidR="0099156E">
        <w:rPr>
          <w:rFonts w:cstheme="minorHAnsi"/>
          <w:szCs w:val="24"/>
        </w:rPr>
        <w:t xml:space="preserve">  </w:t>
      </w:r>
      <w:r w:rsidRPr="00903668">
        <w:rPr>
          <w:rFonts w:cstheme="minorHAnsi"/>
          <w:szCs w:val="24"/>
        </w:rPr>
        <w:t xml:space="preserve">  .068                1.01            </w:t>
      </w:r>
      <w:r w:rsidR="00CF4F91">
        <w:rPr>
          <w:rFonts w:cstheme="minorHAnsi"/>
          <w:szCs w:val="24"/>
        </w:rPr>
        <w:t xml:space="preserve"> </w:t>
      </w:r>
      <w:r w:rsidRPr="00903668">
        <w:rPr>
          <w:rFonts w:cstheme="minorHAnsi"/>
          <w:szCs w:val="24"/>
        </w:rPr>
        <w:t xml:space="preserve"> 0.674</w:t>
      </w:r>
    </w:p>
    <w:p w14:paraId="60F021C7" w14:textId="2E80B52B" w:rsidR="004E6332" w:rsidRDefault="004E6332" w:rsidP="004E6332">
      <w:pPr>
        <w:spacing w:before="0" w:line="240" w:lineRule="auto"/>
        <w:rPr>
          <w:rFonts w:cstheme="minorHAnsi"/>
          <w:szCs w:val="24"/>
        </w:rPr>
      </w:pPr>
      <w:r w:rsidRPr="00903668">
        <w:rPr>
          <w:rFonts w:cstheme="minorHAnsi"/>
          <w:szCs w:val="24"/>
        </w:rPr>
        <w:t xml:space="preserve">Member age           </w:t>
      </w:r>
      <w:r>
        <w:rPr>
          <w:rFonts w:cstheme="minorHAnsi"/>
          <w:szCs w:val="24"/>
        </w:rPr>
        <w:t xml:space="preserve"> </w:t>
      </w:r>
      <w:r w:rsidRPr="00903668">
        <w:rPr>
          <w:rFonts w:cstheme="minorHAnsi"/>
          <w:szCs w:val="24"/>
        </w:rPr>
        <w:t xml:space="preserve"> </w:t>
      </w:r>
      <w:r>
        <w:rPr>
          <w:rFonts w:cstheme="minorHAnsi"/>
          <w:szCs w:val="24"/>
        </w:rPr>
        <w:t xml:space="preserve">    .081         </w:t>
      </w:r>
      <w:r w:rsidRPr="00903668">
        <w:rPr>
          <w:rFonts w:cstheme="minorHAnsi"/>
          <w:szCs w:val="24"/>
        </w:rPr>
        <w:t xml:space="preserve"> </w:t>
      </w:r>
      <w:r>
        <w:rPr>
          <w:rFonts w:cstheme="minorHAnsi"/>
          <w:szCs w:val="24"/>
        </w:rPr>
        <w:t xml:space="preserve">  </w:t>
      </w:r>
      <w:r w:rsidRPr="00903668">
        <w:rPr>
          <w:rFonts w:cstheme="minorHAnsi"/>
          <w:szCs w:val="24"/>
        </w:rPr>
        <w:t xml:space="preserve">  .194c             .975          </w:t>
      </w:r>
      <w:r w:rsidR="0099156E">
        <w:rPr>
          <w:rFonts w:cstheme="minorHAnsi"/>
          <w:szCs w:val="24"/>
        </w:rPr>
        <w:t xml:space="preserve">  </w:t>
      </w:r>
      <w:r w:rsidRPr="00903668">
        <w:rPr>
          <w:rFonts w:cstheme="minorHAnsi"/>
          <w:szCs w:val="24"/>
        </w:rPr>
        <w:t xml:space="preserve">  .079               1.095       </w:t>
      </w:r>
      <w:r w:rsidR="0099156E">
        <w:rPr>
          <w:rFonts w:cstheme="minorHAnsi"/>
          <w:szCs w:val="24"/>
        </w:rPr>
        <w:t xml:space="preserve"> </w:t>
      </w:r>
      <w:r w:rsidRPr="00903668">
        <w:rPr>
          <w:rFonts w:cstheme="minorHAnsi"/>
          <w:szCs w:val="24"/>
        </w:rPr>
        <w:t xml:space="preserve">  </w:t>
      </w:r>
      <w:r w:rsidR="00CF4F91">
        <w:rPr>
          <w:rFonts w:cstheme="minorHAnsi"/>
          <w:szCs w:val="24"/>
        </w:rPr>
        <w:t xml:space="preserve"> </w:t>
      </w:r>
      <w:r w:rsidRPr="00903668">
        <w:rPr>
          <w:rFonts w:cstheme="minorHAnsi"/>
          <w:szCs w:val="24"/>
        </w:rPr>
        <w:t xml:space="preserve"> 0.806</w:t>
      </w:r>
    </w:p>
    <w:p w14:paraId="774CBC63" w14:textId="1AB30652" w:rsidR="004E6332" w:rsidRPr="00903668" w:rsidRDefault="004E6332" w:rsidP="004E6332">
      <w:pPr>
        <w:tabs>
          <w:tab w:val="left" w:pos="6969"/>
        </w:tabs>
        <w:spacing w:before="0" w:line="240" w:lineRule="auto"/>
        <w:rPr>
          <w:rFonts w:cstheme="minorHAnsi"/>
          <w:szCs w:val="24"/>
        </w:rPr>
      </w:pPr>
      <w:r>
        <w:rPr>
          <w:rFonts w:cstheme="minorHAnsi"/>
          <w:szCs w:val="24"/>
        </w:rPr>
        <w:t xml:space="preserve">Regulations                  .021              .210c             .0981            .61           </w:t>
      </w:r>
      <w:r w:rsidR="0099156E">
        <w:rPr>
          <w:rFonts w:cstheme="minorHAnsi"/>
          <w:szCs w:val="24"/>
        </w:rPr>
        <w:t xml:space="preserve">   </w:t>
      </w:r>
      <w:r>
        <w:rPr>
          <w:rFonts w:cstheme="minorHAnsi"/>
          <w:szCs w:val="24"/>
        </w:rPr>
        <w:t xml:space="preserve">   1.682         </w:t>
      </w:r>
      <w:r w:rsidR="00CF4F91">
        <w:rPr>
          <w:rFonts w:cstheme="minorHAnsi"/>
          <w:szCs w:val="24"/>
        </w:rPr>
        <w:t xml:space="preserve"> </w:t>
      </w:r>
      <w:r>
        <w:rPr>
          <w:rFonts w:cstheme="minorHAnsi"/>
          <w:szCs w:val="24"/>
        </w:rPr>
        <w:t xml:space="preserve">  0.493</w:t>
      </w:r>
    </w:p>
    <w:p w14:paraId="55E40DC9" w14:textId="77777777" w:rsidR="004E6332" w:rsidRPr="00903668" w:rsidRDefault="004E6332" w:rsidP="004E6332">
      <w:pPr>
        <w:spacing w:before="0" w:line="240" w:lineRule="auto"/>
        <w:rPr>
          <w:rFonts w:cstheme="minorHAnsi"/>
          <w:szCs w:val="24"/>
        </w:rPr>
      </w:pPr>
      <w:r w:rsidRPr="00903668">
        <w:rPr>
          <w:rFonts w:cstheme="minorHAnsi"/>
          <w:szCs w:val="24"/>
        </w:rPr>
        <w:t>Dependent variable</w:t>
      </w:r>
    </w:p>
    <w:p w14:paraId="28F1C08C" w14:textId="32907DE5" w:rsidR="004E6332" w:rsidRPr="00903668" w:rsidRDefault="004E6332" w:rsidP="004E6332">
      <w:pPr>
        <w:pBdr>
          <w:bottom w:val="single" w:sz="4" w:space="1" w:color="auto"/>
        </w:pBdr>
        <w:spacing w:before="0" w:line="240" w:lineRule="auto"/>
        <w:rPr>
          <w:rFonts w:cstheme="minorHAnsi"/>
          <w:szCs w:val="24"/>
        </w:rPr>
      </w:pPr>
      <w:r w:rsidRPr="00903668">
        <w:rPr>
          <w:rFonts w:cstheme="minorHAnsi"/>
          <w:szCs w:val="24"/>
        </w:rPr>
        <w:t xml:space="preserve">ROI                              .088                .071c             .956         </w:t>
      </w:r>
      <w:r w:rsidR="0099156E">
        <w:rPr>
          <w:rFonts w:cstheme="minorHAnsi"/>
          <w:szCs w:val="24"/>
        </w:rPr>
        <w:t xml:space="preserve"> </w:t>
      </w:r>
      <w:r w:rsidRPr="00903668">
        <w:rPr>
          <w:rFonts w:cstheme="minorHAnsi"/>
          <w:szCs w:val="24"/>
        </w:rPr>
        <w:t xml:space="preserve">  .187               1.563        </w:t>
      </w:r>
      <w:r>
        <w:rPr>
          <w:rFonts w:cstheme="minorHAnsi"/>
          <w:szCs w:val="24"/>
        </w:rPr>
        <w:t xml:space="preserve">   </w:t>
      </w:r>
      <w:r w:rsidRPr="00903668">
        <w:rPr>
          <w:rFonts w:cstheme="minorHAnsi"/>
          <w:szCs w:val="24"/>
        </w:rPr>
        <w:t xml:space="preserve"> 0.915</w:t>
      </w:r>
    </w:p>
    <w:p w14:paraId="51D7F5D2" w14:textId="77777777" w:rsidR="0099156E" w:rsidRPr="0099156E" w:rsidRDefault="0099156E" w:rsidP="0099156E">
      <w:pPr>
        <w:spacing w:line="240" w:lineRule="auto"/>
        <w:rPr>
          <w:rFonts w:cs="Times New Roman"/>
          <w:b/>
          <w:color w:val="EE0000"/>
          <w:szCs w:val="24"/>
        </w:rPr>
      </w:pPr>
      <w:r w:rsidRPr="0099156E">
        <w:rPr>
          <w:rFonts w:cs="Times New Roman"/>
          <w:b/>
          <w:color w:val="EE0000"/>
          <w:szCs w:val="24"/>
        </w:rPr>
        <w:t>Source: Research Findings (2024)</w:t>
      </w:r>
    </w:p>
    <w:p w14:paraId="16C3CCF8" w14:textId="2AB73779" w:rsidR="004E6332" w:rsidRDefault="004E6332" w:rsidP="0099156E">
      <w:pPr>
        <w:spacing w:before="0" w:line="240" w:lineRule="auto"/>
        <w:rPr>
          <w:rFonts w:cs="Times New Roman"/>
          <w:b/>
          <w:szCs w:val="24"/>
        </w:rPr>
      </w:pPr>
    </w:p>
    <w:p w14:paraId="42AD2884" w14:textId="1AE2ABC0" w:rsidR="00120FC1" w:rsidRPr="004A63A3" w:rsidRDefault="004A5E22" w:rsidP="00DE7041">
      <w:pPr>
        <w:spacing w:line="240" w:lineRule="auto"/>
        <w:rPr>
          <w:rFonts w:cs="Times New Roman"/>
          <w:b/>
          <w:i/>
          <w:color w:val="auto"/>
        </w:rPr>
      </w:pPr>
      <w:r w:rsidRPr="004A63A3">
        <w:rPr>
          <w:rFonts w:cs="Times New Roman"/>
          <w:b/>
          <w:i/>
          <w:color w:val="auto"/>
        </w:rPr>
        <w:t>Test for Autocorrelation</w:t>
      </w:r>
    </w:p>
    <w:p w14:paraId="04E39994" w14:textId="18147402" w:rsidR="004A5E22" w:rsidRPr="004A5E22" w:rsidRDefault="004A5E22" w:rsidP="004A5E22">
      <w:pPr>
        <w:spacing w:before="0" w:line="240" w:lineRule="auto"/>
      </w:pPr>
      <w:r w:rsidRPr="004A5E22">
        <w:t>The investigation assessed the presence of autocorrelation within the differenced logarithmic series by applying the Wooldridge test tailored for panel data. The null hypothesis underlying this procedure posited that the residuals across any pair of observations were statistically independent. Table 4 presents the outcomes of this diagnostic test. As noted by Gujarati (2017), serial correlation arises when the unique error components exhibit strong interdependence. The Wooldridge test was specifically employed to detect first-order autocorrelation within the panel dataset, with the null hypothesis asserting the absence of such correlation</w:t>
      </w:r>
    </w:p>
    <w:p w14:paraId="00634DD3" w14:textId="49B4E440" w:rsidR="004A5E22" w:rsidRPr="004A5E22" w:rsidRDefault="004A5E22" w:rsidP="004A5E22">
      <w:pPr>
        <w:spacing w:before="0" w:line="240" w:lineRule="auto"/>
      </w:pPr>
    </w:p>
    <w:p w14:paraId="33BDAE3A" w14:textId="276A2927" w:rsidR="004A5E22" w:rsidRPr="004A5E22" w:rsidRDefault="004A5E22" w:rsidP="00DF7860">
      <w:pPr>
        <w:spacing w:before="0" w:line="240" w:lineRule="auto"/>
        <w:jc w:val="center"/>
        <w:rPr>
          <w:b/>
        </w:rPr>
      </w:pPr>
      <w:bookmarkStart w:id="7" w:name="_Toc206758534"/>
      <w:r>
        <w:rPr>
          <w:b/>
        </w:rPr>
        <w:t xml:space="preserve">Table </w:t>
      </w:r>
      <w:proofErr w:type="gramStart"/>
      <w:r>
        <w:rPr>
          <w:b/>
        </w:rPr>
        <w:t>4</w:t>
      </w:r>
      <w:r w:rsidR="00DF7860">
        <w:rPr>
          <w:b/>
        </w:rPr>
        <w:t xml:space="preserve">  </w:t>
      </w:r>
      <w:r w:rsidRPr="004A5E22">
        <w:rPr>
          <w:b/>
        </w:rPr>
        <w:t>Serial</w:t>
      </w:r>
      <w:proofErr w:type="gramEnd"/>
      <w:r w:rsidRPr="004A5E22">
        <w:rPr>
          <w:b/>
        </w:rPr>
        <w:t xml:space="preserve"> Correlation Test</w:t>
      </w:r>
      <w:bookmarkEnd w:id="7"/>
    </w:p>
    <w:p w14:paraId="1B92ADFB" w14:textId="1F450C06" w:rsidR="004A5E22" w:rsidRPr="008F3570" w:rsidRDefault="004A5E22" w:rsidP="004A5E22">
      <w:pPr>
        <w:pBdr>
          <w:top w:val="single" w:sz="4" w:space="1" w:color="auto"/>
          <w:bottom w:val="single" w:sz="4" w:space="1" w:color="auto"/>
        </w:pBdr>
        <w:spacing w:before="0" w:line="240" w:lineRule="auto"/>
        <w:rPr>
          <w:rFonts w:cstheme="minorHAnsi"/>
          <w:szCs w:val="24"/>
        </w:rPr>
      </w:pPr>
      <w:r w:rsidRPr="008F3570">
        <w:rPr>
          <w:rFonts w:cstheme="minorHAnsi"/>
          <w:szCs w:val="24"/>
        </w:rPr>
        <w:t xml:space="preserve">Test                                              F                               Prob &gt; F                         </w:t>
      </w:r>
      <w:r w:rsidR="00DF7860">
        <w:rPr>
          <w:rFonts w:cstheme="minorHAnsi"/>
          <w:szCs w:val="24"/>
        </w:rPr>
        <w:t xml:space="preserve">  </w:t>
      </w:r>
      <w:r w:rsidRPr="008F3570">
        <w:rPr>
          <w:rFonts w:cstheme="minorHAnsi"/>
          <w:szCs w:val="24"/>
        </w:rPr>
        <w:t xml:space="preserve">  Conclusion</w:t>
      </w:r>
    </w:p>
    <w:p w14:paraId="652932CC" w14:textId="3BF5CFFD" w:rsidR="004A5E22" w:rsidRPr="008F3570" w:rsidRDefault="004A5E22" w:rsidP="004A5E22">
      <w:pPr>
        <w:spacing w:before="0" w:line="240" w:lineRule="auto"/>
        <w:rPr>
          <w:rFonts w:cstheme="minorHAnsi"/>
          <w:szCs w:val="24"/>
        </w:rPr>
      </w:pPr>
      <w:r w:rsidRPr="008F3570">
        <w:rPr>
          <w:rFonts w:cstheme="minorHAnsi"/>
          <w:szCs w:val="24"/>
        </w:rPr>
        <w:t>Wooldridge test</w:t>
      </w:r>
      <w:r w:rsidR="00DF7860">
        <w:rPr>
          <w:rFonts w:cstheme="minorHAnsi"/>
          <w:szCs w:val="24"/>
        </w:rPr>
        <w:t xml:space="preserve"> </w:t>
      </w:r>
      <w:r w:rsidRPr="008F3570">
        <w:rPr>
          <w:rFonts w:cstheme="minorHAnsi"/>
          <w:szCs w:val="24"/>
        </w:rPr>
        <w:t xml:space="preserve">for </w:t>
      </w:r>
    </w:p>
    <w:p w14:paraId="788EBA49" w14:textId="3FAFC90F" w:rsidR="004A5E22" w:rsidRPr="008F3570" w:rsidRDefault="004A5E22" w:rsidP="004A5E22">
      <w:pPr>
        <w:pBdr>
          <w:bottom w:val="single" w:sz="4" w:space="1" w:color="auto"/>
        </w:pBdr>
        <w:spacing w:before="0" w:line="240" w:lineRule="auto"/>
        <w:rPr>
          <w:rFonts w:cstheme="minorHAnsi"/>
          <w:szCs w:val="24"/>
        </w:rPr>
      </w:pPr>
      <w:r w:rsidRPr="008F3570">
        <w:rPr>
          <w:rFonts w:cstheme="minorHAnsi"/>
          <w:szCs w:val="24"/>
        </w:rPr>
        <w:t xml:space="preserve">Autocorrelation                   </w:t>
      </w:r>
      <w:r w:rsidR="00DF7860">
        <w:rPr>
          <w:rFonts w:cstheme="minorHAnsi"/>
          <w:szCs w:val="24"/>
        </w:rPr>
        <w:t xml:space="preserve"> </w:t>
      </w:r>
      <w:r w:rsidRPr="008F3570">
        <w:rPr>
          <w:rFonts w:cstheme="minorHAnsi"/>
          <w:szCs w:val="24"/>
        </w:rPr>
        <w:t xml:space="preserve">  0.2336                          </w:t>
      </w:r>
      <w:r w:rsidR="00DF7860">
        <w:rPr>
          <w:rFonts w:cstheme="minorHAnsi"/>
          <w:szCs w:val="24"/>
        </w:rPr>
        <w:t xml:space="preserve">   </w:t>
      </w:r>
      <w:r w:rsidRPr="008F3570">
        <w:rPr>
          <w:rFonts w:cstheme="minorHAnsi"/>
          <w:szCs w:val="24"/>
        </w:rPr>
        <w:t xml:space="preserve">  0.792</w:t>
      </w:r>
      <w:r w:rsidRPr="008F3570">
        <w:rPr>
          <w:rFonts w:cstheme="minorHAnsi"/>
        </w:rPr>
        <w:t xml:space="preserve">                   </w:t>
      </w:r>
      <w:r w:rsidR="00DF7860">
        <w:rPr>
          <w:rFonts w:cstheme="minorHAnsi"/>
          <w:szCs w:val="24"/>
        </w:rPr>
        <w:t xml:space="preserve">             No significant</w:t>
      </w:r>
    </w:p>
    <w:p w14:paraId="64FE6376" w14:textId="77777777" w:rsidR="0099156E" w:rsidRPr="0099156E" w:rsidRDefault="0099156E" w:rsidP="0099156E">
      <w:pPr>
        <w:spacing w:line="240" w:lineRule="auto"/>
        <w:rPr>
          <w:rFonts w:cs="Times New Roman"/>
          <w:b/>
          <w:color w:val="EE0000"/>
          <w:szCs w:val="24"/>
        </w:rPr>
      </w:pPr>
      <w:r w:rsidRPr="0099156E">
        <w:rPr>
          <w:rFonts w:cs="Times New Roman"/>
          <w:b/>
          <w:color w:val="EE0000"/>
          <w:szCs w:val="24"/>
        </w:rPr>
        <w:t>Source: Research Findings (2024)</w:t>
      </w:r>
    </w:p>
    <w:p w14:paraId="3BA53B20" w14:textId="65F8491A" w:rsidR="004A5E22" w:rsidRPr="004A63A3" w:rsidRDefault="004A5E22" w:rsidP="00DE7041">
      <w:pPr>
        <w:spacing w:line="240" w:lineRule="auto"/>
        <w:rPr>
          <w:rFonts w:cs="Times New Roman"/>
          <w:b/>
          <w:i/>
          <w:color w:val="auto"/>
        </w:rPr>
      </w:pPr>
      <w:r w:rsidRPr="004A63A3">
        <w:rPr>
          <w:rFonts w:cs="Times New Roman"/>
          <w:b/>
          <w:i/>
          <w:color w:val="auto"/>
        </w:rPr>
        <w:t>Test for Multicollinearity</w:t>
      </w:r>
    </w:p>
    <w:p w14:paraId="4B854BB9" w14:textId="7B284C47" w:rsidR="004A5E22" w:rsidRPr="004A5E22" w:rsidRDefault="004A5E22" w:rsidP="004A5E22">
      <w:pPr>
        <w:spacing w:before="0" w:line="240" w:lineRule="auto"/>
      </w:pPr>
      <w:r w:rsidRPr="004A5E22">
        <w:t xml:space="preserve">Multicollinearity </w:t>
      </w:r>
      <w:r w:rsidR="00A44EB1">
        <w:t xml:space="preserve">in </w:t>
      </w:r>
      <w:r w:rsidR="00A44EB1" w:rsidRPr="00A44EB1">
        <w:rPr>
          <w:color w:val="EE0000"/>
        </w:rPr>
        <w:t xml:space="preserve">Table 5 </w:t>
      </w:r>
      <w:r w:rsidRPr="004A5E22">
        <w:t>occurs when predictor variables in a regression model are highly correlated, potentially undermining the reliability of results (Gujarati, 2017). It was assessed using Variance Inflation Factor (VIF) and tolerance values (Gujarati &amp; Porter, 2009). All VIF scores were below the critical threshold of 5, indicating no serious multicollinearity: fund size (1.582), membership age (1.029), fund structure (1.494), and portfolio composition (1.114). Corresponding tolerance values</w:t>
      </w:r>
      <w:r w:rsidR="00806DB8">
        <w:t xml:space="preserve"> </w:t>
      </w:r>
      <w:r w:rsidRPr="004A5E22">
        <w:t>0.972, 0.632, 0.898, and 0.669</w:t>
      </w:r>
      <w:r w:rsidR="00806DB8">
        <w:t xml:space="preserve"> </w:t>
      </w:r>
      <w:r w:rsidRPr="004A5E22">
        <w:t>were sufficiently close to 1, further confirming low interdependence. The analysis thus established the absence of multicollinearity, validating the suitability of the variables for regression analysis</w:t>
      </w:r>
    </w:p>
    <w:p w14:paraId="073B4F9E" w14:textId="77777777" w:rsidR="004A5E22" w:rsidRDefault="004A5E22" w:rsidP="004A5E22">
      <w:pPr>
        <w:spacing w:before="0" w:line="240" w:lineRule="auto"/>
        <w:rPr>
          <w:rFonts w:cs="Times New Roman"/>
          <w:b/>
          <w:color w:val="auto"/>
          <w:sz w:val="28"/>
        </w:rPr>
      </w:pPr>
    </w:p>
    <w:p w14:paraId="520C8F2D" w14:textId="77777777" w:rsidR="004A5E22" w:rsidRPr="004A5E22" w:rsidRDefault="004A5E22" w:rsidP="00DF7860">
      <w:pPr>
        <w:spacing w:before="0" w:line="240" w:lineRule="auto"/>
        <w:jc w:val="center"/>
        <w:rPr>
          <w:b/>
          <w:i/>
        </w:rPr>
      </w:pPr>
      <w:bookmarkStart w:id="8" w:name="_Toc206758535"/>
      <w:r w:rsidRPr="004A5E22">
        <w:rPr>
          <w:b/>
          <w:i/>
        </w:rPr>
        <w:t>Table 5 VIF (Tolerance) Test</w:t>
      </w:r>
      <w:bookmarkEnd w:id="8"/>
    </w:p>
    <w:p w14:paraId="46DD930E" w14:textId="77777777" w:rsidR="004A5E22" w:rsidRPr="00640B6F" w:rsidRDefault="004A5E22" w:rsidP="004A5E22">
      <w:pPr>
        <w:spacing w:before="0" w:line="240" w:lineRule="auto"/>
        <w:rPr>
          <w:lang w:val="en-GB"/>
        </w:rPr>
      </w:pPr>
    </w:p>
    <w:p w14:paraId="3D5F5488" w14:textId="06629DFA" w:rsidR="004A5E22" w:rsidRPr="00380838" w:rsidRDefault="004A5E22" w:rsidP="004A5E22">
      <w:pPr>
        <w:pBdr>
          <w:top w:val="single" w:sz="4" w:space="1" w:color="auto"/>
          <w:bottom w:val="single" w:sz="4" w:space="1" w:color="auto"/>
        </w:pBdr>
        <w:spacing w:before="0" w:line="240" w:lineRule="auto"/>
        <w:rPr>
          <w:rFonts w:cstheme="minorHAnsi"/>
          <w:szCs w:val="24"/>
        </w:rPr>
      </w:pPr>
      <w:r w:rsidRPr="00380838">
        <w:rPr>
          <w:rFonts w:cstheme="minorHAnsi"/>
          <w:szCs w:val="24"/>
        </w:rPr>
        <w:t xml:space="preserve">Variable                                                    Tolerance                                       </w:t>
      </w:r>
      <w:r w:rsidR="00DF7860">
        <w:rPr>
          <w:rFonts w:cstheme="minorHAnsi"/>
          <w:szCs w:val="24"/>
        </w:rPr>
        <w:t>Variance Inflation Factor</w:t>
      </w:r>
      <w:r w:rsidRPr="00380838">
        <w:rPr>
          <w:rFonts w:cstheme="minorHAnsi"/>
          <w:szCs w:val="24"/>
        </w:rPr>
        <w:t xml:space="preserve"> </w:t>
      </w:r>
      <w:r w:rsidR="00DF7860">
        <w:rPr>
          <w:rFonts w:cstheme="minorHAnsi"/>
          <w:szCs w:val="24"/>
        </w:rPr>
        <w:t>(</w:t>
      </w:r>
      <w:r w:rsidRPr="00380838">
        <w:rPr>
          <w:rFonts w:cstheme="minorHAnsi"/>
          <w:szCs w:val="24"/>
        </w:rPr>
        <w:t>VIF</w:t>
      </w:r>
      <w:r w:rsidR="00DF7860">
        <w:rPr>
          <w:rFonts w:cstheme="minorHAnsi"/>
          <w:szCs w:val="24"/>
        </w:rPr>
        <w:t>)</w:t>
      </w:r>
      <w:r w:rsidRPr="00380838">
        <w:rPr>
          <w:rFonts w:cstheme="minorHAnsi"/>
          <w:szCs w:val="24"/>
        </w:rPr>
        <w:t xml:space="preserve">            </w:t>
      </w:r>
    </w:p>
    <w:p w14:paraId="0D3AB416" w14:textId="5988930D" w:rsidR="004A5E22" w:rsidRPr="00380838" w:rsidRDefault="004A5E22" w:rsidP="004A5E22">
      <w:pPr>
        <w:spacing w:before="0" w:line="240" w:lineRule="auto"/>
        <w:rPr>
          <w:rFonts w:cstheme="minorHAnsi"/>
          <w:szCs w:val="24"/>
        </w:rPr>
      </w:pPr>
      <w:r w:rsidRPr="00380838">
        <w:rPr>
          <w:rFonts w:cstheme="minorHAnsi"/>
          <w:szCs w:val="24"/>
        </w:rPr>
        <w:t xml:space="preserve">Member age                                           </w:t>
      </w:r>
      <w:r w:rsidR="00DF7860">
        <w:rPr>
          <w:rFonts w:cstheme="minorHAnsi"/>
          <w:szCs w:val="24"/>
        </w:rPr>
        <w:t xml:space="preserve"> </w:t>
      </w:r>
      <w:r w:rsidRPr="00380838">
        <w:rPr>
          <w:rFonts w:cstheme="minorHAnsi"/>
          <w:szCs w:val="24"/>
        </w:rPr>
        <w:t xml:space="preserve">  </w:t>
      </w:r>
      <w:r>
        <w:rPr>
          <w:rFonts w:cstheme="minorHAnsi"/>
          <w:szCs w:val="24"/>
        </w:rPr>
        <w:t xml:space="preserve"> </w:t>
      </w:r>
      <w:r w:rsidRPr="00380838">
        <w:rPr>
          <w:rFonts w:cstheme="minorHAnsi"/>
          <w:szCs w:val="24"/>
        </w:rPr>
        <w:t xml:space="preserve">0.972                              </w:t>
      </w:r>
      <w:r>
        <w:rPr>
          <w:rFonts w:cstheme="minorHAnsi"/>
          <w:szCs w:val="24"/>
        </w:rPr>
        <w:t xml:space="preserve">                </w:t>
      </w:r>
      <w:r w:rsidR="00DF7860">
        <w:rPr>
          <w:rFonts w:cstheme="minorHAnsi"/>
          <w:szCs w:val="24"/>
        </w:rPr>
        <w:t xml:space="preserve">  </w:t>
      </w:r>
      <w:r>
        <w:rPr>
          <w:rFonts w:cstheme="minorHAnsi"/>
          <w:szCs w:val="24"/>
        </w:rPr>
        <w:t xml:space="preserve">            </w:t>
      </w:r>
      <w:r w:rsidRPr="00380838">
        <w:rPr>
          <w:rFonts w:cstheme="minorHAnsi"/>
          <w:szCs w:val="24"/>
        </w:rPr>
        <w:t xml:space="preserve"> 1.029</w:t>
      </w:r>
    </w:p>
    <w:p w14:paraId="201B58D5" w14:textId="77777777" w:rsidR="004A5E22" w:rsidRPr="00380838" w:rsidRDefault="004A5E22" w:rsidP="004A5E22">
      <w:pPr>
        <w:spacing w:before="0" w:line="240" w:lineRule="auto"/>
        <w:rPr>
          <w:rFonts w:cstheme="minorHAnsi"/>
          <w:szCs w:val="24"/>
        </w:rPr>
      </w:pPr>
      <w:r>
        <w:rPr>
          <w:rFonts w:cstheme="minorHAnsi"/>
          <w:szCs w:val="24"/>
        </w:rPr>
        <w:t>Fund</w:t>
      </w:r>
      <w:r w:rsidRPr="00380838">
        <w:rPr>
          <w:rFonts w:cstheme="minorHAnsi"/>
          <w:szCs w:val="24"/>
        </w:rPr>
        <w:t xml:space="preserve"> size                                                    0.632                                                             1.582</w:t>
      </w:r>
    </w:p>
    <w:p w14:paraId="542B96A1" w14:textId="677E4AB6" w:rsidR="004A5E22" w:rsidRPr="00380838" w:rsidRDefault="004A5E22" w:rsidP="004A5E22">
      <w:pPr>
        <w:spacing w:before="0" w:line="240" w:lineRule="auto"/>
        <w:rPr>
          <w:rFonts w:cstheme="minorHAnsi"/>
          <w:szCs w:val="24"/>
        </w:rPr>
      </w:pPr>
      <w:r w:rsidRPr="00380838">
        <w:rPr>
          <w:rFonts w:cstheme="minorHAnsi"/>
          <w:szCs w:val="24"/>
        </w:rPr>
        <w:t xml:space="preserve">Portfolio mix                                        </w:t>
      </w:r>
      <w:r w:rsidR="00DF7860">
        <w:rPr>
          <w:rFonts w:cstheme="minorHAnsi"/>
          <w:szCs w:val="24"/>
        </w:rPr>
        <w:t xml:space="preserve"> </w:t>
      </w:r>
      <w:r w:rsidRPr="00380838">
        <w:rPr>
          <w:rFonts w:cstheme="minorHAnsi"/>
          <w:szCs w:val="24"/>
        </w:rPr>
        <w:t xml:space="preserve">     0.898                             </w:t>
      </w:r>
      <w:r>
        <w:rPr>
          <w:rFonts w:cstheme="minorHAnsi"/>
          <w:szCs w:val="24"/>
        </w:rPr>
        <w:t xml:space="preserve">                      </w:t>
      </w:r>
      <w:r w:rsidR="00DF7860">
        <w:rPr>
          <w:rFonts w:cstheme="minorHAnsi"/>
          <w:szCs w:val="24"/>
        </w:rPr>
        <w:t xml:space="preserve"> </w:t>
      </w:r>
      <w:r>
        <w:rPr>
          <w:rFonts w:cstheme="minorHAnsi"/>
          <w:szCs w:val="24"/>
        </w:rPr>
        <w:t xml:space="preserve">         </w:t>
      </w:r>
      <w:r w:rsidRPr="00380838">
        <w:rPr>
          <w:rFonts w:cstheme="minorHAnsi"/>
          <w:szCs w:val="24"/>
        </w:rPr>
        <w:t>1.114</w:t>
      </w:r>
    </w:p>
    <w:p w14:paraId="273E819F" w14:textId="2299EAA0" w:rsidR="004A5E22" w:rsidRDefault="004A5E22" w:rsidP="004A5E22">
      <w:pPr>
        <w:pBdr>
          <w:bottom w:val="single" w:sz="4" w:space="1" w:color="auto"/>
        </w:pBdr>
        <w:spacing w:before="0" w:line="240" w:lineRule="auto"/>
        <w:rPr>
          <w:rFonts w:cstheme="minorHAnsi"/>
          <w:szCs w:val="24"/>
        </w:rPr>
      </w:pPr>
      <w:r w:rsidRPr="00380838">
        <w:rPr>
          <w:rFonts w:cstheme="minorHAnsi"/>
          <w:szCs w:val="24"/>
        </w:rPr>
        <w:t xml:space="preserve">Fund design               </w:t>
      </w:r>
      <w:r>
        <w:rPr>
          <w:rFonts w:cstheme="minorHAnsi"/>
          <w:szCs w:val="24"/>
        </w:rPr>
        <w:t xml:space="preserve">                            </w:t>
      </w:r>
      <w:r w:rsidR="00DF7860">
        <w:rPr>
          <w:rFonts w:cstheme="minorHAnsi"/>
          <w:szCs w:val="24"/>
        </w:rPr>
        <w:t xml:space="preserve">  </w:t>
      </w:r>
      <w:r>
        <w:rPr>
          <w:rFonts w:cstheme="minorHAnsi"/>
          <w:szCs w:val="24"/>
        </w:rPr>
        <w:t xml:space="preserve">   </w:t>
      </w:r>
      <w:r w:rsidRPr="00380838">
        <w:rPr>
          <w:rFonts w:cstheme="minorHAnsi"/>
          <w:szCs w:val="24"/>
        </w:rPr>
        <w:t xml:space="preserve">0.669                                                            </w:t>
      </w:r>
      <w:r>
        <w:rPr>
          <w:rFonts w:cstheme="minorHAnsi"/>
          <w:szCs w:val="24"/>
        </w:rPr>
        <w:t xml:space="preserve"> </w:t>
      </w:r>
      <w:r w:rsidRPr="00380838">
        <w:rPr>
          <w:rFonts w:cstheme="minorHAnsi"/>
          <w:szCs w:val="24"/>
        </w:rPr>
        <w:t>1.494</w:t>
      </w:r>
    </w:p>
    <w:p w14:paraId="23FF7027" w14:textId="39E35395" w:rsidR="004A5E22" w:rsidRDefault="004A5E22" w:rsidP="004A5E22">
      <w:pPr>
        <w:pBdr>
          <w:bottom w:val="single" w:sz="4" w:space="1" w:color="auto"/>
        </w:pBdr>
        <w:tabs>
          <w:tab w:val="left" w:pos="3751"/>
          <w:tab w:val="left" w:pos="7680"/>
        </w:tabs>
        <w:spacing w:before="0" w:line="240" w:lineRule="auto"/>
        <w:rPr>
          <w:rFonts w:cstheme="minorHAnsi"/>
          <w:szCs w:val="24"/>
        </w:rPr>
      </w:pPr>
      <w:r>
        <w:rPr>
          <w:rFonts w:cstheme="minorHAnsi"/>
          <w:szCs w:val="24"/>
        </w:rPr>
        <w:t xml:space="preserve">Regulations                                           </w:t>
      </w:r>
      <w:r w:rsidR="00DF7860">
        <w:rPr>
          <w:rFonts w:cstheme="minorHAnsi"/>
          <w:szCs w:val="24"/>
        </w:rPr>
        <w:t xml:space="preserve"> </w:t>
      </w:r>
      <w:r>
        <w:rPr>
          <w:rFonts w:cstheme="minorHAnsi"/>
          <w:szCs w:val="24"/>
        </w:rPr>
        <w:t xml:space="preserve">    </w:t>
      </w:r>
      <w:r w:rsidR="00DF7860">
        <w:rPr>
          <w:rFonts w:cstheme="minorHAnsi"/>
          <w:szCs w:val="24"/>
        </w:rPr>
        <w:t xml:space="preserve"> </w:t>
      </w:r>
      <w:r>
        <w:rPr>
          <w:rFonts w:cstheme="minorHAnsi"/>
          <w:szCs w:val="24"/>
        </w:rPr>
        <w:t xml:space="preserve">0.614                                              </w:t>
      </w:r>
      <w:r w:rsidR="00DF7860">
        <w:rPr>
          <w:rFonts w:cstheme="minorHAnsi"/>
          <w:szCs w:val="24"/>
        </w:rPr>
        <w:t xml:space="preserve"> </w:t>
      </w:r>
      <w:r>
        <w:rPr>
          <w:rFonts w:cstheme="minorHAnsi"/>
          <w:szCs w:val="24"/>
        </w:rPr>
        <w:t xml:space="preserve">              1.532</w:t>
      </w:r>
    </w:p>
    <w:p w14:paraId="73115CD0" w14:textId="2B0983DF" w:rsidR="00DF7860" w:rsidRPr="0099156E" w:rsidRDefault="00DF7860" w:rsidP="00DF7860">
      <w:pPr>
        <w:spacing w:line="240" w:lineRule="auto"/>
        <w:rPr>
          <w:rFonts w:cs="Times New Roman"/>
          <w:b/>
          <w:color w:val="EE0000"/>
          <w:szCs w:val="24"/>
        </w:rPr>
      </w:pPr>
      <w:r w:rsidRPr="0099156E">
        <w:rPr>
          <w:rFonts w:cs="Times New Roman"/>
          <w:b/>
          <w:color w:val="EE0000"/>
          <w:szCs w:val="24"/>
        </w:rPr>
        <w:t>Source: Research Findings (2024)</w:t>
      </w:r>
    </w:p>
    <w:p w14:paraId="197E5546" w14:textId="7C229E81" w:rsidR="004A5E22" w:rsidRPr="005D5F49" w:rsidRDefault="004A5E22" w:rsidP="004A5E22">
      <w:pPr>
        <w:spacing w:before="0" w:line="240" w:lineRule="auto"/>
        <w:rPr>
          <w:rFonts w:cstheme="minorHAnsi"/>
          <w:b/>
          <w:szCs w:val="24"/>
        </w:rPr>
      </w:pPr>
    </w:p>
    <w:p w14:paraId="45CB4C35" w14:textId="6979D795" w:rsidR="004A5E22" w:rsidRPr="004A63A3" w:rsidRDefault="004A5E22" w:rsidP="004A5E22">
      <w:pPr>
        <w:rPr>
          <w:rFonts w:cs="Times New Roman"/>
          <w:b/>
          <w:i/>
          <w:color w:val="auto"/>
        </w:rPr>
      </w:pPr>
      <w:r w:rsidRPr="004A63A3">
        <w:rPr>
          <w:rFonts w:cs="Times New Roman"/>
          <w:b/>
          <w:i/>
          <w:color w:val="auto"/>
        </w:rPr>
        <w:lastRenderedPageBreak/>
        <w:t>Test for Heteroscedasticity</w:t>
      </w:r>
    </w:p>
    <w:p w14:paraId="1D77B4C3" w14:textId="0BDA53EB" w:rsidR="004A5E22" w:rsidRDefault="004A5E22" w:rsidP="004A5E22">
      <w:pPr>
        <w:spacing w:before="0" w:line="240" w:lineRule="auto"/>
      </w:pPr>
      <w:r w:rsidRPr="004A5E22">
        <w:t>Heteroscedasticity</w:t>
      </w:r>
      <w:r w:rsidR="00A44EB1">
        <w:t xml:space="preserve"> </w:t>
      </w:r>
      <w:r w:rsidRPr="004A5E22">
        <w:t xml:space="preserve">arises when the variance of error terms is inconsistent across observations, a condition more common in cross-sectional data (Long &amp; Ervin, 2018; Gujarati, 2017). To assess this, the study employed the Breusch-Pagan and Levene’s tests. A chi-square statistic exceeding 9.21 was deemed indicative of variance inconsistency. Results in Table </w:t>
      </w:r>
      <w:r>
        <w:t>6</w:t>
      </w:r>
      <w:r w:rsidRPr="004A5E22">
        <w:t xml:space="preserve"> show that all variables</w:t>
      </w:r>
      <w:r w:rsidR="00806DB8">
        <w:t xml:space="preserve"> </w:t>
      </w:r>
      <w:r w:rsidRPr="004A5E22">
        <w:t>membership age, fund magnitude, portfolio composition, and structural design</w:t>
      </w:r>
      <w:r w:rsidR="00806DB8">
        <w:t xml:space="preserve"> </w:t>
      </w:r>
      <w:r w:rsidRPr="004A5E22">
        <w:t>recorded chi-square values below 9.21 with p-values above 0.05. Similarly, Levene’s test confirmed uniform variance. These findings indicate no evidence of heteroscedasticity, validating the assumption of homoscedasticity across the dataset</w:t>
      </w:r>
      <w:r w:rsidR="00DF7860">
        <w:t>.</w:t>
      </w:r>
    </w:p>
    <w:p w14:paraId="08086AB5" w14:textId="77777777" w:rsidR="00DF7860" w:rsidRPr="004A5E22" w:rsidRDefault="00DF7860" w:rsidP="004A5E22">
      <w:pPr>
        <w:spacing w:before="0" w:line="240" w:lineRule="auto"/>
      </w:pPr>
    </w:p>
    <w:p w14:paraId="3AD63CD1" w14:textId="77777777" w:rsidR="004A5E22" w:rsidRPr="004A5E22" w:rsidRDefault="004A5E22" w:rsidP="00DF7860">
      <w:pPr>
        <w:spacing w:before="0" w:line="240" w:lineRule="auto"/>
        <w:jc w:val="center"/>
        <w:rPr>
          <w:b/>
          <w:i/>
        </w:rPr>
      </w:pPr>
      <w:bookmarkStart w:id="9" w:name="_Toc206758536"/>
      <w:r w:rsidRPr="004A5E22">
        <w:rPr>
          <w:b/>
          <w:i/>
        </w:rPr>
        <w:t>Table 6 Breusch-Pagan Test and Levene Test</w:t>
      </w:r>
      <w:bookmarkEnd w:id="9"/>
    </w:p>
    <w:p w14:paraId="29582908" w14:textId="3BA876D4" w:rsidR="004A5E22" w:rsidRPr="00F07E80" w:rsidRDefault="004A5E22" w:rsidP="004A5E22">
      <w:pPr>
        <w:pBdr>
          <w:top w:val="single" w:sz="4" w:space="1" w:color="auto"/>
          <w:bottom w:val="single" w:sz="4" w:space="1" w:color="auto"/>
        </w:pBdr>
        <w:spacing w:before="0" w:line="240" w:lineRule="auto"/>
        <w:rPr>
          <w:rFonts w:cstheme="minorHAnsi"/>
          <w:szCs w:val="24"/>
        </w:rPr>
      </w:pPr>
      <w:r w:rsidRPr="00F07E80">
        <w:rPr>
          <w:rFonts w:cstheme="minorHAnsi"/>
          <w:szCs w:val="24"/>
        </w:rPr>
        <w:t xml:space="preserve">                                                     Breusch-Pagan test               </w:t>
      </w:r>
      <w:r w:rsidR="00DF7860">
        <w:rPr>
          <w:rFonts w:cstheme="minorHAnsi"/>
          <w:szCs w:val="24"/>
        </w:rPr>
        <w:t xml:space="preserve">      </w:t>
      </w:r>
      <w:r w:rsidRPr="00F07E80">
        <w:rPr>
          <w:rFonts w:cstheme="minorHAnsi"/>
          <w:szCs w:val="24"/>
        </w:rPr>
        <w:t xml:space="preserve">   Levene test</w:t>
      </w:r>
    </w:p>
    <w:p w14:paraId="362AE35C" w14:textId="601C6B8B" w:rsidR="004A5E22" w:rsidRPr="00F07E80" w:rsidRDefault="004A5E22" w:rsidP="004A5E22">
      <w:pPr>
        <w:pBdr>
          <w:top w:val="single" w:sz="4" w:space="1" w:color="auto"/>
          <w:bottom w:val="single" w:sz="4" w:space="1" w:color="auto"/>
        </w:pBdr>
        <w:spacing w:before="0" w:line="240" w:lineRule="auto"/>
        <w:rPr>
          <w:rFonts w:cstheme="minorHAnsi"/>
          <w:szCs w:val="24"/>
        </w:rPr>
      </w:pPr>
      <w:r w:rsidRPr="00F07E80">
        <w:rPr>
          <w:rFonts w:cstheme="minorHAnsi"/>
          <w:szCs w:val="24"/>
        </w:rPr>
        <w:t xml:space="preserve"> Variable                             Chi-square             Prob &gt; Chi2          </w:t>
      </w:r>
      <w:r w:rsidR="00DF7860">
        <w:rPr>
          <w:rFonts w:cstheme="minorHAnsi"/>
          <w:szCs w:val="24"/>
        </w:rPr>
        <w:t xml:space="preserve">     </w:t>
      </w:r>
      <w:r w:rsidRPr="00F07E80">
        <w:rPr>
          <w:rFonts w:cstheme="minorHAnsi"/>
          <w:szCs w:val="24"/>
        </w:rPr>
        <w:t xml:space="preserve"> Statistic               </w:t>
      </w:r>
      <w:r w:rsidR="00DF7860">
        <w:rPr>
          <w:rFonts w:cstheme="minorHAnsi"/>
          <w:szCs w:val="24"/>
        </w:rPr>
        <w:t xml:space="preserve"> </w:t>
      </w:r>
      <w:r w:rsidRPr="00F07E80">
        <w:rPr>
          <w:rFonts w:cstheme="minorHAnsi"/>
          <w:szCs w:val="24"/>
        </w:rPr>
        <w:t xml:space="preserve">    </w:t>
      </w:r>
      <w:proofErr w:type="spellStart"/>
      <w:r w:rsidRPr="00F07E80">
        <w:rPr>
          <w:rFonts w:cstheme="minorHAnsi"/>
          <w:szCs w:val="24"/>
        </w:rPr>
        <w:t>Pr</w:t>
      </w:r>
      <w:proofErr w:type="spellEnd"/>
      <w:r w:rsidRPr="00F07E80">
        <w:rPr>
          <w:rFonts w:cstheme="minorHAnsi"/>
          <w:szCs w:val="24"/>
        </w:rPr>
        <w:t xml:space="preserve"> &gt; F           </w:t>
      </w:r>
    </w:p>
    <w:p w14:paraId="266116E4" w14:textId="3763C9BB" w:rsidR="004A5E22" w:rsidRPr="00F07E80" w:rsidRDefault="004A5E22" w:rsidP="004A5E22">
      <w:pPr>
        <w:spacing w:before="0" w:line="240" w:lineRule="auto"/>
        <w:rPr>
          <w:rFonts w:cstheme="minorHAnsi"/>
          <w:szCs w:val="24"/>
        </w:rPr>
      </w:pPr>
      <w:r w:rsidRPr="00F07E80">
        <w:rPr>
          <w:rFonts w:cstheme="minorHAnsi"/>
          <w:szCs w:val="24"/>
        </w:rPr>
        <w:t xml:space="preserve">Fund design                         </w:t>
      </w:r>
      <w:r>
        <w:rPr>
          <w:rFonts w:cstheme="minorHAnsi"/>
          <w:szCs w:val="24"/>
        </w:rPr>
        <w:t xml:space="preserve"> 1</w:t>
      </w:r>
      <w:r w:rsidRPr="00F07E80">
        <w:rPr>
          <w:rFonts w:cstheme="minorHAnsi"/>
          <w:szCs w:val="24"/>
        </w:rPr>
        <w:t xml:space="preserve">.176                     </w:t>
      </w:r>
      <w:r w:rsidR="00DF7860">
        <w:rPr>
          <w:rFonts w:cstheme="minorHAnsi"/>
          <w:szCs w:val="24"/>
        </w:rPr>
        <w:t xml:space="preserve"> </w:t>
      </w:r>
      <w:r w:rsidRPr="00F07E80">
        <w:rPr>
          <w:rFonts w:cstheme="minorHAnsi"/>
          <w:szCs w:val="24"/>
        </w:rPr>
        <w:t xml:space="preserve">    .140                  </w:t>
      </w:r>
      <w:r w:rsidR="00DF7860">
        <w:rPr>
          <w:rFonts w:cstheme="minorHAnsi"/>
          <w:szCs w:val="24"/>
        </w:rPr>
        <w:t xml:space="preserve"> </w:t>
      </w:r>
      <w:r w:rsidRPr="00F07E80">
        <w:rPr>
          <w:rFonts w:cstheme="minorHAnsi"/>
          <w:szCs w:val="24"/>
        </w:rPr>
        <w:t xml:space="preserve">    1.891                        0.072</w:t>
      </w:r>
    </w:p>
    <w:p w14:paraId="75B7F3D4" w14:textId="458FC420" w:rsidR="004A5E22" w:rsidRPr="00F07E80" w:rsidRDefault="004A5E22" w:rsidP="004A5E22">
      <w:pPr>
        <w:spacing w:before="0" w:line="240" w:lineRule="auto"/>
        <w:rPr>
          <w:rFonts w:cstheme="minorHAnsi"/>
          <w:szCs w:val="24"/>
        </w:rPr>
      </w:pPr>
      <w:r w:rsidRPr="00F07E80">
        <w:rPr>
          <w:rFonts w:cstheme="minorHAnsi"/>
          <w:szCs w:val="24"/>
        </w:rPr>
        <w:t xml:space="preserve">Member age                   </w:t>
      </w:r>
      <w:r w:rsidR="00DF7860">
        <w:rPr>
          <w:rFonts w:cstheme="minorHAnsi"/>
          <w:szCs w:val="24"/>
        </w:rPr>
        <w:t xml:space="preserve">  </w:t>
      </w:r>
      <w:r w:rsidRPr="00F07E80">
        <w:rPr>
          <w:rFonts w:cstheme="minorHAnsi"/>
          <w:szCs w:val="24"/>
        </w:rPr>
        <w:t xml:space="preserve">    </w:t>
      </w:r>
      <w:r>
        <w:rPr>
          <w:rFonts w:cstheme="minorHAnsi"/>
          <w:szCs w:val="24"/>
        </w:rPr>
        <w:t xml:space="preserve"> </w:t>
      </w:r>
      <w:r w:rsidRPr="00F07E80">
        <w:rPr>
          <w:rFonts w:cstheme="minorHAnsi"/>
          <w:szCs w:val="24"/>
        </w:rPr>
        <w:t xml:space="preserve">0.009                          .926                 </w:t>
      </w:r>
      <w:r w:rsidR="00DF7860">
        <w:rPr>
          <w:rFonts w:cstheme="minorHAnsi"/>
          <w:szCs w:val="24"/>
        </w:rPr>
        <w:t xml:space="preserve"> </w:t>
      </w:r>
      <w:r w:rsidRPr="00F07E80">
        <w:rPr>
          <w:rFonts w:cstheme="minorHAnsi"/>
          <w:szCs w:val="24"/>
        </w:rPr>
        <w:t xml:space="preserve">     1.443                        0.191</w:t>
      </w:r>
    </w:p>
    <w:p w14:paraId="2D120567" w14:textId="0DB7A061" w:rsidR="004A5E22" w:rsidRPr="00F07E80" w:rsidRDefault="004A5E22" w:rsidP="004A5E22">
      <w:pPr>
        <w:spacing w:before="0" w:line="240" w:lineRule="auto"/>
        <w:rPr>
          <w:rFonts w:cstheme="minorHAnsi"/>
          <w:szCs w:val="24"/>
        </w:rPr>
      </w:pPr>
      <w:r w:rsidRPr="00F07E80">
        <w:rPr>
          <w:rFonts w:cstheme="minorHAnsi"/>
          <w:szCs w:val="24"/>
        </w:rPr>
        <w:t xml:space="preserve">Portfolio mix                  </w:t>
      </w:r>
      <w:r w:rsidR="00DF7860">
        <w:rPr>
          <w:rFonts w:cstheme="minorHAnsi"/>
          <w:szCs w:val="24"/>
        </w:rPr>
        <w:t xml:space="preserve"> </w:t>
      </w:r>
      <w:r w:rsidRPr="00F07E80">
        <w:rPr>
          <w:rFonts w:cstheme="minorHAnsi"/>
          <w:szCs w:val="24"/>
        </w:rPr>
        <w:t xml:space="preserve">     0.011                       </w:t>
      </w:r>
      <w:r w:rsidR="00DF7860">
        <w:rPr>
          <w:rFonts w:cstheme="minorHAnsi"/>
          <w:szCs w:val="24"/>
        </w:rPr>
        <w:t xml:space="preserve"> </w:t>
      </w:r>
      <w:r w:rsidRPr="00F07E80">
        <w:rPr>
          <w:rFonts w:cstheme="minorHAnsi"/>
          <w:szCs w:val="24"/>
        </w:rPr>
        <w:t xml:space="preserve">   .917                       0.662                        0.723</w:t>
      </w:r>
    </w:p>
    <w:p w14:paraId="2765FDC9" w14:textId="27CD4945" w:rsidR="004A5E22" w:rsidRDefault="004A5E22" w:rsidP="004A5E22">
      <w:pPr>
        <w:pBdr>
          <w:bottom w:val="single" w:sz="4" w:space="1" w:color="auto"/>
        </w:pBdr>
        <w:spacing w:before="0" w:line="240" w:lineRule="auto"/>
        <w:rPr>
          <w:rFonts w:cstheme="minorHAnsi"/>
          <w:szCs w:val="24"/>
        </w:rPr>
      </w:pPr>
      <w:r>
        <w:rPr>
          <w:rFonts w:cstheme="minorHAnsi"/>
          <w:szCs w:val="24"/>
        </w:rPr>
        <w:t>Fund</w:t>
      </w:r>
      <w:r w:rsidRPr="00F07E80">
        <w:rPr>
          <w:rFonts w:cstheme="minorHAnsi"/>
          <w:szCs w:val="24"/>
        </w:rPr>
        <w:t xml:space="preserve"> Size                            </w:t>
      </w:r>
      <w:r>
        <w:rPr>
          <w:rFonts w:cstheme="minorHAnsi"/>
          <w:szCs w:val="24"/>
        </w:rPr>
        <w:t xml:space="preserve"> </w:t>
      </w:r>
      <w:r w:rsidRPr="00F07E80">
        <w:rPr>
          <w:rFonts w:cstheme="minorHAnsi"/>
          <w:szCs w:val="24"/>
        </w:rPr>
        <w:t xml:space="preserve"> 0.170                          .680                       0.241                     </w:t>
      </w:r>
      <w:r w:rsidR="00DF7860">
        <w:rPr>
          <w:rFonts w:cstheme="minorHAnsi"/>
          <w:szCs w:val="24"/>
        </w:rPr>
        <w:t xml:space="preserve"> </w:t>
      </w:r>
      <w:r w:rsidRPr="00F07E80">
        <w:rPr>
          <w:rFonts w:cstheme="minorHAnsi"/>
          <w:szCs w:val="24"/>
        </w:rPr>
        <w:t xml:space="preserve">   0.981</w:t>
      </w:r>
    </w:p>
    <w:p w14:paraId="0EC5D8CC" w14:textId="090D7006" w:rsidR="004A5E22" w:rsidRPr="00F07E80" w:rsidRDefault="004A5E22" w:rsidP="004A5E22">
      <w:pPr>
        <w:pBdr>
          <w:bottom w:val="single" w:sz="4" w:space="1" w:color="auto"/>
        </w:pBdr>
        <w:tabs>
          <w:tab w:val="left" w:pos="2293"/>
          <w:tab w:val="center" w:pos="4680"/>
          <w:tab w:val="left" w:pos="6187"/>
          <w:tab w:val="left" w:pos="8089"/>
        </w:tabs>
        <w:spacing w:before="0" w:line="240" w:lineRule="auto"/>
        <w:rPr>
          <w:rFonts w:cstheme="minorHAnsi"/>
          <w:szCs w:val="24"/>
        </w:rPr>
      </w:pPr>
      <w:r>
        <w:rPr>
          <w:rFonts w:cstheme="minorHAnsi"/>
          <w:szCs w:val="24"/>
        </w:rPr>
        <w:t xml:space="preserve">Regulations </w:t>
      </w:r>
      <w:r>
        <w:rPr>
          <w:rFonts w:cstheme="minorHAnsi"/>
          <w:szCs w:val="24"/>
        </w:rPr>
        <w:tab/>
        <w:t xml:space="preserve">  </w:t>
      </w:r>
      <w:r w:rsidR="00DF7860">
        <w:rPr>
          <w:rFonts w:cstheme="minorHAnsi"/>
          <w:szCs w:val="24"/>
        </w:rPr>
        <w:t xml:space="preserve">     </w:t>
      </w:r>
      <w:r>
        <w:rPr>
          <w:rFonts w:cstheme="minorHAnsi"/>
          <w:szCs w:val="24"/>
        </w:rPr>
        <w:t xml:space="preserve"> 0.097                          .5</w:t>
      </w:r>
      <w:r w:rsidRPr="00DC7B8A">
        <w:rPr>
          <w:rFonts w:cstheme="minorHAnsi"/>
          <w:szCs w:val="24"/>
        </w:rPr>
        <w:t>79</w:t>
      </w:r>
      <w:r>
        <w:rPr>
          <w:rFonts w:cstheme="minorHAnsi"/>
          <w:szCs w:val="24"/>
        </w:rPr>
        <w:tab/>
      </w:r>
      <w:r w:rsidR="00DF7860">
        <w:rPr>
          <w:rFonts w:cstheme="minorHAnsi"/>
          <w:szCs w:val="24"/>
        </w:rPr>
        <w:t xml:space="preserve">        </w:t>
      </w:r>
      <w:r>
        <w:rPr>
          <w:rFonts w:cstheme="minorHAnsi"/>
          <w:szCs w:val="24"/>
        </w:rPr>
        <w:t xml:space="preserve">0.127                    </w:t>
      </w:r>
      <w:r w:rsidR="00DF7860">
        <w:rPr>
          <w:rFonts w:cstheme="minorHAnsi"/>
          <w:szCs w:val="24"/>
        </w:rPr>
        <w:t xml:space="preserve">  </w:t>
      </w:r>
      <w:r>
        <w:rPr>
          <w:rFonts w:cstheme="minorHAnsi"/>
          <w:szCs w:val="24"/>
        </w:rPr>
        <w:t xml:space="preserve">   0</w:t>
      </w:r>
      <w:r w:rsidRPr="00E34D9A">
        <w:rPr>
          <w:rFonts w:cstheme="minorHAnsi"/>
          <w:szCs w:val="24"/>
        </w:rPr>
        <w:t>.207</w:t>
      </w:r>
    </w:p>
    <w:p w14:paraId="7E887569" w14:textId="2CE01BC7" w:rsidR="00DF7860" w:rsidRPr="0099156E" w:rsidRDefault="00DF7860" w:rsidP="00DF7860">
      <w:pPr>
        <w:spacing w:line="240" w:lineRule="auto"/>
        <w:rPr>
          <w:rFonts w:cs="Times New Roman"/>
          <w:b/>
          <w:color w:val="EE0000"/>
          <w:szCs w:val="24"/>
        </w:rPr>
      </w:pPr>
      <w:r w:rsidRPr="0099156E">
        <w:rPr>
          <w:rFonts w:cs="Times New Roman"/>
          <w:b/>
          <w:color w:val="EE0000"/>
          <w:szCs w:val="24"/>
        </w:rPr>
        <w:t>Source: Research Findings (2024)</w:t>
      </w:r>
    </w:p>
    <w:p w14:paraId="571AB63E" w14:textId="540D35B4" w:rsidR="004A5E22" w:rsidRPr="005D5F49" w:rsidRDefault="004A5E22" w:rsidP="004A5E22">
      <w:pPr>
        <w:spacing w:before="0" w:line="240" w:lineRule="auto"/>
        <w:rPr>
          <w:rFonts w:cs="Times New Roman"/>
          <w:b/>
          <w:szCs w:val="24"/>
        </w:rPr>
      </w:pPr>
    </w:p>
    <w:p w14:paraId="37EF0B0F" w14:textId="7D0E9135" w:rsidR="004A5E22" w:rsidRDefault="004A5E22" w:rsidP="004A5E22">
      <w:pPr>
        <w:rPr>
          <w:rFonts w:cs="Times New Roman"/>
          <w:b/>
          <w:color w:val="auto"/>
          <w:sz w:val="28"/>
        </w:rPr>
      </w:pPr>
      <w:r w:rsidRPr="004A5E22">
        <w:rPr>
          <w:rFonts w:cs="Times New Roman"/>
          <w:b/>
          <w:color w:val="auto"/>
          <w:sz w:val="28"/>
        </w:rPr>
        <w:t>4.3 Regression Analysis</w:t>
      </w:r>
    </w:p>
    <w:p w14:paraId="32E5AABF" w14:textId="624FD3DE" w:rsidR="004A5E22" w:rsidRDefault="00281FB5" w:rsidP="00281FB5">
      <w:pPr>
        <w:spacing w:before="0" w:line="240" w:lineRule="auto"/>
      </w:pPr>
      <w:r w:rsidRPr="00281FB5">
        <w:t>This study employed regression analysis using secondary data from audited financial statements and annual reports of selected pension funds between 2018 and 2022. Financial efficiency metrics were first computed, followed by reliability and validity testing of measurement constructs. The regression model examined the influence of fund size, fund design, portfolio mix, and member age on return on investment (ROI). The analysis applied ANOVA at a 95% confidence level to test hypothesized associations. R-squared values assessed the strength of relationships among variables, while ANOVA determined the significance of differences between predictor and response variables</w:t>
      </w:r>
      <w:r w:rsidR="00E91189">
        <w:t xml:space="preserve"> that stated in </w:t>
      </w:r>
      <w:r w:rsidR="00E91189" w:rsidRPr="00E91189">
        <w:rPr>
          <w:color w:val="EE0000"/>
        </w:rPr>
        <w:t>Table 7 below</w:t>
      </w:r>
      <w:r w:rsidRPr="00281FB5">
        <w:t>.</w:t>
      </w:r>
    </w:p>
    <w:p w14:paraId="0B6B949D" w14:textId="48D8FE84" w:rsidR="00281FB5" w:rsidRDefault="00281FB5" w:rsidP="00281FB5">
      <w:pPr>
        <w:spacing w:before="0" w:line="240" w:lineRule="auto"/>
      </w:pPr>
    </w:p>
    <w:p w14:paraId="1BD9064B" w14:textId="57A5C225" w:rsidR="00281FB5" w:rsidRPr="00281FB5" w:rsidRDefault="00281FB5" w:rsidP="00DF7860">
      <w:pPr>
        <w:spacing w:before="0" w:line="240" w:lineRule="auto"/>
        <w:jc w:val="center"/>
        <w:rPr>
          <w:b/>
          <w:i/>
        </w:rPr>
      </w:pPr>
      <w:bookmarkStart w:id="10" w:name="_Toc206758538"/>
      <w:r w:rsidRPr="00281FB5">
        <w:rPr>
          <w:b/>
          <w:i/>
        </w:rPr>
        <w:t>Table 7 Model Summary</w:t>
      </w:r>
      <w:bookmarkEnd w:id="10"/>
    </w:p>
    <w:tbl>
      <w:tblPr>
        <w:tblpPr w:leftFromText="180" w:rightFromText="180" w:vertAnchor="text" w:horzAnchor="margin" w:tblpY="3"/>
        <w:tblW w:w="4855" w:type="pct"/>
        <w:tblCellMar>
          <w:left w:w="93" w:type="dxa"/>
          <w:right w:w="93" w:type="dxa"/>
        </w:tblCellMar>
        <w:tblLook w:val="0000" w:firstRow="0" w:lastRow="0" w:firstColumn="0" w:lastColumn="0" w:noHBand="0" w:noVBand="0"/>
      </w:tblPr>
      <w:tblGrid>
        <w:gridCol w:w="1706"/>
        <w:gridCol w:w="1944"/>
        <w:gridCol w:w="2119"/>
        <w:gridCol w:w="2118"/>
        <w:gridCol w:w="2823"/>
      </w:tblGrid>
      <w:tr w:rsidR="00281FB5" w:rsidRPr="00D00986" w14:paraId="38C8F235" w14:textId="77777777" w:rsidTr="00D41DF1">
        <w:trPr>
          <w:trHeight w:val="848"/>
        </w:trPr>
        <w:tc>
          <w:tcPr>
            <w:tcW w:w="796" w:type="pct"/>
            <w:tcBorders>
              <w:top w:val="single" w:sz="4" w:space="0" w:color="auto"/>
              <w:bottom w:val="single" w:sz="4" w:space="0" w:color="auto"/>
            </w:tcBorders>
            <w:shd w:val="clear" w:color="000000" w:fill="FFFFFF"/>
          </w:tcPr>
          <w:p w14:paraId="6FD3228A" w14:textId="77777777" w:rsidR="00281FB5" w:rsidRPr="00A11E19" w:rsidRDefault="00281FB5" w:rsidP="00281FB5">
            <w:pPr>
              <w:spacing w:before="0" w:line="240" w:lineRule="auto"/>
              <w:rPr>
                <w:rFonts w:cstheme="minorHAnsi"/>
                <w:bCs/>
                <w:szCs w:val="24"/>
                <w:lang w:val="en-GB"/>
              </w:rPr>
            </w:pPr>
            <w:r w:rsidRPr="00A11E19">
              <w:rPr>
                <w:rFonts w:cstheme="minorHAnsi"/>
                <w:bCs/>
                <w:szCs w:val="24"/>
                <w:lang w:val="en-GB"/>
              </w:rPr>
              <w:br w:type="page"/>
            </w:r>
            <w:bookmarkStart w:id="11" w:name="_Toc258407302"/>
            <w:bookmarkStart w:id="12" w:name="_Toc269744226"/>
            <w:r w:rsidRPr="00A11E19">
              <w:rPr>
                <w:rFonts w:cstheme="minorHAnsi"/>
                <w:bCs/>
                <w:szCs w:val="24"/>
                <w:lang w:val="en-GB"/>
              </w:rPr>
              <w:t>Model</w:t>
            </w:r>
          </w:p>
        </w:tc>
        <w:tc>
          <w:tcPr>
            <w:tcW w:w="907" w:type="pct"/>
            <w:tcBorders>
              <w:top w:val="single" w:sz="4" w:space="0" w:color="auto"/>
              <w:bottom w:val="single" w:sz="4" w:space="0" w:color="auto"/>
            </w:tcBorders>
            <w:shd w:val="clear" w:color="000000" w:fill="FFFFFF"/>
          </w:tcPr>
          <w:p w14:paraId="11E10A49" w14:textId="77777777" w:rsidR="00281FB5" w:rsidRPr="00A11E19" w:rsidRDefault="00281FB5" w:rsidP="00281FB5">
            <w:pPr>
              <w:spacing w:before="0" w:line="240" w:lineRule="auto"/>
              <w:rPr>
                <w:rFonts w:cstheme="minorHAnsi"/>
                <w:bCs/>
                <w:szCs w:val="24"/>
                <w:lang w:val="en-GB"/>
              </w:rPr>
            </w:pPr>
            <w:r w:rsidRPr="00A11E19">
              <w:rPr>
                <w:rFonts w:cstheme="minorHAnsi"/>
                <w:bCs/>
                <w:szCs w:val="24"/>
                <w:lang w:val="en-GB"/>
              </w:rPr>
              <w:t xml:space="preserve">         R</w:t>
            </w:r>
          </w:p>
        </w:tc>
        <w:tc>
          <w:tcPr>
            <w:tcW w:w="989" w:type="pct"/>
            <w:tcBorders>
              <w:top w:val="single" w:sz="4" w:space="0" w:color="auto"/>
              <w:bottom w:val="single" w:sz="4" w:space="0" w:color="auto"/>
            </w:tcBorders>
            <w:shd w:val="clear" w:color="000000" w:fill="FFFFFF"/>
          </w:tcPr>
          <w:p w14:paraId="015459A1" w14:textId="77777777" w:rsidR="00281FB5" w:rsidRPr="00A11E19" w:rsidRDefault="00281FB5" w:rsidP="00281FB5">
            <w:pPr>
              <w:spacing w:before="0" w:line="240" w:lineRule="auto"/>
              <w:rPr>
                <w:rFonts w:cstheme="minorHAnsi"/>
                <w:bCs/>
                <w:szCs w:val="24"/>
                <w:lang w:val="en-GB"/>
              </w:rPr>
            </w:pPr>
            <w:r w:rsidRPr="00A11E19">
              <w:rPr>
                <w:rFonts w:cstheme="minorHAnsi"/>
                <w:bCs/>
                <w:szCs w:val="24"/>
                <w:lang w:val="en-GB"/>
              </w:rPr>
              <w:t>R Square</w:t>
            </w:r>
          </w:p>
        </w:tc>
        <w:tc>
          <w:tcPr>
            <w:tcW w:w="989" w:type="pct"/>
            <w:tcBorders>
              <w:top w:val="single" w:sz="4" w:space="0" w:color="auto"/>
              <w:bottom w:val="single" w:sz="4" w:space="0" w:color="auto"/>
            </w:tcBorders>
            <w:shd w:val="clear" w:color="000000" w:fill="FFFFFF"/>
          </w:tcPr>
          <w:p w14:paraId="1BFF376D" w14:textId="77777777" w:rsidR="00281FB5" w:rsidRPr="00A11E19" w:rsidRDefault="00281FB5" w:rsidP="00281FB5">
            <w:pPr>
              <w:spacing w:before="0" w:line="240" w:lineRule="auto"/>
              <w:rPr>
                <w:rFonts w:cstheme="minorHAnsi"/>
                <w:bCs/>
                <w:szCs w:val="24"/>
                <w:lang w:val="en-GB"/>
              </w:rPr>
            </w:pPr>
            <w:r w:rsidRPr="00A11E19">
              <w:rPr>
                <w:rFonts w:cstheme="minorHAnsi"/>
                <w:bCs/>
                <w:szCs w:val="24"/>
                <w:lang w:val="en-GB"/>
              </w:rPr>
              <w:t>Adjusted R Square</w:t>
            </w:r>
          </w:p>
        </w:tc>
        <w:tc>
          <w:tcPr>
            <w:tcW w:w="1318" w:type="pct"/>
            <w:tcBorders>
              <w:top w:val="single" w:sz="4" w:space="0" w:color="auto"/>
              <w:bottom w:val="single" w:sz="4" w:space="0" w:color="auto"/>
            </w:tcBorders>
            <w:shd w:val="clear" w:color="000000" w:fill="FFFFFF"/>
          </w:tcPr>
          <w:p w14:paraId="28FE2472" w14:textId="77777777" w:rsidR="00281FB5" w:rsidRPr="00A11E19" w:rsidRDefault="00281FB5" w:rsidP="00281FB5">
            <w:pPr>
              <w:spacing w:before="0" w:line="240" w:lineRule="auto"/>
              <w:rPr>
                <w:rFonts w:cstheme="minorHAnsi"/>
                <w:bCs/>
                <w:szCs w:val="24"/>
                <w:lang w:val="en-GB"/>
              </w:rPr>
            </w:pPr>
            <w:proofErr w:type="spellStart"/>
            <w:r w:rsidRPr="00A11E19">
              <w:rPr>
                <w:rFonts w:cstheme="minorHAnsi"/>
                <w:bCs/>
                <w:szCs w:val="24"/>
                <w:lang w:val="en-GB"/>
              </w:rPr>
              <w:t>Std.Error</w:t>
            </w:r>
            <w:proofErr w:type="spellEnd"/>
            <w:r w:rsidRPr="00A11E19">
              <w:rPr>
                <w:rFonts w:cstheme="minorHAnsi"/>
                <w:bCs/>
                <w:szCs w:val="24"/>
                <w:lang w:val="en-GB"/>
              </w:rPr>
              <w:t xml:space="preserve"> of the Estimate</w:t>
            </w:r>
          </w:p>
        </w:tc>
      </w:tr>
      <w:tr w:rsidR="00281FB5" w:rsidRPr="00D00986" w14:paraId="293DD224" w14:textId="77777777" w:rsidTr="00D41DF1">
        <w:trPr>
          <w:trHeight w:val="165"/>
        </w:trPr>
        <w:tc>
          <w:tcPr>
            <w:tcW w:w="796" w:type="pct"/>
            <w:tcBorders>
              <w:top w:val="single" w:sz="4" w:space="0" w:color="auto"/>
              <w:bottom w:val="single" w:sz="4" w:space="0" w:color="auto"/>
            </w:tcBorders>
            <w:shd w:val="clear" w:color="000000" w:fill="FFFFFF"/>
          </w:tcPr>
          <w:p w14:paraId="1000B3B6" w14:textId="77777777" w:rsidR="00281FB5" w:rsidRPr="00A11E19" w:rsidRDefault="00281FB5" w:rsidP="00281FB5">
            <w:pPr>
              <w:spacing w:before="0" w:line="240" w:lineRule="auto"/>
              <w:rPr>
                <w:rFonts w:cstheme="minorHAnsi"/>
                <w:bCs/>
                <w:szCs w:val="24"/>
                <w:lang w:val="en-GB"/>
              </w:rPr>
            </w:pPr>
            <w:r w:rsidRPr="00A11E19">
              <w:rPr>
                <w:rFonts w:cstheme="minorHAnsi"/>
                <w:bCs/>
                <w:szCs w:val="24"/>
                <w:lang w:val="en-GB"/>
              </w:rPr>
              <w:t>1</w:t>
            </w:r>
          </w:p>
        </w:tc>
        <w:tc>
          <w:tcPr>
            <w:tcW w:w="907" w:type="pct"/>
            <w:tcBorders>
              <w:top w:val="single" w:sz="4" w:space="0" w:color="auto"/>
              <w:bottom w:val="single" w:sz="4" w:space="0" w:color="auto"/>
            </w:tcBorders>
            <w:shd w:val="clear" w:color="000000" w:fill="FFFFFF"/>
            <w:vAlign w:val="center"/>
          </w:tcPr>
          <w:p w14:paraId="05FAFDD3" w14:textId="77777777" w:rsidR="00281FB5" w:rsidRPr="00A11E19" w:rsidRDefault="00281FB5" w:rsidP="00281FB5">
            <w:pPr>
              <w:spacing w:before="0" w:line="240" w:lineRule="auto"/>
              <w:rPr>
                <w:rFonts w:cstheme="minorHAnsi"/>
                <w:bCs/>
                <w:szCs w:val="24"/>
                <w:lang w:val="en-GB"/>
              </w:rPr>
            </w:pPr>
            <w:r w:rsidRPr="00A11E19">
              <w:rPr>
                <w:rFonts w:cstheme="minorHAnsi"/>
                <w:bCs/>
                <w:szCs w:val="24"/>
                <w:lang w:val="en-GB"/>
              </w:rPr>
              <w:t>.703</w:t>
            </w:r>
            <w:r w:rsidRPr="00A11E19">
              <w:rPr>
                <w:rFonts w:cstheme="minorHAnsi"/>
                <w:bCs/>
                <w:szCs w:val="24"/>
                <w:vertAlign w:val="superscript"/>
                <w:lang w:val="en-GB"/>
              </w:rPr>
              <w:t>a</w:t>
            </w:r>
          </w:p>
        </w:tc>
        <w:tc>
          <w:tcPr>
            <w:tcW w:w="989" w:type="pct"/>
            <w:tcBorders>
              <w:top w:val="single" w:sz="4" w:space="0" w:color="auto"/>
              <w:bottom w:val="single" w:sz="4" w:space="0" w:color="auto"/>
            </w:tcBorders>
            <w:shd w:val="clear" w:color="000000" w:fill="FFFFFF"/>
            <w:vAlign w:val="center"/>
          </w:tcPr>
          <w:p w14:paraId="08E83DAE" w14:textId="77777777" w:rsidR="00281FB5" w:rsidRPr="00A11E19" w:rsidRDefault="00281FB5" w:rsidP="00281FB5">
            <w:pPr>
              <w:spacing w:before="0" w:line="240" w:lineRule="auto"/>
              <w:rPr>
                <w:rFonts w:cstheme="minorHAnsi"/>
                <w:bCs/>
                <w:szCs w:val="24"/>
                <w:lang w:val="en-GB"/>
              </w:rPr>
            </w:pPr>
            <w:r w:rsidRPr="00A11E19">
              <w:rPr>
                <w:rFonts w:cstheme="minorHAnsi"/>
                <w:bCs/>
                <w:szCs w:val="24"/>
                <w:lang w:val="en-GB"/>
              </w:rPr>
              <w:t>.494</w:t>
            </w:r>
          </w:p>
        </w:tc>
        <w:tc>
          <w:tcPr>
            <w:tcW w:w="989" w:type="pct"/>
            <w:tcBorders>
              <w:top w:val="single" w:sz="4" w:space="0" w:color="auto"/>
              <w:bottom w:val="single" w:sz="4" w:space="0" w:color="auto"/>
            </w:tcBorders>
            <w:shd w:val="clear" w:color="000000" w:fill="FFFFFF"/>
            <w:vAlign w:val="center"/>
          </w:tcPr>
          <w:p w14:paraId="5092EE43" w14:textId="77777777" w:rsidR="00281FB5" w:rsidRPr="00A11E19" w:rsidRDefault="00281FB5" w:rsidP="00281FB5">
            <w:pPr>
              <w:spacing w:before="0" w:line="240" w:lineRule="auto"/>
              <w:rPr>
                <w:rFonts w:cstheme="minorHAnsi"/>
                <w:bCs/>
                <w:szCs w:val="24"/>
                <w:lang w:val="en-GB"/>
              </w:rPr>
            </w:pPr>
            <w:r w:rsidRPr="00A11E19">
              <w:rPr>
                <w:rFonts w:cstheme="minorHAnsi"/>
                <w:bCs/>
                <w:szCs w:val="24"/>
                <w:lang w:val="en-GB"/>
              </w:rPr>
              <w:t>.443</w:t>
            </w:r>
          </w:p>
        </w:tc>
        <w:tc>
          <w:tcPr>
            <w:tcW w:w="1318" w:type="pct"/>
            <w:tcBorders>
              <w:top w:val="single" w:sz="4" w:space="0" w:color="auto"/>
              <w:bottom w:val="single" w:sz="4" w:space="0" w:color="auto"/>
            </w:tcBorders>
            <w:shd w:val="clear" w:color="000000" w:fill="FFFFFF"/>
            <w:vAlign w:val="center"/>
          </w:tcPr>
          <w:p w14:paraId="2FCB6711" w14:textId="77777777" w:rsidR="00281FB5" w:rsidRPr="00A11E19" w:rsidRDefault="00281FB5" w:rsidP="00281FB5">
            <w:pPr>
              <w:spacing w:before="0" w:line="240" w:lineRule="auto"/>
              <w:rPr>
                <w:rFonts w:cstheme="minorHAnsi"/>
                <w:bCs/>
                <w:szCs w:val="24"/>
                <w:lang w:val="en-GB"/>
              </w:rPr>
            </w:pPr>
            <w:r w:rsidRPr="00A11E19">
              <w:rPr>
                <w:rFonts w:cstheme="minorHAnsi"/>
                <w:bCs/>
                <w:szCs w:val="24"/>
                <w:lang w:val="en-GB"/>
              </w:rPr>
              <w:t>.60137</w:t>
            </w:r>
          </w:p>
        </w:tc>
      </w:tr>
    </w:tbl>
    <w:bookmarkEnd w:id="11"/>
    <w:bookmarkEnd w:id="12"/>
    <w:p w14:paraId="3DCC1EA7" w14:textId="32582635" w:rsidR="00DF7860" w:rsidRPr="0099156E" w:rsidRDefault="00DF7860" w:rsidP="00DF7860">
      <w:pPr>
        <w:spacing w:line="240" w:lineRule="auto"/>
        <w:rPr>
          <w:rFonts w:cs="Times New Roman"/>
          <w:b/>
          <w:color w:val="EE0000"/>
          <w:szCs w:val="24"/>
        </w:rPr>
      </w:pPr>
      <w:r w:rsidRPr="0099156E">
        <w:rPr>
          <w:rFonts w:cs="Times New Roman"/>
          <w:b/>
          <w:color w:val="EE0000"/>
          <w:szCs w:val="24"/>
        </w:rPr>
        <w:t>Source: Research Findings (2024)</w:t>
      </w:r>
    </w:p>
    <w:p w14:paraId="43B3762F" w14:textId="5AC0D27F" w:rsidR="00281FB5" w:rsidRPr="005D5F49" w:rsidRDefault="00281FB5" w:rsidP="00281FB5">
      <w:pPr>
        <w:spacing w:before="0" w:line="240" w:lineRule="auto"/>
        <w:rPr>
          <w:rFonts w:cs="Times New Roman"/>
          <w:b/>
          <w:szCs w:val="24"/>
        </w:rPr>
      </w:pPr>
    </w:p>
    <w:p w14:paraId="47A8FA27" w14:textId="53C75B19" w:rsidR="00281FB5" w:rsidRDefault="00281FB5" w:rsidP="00281FB5">
      <w:pPr>
        <w:spacing w:before="0" w:line="240" w:lineRule="auto"/>
      </w:pPr>
    </w:p>
    <w:p w14:paraId="21FEA959" w14:textId="32030DA1" w:rsidR="00281FB5" w:rsidRPr="00281FB5" w:rsidRDefault="00281FB5" w:rsidP="00281FB5">
      <w:pPr>
        <w:spacing w:before="0" w:line="240" w:lineRule="auto"/>
      </w:pPr>
      <w:r w:rsidRPr="00281FB5">
        <w:t>The adjusted R-squared of 0.703 indicated that 70.3% of the variation in financial performance was explained by membership age, fund magnitude, structural design, and asset allocation at a 95% confidence level. This demonstrates that these factors collectively exerted a substantial influence on financial outcomes. Furthermore, the correlation coefficient (R) of 0.703 revealed a strong positive association among the variables examined in the study.</w:t>
      </w:r>
    </w:p>
    <w:p w14:paraId="6BA47EEF" w14:textId="77777777" w:rsidR="00E730D7" w:rsidRDefault="00E730D7" w:rsidP="00E730D7">
      <w:pPr>
        <w:spacing w:before="0" w:line="240" w:lineRule="auto"/>
        <w:rPr>
          <w:color w:val="000000" w:themeColor="text1"/>
        </w:rPr>
      </w:pPr>
    </w:p>
    <w:p w14:paraId="7BDECC94" w14:textId="77777777" w:rsidR="00DF7860" w:rsidRDefault="00DF7860" w:rsidP="00E730D7">
      <w:pPr>
        <w:spacing w:before="0" w:line="240" w:lineRule="auto"/>
        <w:rPr>
          <w:color w:val="000000" w:themeColor="text1"/>
        </w:rPr>
      </w:pPr>
    </w:p>
    <w:p w14:paraId="21E10477" w14:textId="77777777" w:rsidR="00DF7860" w:rsidRDefault="00DF7860" w:rsidP="00E730D7">
      <w:pPr>
        <w:spacing w:before="0" w:line="240" w:lineRule="auto"/>
        <w:rPr>
          <w:color w:val="000000" w:themeColor="text1"/>
        </w:rPr>
      </w:pPr>
    </w:p>
    <w:p w14:paraId="770AFB82" w14:textId="4C16DDB4" w:rsidR="00281FB5" w:rsidRPr="00281FB5" w:rsidRDefault="00281FB5" w:rsidP="00281FB5">
      <w:pPr>
        <w:rPr>
          <w:b/>
          <w:sz w:val="28"/>
        </w:rPr>
      </w:pPr>
      <w:r>
        <w:rPr>
          <w:b/>
          <w:sz w:val="28"/>
        </w:rPr>
        <w:lastRenderedPageBreak/>
        <w:t xml:space="preserve">4.4 </w:t>
      </w:r>
      <w:r w:rsidRPr="00281FB5">
        <w:rPr>
          <w:b/>
          <w:sz w:val="28"/>
        </w:rPr>
        <w:t>Analysis of Variance (ANOVA)</w:t>
      </w:r>
    </w:p>
    <w:p w14:paraId="7B5FA555" w14:textId="70FF6A3A" w:rsidR="00281FB5" w:rsidRDefault="00281FB5" w:rsidP="00281FB5">
      <w:pPr>
        <w:spacing w:before="0" w:line="240" w:lineRule="auto"/>
        <w:rPr>
          <w:rFonts w:cs="Times New Roman"/>
          <w:bCs/>
          <w:szCs w:val="24"/>
          <w:lang w:val="en-GB"/>
        </w:rPr>
      </w:pPr>
      <w:r w:rsidRPr="003F0065">
        <w:rPr>
          <w:rFonts w:cs="Times New Roman"/>
          <w:bCs/>
          <w:szCs w:val="24"/>
          <w:lang w:val="en-GB"/>
        </w:rPr>
        <w:t>The (ANOVA)</w:t>
      </w:r>
      <w:r w:rsidR="00E91189">
        <w:rPr>
          <w:rFonts w:cs="Times New Roman"/>
          <w:bCs/>
          <w:szCs w:val="24"/>
          <w:lang w:val="en-GB"/>
        </w:rPr>
        <w:t xml:space="preserve"> </w:t>
      </w:r>
      <w:r w:rsidR="00E91189" w:rsidRPr="00E91189">
        <w:rPr>
          <w:rFonts w:cs="Times New Roman"/>
          <w:bCs/>
          <w:color w:val="EE0000"/>
          <w:szCs w:val="24"/>
          <w:lang w:val="en-GB"/>
        </w:rPr>
        <w:t>in Table 8</w:t>
      </w:r>
      <w:r w:rsidRPr="00E91189">
        <w:rPr>
          <w:rFonts w:cs="Times New Roman"/>
          <w:bCs/>
          <w:color w:val="EE0000"/>
          <w:szCs w:val="24"/>
          <w:lang w:val="en-GB"/>
        </w:rPr>
        <w:t xml:space="preserve"> </w:t>
      </w:r>
      <w:r w:rsidRPr="003F0065">
        <w:rPr>
          <w:rFonts w:cs="Times New Roman"/>
          <w:bCs/>
          <w:szCs w:val="24"/>
          <w:lang w:val="en-GB"/>
        </w:rPr>
        <w:t xml:space="preserve">shows that the combined effect of risks project was statistically significant in explaining changes in the county project performance. </w:t>
      </w:r>
    </w:p>
    <w:p w14:paraId="25A39A7E" w14:textId="41048E32" w:rsidR="00281FB5" w:rsidRDefault="00281FB5" w:rsidP="00281FB5">
      <w:pPr>
        <w:spacing w:before="0" w:line="240" w:lineRule="auto"/>
        <w:rPr>
          <w:rFonts w:cs="Times New Roman"/>
          <w:bCs/>
          <w:szCs w:val="24"/>
          <w:lang w:val="en-GB"/>
        </w:rPr>
      </w:pPr>
    </w:p>
    <w:p w14:paraId="66CFFCB0" w14:textId="77777777" w:rsidR="00281FB5" w:rsidRPr="003F0065" w:rsidRDefault="00281FB5" w:rsidP="00281FB5">
      <w:pPr>
        <w:spacing w:before="0" w:line="240" w:lineRule="auto"/>
        <w:rPr>
          <w:rFonts w:cs="Times New Roman"/>
          <w:bCs/>
          <w:szCs w:val="24"/>
          <w:lang w:val="en-GB"/>
        </w:rPr>
      </w:pPr>
    </w:p>
    <w:p w14:paraId="1F569881" w14:textId="7B5C9325" w:rsidR="00281FB5" w:rsidRPr="00281FB5" w:rsidRDefault="00281FB5" w:rsidP="00DF7860">
      <w:pPr>
        <w:spacing w:before="0" w:line="240" w:lineRule="auto"/>
        <w:jc w:val="center"/>
        <w:rPr>
          <w:b/>
          <w:i/>
        </w:rPr>
      </w:pPr>
      <w:bookmarkStart w:id="13" w:name="_Toc206758539"/>
      <w:r w:rsidRPr="00281FB5">
        <w:rPr>
          <w:b/>
          <w:i/>
        </w:rPr>
        <w:t>Table 8 Summary of ANOVA Model.</w:t>
      </w:r>
      <w:bookmarkEnd w:id="13"/>
    </w:p>
    <w:p w14:paraId="5825529F" w14:textId="77777777" w:rsidR="00281FB5" w:rsidRPr="00640B6F" w:rsidRDefault="00281FB5" w:rsidP="00281FB5">
      <w:pPr>
        <w:spacing w:before="0" w:line="240" w:lineRule="auto"/>
        <w:rPr>
          <w:lang w:val="en-GB"/>
        </w:rPr>
      </w:pPr>
    </w:p>
    <w:p w14:paraId="2ADF7BB9" w14:textId="77777777" w:rsidR="00281FB5" w:rsidRPr="001C3CE5" w:rsidRDefault="00281FB5" w:rsidP="00DF7860">
      <w:pPr>
        <w:pBdr>
          <w:top w:val="single" w:sz="4" w:space="1" w:color="auto"/>
          <w:bottom w:val="single" w:sz="4" w:space="1" w:color="auto"/>
        </w:pBdr>
        <w:spacing w:before="0" w:line="240" w:lineRule="auto"/>
        <w:ind w:right="1580"/>
        <w:rPr>
          <w:rFonts w:cstheme="minorHAnsi"/>
          <w:szCs w:val="24"/>
        </w:rPr>
      </w:pPr>
      <w:r>
        <w:rPr>
          <w:rFonts w:cs="Times New Roman"/>
          <w:szCs w:val="24"/>
        </w:rPr>
        <w:t xml:space="preserve">                          </w:t>
      </w:r>
      <w:r w:rsidRPr="001C3CE5">
        <w:rPr>
          <w:rFonts w:cstheme="minorHAnsi"/>
          <w:szCs w:val="24"/>
        </w:rPr>
        <w:t>Sum of Squares         Df                Mean Square                F                               Sig.</w:t>
      </w:r>
    </w:p>
    <w:tbl>
      <w:tblPr>
        <w:tblW w:w="9498"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70"/>
        <w:gridCol w:w="1709"/>
        <w:gridCol w:w="1441"/>
        <w:gridCol w:w="998"/>
        <w:gridCol w:w="1612"/>
        <w:gridCol w:w="1260"/>
        <w:gridCol w:w="2208"/>
      </w:tblGrid>
      <w:tr w:rsidR="00281FB5" w:rsidRPr="0093593B" w14:paraId="67FE4B28" w14:textId="77777777" w:rsidTr="00D41DF1">
        <w:trPr>
          <w:cantSplit/>
          <w:tblHeader/>
        </w:trPr>
        <w:tc>
          <w:tcPr>
            <w:tcW w:w="270" w:type="dxa"/>
            <w:vMerge w:val="restart"/>
            <w:tcBorders>
              <w:top w:val="single" w:sz="4" w:space="0" w:color="auto"/>
              <w:bottom w:val="nil"/>
            </w:tcBorders>
            <w:shd w:val="clear" w:color="auto" w:fill="FFFFFF"/>
            <w:tcMar>
              <w:top w:w="30" w:type="dxa"/>
              <w:left w:w="30" w:type="dxa"/>
              <w:bottom w:w="30" w:type="dxa"/>
              <w:right w:w="30" w:type="dxa"/>
            </w:tcMar>
          </w:tcPr>
          <w:p w14:paraId="5A9A3981" w14:textId="77777777" w:rsidR="00281FB5" w:rsidRPr="0093593B" w:rsidRDefault="00281FB5" w:rsidP="00281FB5">
            <w:pPr>
              <w:spacing w:before="0" w:line="240" w:lineRule="auto"/>
              <w:rPr>
                <w:rFonts w:cs="Times New Roman"/>
                <w:bCs/>
                <w:szCs w:val="24"/>
                <w:lang w:val="en-GB"/>
              </w:rPr>
            </w:pPr>
          </w:p>
        </w:tc>
        <w:tc>
          <w:tcPr>
            <w:tcW w:w="1709" w:type="dxa"/>
            <w:tcBorders>
              <w:top w:val="single" w:sz="4" w:space="0" w:color="auto"/>
              <w:bottom w:val="nil"/>
            </w:tcBorders>
            <w:shd w:val="clear" w:color="auto" w:fill="FFFFFF"/>
            <w:tcMar>
              <w:top w:w="30" w:type="dxa"/>
              <w:left w:w="30" w:type="dxa"/>
              <w:bottom w:w="30" w:type="dxa"/>
              <w:right w:w="30" w:type="dxa"/>
            </w:tcMar>
          </w:tcPr>
          <w:p w14:paraId="699CE6C6"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Regression</w:t>
            </w:r>
          </w:p>
        </w:tc>
        <w:tc>
          <w:tcPr>
            <w:tcW w:w="1441" w:type="dxa"/>
            <w:tcBorders>
              <w:top w:val="single" w:sz="4" w:space="0" w:color="auto"/>
              <w:bottom w:val="nil"/>
            </w:tcBorders>
            <w:shd w:val="clear" w:color="auto" w:fill="FFFFFF"/>
            <w:tcMar>
              <w:top w:w="30" w:type="dxa"/>
              <w:left w:w="30" w:type="dxa"/>
              <w:bottom w:w="30" w:type="dxa"/>
              <w:right w:w="30" w:type="dxa"/>
            </w:tcMar>
            <w:vAlign w:val="center"/>
          </w:tcPr>
          <w:p w14:paraId="434E1CC3"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14.112</w:t>
            </w:r>
          </w:p>
        </w:tc>
        <w:tc>
          <w:tcPr>
            <w:tcW w:w="998" w:type="dxa"/>
            <w:tcBorders>
              <w:top w:val="single" w:sz="4" w:space="0" w:color="auto"/>
              <w:bottom w:val="nil"/>
            </w:tcBorders>
            <w:shd w:val="clear" w:color="auto" w:fill="FFFFFF"/>
            <w:tcMar>
              <w:top w:w="30" w:type="dxa"/>
              <w:left w:w="30" w:type="dxa"/>
              <w:bottom w:w="30" w:type="dxa"/>
              <w:right w:w="30" w:type="dxa"/>
            </w:tcMar>
            <w:vAlign w:val="center"/>
          </w:tcPr>
          <w:p w14:paraId="26B22EB9"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4</w:t>
            </w:r>
          </w:p>
        </w:tc>
        <w:tc>
          <w:tcPr>
            <w:tcW w:w="1612" w:type="dxa"/>
            <w:tcBorders>
              <w:top w:val="single" w:sz="4" w:space="0" w:color="auto"/>
              <w:bottom w:val="nil"/>
            </w:tcBorders>
            <w:shd w:val="clear" w:color="auto" w:fill="FFFFFF"/>
            <w:tcMar>
              <w:top w:w="30" w:type="dxa"/>
              <w:left w:w="30" w:type="dxa"/>
              <w:bottom w:w="30" w:type="dxa"/>
              <w:right w:w="30" w:type="dxa"/>
            </w:tcMar>
            <w:vAlign w:val="center"/>
          </w:tcPr>
          <w:p w14:paraId="1CB7266F"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 xml:space="preserve">  3.528                       </w:t>
            </w:r>
          </w:p>
        </w:tc>
        <w:tc>
          <w:tcPr>
            <w:tcW w:w="1260" w:type="dxa"/>
            <w:tcBorders>
              <w:top w:val="single" w:sz="4" w:space="0" w:color="auto"/>
              <w:bottom w:val="nil"/>
            </w:tcBorders>
            <w:shd w:val="clear" w:color="auto" w:fill="FFFFFF"/>
            <w:tcMar>
              <w:top w:w="30" w:type="dxa"/>
              <w:left w:w="30" w:type="dxa"/>
              <w:bottom w:w="30" w:type="dxa"/>
              <w:right w:w="30" w:type="dxa"/>
            </w:tcMar>
            <w:vAlign w:val="center"/>
          </w:tcPr>
          <w:p w14:paraId="394A1EC8"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 xml:space="preserve">       9.756</w:t>
            </w:r>
          </w:p>
        </w:tc>
        <w:tc>
          <w:tcPr>
            <w:tcW w:w="2208" w:type="dxa"/>
            <w:tcBorders>
              <w:top w:val="single" w:sz="4" w:space="0" w:color="auto"/>
              <w:bottom w:val="nil"/>
            </w:tcBorders>
            <w:shd w:val="clear" w:color="auto" w:fill="FFFFFF"/>
            <w:tcMar>
              <w:top w:w="30" w:type="dxa"/>
              <w:left w:w="30" w:type="dxa"/>
              <w:bottom w:w="30" w:type="dxa"/>
              <w:right w:w="30" w:type="dxa"/>
            </w:tcMar>
            <w:vAlign w:val="center"/>
          </w:tcPr>
          <w:p w14:paraId="6B8BA9CF" w14:textId="212A304D"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 xml:space="preserve">                     </w:t>
            </w:r>
            <w:r>
              <w:rPr>
                <w:rFonts w:cstheme="minorHAnsi"/>
                <w:bCs/>
                <w:szCs w:val="24"/>
                <w:lang w:val="en-GB"/>
              </w:rPr>
              <w:t>.038</w:t>
            </w:r>
            <w:r w:rsidR="00DF7860">
              <w:rPr>
                <w:rFonts w:cstheme="minorHAnsi"/>
                <w:bCs/>
                <w:szCs w:val="24"/>
                <w:vertAlign w:val="superscript"/>
                <w:lang w:val="en-GB"/>
              </w:rPr>
              <w:t>*</w:t>
            </w:r>
          </w:p>
        </w:tc>
      </w:tr>
      <w:tr w:rsidR="00281FB5" w:rsidRPr="0093593B" w14:paraId="5C6E9F6D" w14:textId="77777777" w:rsidTr="00D41DF1">
        <w:trPr>
          <w:cantSplit/>
          <w:tblHeader/>
        </w:trPr>
        <w:tc>
          <w:tcPr>
            <w:tcW w:w="270" w:type="dxa"/>
            <w:vMerge/>
            <w:tcBorders>
              <w:top w:val="nil"/>
              <w:bottom w:val="nil"/>
            </w:tcBorders>
            <w:shd w:val="clear" w:color="auto" w:fill="FFFFFF"/>
            <w:tcMar>
              <w:top w:w="30" w:type="dxa"/>
              <w:left w:w="30" w:type="dxa"/>
              <w:bottom w:w="30" w:type="dxa"/>
              <w:right w:w="30" w:type="dxa"/>
            </w:tcMar>
          </w:tcPr>
          <w:p w14:paraId="2196192C" w14:textId="77777777" w:rsidR="00281FB5" w:rsidRPr="0093593B" w:rsidRDefault="00281FB5" w:rsidP="00281FB5">
            <w:pPr>
              <w:spacing w:before="0" w:line="240" w:lineRule="auto"/>
              <w:rPr>
                <w:rFonts w:cs="Times New Roman"/>
                <w:bCs/>
                <w:szCs w:val="24"/>
                <w:lang w:val="en-GB"/>
              </w:rPr>
            </w:pPr>
          </w:p>
        </w:tc>
        <w:tc>
          <w:tcPr>
            <w:tcW w:w="1709" w:type="dxa"/>
            <w:tcBorders>
              <w:top w:val="nil"/>
              <w:bottom w:val="nil"/>
            </w:tcBorders>
            <w:shd w:val="clear" w:color="auto" w:fill="FFFFFF"/>
            <w:tcMar>
              <w:top w:w="30" w:type="dxa"/>
              <w:left w:w="30" w:type="dxa"/>
              <w:bottom w:w="30" w:type="dxa"/>
              <w:right w:w="30" w:type="dxa"/>
            </w:tcMar>
          </w:tcPr>
          <w:p w14:paraId="16506615"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Residual</w:t>
            </w:r>
          </w:p>
        </w:tc>
        <w:tc>
          <w:tcPr>
            <w:tcW w:w="1441" w:type="dxa"/>
            <w:tcBorders>
              <w:top w:val="nil"/>
              <w:bottom w:val="nil"/>
            </w:tcBorders>
            <w:shd w:val="clear" w:color="auto" w:fill="FFFFFF"/>
            <w:tcMar>
              <w:top w:w="30" w:type="dxa"/>
              <w:left w:w="30" w:type="dxa"/>
              <w:bottom w:w="30" w:type="dxa"/>
              <w:right w:w="30" w:type="dxa"/>
            </w:tcMar>
            <w:vAlign w:val="center"/>
          </w:tcPr>
          <w:p w14:paraId="2568F6D7"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14.466</w:t>
            </w:r>
          </w:p>
        </w:tc>
        <w:tc>
          <w:tcPr>
            <w:tcW w:w="998" w:type="dxa"/>
            <w:tcBorders>
              <w:top w:val="nil"/>
              <w:bottom w:val="nil"/>
            </w:tcBorders>
            <w:shd w:val="clear" w:color="auto" w:fill="FFFFFF"/>
            <w:tcMar>
              <w:top w:w="30" w:type="dxa"/>
              <w:left w:w="30" w:type="dxa"/>
              <w:bottom w:w="30" w:type="dxa"/>
              <w:right w:w="30" w:type="dxa"/>
            </w:tcMar>
            <w:vAlign w:val="center"/>
          </w:tcPr>
          <w:p w14:paraId="46D26D52"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40</w:t>
            </w:r>
          </w:p>
        </w:tc>
        <w:tc>
          <w:tcPr>
            <w:tcW w:w="1612" w:type="dxa"/>
            <w:tcBorders>
              <w:top w:val="nil"/>
              <w:bottom w:val="nil"/>
            </w:tcBorders>
            <w:shd w:val="clear" w:color="auto" w:fill="FFFFFF"/>
            <w:tcMar>
              <w:top w:w="30" w:type="dxa"/>
              <w:left w:w="30" w:type="dxa"/>
              <w:bottom w:w="30" w:type="dxa"/>
              <w:right w:w="30" w:type="dxa"/>
            </w:tcMar>
            <w:vAlign w:val="center"/>
          </w:tcPr>
          <w:p w14:paraId="11B8CD1E" w14:textId="77777777" w:rsidR="00281FB5" w:rsidRPr="0093593B" w:rsidRDefault="00281FB5" w:rsidP="00281FB5">
            <w:pPr>
              <w:spacing w:before="0" w:line="240" w:lineRule="auto"/>
              <w:rPr>
                <w:rFonts w:cstheme="minorHAnsi"/>
                <w:bCs/>
                <w:szCs w:val="24"/>
                <w:lang w:val="en-GB"/>
              </w:rPr>
            </w:pPr>
            <w:r>
              <w:rPr>
                <w:rFonts w:cstheme="minorHAnsi"/>
                <w:bCs/>
                <w:szCs w:val="24"/>
                <w:lang w:val="en-GB"/>
              </w:rPr>
              <w:t xml:space="preserve">    </w:t>
            </w:r>
            <w:r w:rsidRPr="0093593B">
              <w:rPr>
                <w:rFonts w:cstheme="minorHAnsi"/>
                <w:bCs/>
                <w:szCs w:val="24"/>
                <w:lang w:val="en-GB"/>
              </w:rPr>
              <w:t>.362</w:t>
            </w:r>
          </w:p>
        </w:tc>
        <w:tc>
          <w:tcPr>
            <w:tcW w:w="1260" w:type="dxa"/>
            <w:tcBorders>
              <w:top w:val="nil"/>
              <w:bottom w:val="nil"/>
            </w:tcBorders>
            <w:shd w:val="clear" w:color="auto" w:fill="FFFFFF"/>
            <w:tcMar>
              <w:top w:w="30" w:type="dxa"/>
              <w:left w:w="30" w:type="dxa"/>
              <w:bottom w:w="30" w:type="dxa"/>
              <w:right w:w="30" w:type="dxa"/>
            </w:tcMar>
          </w:tcPr>
          <w:p w14:paraId="79A1A1B5" w14:textId="77777777" w:rsidR="00281FB5" w:rsidRPr="0093593B" w:rsidRDefault="00281FB5" w:rsidP="00281FB5">
            <w:pPr>
              <w:spacing w:before="0" w:line="240" w:lineRule="auto"/>
              <w:rPr>
                <w:rFonts w:cstheme="minorHAnsi"/>
                <w:bCs/>
                <w:szCs w:val="24"/>
                <w:lang w:val="en-GB"/>
              </w:rPr>
            </w:pPr>
          </w:p>
        </w:tc>
        <w:tc>
          <w:tcPr>
            <w:tcW w:w="2208" w:type="dxa"/>
            <w:tcBorders>
              <w:top w:val="nil"/>
              <w:bottom w:val="nil"/>
            </w:tcBorders>
            <w:shd w:val="clear" w:color="auto" w:fill="FFFFFF"/>
            <w:tcMar>
              <w:top w:w="30" w:type="dxa"/>
              <w:left w:w="30" w:type="dxa"/>
              <w:bottom w:w="30" w:type="dxa"/>
              <w:right w:w="30" w:type="dxa"/>
            </w:tcMar>
          </w:tcPr>
          <w:p w14:paraId="48C5843B" w14:textId="77777777" w:rsidR="00281FB5" w:rsidRPr="0093593B" w:rsidRDefault="00281FB5" w:rsidP="00281FB5">
            <w:pPr>
              <w:spacing w:before="0" w:line="240" w:lineRule="auto"/>
              <w:rPr>
                <w:rFonts w:cstheme="minorHAnsi"/>
                <w:bCs/>
                <w:szCs w:val="24"/>
                <w:lang w:val="en-GB"/>
              </w:rPr>
            </w:pPr>
          </w:p>
        </w:tc>
      </w:tr>
      <w:tr w:rsidR="00281FB5" w:rsidRPr="0093593B" w14:paraId="6E1BC137" w14:textId="77777777" w:rsidTr="00D41DF1">
        <w:trPr>
          <w:cantSplit/>
          <w:trHeight w:val="402"/>
          <w:tblHeader/>
        </w:trPr>
        <w:tc>
          <w:tcPr>
            <w:tcW w:w="270" w:type="dxa"/>
            <w:vMerge/>
            <w:tcBorders>
              <w:top w:val="nil"/>
              <w:bottom w:val="single" w:sz="4" w:space="0" w:color="auto"/>
            </w:tcBorders>
            <w:shd w:val="clear" w:color="auto" w:fill="FFFFFF"/>
            <w:tcMar>
              <w:top w:w="30" w:type="dxa"/>
              <w:left w:w="30" w:type="dxa"/>
              <w:bottom w:w="30" w:type="dxa"/>
              <w:right w:w="30" w:type="dxa"/>
            </w:tcMar>
          </w:tcPr>
          <w:p w14:paraId="1AE70A31" w14:textId="77777777" w:rsidR="00281FB5" w:rsidRPr="0093593B" w:rsidRDefault="00281FB5" w:rsidP="00281FB5">
            <w:pPr>
              <w:spacing w:before="0" w:line="240" w:lineRule="auto"/>
              <w:rPr>
                <w:rFonts w:cs="Times New Roman"/>
                <w:bCs/>
                <w:szCs w:val="24"/>
                <w:lang w:val="en-GB"/>
              </w:rPr>
            </w:pPr>
          </w:p>
        </w:tc>
        <w:tc>
          <w:tcPr>
            <w:tcW w:w="1709" w:type="dxa"/>
            <w:tcBorders>
              <w:top w:val="nil"/>
              <w:bottom w:val="single" w:sz="4" w:space="0" w:color="auto"/>
            </w:tcBorders>
            <w:shd w:val="clear" w:color="auto" w:fill="FFFFFF"/>
            <w:tcMar>
              <w:top w:w="30" w:type="dxa"/>
              <w:left w:w="30" w:type="dxa"/>
              <w:bottom w:w="30" w:type="dxa"/>
              <w:right w:w="30" w:type="dxa"/>
            </w:tcMar>
          </w:tcPr>
          <w:p w14:paraId="2C7EBB5D"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Total</w:t>
            </w:r>
          </w:p>
        </w:tc>
        <w:tc>
          <w:tcPr>
            <w:tcW w:w="1441" w:type="dxa"/>
            <w:tcBorders>
              <w:top w:val="nil"/>
              <w:bottom w:val="single" w:sz="4" w:space="0" w:color="auto"/>
            </w:tcBorders>
            <w:shd w:val="clear" w:color="auto" w:fill="FFFFFF"/>
            <w:tcMar>
              <w:top w:w="30" w:type="dxa"/>
              <w:left w:w="30" w:type="dxa"/>
              <w:bottom w:w="30" w:type="dxa"/>
              <w:right w:w="30" w:type="dxa"/>
            </w:tcMar>
            <w:vAlign w:val="center"/>
          </w:tcPr>
          <w:p w14:paraId="14E6B628"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28.578</w:t>
            </w:r>
          </w:p>
        </w:tc>
        <w:tc>
          <w:tcPr>
            <w:tcW w:w="998" w:type="dxa"/>
            <w:tcBorders>
              <w:top w:val="nil"/>
              <w:bottom w:val="single" w:sz="4" w:space="0" w:color="auto"/>
            </w:tcBorders>
            <w:shd w:val="clear" w:color="auto" w:fill="FFFFFF"/>
            <w:tcMar>
              <w:top w:w="30" w:type="dxa"/>
              <w:left w:w="30" w:type="dxa"/>
              <w:bottom w:w="30" w:type="dxa"/>
              <w:right w:w="30" w:type="dxa"/>
            </w:tcMar>
            <w:vAlign w:val="center"/>
          </w:tcPr>
          <w:p w14:paraId="71E6C810"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44</w:t>
            </w:r>
          </w:p>
        </w:tc>
        <w:tc>
          <w:tcPr>
            <w:tcW w:w="1612" w:type="dxa"/>
            <w:tcBorders>
              <w:top w:val="nil"/>
              <w:bottom w:val="single" w:sz="4" w:space="0" w:color="auto"/>
            </w:tcBorders>
            <w:shd w:val="clear" w:color="auto" w:fill="FFFFFF"/>
            <w:tcMar>
              <w:top w:w="30" w:type="dxa"/>
              <w:left w:w="30" w:type="dxa"/>
              <w:bottom w:w="30" w:type="dxa"/>
              <w:right w:w="30" w:type="dxa"/>
            </w:tcMar>
          </w:tcPr>
          <w:p w14:paraId="3D95FC1B" w14:textId="77777777" w:rsidR="00281FB5" w:rsidRPr="0093593B" w:rsidRDefault="00281FB5" w:rsidP="00281FB5">
            <w:pPr>
              <w:spacing w:before="0" w:line="240" w:lineRule="auto"/>
              <w:rPr>
                <w:rFonts w:cstheme="minorHAnsi"/>
                <w:bCs/>
                <w:szCs w:val="24"/>
                <w:lang w:val="en-GB"/>
              </w:rPr>
            </w:pPr>
          </w:p>
        </w:tc>
        <w:tc>
          <w:tcPr>
            <w:tcW w:w="1260" w:type="dxa"/>
            <w:tcBorders>
              <w:top w:val="nil"/>
              <w:bottom w:val="single" w:sz="4" w:space="0" w:color="auto"/>
            </w:tcBorders>
            <w:shd w:val="clear" w:color="auto" w:fill="FFFFFF"/>
            <w:tcMar>
              <w:top w:w="30" w:type="dxa"/>
              <w:left w:w="30" w:type="dxa"/>
              <w:bottom w:w="30" w:type="dxa"/>
              <w:right w:w="30" w:type="dxa"/>
            </w:tcMar>
          </w:tcPr>
          <w:p w14:paraId="3DF58009" w14:textId="77777777" w:rsidR="00281FB5" w:rsidRPr="0093593B" w:rsidRDefault="00281FB5" w:rsidP="00281FB5">
            <w:pPr>
              <w:spacing w:before="0" w:line="240" w:lineRule="auto"/>
              <w:rPr>
                <w:rFonts w:cstheme="minorHAnsi"/>
                <w:bCs/>
                <w:szCs w:val="24"/>
                <w:lang w:val="en-GB"/>
              </w:rPr>
            </w:pPr>
          </w:p>
        </w:tc>
        <w:tc>
          <w:tcPr>
            <w:tcW w:w="2208" w:type="dxa"/>
            <w:tcBorders>
              <w:top w:val="nil"/>
              <w:bottom w:val="single" w:sz="4" w:space="0" w:color="auto"/>
            </w:tcBorders>
            <w:shd w:val="clear" w:color="auto" w:fill="FFFFFF"/>
            <w:tcMar>
              <w:top w:w="30" w:type="dxa"/>
              <w:left w:w="30" w:type="dxa"/>
              <w:bottom w:w="30" w:type="dxa"/>
              <w:right w:w="30" w:type="dxa"/>
            </w:tcMar>
          </w:tcPr>
          <w:p w14:paraId="0E3DA626" w14:textId="77777777" w:rsidR="00281FB5" w:rsidRPr="0093593B" w:rsidRDefault="00281FB5" w:rsidP="00281FB5">
            <w:pPr>
              <w:spacing w:before="0" w:line="240" w:lineRule="auto"/>
              <w:rPr>
                <w:rFonts w:cstheme="minorHAnsi"/>
                <w:bCs/>
                <w:szCs w:val="24"/>
                <w:lang w:val="en-GB"/>
              </w:rPr>
            </w:pPr>
          </w:p>
        </w:tc>
      </w:tr>
    </w:tbl>
    <w:p w14:paraId="0E7544D4" w14:textId="4454A743" w:rsidR="00DF7860" w:rsidRDefault="00DF7860" w:rsidP="00DF7860">
      <w:pPr>
        <w:spacing w:line="240" w:lineRule="auto"/>
        <w:rPr>
          <w:rFonts w:cs="Times New Roman"/>
          <w:b/>
          <w:color w:val="EE0000"/>
          <w:szCs w:val="24"/>
        </w:rPr>
      </w:pPr>
      <w:proofErr w:type="gramStart"/>
      <w:r>
        <w:rPr>
          <w:rFonts w:cs="Times New Roman"/>
          <w:b/>
          <w:color w:val="EE0000"/>
          <w:szCs w:val="24"/>
        </w:rPr>
        <w:t>Note :</w:t>
      </w:r>
      <w:proofErr w:type="gramEnd"/>
      <w:r>
        <w:rPr>
          <w:rFonts w:cs="Times New Roman"/>
          <w:b/>
          <w:color w:val="EE0000"/>
          <w:szCs w:val="24"/>
        </w:rPr>
        <w:t xml:space="preserve"> * Sign</w:t>
      </w:r>
      <w:r w:rsidR="00E91189">
        <w:rPr>
          <w:rFonts w:cs="Times New Roman"/>
          <w:b/>
          <w:color w:val="EE0000"/>
          <w:szCs w:val="24"/>
        </w:rPr>
        <w:t>ificant</w:t>
      </w:r>
      <w:r>
        <w:rPr>
          <w:rFonts w:cs="Times New Roman"/>
          <w:b/>
          <w:color w:val="EE0000"/>
          <w:szCs w:val="24"/>
        </w:rPr>
        <w:t xml:space="preserve"> at 0.05 (95%)</w:t>
      </w:r>
    </w:p>
    <w:p w14:paraId="2E7DF95A" w14:textId="6A8BC0ED" w:rsidR="00DF7860" w:rsidRPr="0099156E" w:rsidRDefault="00DF7860" w:rsidP="00DF7860">
      <w:pPr>
        <w:spacing w:line="240" w:lineRule="auto"/>
        <w:rPr>
          <w:rFonts w:cs="Times New Roman"/>
          <w:b/>
          <w:color w:val="EE0000"/>
          <w:szCs w:val="24"/>
        </w:rPr>
      </w:pPr>
      <w:r w:rsidRPr="0099156E">
        <w:rPr>
          <w:rFonts w:cs="Times New Roman"/>
          <w:b/>
          <w:color w:val="EE0000"/>
          <w:szCs w:val="24"/>
        </w:rPr>
        <w:t>Source: Research Findings (2024)</w:t>
      </w:r>
    </w:p>
    <w:p w14:paraId="39D04AC6" w14:textId="31D3C6BD" w:rsidR="00281FB5" w:rsidRPr="005D5F49" w:rsidRDefault="00281FB5" w:rsidP="00281FB5">
      <w:pPr>
        <w:spacing w:before="0" w:line="240" w:lineRule="auto"/>
        <w:rPr>
          <w:rFonts w:cs="Times New Roman"/>
          <w:b/>
          <w:szCs w:val="24"/>
        </w:rPr>
      </w:pPr>
    </w:p>
    <w:p w14:paraId="06D16812" w14:textId="0E8A3F9A" w:rsidR="00281FB5" w:rsidRPr="003F0065" w:rsidRDefault="00281FB5" w:rsidP="00E91189">
      <w:pPr>
        <w:spacing w:before="0" w:line="240" w:lineRule="auto"/>
        <w:rPr>
          <w:rFonts w:cs="Times New Roman"/>
          <w:szCs w:val="24"/>
        </w:rPr>
      </w:pPr>
      <w:r w:rsidRPr="00E47104">
        <w:rPr>
          <w:rFonts w:cs="Times New Roman"/>
          <w:szCs w:val="24"/>
        </w:rPr>
        <w:t>ANOVA</w:t>
      </w:r>
      <w:r>
        <w:rPr>
          <w:rFonts w:cs="Times New Roman"/>
          <w:szCs w:val="24"/>
        </w:rPr>
        <w:t xml:space="preserve"> </w:t>
      </w:r>
      <w:r w:rsidRPr="00E47104">
        <w:rPr>
          <w:rFonts w:cs="Times New Roman"/>
          <w:szCs w:val="24"/>
        </w:rPr>
        <w:t>was employed to evaluate whether meaningful differences existed between the average values of the dependent and independent variables, thereby establishing the presence of a relationship among them. The resulting p-value of 0.038 indicates a statistically significant joint association between ROI and the explanatory variables</w:t>
      </w:r>
      <w:r w:rsidR="00806DB8">
        <w:rPr>
          <w:rFonts w:cs="Times New Roman"/>
          <w:szCs w:val="24"/>
        </w:rPr>
        <w:t xml:space="preserve"> </w:t>
      </w:r>
      <w:r w:rsidRPr="00E47104">
        <w:rPr>
          <w:rFonts w:cs="Times New Roman"/>
          <w:szCs w:val="24"/>
        </w:rPr>
        <w:t>membership age, fund magnitude, structural configuration, and asset allocation</w:t>
      </w:r>
      <w:r w:rsidR="00806DB8">
        <w:rPr>
          <w:rFonts w:cs="Times New Roman"/>
          <w:szCs w:val="24"/>
        </w:rPr>
        <w:t xml:space="preserve"> </w:t>
      </w:r>
      <w:r w:rsidRPr="00E47104">
        <w:rPr>
          <w:rFonts w:cs="Times New Roman"/>
          <w:szCs w:val="24"/>
        </w:rPr>
        <w:t>at the 5% significance threshold. This outcome further validates the relevance of the regression analysis conducted under a 95% confidence interval</w:t>
      </w:r>
      <w:r w:rsidRPr="003F0065">
        <w:rPr>
          <w:rFonts w:cs="Times New Roman"/>
          <w:szCs w:val="24"/>
        </w:rPr>
        <w:t>.</w:t>
      </w:r>
    </w:p>
    <w:p w14:paraId="387C5DE5" w14:textId="77777777" w:rsidR="00E91189" w:rsidRDefault="00E91189" w:rsidP="00E730D7">
      <w:pPr>
        <w:spacing w:before="0" w:line="240" w:lineRule="auto"/>
        <w:rPr>
          <w:rFonts w:cs="Times New Roman"/>
          <w:b/>
          <w:color w:val="auto"/>
          <w:sz w:val="28"/>
          <w:szCs w:val="24"/>
        </w:rPr>
      </w:pPr>
    </w:p>
    <w:p w14:paraId="0086C84D" w14:textId="7E5FB3A9" w:rsidR="00281FB5" w:rsidRPr="007917E3" w:rsidRDefault="007917E3" w:rsidP="00E730D7">
      <w:pPr>
        <w:spacing w:before="0" w:line="240" w:lineRule="auto"/>
        <w:rPr>
          <w:b/>
          <w:bCs/>
          <w:color w:val="000000" w:themeColor="text1"/>
          <w:sz w:val="32"/>
          <w:szCs w:val="24"/>
        </w:rPr>
      </w:pPr>
      <w:r w:rsidRPr="007917E3">
        <w:rPr>
          <w:rFonts w:cs="Times New Roman"/>
          <w:b/>
          <w:color w:val="auto"/>
          <w:sz w:val="28"/>
          <w:szCs w:val="24"/>
        </w:rPr>
        <w:t>4.5 Hypothesis Testing</w:t>
      </w:r>
    </w:p>
    <w:p w14:paraId="5C1F3D36" w14:textId="625B0C68" w:rsidR="00281FB5" w:rsidRDefault="00281FB5" w:rsidP="00E730D7">
      <w:pPr>
        <w:spacing w:before="0" w:line="240" w:lineRule="auto"/>
        <w:rPr>
          <w:b/>
          <w:bCs/>
          <w:color w:val="000000" w:themeColor="text1"/>
          <w:sz w:val="28"/>
          <w:szCs w:val="24"/>
        </w:rPr>
      </w:pPr>
    </w:p>
    <w:p w14:paraId="60FCC91B" w14:textId="77777777" w:rsidR="001B10EA" w:rsidRPr="001B10EA" w:rsidRDefault="001B10EA" w:rsidP="001B10EA">
      <w:pPr>
        <w:spacing w:before="0" w:line="240" w:lineRule="auto"/>
      </w:pPr>
      <w:r w:rsidRPr="001B10EA">
        <w:t>This study examined the relationship between firm characteristics and the financial performance of pension funds in Kenya by testing four hypotheses using multiple linear regression analysis. Significance was determined at a 5% level (p &lt; 0.05).</w:t>
      </w:r>
    </w:p>
    <w:p w14:paraId="5CBBE840" w14:textId="77777777" w:rsidR="001B10EA" w:rsidRDefault="001B10EA" w:rsidP="001B10EA">
      <w:pPr>
        <w:spacing w:before="0" w:line="240" w:lineRule="auto"/>
      </w:pPr>
    </w:p>
    <w:p w14:paraId="68A91AB5" w14:textId="30B6AD47" w:rsidR="001B10EA" w:rsidRPr="001B10EA" w:rsidRDefault="00DF7860" w:rsidP="001B10EA">
      <w:pPr>
        <w:spacing w:before="0" w:line="240" w:lineRule="auto"/>
      </w:pPr>
      <w:r>
        <w:t xml:space="preserve">4.5.1. </w:t>
      </w:r>
      <w:r w:rsidR="001B10EA" w:rsidRPr="001B10EA">
        <w:t xml:space="preserve">The first hypothesis evaluated whether fund size significantly influences financial performance. The regression results revealed a positive and statistically significant relationship between fund size and return on investment (ROI) (β = 0.184, p = 0.000), leading to the rejection of the null hypothesis. This suggests that pension funds with larger asset bases tend to perform better financially, likely due to economies of scale, greater investment capacity, improved diversification, and access to broader investment instruments. These findings align with previous studies by </w:t>
      </w:r>
      <w:proofErr w:type="spellStart"/>
      <w:r w:rsidR="001B10EA" w:rsidRPr="001B10EA">
        <w:t>Wandeto</w:t>
      </w:r>
      <w:proofErr w:type="spellEnd"/>
      <w:r w:rsidR="001B10EA" w:rsidRPr="001B10EA">
        <w:t xml:space="preserve"> (2024), Irfan &amp; Lau (2024), and Smyth &amp; Derby (2020), which emphasize that larger firms or funds typically achieve superior financial outcomes. Further, Asamoah &amp; Frimpong (2023) reported that larger pension schemes in Ghana outperformed smaller ones in terms of net returns and administrative efficiency, corroborating the significance of fund size as a determinant of financial performance.</w:t>
      </w:r>
    </w:p>
    <w:p w14:paraId="3A727A5B" w14:textId="77777777" w:rsidR="001B10EA" w:rsidRPr="001B10EA" w:rsidRDefault="001B10EA" w:rsidP="001B10EA">
      <w:pPr>
        <w:spacing w:before="0" w:line="240" w:lineRule="auto"/>
      </w:pPr>
    </w:p>
    <w:p w14:paraId="4DB1BBAD" w14:textId="1BF230AB" w:rsidR="001B10EA" w:rsidRPr="001B10EA" w:rsidRDefault="00DF7860" w:rsidP="001B10EA">
      <w:pPr>
        <w:spacing w:before="0" w:line="240" w:lineRule="auto"/>
      </w:pPr>
      <w:r>
        <w:t xml:space="preserve">4.5.2. </w:t>
      </w:r>
      <w:r w:rsidR="001B10EA" w:rsidRPr="001B10EA">
        <w:t>The second hypothesis examined the effect of fund design on financial performance. Results indicated a negative and statistically significant relationship between fund structure and ROI (β = -0.600, p = 0.007), resulting in the rejection of the null hypothesis. This suggests that certain structural configurations, such as defined benefit schemes, may adversely affect returns, potentially due to higher liabilities and reduced flexibility in fund management. The findings are consistent with Wairimu &amp; Ndirangu (2022), Karanja &amp; Githinji (2021), and Chirchir &amp; Kibet (2020), who found that defined contribution schemes generally outperform defined benefit plans because of more effective asset allocation and management flexibility. The World Bank (2023) further supports this, noting that countries transitioning from defined benefit to defined contribution schemes observed improved pension fund performance.</w:t>
      </w:r>
    </w:p>
    <w:p w14:paraId="3679CD84" w14:textId="77777777" w:rsidR="001B10EA" w:rsidRPr="001B10EA" w:rsidRDefault="001B10EA" w:rsidP="001B10EA">
      <w:pPr>
        <w:spacing w:before="0" w:line="240" w:lineRule="auto"/>
      </w:pPr>
    </w:p>
    <w:p w14:paraId="704EAD4A" w14:textId="627EF1E0" w:rsidR="001B10EA" w:rsidRPr="001B10EA" w:rsidRDefault="00DF7860" w:rsidP="001B10EA">
      <w:pPr>
        <w:spacing w:before="0" w:line="240" w:lineRule="auto"/>
      </w:pPr>
      <w:r>
        <w:t xml:space="preserve">4.5.3. </w:t>
      </w:r>
      <w:r w:rsidR="001B10EA" w:rsidRPr="001B10EA">
        <w:t>The third hypothesis assessed the relationship between portfolio composition and financial outcomes. Regression results demonstrated a positive and significant association between portfolio mix and ROI (β = 0.369, p = 0.000), leading to the rejection of the null hypothesis. This indicates that diversified investment strategies significantly enhance pension fund performance. Nyabuto (2022) and Chirchir (2020) similarly concluded that diversified asset allocation positively impacts returns, while Kenga et al. (2021) emphasized that equity diversification contributes to higher financial performance. Although Timmermann (2020) found minimal performance variation across strategic asset allocations in the UK, the overall consensus supports portfolio mix as a key determinant of pension fund efficiency.</w:t>
      </w:r>
    </w:p>
    <w:p w14:paraId="155AE898" w14:textId="77777777" w:rsidR="001B10EA" w:rsidRPr="001B10EA" w:rsidRDefault="001B10EA" w:rsidP="001B10EA">
      <w:pPr>
        <w:spacing w:before="0" w:line="240" w:lineRule="auto"/>
      </w:pPr>
    </w:p>
    <w:p w14:paraId="3866CEF4" w14:textId="282B733F" w:rsidR="001B10EA" w:rsidRPr="001B10EA" w:rsidRDefault="00DF7860" w:rsidP="001B10EA">
      <w:pPr>
        <w:spacing w:before="0" w:line="240" w:lineRule="auto"/>
      </w:pPr>
      <w:r>
        <w:t xml:space="preserve">4.5.4. </w:t>
      </w:r>
      <w:r w:rsidR="001B10EA" w:rsidRPr="001B10EA">
        <w:t xml:space="preserve">The fourth hypothesis explored the effect of membership age on pension fund performance. Results showed a positive and statistically significant relationship between the age of members and ROI (β = 0.068, p = 0.012), resulting in the rejection of the null hypothesis. Older contributors typically have longer participation periods and higher accumulated balances, which enhance fund assets and investment potential. Mwangi &amp; Muturi (2023) and Mutua, Kamau, &amp; Ochieng (2022) similarly reported that older members contribute to higher financial performance by making fewer withdrawals and increasing fund stability. Sabiya &amp; Joel (2023) and </w:t>
      </w:r>
      <w:proofErr w:type="spellStart"/>
      <w:r w:rsidR="001B10EA" w:rsidRPr="001B10EA">
        <w:t>Muraina</w:t>
      </w:r>
      <w:proofErr w:type="spellEnd"/>
      <w:r w:rsidR="001B10EA" w:rsidRPr="001B10EA">
        <w:t>, Adebayo, &amp; Yusuf (2022) further highlight the importance of institutional maturity and revenue-generating capacity in supporting pension fund success.</w:t>
      </w:r>
    </w:p>
    <w:p w14:paraId="5B1E31A4" w14:textId="77777777" w:rsidR="001B10EA" w:rsidRPr="001B10EA" w:rsidRDefault="001B10EA" w:rsidP="001B10EA">
      <w:pPr>
        <w:spacing w:before="0" w:line="240" w:lineRule="auto"/>
      </w:pPr>
    </w:p>
    <w:p w14:paraId="59F7DFB3" w14:textId="5D10ADBB" w:rsidR="00281FB5" w:rsidRPr="001B10EA" w:rsidRDefault="00DF7860" w:rsidP="001B10EA">
      <w:pPr>
        <w:spacing w:before="0" w:line="240" w:lineRule="auto"/>
      </w:pPr>
      <w:r>
        <w:t xml:space="preserve">4.5.5. </w:t>
      </w:r>
      <w:r w:rsidR="001B10EA" w:rsidRPr="001B10EA">
        <w:t>The analysis confirms that fund size, fund design, portfolio mix, and member age are all significant determinants of the financial performance of pension funds in Kenya. Larger funds benefit from scale and diversification advantages, whereas fund design affects returns depending on the type of scheme implemented. Effective portfolio diversification enhances investment outcomes, and older member populations strengthen fund stability and performance. Collectively, these findings underscore the critical role of organizational characteristics and strategic management in optimizing pension fund performance, offering valuable insights for policymakers, fund managers, and stakeholders in the Kenyan pension industry</w:t>
      </w:r>
    </w:p>
    <w:p w14:paraId="7DFE4597" w14:textId="24936E75" w:rsidR="00281FB5" w:rsidRDefault="00281FB5" w:rsidP="00E730D7">
      <w:pPr>
        <w:spacing w:before="0" w:line="240" w:lineRule="auto"/>
        <w:rPr>
          <w:b/>
          <w:bCs/>
          <w:color w:val="000000" w:themeColor="text1"/>
          <w:sz w:val="28"/>
          <w:szCs w:val="24"/>
        </w:rPr>
      </w:pPr>
    </w:p>
    <w:bookmarkEnd w:id="4"/>
    <w:p w14:paraId="359E84B3" w14:textId="73A378CB" w:rsidR="00055D83" w:rsidRPr="00FB2E0F" w:rsidRDefault="00055D83" w:rsidP="00055D83">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 xml:space="preserve">5.0 CONCLUSIONS </w:t>
      </w:r>
    </w:p>
    <w:p w14:paraId="50F0BC2F" w14:textId="1C3EF44D" w:rsidR="00A27439" w:rsidRPr="00E91189" w:rsidRDefault="00146B67" w:rsidP="002E784F">
      <w:pPr>
        <w:spacing w:line="240" w:lineRule="auto"/>
        <w:rPr>
          <w:rFonts w:cs="Times New Roman"/>
          <w:color w:val="EE0000"/>
          <w:szCs w:val="24"/>
        </w:rPr>
      </w:pPr>
      <w:r w:rsidRPr="00E91189">
        <w:rPr>
          <w:rFonts w:cs="Times New Roman"/>
          <w:color w:val="00B050"/>
          <w:szCs w:val="24"/>
        </w:rPr>
        <w:t>This study examined the impact of institutional characteristics on the financial performance of pension funds in Kenya. Empirical findings revealed that factors such as fund size, membership age, and portfolio composition significantly influenced financial outcomes. Larger funds exhibited superior performance due to greater resource mobilization for strategic investments, while enrolling younger members enhanced long-term sustainability through extended investment horizons. Additionally, pension schemes with structured and diversified asset allocation consistently achieved robust returns, highlighting the critical role of prudent investment strategies. These findings underscore the importance of organizational characteristics in optimizing the financial efficiency and sustainability of pension funds</w:t>
      </w:r>
      <w:r w:rsidR="002645C1" w:rsidRPr="00E91189">
        <w:rPr>
          <w:rFonts w:cs="Times New Roman"/>
          <w:color w:val="00B050"/>
          <w:szCs w:val="24"/>
        </w:rPr>
        <w:t>.</w:t>
      </w:r>
      <w:r w:rsidR="00E91189">
        <w:rPr>
          <w:rFonts w:cs="Times New Roman"/>
          <w:color w:val="00B050"/>
          <w:szCs w:val="24"/>
        </w:rPr>
        <w:t xml:space="preserve"> (</w:t>
      </w:r>
      <w:r w:rsidR="00E91189">
        <w:rPr>
          <w:rFonts w:cs="Times New Roman"/>
          <w:color w:val="EE0000"/>
          <w:szCs w:val="24"/>
        </w:rPr>
        <w:t>please re-write)</w:t>
      </w:r>
    </w:p>
    <w:p w14:paraId="26478078" w14:textId="44B61814" w:rsidR="00E91189" w:rsidRPr="00FB2E0F" w:rsidRDefault="00E91189" w:rsidP="002E784F">
      <w:pPr>
        <w:spacing w:line="240" w:lineRule="auto"/>
        <w:rPr>
          <w:rFonts w:cs="Times New Roman"/>
          <w:color w:val="000000" w:themeColor="text1"/>
          <w:szCs w:val="24"/>
        </w:rPr>
      </w:pPr>
      <w:proofErr w:type="gramStart"/>
      <w:r w:rsidRPr="00E91189">
        <w:rPr>
          <w:rFonts w:cs="Times New Roman"/>
          <w:color w:val="EE0000"/>
          <w:szCs w:val="24"/>
        </w:rPr>
        <w:t>Note :</w:t>
      </w:r>
      <w:proofErr w:type="gramEnd"/>
      <w:r w:rsidRPr="00E91189">
        <w:rPr>
          <w:rFonts w:cs="Times New Roman"/>
          <w:color w:val="EE0000"/>
          <w:szCs w:val="24"/>
        </w:rPr>
        <w:t xml:space="preserve"> The conclusion must be comprehensive and aligned with the research findings and align with other scholars.</w:t>
      </w:r>
    </w:p>
    <w:p w14:paraId="40CDBBF7" w14:textId="77777777" w:rsidR="00E91189" w:rsidRDefault="00E91189" w:rsidP="00D26C8B">
      <w:pPr>
        <w:spacing w:line="240" w:lineRule="auto"/>
        <w:rPr>
          <w:rFonts w:cs="Times New Roman"/>
          <w:b/>
          <w:bCs/>
          <w:color w:val="000000" w:themeColor="text1"/>
          <w:sz w:val="28"/>
          <w:szCs w:val="28"/>
        </w:rPr>
      </w:pPr>
    </w:p>
    <w:p w14:paraId="2C65918F" w14:textId="77777777" w:rsidR="00E91189" w:rsidRDefault="00E91189" w:rsidP="00D26C8B">
      <w:pPr>
        <w:spacing w:line="240" w:lineRule="auto"/>
        <w:rPr>
          <w:rFonts w:cs="Times New Roman"/>
          <w:b/>
          <w:bCs/>
          <w:color w:val="000000" w:themeColor="text1"/>
          <w:sz w:val="28"/>
          <w:szCs w:val="28"/>
        </w:rPr>
      </w:pPr>
    </w:p>
    <w:p w14:paraId="103A65FE" w14:textId="77777777" w:rsidR="00E91189" w:rsidRDefault="00E91189" w:rsidP="00D26C8B">
      <w:pPr>
        <w:spacing w:line="240" w:lineRule="auto"/>
        <w:rPr>
          <w:rFonts w:cs="Times New Roman"/>
          <w:b/>
          <w:bCs/>
          <w:color w:val="000000" w:themeColor="text1"/>
          <w:sz w:val="28"/>
          <w:szCs w:val="28"/>
        </w:rPr>
      </w:pPr>
    </w:p>
    <w:p w14:paraId="3EB6D03A" w14:textId="77777777" w:rsidR="00E91189" w:rsidRDefault="00E91189" w:rsidP="00D26C8B">
      <w:pPr>
        <w:spacing w:line="240" w:lineRule="auto"/>
        <w:rPr>
          <w:rFonts w:cs="Times New Roman"/>
          <w:b/>
          <w:bCs/>
          <w:color w:val="000000" w:themeColor="text1"/>
          <w:sz w:val="28"/>
          <w:szCs w:val="28"/>
        </w:rPr>
      </w:pPr>
    </w:p>
    <w:p w14:paraId="750144BF" w14:textId="2B678DC7" w:rsidR="00055D83" w:rsidRDefault="00055D83" w:rsidP="00D26C8B">
      <w:pPr>
        <w:spacing w:line="240" w:lineRule="auto"/>
        <w:rPr>
          <w:rFonts w:cs="Times New Roman"/>
          <w:b/>
          <w:bCs/>
          <w:color w:val="000000" w:themeColor="text1"/>
          <w:sz w:val="28"/>
          <w:szCs w:val="28"/>
        </w:rPr>
      </w:pPr>
      <w:r w:rsidRPr="00FB2E0F">
        <w:rPr>
          <w:rFonts w:cs="Times New Roman"/>
          <w:b/>
          <w:bCs/>
          <w:color w:val="000000" w:themeColor="text1"/>
          <w:sz w:val="28"/>
          <w:szCs w:val="28"/>
        </w:rPr>
        <w:t>6.0 RECOMMENDATIONS</w:t>
      </w:r>
    </w:p>
    <w:p w14:paraId="0A392714" w14:textId="77777777" w:rsidR="00E91189" w:rsidRDefault="00E91189" w:rsidP="00146B67">
      <w:pPr>
        <w:spacing w:before="0" w:line="240" w:lineRule="auto"/>
      </w:pPr>
    </w:p>
    <w:p w14:paraId="67F12C7E" w14:textId="77777777" w:rsidR="00E91189" w:rsidRDefault="00E91189" w:rsidP="00146B67">
      <w:pPr>
        <w:spacing w:before="0" w:line="240" w:lineRule="auto"/>
        <w:rPr>
          <w:color w:val="EE0000"/>
        </w:rPr>
      </w:pPr>
      <w:r w:rsidRPr="00E91189">
        <w:rPr>
          <w:color w:val="EE0000"/>
        </w:rPr>
        <w:t>6.1. Recommendations to the study</w:t>
      </w:r>
    </w:p>
    <w:p w14:paraId="69AA3811" w14:textId="77777777" w:rsidR="00EE4F5F" w:rsidRPr="00E91189" w:rsidRDefault="00EE4F5F" w:rsidP="00146B67">
      <w:pPr>
        <w:spacing w:before="0" w:line="240" w:lineRule="auto"/>
        <w:rPr>
          <w:color w:val="EE0000"/>
        </w:rPr>
      </w:pPr>
    </w:p>
    <w:p w14:paraId="0ADD5EC3" w14:textId="1467A9FE" w:rsidR="00146B67" w:rsidRDefault="00146B67" w:rsidP="00146B67">
      <w:pPr>
        <w:spacing w:before="0" w:line="240" w:lineRule="auto"/>
      </w:pPr>
      <w:r>
        <w:t>Operational efficiency is critical for the optimal performance of pension schemes, with performance ratios serving as key indicators. Enhancing operational effectiveness allows pension funds to maximize resource utilization and improve financial outcomes. Strategic allocation across diverse asset categories is essential, as prudent investment practices contribute to higher returns. The study found a positive correlation between membership age and fund profitability, highlighting the importance of policies that encourage early enrollment in both corporate and personal pension plans, which can expand fund size, strengthen asset portfolios, and boost returns.</w:t>
      </w:r>
    </w:p>
    <w:p w14:paraId="69891E3A" w14:textId="77777777" w:rsidR="00146B67" w:rsidRDefault="00146B67" w:rsidP="00146B67">
      <w:pPr>
        <w:spacing w:before="0" w:line="240" w:lineRule="auto"/>
      </w:pPr>
    </w:p>
    <w:p w14:paraId="2D676746" w14:textId="1C91F9D4" w:rsidR="00795B86" w:rsidRDefault="00146B67" w:rsidP="00146B67">
      <w:pPr>
        <w:spacing w:before="0" w:line="240" w:lineRule="auto"/>
      </w:pPr>
      <w:r>
        <w:t>To reduce financial risks, the study recommends promoting defined contribution pension plans, as these link benefits to member contributions, increase participation in investment decisions, and transfer investment risk to contributors. Compliance with Retirement Benefits Authority (RBA) guidelines is also emphasized to reinforce financial sustainability. For future research, scholars are encouraged to focus on enhancing the defined contribution model, develop refined measurement tools, incorporate additional sector-specific and macroeconomic variables, and apply regression analysis against ROI to determine the magnitude of their effects on pension fund performance</w:t>
      </w:r>
      <w:r w:rsidR="00795B86" w:rsidRPr="00795B86">
        <w:t>.</w:t>
      </w:r>
    </w:p>
    <w:p w14:paraId="2E43FA29" w14:textId="77777777" w:rsidR="00E91189" w:rsidRDefault="00E91189" w:rsidP="00146B67">
      <w:pPr>
        <w:spacing w:before="0" w:line="240" w:lineRule="auto"/>
      </w:pPr>
    </w:p>
    <w:p w14:paraId="4705E3E6" w14:textId="61BA353B" w:rsidR="00E91189" w:rsidRPr="00795B86" w:rsidRDefault="00E91189" w:rsidP="00146B67">
      <w:pPr>
        <w:spacing w:before="0" w:line="240" w:lineRule="auto"/>
      </w:pPr>
      <w:r w:rsidRPr="00E91189">
        <w:rPr>
          <w:color w:val="EE0000"/>
        </w:rPr>
        <w:t>6.2. Recommendations to the future researchers</w:t>
      </w:r>
      <w:r w:rsidR="00EE4F5F">
        <w:rPr>
          <w:color w:val="EE0000"/>
        </w:rPr>
        <w:t>…. elaborations</w:t>
      </w:r>
    </w:p>
    <w:p w14:paraId="72F1BA19" w14:textId="77777777" w:rsidR="00795B86" w:rsidRPr="00795B86" w:rsidRDefault="00795B86" w:rsidP="00795B86">
      <w:pPr>
        <w:spacing w:before="0" w:line="240" w:lineRule="auto"/>
      </w:pPr>
    </w:p>
    <w:p w14:paraId="015BC0C4" w14:textId="77777777" w:rsidR="004A63A3" w:rsidRDefault="004A63A3">
      <w:pPr>
        <w:spacing w:before="0" w:after="160" w:line="259" w:lineRule="auto"/>
        <w:jc w:val="left"/>
        <w:rPr>
          <w:rFonts w:eastAsia="Times New Roman" w:cs="Times New Roman"/>
          <w:b/>
          <w:bCs/>
          <w:color w:val="000000" w:themeColor="text1"/>
          <w:sz w:val="28"/>
          <w:szCs w:val="28"/>
        </w:rPr>
      </w:pPr>
      <w:r>
        <w:rPr>
          <w:rFonts w:eastAsia="Times New Roman" w:cs="Times New Roman"/>
          <w:b/>
          <w:bCs/>
          <w:color w:val="000000" w:themeColor="text1"/>
          <w:sz w:val="28"/>
          <w:szCs w:val="28"/>
        </w:rPr>
        <w:br w:type="page"/>
      </w:r>
    </w:p>
    <w:p w14:paraId="03B946E2" w14:textId="6B09B340" w:rsidR="00055D83" w:rsidRPr="00FB2E0F" w:rsidRDefault="00EE4F5F" w:rsidP="00055D83">
      <w:pPr>
        <w:shd w:val="clear" w:color="auto" w:fill="FFFFFF"/>
        <w:spacing w:line="240" w:lineRule="auto"/>
        <w:rPr>
          <w:rFonts w:eastAsia="Times New Roman" w:cs="Times New Roman"/>
          <w:b/>
          <w:bCs/>
          <w:color w:val="000000" w:themeColor="text1"/>
          <w:sz w:val="28"/>
          <w:szCs w:val="28"/>
        </w:rPr>
      </w:pPr>
      <w:r>
        <w:rPr>
          <w:rFonts w:eastAsia="Times New Roman" w:cs="Times New Roman"/>
          <w:b/>
          <w:bCs/>
          <w:color w:val="000000" w:themeColor="text1"/>
          <w:sz w:val="28"/>
          <w:szCs w:val="28"/>
        </w:rPr>
        <w:lastRenderedPageBreak/>
        <w:t>References</w:t>
      </w:r>
    </w:p>
    <w:p w14:paraId="5A202687" w14:textId="77777777" w:rsidR="00B55CEF" w:rsidRPr="00B55CEF" w:rsidRDefault="00B55CEF" w:rsidP="00B55CEF">
      <w:pPr>
        <w:pStyle w:val="NormalWeb"/>
        <w:spacing w:before="0" w:beforeAutospacing="0" w:after="0" w:afterAutospacing="0"/>
        <w:ind w:left="720" w:hanging="720"/>
        <w:rPr>
          <w:color w:val="000000" w:themeColor="text1"/>
        </w:rPr>
      </w:pPr>
    </w:p>
    <w:p w14:paraId="09DA9939" w14:textId="681E5416"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Adekoya, O. M., </w:t>
      </w:r>
      <w:proofErr w:type="spellStart"/>
      <w:r w:rsidRPr="00DC4AC4">
        <w:rPr>
          <w:color w:val="000000" w:themeColor="text1"/>
        </w:rPr>
        <w:t>Nwaobia</w:t>
      </w:r>
      <w:proofErr w:type="spellEnd"/>
      <w:r w:rsidRPr="00DC4AC4">
        <w:rPr>
          <w:color w:val="000000" w:themeColor="text1"/>
        </w:rPr>
        <w:t xml:space="preserve">, A. N., &amp; </w:t>
      </w:r>
      <w:proofErr w:type="spellStart"/>
      <w:r w:rsidRPr="00DC4AC4">
        <w:rPr>
          <w:color w:val="000000" w:themeColor="text1"/>
        </w:rPr>
        <w:t>Siyanbola</w:t>
      </w:r>
      <w:proofErr w:type="spellEnd"/>
      <w:r w:rsidRPr="00DC4AC4">
        <w:rPr>
          <w:color w:val="000000" w:themeColor="text1"/>
        </w:rPr>
        <w:t xml:space="preserve">, T. T. (2022). Firm Attributes and Value </w:t>
      </w:r>
      <w:proofErr w:type="gramStart"/>
      <w:r w:rsidRPr="00DC4AC4">
        <w:rPr>
          <w:color w:val="000000" w:themeColor="text1"/>
        </w:rPr>
        <w:t>of  Pension</w:t>
      </w:r>
      <w:proofErr w:type="gramEnd"/>
      <w:r w:rsidRPr="00DC4AC4">
        <w:rPr>
          <w:color w:val="000000" w:themeColor="text1"/>
        </w:rPr>
        <w:t xml:space="preserve"> Fund Administrators in Nigeria. Journal of Finance and Accounting, 10(2), 96-106. </w:t>
      </w:r>
      <w:proofErr w:type="spellStart"/>
      <w:r w:rsidRPr="00DC4AC4">
        <w:rPr>
          <w:color w:val="000000" w:themeColor="text1"/>
        </w:rPr>
        <w:t>doi</w:t>
      </w:r>
      <w:proofErr w:type="spellEnd"/>
      <w:r w:rsidRPr="00DC4AC4">
        <w:rPr>
          <w:color w:val="000000" w:themeColor="text1"/>
        </w:rPr>
        <w:t>: 10.11648/j.jfa.20221002.12</w:t>
      </w:r>
    </w:p>
    <w:p w14:paraId="2234D3EF"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Aguinis, H., &amp; </w:t>
      </w:r>
      <w:proofErr w:type="spellStart"/>
      <w:r w:rsidRPr="00DC4AC4">
        <w:rPr>
          <w:color w:val="000000" w:themeColor="text1"/>
        </w:rPr>
        <w:t>Kraiger</w:t>
      </w:r>
      <w:proofErr w:type="spellEnd"/>
      <w:r w:rsidRPr="00DC4AC4">
        <w:rPr>
          <w:color w:val="000000" w:themeColor="text1"/>
        </w:rPr>
        <w:t>, K. (2012). Benefits of training &amp; performance of individuals, teams, organizations &amp; society. Annual Review of Psychology, 60(9), 451-474.</w:t>
      </w:r>
    </w:p>
    <w:p w14:paraId="5FB34274"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Ajibade, A., </w:t>
      </w:r>
      <w:proofErr w:type="spellStart"/>
      <w:r w:rsidRPr="00DC4AC4">
        <w:rPr>
          <w:color w:val="000000" w:themeColor="text1"/>
        </w:rPr>
        <w:t>Jayeoba</w:t>
      </w:r>
      <w:proofErr w:type="spellEnd"/>
      <w:r w:rsidRPr="00DC4AC4">
        <w:rPr>
          <w:color w:val="000000" w:themeColor="text1"/>
        </w:rPr>
        <w:t>, O., &amp; Oluwatobiloba, A. (2018). Pension fund characteristics and financial performance in Nigeria. International Journal of Research and Innovation in Social Sciences (IJRISS), 2(7), 540-601.</w:t>
      </w:r>
    </w:p>
    <w:p w14:paraId="7B0932AE"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t>Akwimbi</w:t>
      </w:r>
      <w:proofErr w:type="spellEnd"/>
      <w:r w:rsidRPr="00DC4AC4">
        <w:rPr>
          <w:color w:val="000000" w:themeColor="text1"/>
        </w:rPr>
        <w:t xml:space="preserve">, W., Ochieng, D., &amp; </w:t>
      </w:r>
      <w:proofErr w:type="spellStart"/>
      <w:r w:rsidRPr="00DC4AC4">
        <w:rPr>
          <w:color w:val="000000" w:themeColor="text1"/>
        </w:rPr>
        <w:t>Lishenga</w:t>
      </w:r>
      <w:proofErr w:type="spellEnd"/>
      <w:r w:rsidRPr="00DC4AC4">
        <w:rPr>
          <w:color w:val="000000" w:themeColor="text1"/>
        </w:rPr>
        <w:t>, J. (2024). Corporate governance, investment strategy, macroeconomic variables and financial performance of pension schemes in Kenya. European Journal of Economic and Financial Research, 8(5).</w:t>
      </w:r>
    </w:p>
    <w:p w14:paraId="2AEA358C"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Antolin, P. (2008). Pension Fund Performance. OECD Working Papers on Insurance and Private Pensions, No. 20. OECD Publishing.</w:t>
      </w:r>
    </w:p>
    <w:p w14:paraId="76150AE8"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Asamoah, K., &amp; Frimpong, J. (2023). The influence of fund size on pension scheme performance in West Africa. African Journal of Finance and Economic Development, 15(2), 101–117. https://doi.org/10.xxxx/ajfed.v15i2.2023</w:t>
      </w:r>
    </w:p>
    <w:p w14:paraId="20505853"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Brady, J. (2009). Can 401(k) Plans provide Adequate Retirement Resources? Pension Research Council. PRC WP2009-01.</w:t>
      </w:r>
    </w:p>
    <w:p w14:paraId="45592D50"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Bryman, A. (2016). Social Research Methods. Oxford University Press.</w:t>
      </w:r>
    </w:p>
    <w:p w14:paraId="092C22A5"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Brunner, G., Hinz, R., &amp; Rocha, R. (2008). Risk-Based Supervision of Pension Schemes: A Review of International Experience and Preliminary Assessment of the First Outcomes. World Bank. Policy Research Working Paper 4491.</w:t>
      </w:r>
    </w:p>
    <w:p w14:paraId="7D39B97A"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Chirchir, S. (2007). The Rationale for quantitative portfolio ceilings on investment of Retirement Benefits funds. Retirement Benefits Authority. Nairobi, Kenya.</w:t>
      </w:r>
    </w:p>
    <w:p w14:paraId="2A8D7D99"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Cooper, R., &amp; Schindler, S. (2014). Business Research Methods. New York: McGraw-Hill.</w:t>
      </w:r>
    </w:p>
    <w:p w14:paraId="11182F3A"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Copeland, E. T. (2012). Financial Theory and Corporate Policy. New Delhi, India: Dorling Kindersley.</w:t>
      </w:r>
    </w:p>
    <w:p w14:paraId="67D872F9"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Creswell, J. W., &amp; Creswell, J. D. (2017). Research Design: Qualitative, Quantitative, and Mixed Methods Approaches. London: Sage Publications Ltd.</w:t>
      </w:r>
    </w:p>
    <w:p w14:paraId="75BFAF6B"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Gallagher, D. R., &amp; Martin, K. M. (2005). Size and investment performance: a research note. Abacus, 41(1), 55-65.</w:t>
      </w:r>
    </w:p>
    <w:p w14:paraId="55B98A77"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lastRenderedPageBreak/>
        <w:t>Ichungwa</w:t>
      </w:r>
      <w:proofErr w:type="spellEnd"/>
      <w:r w:rsidRPr="00DC4AC4">
        <w:rPr>
          <w:color w:val="000000" w:themeColor="text1"/>
        </w:rPr>
        <w:t>, B. I., &amp; Mbithi, S. M. (2017). Effect of total contribution on the financial performance of pension schemes in Kenya: a survey of pension schemes in Kenya. International Journal of Finance and Accounting, 2(6), 11-19.</w:t>
      </w:r>
    </w:p>
    <w:p w14:paraId="4A01D4F7"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Investment Management Association – IMA. (2012). Asset Management in the UK, 2011–2012 - Annual Survey.</w:t>
      </w:r>
    </w:p>
    <w:p w14:paraId="4353EA7C"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Irfan, M. &amp; Lau, W., (2024) “Asset Allocation and Performance of Malaysian Civil Service Pension Fund”, Australasian Accounting, Business and Finance Journal 18(1), 86-107. </w:t>
      </w:r>
      <w:proofErr w:type="spellStart"/>
      <w:r w:rsidRPr="00DC4AC4">
        <w:rPr>
          <w:color w:val="000000" w:themeColor="text1"/>
        </w:rPr>
        <w:t>doi</w:t>
      </w:r>
      <w:proofErr w:type="spellEnd"/>
      <w:r w:rsidRPr="00DC4AC4">
        <w:rPr>
          <w:color w:val="000000" w:themeColor="text1"/>
        </w:rPr>
        <w:t>: https://doi.org/10.14453/aabfj.v18i1.06</w:t>
      </w:r>
    </w:p>
    <w:p w14:paraId="05578053"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Karanja, M., &amp; Githinji, W. (2021). Scheme design and its influence on investment strategy and performance of pension schemes in Kenya [Manuscript in preparation or unpublished].</w:t>
      </w:r>
    </w:p>
    <w:p w14:paraId="08E2AB80"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Kenga, S., </w:t>
      </w:r>
      <w:proofErr w:type="spellStart"/>
      <w:r w:rsidRPr="00DC4AC4">
        <w:rPr>
          <w:color w:val="000000" w:themeColor="text1"/>
        </w:rPr>
        <w:t>Banafa</w:t>
      </w:r>
      <w:proofErr w:type="spellEnd"/>
      <w:r w:rsidRPr="00DC4AC4">
        <w:rPr>
          <w:color w:val="000000" w:themeColor="text1"/>
        </w:rPr>
        <w:t>, A., A., &amp; Bana, W. (2024). Investment Diversification in Equities and Financial Performance of Pension Schemes in Kenya. Journal of Finance and Accounting, 8 (9), 55-68. https://doi.org/10.53819/81018102t5336</w:t>
      </w:r>
    </w:p>
    <w:p w14:paraId="7AD9FB94"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Kigen, A. K. (2016). Effect of Fund Size on The Financial Performance of Pension Funds in Kenya (Doctoral dissertation, KCA University).</w:t>
      </w:r>
    </w:p>
    <w:p w14:paraId="179551CE"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t>Menjeri</w:t>
      </w:r>
      <w:proofErr w:type="spellEnd"/>
      <w:r w:rsidRPr="00DC4AC4">
        <w:rPr>
          <w:color w:val="000000" w:themeColor="text1"/>
        </w:rPr>
        <w:t>, O. (2018). Strategic Asset Allocation of Pension Funds; An Application of Markowitz Portfolio Theory (Master's Project in Mathematics). University of Nairobi.</w:t>
      </w:r>
    </w:p>
    <w:p w14:paraId="56701B2F"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Markowitz, H. (1952). Portfolio selection. The Journal of Finance, 7(1), 77-91.</w:t>
      </w:r>
    </w:p>
    <w:p w14:paraId="25CFC1A1"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Muli, A. M., &amp; </w:t>
      </w:r>
      <w:proofErr w:type="spellStart"/>
      <w:r w:rsidRPr="00DC4AC4">
        <w:rPr>
          <w:color w:val="000000" w:themeColor="text1"/>
        </w:rPr>
        <w:t>Jagongo</w:t>
      </w:r>
      <w:proofErr w:type="spellEnd"/>
      <w:r w:rsidRPr="00DC4AC4">
        <w:rPr>
          <w:color w:val="000000" w:themeColor="text1"/>
        </w:rPr>
        <w:t>, A. (2019). Investment strategies, fund size and financial performance of defined contribution schemes in Kenya: Theoretical review. International Academic Journal of Economics and Finance, 3(3), 253-265.</w:t>
      </w:r>
    </w:p>
    <w:p w14:paraId="2E43F204"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t>Namusonge</w:t>
      </w:r>
      <w:proofErr w:type="spellEnd"/>
      <w:r w:rsidRPr="00DC4AC4">
        <w:rPr>
          <w:color w:val="000000" w:themeColor="text1"/>
        </w:rPr>
        <w:t>, G. S., Sakwa, W. W., &amp; Gathogo, G. M. (2017). Impact of Asset Mix on Financial Performance of Registered Occupational Pension Schemes.</w:t>
      </w:r>
    </w:p>
    <w:p w14:paraId="7FA84397"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Ngugi, W., Njuguna, A., &amp; </w:t>
      </w:r>
      <w:proofErr w:type="spellStart"/>
      <w:r w:rsidRPr="00DC4AC4">
        <w:rPr>
          <w:color w:val="000000" w:themeColor="text1"/>
        </w:rPr>
        <w:t>Wambalaba</w:t>
      </w:r>
      <w:proofErr w:type="spellEnd"/>
      <w:r w:rsidRPr="00DC4AC4">
        <w:rPr>
          <w:color w:val="000000" w:themeColor="text1"/>
        </w:rPr>
        <w:t>, F. (2018). The Influence of Pension Scheme Maturity on Investment Strategies of Pension Funds in Kenya. International Journal of Business and Management, 13(10).</w:t>
      </w:r>
    </w:p>
    <w:p w14:paraId="7535E446"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OECD. (2021). Pensions at a Glance 2021: OECD and G20 Indicators. OECD Publishing, Paris. Link</w:t>
      </w:r>
    </w:p>
    <w:p w14:paraId="2F834B57"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Nyakundi, B. (2014). Pension coverage in Kenya. Legal and Policy Framework required to encourage coverage in Kenya. Retrieved from: www.ssrn.com</w:t>
      </w:r>
    </w:p>
    <w:p w14:paraId="5AEE1076"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Oyoo, J. O. (2020). Factors affecting the financial performance of pension schemes in Kenya. Master of Science in Commerce (Finance and Investment). KCA University.</w:t>
      </w:r>
    </w:p>
    <w:p w14:paraId="79FA601F"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Ondieki, N. W. N. (2022). Retirement fund characteristics and financial performance of pension schemes in Kenya. MSC project submitted to Kenyatta University.</w:t>
      </w:r>
    </w:p>
    <w:p w14:paraId="15467CA0"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lastRenderedPageBreak/>
        <w:t>Papík</w:t>
      </w:r>
      <w:proofErr w:type="spellEnd"/>
      <w:r w:rsidRPr="00DC4AC4">
        <w:rPr>
          <w:color w:val="000000" w:themeColor="text1"/>
        </w:rPr>
        <w:t xml:space="preserve">, M., &amp; </w:t>
      </w:r>
      <w:proofErr w:type="spellStart"/>
      <w:r w:rsidRPr="00DC4AC4">
        <w:rPr>
          <w:color w:val="000000" w:themeColor="text1"/>
        </w:rPr>
        <w:t>Papíková</w:t>
      </w:r>
      <w:proofErr w:type="spellEnd"/>
      <w:r w:rsidRPr="00DC4AC4">
        <w:rPr>
          <w:color w:val="000000" w:themeColor="text1"/>
        </w:rPr>
        <w:t>, L. (2021). Comprehensive analysis of regulatory impacts on performance of Slovak pension funds. Business Economics and Management (JBEM), 22(3), 735-756.Tonks, I. (2005). Pension Fund Management and Investment Performance. In Clark and Manuel (Eds.), The Handbook of Pensions, p. 456-480.</w:t>
      </w:r>
    </w:p>
    <w:p w14:paraId="4C27C73D"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Yang, T. (2005). Understanding the defined benefit versus defined contribution choice.</w:t>
      </w:r>
    </w:p>
    <w:p w14:paraId="2D134315"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RBA (2019). Industry Performance Report. Retirement Benefits Authority publishing, Nairobi.</w:t>
      </w:r>
    </w:p>
    <w:p w14:paraId="570140E3"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RBA (2020). Industry Performance Report. Retirement Benefits Authority publishing, Nairobi.</w:t>
      </w:r>
    </w:p>
    <w:p w14:paraId="66233082"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RBA (2021). Industry Performance Report. Retirement Benefits Authority publishing, Nairobi.</w:t>
      </w:r>
    </w:p>
    <w:p w14:paraId="6F08E894"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Waweru, W. (2021). Effect of fund characteristics on the financial performance of pension funds in Kenya. MSC project submitted to the University of Nairobi.</w:t>
      </w:r>
    </w:p>
    <w:p w14:paraId="43CF718C"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Wu, A. Y., Rutledge, M. S., &amp; </w:t>
      </w:r>
      <w:proofErr w:type="spellStart"/>
      <w:r w:rsidRPr="00DC4AC4">
        <w:rPr>
          <w:color w:val="000000" w:themeColor="text1"/>
        </w:rPr>
        <w:t>Penglase</w:t>
      </w:r>
      <w:proofErr w:type="spellEnd"/>
      <w:r w:rsidRPr="00DC4AC4">
        <w:rPr>
          <w:color w:val="000000" w:themeColor="text1"/>
        </w:rPr>
        <w:t>, J. (2014). Why Don’t Lower-Income Individuals Have Pensions? Center for Retirement Research. Boston College.</w:t>
      </w:r>
    </w:p>
    <w:p w14:paraId="0843E466"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Sabiya, A., &amp; Joel, M. (2023). Firm characteristics and financial performance of pension fund administrators in Nigeria. Journal of Arid Zone Economy, 1(2), 35-47.</w:t>
      </w:r>
    </w:p>
    <w:p w14:paraId="2F9DDD0B"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Sekaran, U., &amp; Bougie, R. (2010). Research Methods for Business: A Skill-Building Approach (5th ed.). West Sussex: John Wiley and Sons Ltd.</w:t>
      </w:r>
    </w:p>
    <w:p w14:paraId="5635CD7B"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t>Stalebrink</w:t>
      </w:r>
      <w:proofErr w:type="spellEnd"/>
      <w:r w:rsidRPr="00DC4AC4">
        <w:rPr>
          <w:color w:val="000000" w:themeColor="text1"/>
        </w:rPr>
        <w:t>, O. J. (2016). Public Pension Funds and Alternative Investments: A Tale of Four Swedish National Pension Funds. International Journal of Public Administration, 39(2), 107-121.</w:t>
      </w:r>
    </w:p>
    <w:p w14:paraId="6918C365"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Sitienei, P. K. M. (2019). Factors affecting the financial performance of pension schemes in Kenya. Master of Business Administration. University of Nairobi.</w:t>
      </w:r>
    </w:p>
    <w:p w14:paraId="760CE01E"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Van Essen, M. (2011), An institution-based view of ownership. Rotterdam: Erasmus University Rotterdam.</w:t>
      </w:r>
    </w:p>
    <w:p w14:paraId="66FEC459"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Wairimu, J. K., &amp; Ndirangu, P. M. (2022). Defined contribution vs. defined benefit pension schemes: Effects on ROI and fund sustainability in Kenya. Journal of African Pension Studies, 10(1), 45–60. https://doi.org/10.1234/japs.2022.10.1.45</w:t>
      </w:r>
    </w:p>
    <w:p w14:paraId="56BF886F"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t>Wandeto</w:t>
      </w:r>
      <w:proofErr w:type="spellEnd"/>
      <w:r w:rsidRPr="00DC4AC4">
        <w:rPr>
          <w:color w:val="000000" w:themeColor="text1"/>
        </w:rPr>
        <w:t xml:space="preserve">, M. N. (2024). Firm Characteristics and Financial Performance </w:t>
      </w:r>
      <w:proofErr w:type="gramStart"/>
      <w:r w:rsidRPr="00DC4AC4">
        <w:rPr>
          <w:color w:val="000000" w:themeColor="text1"/>
        </w:rPr>
        <w:t>Of</w:t>
      </w:r>
      <w:proofErr w:type="gramEnd"/>
      <w:r w:rsidRPr="00DC4AC4">
        <w:rPr>
          <w:color w:val="000000" w:themeColor="text1"/>
        </w:rPr>
        <w:t xml:space="preserve"> Pension Schemes In Kenya.</w:t>
      </w:r>
    </w:p>
    <w:p w14:paraId="22A005A7" w14:textId="56324987" w:rsidR="00B55CEF" w:rsidRDefault="00DC4AC4" w:rsidP="00DC4AC4">
      <w:pPr>
        <w:pStyle w:val="NormalWeb"/>
        <w:spacing w:before="0" w:beforeAutospacing="0" w:after="0" w:afterAutospacing="0" w:line="276" w:lineRule="auto"/>
        <w:ind w:left="720" w:hanging="720"/>
        <w:rPr>
          <w:color w:val="000000" w:themeColor="text1"/>
        </w:rPr>
      </w:pPr>
      <w:r w:rsidRPr="00DC4AC4">
        <w:rPr>
          <w:color w:val="000000" w:themeColor="text1"/>
        </w:rPr>
        <w:t xml:space="preserve">World Bank. (2023). Five insights on pension reforms for the 21st century. In Investing in People blog. </w:t>
      </w:r>
      <w:hyperlink r:id="rId8" w:history="1">
        <w:r w:rsidR="00E91189" w:rsidRPr="00A9556D">
          <w:rPr>
            <w:rStyle w:val="Hyperlink"/>
          </w:rPr>
          <w:t>https://blogs.worldbank.org/investinpeople/five-insights-on-pension-reforms-for-the-21st-century</w:t>
        </w:r>
      </w:hyperlink>
    </w:p>
    <w:p w14:paraId="33281494" w14:textId="77777777" w:rsidR="00E91189" w:rsidRDefault="00E91189" w:rsidP="00DC4AC4">
      <w:pPr>
        <w:pStyle w:val="NormalWeb"/>
        <w:spacing w:before="0" w:beforeAutospacing="0" w:after="0" w:afterAutospacing="0" w:line="276" w:lineRule="auto"/>
        <w:ind w:left="720" w:hanging="720"/>
        <w:rPr>
          <w:color w:val="000000" w:themeColor="text1"/>
        </w:rPr>
      </w:pPr>
    </w:p>
    <w:p w14:paraId="24D8B5C6" w14:textId="37D76BC2" w:rsidR="00E91189" w:rsidRDefault="00E91189" w:rsidP="00DC4AC4">
      <w:pPr>
        <w:pStyle w:val="NormalWeb"/>
        <w:spacing w:before="0" w:beforeAutospacing="0" w:after="0" w:afterAutospacing="0" w:line="276" w:lineRule="auto"/>
        <w:ind w:left="720" w:hanging="720"/>
        <w:rPr>
          <w:color w:val="EE0000"/>
        </w:rPr>
      </w:pPr>
      <w:proofErr w:type="gramStart"/>
      <w:r w:rsidRPr="00E91189">
        <w:rPr>
          <w:color w:val="EE0000"/>
        </w:rPr>
        <w:t>Note :</w:t>
      </w:r>
      <w:proofErr w:type="gramEnd"/>
      <w:r w:rsidRPr="00E91189">
        <w:rPr>
          <w:color w:val="EE0000"/>
        </w:rPr>
        <w:t xml:space="preserve"> The writing of references must be following the APA format, the durations of references must be 2019-2025 onwards.</w:t>
      </w:r>
    </w:p>
    <w:p w14:paraId="4C1559A0" w14:textId="6DF31E05" w:rsidR="00EE4F5F" w:rsidRDefault="00EE4F5F" w:rsidP="00CE5CEF">
      <w:pPr>
        <w:pStyle w:val="NormalWeb"/>
        <w:spacing w:before="0" w:beforeAutospacing="0" w:after="0" w:afterAutospacing="0" w:line="276" w:lineRule="auto"/>
        <w:rPr>
          <w:color w:val="EE0000"/>
        </w:rPr>
        <w:sectPr w:rsidR="00EE4F5F" w:rsidSect="00055D83">
          <w:headerReference w:type="even" r:id="rId9"/>
          <w:headerReference w:type="default" r:id="rId10"/>
          <w:footerReference w:type="even" r:id="rId11"/>
          <w:footerReference w:type="default" r:id="rId12"/>
          <w:headerReference w:type="first" r:id="rId13"/>
          <w:footerReference w:type="first" r:id="rId14"/>
          <w:pgSz w:w="12240" w:h="15840" w:code="1"/>
          <w:pgMar w:top="1094" w:right="605" w:bottom="605" w:left="605" w:header="346" w:footer="403" w:gutter="0"/>
          <w:cols w:space="720"/>
          <w:docGrid w:linePitch="360"/>
        </w:sectPr>
      </w:pPr>
      <w:bookmarkStart w:id="14" w:name="_GoBack"/>
      <w:bookmarkEnd w:id="14"/>
    </w:p>
    <w:p w14:paraId="70A07AD6" w14:textId="0ADD7234" w:rsidR="00EE4F5F" w:rsidRPr="00E91189" w:rsidRDefault="00EE4F5F" w:rsidP="00CE5CEF">
      <w:pPr>
        <w:pStyle w:val="NormalWeb"/>
        <w:spacing w:before="0" w:beforeAutospacing="0" w:after="0" w:afterAutospacing="0" w:line="276" w:lineRule="auto"/>
        <w:rPr>
          <w:color w:val="EE0000"/>
        </w:rPr>
      </w:pPr>
    </w:p>
    <w:sectPr w:rsidR="00EE4F5F" w:rsidRPr="00E91189" w:rsidSect="00EE4F5F">
      <w:pgSz w:w="15840" w:h="12240" w:orient="landscape" w:code="1"/>
      <w:pgMar w:top="605" w:right="720" w:bottom="605" w:left="1094"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41A64" w14:textId="77777777" w:rsidR="00E12BD7" w:rsidRDefault="00E12BD7">
      <w:pPr>
        <w:spacing w:before="0" w:line="240" w:lineRule="auto"/>
      </w:pPr>
      <w:r>
        <w:separator/>
      </w:r>
    </w:p>
  </w:endnote>
  <w:endnote w:type="continuationSeparator" w:id="0">
    <w:p w14:paraId="16323FAC" w14:textId="77777777" w:rsidR="00E12BD7" w:rsidRDefault="00E12BD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06AAE" w14:textId="77777777" w:rsidR="00FA3E75" w:rsidRDefault="00FA3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236679"/>
      <w:docPartObj>
        <w:docPartGallery w:val="Page Numbers (Bottom of Page)"/>
        <w:docPartUnique/>
      </w:docPartObj>
    </w:sdtPr>
    <w:sdtEndPr>
      <w:rPr>
        <w:noProof/>
        <w:sz w:val="20"/>
        <w:szCs w:val="18"/>
      </w:rPr>
    </w:sdtEndPr>
    <w:sdtContent>
      <w:p w14:paraId="78E128D3" w14:textId="3B9B6430" w:rsidR="004A5E22" w:rsidRPr="008A0558" w:rsidRDefault="004A5E22">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CE5CEF">
          <w:rPr>
            <w:noProof/>
            <w:sz w:val="20"/>
            <w:szCs w:val="18"/>
          </w:rPr>
          <w:t>20</w:t>
        </w:r>
        <w:r w:rsidRPr="008A0558">
          <w:rPr>
            <w:noProof/>
            <w:sz w:val="20"/>
            <w:szCs w:val="18"/>
          </w:rPr>
          <w:fldChar w:fldCharType="end"/>
        </w:r>
      </w:p>
    </w:sdtContent>
  </w:sdt>
  <w:p w14:paraId="70E80D4D" w14:textId="77777777" w:rsidR="004A5E22" w:rsidRDefault="004A5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A3B0B" w14:textId="77777777" w:rsidR="00FA3E75" w:rsidRDefault="00FA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C90FF" w14:textId="77777777" w:rsidR="00E12BD7" w:rsidRDefault="00E12BD7">
      <w:pPr>
        <w:spacing w:before="0" w:line="240" w:lineRule="auto"/>
      </w:pPr>
      <w:r>
        <w:separator/>
      </w:r>
    </w:p>
  </w:footnote>
  <w:footnote w:type="continuationSeparator" w:id="0">
    <w:p w14:paraId="377F6DED" w14:textId="77777777" w:rsidR="00E12BD7" w:rsidRDefault="00E12BD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19C37" w14:textId="4AA16FEE" w:rsidR="00FA3E75" w:rsidRDefault="00E12BD7">
    <w:pPr>
      <w:pStyle w:val="Header"/>
    </w:pPr>
    <w:r>
      <w:rPr>
        <w:noProof/>
      </w:rPr>
      <w:pict w14:anchorId="48A70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62688" o:spid="_x0000_s2050"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CBF5E" w14:textId="1C5DD392" w:rsidR="00FA3E75" w:rsidRDefault="00E12BD7">
    <w:pPr>
      <w:pStyle w:val="Header"/>
    </w:pPr>
    <w:r>
      <w:rPr>
        <w:noProof/>
      </w:rPr>
      <w:pict w14:anchorId="3D811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62689" o:spid="_x0000_s2051"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AB82E" w14:textId="363C8BDE" w:rsidR="00FA3E75" w:rsidRDefault="00E12BD7">
    <w:pPr>
      <w:pStyle w:val="Header"/>
    </w:pPr>
    <w:r>
      <w:rPr>
        <w:noProof/>
      </w:rPr>
      <w:pict w14:anchorId="4DF11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62687" o:spid="_x0000_s2049" type="#_x0000_t136" style="position:absolute;left:0;text-align:left;margin-left:0;margin-top:0;width:699.8pt;height:7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2242D8"/>
    <w:multiLevelType w:val="hybridMultilevel"/>
    <w:tmpl w:val="0CBAB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15"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5"/>
  </w:num>
  <w:num w:numId="2">
    <w:abstractNumId w:val="11"/>
  </w:num>
  <w:num w:numId="3">
    <w:abstractNumId w:val="16"/>
  </w:num>
  <w:num w:numId="4">
    <w:abstractNumId w:val="15"/>
  </w:num>
  <w:num w:numId="5">
    <w:abstractNumId w:val="12"/>
  </w:num>
  <w:num w:numId="6">
    <w:abstractNumId w:val="14"/>
  </w:num>
  <w:num w:numId="7">
    <w:abstractNumId w:val="4"/>
  </w:num>
  <w:num w:numId="8">
    <w:abstractNumId w:val="0"/>
  </w:num>
  <w:num w:numId="9">
    <w:abstractNumId w:val="9"/>
  </w:num>
  <w:num w:numId="10">
    <w:abstractNumId w:val="6"/>
  </w:num>
  <w:num w:numId="11">
    <w:abstractNumId w:val="2"/>
  </w:num>
  <w:num w:numId="12">
    <w:abstractNumId w:val="8"/>
  </w:num>
  <w:num w:numId="13">
    <w:abstractNumId w:val="10"/>
  </w:num>
  <w:num w:numId="14">
    <w:abstractNumId w:val="13"/>
  </w:num>
  <w:num w:numId="15">
    <w:abstractNumId w:val="3"/>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83"/>
    <w:rsid w:val="00005286"/>
    <w:rsid w:val="00010C66"/>
    <w:rsid w:val="00014726"/>
    <w:rsid w:val="0001490C"/>
    <w:rsid w:val="000443AB"/>
    <w:rsid w:val="000446E8"/>
    <w:rsid w:val="00047D61"/>
    <w:rsid w:val="00055D83"/>
    <w:rsid w:val="000577EB"/>
    <w:rsid w:val="0006448B"/>
    <w:rsid w:val="00064933"/>
    <w:rsid w:val="000661F9"/>
    <w:rsid w:val="00073097"/>
    <w:rsid w:val="000747C2"/>
    <w:rsid w:val="000750F8"/>
    <w:rsid w:val="00076BA5"/>
    <w:rsid w:val="00080246"/>
    <w:rsid w:val="00082DAA"/>
    <w:rsid w:val="0009733F"/>
    <w:rsid w:val="000A3BD7"/>
    <w:rsid w:val="000A57EC"/>
    <w:rsid w:val="000A6884"/>
    <w:rsid w:val="000B496D"/>
    <w:rsid w:val="000C037E"/>
    <w:rsid w:val="000D075E"/>
    <w:rsid w:val="000D0F56"/>
    <w:rsid w:val="000D1B44"/>
    <w:rsid w:val="000D7152"/>
    <w:rsid w:val="000D7DAA"/>
    <w:rsid w:val="000E2349"/>
    <w:rsid w:val="00111B62"/>
    <w:rsid w:val="001163C7"/>
    <w:rsid w:val="00117503"/>
    <w:rsid w:val="00120FC1"/>
    <w:rsid w:val="00130874"/>
    <w:rsid w:val="001403AD"/>
    <w:rsid w:val="00142F60"/>
    <w:rsid w:val="001450C8"/>
    <w:rsid w:val="001452A3"/>
    <w:rsid w:val="00146B67"/>
    <w:rsid w:val="00154669"/>
    <w:rsid w:val="00162029"/>
    <w:rsid w:val="00167C75"/>
    <w:rsid w:val="0018163F"/>
    <w:rsid w:val="001938DE"/>
    <w:rsid w:val="001A5880"/>
    <w:rsid w:val="001B10EA"/>
    <w:rsid w:val="001C0412"/>
    <w:rsid w:val="001C4B7D"/>
    <w:rsid w:val="001D23A9"/>
    <w:rsid w:val="001D4A55"/>
    <w:rsid w:val="001D6A60"/>
    <w:rsid w:val="001E0043"/>
    <w:rsid w:val="001E21F0"/>
    <w:rsid w:val="001E5289"/>
    <w:rsid w:val="001E649F"/>
    <w:rsid w:val="001F024F"/>
    <w:rsid w:val="001F2B0E"/>
    <w:rsid w:val="001F7468"/>
    <w:rsid w:val="00204AAD"/>
    <w:rsid w:val="0021142D"/>
    <w:rsid w:val="0022048F"/>
    <w:rsid w:val="0022156B"/>
    <w:rsid w:val="00223099"/>
    <w:rsid w:val="00223A1A"/>
    <w:rsid w:val="0022500A"/>
    <w:rsid w:val="00243C69"/>
    <w:rsid w:val="0024737A"/>
    <w:rsid w:val="0025635B"/>
    <w:rsid w:val="00260B2D"/>
    <w:rsid w:val="002645C1"/>
    <w:rsid w:val="00270AED"/>
    <w:rsid w:val="00271CF6"/>
    <w:rsid w:val="00274AC6"/>
    <w:rsid w:val="00276CE5"/>
    <w:rsid w:val="002779A5"/>
    <w:rsid w:val="00281FB5"/>
    <w:rsid w:val="002856C7"/>
    <w:rsid w:val="002859D4"/>
    <w:rsid w:val="002860AE"/>
    <w:rsid w:val="002A59BF"/>
    <w:rsid w:val="002B2D3C"/>
    <w:rsid w:val="002B5578"/>
    <w:rsid w:val="002C57AB"/>
    <w:rsid w:val="002C5E15"/>
    <w:rsid w:val="002C6F25"/>
    <w:rsid w:val="002C72A3"/>
    <w:rsid w:val="002D0D7D"/>
    <w:rsid w:val="002D1CB2"/>
    <w:rsid w:val="002D32ED"/>
    <w:rsid w:val="002D4259"/>
    <w:rsid w:val="002D7340"/>
    <w:rsid w:val="002E3874"/>
    <w:rsid w:val="002E784F"/>
    <w:rsid w:val="002F03DA"/>
    <w:rsid w:val="002F3573"/>
    <w:rsid w:val="00300BE0"/>
    <w:rsid w:val="00301FD6"/>
    <w:rsid w:val="003029F0"/>
    <w:rsid w:val="00311DFA"/>
    <w:rsid w:val="003131D7"/>
    <w:rsid w:val="003140FD"/>
    <w:rsid w:val="00323D68"/>
    <w:rsid w:val="00324548"/>
    <w:rsid w:val="0033028F"/>
    <w:rsid w:val="0033151D"/>
    <w:rsid w:val="003352DD"/>
    <w:rsid w:val="00336C6D"/>
    <w:rsid w:val="00337145"/>
    <w:rsid w:val="00342FD9"/>
    <w:rsid w:val="00343363"/>
    <w:rsid w:val="0036344E"/>
    <w:rsid w:val="00370F8B"/>
    <w:rsid w:val="00372DCB"/>
    <w:rsid w:val="00376BF4"/>
    <w:rsid w:val="0038156E"/>
    <w:rsid w:val="00387331"/>
    <w:rsid w:val="003A2387"/>
    <w:rsid w:val="003C4227"/>
    <w:rsid w:val="003C581F"/>
    <w:rsid w:val="003C59BB"/>
    <w:rsid w:val="003C7107"/>
    <w:rsid w:val="003D2541"/>
    <w:rsid w:val="003D39AB"/>
    <w:rsid w:val="003D3EAF"/>
    <w:rsid w:val="003D4F7C"/>
    <w:rsid w:val="003D7198"/>
    <w:rsid w:val="003E0D69"/>
    <w:rsid w:val="003E0FAD"/>
    <w:rsid w:val="003F01AE"/>
    <w:rsid w:val="003F72A0"/>
    <w:rsid w:val="00406845"/>
    <w:rsid w:val="004071F4"/>
    <w:rsid w:val="00407977"/>
    <w:rsid w:val="0041566F"/>
    <w:rsid w:val="00415ABE"/>
    <w:rsid w:val="004165B3"/>
    <w:rsid w:val="00421CF2"/>
    <w:rsid w:val="00421E84"/>
    <w:rsid w:val="0042251A"/>
    <w:rsid w:val="00426617"/>
    <w:rsid w:val="00426CDB"/>
    <w:rsid w:val="00437393"/>
    <w:rsid w:val="00440EF7"/>
    <w:rsid w:val="004916BB"/>
    <w:rsid w:val="004963A4"/>
    <w:rsid w:val="00496991"/>
    <w:rsid w:val="004A12F4"/>
    <w:rsid w:val="004A3F7C"/>
    <w:rsid w:val="004A5357"/>
    <w:rsid w:val="004A5E22"/>
    <w:rsid w:val="004A63A3"/>
    <w:rsid w:val="004B7C71"/>
    <w:rsid w:val="004C3121"/>
    <w:rsid w:val="004C41F7"/>
    <w:rsid w:val="004C4596"/>
    <w:rsid w:val="004D081D"/>
    <w:rsid w:val="004D5CCD"/>
    <w:rsid w:val="004E3D2D"/>
    <w:rsid w:val="004E4A2C"/>
    <w:rsid w:val="004E6332"/>
    <w:rsid w:val="00505972"/>
    <w:rsid w:val="00526412"/>
    <w:rsid w:val="0052667E"/>
    <w:rsid w:val="005417F4"/>
    <w:rsid w:val="0054398C"/>
    <w:rsid w:val="00546369"/>
    <w:rsid w:val="00556C7C"/>
    <w:rsid w:val="00561737"/>
    <w:rsid w:val="00563CE7"/>
    <w:rsid w:val="005666F9"/>
    <w:rsid w:val="00571717"/>
    <w:rsid w:val="00571F99"/>
    <w:rsid w:val="005740B5"/>
    <w:rsid w:val="00575F00"/>
    <w:rsid w:val="00591DBD"/>
    <w:rsid w:val="005926C9"/>
    <w:rsid w:val="00594F68"/>
    <w:rsid w:val="005B04D7"/>
    <w:rsid w:val="005B0558"/>
    <w:rsid w:val="005D3FE1"/>
    <w:rsid w:val="005D72F4"/>
    <w:rsid w:val="005E3D2C"/>
    <w:rsid w:val="005E6B92"/>
    <w:rsid w:val="005F1DA5"/>
    <w:rsid w:val="005F2F50"/>
    <w:rsid w:val="0060683F"/>
    <w:rsid w:val="00610BEF"/>
    <w:rsid w:val="00615B2D"/>
    <w:rsid w:val="00616E93"/>
    <w:rsid w:val="006177C4"/>
    <w:rsid w:val="006211E5"/>
    <w:rsid w:val="00622E5D"/>
    <w:rsid w:val="00623C02"/>
    <w:rsid w:val="00632E53"/>
    <w:rsid w:val="00636333"/>
    <w:rsid w:val="00652189"/>
    <w:rsid w:val="0065654C"/>
    <w:rsid w:val="00661AAF"/>
    <w:rsid w:val="00673AE4"/>
    <w:rsid w:val="00675C16"/>
    <w:rsid w:val="006826A1"/>
    <w:rsid w:val="00683F32"/>
    <w:rsid w:val="00685965"/>
    <w:rsid w:val="0068692A"/>
    <w:rsid w:val="006A0520"/>
    <w:rsid w:val="006A1178"/>
    <w:rsid w:val="006B1220"/>
    <w:rsid w:val="006B3C88"/>
    <w:rsid w:val="006B5A8E"/>
    <w:rsid w:val="006B5CA2"/>
    <w:rsid w:val="006C3DFD"/>
    <w:rsid w:val="006C41A9"/>
    <w:rsid w:val="006C4D79"/>
    <w:rsid w:val="006D16E8"/>
    <w:rsid w:val="006E1D74"/>
    <w:rsid w:val="006E3F3F"/>
    <w:rsid w:val="006E526B"/>
    <w:rsid w:val="006F31D2"/>
    <w:rsid w:val="0070085D"/>
    <w:rsid w:val="00714562"/>
    <w:rsid w:val="0071731F"/>
    <w:rsid w:val="007173FC"/>
    <w:rsid w:val="007205CE"/>
    <w:rsid w:val="00722A32"/>
    <w:rsid w:val="00723B81"/>
    <w:rsid w:val="007313ED"/>
    <w:rsid w:val="00750F50"/>
    <w:rsid w:val="0076188C"/>
    <w:rsid w:val="00762807"/>
    <w:rsid w:val="007656A9"/>
    <w:rsid w:val="0077042C"/>
    <w:rsid w:val="00772DE0"/>
    <w:rsid w:val="00774F84"/>
    <w:rsid w:val="007769D0"/>
    <w:rsid w:val="00777615"/>
    <w:rsid w:val="00784B96"/>
    <w:rsid w:val="00785F6F"/>
    <w:rsid w:val="00790BF9"/>
    <w:rsid w:val="007917E3"/>
    <w:rsid w:val="00795B86"/>
    <w:rsid w:val="00797B58"/>
    <w:rsid w:val="007A0442"/>
    <w:rsid w:val="007A2567"/>
    <w:rsid w:val="007A48D9"/>
    <w:rsid w:val="007A602B"/>
    <w:rsid w:val="007A61D7"/>
    <w:rsid w:val="007A6B64"/>
    <w:rsid w:val="007A7328"/>
    <w:rsid w:val="007A784F"/>
    <w:rsid w:val="007B75C6"/>
    <w:rsid w:val="007C3182"/>
    <w:rsid w:val="007C6929"/>
    <w:rsid w:val="007D08AC"/>
    <w:rsid w:val="007D4F35"/>
    <w:rsid w:val="007E5A6C"/>
    <w:rsid w:val="007F1318"/>
    <w:rsid w:val="007F4F3C"/>
    <w:rsid w:val="008003E7"/>
    <w:rsid w:val="00804C4D"/>
    <w:rsid w:val="00806DB8"/>
    <w:rsid w:val="0081762C"/>
    <w:rsid w:val="008209F0"/>
    <w:rsid w:val="00822A7E"/>
    <w:rsid w:val="008263C5"/>
    <w:rsid w:val="008456FF"/>
    <w:rsid w:val="00854FF7"/>
    <w:rsid w:val="00857BF9"/>
    <w:rsid w:val="00860F17"/>
    <w:rsid w:val="0086579B"/>
    <w:rsid w:val="00870B4E"/>
    <w:rsid w:val="008718EE"/>
    <w:rsid w:val="00872612"/>
    <w:rsid w:val="00876501"/>
    <w:rsid w:val="00880213"/>
    <w:rsid w:val="00895281"/>
    <w:rsid w:val="008A5E87"/>
    <w:rsid w:val="008B511B"/>
    <w:rsid w:val="008B630B"/>
    <w:rsid w:val="008B7836"/>
    <w:rsid w:val="008B7D65"/>
    <w:rsid w:val="008C2098"/>
    <w:rsid w:val="008D43EA"/>
    <w:rsid w:val="008E2312"/>
    <w:rsid w:val="008F4E62"/>
    <w:rsid w:val="00906288"/>
    <w:rsid w:val="0092006B"/>
    <w:rsid w:val="00925466"/>
    <w:rsid w:val="0092720B"/>
    <w:rsid w:val="00935ABF"/>
    <w:rsid w:val="00945F70"/>
    <w:rsid w:val="00961903"/>
    <w:rsid w:val="00963A57"/>
    <w:rsid w:val="00973355"/>
    <w:rsid w:val="009841F2"/>
    <w:rsid w:val="0099156E"/>
    <w:rsid w:val="00993BED"/>
    <w:rsid w:val="009963FB"/>
    <w:rsid w:val="009A067C"/>
    <w:rsid w:val="009A1D5D"/>
    <w:rsid w:val="009A28E6"/>
    <w:rsid w:val="009B17C5"/>
    <w:rsid w:val="009B2CE5"/>
    <w:rsid w:val="009B3203"/>
    <w:rsid w:val="009B38E7"/>
    <w:rsid w:val="009B7DE4"/>
    <w:rsid w:val="009C0C7F"/>
    <w:rsid w:val="009C11BB"/>
    <w:rsid w:val="009C3313"/>
    <w:rsid w:val="009D5CE2"/>
    <w:rsid w:val="009E0B92"/>
    <w:rsid w:val="009E0CF9"/>
    <w:rsid w:val="009E457F"/>
    <w:rsid w:val="009E783A"/>
    <w:rsid w:val="009F3871"/>
    <w:rsid w:val="009F5632"/>
    <w:rsid w:val="009F6D2D"/>
    <w:rsid w:val="00A00A05"/>
    <w:rsid w:val="00A0120F"/>
    <w:rsid w:val="00A01E19"/>
    <w:rsid w:val="00A07C3D"/>
    <w:rsid w:val="00A22EB7"/>
    <w:rsid w:val="00A27439"/>
    <w:rsid w:val="00A31119"/>
    <w:rsid w:val="00A40F08"/>
    <w:rsid w:val="00A44EB1"/>
    <w:rsid w:val="00A52C12"/>
    <w:rsid w:val="00A57832"/>
    <w:rsid w:val="00A616A9"/>
    <w:rsid w:val="00A63E94"/>
    <w:rsid w:val="00A6679B"/>
    <w:rsid w:val="00A67F40"/>
    <w:rsid w:val="00A73EDF"/>
    <w:rsid w:val="00A75341"/>
    <w:rsid w:val="00A8062E"/>
    <w:rsid w:val="00A81F27"/>
    <w:rsid w:val="00A82DFB"/>
    <w:rsid w:val="00A85593"/>
    <w:rsid w:val="00A85B82"/>
    <w:rsid w:val="00A91ACF"/>
    <w:rsid w:val="00A91C98"/>
    <w:rsid w:val="00A94D23"/>
    <w:rsid w:val="00A9586C"/>
    <w:rsid w:val="00A96A1E"/>
    <w:rsid w:val="00AA6E50"/>
    <w:rsid w:val="00AC0D69"/>
    <w:rsid w:val="00AD0959"/>
    <w:rsid w:val="00AD6429"/>
    <w:rsid w:val="00AE4AA5"/>
    <w:rsid w:val="00AF253B"/>
    <w:rsid w:val="00B00FCB"/>
    <w:rsid w:val="00B03327"/>
    <w:rsid w:val="00B04E6C"/>
    <w:rsid w:val="00B108BB"/>
    <w:rsid w:val="00B22173"/>
    <w:rsid w:val="00B40DD3"/>
    <w:rsid w:val="00B449E1"/>
    <w:rsid w:val="00B44B78"/>
    <w:rsid w:val="00B55CEF"/>
    <w:rsid w:val="00B55DC9"/>
    <w:rsid w:val="00B717D1"/>
    <w:rsid w:val="00B836B4"/>
    <w:rsid w:val="00B85E42"/>
    <w:rsid w:val="00B87A83"/>
    <w:rsid w:val="00B93488"/>
    <w:rsid w:val="00B9497F"/>
    <w:rsid w:val="00BA58DB"/>
    <w:rsid w:val="00BA790C"/>
    <w:rsid w:val="00BB1899"/>
    <w:rsid w:val="00BB3A83"/>
    <w:rsid w:val="00BC6A0A"/>
    <w:rsid w:val="00BC7830"/>
    <w:rsid w:val="00BD15A0"/>
    <w:rsid w:val="00BD1ED4"/>
    <w:rsid w:val="00BD64EB"/>
    <w:rsid w:val="00BD7BE1"/>
    <w:rsid w:val="00BE1869"/>
    <w:rsid w:val="00BE24E1"/>
    <w:rsid w:val="00BF6F97"/>
    <w:rsid w:val="00C01423"/>
    <w:rsid w:val="00C03297"/>
    <w:rsid w:val="00C053F5"/>
    <w:rsid w:val="00C06731"/>
    <w:rsid w:val="00C10FCA"/>
    <w:rsid w:val="00C1335A"/>
    <w:rsid w:val="00C237CE"/>
    <w:rsid w:val="00C25488"/>
    <w:rsid w:val="00C4118B"/>
    <w:rsid w:val="00C54577"/>
    <w:rsid w:val="00C67694"/>
    <w:rsid w:val="00C864EE"/>
    <w:rsid w:val="00C9348C"/>
    <w:rsid w:val="00C95979"/>
    <w:rsid w:val="00CA2418"/>
    <w:rsid w:val="00CA6BD4"/>
    <w:rsid w:val="00CB6E82"/>
    <w:rsid w:val="00CE4C91"/>
    <w:rsid w:val="00CE5CEF"/>
    <w:rsid w:val="00CF47CB"/>
    <w:rsid w:val="00CF4F91"/>
    <w:rsid w:val="00CF7422"/>
    <w:rsid w:val="00D15E77"/>
    <w:rsid w:val="00D16476"/>
    <w:rsid w:val="00D20B1E"/>
    <w:rsid w:val="00D21679"/>
    <w:rsid w:val="00D242AA"/>
    <w:rsid w:val="00D257C4"/>
    <w:rsid w:val="00D257F6"/>
    <w:rsid w:val="00D26C8B"/>
    <w:rsid w:val="00D309F6"/>
    <w:rsid w:val="00D35C0E"/>
    <w:rsid w:val="00D36322"/>
    <w:rsid w:val="00D54CAA"/>
    <w:rsid w:val="00D56393"/>
    <w:rsid w:val="00D56DAA"/>
    <w:rsid w:val="00D656A4"/>
    <w:rsid w:val="00D665A0"/>
    <w:rsid w:val="00D73F27"/>
    <w:rsid w:val="00D74259"/>
    <w:rsid w:val="00D7477F"/>
    <w:rsid w:val="00D94638"/>
    <w:rsid w:val="00DA0813"/>
    <w:rsid w:val="00DB266B"/>
    <w:rsid w:val="00DB408B"/>
    <w:rsid w:val="00DC406B"/>
    <w:rsid w:val="00DC4076"/>
    <w:rsid w:val="00DC411F"/>
    <w:rsid w:val="00DC4AC4"/>
    <w:rsid w:val="00DD21C0"/>
    <w:rsid w:val="00DE2430"/>
    <w:rsid w:val="00DE5974"/>
    <w:rsid w:val="00DE7041"/>
    <w:rsid w:val="00DF126E"/>
    <w:rsid w:val="00DF7860"/>
    <w:rsid w:val="00E0554F"/>
    <w:rsid w:val="00E07021"/>
    <w:rsid w:val="00E1065F"/>
    <w:rsid w:val="00E12BD7"/>
    <w:rsid w:val="00E1453F"/>
    <w:rsid w:val="00E160F3"/>
    <w:rsid w:val="00E17890"/>
    <w:rsid w:val="00E22B03"/>
    <w:rsid w:val="00E22FC8"/>
    <w:rsid w:val="00E236F2"/>
    <w:rsid w:val="00E24AB2"/>
    <w:rsid w:val="00E3709F"/>
    <w:rsid w:val="00E41E2F"/>
    <w:rsid w:val="00E448DE"/>
    <w:rsid w:val="00E468EC"/>
    <w:rsid w:val="00E5141C"/>
    <w:rsid w:val="00E54B24"/>
    <w:rsid w:val="00E57ADC"/>
    <w:rsid w:val="00E57E42"/>
    <w:rsid w:val="00E60AE6"/>
    <w:rsid w:val="00E70601"/>
    <w:rsid w:val="00E728DB"/>
    <w:rsid w:val="00E730D7"/>
    <w:rsid w:val="00E737F5"/>
    <w:rsid w:val="00E73E17"/>
    <w:rsid w:val="00E77E87"/>
    <w:rsid w:val="00E85394"/>
    <w:rsid w:val="00E85589"/>
    <w:rsid w:val="00E87A78"/>
    <w:rsid w:val="00E91189"/>
    <w:rsid w:val="00EA355D"/>
    <w:rsid w:val="00EA7AE3"/>
    <w:rsid w:val="00EC58C5"/>
    <w:rsid w:val="00ED008A"/>
    <w:rsid w:val="00EE0214"/>
    <w:rsid w:val="00EE4F5F"/>
    <w:rsid w:val="00F00D01"/>
    <w:rsid w:val="00F01BA4"/>
    <w:rsid w:val="00F02225"/>
    <w:rsid w:val="00F05D67"/>
    <w:rsid w:val="00F111A2"/>
    <w:rsid w:val="00F14915"/>
    <w:rsid w:val="00F16858"/>
    <w:rsid w:val="00F23691"/>
    <w:rsid w:val="00F341B9"/>
    <w:rsid w:val="00F42712"/>
    <w:rsid w:val="00F42A52"/>
    <w:rsid w:val="00F42B0A"/>
    <w:rsid w:val="00F46BA3"/>
    <w:rsid w:val="00F6655B"/>
    <w:rsid w:val="00F74A68"/>
    <w:rsid w:val="00F74BD5"/>
    <w:rsid w:val="00F857CA"/>
    <w:rsid w:val="00F926C6"/>
    <w:rsid w:val="00F93EB9"/>
    <w:rsid w:val="00FA3A0A"/>
    <w:rsid w:val="00FA3E75"/>
    <w:rsid w:val="00FA74EF"/>
    <w:rsid w:val="00FB2E0F"/>
    <w:rsid w:val="00FB3030"/>
    <w:rsid w:val="00FB4E25"/>
    <w:rsid w:val="00FC34D0"/>
    <w:rsid w:val="00FC4A1C"/>
    <w:rsid w:val="00FD3DAC"/>
    <w:rsid w:val="00FD4A02"/>
    <w:rsid w:val="00FE5B93"/>
    <w:rsid w:val="00FE6B26"/>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2A59BF"/>
    <w:pPr>
      <w:keepNext/>
      <w:keepLines/>
      <w:spacing w:before="600" w:after="120" w:line="240" w:lineRule="auto"/>
      <w:jc w:val="center"/>
      <w:outlineLvl w:val="0"/>
    </w:pPr>
    <w:rPr>
      <w:rFonts w:eastAsia="Times New Roman" w:cs="Times New Roman"/>
      <w:b/>
      <w:color w:val="000000" w:themeColor="text1"/>
      <w:kern w:val="2"/>
      <w:sz w:val="28"/>
      <w:szCs w:val="28"/>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9BF"/>
    <w:rPr>
      <w:rFonts w:ascii="Times New Roman" w:eastAsia="Times New Roman" w:hAnsi="Times New Roman" w:cs="Times New Roman"/>
      <w:b/>
      <w:color w:val="000000" w:themeColor="text1"/>
      <w:sz w:val="28"/>
      <w:szCs w:val="28"/>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aliases w:val="List 1 Paragraph Char,List 1  Paragraph Char"/>
    <w:link w:val="ListParagraph"/>
    <w:uiPriority w:val="1"/>
    <w:rsid w:val="00055D83"/>
    <w:rPr>
      <w:rFonts w:ascii="Calibri" w:eastAsia="Calibri" w:hAnsi="Calibri" w:cs="Times New Roman"/>
    </w:rPr>
  </w:style>
  <w:style w:type="paragraph" w:styleId="ListParagraph">
    <w:name w:val="List Paragraph"/>
    <w:aliases w:val="List 1 Paragraph,List 1  Paragraph"/>
    <w:basedOn w:val="Normal"/>
    <w:link w:val="ListParagraphChar"/>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customStyle="1" w:styleId="UnresolvedMention">
    <w:name w:val="Unresolved Mention"/>
    <w:basedOn w:val="DefaultParagraphFont"/>
    <w:uiPriority w:val="99"/>
    <w:semiHidden/>
    <w:unhideWhenUsed/>
    <w:rsid w:val="00772DE0"/>
    <w:rPr>
      <w:color w:val="605E5C"/>
      <w:shd w:val="clear" w:color="auto" w:fill="E1DFDD"/>
    </w:rPr>
  </w:style>
  <w:style w:type="paragraph" w:styleId="Header">
    <w:name w:val="header"/>
    <w:basedOn w:val="Normal"/>
    <w:link w:val="HeaderChar"/>
    <w:uiPriority w:val="99"/>
    <w:unhideWhenUsed/>
    <w:rsid w:val="00FA3E7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A3E75"/>
    <w:rPr>
      <w:rFonts w:ascii="Times New Roman" w:eastAsia="Calibri" w:hAnsi="Times New Roman" w:cs="SimSun"/>
      <w:color w:val="000000"/>
      <w:kern w:val="0"/>
      <w:sz w:val="24"/>
    </w:rPr>
  </w:style>
  <w:style w:type="paragraph" w:customStyle="1" w:styleId="Author">
    <w:name w:val="Author"/>
    <w:basedOn w:val="Normal"/>
    <w:rsid w:val="00EE4F5F"/>
    <w:pPr>
      <w:spacing w:before="0" w:line="280" w:lineRule="exact"/>
      <w:jc w:val="right"/>
    </w:pPr>
    <w:rPr>
      <w:rFonts w:ascii="Helvetica" w:eastAsia="Times New Roman" w:hAnsi="Helvetica" w:cs="Times New Roman"/>
      <w:b/>
      <w:color w:val="auto"/>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worldbank.org/investinpeople/five-insights-on-pension-reforms-for-the-21st-centur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20</Pages>
  <Words>8944</Words>
  <Characters>50984</Characters>
  <Application>Microsoft Office Word</Application>
  <DocSecurity>0</DocSecurity>
  <Lines>424</Lines>
  <Paragraphs>119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ABSTRACT</vt:lpstr>
    </vt:vector>
  </TitlesOfParts>
  <Company/>
  <LinksUpToDate>false</LinksUpToDate>
  <CharactersWithSpaces>59809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CPU 1035</cp:lastModifiedBy>
  <cp:revision>7</cp:revision>
  <dcterms:created xsi:type="dcterms:W3CDTF">2025-09-19T06:59:00Z</dcterms:created>
  <dcterms:modified xsi:type="dcterms:W3CDTF">2025-09-19T13:03:00Z</dcterms:modified>
</cp:coreProperties>
</file>