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44387" w14:textId="77777777" w:rsidR="004A6E53" w:rsidRPr="00963DE9" w:rsidRDefault="004A6E53" w:rsidP="004A6E53">
      <w:pPr>
        <w:pStyle w:val="NoSpacing"/>
        <w:jc w:val="center"/>
        <w:rPr>
          <w:rFonts w:ascii="Times New Roman" w:hAnsi="Times New Roman" w:cs="Times New Roman"/>
          <w:b/>
          <w:bCs/>
          <w:sz w:val="24"/>
          <w:szCs w:val="24"/>
        </w:rPr>
      </w:pPr>
      <w:r w:rsidRPr="00963DE9">
        <w:rPr>
          <w:rFonts w:ascii="Times New Roman" w:hAnsi="Times New Roman" w:cs="Times New Roman"/>
          <w:b/>
          <w:bCs/>
          <w:sz w:val="24"/>
          <w:szCs w:val="24"/>
        </w:rPr>
        <w:t>Audit Committee Attributes and Quality of Financial Reporting in Nigerian Oil and Gas Companies</w:t>
      </w:r>
    </w:p>
    <w:p w14:paraId="370F93F8" w14:textId="77777777" w:rsidR="004A6E53" w:rsidRPr="00963DE9" w:rsidRDefault="004A6E53" w:rsidP="004A6E53">
      <w:pPr>
        <w:pStyle w:val="NoSpacing"/>
        <w:jc w:val="center"/>
        <w:rPr>
          <w:rFonts w:ascii="Times New Roman" w:hAnsi="Times New Roman" w:cs="Times New Roman"/>
          <w:b/>
          <w:bCs/>
          <w:sz w:val="24"/>
          <w:szCs w:val="24"/>
        </w:rPr>
      </w:pPr>
    </w:p>
    <w:p w14:paraId="6BAC69BB" w14:textId="77777777" w:rsidR="004A6E53" w:rsidRPr="00963DE9" w:rsidRDefault="004A6E53" w:rsidP="004A6E53">
      <w:pPr>
        <w:pStyle w:val="NoSpacing"/>
        <w:jc w:val="center"/>
        <w:rPr>
          <w:rFonts w:ascii="Times New Roman" w:hAnsi="Times New Roman" w:cs="Times New Roman"/>
          <w:b/>
          <w:bCs/>
          <w:sz w:val="24"/>
          <w:szCs w:val="24"/>
        </w:rPr>
      </w:pPr>
    </w:p>
    <w:p w14:paraId="4436B762" w14:textId="77777777" w:rsidR="002005C5" w:rsidRPr="003C3F06" w:rsidRDefault="002005C5" w:rsidP="003C3F06">
      <w:pPr>
        <w:spacing w:after="0" w:line="360" w:lineRule="auto"/>
        <w:jc w:val="both"/>
        <w:rPr>
          <w:rFonts w:ascii="Times New Roman" w:hAnsi="Times New Roman"/>
          <w:b/>
          <w:sz w:val="24"/>
          <w:szCs w:val="24"/>
        </w:rPr>
      </w:pPr>
    </w:p>
    <w:p w14:paraId="2339344A" w14:textId="2D7609E4" w:rsidR="009A0781" w:rsidRPr="009A0781" w:rsidRDefault="000B0CEA" w:rsidP="009A0781">
      <w:pPr>
        <w:pStyle w:val="NormalWeb"/>
        <w:jc w:val="both"/>
      </w:pPr>
      <w:r w:rsidRPr="003C3F06">
        <w:rPr>
          <w:b/>
          <w:bCs/>
        </w:rPr>
        <w:t>Abstract</w:t>
      </w:r>
      <w:r w:rsidRPr="003C3F06">
        <w:br/>
      </w:r>
      <w:r w:rsidR="009A0781" w:rsidRPr="009A0781">
        <w:t>This study investigates the impact of audit committee characteristics on the quality of financial reporting among Nigerian oil and gas firms listed on the stock exchange. Focusing on three key attributes</w:t>
      </w:r>
      <w:r w:rsidR="009A0781">
        <w:t xml:space="preserve">, </w:t>
      </w:r>
      <w:r w:rsidR="009A0781" w:rsidRPr="009A0781">
        <w:t>committee independence, size, and meeting frequency</w:t>
      </w:r>
      <w:r w:rsidR="009A0781">
        <w:t xml:space="preserve">, </w:t>
      </w:r>
      <w:r w:rsidR="009A0781" w:rsidRPr="009A0781">
        <w:t>the research employs a mixed-methods approach, analyzing data from annual reports spanning 2014 to 2023. Findings reveal that audit committees with greater independence significantly improve the accuracy of financial disclosures. Conversely, larger committee sizes correlate with red</w:t>
      </w:r>
      <w:bookmarkStart w:id="0" w:name="_GoBack"/>
      <w:bookmarkEnd w:id="0"/>
      <w:r w:rsidR="009A0781" w:rsidRPr="009A0781">
        <w:t>uced reporting quality, while the frequency of meetings appears to have no significant effect. Additionally, firm size and leverage show positive but statistically insignificant relationships with disclosure quality. The study recommends that regulatory bodies, such as the Nigerian Exchange Group (NGX) and the Financial Reporting Council of Nigeria (FRCN), intensify enforcement of governance standards, particularly those governing the structure and responsibilities of audit committees.</w:t>
      </w:r>
    </w:p>
    <w:p w14:paraId="10E11F9A" w14:textId="7609B5C7" w:rsidR="000B0CEA" w:rsidRPr="003C3F06" w:rsidRDefault="000B0CEA" w:rsidP="003C3F06">
      <w:pPr>
        <w:spacing w:before="100" w:beforeAutospacing="1" w:after="100" w:afterAutospacing="1" w:line="240" w:lineRule="auto"/>
        <w:jc w:val="both"/>
        <w:rPr>
          <w:rFonts w:ascii="Times New Roman" w:eastAsia="Times New Roman" w:hAnsi="Times New Roman"/>
          <w:sz w:val="24"/>
          <w:szCs w:val="24"/>
          <w:lang w:eastAsia="en-US"/>
        </w:rPr>
      </w:pPr>
      <w:r w:rsidRPr="003C3F06">
        <w:rPr>
          <w:rFonts w:ascii="Times New Roman" w:eastAsia="Times New Roman" w:hAnsi="Times New Roman"/>
          <w:b/>
          <w:bCs/>
          <w:sz w:val="24"/>
          <w:szCs w:val="24"/>
          <w:lang w:eastAsia="en-US"/>
        </w:rPr>
        <w:t>Keywords:</w:t>
      </w:r>
      <w:r w:rsidRPr="003C3F06">
        <w:rPr>
          <w:rFonts w:ascii="Times New Roman" w:eastAsia="Times New Roman" w:hAnsi="Times New Roman"/>
          <w:sz w:val="24"/>
          <w:szCs w:val="24"/>
          <w:lang w:eastAsia="en-US"/>
        </w:rPr>
        <w:t xml:space="preserve"> audit committee independence, committee size, meeting frequency, financial reporting quality, Nigeria</w:t>
      </w:r>
    </w:p>
    <w:p w14:paraId="0C3C8291" w14:textId="77777777" w:rsidR="006E7B74" w:rsidRPr="003C3F06" w:rsidRDefault="000B0CEA" w:rsidP="003C3F06">
      <w:pPr>
        <w:spacing w:before="100" w:beforeAutospacing="1" w:after="100" w:afterAutospacing="1" w:line="240" w:lineRule="auto"/>
        <w:jc w:val="both"/>
        <w:rPr>
          <w:rFonts w:ascii="Times New Roman" w:eastAsia="Times New Roman" w:hAnsi="Times New Roman"/>
          <w:b/>
          <w:bCs/>
          <w:sz w:val="24"/>
          <w:szCs w:val="24"/>
          <w:lang w:eastAsia="en-US"/>
        </w:rPr>
      </w:pPr>
      <w:r w:rsidRPr="003C3F06">
        <w:rPr>
          <w:rFonts w:ascii="Times New Roman" w:eastAsia="Times New Roman" w:hAnsi="Times New Roman"/>
          <w:b/>
          <w:bCs/>
          <w:sz w:val="24"/>
          <w:szCs w:val="24"/>
          <w:lang w:eastAsia="en-US"/>
        </w:rPr>
        <w:t>1. Introduction</w:t>
      </w:r>
    </w:p>
    <w:p w14:paraId="2786064D" w14:textId="342F0E18" w:rsidR="000B0CEA" w:rsidRPr="003C3F06" w:rsidRDefault="000B0CEA" w:rsidP="003C3F06">
      <w:pPr>
        <w:spacing w:before="100" w:beforeAutospacing="1" w:after="100" w:afterAutospacing="1" w:line="360" w:lineRule="auto"/>
        <w:jc w:val="both"/>
        <w:rPr>
          <w:rFonts w:ascii="Times New Roman" w:eastAsia="Times New Roman" w:hAnsi="Times New Roman"/>
          <w:sz w:val="24"/>
          <w:szCs w:val="24"/>
          <w:lang w:eastAsia="en-US"/>
        </w:rPr>
      </w:pPr>
      <w:r w:rsidRPr="003C3F06">
        <w:rPr>
          <w:rFonts w:ascii="Times New Roman" w:eastAsia="Times New Roman" w:hAnsi="Times New Roman"/>
          <w:sz w:val="24"/>
          <w:szCs w:val="24"/>
          <w:lang w:eastAsia="en-US"/>
        </w:rPr>
        <w:t xml:space="preserve">The oil and gas sector </w:t>
      </w:r>
      <w:proofErr w:type="gramStart"/>
      <w:r w:rsidRPr="003C3F06">
        <w:rPr>
          <w:rFonts w:ascii="Times New Roman" w:eastAsia="Times New Roman" w:hAnsi="Times New Roman"/>
          <w:sz w:val="24"/>
          <w:szCs w:val="24"/>
          <w:lang w:eastAsia="en-US"/>
        </w:rPr>
        <w:t>is</w:t>
      </w:r>
      <w:proofErr w:type="gramEnd"/>
      <w:r w:rsidRPr="003C3F06">
        <w:rPr>
          <w:rFonts w:ascii="Times New Roman" w:eastAsia="Times New Roman" w:hAnsi="Times New Roman"/>
          <w:sz w:val="24"/>
          <w:szCs w:val="24"/>
          <w:lang w:eastAsia="en-US"/>
        </w:rPr>
        <w:t xml:space="preserve"> central to Nigeria’s economy, providing the bulk of government revenue, foreign exchange earnings, and a major share of GDP. Despite this, the industry has long faced criticism over weak transparency, limited accountability, and unreliable financial reporting. Issues such as earnings manipulation, delayed disclosures, and questionable reporting practices continue to erode confidence in the sector (</w:t>
      </w:r>
      <w:proofErr w:type="spellStart"/>
      <w:r w:rsidRPr="003C3F06">
        <w:rPr>
          <w:rFonts w:ascii="Times New Roman" w:eastAsia="Times New Roman" w:hAnsi="Times New Roman"/>
          <w:sz w:val="24"/>
          <w:szCs w:val="24"/>
          <w:lang w:eastAsia="en-US"/>
        </w:rPr>
        <w:t>Ojali</w:t>
      </w:r>
      <w:proofErr w:type="spellEnd"/>
      <w:r w:rsidRPr="003C3F06">
        <w:rPr>
          <w:rFonts w:ascii="Times New Roman" w:eastAsia="Times New Roman" w:hAnsi="Times New Roman"/>
          <w:sz w:val="24"/>
          <w:szCs w:val="24"/>
          <w:lang w:eastAsia="en-US"/>
        </w:rPr>
        <w:t xml:space="preserve"> et al., 2023). These challenges highlight the importance of strong corporate governance, particularly through the monitoring role of audit committees.</w:t>
      </w:r>
    </w:p>
    <w:p w14:paraId="5BAC8A05" w14:textId="2BD42065" w:rsidR="000B0CEA" w:rsidRPr="003C3F06" w:rsidRDefault="000B0CEA" w:rsidP="003C3F06">
      <w:pPr>
        <w:spacing w:before="100" w:beforeAutospacing="1" w:after="100" w:afterAutospacing="1" w:line="360" w:lineRule="auto"/>
        <w:jc w:val="both"/>
        <w:rPr>
          <w:rFonts w:ascii="Times New Roman" w:eastAsia="Times New Roman" w:hAnsi="Times New Roman"/>
          <w:sz w:val="24"/>
          <w:szCs w:val="24"/>
          <w:lang w:eastAsia="en-US"/>
        </w:rPr>
      </w:pPr>
      <w:r w:rsidRPr="003C3F06">
        <w:rPr>
          <w:rFonts w:ascii="Times New Roman" w:eastAsia="Times New Roman" w:hAnsi="Times New Roman"/>
          <w:sz w:val="24"/>
          <w:szCs w:val="24"/>
          <w:lang w:eastAsia="en-US"/>
        </w:rPr>
        <w:t>Audit committees are a key governance mechanism, charged with</w:t>
      </w:r>
      <w:r w:rsidR="00E62C62" w:rsidRPr="003C3F06">
        <w:rPr>
          <w:rFonts w:ascii="Times New Roman" w:eastAsia="Times New Roman" w:hAnsi="Times New Roman"/>
          <w:sz w:val="24"/>
          <w:szCs w:val="24"/>
          <w:lang w:eastAsia="en-US"/>
        </w:rPr>
        <w:t xml:space="preserve"> the responsibility of</w:t>
      </w:r>
      <w:r w:rsidRPr="003C3F06">
        <w:rPr>
          <w:rFonts w:ascii="Times New Roman" w:eastAsia="Times New Roman" w:hAnsi="Times New Roman"/>
          <w:sz w:val="24"/>
          <w:szCs w:val="24"/>
          <w:lang w:eastAsia="en-US"/>
        </w:rPr>
        <w:t xml:space="preserve"> overseeing</w:t>
      </w:r>
      <w:r w:rsidR="00E62C62" w:rsidRPr="003C3F06">
        <w:rPr>
          <w:rFonts w:ascii="Times New Roman" w:eastAsia="Times New Roman" w:hAnsi="Times New Roman"/>
          <w:sz w:val="24"/>
          <w:szCs w:val="24"/>
          <w:lang w:eastAsia="en-US"/>
        </w:rPr>
        <w:t xml:space="preserve"> the integrity of</w:t>
      </w:r>
      <w:r w:rsidRPr="003C3F06">
        <w:rPr>
          <w:rFonts w:ascii="Times New Roman" w:eastAsia="Times New Roman" w:hAnsi="Times New Roman"/>
          <w:sz w:val="24"/>
          <w:szCs w:val="24"/>
          <w:lang w:eastAsia="en-US"/>
        </w:rPr>
        <w:t xml:space="preserve"> financial reporting, reviewing internal control systems, and ensuring auditor independence. </w:t>
      </w:r>
      <w:r w:rsidR="00EB16E6" w:rsidRPr="003C3F06">
        <w:rPr>
          <w:rFonts w:ascii="Times New Roman" w:eastAsia="Times New Roman" w:hAnsi="Times New Roman"/>
          <w:sz w:val="24"/>
          <w:szCs w:val="24"/>
          <w:lang w:eastAsia="en-US"/>
        </w:rPr>
        <w:t>“</w:t>
      </w:r>
      <w:r w:rsidRPr="003C3F06">
        <w:rPr>
          <w:rFonts w:ascii="Times New Roman" w:eastAsia="Times New Roman" w:hAnsi="Times New Roman"/>
          <w:sz w:val="24"/>
          <w:szCs w:val="24"/>
          <w:lang w:eastAsia="en-US"/>
        </w:rPr>
        <w:t>Nigerian company law, under Section 359(3) of the Companies and Allied Matters Act (CAMA), mandates that listed companies establish audit committees comprising both board members and shareholder representatives</w:t>
      </w:r>
      <w:r w:rsidR="00EB16E6" w:rsidRPr="003C3F06">
        <w:rPr>
          <w:rFonts w:ascii="Times New Roman" w:eastAsia="Times New Roman" w:hAnsi="Times New Roman"/>
          <w:sz w:val="24"/>
          <w:szCs w:val="24"/>
          <w:lang w:eastAsia="en-US"/>
        </w:rPr>
        <w:t>”</w:t>
      </w:r>
      <w:r w:rsidRPr="003C3F06">
        <w:rPr>
          <w:rFonts w:ascii="Times New Roman" w:eastAsia="Times New Roman" w:hAnsi="Times New Roman"/>
          <w:sz w:val="24"/>
          <w:szCs w:val="24"/>
          <w:lang w:eastAsia="en-US"/>
        </w:rPr>
        <w:t>. When well-structured, these committees can improve reporting credibility by strengthening accountability, transparency, and compliance with regulatory standards (</w:t>
      </w:r>
      <w:proofErr w:type="spellStart"/>
      <w:r w:rsidRPr="003C3F06">
        <w:rPr>
          <w:rFonts w:ascii="Times New Roman" w:eastAsia="Times New Roman" w:hAnsi="Times New Roman"/>
          <w:sz w:val="24"/>
          <w:szCs w:val="24"/>
          <w:lang w:eastAsia="en-US"/>
        </w:rPr>
        <w:t>Orijinta</w:t>
      </w:r>
      <w:proofErr w:type="spellEnd"/>
      <w:r w:rsidRPr="003C3F06">
        <w:rPr>
          <w:rFonts w:ascii="Times New Roman" w:eastAsia="Times New Roman" w:hAnsi="Times New Roman"/>
          <w:sz w:val="24"/>
          <w:szCs w:val="24"/>
          <w:lang w:eastAsia="en-US"/>
        </w:rPr>
        <w:t xml:space="preserve"> et al., 2025).</w:t>
      </w:r>
    </w:p>
    <w:p w14:paraId="0537B7B0" w14:textId="72FAC94C" w:rsidR="000B0CEA" w:rsidRPr="003C3F06" w:rsidRDefault="000B0CEA" w:rsidP="003C3F06">
      <w:pPr>
        <w:spacing w:before="100" w:beforeAutospacing="1" w:after="100" w:afterAutospacing="1" w:line="360" w:lineRule="auto"/>
        <w:jc w:val="both"/>
        <w:rPr>
          <w:rFonts w:ascii="Times New Roman" w:eastAsia="Times New Roman" w:hAnsi="Times New Roman"/>
          <w:sz w:val="24"/>
          <w:szCs w:val="24"/>
          <w:lang w:eastAsia="en-US"/>
        </w:rPr>
      </w:pPr>
      <w:r w:rsidRPr="003C3F06">
        <w:rPr>
          <w:rFonts w:ascii="Times New Roman" w:eastAsia="Times New Roman" w:hAnsi="Times New Roman"/>
          <w:sz w:val="24"/>
          <w:szCs w:val="24"/>
          <w:lang w:eastAsia="en-US"/>
        </w:rPr>
        <w:lastRenderedPageBreak/>
        <w:t>Reliable financial reporting is vital for investor trust and efficient capital markets. This is especially true in Nigeria’s oil and gas industry, where governance weaknesses and corruption risks remain significant (</w:t>
      </w:r>
      <w:proofErr w:type="spellStart"/>
      <w:r w:rsidRPr="00083D65">
        <w:rPr>
          <w:rFonts w:ascii="Times New Roman" w:eastAsia="Times New Roman" w:hAnsi="Times New Roman"/>
          <w:sz w:val="24"/>
          <w:szCs w:val="24"/>
          <w:lang w:eastAsia="en-US"/>
        </w:rPr>
        <w:t>Ofoegbu</w:t>
      </w:r>
      <w:proofErr w:type="spellEnd"/>
      <w:r w:rsidRPr="00083D65">
        <w:rPr>
          <w:rFonts w:ascii="Times New Roman" w:eastAsia="Times New Roman" w:hAnsi="Times New Roman"/>
          <w:sz w:val="24"/>
          <w:szCs w:val="24"/>
          <w:lang w:eastAsia="en-US"/>
        </w:rPr>
        <w:t xml:space="preserve"> &amp; </w:t>
      </w:r>
      <w:proofErr w:type="spellStart"/>
      <w:r w:rsidRPr="00083D65">
        <w:rPr>
          <w:rFonts w:ascii="Times New Roman" w:eastAsia="Times New Roman" w:hAnsi="Times New Roman"/>
          <w:sz w:val="24"/>
          <w:szCs w:val="24"/>
          <w:lang w:eastAsia="en-US"/>
        </w:rPr>
        <w:t>Ezeabasili</w:t>
      </w:r>
      <w:proofErr w:type="spellEnd"/>
      <w:r w:rsidRPr="00083D65">
        <w:rPr>
          <w:rFonts w:ascii="Times New Roman" w:eastAsia="Times New Roman" w:hAnsi="Times New Roman"/>
          <w:sz w:val="24"/>
          <w:szCs w:val="24"/>
          <w:lang w:eastAsia="en-US"/>
        </w:rPr>
        <w:t>, 2023</w:t>
      </w:r>
      <w:r w:rsidRPr="003C3F06">
        <w:rPr>
          <w:rFonts w:ascii="Times New Roman" w:eastAsia="Times New Roman" w:hAnsi="Times New Roman"/>
          <w:sz w:val="24"/>
          <w:szCs w:val="24"/>
          <w:lang w:eastAsia="en-US"/>
        </w:rPr>
        <w:t xml:space="preserve">; </w:t>
      </w:r>
      <w:r w:rsidR="002B3CBC" w:rsidRPr="003C3F06">
        <w:rPr>
          <w:rFonts w:ascii="Times New Roman" w:eastAsia="Times New Roman" w:hAnsi="Times New Roman"/>
          <w:sz w:val="24"/>
          <w:szCs w:val="24"/>
          <w:lang w:eastAsia="en-US"/>
        </w:rPr>
        <w:t>Abe</w:t>
      </w:r>
      <w:r w:rsidR="004B14A9" w:rsidRPr="003C3F06">
        <w:rPr>
          <w:rFonts w:ascii="Times New Roman" w:eastAsia="Times New Roman" w:hAnsi="Times New Roman"/>
          <w:sz w:val="24"/>
          <w:szCs w:val="24"/>
          <w:lang w:eastAsia="en-US"/>
        </w:rPr>
        <w:t xml:space="preserve"> et al., 2025</w:t>
      </w:r>
      <w:r w:rsidRPr="003C3F06">
        <w:rPr>
          <w:rFonts w:ascii="Times New Roman" w:eastAsia="Times New Roman" w:hAnsi="Times New Roman"/>
          <w:sz w:val="24"/>
          <w:szCs w:val="24"/>
          <w:lang w:eastAsia="en-US"/>
        </w:rPr>
        <w:t>). Nonetheless, doubts persist about whether audit committees in their current form effectively guarantee credible disclosures. Some studies suggest that independence and meeting regularity enhance reporting outcomes, while others argue that larger committees or those lacking expertise often reduce effectiveness (</w:t>
      </w:r>
      <w:proofErr w:type="spellStart"/>
      <w:r w:rsidR="00C43162" w:rsidRPr="003C3F06">
        <w:rPr>
          <w:rFonts w:ascii="Times New Roman" w:eastAsia="Times New Roman" w:hAnsi="Times New Roman"/>
          <w:sz w:val="24"/>
          <w:szCs w:val="24"/>
          <w:lang w:eastAsia="en-US"/>
        </w:rPr>
        <w:t>Olorunfemi</w:t>
      </w:r>
      <w:proofErr w:type="spellEnd"/>
      <w:r w:rsidR="00C43162" w:rsidRPr="003C3F06">
        <w:rPr>
          <w:rFonts w:ascii="Times New Roman" w:eastAsia="Times New Roman" w:hAnsi="Times New Roman"/>
          <w:sz w:val="24"/>
          <w:szCs w:val="24"/>
          <w:lang w:eastAsia="en-US"/>
        </w:rPr>
        <w:t>, 2024</w:t>
      </w:r>
      <w:r w:rsidRPr="003C3F06">
        <w:rPr>
          <w:rFonts w:ascii="Times New Roman" w:eastAsia="Times New Roman" w:hAnsi="Times New Roman"/>
          <w:sz w:val="24"/>
          <w:szCs w:val="24"/>
          <w:lang w:eastAsia="en-US"/>
        </w:rPr>
        <w:t>).</w:t>
      </w:r>
    </w:p>
    <w:p w14:paraId="5F5886E5" w14:textId="24C8707A" w:rsidR="00963DE9" w:rsidRPr="003C3F06" w:rsidRDefault="000B0CEA" w:rsidP="003C3F06">
      <w:pPr>
        <w:spacing w:before="100" w:beforeAutospacing="1" w:after="100" w:afterAutospacing="1" w:line="360" w:lineRule="auto"/>
        <w:jc w:val="both"/>
        <w:rPr>
          <w:rFonts w:ascii="Times New Roman" w:eastAsia="Times New Roman" w:hAnsi="Times New Roman"/>
          <w:sz w:val="24"/>
          <w:szCs w:val="24"/>
          <w:lang w:eastAsia="en-US"/>
        </w:rPr>
      </w:pPr>
      <w:r w:rsidRPr="003C3F06">
        <w:rPr>
          <w:rFonts w:ascii="Times New Roman" w:eastAsia="Times New Roman" w:hAnsi="Times New Roman"/>
          <w:sz w:val="24"/>
          <w:szCs w:val="24"/>
          <w:lang w:eastAsia="en-US"/>
        </w:rPr>
        <w:t>Research on audit committee characteristics</w:t>
      </w:r>
      <w:r w:rsidR="00727206" w:rsidRPr="003C3F06">
        <w:rPr>
          <w:rFonts w:ascii="Times New Roman" w:eastAsia="Times New Roman" w:hAnsi="Times New Roman"/>
          <w:sz w:val="24"/>
          <w:szCs w:val="24"/>
          <w:lang w:eastAsia="en-US"/>
        </w:rPr>
        <w:t xml:space="preserve"> </w:t>
      </w:r>
      <w:r w:rsidRPr="003C3F06">
        <w:rPr>
          <w:rFonts w:ascii="Times New Roman" w:eastAsia="Times New Roman" w:hAnsi="Times New Roman"/>
          <w:sz w:val="24"/>
          <w:szCs w:val="24"/>
          <w:lang w:eastAsia="en-US"/>
        </w:rPr>
        <w:t>such as independence, expertise, diversity, and meeting frequency</w:t>
      </w:r>
      <w:r w:rsidR="00727206" w:rsidRPr="003C3F06">
        <w:rPr>
          <w:rFonts w:ascii="Times New Roman" w:eastAsia="Times New Roman" w:hAnsi="Times New Roman"/>
          <w:sz w:val="24"/>
          <w:szCs w:val="24"/>
          <w:lang w:eastAsia="en-US"/>
        </w:rPr>
        <w:t xml:space="preserve"> </w:t>
      </w:r>
      <w:r w:rsidRPr="003C3F06">
        <w:rPr>
          <w:rFonts w:ascii="Times New Roman" w:eastAsia="Times New Roman" w:hAnsi="Times New Roman"/>
          <w:sz w:val="24"/>
          <w:szCs w:val="24"/>
          <w:lang w:eastAsia="en-US"/>
        </w:rPr>
        <w:t xml:space="preserve">has produced mixed evidence. While many Nigerian studies rely on accrual-based models to measure reporting quality, this study employs a disclosure index to provide a broader assessment. Findings from prior </w:t>
      </w:r>
      <w:r w:rsidR="004B56DD" w:rsidRPr="003C3F06">
        <w:rPr>
          <w:rFonts w:ascii="Times New Roman" w:eastAsia="Times New Roman" w:hAnsi="Times New Roman"/>
          <w:sz w:val="24"/>
          <w:szCs w:val="24"/>
          <w:lang w:eastAsia="en-US"/>
        </w:rPr>
        <w:t>studies</w:t>
      </w:r>
      <w:r w:rsidRPr="003C3F06">
        <w:rPr>
          <w:rFonts w:ascii="Times New Roman" w:eastAsia="Times New Roman" w:hAnsi="Times New Roman"/>
          <w:sz w:val="24"/>
          <w:szCs w:val="24"/>
          <w:lang w:eastAsia="en-US"/>
        </w:rPr>
        <w:t xml:space="preserve"> are inconsistent: </w:t>
      </w:r>
      <w:proofErr w:type="spellStart"/>
      <w:r w:rsidRPr="003C3F06">
        <w:rPr>
          <w:rFonts w:ascii="Times New Roman" w:eastAsia="Times New Roman" w:hAnsi="Times New Roman"/>
          <w:sz w:val="24"/>
          <w:szCs w:val="24"/>
          <w:lang w:eastAsia="en-US"/>
        </w:rPr>
        <w:t>Ojali</w:t>
      </w:r>
      <w:proofErr w:type="spellEnd"/>
      <w:r w:rsidRPr="003C3F06">
        <w:rPr>
          <w:rFonts w:ascii="Times New Roman" w:eastAsia="Times New Roman" w:hAnsi="Times New Roman"/>
          <w:sz w:val="24"/>
          <w:szCs w:val="24"/>
          <w:lang w:eastAsia="en-US"/>
        </w:rPr>
        <w:t xml:space="preserve"> et al. (2023) observed that independence and gender diversity had little or even adverse effects on reporting timeliness, whereas </w:t>
      </w:r>
      <w:proofErr w:type="spellStart"/>
      <w:r w:rsidRPr="003C3F06">
        <w:rPr>
          <w:rFonts w:ascii="Times New Roman" w:eastAsia="Times New Roman" w:hAnsi="Times New Roman"/>
          <w:sz w:val="24"/>
          <w:szCs w:val="24"/>
          <w:lang w:eastAsia="en-US"/>
        </w:rPr>
        <w:t>Orijinta</w:t>
      </w:r>
      <w:proofErr w:type="spellEnd"/>
      <w:r w:rsidRPr="003C3F06">
        <w:rPr>
          <w:rFonts w:ascii="Times New Roman" w:eastAsia="Times New Roman" w:hAnsi="Times New Roman"/>
          <w:sz w:val="24"/>
          <w:szCs w:val="24"/>
          <w:lang w:eastAsia="en-US"/>
        </w:rPr>
        <w:t xml:space="preserve"> et al. (2025) found that expertise and frequent meetings helped reduce earnings volatility. These conflicting results, combined with limited research on oil and gas firms specifically, make it necessary to further investigate how audit committee features influence financial reporting quality in this critical sector.</w:t>
      </w:r>
    </w:p>
    <w:p w14:paraId="02998EE9" w14:textId="01BF50A1" w:rsidR="000B0CEA" w:rsidRPr="00777CFC" w:rsidRDefault="000B0CEA" w:rsidP="00777CFC">
      <w:pPr>
        <w:pStyle w:val="NoSpacing"/>
        <w:rPr>
          <w:rStyle w:val="Strong"/>
          <w:rFonts w:ascii="Times New Roman" w:hAnsi="Times New Roman" w:cs="Times New Roman"/>
          <w:sz w:val="24"/>
          <w:szCs w:val="24"/>
        </w:rPr>
      </w:pPr>
      <w:r w:rsidRPr="00777CFC">
        <w:rPr>
          <w:rStyle w:val="Strong"/>
          <w:rFonts w:ascii="Times New Roman" w:hAnsi="Times New Roman" w:cs="Times New Roman"/>
          <w:sz w:val="24"/>
          <w:szCs w:val="24"/>
        </w:rPr>
        <w:t>2. Literature Review</w:t>
      </w:r>
    </w:p>
    <w:p w14:paraId="2384E551" w14:textId="3C5E0A14" w:rsidR="00777CFC" w:rsidRPr="00777CFC" w:rsidRDefault="00777CFC" w:rsidP="00777CFC">
      <w:pPr>
        <w:pStyle w:val="NoSpacing"/>
        <w:rPr>
          <w:rFonts w:ascii="Times New Roman" w:hAnsi="Times New Roman" w:cs="Times New Roman"/>
          <w:sz w:val="24"/>
          <w:szCs w:val="24"/>
        </w:rPr>
      </w:pPr>
      <w:r w:rsidRPr="00777CFC">
        <w:rPr>
          <w:rFonts w:ascii="Times New Roman" w:hAnsi="Times New Roman" w:cs="Times New Roman"/>
          <w:sz w:val="24"/>
          <w:szCs w:val="24"/>
        </w:rPr>
        <w:t>This section outlines the literature review underpinning the study.</w:t>
      </w:r>
    </w:p>
    <w:p w14:paraId="048EB0EA" w14:textId="5E07A4E8" w:rsidR="00727206" w:rsidRPr="003C3F06" w:rsidRDefault="000B0CEA" w:rsidP="003C3F06">
      <w:pPr>
        <w:pStyle w:val="NormalWeb"/>
        <w:spacing w:line="360" w:lineRule="auto"/>
        <w:jc w:val="both"/>
        <w:rPr>
          <w:rStyle w:val="Strong"/>
        </w:rPr>
      </w:pPr>
      <w:r w:rsidRPr="003C3F06">
        <w:rPr>
          <w:rStyle w:val="Strong"/>
        </w:rPr>
        <w:t xml:space="preserve">2.1 </w:t>
      </w:r>
      <w:r w:rsidR="0025771C">
        <w:rPr>
          <w:rStyle w:val="Strong"/>
        </w:rPr>
        <w:t xml:space="preserve">Quality of </w:t>
      </w:r>
      <w:r w:rsidRPr="003C3F06">
        <w:rPr>
          <w:rStyle w:val="Strong"/>
        </w:rPr>
        <w:t>Financial Reporting</w:t>
      </w:r>
    </w:p>
    <w:p w14:paraId="580C2A87" w14:textId="0AD85E41" w:rsidR="000B0CEA" w:rsidRPr="003C3F06" w:rsidRDefault="0025771C" w:rsidP="003C3F06">
      <w:pPr>
        <w:pStyle w:val="NormalWeb"/>
        <w:spacing w:line="360" w:lineRule="auto"/>
        <w:jc w:val="both"/>
      </w:pPr>
      <w:r>
        <w:t>Quality of f</w:t>
      </w:r>
      <w:r w:rsidR="000B0CEA" w:rsidRPr="003C3F06">
        <w:t>inancial reporting reflects how well financial statements convey reliable, transparent, and decision-useful information to stakeholders. High-quality reports should faithfully depict an entity’s actual financial condition, free from distortion, bias, or significant errors (</w:t>
      </w:r>
      <w:proofErr w:type="spellStart"/>
      <w:r w:rsidR="00787FC0" w:rsidRPr="003C3F06">
        <w:t>Alqatamin</w:t>
      </w:r>
      <w:proofErr w:type="spellEnd"/>
      <w:r w:rsidR="00787FC0" w:rsidRPr="003C3F06">
        <w:t xml:space="preserve"> &amp; </w:t>
      </w:r>
      <w:proofErr w:type="spellStart"/>
      <w:r w:rsidR="00787FC0" w:rsidRPr="003C3F06">
        <w:t>Alqatamin</w:t>
      </w:r>
      <w:proofErr w:type="spellEnd"/>
      <w:r w:rsidR="00787FC0" w:rsidRPr="003C3F06">
        <w:t>, 2024</w:t>
      </w:r>
      <w:r w:rsidR="000B0CEA" w:rsidRPr="003C3F06">
        <w:t xml:space="preserve">; </w:t>
      </w:r>
      <w:proofErr w:type="spellStart"/>
      <w:r w:rsidR="000B0CEA" w:rsidRPr="00083D65">
        <w:t>Obigbemi</w:t>
      </w:r>
      <w:proofErr w:type="spellEnd"/>
      <w:r w:rsidR="000B0CEA" w:rsidRPr="00083D65">
        <w:t xml:space="preserve"> et al., 2022). </w:t>
      </w:r>
      <w:r w:rsidR="000B0CEA" w:rsidRPr="003C3F06">
        <w:t>Within Nigeria’s oil and gas industry, however, persistent issues such as poor disclosure standards and weak transparency continue to undermine regulatory oversight and investor confidence (</w:t>
      </w:r>
      <w:proofErr w:type="spellStart"/>
      <w:r w:rsidR="000B0CEA" w:rsidRPr="003C3F06">
        <w:t>Orijinta</w:t>
      </w:r>
      <w:proofErr w:type="spellEnd"/>
      <w:r w:rsidR="000B0CEA" w:rsidRPr="003C3F06">
        <w:t xml:space="preserve"> et al., 2025).</w:t>
      </w:r>
    </w:p>
    <w:p w14:paraId="65C86B7D" w14:textId="77777777" w:rsidR="000B0CEA" w:rsidRPr="003C3F06" w:rsidRDefault="000B0CEA" w:rsidP="003C3F06">
      <w:pPr>
        <w:pStyle w:val="NormalWeb"/>
        <w:spacing w:line="360" w:lineRule="auto"/>
        <w:jc w:val="both"/>
      </w:pPr>
      <w:r w:rsidRPr="003C3F06">
        <w:t xml:space="preserve">According to Thanh Dong et al. (2025), FRQ depends on the clarity, timeliness, and relevance of information, with quality increasing when financial statements accurately reflect operational </w:t>
      </w:r>
      <w:r w:rsidRPr="003C3F06">
        <w:lastRenderedPageBreak/>
        <w:t xml:space="preserve">realities. </w:t>
      </w:r>
      <w:proofErr w:type="spellStart"/>
      <w:r w:rsidRPr="00083D65">
        <w:t>Dewi</w:t>
      </w:r>
      <w:proofErr w:type="spellEnd"/>
      <w:r w:rsidRPr="00083D65">
        <w:t xml:space="preserve"> and Haryanto (2024) </w:t>
      </w:r>
      <w:r w:rsidRPr="003C3F06">
        <w:t>similarly argue that credible and consistent reports reduce the information asymmetry between managers and stakeholders, thereby building trust.</w:t>
      </w:r>
    </w:p>
    <w:p w14:paraId="54D08136" w14:textId="1C37CB40" w:rsidR="000B0CEA" w:rsidRPr="003C3F06" w:rsidRDefault="000B0CEA" w:rsidP="003C3F06">
      <w:pPr>
        <w:pStyle w:val="NormalWeb"/>
        <w:spacing w:line="360" w:lineRule="auto"/>
        <w:jc w:val="both"/>
      </w:pPr>
      <w:proofErr w:type="spellStart"/>
      <w:r w:rsidRPr="003C3F06">
        <w:t>Yawuri</w:t>
      </w:r>
      <w:proofErr w:type="spellEnd"/>
      <w:r w:rsidRPr="003C3F06">
        <w:t xml:space="preserve"> et al. (2024) contend that FRQ signals how effectively firms communicate genuine performance and helps deter fraudulent activities. They point to models such as the </w:t>
      </w:r>
      <w:proofErr w:type="spellStart"/>
      <w:r w:rsidRPr="003C3F06">
        <w:t>Beneish</w:t>
      </w:r>
      <w:proofErr w:type="spellEnd"/>
      <w:r w:rsidRPr="003C3F06">
        <w:t xml:space="preserve"> M-score, which, when reinforced by strong audit assurance, can enhance the credibility of reporting. In line with this, </w:t>
      </w:r>
      <w:r w:rsidR="00F94798" w:rsidRPr="003C3F06">
        <w:t>“</w:t>
      </w:r>
      <w:r w:rsidRPr="003C3F06">
        <w:t>the International Accounting Standards Board (IASB, 2024) identifies six fundamental attributes</w:t>
      </w:r>
      <w:r w:rsidR="00727206" w:rsidRPr="003C3F06">
        <w:t xml:space="preserve"> </w:t>
      </w:r>
      <w:r w:rsidRPr="003C3F06">
        <w:t>relevance, faithful representation, comparability, verifiability, timeliness, and understandability</w:t>
      </w:r>
      <w:r w:rsidR="00727206" w:rsidRPr="003C3F06">
        <w:t xml:space="preserve"> </w:t>
      </w:r>
      <w:r w:rsidRPr="003C3F06">
        <w:t>as essential features of high-quality financial reports</w:t>
      </w:r>
      <w:r w:rsidR="00F94798" w:rsidRPr="003C3F06">
        <w:t>”</w:t>
      </w:r>
      <w:r w:rsidRPr="003C3F06">
        <w:t>.</w:t>
      </w:r>
    </w:p>
    <w:p w14:paraId="5DF9D68C" w14:textId="77777777" w:rsidR="000B0CEA" w:rsidRPr="003C3F06" w:rsidRDefault="000B0CEA" w:rsidP="003C3F06">
      <w:pPr>
        <w:pStyle w:val="NormalWeb"/>
        <w:spacing w:line="360" w:lineRule="auto"/>
        <w:jc w:val="both"/>
      </w:pPr>
      <w:r w:rsidRPr="003C3F06">
        <w:rPr>
          <w:rStyle w:val="Strong"/>
        </w:rPr>
        <w:t>2.2 Audit Committee Attributes and Financial Reporting Quality</w:t>
      </w:r>
    </w:p>
    <w:p w14:paraId="4D179C00" w14:textId="77777777" w:rsidR="00727206" w:rsidRPr="003C3F06" w:rsidRDefault="000B0CEA" w:rsidP="003C3F06">
      <w:pPr>
        <w:pStyle w:val="NormalWeb"/>
        <w:spacing w:line="360" w:lineRule="auto"/>
        <w:jc w:val="both"/>
        <w:rPr>
          <w:rStyle w:val="Strong"/>
        </w:rPr>
      </w:pPr>
      <w:r w:rsidRPr="003C3F06">
        <w:rPr>
          <w:rStyle w:val="Strong"/>
        </w:rPr>
        <w:t>2.2.1 Audit Committee Independence</w:t>
      </w:r>
    </w:p>
    <w:p w14:paraId="54A8A235" w14:textId="10EF72E6" w:rsidR="000B0CEA" w:rsidRPr="003C3F06" w:rsidRDefault="000B0CEA" w:rsidP="003C3F06">
      <w:pPr>
        <w:pStyle w:val="NormalWeb"/>
        <w:spacing w:line="360" w:lineRule="auto"/>
        <w:jc w:val="both"/>
      </w:pPr>
      <w:r w:rsidRPr="003C3F06">
        <w:t>Independence refers to the capacity of audit committee members to operate without being influenced by management. Non-executive directors, in particular, are often considered better positioned to provide impartial oversight, scrutinize managerial decisions, and protect shareholder interests. Evidence from Nigerian firms indicates that independence</w:t>
      </w:r>
      <w:r w:rsidR="00727206" w:rsidRPr="003C3F06">
        <w:t xml:space="preserve"> </w:t>
      </w:r>
      <w:r w:rsidRPr="003C3F06">
        <w:t>commonly assessed by the proportion of non-executive directors on the committee</w:t>
      </w:r>
      <w:r w:rsidR="00727206" w:rsidRPr="003C3F06">
        <w:t xml:space="preserve"> </w:t>
      </w:r>
      <w:r w:rsidRPr="003C3F06">
        <w:t>tends to improve financial reporting quality, especially in consumer goods companies (Muhammed et al., 2024).</w:t>
      </w:r>
    </w:p>
    <w:p w14:paraId="63BBE6FA" w14:textId="77777777" w:rsidR="00727206" w:rsidRPr="003C3F06" w:rsidRDefault="000B0CEA" w:rsidP="003C3F06">
      <w:pPr>
        <w:pStyle w:val="NormalWeb"/>
        <w:spacing w:line="360" w:lineRule="auto"/>
        <w:jc w:val="both"/>
        <w:rPr>
          <w:rStyle w:val="Strong"/>
        </w:rPr>
      </w:pPr>
      <w:r w:rsidRPr="003C3F06">
        <w:rPr>
          <w:rStyle w:val="Strong"/>
        </w:rPr>
        <w:t>2.2.2 Frequency of Audit Committee Meetings</w:t>
      </w:r>
    </w:p>
    <w:p w14:paraId="7CA60738" w14:textId="3C372139" w:rsidR="00727206" w:rsidRPr="003C3F06" w:rsidRDefault="000B0CEA" w:rsidP="003C3F06">
      <w:pPr>
        <w:pStyle w:val="NormalWeb"/>
        <w:spacing w:line="360" w:lineRule="auto"/>
        <w:jc w:val="both"/>
        <w:rPr>
          <w:rStyle w:val="Strong"/>
          <w:b w:val="0"/>
          <w:bCs w:val="0"/>
        </w:rPr>
      </w:pPr>
      <w:r w:rsidRPr="003C3F06">
        <w:t xml:space="preserve">The regularity with which audit committees meet is widely regarded as a factor influencing their monitoring effectiveness. International studies suggest that frequent meetings reduce opportunities for earnings manipulation. Nigerian evidence, however, remains inconclusive. For example, </w:t>
      </w:r>
      <w:proofErr w:type="spellStart"/>
      <w:r w:rsidR="009A14DC" w:rsidRPr="003C3F06">
        <w:t>Olaoye</w:t>
      </w:r>
      <w:proofErr w:type="spellEnd"/>
      <w:r w:rsidR="009A14DC" w:rsidRPr="003C3F06">
        <w:t xml:space="preserve"> and Bamidele,</w:t>
      </w:r>
      <w:r w:rsidRPr="003C3F06">
        <w:t xml:space="preserve"> (2024) reported that in the banking sector, frequent meetings were negatively associated with FRQ, though the effect was insignificant. By contrast, </w:t>
      </w:r>
      <w:proofErr w:type="spellStart"/>
      <w:r w:rsidRPr="003C3F06">
        <w:t>Aigienohuwa</w:t>
      </w:r>
      <w:proofErr w:type="spellEnd"/>
      <w:r w:rsidRPr="003C3F06">
        <w:t xml:space="preserve"> and </w:t>
      </w:r>
      <w:proofErr w:type="spellStart"/>
      <w:r w:rsidRPr="003C3F06">
        <w:t>Irowa-Omoregie</w:t>
      </w:r>
      <w:proofErr w:type="spellEnd"/>
      <w:r w:rsidRPr="003C3F06">
        <w:t xml:space="preserve"> (2025) found that in manufacturing firms, more regular meetings enhanced diligence and strengthened operational oversight.</w:t>
      </w:r>
    </w:p>
    <w:p w14:paraId="190F57A7" w14:textId="7CA26267" w:rsidR="00727206" w:rsidRPr="003C3F06" w:rsidRDefault="000B0CEA" w:rsidP="003C3F06">
      <w:pPr>
        <w:pStyle w:val="NormalWeb"/>
        <w:spacing w:line="360" w:lineRule="auto"/>
        <w:jc w:val="both"/>
        <w:rPr>
          <w:rStyle w:val="Strong"/>
        </w:rPr>
      </w:pPr>
      <w:r w:rsidRPr="003C3F06">
        <w:rPr>
          <w:rStyle w:val="Strong"/>
        </w:rPr>
        <w:t>2.2.3 Audit Committee Size</w:t>
      </w:r>
    </w:p>
    <w:p w14:paraId="5FFA81C8" w14:textId="37C84517" w:rsidR="000B0CEA" w:rsidRPr="003C3F06" w:rsidRDefault="000B0CEA" w:rsidP="003C3F06">
      <w:pPr>
        <w:pStyle w:val="NormalWeb"/>
        <w:spacing w:line="360" w:lineRule="auto"/>
        <w:jc w:val="both"/>
      </w:pPr>
      <w:r w:rsidRPr="003C3F06">
        <w:lastRenderedPageBreak/>
        <w:t xml:space="preserve">The size of an audit committee is another governance characteristic debated in the literature. While larger committees may bring a wider range of expertise and viewpoints, they can also encounter challenges such as coordination difficulties and slower decision-making. Nigerian studies reflect this ambiguity. Abdullahi (2024) noted a positive but insignificant link between committee size and FRQ in the banking industry, whereas </w:t>
      </w:r>
      <w:proofErr w:type="spellStart"/>
      <w:r w:rsidRPr="003C3F06">
        <w:t>Peekate</w:t>
      </w:r>
      <w:proofErr w:type="spellEnd"/>
      <w:r w:rsidRPr="003C3F06">
        <w:t xml:space="preserve"> (2025) identified a modest but positive association in consumer goods firms.</w:t>
      </w:r>
    </w:p>
    <w:p w14:paraId="716192A6" w14:textId="0FB6FAF3" w:rsidR="00727206" w:rsidRPr="003C3F06" w:rsidRDefault="000B0CEA" w:rsidP="003C3F06">
      <w:pPr>
        <w:pStyle w:val="NormalWeb"/>
        <w:spacing w:line="360" w:lineRule="auto"/>
        <w:jc w:val="both"/>
        <w:rPr>
          <w:rStyle w:val="Strong"/>
          <w:b w:val="0"/>
          <w:bCs w:val="0"/>
        </w:rPr>
      </w:pPr>
      <w:r w:rsidRPr="003C3F06">
        <w:rPr>
          <w:rStyle w:val="Strong"/>
        </w:rPr>
        <w:t>2.2 Theoretical Review</w:t>
      </w:r>
    </w:p>
    <w:p w14:paraId="2FB94158" w14:textId="6698076B" w:rsidR="000B0CEA" w:rsidRPr="003C3F06" w:rsidRDefault="000B0CEA" w:rsidP="003C3F06">
      <w:pPr>
        <w:pStyle w:val="NormalWeb"/>
        <w:spacing w:line="360" w:lineRule="auto"/>
        <w:jc w:val="both"/>
      </w:pPr>
      <w:r w:rsidRPr="003C3F06">
        <w:t>This study is grounded in two key theoretical perspectives: Agency Theory and Resource Dependence Theory.</w:t>
      </w:r>
    </w:p>
    <w:p w14:paraId="5C7922FC" w14:textId="77777777" w:rsidR="00727206" w:rsidRPr="003C3F06" w:rsidRDefault="000B0CEA" w:rsidP="003C3F06">
      <w:pPr>
        <w:pStyle w:val="NormalWeb"/>
        <w:spacing w:line="360" w:lineRule="auto"/>
        <w:jc w:val="both"/>
        <w:rPr>
          <w:rStyle w:val="Strong"/>
        </w:rPr>
      </w:pPr>
      <w:r w:rsidRPr="003C3F06">
        <w:rPr>
          <w:rStyle w:val="Strong"/>
        </w:rPr>
        <w:t>2.2.1 Agency Theory</w:t>
      </w:r>
    </w:p>
    <w:p w14:paraId="710C91AD" w14:textId="4417B49F" w:rsidR="000B0CEA" w:rsidRPr="003C3F06" w:rsidRDefault="000B0CEA" w:rsidP="003C3F06">
      <w:pPr>
        <w:pStyle w:val="NormalWeb"/>
        <w:spacing w:line="360" w:lineRule="auto"/>
        <w:jc w:val="both"/>
      </w:pPr>
      <w:r w:rsidRPr="003C3F06">
        <w:t xml:space="preserve">Agency Theory, developed by Jensen and </w:t>
      </w:r>
      <w:proofErr w:type="spellStart"/>
      <w:r w:rsidRPr="003C3F06">
        <w:t>Meckling</w:t>
      </w:r>
      <w:proofErr w:type="spellEnd"/>
      <w:r w:rsidRPr="003C3F06">
        <w:t xml:space="preserve"> (1976), conceptualizes the firm as a contract-based relationship between shareholders (principals) and managers (agents). Since managers may pursue personal objectives that conflict with the interests of owners, tensions often arise, particularly due to information asymmetry where managers possess superior knowledge of firm operations. To address these conflicts and reduce agency costs, governance mechanisms such as audit committees are established.</w:t>
      </w:r>
    </w:p>
    <w:p w14:paraId="0A3D8958" w14:textId="77777777" w:rsidR="000B0CEA" w:rsidRPr="003C3F06" w:rsidRDefault="000B0CEA" w:rsidP="003C3F06">
      <w:pPr>
        <w:pStyle w:val="NormalWeb"/>
        <w:spacing w:line="360" w:lineRule="auto"/>
        <w:jc w:val="both"/>
      </w:pPr>
      <w:r w:rsidRPr="003C3F06">
        <w:t>Although widely applied, the theory has been critiqued. It assumes managers act purely out of self-interest, giving limited attention to ethics, social responsibility, or the interests of other stakeholders. Its focus on shareholder wealth maximization can also obscure the needs of broader constituencies. In addition, in developing economies such as Nigeria, weak legal systems and inconsistent regulatory enforcement may limit its explanatory strength.</w:t>
      </w:r>
    </w:p>
    <w:p w14:paraId="75CAB33B" w14:textId="77777777" w:rsidR="000B0CEA" w:rsidRPr="003C3F06" w:rsidRDefault="000B0CEA" w:rsidP="003C3F06">
      <w:pPr>
        <w:pStyle w:val="NormalWeb"/>
        <w:spacing w:line="360" w:lineRule="auto"/>
        <w:jc w:val="both"/>
      </w:pPr>
      <w:r w:rsidRPr="003C3F06">
        <w:t xml:space="preserve">Nonetheless, Agency Theory offers valuable insights into governance challenges within Nigeria’s oil and gas industry, where ownership and management are often separated. Audit committees serve as monitoring agents that enhance accountability, deter earnings manipulation, and rebuild investor trust. When such committees are independent, professionally competent, diverse, and active, they are better positioned to safeguard reporting credibility. Thus, Agency </w:t>
      </w:r>
      <w:r w:rsidRPr="003C3F06">
        <w:lastRenderedPageBreak/>
        <w:t>Theory provides a useful framework for understanding how audit committees help mitigate principal–agent conflicts in a complex, capital-intensive sector.</w:t>
      </w:r>
    </w:p>
    <w:p w14:paraId="6746B704" w14:textId="77777777" w:rsidR="00727206" w:rsidRPr="003C3F06" w:rsidRDefault="000B0CEA" w:rsidP="003C3F06">
      <w:pPr>
        <w:pStyle w:val="NormalWeb"/>
        <w:spacing w:line="360" w:lineRule="auto"/>
        <w:jc w:val="both"/>
        <w:rPr>
          <w:rStyle w:val="Strong"/>
        </w:rPr>
      </w:pPr>
      <w:r w:rsidRPr="003C3F06">
        <w:rPr>
          <w:rStyle w:val="Strong"/>
        </w:rPr>
        <w:t>2.2.2 Resource Dependence Theory</w:t>
      </w:r>
    </w:p>
    <w:p w14:paraId="7C4ADC76" w14:textId="2A5DB071" w:rsidR="000B0CEA" w:rsidRPr="003C3F06" w:rsidRDefault="000B0CEA" w:rsidP="003C3F06">
      <w:pPr>
        <w:pStyle w:val="NormalWeb"/>
        <w:spacing w:line="360" w:lineRule="auto"/>
        <w:jc w:val="both"/>
      </w:pPr>
      <w:r w:rsidRPr="003C3F06">
        <w:t xml:space="preserve">Resource Dependence Theory (RDT), introduced by Pfeffer and </w:t>
      </w:r>
      <w:proofErr w:type="spellStart"/>
      <w:r w:rsidRPr="003C3F06">
        <w:t>Salancik</w:t>
      </w:r>
      <w:proofErr w:type="spellEnd"/>
      <w:r w:rsidRPr="003C3F06">
        <w:t xml:space="preserve"> (1978), emphasizes that firms rely on external resources and relationships to ensure survival, adaptability, and competitiveness. To reduce uncertainty and access critical resources, organizations strategically select directors and committee members who bring specialized knowledge, networks, and legitimacy. From this perspective, boards and audit committees extend beyond monitoring functions to act as conduits for expertise and influence. Members with financial proficiency, regulatory experience, or industry knowledge can strengthen compliance, support regulatory alignment, and help firms navigate sector-specific challenges.</w:t>
      </w:r>
    </w:p>
    <w:p w14:paraId="5EF888C9" w14:textId="77777777" w:rsidR="000B0CEA" w:rsidRPr="003C3F06" w:rsidRDefault="000B0CEA" w:rsidP="003C3F06">
      <w:pPr>
        <w:pStyle w:val="NormalWeb"/>
        <w:spacing w:line="360" w:lineRule="auto"/>
        <w:jc w:val="both"/>
      </w:pPr>
      <w:r w:rsidRPr="003C3F06">
        <w:t>Despite its relevance, RDT is not without weaknesses. Some critics argue that it overstates the value of symbolic appointments, where directors may be selected for reputation rather than substantive contribution. It also pays limited attention to internal boardroom conflicts and may not fully explain governance practices in centralized decision-making environments common in many developing countries.</w:t>
      </w:r>
    </w:p>
    <w:p w14:paraId="7FA472D6" w14:textId="26A620BE" w:rsidR="000B0CEA" w:rsidRPr="003C3F06" w:rsidRDefault="000B0CEA" w:rsidP="003C3F06">
      <w:pPr>
        <w:pStyle w:val="NormalWeb"/>
        <w:spacing w:line="360" w:lineRule="auto"/>
        <w:jc w:val="both"/>
      </w:pPr>
      <w:r w:rsidRPr="003C3F06">
        <w:t>In Nigeria’s oil and gas sector</w:t>
      </w:r>
      <w:r w:rsidR="00727206" w:rsidRPr="003C3F06">
        <w:t xml:space="preserve"> </w:t>
      </w:r>
      <w:r w:rsidRPr="003C3F06">
        <w:t>characterized by political exposure, stringent regulation, global scrutiny, and volatile oil prices</w:t>
      </w:r>
      <w:r w:rsidR="00727206" w:rsidRPr="003C3F06">
        <w:t xml:space="preserve"> </w:t>
      </w:r>
      <w:r w:rsidRPr="003C3F06">
        <w:t>RDT highlights the importance of resourceful audit committees. Members with international experience, financial acumen, and regulatory insight are particularly valuable in improving compliance, enhancing transparency, and strengthening investor confidence. The theory suggests that the effectiveness of audit committees depends heavily on the quality and depth of expertise within them, making such resources essential for ensuring reliable and high-quality financial reporting in the industry.</w:t>
      </w:r>
    </w:p>
    <w:p w14:paraId="67E9D5CF" w14:textId="77777777" w:rsidR="00113A97" w:rsidRDefault="00113A97" w:rsidP="00113A97">
      <w:pPr>
        <w:jc w:val="both"/>
        <w:rPr>
          <w:rFonts w:ascii="Times New Roman" w:hAnsi="Times New Roman"/>
          <w:b/>
          <w:bCs/>
          <w:sz w:val="24"/>
          <w:szCs w:val="24"/>
        </w:rPr>
      </w:pPr>
    </w:p>
    <w:p w14:paraId="2563DE18" w14:textId="77777777" w:rsidR="00113A97" w:rsidRDefault="00113A97" w:rsidP="00113A97">
      <w:pPr>
        <w:jc w:val="both"/>
        <w:rPr>
          <w:rFonts w:ascii="Times New Roman" w:hAnsi="Times New Roman"/>
          <w:b/>
          <w:bCs/>
          <w:sz w:val="24"/>
          <w:szCs w:val="24"/>
        </w:rPr>
      </w:pPr>
    </w:p>
    <w:p w14:paraId="162C5C18" w14:textId="77777777" w:rsidR="00113A97" w:rsidRDefault="00113A97" w:rsidP="00113A97">
      <w:pPr>
        <w:jc w:val="both"/>
        <w:rPr>
          <w:rFonts w:ascii="Times New Roman" w:hAnsi="Times New Roman"/>
          <w:b/>
          <w:bCs/>
          <w:sz w:val="24"/>
          <w:szCs w:val="24"/>
        </w:rPr>
      </w:pPr>
    </w:p>
    <w:p w14:paraId="0BCD8247" w14:textId="034C036F" w:rsidR="00113A97" w:rsidRPr="00764058" w:rsidRDefault="00113A97" w:rsidP="00113A97">
      <w:pPr>
        <w:jc w:val="both"/>
        <w:rPr>
          <w:rFonts w:ascii="Times New Roman" w:hAnsi="Times New Roman"/>
          <w:b/>
          <w:bCs/>
          <w:sz w:val="24"/>
          <w:szCs w:val="24"/>
        </w:rPr>
      </w:pPr>
      <w:r w:rsidRPr="00764058">
        <w:rPr>
          <w:rFonts w:ascii="Times New Roman" w:hAnsi="Times New Roman"/>
          <w:b/>
          <w:bCs/>
          <w:sz w:val="24"/>
          <w:szCs w:val="24"/>
        </w:rPr>
        <w:t>2.3 Empirical Review</w:t>
      </w:r>
    </w:p>
    <w:p w14:paraId="660B9444" w14:textId="77777777" w:rsidR="00113A97" w:rsidRPr="00113A97" w:rsidRDefault="00113A97" w:rsidP="00113A97">
      <w:pPr>
        <w:pStyle w:val="Heading3"/>
        <w:rPr>
          <w:b w:val="0"/>
          <w:bCs w:val="0"/>
          <w:sz w:val="24"/>
          <w:szCs w:val="24"/>
        </w:rPr>
      </w:pPr>
      <w:r w:rsidRPr="00113A97">
        <w:rPr>
          <w:rStyle w:val="Strong"/>
          <w:b/>
          <w:bCs/>
          <w:sz w:val="24"/>
          <w:szCs w:val="24"/>
        </w:rPr>
        <w:lastRenderedPageBreak/>
        <w:t xml:space="preserve">2.3.1 Audit Committee Independence and </w:t>
      </w:r>
      <w:r w:rsidRPr="00113A97">
        <w:rPr>
          <w:rStyle w:val="Strong"/>
          <w:rFonts w:eastAsiaTheme="majorEastAsia"/>
          <w:b/>
          <w:bCs/>
          <w:sz w:val="24"/>
          <w:szCs w:val="24"/>
        </w:rPr>
        <w:t xml:space="preserve">Quality of </w:t>
      </w:r>
      <w:r w:rsidRPr="00113A97">
        <w:rPr>
          <w:rStyle w:val="Strong"/>
          <w:b/>
          <w:bCs/>
          <w:sz w:val="24"/>
          <w:szCs w:val="24"/>
        </w:rPr>
        <w:t>Financial Reporting</w:t>
      </w:r>
    </w:p>
    <w:p w14:paraId="6543D090" w14:textId="77777777" w:rsidR="00113A97" w:rsidRPr="00764058" w:rsidRDefault="00113A97" w:rsidP="00113A97">
      <w:pPr>
        <w:pStyle w:val="NormalWeb"/>
        <w:spacing w:line="360" w:lineRule="auto"/>
        <w:jc w:val="both"/>
      </w:pPr>
      <w:r w:rsidRPr="00764058">
        <w:t xml:space="preserve">A robust stream of empirical research underscores a positive relationship between audit committee independence and financial reporting quality across diverse national and institutional contexts. Studies from countries such as Bangladesh, the UAE, South Korea, Nigeria, China, and Singapore consistently show that independent audit committees enhance oversight, transparency, and reporting reliability, thereby reinforcing investor confidence and corporate accountability (Ahmed &amp; </w:t>
      </w:r>
      <w:proofErr w:type="spellStart"/>
      <w:r w:rsidRPr="00764058">
        <w:t>Lari</w:t>
      </w:r>
      <w:proofErr w:type="spellEnd"/>
      <w:r w:rsidRPr="00764058">
        <w:t xml:space="preserve">, 2022; </w:t>
      </w:r>
      <w:proofErr w:type="spellStart"/>
      <w:r w:rsidRPr="00764058">
        <w:t>Aljifri</w:t>
      </w:r>
      <w:proofErr w:type="spellEnd"/>
      <w:r w:rsidRPr="00764058">
        <w:t xml:space="preserve"> &amp; Khamis, 2022; Bae et al., 2023; </w:t>
      </w:r>
      <w:proofErr w:type="spellStart"/>
      <w:r w:rsidRPr="00764058">
        <w:t>Nwafor</w:t>
      </w:r>
      <w:proofErr w:type="spellEnd"/>
      <w:r w:rsidRPr="00764058">
        <w:t xml:space="preserve"> &amp; </w:t>
      </w:r>
      <w:proofErr w:type="spellStart"/>
      <w:r w:rsidRPr="00764058">
        <w:t>Eze</w:t>
      </w:r>
      <w:proofErr w:type="spellEnd"/>
      <w:r w:rsidRPr="00764058">
        <w:t xml:space="preserve">, 2023; Zhou et al., 2023; Tan &amp; </w:t>
      </w:r>
      <w:proofErr w:type="spellStart"/>
      <w:r w:rsidRPr="00764058">
        <w:t>Shuan</w:t>
      </w:r>
      <w:proofErr w:type="spellEnd"/>
      <w:r w:rsidRPr="00764058">
        <w:t>, 2023).</w:t>
      </w:r>
    </w:p>
    <w:p w14:paraId="75A518AC" w14:textId="77777777" w:rsidR="00113A97" w:rsidRPr="00764058" w:rsidRDefault="00113A97" w:rsidP="00113A97">
      <w:pPr>
        <w:pStyle w:val="NormalWeb"/>
        <w:spacing w:line="360" w:lineRule="auto"/>
        <w:jc w:val="both"/>
      </w:pPr>
      <w:r w:rsidRPr="00764058">
        <w:t xml:space="preserve">However, emerging evidence suggests that the benefits of independence are conditional on contextual factors. For example, Wang et al. (2022) found that audit committee independence is more impactful in developing economies, where governance structures and regulatory enforcement play a moderating role. Other studies highlight that independence may be undermined by lack of financial expertise (Mokhtar &amp; Ali, 2023), overreliance on management (Emeka &amp; Chinedu, 2023), political interference (Adeyemi &amp; </w:t>
      </w:r>
      <w:proofErr w:type="spellStart"/>
      <w:r w:rsidRPr="00764058">
        <w:t>Uadiale</w:t>
      </w:r>
      <w:proofErr w:type="spellEnd"/>
      <w:r w:rsidRPr="00764058">
        <w:t xml:space="preserve">, 2023), or inadequate institutional frameworks (Ajayi &amp; </w:t>
      </w:r>
      <w:proofErr w:type="spellStart"/>
      <w:r w:rsidRPr="00764058">
        <w:t>Ogundipe</w:t>
      </w:r>
      <w:proofErr w:type="spellEnd"/>
      <w:r w:rsidRPr="00764058">
        <w:t xml:space="preserve">, 2022; </w:t>
      </w:r>
      <w:proofErr w:type="spellStart"/>
      <w:r w:rsidRPr="00764058">
        <w:t>Ofoegbu</w:t>
      </w:r>
      <w:proofErr w:type="spellEnd"/>
      <w:r w:rsidRPr="00764058">
        <w:t xml:space="preserve"> et al., 2022). These findings suggest that while independence is fundamental to governance, its effectiveness depends on the broader regulatory, institutional, and professional landscape.</w:t>
      </w:r>
    </w:p>
    <w:p w14:paraId="637A51CA" w14:textId="77777777" w:rsidR="00113A97" w:rsidRPr="00113A97" w:rsidRDefault="00113A97" w:rsidP="00113A97">
      <w:pPr>
        <w:pStyle w:val="Heading3"/>
        <w:rPr>
          <w:b w:val="0"/>
          <w:bCs w:val="0"/>
          <w:sz w:val="24"/>
          <w:szCs w:val="24"/>
        </w:rPr>
      </w:pPr>
      <w:r w:rsidRPr="00113A97">
        <w:rPr>
          <w:rStyle w:val="Strong"/>
          <w:b/>
          <w:bCs/>
          <w:sz w:val="24"/>
          <w:szCs w:val="24"/>
        </w:rPr>
        <w:t xml:space="preserve">2.3.2 Audit Committee Meeting Frequency and </w:t>
      </w:r>
      <w:r w:rsidRPr="00113A97">
        <w:rPr>
          <w:rStyle w:val="Strong"/>
          <w:rFonts w:eastAsiaTheme="majorEastAsia"/>
          <w:b/>
          <w:bCs/>
          <w:sz w:val="24"/>
          <w:szCs w:val="24"/>
        </w:rPr>
        <w:t xml:space="preserve">Quality of </w:t>
      </w:r>
      <w:r w:rsidRPr="00113A97">
        <w:rPr>
          <w:rStyle w:val="Strong"/>
          <w:b/>
          <w:bCs/>
          <w:sz w:val="24"/>
          <w:szCs w:val="24"/>
        </w:rPr>
        <w:t>Financial Reporting</w:t>
      </w:r>
    </w:p>
    <w:p w14:paraId="66A09224" w14:textId="0CE01C1B" w:rsidR="00113A97" w:rsidRPr="00764058" w:rsidRDefault="00113A97" w:rsidP="00113A97">
      <w:pPr>
        <w:pStyle w:val="NormalWeb"/>
        <w:spacing w:line="360" w:lineRule="auto"/>
        <w:jc w:val="both"/>
      </w:pPr>
      <w:r w:rsidRPr="00764058">
        <w:t>Frequent audit committee meetings have been widely linked to improved financial reporting quality, with studies across jurisdictions</w:t>
      </w:r>
      <w:r>
        <w:t xml:space="preserve">, </w:t>
      </w:r>
      <w:r w:rsidRPr="00764058">
        <w:t>such as Nigeria, Singapore, Malaysia, South Korea, and China</w:t>
      </w:r>
      <w:r>
        <w:t xml:space="preserve">, </w:t>
      </w:r>
      <w:r w:rsidRPr="00764058">
        <w:t xml:space="preserve">indicating that increased engagement strengthens oversight, reduces reporting errors, and enhances accountability (Adeyemi &amp; Olawale, 2022; Tan &amp; </w:t>
      </w:r>
      <w:proofErr w:type="spellStart"/>
      <w:r w:rsidRPr="00764058">
        <w:t>Shuan</w:t>
      </w:r>
      <w:proofErr w:type="spellEnd"/>
      <w:r w:rsidRPr="00764058">
        <w:t xml:space="preserve">, 2022; Mokhtar &amp; Ali, 2022; Bae et al., 2022; </w:t>
      </w:r>
      <w:proofErr w:type="spellStart"/>
      <w:r w:rsidRPr="00764058">
        <w:t>Ojo</w:t>
      </w:r>
      <w:proofErr w:type="spellEnd"/>
      <w:r w:rsidRPr="00764058">
        <w:t xml:space="preserve"> &amp; </w:t>
      </w:r>
      <w:proofErr w:type="spellStart"/>
      <w:r w:rsidRPr="00764058">
        <w:t>Nwogugu</w:t>
      </w:r>
      <w:proofErr w:type="spellEnd"/>
      <w:r w:rsidRPr="00764058">
        <w:t>, 2023; Zhang &amp; Zhao, 2023).</w:t>
      </w:r>
    </w:p>
    <w:p w14:paraId="39134E2A" w14:textId="77777777" w:rsidR="00113A97" w:rsidRPr="00764058" w:rsidRDefault="00113A97" w:rsidP="00113A97">
      <w:pPr>
        <w:pStyle w:val="NormalWeb"/>
        <w:spacing w:line="360" w:lineRule="auto"/>
        <w:jc w:val="both"/>
      </w:pPr>
      <w:r w:rsidRPr="00764058">
        <w:t>Nonetheless, the effectiveness of meeting frequency is not uniform. Its impact is often shaped by factors such as regulatory capacity, meeting substance, member expertise, and enforcement quality. Research has shown that frequent meetings without effective discussion or follow-through may not improve reporting outcomes (Wang et al., 2023; Khan et al., 2023), and in some cases may exacerbate volatility if not properly structured (</w:t>
      </w:r>
      <w:proofErr w:type="spellStart"/>
      <w:r w:rsidRPr="00764058">
        <w:t>Orijinta</w:t>
      </w:r>
      <w:proofErr w:type="spellEnd"/>
      <w:r w:rsidRPr="00764058">
        <w:t xml:space="preserve"> et al., 2025). Moreover, </w:t>
      </w:r>
      <w:r w:rsidRPr="00764058">
        <w:lastRenderedPageBreak/>
        <w:t>challenges such as irregular attendance or symbolic meetings can undermine the potential benefits of regular engagement (Ofori &amp; Agyemang, 2023; Choudhury &amp; Paul, 2023). These findings indicate that while meeting frequency is important, it must be accompanied by meaningful participation, technical competence, and supportive governance frameworks.</w:t>
      </w:r>
    </w:p>
    <w:p w14:paraId="34AA67FE" w14:textId="77777777" w:rsidR="00113A97" w:rsidRPr="00113A97" w:rsidRDefault="00113A97" w:rsidP="00113A97">
      <w:pPr>
        <w:pStyle w:val="Heading3"/>
        <w:jc w:val="both"/>
        <w:rPr>
          <w:b w:val="0"/>
          <w:bCs w:val="0"/>
          <w:sz w:val="24"/>
          <w:szCs w:val="24"/>
        </w:rPr>
      </w:pPr>
      <w:r w:rsidRPr="00113A97">
        <w:rPr>
          <w:rStyle w:val="Strong"/>
          <w:b/>
          <w:bCs/>
          <w:sz w:val="24"/>
          <w:szCs w:val="24"/>
        </w:rPr>
        <w:t xml:space="preserve">2.3.3 Audit Committee Size and </w:t>
      </w:r>
      <w:r w:rsidRPr="00113A97">
        <w:rPr>
          <w:rStyle w:val="Strong"/>
          <w:rFonts w:eastAsiaTheme="majorEastAsia"/>
          <w:b/>
          <w:bCs/>
          <w:sz w:val="24"/>
          <w:szCs w:val="24"/>
        </w:rPr>
        <w:t xml:space="preserve">Quality of </w:t>
      </w:r>
      <w:r w:rsidRPr="00113A97">
        <w:rPr>
          <w:rStyle w:val="Strong"/>
          <w:b/>
          <w:bCs/>
          <w:sz w:val="24"/>
          <w:szCs w:val="24"/>
        </w:rPr>
        <w:t>Financial Reporting</w:t>
      </w:r>
    </w:p>
    <w:p w14:paraId="086440BC" w14:textId="77777777" w:rsidR="00113A97" w:rsidRPr="00764058" w:rsidRDefault="00113A97" w:rsidP="00113A97">
      <w:pPr>
        <w:pStyle w:val="NormalWeb"/>
        <w:spacing w:line="360" w:lineRule="auto"/>
        <w:jc w:val="both"/>
      </w:pPr>
      <w:r w:rsidRPr="00764058">
        <w:t xml:space="preserve">An optimal audit committee size is frequently associated with enhanced financial reporting through improved oversight, decision-making, and member diversity. Evidence from Nigeria, Singapore, Malaysia, Ghana, China, and other contexts suggests that well-structured committees with adequate membership promote transparency, internal control, and audit efficiency (Adeyemi &amp; Olawale, 2022; Tan &amp; </w:t>
      </w:r>
      <w:proofErr w:type="spellStart"/>
      <w:r w:rsidRPr="00764058">
        <w:t>Shuan</w:t>
      </w:r>
      <w:proofErr w:type="spellEnd"/>
      <w:r w:rsidRPr="00764058">
        <w:t xml:space="preserve">, 2023; Mokhtar &amp; Ali, 2023; Ofori &amp; Agyemang, 2023; Zhang &amp; Zhao, 2023; </w:t>
      </w:r>
      <w:proofErr w:type="spellStart"/>
      <w:r w:rsidRPr="00764058">
        <w:t>Nwafor</w:t>
      </w:r>
      <w:proofErr w:type="spellEnd"/>
      <w:r w:rsidRPr="00764058">
        <w:t xml:space="preserve"> &amp; </w:t>
      </w:r>
      <w:proofErr w:type="spellStart"/>
      <w:r w:rsidRPr="00764058">
        <w:t>Eze</w:t>
      </w:r>
      <w:proofErr w:type="spellEnd"/>
      <w:r w:rsidRPr="00764058">
        <w:t>, 2024).</w:t>
      </w:r>
    </w:p>
    <w:p w14:paraId="655D4376" w14:textId="09142E63" w:rsidR="006E7B74" w:rsidRPr="003C3F06" w:rsidRDefault="00113A97" w:rsidP="00113A97">
      <w:pPr>
        <w:pStyle w:val="NormalWeb"/>
        <w:spacing w:line="360" w:lineRule="auto"/>
        <w:jc w:val="both"/>
      </w:pPr>
      <w:r w:rsidRPr="00764058">
        <w:t>However, size alone does not guarantee effectiveness. Larger committees may experience coordination challenges, diluted accountability, and decision-making inefficiencies (Bae et al., 2022; Wang et al., 2023; Niemann et al., 2023). In contrast, smaller but more competent committees have demonstrated superior performance in certain contexts (Khan et al., 2023). Additionally, studies have found no significant effect of committee size on reporting quality when member expertise or timely audits are lacking (</w:t>
      </w:r>
      <w:proofErr w:type="spellStart"/>
      <w:r w:rsidRPr="00764058">
        <w:t>Orijinta</w:t>
      </w:r>
      <w:proofErr w:type="spellEnd"/>
      <w:r w:rsidRPr="00764058">
        <w:t xml:space="preserve"> et al., 2025; </w:t>
      </w:r>
      <w:proofErr w:type="spellStart"/>
      <w:r w:rsidRPr="00764058">
        <w:t>Eyenubo</w:t>
      </w:r>
      <w:proofErr w:type="spellEnd"/>
      <w:r w:rsidRPr="00764058">
        <w:t>, 2017). These findings emphasize that the effectiveness of audit committee size is contextually driven and closely tied to qualitative attributes such as member expertise and engagement.</w:t>
      </w:r>
    </w:p>
    <w:p w14:paraId="17D02F9A" w14:textId="77777777" w:rsidR="006E7B74" w:rsidRPr="003C3F06" w:rsidRDefault="006E7B74" w:rsidP="003C3F06">
      <w:pPr>
        <w:spacing w:before="100" w:beforeAutospacing="1" w:after="100" w:afterAutospacing="1" w:line="360" w:lineRule="auto"/>
        <w:jc w:val="both"/>
        <w:rPr>
          <w:rFonts w:ascii="Times New Roman" w:eastAsia="Times New Roman" w:hAnsi="Times New Roman"/>
          <w:sz w:val="24"/>
          <w:szCs w:val="24"/>
          <w:lang w:eastAsia="en-US"/>
        </w:rPr>
      </w:pPr>
      <w:r w:rsidRPr="003C3F06">
        <w:rPr>
          <w:rFonts w:ascii="Times New Roman" w:eastAsia="Times New Roman" w:hAnsi="Times New Roman"/>
          <w:b/>
          <w:bCs/>
          <w:sz w:val="24"/>
          <w:szCs w:val="24"/>
          <w:lang w:eastAsia="en-US"/>
        </w:rPr>
        <w:t>3. Methodology</w:t>
      </w:r>
    </w:p>
    <w:p w14:paraId="28BED4E1" w14:textId="77777777" w:rsidR="006E7B74" w:rsidRPr="003C3F06" w:rsidRDefault="006E7B74" w:rsidP="003C3F06">
      <w:pPr>
        <w:spacing w:before="100" w:beforeAutospacing="1" w:after="100" w:afterAutospacing="1" w:line="360" w:lineRule="auto"/>
        <w:jc w:val="both"/>
        <w:rPr>
          <w:rFonts w:ascii="Times New Roman" w:eastAsia="Times New Roman" w:hAnsi="Times New Roman"/>
          <w:sz w:val="24"/>
          <w:szCs w:val="24"/>
          <w:lang w:eastAsia="en-US"/>
        </w:rPr>
      </w:pPr>
      <w:r w:rsidRPr="003C3F06">
        <w:rPr>
          <w:rFonts w:ascii="Times New Roman" w:eastAsia="Times New Roman" w:hAnsi="Times New Roman"/>
          <w:sz w:val="24"/>
          <w:szCs w:val="24"/>
          <w:lang w:eastAsia="en-US"/>
        </w:rPr>
        <w:t>This study adopted a mixed-method research design, making use of secondary data drawn from the annual reports of oil and gas companies listed on the Nigerian Exchange Group (NGX) covering the period 2014–2024. The study population comprised all seven oil and gas firms listed as of December 31, 2024. Given the relatively small number of firms, a census approach was employed to ensure that the entire sector was represented. To examine the relationship between audit committee characteristics and financial reporting quality, panel ordinary least squares (OLS) regression was applied, with the analysis carried out using EViews econometric software.</w:t>
      </w:r>
    </w:p>
    <w:p w14:paraId="3BF97C7A" w14:textId="77777777" w:rsidR="006E7B74" w:rsidRPr="003C3F06" w:rsidRDefault="006E7B74" w:rsidP="003C3F06">
      <w:pPr>
        <w:spacing w:before="100" w:beforeAutospacing="1" w:after="100" w:afterAutospacing="1" w:line="360" w:lineRule="auto"/>
        <w:jc w:val="both"/>
        <w:rPr>
          <w:rFonts w:ascii="Times New Roman" w:eastAsia="Times New Roman" w:hAnsi="Times New Roman"/>
          <w:sz w:val="24"/>
          <w:szCs w:val="24"/>
          <w:lang w:eastAsia="en-US"/>
        </w:rPr>
      </w:pPr>
      <w:r w:rsidRPr="003C3F06">
        <w:rPr>
          <w:rFonts w:ascii="Times New Roman" w:eastAsia="Times New Roman" w:hAnsi="Times New Roman"/>
          <w:b/>
          <w:bCs/>
          <w:sz w:val="24"/>
          <w:szCs w:val="24"/>
          <w:lang w:eastAsia="en-US"/>
        </w:rPr>
        <w:lastRenderedPageBreak/>
        <w:t>3.1 Model Specification</w:t>
      </w:r>
    </w:p>
    <w:p w14:paraId="6D292BC2" w14:textId="77777777" w:rsidR="006E7B74" w:rsidRPr="003C3F06" w:rsidRDefault="006E7B74" w:rsidP="003C3F06">
      <w:pPr>
        <w:spacing w:before="100" w:beforeAutospacing="1" w:after="100" w:afterAutospacing="1" w:line="360" w:lineRule="auto"/>
        <w:jc w:val="both"/>
        <w:rPr>
          <w:rFonts w:ascii="Times New Roman" w:eastAsia="Times New Roman" w:hAnsi="Times New Roman"/>
          <w:sz w:val="24"/>
          <w:szCs w:val="24"/>
          <w:lang w:eastAsia="en-US"/>
        </w:rPr>
      </w:pPr>
      <w:r w:rsidRPr="003C3F06">
        <w:rPr>
          <w:rFonts w:ascii="Times New Roman" w:eastAsia="Times New Roman" w:hAnsi="Times New Roman"/>
          <w:sz w:val="24"/>
          <w:szCs w:val="24"/>
          <w:lang w:eastAsia="en-US"/>
        </w:rPr>
        <w:t>A multiple regression model was developed to evaluate the effect of audit committee attributes on financial reporting quality, while also incorporating control variables. The specification includes an error term to capture variation not explained by the independent variables.</w:t>
      </w:r>
    </w:p>
    <w:p w14:paraId="5F80B0B4" w14:textId="77777777" w:rsidR="006E7B74" w:rsidRPr="003C3F06" w:rsidRDefault="006E7B74" w:rsidP="003C3F06">
      <w:pPr>
        <w:spacing w:before="100" w:beforeAutospacing="1" w:after="100" w:afterAutospacing="1" w:line="360" w:lineRule="auto"/>
        <w:jc w:val="both"/>
        <w:rPr>
          <w:rFonts w:ascii="Times New Roman" w:eastAsia="Times New Roman" w:hAnsi="Times New Roman"/>
          <w:sz w:val="24"/>
          <w:szCs w:val="24"/>
          <w:lang w:eastAsia="en-US"/>
        </w:rPr>
      </w:pPr>
      <w:r w:rsidRPr="003C3F06">
        <w:rPr>
          <w:rFonts w:ascii="Times New Roman" w:eastAsia="Times New Roman" w:hAnsi="Times New Roman"/>
          <w:sz w:val="24"/>
          <w:szCs w:val="24"/>
          <w:lang w:eastAsia="en-US"/>
        </w:rPr>
        <w:t>The model is stated as:</w:t>
      </w:r>
    </w:p>
    <w:p w14:paraId="6707D3B6" w14:textId="5C7E8479" w:rsidR="006E7B74" w:rsidRPr="003C3F06" w:rsidRDefault="006E7B74" w:rsidP="003C3F06">
      <w:pPr>
        <w:spacing w:after="0" w:line="360" w:lineRule="auto"/>
        <w:jc w:val="both"/>
        <w:rPr>
          <w:rFonts w:ascii="Times New Roman" w:eastAsia="Times New Roman" w:hAnsi="Times New Roman"/>
          <w:sz w:val="24"/>
          <w:szCs w:val="24"/>
          <w:lang w:eastAsia="en-US"/>
        </w:rPr>
      </w:pPr>
      <w:proofErr w:type="spellStart"/>
      <w:r w:rsidRPr="003C3F06">
        <w:rPr>
          <w:rFonts w:ascii="Times New Roman" w:eastAsia="Times New Roman" w:hAnsi="Times New Roman"/>
          <w:sz w:val="24"/>
          <w:szCs w:val="24"/>
          <w:lang w:eastAsia="en-US"/>
        </w:rPr>
        <w:t>FRQ</w:t>
      </w:r>
      <w:r w:rsidRPr="00617F1C">
        <w:rPr>
          <w:rFonts w:ascii="Times New Roman" w:eastAsia="Times New Roman" w:hAnsi="Times New Roman"/>
          <w:sz w:val="24"/>
          <w:szCs w:val="24"/>
          <w:vertAlign w:val="subscript"/>
          <w:lang w:eastAsia="en-US"/>
        </w:rPr>
        <w:t>it</w:t>
      </w:r>
      <w:proofErr w:type="spellEnd"/>
      <w:r w:rsidRPr="003C3F06">
        <w:rPr>
          <w:rFonts w:ascii="Times New Roman" w:eastAsia="Times New Roman" w:hAnsi="Times New Roman"/>
          <w:sz w:val="24"/>
          <w:szCs w:val="24"/>
          <w:lang w:eastAsia="en-US"/>
        </w:rPr>
        <w:t>=α</w:t>
      </w:r>
      <w:r w:rsidRPr="00617F1C">
        <w:rPr>
          <w:rFonts w:ascii="Times New Roman" w:eastAsia="Times New Roman" w:hAnsi="Times New Roman"/>
          <w:sz w:val="24"/>
          <w:szCs w:val="24"/>
          <w:vertAlign w:val="subscript"/>
          <w:lang w:eastAsia="en-US"/>
        </w:rPr>
        <w:t>0</w:t>
      </w:r>
      <w:r w:rsidRPr="003C3F06">
        <w:rPr>
          <w:rFonts w:ascii="Times New Roman" w:eastAsia="Times New Roman" w:hAnsi="Times New Roman"/>
          <w:sz w:val="24"/>
          <w:szCs w:val="24"/>
          <w:lang w:eastAsia="en-US"/>
        </w:rPr>
        <w:t>+</w:t>
      </w:r>
      <w:r w:rsidRPr="00617F1C">
        <w:rPr>
          <w:rFonts w:ascii="Times New Roman" w:eastAsia="Times New Roman" w:hAnsi="Times New Roman"/>
          <w:sz w:val="24"/>
          <w:szCs w:val="24"/>
          <w:lang w:eastAsia="en-US"/>
        </w:rPr>
        <w:t>α</w:t>
      </w:r>
      <w:r w:rsidRPr="00617F1C">
        <w:rPr>
          <w:rFonts w:ascii="Times New Roman" w:eastAsia="Times New Roman" w:hAnsi="Times New Roman"/>
          <w:sz w:val="24"/>
          <w:szCs w:val="24"/>
          <w:vertAlign w:val="subscript"/>
          <w:lang w:eastAsia="en-US"/>
        </w:rPr>
        <w:t>1</w:t>
      </w:r>
      <w:r w:rsidRPr="00617F1C">
        <w:rPr>
          <w:rFonts w:ascii="Times New Roman" w:eastAsia="Times New Roman" w:hAnsi="Times New Roman"/>
          <w:sz w:val="24"/>
          <w:szCs w:val="24"/>
          <w:lang w:eastAsia="en-US"/>
        </w:rPr>
        <w:t>ACIDP</w:t>
      </w:r>
      <w:r w:rsidRPr="00617F1C">
        <w:rPr>
          <w:rFonts w:ascii="Times New Roman" w:eastAsia="Times New Roman" w:hAnsi="Times New Roman"/>
          <w:sz w:val="24"/>
          <w:szCs w:val="24"/>
          <w:vertAlign w:val="subscript"/>
          <w:lang w:eastAsia="en-US"/>
        </w:rPr>
        <w:t>it</w:t>
      </w:r>
      <w:r w:rsidRPr="00617F1C">
        <w:rPr>
          <w:rFonts w:ascii="Times New Roman" w:eastAsia="Times New Roman" w:hAnsi="Times New Roman"/>
          <w:sz w:val="24"/>
          <w:szCs w:val="24"/>
          <w:lang w:eastAsia="en-US"/>
        </w:rPr>
        <w:t>+α</w:t>
      </w:r>
      <w:r w:rsidRPr="00617F1C">
        <w:rPr>
          <w:rFonts w:ascii="Times New Roman" w:eastAsia="Times New Roman" w:hAnsi="Times New Roman"/>
          <w:sz w:val="24"/>
          <w:szCs w:val="24"/>
          <w:vertAlign w:val="subscript"/>
          <w:lang w:eastAsia="en-US"/>
        </w:rPr>
        <w:t>2</w:t>
      </w:r>
      <w:r w:rsidRPr="00617F1C">
        <w:rPr>
          <w:rFonts w:ascii="Times New Roman" w:eastAsia="Times New Roman" w:hAnsi="Times New Roman"/>
          <w:sz w:val="24"/>
          <w:szCs w:val="24"/>
          <w:lang w:eastAsia="en-US"/>
        </w:rPr>
        <w:t>ACM</w:t>
      </w:r>
      <w:r w:rsidRPr="00617F1C">
        <w:rPr>
          <w:rFonts w:ascii="Times New Roman" w:eastAsia="Times New Roman" w:hAnsi="Times New Roman"/>
          <w:sz w:val="24"/>
          <w:szCs w:val="24"/>
          <w:vertAlign w:val="subscript"/>
          <w:lang w:eastAsia="en-US"/>
        </w:rPr>
        <w:t>it</w:t>
      </w:r>
      <w:r w:rsidRPr="003C3F06">
        <w:rPr>
          <w:rFonts w:ascii="Times New Roman" w:eastAsia="Times New Roman" w:hAnsi="Times New Roman"/>
          <w:sz w:val="24"/>
          <w:szCs w:val="24"/>
          <w:lang w:eastAsia="en-US"/>
        </w:rPr>
        <w:t>+α</w:t>
      </w:r>
      <w:r w:rsidRPr="00617F1C">
        <w:rPr>
          <w:rFonts w:ascii="Times New Roman" w:eastAsia="Times New Roman" w:hAnsi="Times New Roman"/>
          <w:sz w:val="24"/>
          <w:szCs w:val="24"/>
          <w:vertAlign w:val="subscript"/>
          <w:lang w:eastAsia="en-US"/>
        </w:rPr>
        <w:t>3</w:t>
      </w:r>
      <w:r w:rsidRPr="003C3F06">
        <w:rPr>
          <w:rFonts w:ascii="Times New Roman" w:eastAsia="Times New Roman" w:hAnsi="Times New Roman"/>
          <w:sz w:val="24"/>
          <w:szCs w:val="24"/>
          <w:lang w:eastAsia="en-US"/>
        </w:rPr>
        <w:t>ACSIZ</w:t>
      </w:r>
      <w:r w:rsidRPr="00617F1C">
        <w:rPr>
          <w:rFonts w:ascii="Times New Roman" w:eastAsia="Times New Roman" w:hAnsi="Times New Roman"/>
          <w:sz w:val="24"/>
          <w:szCs w:val="24"/>
          <w:vertAlign w:val="subscript"/>
          <w:lang w:eastAsia="en-US"/>
        </w:rPr>
        <w:t>it</w:t>
      </w:r>
      <w:r w:rsidRPr="003C3F06">
        <w:rPr>
          <w:rFonts w:ascii="Times New Roman" w:eastAsia="Times New Roman" w:hAnsi="Times New Roman"/>
          <w:sz w:val="24"/>
          <w:szCs w:val="24"/>
          <w:lang w:eastAsia="en-US"/>
        </w:rPr>
        <w:t>+α</w:t>
      </w:r>
      <w:r w:rsidRPr="00617F1C">
        <w:rPr>
          <w:rFonts w:ascii="Times New Roman" w:eastAsia="Times New Roman" w:hAnsi="Times New Roman"/>
          <w:sz w:val="24"/>
          <w:szCs w:val="24"/>
          <w:vertAlign w:val="subscript"/>
          <w:lang w:eastAsia="en-US"/>
        </w:rPr>
        <w:t>4</w:t>
      </w:r>
      <w:r w:rsidRPr="003C3F06">
        <w:rPr>
          <w:rFonts w:ascii="Times New Roman" w:eastAsia="Times New Roman" w:hAnsi="Times New Roman"/>
          <w:sz w:val="24"/>
          <w:szCs w:val="24"/>
          <w:lang w:eastAsia="en-US"/>
        </w:rPr>
        <w:t>OGCSIZE</w:t>
      </w:r>
      <w:r w:rsidRPr="00617F1C">
        <w:rPr>
          <w:rFonts w:ascii="Times New Roman" w:eastAsia="Times New Roman" w:hAnsi="Times New Roman"/>
          <w:sz w:val="24"/>
          <w:szCs w:val="24"/>
          <w:vertAlign w:val="subscript"/>
          <w:lang w:eastAsia="en-US"/>
        </w:rPr>
        <w:t>it</w:t>
      </w:r>
      <w:r w:rsidRPr="003C3F06">
        <w:rPr>
          <w:rFonts w:ascii="Times New Roman" w:eastAsia="Times New Roman" w:hAnsi="Times New Roman"/>
          <w:sz w:val="24"/>
          <w:szCs w:val="24"/>
          <w:lang w:eastAsia="en-US"/>
        </w:rPr>
        <w:t>+α</w:t>
      </w:r>
      <w:r w:rsidRPr="00617F1C">
        <w:rPr>
          <w:rFonts w:ascii="Times New Roman" w:eastAsia="Times New Roman" w:hAnsi="Times New Roman"/>
          <w:sz w:val="24"/>
          <w:szCs w:val="24"/>
          <w:vertAlign w:val="subscript"/>
          <w:lang w:eastAsia="en-US"/>
        </w:rPr>
        <w:t>5</w:t>
      </w:r>
      <w:r w:rsidRPr="003C3F06">
        <w:rPr>
          <w:rFonts w:ascii="Times New Roman" w:eastAsia="Times New Roman" w:hAnsi="Times New Roman"/>
          <w:sz w:val="24"/>
          <w:szCs w:val="24"/>
          <w:lang w:eastAsia="en-US"/>
        </w:rPr>
        <w:t>OGCLEV</w:t>
      </w:r>
      <w:r w:rsidRPr="00617F1C">
        <w:rPr>
          <w:rFonts w:ascii="Times New Roman" w:eastAsia="Times New Roman" w:hAnsi="Times New Roman"/>
          <w:sz w:val="24"/>
          <w:szCs w:val="24"/>
          <w:vertAlign w:val="subscript"/>
          <w:lang w:eastAsia="en-US"/>
        </w:rPr>
        <w:t>it</w:t>
      </w:r>
      <w:r w:rsidRPr="003C3F06">
        <w:rPr>
          <w:rFonts w:ascii="Times New Roman" w:eastAsia="Times New Roman" w:hAnsi="Times New Roman"/>
          <w:sz w:val="24"/>
          <w:szCs w:val="24"/>
          <w:lang w:eastAsia="en-US"/>
        </w:rPr>
        <w:t>+ε</w:t>
      </w:r>
      <w:r w:rsidRPr="00617F1C">
        <w:rPr>
          <w:rFonts w:ascii="Times New Roman" w:eastAsia="Times New Roman" w:hAnsi="Times New Roman"/>
          <w:sz w:val="24"/>
          <w:szCs w:val="24"/>
          <w:vertAlign w:val="subscript"/>
          <w:lang w:eastAsia="en-US"/>
        </w:rPr>
        <w:t>it</w:t>
      </w:r>
      <w:r w:rsidR="00DF3E2D">
        <w:rPr>
          <w:rFonts w:ascii="Times New Roman" w:eastAsia="Times New Roman" w:hAnsi="Times New Roman"/>
          <w:sz w:val="24"/>
          <w:szCs w:val="24"/>
          <w:vertAlign w:val="subscript"/>
          <w:lang w:eastAsia="en-US"/>
        </w:rPr>
        <w:t xml:space="preserve"> </w:t>
      </w:r>
      <w:proofErr w:type="gramStart"/>
      <w:r w:rsidR="00DF3E2D">
        <w:rPr>
          <w:rFonts w:ascii="Times New Roman" w:eastAsia="Times New Roman" w:hAnsi="Times New Roman"/>
          <w:sz w:val="24"/>
          <w:szCs w:val="24"/>
          <w:vertAlign w:val="subscript"/>
          <w:lang w:eastAsia="en-US"/>
        </w:rPr>
        <w:t>….(</w:t>
      </w:r>
      <w:proofErr w:type="gramEnd"/>
      <w:r w:rsidR="00DF3E2D">
        <w:rPr>
          <w:rFonts w:ascii="Times New Roman" w:eastAsia="Times New Roman" w:hAnsi="Times New Roman"/>
          <w:sz w:val="24"/>
          <w:szCs w:val="24"/>
          <w:vertAlign w:val="subscript"/>
          <w:lang w:eastAsia="en-US"/>
        </w:rPr>
        <w:t>1)</w:t>
      </w:r>
      <w:r w:rsidRPr="003C3F06">
        <w:rPr>
          <w:rFonts w:ascii="Times New Roman" w:eastAsia="Times New Roman" w:hAnsi="Times New Roman"/>
          <w:sz w:val="24"/>
          <w:szCs w:val="24"/>
          <w:lang w:eastAsia="en-US"/>
        </w:rPr>
        <w:t xml:space="preserve"> </w:t>
      </w:r>
    </w:p>
    <w:p w14:paraId="70964745" w14:textId="77777777" w:rsidR="006E7B74" w:rsidRPr="003C3F06" w:rsidRDefault="006E7B74" w:rsidP="003C3F06">
      <w:pPr>
        <w:spacing w:before="100" w:beforeAutospacing="1" w:after="100" w:afterAutospacing="1" w:line="360" w:lineRule="auto"/>
        <w:jc w:val="both"/>
        <w:rPr>
          <w:rFonts w:ascii="Times New Roman" w:eastAsia="Times New Roman" w:hAnsi="Times New Roman"/>
          <w:sz w:val="24"/>
          <w:szCs w:val="24"/>
          <w:lang w:eastAsia="en-US"/>
        </w:rPr>
      </w:pPr>
      <w:r w:rsidRPr="003C3F06">
        <w:rPr>
          <w:rFonts w:ascii="Times New Roman" w:eastAsia="Times New Roman" w:hAnsi="Times New Roman"/>
          <w:sz w:val="24"/>
          <w:szCs w:val="24"/>
          <w:lang w:eastAsia="en-US"/>
        </w:rPr>
        <w:t>Where:</w:t>
      </w:r>
    </w:p>
    <w:p w14:paraId="0A976526" w14:textId="1D736FD7" w:rsidR="006E7B74" w:rsidRPr="003C3F06" w:rsidRDefault="006E7B74" w:rsidP="003C3F06">
      <w:pPr>
        <w:spacing w:before="100" w:beforeAutospacing="1" w:after="100" w:afterAutospacing="1" w:line="360" w:lineRule="auto"/>
        <w:jc w:val="both"/>
        <w:rPr>
          <w:rFonts w:ascii="Times New Roman" w:eastAsia="Times New Roman" w:hAnsi="Times New Roman"/>
          <w:sz w:val="24"/>
          <w:szCs w:val="24"/>
          <w:lang w:eastAsia="en-US"/>
        </w:rPr>
      </w:pPr>
      <w:proofErr w:type="spellStart"/>
      <w:r w:rsidRPr="003C3F06">
        <w:rPr>
          <w:rFonts w:ascii="Times New Roman" w:eastAsia="Times New Roman" w:hAnsi="Times New Roman"/>
          <w:sz w:val="24"/>
          <w:szCs w:val="24"/>
          <w:lang w:eastAsia="en-US"/>
        </w:rPr>
        <w:t>FRQit</w:t>
      </w:r>
      <w:proofErr w:type="spellEnd"/>
      <w:r w:rsidRPr="003C3F06">
        <w:rPr>
          <w:rFonts w:ascii="Times New Roman" w:eastAsia="Times New Roman" w:hAnsi="Times New Roman"/>
          <w:sz w:val="24"/>
          <w:szCs w:val="24"/>
          <w:lang w:eastAsia="en-US"/>
        </w:rPr>
        <w:t>​ = Financial Reporting Quality Index</w:t>
      </w:r>
    </w:p>
    <w:p w14:paraId="6D10105C" w14:textId="50391CCC" w:rsidR="006E7B74" w:rsidRPr="003C3F06" w:rsidRDefault="006E7B74" w:rsidP="003C3F06">
      <w:pPr>
        <w:spacing w:before="100" w:beforeAutospacing="1" w:after="100" w:afterAutospacing="1" w:line="360" w:lineRule="auto"/>
        <w:jc w:val="both"/>
        <w:rPr>
          <w:rFonts w:ascii="Times New Roman" w:eastAsia="Times New Roman" w:hAnsi="Times New Roman"/>
          <w:sz w:val="24"/>
          <w:szCs w:val="24"/>
          <w:lang w:eastAsia="en-US"/>
        </w:rPr>
      </w:pPr>
      <w:proofErr w:type="spellStart"/>
      <w:r w:rsidRPr="003C3F06">
        <w:rPr>
          <w:rFonts w:ascii="Times New Roman" w:eastAsia="Times New Roman" w:hAnsi="Times New Roman"/>
          <w:sz w:val="24"/>
          <w:szCs w:val="24"/>
          <w:lang w:eastAsia="en-US"/>
        </w:rPr>
        <w:t>ACIDPit</w:t>
      </w:r>
      <w:proofErr w:type="spellEnd"/>
      <w:r w:rsidRPr="003C3F06">
        <w:rPr>
          <w:rFonts w:ascii="Times New Roman" w:eastAsia="Times New Roman" w:hAnsi="Times New Roman"/>
          <w:sz w:val="24"/>
          <w:szCs w:val="24"/>
          <w:lang w:eastAsia="en-US"/>
        </w:rPr>
        <w:t>​ = Audit Committee Independence</w:t>
      </w:r>
    </w:p>
    <w:p w14:paraId="1C50840C" w14:textId="3A12AC54" w:rsidR="006E7B74" w:rsidRPr="003C3F06" w:rsidRDefault="006E7B74" w:rsidP="003C3F06">
      <w:pPr>
        <w:spacing w:before="100" w:beforeAutospacing="1" w:after="100" w:afterAutospacing="1" w:line="360" w:lineRule="auto"/>
        <w:jc w:val="both"/>
        <w:rPr>
          <w:rFonts w:ascii="Times New Roman" w:eastAsia="Times New Roman" w:hAnsi="Times New Roman"/>
          <w:sz w:val="24"/>
          <w:szCs w:val="24"/>
          <w:lang w:eastAsia="en-US"/>
        </w:rPr>
      </w:pPr>
      <w:proofErr w:type="spellStart"/>
      <w:r w:rsidRPr="003C3F06">
        <w:rPr>
          <w:rFonts w:ascii="Times New Roman" w:eastAsia="Times New Roman" w:hAnsi="Times New Roman"/>
          <w:sz w:val="24"/>
          <w:szCs w:val="24"/>
          <w:lang w:eastAsia="en-US"/>
        </w:rPr>
        <w:t>ACMit</w:t>
      </w:r>
      <w:proofErr w:type="spellEnd"/>
      <w:r w:rsidRPr="003C3F06">
        <w:rPr>
          <w:rFonts w:ascii="Times New Roman" w:eastAsia="Times New Roman" w:hAnsi="Times New Roman"/>
          <w:sz w:val="24"/>
          <w:szCs w:val="24"/>
          <w:lang w:eastAsia="en-US"/>
        </w:rPr>
        <w:t>​ = Audit Committee Meeting Frequency</w:t>
      </w:r>
    </w:p>
    <w:p w14:paraId="57E6861E" w14:textId="7969F3C5" w:rsidR="006E7B74" w:rsidRPr="003C3F06" w:rsidRDefault="006E7B74" w:rsidP="003C3F06">
      <w:pPr>
        <w:spacing w:before="100" w:beforeAutospacing="1" w:after="100" w:afterAutospacing="1" w:line="360" w:lineRule="auto"/>
        <w:jc w:val="both"/>
        <w:rPr>
          <w:rFonts w:ascii="Times New Roman" w:eastAsia="Times New Roman" w:hAnsi="Times New Roman"/>
          <w:sz w:val="24"/>
          <w:szCs w:val="24"/>
          <w:lang w:eastAsia="en-US"/>
        </w:rPr>
      </w:pPr>
      <w:proofErr w:type="spellStart"/>
      <w:r w:rsidRPr="003C3F06">
        <w:rPr>
          <w:rFonts w:ascii="Times New Roman" w:eastAsia="Times New Roman" w:hAnsi="Times New Roman"/>
          <w:sz w:val="24"/>
          <w:szCs w:val="24"/>
          <w:lang w:eastAsia="en-US"/>
        </w:rPr>
        <w:t>ACSIZit</w:t>
      </w:r>
      <w:proofErr w:type="spellEnd"/>
      <w:r w:rsidRPr="003C3F06">
        <w:rPr>
          <w:rFonts w:ascii="Times New Roman" w:eastAsia="Times New Roman" w:hAnsi="Times New Roman"/>
          <w:sz w:val="24"/>
          <w:szCs w:val="24"/>
          <w:lang w:eastAsia="en-US"/>
        </w:rPr>
        <w:t>​ = Audit Committee Size</w:t>
      </w:r>
    </w:p>
    <w:p w14:paraId="41B40ADC" w14:textId="70B9C3ED" w:rsidR="006E7B74" w:rsidRPr="003C3F06" w:rsidRDefault="006E7B74" w:rsidP="003C3F06">
      <w:pPr>
        <w:spacing w:before="100" w:beforeAutospacing="1" w:after="100" w:afterAutospacing="1" w:line="360" w:lineRule="auto"/>
        <w:jc w:val="both"/>
        <w:rPr>
          <w:rFonts w:ascii="Times New Roman" w:eastAsia="Times New Roman" w:hAnsi="Times New Roman"/>
          <w:sz w:val="24"/>
          <w:szCs w:val="24"/>
          <w:lang w:eastAsia="en-US"/>
        </w:rPr>
      </w:pPr>
      <w:proofErr w:type="spellStart"/>
      <w:r w:rsidRPr="003C3F06">
        <w:rPr>
          <w:rFonts w:ascii="Times New Roman" w:eastAsia="Times New Roman" w:hAnsi="Times New Roman"/>
          <w:sz w:val="24"/>
          <w:szCs w:val="24"/>
          <w:lang w:eastAsia="en-US"/>
        </w:rPr>
        <w:t>OGCSIZEit</w:t>
      </w:r>
      <w:proofErr w:type="spellEnd"/>
      <w:r w:rsidRPr="003C3F06">
        <w:rPr>
          <w:rFonts w:ascii="Times New Roman" w:eastAsia="Times New Roman" w:hAnsi="Times New Roman"/>
          <w:sz w:val="24"/>
          <w:szCs w:val="24"/>
          <w:lang w:eastAsia="en-US"/>
        </w:rPr>
        <w:t>​ = Firm Size (Oil and Gas Companies)</w:t>
      </w:r>
    </w:p>
    <w:p w14:paraId="33116B38" w14:textId="219E4293" w:rsidR="006E7B74" w:rsidRPr="003C3F06" w:rsidRDefault="006E7B74" w:rsidP="003C3F06">
      <w:pPr>
        <w:spacing w:before="100" w:beforeAutospacing="1" w:after="100" w:afterAutospacing="1" w:line="360" w:lineRule="auto"/>
        <w:jc w:val="both"/>
        <w:rPr>
          <w:rFonts w:ascii="Times New Roman" w:eastAsia="Times New Roman" w:hAnsi="Times New Roman"/>
          <w:sz w:val="24"/>
          <w:szCs w:val="24"/>
          <w:lang w:eastAsia="en-US"/>
        </w:rPr>
      </w:pPr>
      <w:proofErr w:type="spellStart"/>
      <w:r w:rsidRPr="003C3F06">
        <w:rPr>
          <w:rFonts w:ascii="Times New Roman" w:eastAsia="Times New Roman" w:hAnsi="Times New Roman"/>
          <w:sz w:val="24"/>
          <w:szCs w:val="24"/>
          <w:lang w:eastAsia="en-US"/>
        </w:rPr>
        <w:t>OGCLEVit</w:t>
      </w:r>
      <w:proofErr w:type="spellEnd"/>
      <w:r w:rsidRPr="003C3F06">
        <w:rPr>
          <w:rFonts w:ascii="Times New Roman" w:eastAsia="Times New Roman" w:hAnsi="Times New Roman"/>
          <w:sz w:val="24"/>
          <w:szCs w:val="24"/>
          <w:lang w:eastAsia="en-US"/>
        </w:rPr>
        <w:t>​ = Firm Leverage (Oil and Gas Companies)</w:t>
      </w:r>
    </w:p>
    <w:p w14:paraId="3E4B2041" w14:textId="4F6CD565" w:rsidR="006E7B74" w:rsidRPr="003C3F06" w:rsidRDefault="006E7B74" w:rsidP="003C3F06">
      <w:pPr>
        <w:spacing w:before="100" w:beforeAutospacing="1" w:after="100" w:afterAutospacing="1" w:line="360" w:lineRule="auto"/>
        <w:jc w:val="both"/>
        <w:rPr>
          <w:rFonts w:ascii="Times New Roman" w:eastAsia="Times New Roman" w:hAnsi="Times New Roman"/>
          <w:sz w:val="24"/>
          <w:szCs w:val="24"/>
          <w:lang w:eastAsia="en-US"/>
        </w:rPr>
      </w:pPr>
      <w:r w:rsidRPr="003C3F06">
        <w:rPr>
          <w:rFonts w:ascii="Times New Roman" w:eastAsia="Times New Roman" w:hAnsi="Times New Roman"/>
          <w:sz w:val="24"/>
          <w:szCs w:val="24"/>
          <w:lang w:eastAsia="en-US"/>
        </w:rPr>
        <w:t>α</w:t>
      </w:r>
      <w:r w:rsidRPr="00617F1C">
        <w:rPr>
          <w:rFonts w:ascii="Times New Roman" w:eastAsia="Times New Roman" w:hAnsi="Times New Roman"/>
          <w:sz w:val="24"/>
          <w:szCs w:val="24"/>
          <w:vertAlign w:val="subscript"/>
          <w:lang w:eastAsia="en-US"/>
        </w:rPr>
        <w:t>0</w:t>
      </w:r>
      <w:r w:rsidRPr="003C3F06">
        <w:rPr>
          <w:rFonts w:ascii="Times New Roman" w:eastAsia="Times New Roman" w:hAnsi="Times New Roman"/>
          <w:sz w:val="24"/>
          <w:szCs w:val="24"/>
          <w:lang w:eastAsia="en-US"/>
        </w:rPr>
        <w:t>​ = Intercept</w:t>
      </w:r>
    </w:p>
    <w:p w14:paraId="63214071" w14:textId="1D437549" w:rsidR="006E7B74" w:rsidRPr="003C3F06" w:rsidRDefault="006E7B74" w:rsidP="003C3F06">
      <w:pPr>
        <w:spacing w:before="100" w:beforeAutospacing="1" w:after="100" w:afterAutospacing="1" w:line="360" w:lineRule="auto"/>
        <w:jc w:val="both"/>
        <w:rPr>
          <w:rFonts w:ascii="Times New Roman" w:eastAsia="Times New Roman" w:hAnsi="Times New Roman"/>
          <w:sz w:val="24"/>
          <w:szCs w:val="24"/>
          <w:lang w:eastAsia="en-US"/>
        </w:rPr>
      </w:pPr>
      <w:r w:rsidRPr="003C3F06">
        <w:rPr>
          <w:rFonts w:ascii="Times New Roman" w:eastAsia="Times New Roman" w:hAnsi="Times New Roman"/>
          <w:sz w:val="24"/>
          <w:szCs w:val="24"/>
          <w:lang w:eastAsia="en-US"/>
        </w:rPr>
        <w:t>α</w:t>
      </w:r>
      <w:r w:rsidRPr="00617F1C">
        <w:rPr>
          <w:rFonts w:ascii="Times New Roman" w:eastAsia="Times New Roman" w:hAnsi="Times New Roman"/>
          <w:sz w:val="24"/>
          <w:szCs w:val="24"/>
          <w:vertAlign w:val="subscript"/>
          <w:lang w:eastAsia="en-US"/>
        </w:rPr>
        <w:t>1</w:t>
      </w:r>
      <w:r w:rsidRPr="003C3F06">
        <w:rPr>
          <w:rFonts w:ascii="Times New Roman" w:eastAsia="Times New Roman" w:hAnsi="Times New Roman"/>
          <w:sz w:val="24"/>
          <w:szCs w:val="24"/>
          <w:lang w:eastAsia="en-US"/>
        </w:rPr>
        <w:t>​–α</w:t>
      </w:r>
      <w:r w:rsidRPr="00617F1C">
        <w:rPr>
          <w:rFonts w:ascii="Times New Roman" w:eastAsia="Times New Roman" w:hAnsi="Times New Roman"/>
          <w:sz w:val="24"/>
          <w:szCs w:val="24"/>
          <w:vertAlign w:val="subscript"/>
          <w:lang w:eastAsia="en-US"/>
        </w:rPr>
        <w:t>5</w:t>
      </w:r>
      <w:r w:rsidRPr="003C3F06">
        <w:rPr>
          <w:rFonts w:ascii="Times New Roman" w:eastAsia="Times New Roman" w:hAnsi="Times New Roman"/>
          <w:sz w:val="24"/>
          <w:szCs w:val="24"/>
          <w:lang w:eastAsia="en-US"/>
        </w:rPr>
        <w:t>​ = Coefficients of explanatory variables</w:t>
      </w:r>
    </w:p>
    <w:p w14:paraId="0DB21F4C" w14:textId="3FF73315" w:rsidR="006E7B74" w:rsidRPr="003C3F06" w:rsidRDefault="006E7B74" w:rsidP="003C3F06">
      <w:pPr>
        <w:spacing w:before="100" w:beforeAutospacing="1" w:after="100" w:afterAutospacing="1" w:line="360" w:lineRule="auto"/>
        <w:jc w:val="both"/>
        <w:rPr>
          <w:rFonts w:ascii="Times New Roman" w:eastAsia="Times New Roman" w:hAnsi="Times New Roman"/>
          <w:sz w:val="24"/>
          <w:szCs w:val="24"/>
          <w:lang w:eastAsia="en-US"/>
        </w:rPr>
      </w:pPr>
      <w:proofErr w:type="spellStart"/>
      <w:r w:rsidRPr="003C3F06">
        <w:rPr>
          <w:rFonts w:ascii="Times New Roman" w:eastAsia="Times New Roman" w:hAnsi="Times New Roman"/>
          <w:sz w:val="24"/>
          <w:szCs w:val="24"/>
          <w:lang w:eastAsia="en-US"/>
        </w:rPr>
        <w:t>ε</w:t>
      </w:r>
      <w:r w:rsidRPr="00617F1C">
        <w:rPr>
          <w:rFonts w:ascii="Times New Roman" w:eastAsia="Times New Roman" w:hAnsi="Times New Roman"/>
          <w:sz w:val="24"/>
          <w:szCs w:val="24"/>
          <w:vertAlign w:val="subscript"/>
          <w:lang w:eastAsia="en-US"/>
        </w:rPr>
        <w:t>it</w:t>
      </w:r>
      <w:proofErr w:type="spellEnd"/>
      <w:r w:rsidRPr="003C3F06">
        <w:rPr>
          <w:rFonts w:ascii="Times New Roman" w:eastAsia="Times New Roman" w:hAnsi="Times New Roman"/>
          <w:sz w:val="24"/>
          <w:szCs w:val="24"/>
          <w:lang w:eastAsia="en-US"/>
        </w:rPr>
        <w:t>​ = Error term</w:t>
      </w:r>
    </w:p>
    <w:p w14:paraId="05675DD6" w14:textId="096F8400" w:rsidR="006E7B74" w:rsidRPr="003C3F06" w:rsidRDefault="006E7B74" w:rsidP="003C3F06">
      <w:pPr>
        <w:spacing w:before="100" w:beforeAutospacing="1" w:after="100" w:afterAutospacing="1" w:line="360" w:lineRule="auto"/>
        <w:jc w:val="both"/>
        <w:rPr>
          <w:rFonts w:ascii="Times New Roman" w:eastAsia="Times New Roman" w:hAnsi="Times New Roman"/>
          <w:sz w:val="24"/>
          <w:szCs w:val="24"/>
          <w:lang w:eastAsia="en-US"/>
        </w:rPr>
      </w:pPr>
      <w:proofErr w:type="spellStart"/>
      <w:r w:rsidRPr="003C3F06">
        <w:rPr>
          <w:rFonts w:ascii="Times New Roman" w:eastAsia="Times New Roman" w:hAnsi="Times New Roman"/>
          <w:sz w:val="24"/>
          <w:szCs w:val="24"/>
          <w:lang w:eastAsia="en-US"/>
        </w:rPr>
        <w:t>i</w:t>
      </w:r>
      <w:proofErr w:type="spellEnd"/>
      <w:r w:rsidRPr="003C3F06">
        <w:rPr>
          <w:rFonts w:ascii="Times New Roman" w:eastAsia="Times New Roman" w:hAnsi="Times New Roman"/>
          <w:sz w:val="24"/>
          <w:szCs w:val="24"/>
          <w:lang w:eastAsia="en-US"/>
        </w:rPr>
        <w:t xml:space="preserve"> = Firm index</w:t>
      </w:r>
    </w:p>
    <w:p w14:paraId="69878932" w14:textId="16279F89" w:rsidR="006E7B74" w:rsidRPr="003C3F06" w:rsidRDefault="006E7B74" w:rsidP="003C3F06">
      <w:pPr>
        <w:spacing w:before="100" w:beforeAutospacing="1" w:after="100" w:afterAutospacing="1" w:line="360" w:lineRule="auto"/>
        <w:jc w:val="both"/>
        <w:rPr>
          <w:rFonts w:ascii="Times New Roman" w:eastAsia="Times New Roman" w:hAnsi="Times New Roman"/>
          <w:sz w:val="24"/>
          <w:szCs w:val="24"/>
          <w:lang w:eastAsia="en-US"/>
        </w:rPr>
      </w:pPr>
      <w:r w:rsidRPr="003C3F06">
        <w:rPr>
          <w:rFonts w:ascii="Times New Roman" w:eastAsia="Times New Roman" w:hAnsi="Times New Roman"/>
          <w:sz w:val="24"/>
          <w:szCs w:val="24"/>
          <w:lang w:eastAsia="en-US"/>
        </w:rPr>
        <w:t>t = Time period</w:t>
      </w:r>
    </w:p>
    <w:p w14:paraId="45424A5A" w14:textId="77777777" w:rsidR="006E7B74" w:rsidRPr="003C3F06" w:rsidRDefault="006E7B74" w:rsidP="003C3F06">
      <w:pPr>
        <w:spacing w:before="100" w:beforeAutospacing="1" w:after="100" w:afterAutospacing="1" w:line="360" w:lineRule="auto"/>
        <w:jc w:val="both"/>
        <w:rPr>
          <w:rFonts w:ascii="Times New Roman" w:eastAsia="Times New Roman" w:hAnsi="Times New Roman"/>
          <w:b/>
          <w:bCs/>
          <w:sz w:val="24"/>
          <w:szCs w:val="24"/>
          <w:lang w:eastAsia="en-US"/>
        </w:rPr>
      </w:pPr>
      <w:r w:rsidRPr="003C3F06">
        <w:rPr>
          <w:rFonts w:ascii="Times New Roman" w:eastAsia="Times New Roman" w:hAnsi="Times New Roman"/>
          <w:b/>
          <w:bCs/>
          <w:sz w:val="24"/>
          <w:szCs w:val="24"/>
          <w:lang w:eastAsia="en-US"/>
        </w:rPr>
        <w:t>Expected Coefficient Signs:</w:t>
      </w:r>
    </w:p>
    <w:p w14:paraId="35DC3DB2" w14:textId="6DD8E15E" w:rsidR="00781F9E" w:rsidRPr="003C3F06" w:rsidRDefault="006E7B74" w:rsidP="003C3F06">
      <w:pPr>
        <w:spacing w:before="100" w:beforeAutospacing="1" w:after="100" w:afterAutospacing="1" w:line="360" w:lineRule="auto"/>
        <w:jc w:val="both"/>
        <w:rPr>
          <w:rFonts w:ascii="Times New Roman" w:hAnsi="Times New Roman"/>
          <w:b/>
          <w:sz w:val="24"/>
          <w:szCs w:val="24"/>
        </w:rPr>
      </w:pPr>
      <w:r w:rsidRPr="003C3F06">
        <w:rPr>
          <w:rFonts w:ascii="Times New Roman" w:eastAsia="Times New Roman" w:hAnsi="Times New Roman"/>
          <w:sz w:val="24"/>
          <w:szCs w:val="24"/>
          <w:lang w:eastAsia="en-US"/>
        </w:rPr>
        <w:t>β</w:t>
      </w:r>
      <w:r w:rsidR="00224A26" w:rsidRPr="003C3F06">
        <w:rPr>
          <w:rFonts w:ascii="Times New Roman" w:eastAsia="Times New Roman" w:hAnsi="Times New Roman"/>
          <w:sz w:val="24"/>
          <w:szCs w:val="24"/>
          <w:vertAlign w:val="subscript"/>
          <w:lang w:eastAsia="en-US"/>
        </w:rPr>
        <w:t>1</w:t>
      </w:r>
      <w:r w:rsidR="00224A26" w:rsidRPr="003C3F06">
        <w:rPr>
          <w:rFonts w:ascii="Times New Roman" w:eastAsia="Times New Roman" w:hAnsi="Times New Roman"/>
          <w:sz w:val="24"/>
          <w:szCs w:val="24"/>
          <w:lang w:eastAsia="en-US"/>
        </w:rPr>
        <w:t>, β</w:t>
      </w:r>
      <w:r w:rsidRPr="003C3F06">
        <w:rPr>
          <w:rFonts w:ascii="Times New Roman" w:eastAsia="Times New Roman" w:hAnsi="Times New Roman"/>
          <w:sz w:val="24"/>
          <w:szCs w:val="24"/>
          <w:vertAlign w:val="subscript"/>
          <w:lang w:eastAsia="en-US"/>
        </w:rPr>
        <w:t>2</w:t>
      </w:r>
      <w:r w:rsidRPr="003C3F06">
        <w:rPr>
          <w:rFonts w:ascii="Times New Roman" w:eastAsia="Times New Roman" w:hAnsi="Times New Roman"/>
          <w:sz w:val="24"/>
          <w:szCs w:val="24"/>
          <w:lang w:eastAsia="en-US"/>
        </w:rPr>
        <w:t>,</w:t>
      </w:r>
      <w:r w:rsidR="00224A26" w:rsidRPr="003C3F06">
        <w:rPr>
          <w:rFonts w:ascii="Times New Roman" w:eastAsia="Times New Roman" w:hAnsi="Times New Roman"/>
          <w:sz w:val="24"/>
          <w:szCs w:val="24"/>
          <w:lang w:eastAsia="en-US"/>
        </w:rPr>
        <w:t xml:space="preserve"> </w:t>
      </w:r>
      <w:r w:rsidRPr="003C3F06">
        <w:rPr>
          <w:rFonts w:ascii="Times New Roman" w:eastAsia="Times New Roman" w:hAnsi="Times New Roman"/>
          <w:sz w:val="24"/>
          <w:szCs w:val="24"/>
          <w:lang w:eastAsia="en-US"/>
        </w:rPr>
        <w:t>β</w:t>
      </w:r>
      <w:r w:rsidRPr="003C3F06">
        <w:rPr>
          <w:rFonts w:ascii="Times New Roman" w:eastAsia="Times New Roman" w:hAnsi="Times New Roman"/>
          <w:sz w:val="24"/>
          <w:szCs w:val="24"/>
          <w:vertAlign w:val="subscript"/>
          <w:lang w:eastAsia="en-US"/>
        </w:rPr>
        <w:t>3</w:t>
      </w:r>
      <w:r w:rsidRPr="003C3F06">
        <w:rPr>
          <w:rFonts w:ascii="Times New Roman" w:eastAsia="Times New Roman" w:hAnsi="Times New Roman"/>
          <w:sz w:val="24"/>
          <w:szCs w:val="24"/>
          <w:lang w:eastAsia="en-US"/>
        </w:rPr>
        <w:t>,</w:t>
      </w:r>
      <w:r w:rsidR="00224A26" w:rsidRPr="003C3F06">
        <w:rPr>
          <w:rFonts w:ascii="Times New Roman" w:eastAsia="Times New Roman" w:hAnsi="Times New Roman"/>
          <w:sz w:val="24"/>
          <w:szCs w:val="24"/>
          <w:lang w:eastAsia="en-US"/>
        </w:rPr>
        <w:t xml:space="preserve"> </w:t>
      </w:r>
      <w:r w:rsidRPr="003C3F06">
        <w:rPr>
          <w:rFonts w:ascii="Times New Roman" w:eastAsia="Times New Roman" w:hAnsi="Times New Roman"/>
          <w:sz w:val="24"/>
          <w:szCs w:val="24"/>
          <w:lang w:eastAsia="en-US"/>
        </w:rPr>
        <w:t>β</w:t>
      </w:r>
      <w:r w:rsidRPr="003C3F06">
        <w:rPr>
          <w:rFonts w:ascii="Times New Roman" w:eastAsia="Times New Roman" w:hAnsi="Times New Roman"/>
          <w:sz w:val="24"/>
          <w:szCs w:val="24"/>
          <w:vertAlign w:val="subscript"/>
          <w:lang w:eastAsia="en-US"/>
        </w:rPr>
        <w:t>4</w:t>
      </w:r>
      <w:r w:rsidRPr="003C3F06">
        <w:rPr>
          <w:rFonts w:ascii="Times New Roman" w:eastAsia="Times New Roman" w:hAnsi="Times New Roman"/>
          <w:sz w:val="24"/>
          <w:szCs w:val="24"/>
          <w:lang w:eastAsia="en-US"/>
        </w:rPr>
        <w:t>,</w:t>
      </w:r>
      <w:r w:rsidR="00224A26" w:rsidRPr="003C3F06">
        <w:rPr>
          <w:rFonts w:ascii="Times New Roman" w:eastAsia="Times New Roman" w:hAnsi="Times New Roman"/>
          <w:sz w:val="24"/>
          <w:szCs w:val="24"/>
          <w:lang w:eastAsia="en-US"/>
        </w:rPr>
        <w:t xml:space="preserve"> </w:t>
      </w:r>
      <w:r w:rsidRPr="003C3F06">
        <w:rPr>
          <w:rFonts w:ascii="Times New Roman" w:eastAsia="Times New Roman" w:hAnsi="Times New Roman"/>
          <w:sz w:val="24"/>
          <w:szCs w:val="24"/>
          <w:lang w:eastAsia="en-US"/>
        </w:rPr>
        <w:t>β</w:t>
      </w:r>
      <w:r w:rsidRPr="003C3F06">
        <w:rPr>
          <w:rFonts w:ascii="Times New Roman" w:eastAsia="Times New Roman" w:hAnsi="Times New Roman"/>
          <w:sz w:val="24"/>
          <w:szCs w:val="24"/>
          <w:vertAlign w:val="subscript"/>
          <w:lang w:eastAsia="en-US"/>
        </w:rPr>
        <w:t>5</w:t>
      </w:r>
      <w:r w:rsidRPr="003C3F06">
        <w:rPr>
          <w:rFonts w:ascii="Times New Roman" w:eastAsia="Times New Roman" w:hAnsi="Times New Roman"/>
          <w:sz w:val="24"/>
          <w:szCs w:val="24"/>
          <w:lang w:eastAsia="en-US"/>
        </w:rPr>
        <w:t>&gt;0</w:t>
      </w:r>
    </w:p>
    <w:p w14:paraId="50FF6E08" w14:textId="77777777" w:rsidR="00963DE9" w:rsidRPr="003C3F06" w:rsidRDefault="00963DE9" w:rsidP="003C3F06">
      <w:pPr>
        <w:spacing w:after="0" w:line="240" w:lineRule="auto"/>
        <w:jc w:val="both"/>
        <w:rPr>
          <w:rFonts w:ascii="Times New Roman" w:hAnsi="Times New Roman"/>
          <w:b/>
          <w:sz w:val="24"/>
          <w:szCs w:val="24"/>
        </w:rPr>
      </w:pPr>
    </w:p>
    <w:p w14:paraId="44A3110C" w14:textId="1DAEA230" w:rsidR="002005C5" w:rsidRPr="003C3F06" w:rsidRDefault="003219DE" w:rsidP="003C3F06">
      <w:pPr>
        <w:spacing w:after="0" w:line="240" w:lineRule="auto"/>
        <w:jc w:val="both"/>
        <w:rPr>
          <w:rFonts w:ascii="Times New Roman" w:hAnsi="Times New Roman"/>
          <w:b/>
          <w:sz w:val="24"/>
          <w:szCs w:val="24"/>
        </w:rPr>
      </w:pPr>
      <w:r w:rsidRPr="003C3F06">
        <w:rPr>
          <w:rFonts w:ascii="Times New Roman" w:hAnsi="Times New Roman"/>
          <w:b/>
          <w:sz w:val="24"/>
          <w:szCs w:val="24"/>
        </w:rPr>
        <w:t>4.</w:t>
      </w:r>
      <w:r w:rsidRPr="003C3F06">
        <w:rPr>
          <w:rFonts w:ascii="Times New Roman" w:hAnsi="Times New Roman"/>
          <w:b/>
          <w:sz w:val="24"/>
          <w:szCs w:val="24"/>
        </w:rPr>
        <w:tab/>
        <w:t xml:space="preserve">Results and Discussion of Findings </w:t>
      </w:r>
    </w:p>
    <w:p w14:paraId="3ED1D06D" w14:textId="77777777" w:rsidR="002005C5" w:rsidRPr="003C3F06" w:rsidRDefault="002005C5" w:rsidP="003C3F06">
      <w:pPr>
        <w:spacing w:after="0" w:line="240" w:lineRule="auto"/>
        <w:jc w:val="both"/>
        <w:rPr>
          <w:rFonts w:ascii="Times New Roman" w:hAnsi="Times New Roman"/>
          <w:b/>
          <w:sz w:val="24"/>
          <w:szCs w:val="24"/>
        </w:rPr>
      </w:pPr>
    </w:p>
    <w:p w14:paraId="355AA361" w14:textId="008EED5A" w:rsidR="007D293E" w:rsidRPr="007D293E" w:rsidRDefault="00B62FE0" w:rsidP="002E1DAC">
      <w:pPr>
        <w:pStyle w:val="Heading2"/>
        <w:jc w:val="both"/>
        <w:rPr>
          <w:rFonts w:ascii="Times New Roman" w:hAnsi="Times New Roman"/>
          <w:b/>
          <w:bCs/>
          <w:sz w:val="24"/>
          <w:szCs w:val="24"/>
          <w:lang w:eastAsia="en-US"/>
        </w:rPr>
      </w:pPr>
      <w:r w:rsidRPr="003C3F06">
        <w:rPr>
          <w:rFonts w:ascii="Times New Roman" w:hAnsi="Times New Roman" w:cs="Times New Roman"/>
          <w:color w:val="auto"/>
          <w:sz w:val="24"/>
          <w:szCs w:val="24"/>
        </w:rPr>
        <w:t>Table 1</w:t>
      </w:r>
      <w:r w:rsidR="002E1DAC">
        <w:rPr>
          <w:rFonts w:ascii="Times New Roman" w:hAnsi="Times New Roman" w:cs="Times New Roman"/>
          <w:color w:val="auto"/>
          <w:sz w:val="24"/>
          <w:szCs w:val="24"/>
        </w:rPr>
        <w:t>-</w:t>
      </w:r>
      <w:r w:rsidR="007D293E" w:rsidRPr="007D293E">
        <w:rPr>
          <w:rFonts w:ascii="Times New Roman" w:hAnsi="Times New Roman"/>
          <w:b/>
          <w:bCs/>
          <w:sz w:val="24"/>
          <w:szCs w:val="24"/>
          <w:lang w:eastAsia="en-US"/>
        </w:rPr>
        <w:t>Descriptive Statistics</w:t>
      </w:r>
      <w:r w:rsidR="007D293E">
        <w:rPr>
          <w:rFonts w:ascii="Times New Roman" w:hAnsi="Times New Roman"/>
          <w:b/>
          <w:bCs/>
          <w:sz w:val="24"/>
          <w:szCs w:val="24"/>
          <w:lang w:eastAsia="en-US"/>
        </w:rPr>
        <w:t xml:space="preserve"> (N = 77)</w:t>
      </w:r>
      <w:r w:rsidR="007D293E" w:rsidRPr="007D293E">
        <w:rPr>
          <w:rFonts w:ascii="Times New Roman" w:hAnsi="Times New Roman"/>
          <w:b/>
          <w:bCs/>
          <w:sz w:val="24"/>
          <w:szCs w:val="24"/>
          <w:lang w:eastAsia="en-US"/>
        </w:rPr>
        <w:t xml:space="preserve"> </w:t>
      </w:r>
    </w:p>
    <w:tbl>
      <w:tblPr>
        <w:tblW w:w="10684" w:type="dxa"/>
        <w:tblInd w:w="-275" w:type="dxa"/>
        <w:tblBorders>
          <w:top w:val="single" w:sz="4" w:space="0" w:color="auto"/>
          <w:bottom w:val="single" w:sz="4" w:space="0" w:color="auto"/>
        </w:tblBorders>
        <w:tblLook w:val="04A0" w:firstRow="1" w:lastRow="0" w:firstColumn="1" w:lastColumn="0" w:noHBand="0" w:noVBand="1"/>
      </w:tblPr>
      <w:tblGrid>
        <w:gridCol w:w="1230"/>
        <w:gridCol w:w="763"/>
        <w:gridCol w:w="950"/>
        <w:gridCol w:w="1216"/>
        <w:gridCol w:w="1177"/>
        <w:gridCol w:w="756"/>
        <w:gridCol w:w="1163"/>
        <w:gridCol w:w="1030"/>
        <w:gridCol w:w="1116"/>
        <w:gridCol w:w="1283"/>
      </w:tblGrid>
      <w:tr w:rsidR="00B62FE0" w:rsidRPr="003C3F06" w14:paraId="44BDC632" w14:textId="77777777" w:rsidTr="007B5F7B">
        <w:tc>
          <w:tcPr>
            <w:tcW w:w="1230" w:type="dxa"/>
            <w:tcBorders>
              <w:bottom w:val="single" w:sz="4" w:space="0" w:color="auto"/>
            </w:tcBorders>
          </w:tcPr>
          <w:p w14:paraId="61048C58"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Variable</w:t>
            </w:r>
          </w:p>
        </w:tc>
        <w:tc>
          <w:tcPr>
            <w:tcW w:w="763" w:type="dxa"/>
            <w:tcBorders>
              <w:bottom w:val="single" w:sz="4" w:space="0" w:color="auto"/>
            </w:tcBorders>
          </w:tcPr>
          <w:p w14:paraId="0688E80F"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Mean</w:t>
            </w:r>
          </w:p>
        </w:tc>
        <w:tc>
          <w:tcPr>
            <w:tcW w:w="950" w:type="dxa"/>
            <w:tcBorders>
              <w:bottom w:val="single" w:sz="4" w:space="0" w:color="auto"/>
            </w:tcBorders>
          </w:tcPr>
          <w:p w14:paraId="4D3B43FE"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Median</w:t>
            </w:r>
          </w:p>
        </w:tc>
        <w:tc>
          <w:tcPr>
            <w:tcW w:w="1216" w:type="dxa"/>
            <w:tcBorders>
              <w:bottom w:val="single" w:sz="4" w:space="0" w:color="auto"/>
            </w:tcBorders>
          </w:tcPr>
          <w:p w14:paraId="75AC381E"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Maximum</w:t>
            </w:r>
          </w:p>
        </w:tc>
        <w:tc>
          <w:tcPr>
            <w:tcW w:w="1177" w:type="dxa"/>
            <w:tcBorders>
              <w:bottom w:val="single" w:sz="4" w:space="0" w:color="auto"/>
            </w:tcBorders>
          </w:tcPr>
          <w:p w14:paraId="6AF1D6B9"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Minimum</w:t>
            </w:r>
          </w:p>
        </w:tc>
        <w:tc>
          <w:tcPr>
            <w:tcW w:w="756" w:type="dxa"/>
            <w:tcBorders>
              <w:bottom w:val="single" w:sz="4" w:space="0" w:color="auto"/>
            </w:tcBorders>
          </w:tcPr>
          <w:p w14:paraId="5AC772EA"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Std. Dev.</w:t>
            </w:r>
          </w:p>
        </w:tc>
        <w:tc>
          <w:tcPr>
            <w:tcW w:w="1163" w:type="dxa"/>
            <w:tcBorders>
              <w:bottom w:val="single" w:sz="4" w:space="0" w:color="auto"/>
            </w:tcBorders>
          </w:tcPr>
          <w:p w14:paraId="309050A7"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Skewness</w:t>
            </w:r>
          </w:p>
        </w:tc>
        <w:tc>
          <w:tcPr>
            <w:tcW w:w="1030" w:type="dxa"/>
            <w:tcBorders>
              <w:bottom w:val="single" w:sz="4" w:space="0" w:color="auto"/>
            </w:tcBorders>
          </w:tcPr>
          <w:p w14:paraId="2B72E1BF"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Kurtosis</w:t>
            </w:r>
          </w:p>
        </w:tc>
        <w:tc>
          <w:tcPr>
            <w:tcW w:w="985" w:type="dxa"/>
            <w:tcBorders>
              <w:bottom w:val="single" w:sz="4" w:space="0" w:color="auto"/>
            </w:tcBorders>
          </w:tcPr>
          <w:p w14:paraId="714B365F" w14:textId="77777777" w:rsidR="00B62FE0" w:rsidRPr="003C3F06" w:rsidRDefault="00B62FE0" w:rsidP="003C3F06">
            <w:pPr>
              <w:spacing w:after="0" w:line="240" w:lineRule="auto"/>
              <w:jc w:val="both"/>
              <w:rPr>
                <w:rFonts w:ascii="Times New Roman" w:hAnsi="Times New Roman"/>
                <w:sz w:val="24"/>
                <w:szCs w:val="24"/>
              </w:rPr>
            </w:pPr>
            <w:proofErr w:type="spellStart"/>
            <w:r w:rsidRPr="003C3F06">
              <w:rPr>
                <w:rFonts w:ascii="Times New Roman" w:hAnsi="Times New Roman"/>
                <w:sz w:val="24"/>
                <w:szCs w:val="24"/>
              </w:rPr>
              <w:t>Jarque-Bera</w:t>
            </w:r>
            <w:proofErr w:type="spellEnd"/>
          </w:p>
        </w:tc>
        <w:tc>
          <w:tcPr>
            <w:tcW w:w="1414" w:type="dxa"/>
            <w:tcBorders>
              <w:bottom w:val="single" w:sz="4" w:space="0" w:color="auto"/>
            </w:tcBorders>
          </w:tcPr>
          <w:p w14:paraId="6D71E07B"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Probability</w:t>
            </w:r>
          </w:p>
        </w:tc>
      </w:tr>
      <w:tr w:rsidR="00B62FE0" w:rsidRPr="003C3F06" w14:paraId="0A463392" w14:textId="77777777" w:rsidTr="007B5F7B">
        <w:tc>
          <w:tcPr>
            <w:tcW w:w="1230" w:type="dxa"/>
            <w:tcBorders>
              <w:top w:val="single" w:sz="4" w:space="0" w:color="auto"/>
              <w:bottom w:val="nil"/>
            </w:tcBorders>
          </w:tcPr>
          <w:p w14:paraId="3F693B37"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FRQ</w:t>
            </w:r>
          </w:p>
        </w:tc>
        <w:tc>
          <w:tcPr>
            <w:tcW w:w="763" w:type="dxa"/>
            <w:tcBorders>
              <w:top w:val="single" w:sz="4" w:space="0" w:color="auto"/>
              <w:bottom w:val="nil"/>
            </w:tcBorders>
          </w:tcPr>
          <w:p w14:paraId="431178A8"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0.38</w:t>
            </w:r>
          </w:p>
        </w:tc>
        <w:tc>
          <w:tcPr>
            <w:tcW w:w="950" w:type="dxa"/>
            <w:tcBorders>
              <w:top w:val="single" w:sz="4" w:space="0" w:color="auto"/>
              <w:bottom w:val="nil"/>
            </w:tcBorders>
          </w:tcPr>
          <w:p w14:paraId="104EB068"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0.33</w:t>
            </w:r>
          </w:p>
        </w:tc>
        <w:tc>
          <w:tcPr>
            <w:tcW w:w="1216" w:type="dxa"/>
            <w:tcBorders>
              <w:top w:val="single" w:sz="4" w:space="0" w:color="auto"/>
              <w:bottom w:val="nil"/>
            </w:tcBorders>
          </w:tcPr>
          <w:p w14:paraId="35D2446C"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1.00</w:t>
            </w:r>
          </w:p>
        </w:tc>
        <w:tc>
          <w:tcPr>
            <w:tcW w:w="1177" w:type="dxa"/>
            <w:tcBorders>
              <w:top w:val="single" w:sz="4" w:space="0" w:color="auto"/>
              <w:bottom w:val="nil"/>
            </w:tcBorders>
          </w:tcPr>
          <w:p w14:paraId="5E97B761"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0.00</w:t>
            </w:r>
          </w:p>
        </w:tc>
        <w:tc>
          <w:tcPr>
            <w:tcW w:w="756" w:type="dxa"/>
            <w:tcBorders>
              <w:top w:val="single" w:sz="4" w:space="0" w:color="auto"/>
              <w:bottom w:val="nil"/>
            </w:tcBorders>
          </w:tcPr>
          <w:p w14:paraId="7D62DD66"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0.27</w:t>
            </w:r>
          </w:p>
        </w:tc>
        <w:tc>
          <w:tcPr>
            <w:tcW w:w="1163" w:type="dxa"/>
            <w:tcBorders>
              <w:top w:val="single" w:sz="4" w:space="0" w:color="auto"/>
              <w:bottom w:val="nil"/>
            </w:tcBorders>
          </w:tcPr>
          <w:p w14:paraId="54D4981A"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0.59</w:t>
            </w:r>
          </w:p>
        </w:tc>
        <w:tc>
          <w:tcPr>
            <w:tcW w:w="1030" w:type="dxa"/>
            <w:tcBorders>
              <w:top w:val="single" w:sz="4" w:space="0" w:color="auto"/>
              <w:bottom w:val="nil"/>
            </w:tcBorders>
          </w:tcPr>
          <w:p w14:paraId="7ADBF5A2"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2.88</w:t>
            </w:r>
          </w:p>
        </w:tc>
        <w:tc>
          <w:tcPr>
            <w:tcW w:w="985" w:type="dxa"/>
            <w:tcBorders>
              <w:top w:val="single" w:sz="4" w:space="0" w:color="auto"/>
              <w:bottom w:val="nil"/>
            </w:tcBorders>
          </w:tcPr>
          <w:p w14:paraId="636B4009"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7.55</w:t>
            </w:r>
          </w:p>
        </w:tc>
        <w:tc>
          <w:tcPr>
            <w:tcW w:w="1414" w:type="dxa"/>
            <w:tcBorders>
              <w:top w:val="single" w:sz="4" w:space="0" w:color="auto"/>
              <w:bottom w:val="nil"/>
            </w:tcBorders>
          </w:tcPr>
          <w:p w14:paraId="24848099"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0.02</w:t>
            </w:r>
          </w:p>
        </w:tc>
      </w:tr>
      <w:tr w:rsidR="00B62FE0" w:rsidRPr="003C3F06" w14:paraId="787A7D66" w14:textId="77777777" w:rsidTr="007B5F7B">
        <w:tc>
          <w:tcPr>
            <w:tcW w:w="1230" w:type="dxa"/>
            <w:tcBorders>
              <w:top w:val="nil"/>
            </w:tcBorders>
          </w:tcPr>
          <w:p w14:paraId="42350E2E"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ACIDP</w:t>
            </w:r>
          </w:p>
        </w:tc>
        <w:tc>
          <w:tcPr>
            <w:tcW w:w="763" w:type="dxa"/>
            <w:tcBorders>
              <w:top w:val="nil"/>
            </w:tcBorders>
          </w:tcPr>
          <w:p w14:paraId="086DBFA6"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48.44</w:t>
            </w:r>
          </w:p>
        </w:tc>
        <w:tc>
          <w:tcPr>
            <w:tcW w:w="950" w:type="dxa"/>
            <w:tcBorders>
              <w:top w:val="nil"/>
            </w:tcBorders>
          </w:tcPr>
          <w:p w14:paraId="755DFAF9"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50.00</w:t>
            </w:r>
          </w:p>
        </w:tc>
        <w:tc>
          <w:tcPr>
            <w:tcW w:w="1216" w:type="dxa"/>
            <w:tcBorders>
              <w:top w:val="nil"/>
            </w:tcBorders>
          </w:tcPr>
          <w:p w14:paraId="31722116"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100.00</w:t>
            </w:r>
          </w:p>
        </w:tc>
        <w:tc>
          <w:tcPr>
            <w:tcW w:w="1177" w:type="dxa"/>
            <w:tcBorders>
              <w:top w:val="nil"/>
            </w:tcBorders>
          </w:tcPr>
          <w:p w14:paraId="026C21F0"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16.67</w:t>
            </w:r>
          </w:p>
        </w:tc>
        <w:tc>
          <w:tcPr>
            <w:tcW w:w="756" w:type="dxa"/>
            <w:tcBorders>
              <w:top w:val="nil"/>
            </w:tcBorders>
          </w:tcPr>
          <w:p w14:paraId="095E989B"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18.98</w:t>
            </w:r>
          </w:p>
        </w:tc>
        <w:tc>
          <w:tcPr>
            <w:tcW w:w="1163" w:type="dxa"/>
            <w:tcBorders>
              <w:top w:val="nil"/>
            </w:tcBorders>
          </w:tcPr>
          <w:p w14:paraId="0D11306E"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1.23</w:t>
            </w:r>
          </w:p>
        </w:tc>
        <w:tc>
          <w:tcPr>
            <w:tcW w:w="1030" w:type="dxa"/>
            <w:tcBorders>
              <w:top w:val="nil"/>
            </w:tcBorders>
          </w:tcPr>
          <w:p w14:paraId="677BA652"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2.96</w:t>
            </w:r>
          </w:p>
        </w:tc>
        <w:tc>
          <w:tcPr>
            <w:tcW w:w="985" w:type="dxa"/>
            <w:tcBorders>
              <w:top w:val="nil"/>
            </w:tcBorders>
          </w:tcPr>
          <w:p w14:paraId="0DA8757B"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53.22</w:t>
            </w:r>
          </w:p>
        </w:tc>
        <w:tc>
          <w:tcPr>
            <w:tcW w:w="1414" w:type="dxa"/>
            <w:tcBorders>
              <w:top w:val="nil"/>
            </w:tcBorders>
          </w:tcPr>
          <w:p w14:paraId="12AFAC87"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0.00</w:t>
            </w:r>
          </w:p>
        </w:tc>
      </w:tr>
      <w:tr w:rsidR="00B62FE0" w:rsidRPr="003C3F06" w14:paraId="2ED7C653" w14:textId="77777777" w:rsidTr="007D293E">
        <w:tc>
          <w:tcPr>
            <w:tcW w:w="1230" w:type="dxa"/>
          </w:tcPr>
          <w:p w14:paraId="0E29A167"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ACM</w:t>
            </w:r>
          </w:p>
        </w:tc>
        <w:tc>
          <w:tcPr>
            <w:tcW w:w="763" w:type="dxa"/>
          </w:tcPr>
          <w:p w14:paraId="6E219CE5"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4.36</w:t>
            </w:r>
          </w:p>
        </w:tc>
        <w:tc>
          <w:tcPr>
            <w:tcW w:w="950" w:type="dxa"/>
          </w:tcPr>
          <w:p w14:paraId="1A8CEB0A"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4.00</w:t>
            </w:r>
          </w:p>
        </w:tc>
        <w:tc>
          <w:tcPr>
            <w:tcW w:w="1216" w:type="dxa"/>
          </w:tcPr>
          <w:p w14:paraId="2B219D33"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10.00</w:t>
            </w:r>
          </w:p>
        </w:tc>
        <w:tc>
          <w:tcPr>
            <w:tcW w:w="1177" w:type="dxa"/>
          </w:tcPr>
          <w:p w14:paraId="43987AB4"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0.00</w:t>
            </w:r>
          </w:p>
        </w:tc>
        <w:tc>
          <w:tcPr>
            <w:tcW w:w="756" w:type="dxa"/>
          </w:tcPr>
          <w:p w14:paraId="4BA828AD"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1.09</w:t>
            </w:r>
          </w:p>
        </w:tc>
        <w:tc>
          <w:tcPr>
            <w:tcW w:w="1163" w:type="dxa"/>
          </w:tcPr>
          <w:p w14:paraId="0D2D5429"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0.75</w:t>
            </w:r>
          </w:p>
        </w:tc>
        <w:tc>
          <w:tcPr>
            <w:tcW w:w="1030" w:type="dxa"/>
          </w:tcPr>
          <w:p w14:paraId="1F025E2C"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2.86</w:t>
            </w:r>
          </w:p>
        </w:tc>
        <w:tc>
          <w:tcPr>
            <w:tcW w:w="985" w:type="dxa"/>
          </w:tcPr>
          <w:p w14:paraId="38E37715"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265.53</w:t>
            </w:r>
          </w:p>
        </w:tc>
        <w:tc>
          <w:tcPr>
            <w:tcW w:w="1414" w:type="dxa"/>
          </w:tcPr>
          <w:p w14:paraId="095C23D8"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0.00</w:t>
            </w:r>
          </w:p>
        </w:tc>
      </w:tr>
      <w:tr w:rsidR="00B62FE0" w:rsidRPr="003C3F06" w14:paraId="090E8326" w14:textId="77777777" w:rsidTr="007D293E">
        <w:tc>
          <w:tcPr>
            <w:tcW w:w="1230" w:type="dxa"/>
          </w:tcPr>
          <w:p w14:paraId="26E0221D"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ACSIZ</w:t>
            </w:r>
          </w:p>
        </w:tc>
        <w:tc>
          <w:tcPr>
            <w:tcW w:w="763" w:type="dxa"/>
          </w:tcPr>
          <w:p w14:paraId="7F8982B4"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5.55</w:t>
            </w:r>
          </w:p>
        </w:tc>
        <w:tc>
          <w:tcPr>
            <w:tcW w:w="950" w:type="dxa"/>
          </w:tcPr>
          <w:p w14:paraId="5968413B"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6.00</w:t>
            </w:r>
          </w:p>
        </w:tc>
        <w:tc>
          <w:tcPr>
            <w:tcW w:w="1216" w:type="dxa"/>
          </w:tcPr>
          <w:p w14:paraId="0F9B486E"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8.00</w:t>
            </w:r>
          </w:p>
        </w:tc>
        <w:tc>
          <w:tcPr>
            <w:tcW w:w="1177" w:type="dxa"/>
          </w:tcPr>
          <w:p w14:paraId="53366F30"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3.00</w:t>
            </w:r>
          </w:p>
        </w:tc>
        <w:tc>
          <w:tcPr>
            <w:tcW w:w="756" w:type="dxa"/>
          </w:tcPr>
          <w:p w14:paraId="6A546C5C"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1.17</w:t>
            </w:r>
          </w:p>
        </w:tc>
        <w:tc>
          <w:tcPr>
            <w:tcW w:w="1163" w:type="dxa"/>
          </w:tcPr>
          <w:p w14:paraId="43CE0327"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-0.06</w:t>
            </w:r>
          </w:p>
        </w:tc>
        <w:tc>
          <w:tcPr>
            <w:tcW w:w="1030" w:type="dxa"/>
          </w:tcPr>
          <w:p w14:paraId="515BC110"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2.23</w:t>
            </w:r>
          </w:p>
        </w:tc>
        <w:tc>
          <w:tcPr>
            <w:tcW w:w="985" w:type="dxa"/>
          </w:tcPr>
          <w:p w14:paraId="480A711B"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3.24</w:t>
            </w:r>
          </w:p>
        </w:tc>
        <w:tc>
          <w:tcPr>
            <w:tcW w:w="1414" w:type="dxa"/>
          </w:tcPr>
          <w:p w14:paraId="53A20108"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0.20</w:t>
            </w:r>
          </w:p>
        </w:tc>
      </w:tr>
      <w:tr w:rsidR="00B62FE0" w:rsidRPr="003C3F06" w14:paraId="1405A762" w14:textId="77777777" w:rsidTr="007D293E">
        <w:tc>
          <w:tcPr>
            <w:tcW w:w="1230" w:type="dxa"/>
          </w:tcPr>
          <w:p w14:paraId="0CCA0A38"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OGCSIZE</w:t>
            </w:r>
          </w:p>
        </w:tc>
        <w:tc>
          <w:tcPr>
            <w:tcW w:w="763" w:type="dxa"/>
          </w:tcPr>
          <w:p w14:paraId="3DF6CFC6"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7.65</w:t>
            </w:r>
          </w:p>
        </w:tc>
        <w:tc>
          <w:tcPr>
            <w:tcW w:w="950" w:type="dxa"/>
          </w:tcPr>
          <w:p w14:paraId="408DB912"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7.79</w:t>
            </w:r>
          </w:p>
        </w:tc>
        <w:tc>
          <w:tcPr>
            <w:tcW w:w="1216" w:type="dxa"/>
          </w:tcPr>
          <w:p w14:paraId="1801AEB9"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9.21</w:t>
            </w:r>
          </w:p>
        </w:tc>
        <w:tc>
          <w:tcPr>
            <w:tcW w:w="1177" w:type="dxa"/>
          </w:tcPr>
          <w:p w14:paraId="1398B81E"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5.25</w:t>
            </w:r>
          </w:p>
        </w:tc>
        <w:tc>
          <w:tcPr>
            <w:tcW w:w="756" w:type="dxa"/>
          </w:tcPr>
          <w:p w14:paraId="64DC0042"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0.90</w:t>
            </w:r>
          </w:p>
        </w:tc>
        <w:tc>
          <w:tcPr>
            <w:tcW w:w="1163" w:type="dxa"/>
          </w:tcPr>
          <w:p w14:paraId="6702C801"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-0.55</w:t>
            </w:r>
          </w:p>
        </w:tc>
        <w:tc>
          <w:tcPr>
            <w:tcW w:w="1030" w:type="dxa"/>
          </w:tcPr>
          <w:p w14:paraId="70BFBB02"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2.84</w:t>
            </w:r>
          </w:p>
        </w:tc>
        <w:tc>
          <w:tcPr>
            <w:tcW w:w="985" w:type="dxa"/>
          </w:tcPr>
          <w:p w14:paraId="0676241B"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6.61</w:t>
            </w:r>
          </w:p>
        </w:tc>
        <w:tc>
          <w:tcPr>
            <w:tcW w:w="1414" w:type="dxa"/>
          </w:tcPr>
          <w:p w14:paraId="7D53D454"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0.04</w:t>
            </w:r>
          </w:p>
        </w:tc>
      </w:tr>
      <w:tr w:rsidR="00B62FE0" w:rsidRPr="003C3F06" w14:paraId="2A9B96C4" w14:textId="77777777" w:rsidTr="007D293E">
        <w:tc>
          <w:tcPr>
            <w:tcW w:w="1230" w:type="dxa"/>
          </w:tcPr>
          <w:p w14:paraId="37F320A9"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OGLEV</w:t>
            </w:r>
          </w:p>
        </w:tc>
        <w:tc>
          <w:tcPr>
            <w:tcW w:w="763" w:type="dxa"/>
          </w:tcPr>
          <w:p w14:paraId="0538C6DE"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75.16</w:t>
            </w:r>
          </w:p>
        </w:tc>
        <w:tc>
          <w:tcPr>
            <w:tcW w:w="950" w:type="dxa"/>
          </w:tcPr>
          <w:p w14:paraId="6E31F375"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67.94</w:t>
            </w:r>
          </w:p>
        </w:tc>
        <w:tc>
          <w:tcPr>
            <w:tcW w:w="1216" w:type="dxa"/>
          </w:tcPr>
          <w:p w14:paraId="0D55D448"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778.20</w:t>
            </w:r>
          </w:p>
        </w:tc>
        <w:tc>
          <w:tcPr>
            <w:tcW w:w="1177" w:type="dxa"/>
          </w:tcPr>
          <w:p w14:paraId="30BD7C8A"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2.29</w:t>
            </w:r>
          </w:p>
        </w:tc>
        <w:tc>
          <w:tcPr>
            <w:tcW w:w="756" w:type="dxa"/>
          </w:tcPr>
          <w:p w14:paraId="705F7E51"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67.25</w:t>
            </w:r>
          </w:p>
        </w:tc>
        <w:tc>
          <w:tcPr>
            <w:tcW w:w="1163" w:type="dxa"/>
          </w:tcPr>
          <w:p w14:paraId="1A7DCE82"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1.12</w:t>
            </w:r>
          </w:p>
        </w:tc>
        <w:tc>
          <w:tcPr>
            <w:tcW w:w="1030" w:type="dxa"/>
          </w:tcPr>
          <w:p w14:paraId="6768060D"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2.53</w:t>
            </w:r>
          </w:p>
        </w:tc>
        <w:tc>
          <w:tcPr>
            <w:tcW w:w="985" w:type="dxa"/>
          </w:tcPr>
          <w:p w14:paraId="1CBCFCBD"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46820.75</w:t>
            </w:r>
          </w:p>
        </w:tc>
        <w:tc>
          <w:tcPr>
            <w:tcW w:w="1414" w:type="dxa"/>
          </w:tcPr>
          <w:p w14:paraId="1938943D"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0.00</w:t>
            </w:r>
          </w:p>
        </w:tc>
      </w:tr>
    </w:tbl>
    <w:p w14:paraId="0117083F" w14:textId="77777777" w:rsidR="002005C5" w:rsidRPr="003C3F06" w:rsidRDefault="002005C5" w:rsidP="003C3F06">
      <w:pPr>
        <w:spacing w:line="240" w:lineRule="auto"/>
        <w:jc w:val="both"/>
        <w:rPr>
          <w:rFonts w:ascii="Times New Roman" w:hAnsi="Times New Roman"/>
          <w:b/>
          <w:sz w:val="24"/>
          <w:szCs w:val="24"/>
        </w:rPr>
      </w:pPr>
      <w:r w:rsidRPr="003C3F06">
        <w:rPr>
          <w:rFonts w:ascii="Times New Roman" w:hAnsi="Times New Roman"/>
          <w:b/>
          <w:sz w:val="24"/>
          <w:szCs w:val="24"/>
        </w:rPr>
        <w:t>Source: Researchers’ Computation 2025</w:t>
      </w:r>
    </w:p>
    <w:p w14:paraId="3DDF2F2C" w14:textId="1F18CC76" w:rsidR="00634862" w:rsidRPr="003C3F06" w:rsidRDefault="002005C5" w:rsidP="003C3F06">
      <w:pPr>
        <w:autoSpaceDE w:val="0"/>
        <w:autoSpaceDN w:val="0"/>
        <w:adjustRightInd w:val="0"/>
        <w:spacing w:after="0" w:line="360" w:lineRule="auto"/>
        <w:jc w:val="both"/>
        <w:rPr>
          <w:rFonts w:ascii="Times New Roman" w:hAnsi="Times New Roman"/>
          <w:sz w:val="24"/>
          <w:szCs w:val="24"/>
        </w:rPr>
      </w:pPr>
      <w:r w:rsidRPr="003C3F06">
        <w:rPr>
          <w:rFonts w:ascii="Times New Roman" w:hAnsi="Times New Roman"/>
          <w:sz w:val="24"/>
          <w:szCs w:val="24"/>
        </w:rPr>
        <w:t xml:space="preserve">The </w:t>
      </w:r>
      <w:r w:rsidRPr="003C3F06">
        <w:rPr>
          <w:rStyle w:val="Strong"/>
          <w:rFonts w:ascii="Times New Roman" w:hAnsi="Times New Roman"/>
          <w:b w:val="0"/>
          <w:bCs w:val="0"/>
          <w:sz w:val="24"/>
          <w:szCs w:val="24"/>
        </w:rPr>
        <w:t>descriptive statistics</w:t>
      </w:r>
      <w:r w:rsidRPr="003C3F06">
        <w:rPr>
          <w:rFonts w:ascii="Times New Roman" w:hAnsi="Times New Roman"/>
          <w:sz w:val="24"/>
          <w:szCs w:val="24"/>
        </w:rPr>
        <w:t xml:space="preserve"> for the seven listed Nigerian oil and gas companies (Table 1) indicate that overall financial reporting quality (FRQ) averaged </w:t>
      </w:r>
      <w:r w:rsidRPr="003C3F06">
        <w:rPr>
          <w:rStyle w:val="Strong"/>
          <w:rFonts w:ascii="Times New Roman" w:hAnsi="Times New Roman"/>
          <w:b w:val="0"/>
          <w:bCs w:val="0"/>
          <w:sz w:val="24"/>
          <w:szCs w:val="24"/>
        </w:rPr>
        <w:t>38.11% of the maximum attainable score</w:t>
      </w:r>
      <w:r w:rsidRPr="003C3F06">
        <w:rPr>
          <w:rFonts w:ascii="Times New Roman" w:hAnsi="Times New Roman"/>
          <w:b/>
          <w:bCs/>
          <w:sz w:val="24"/>
          <w:szCs w:val="24"/>
        </w:rPr>
        <w:t xml:space="preserve">, </w:t>
      </w:r>
      <w:r w:rsidRPr="003C3F06">
        <w:rPr>
          <w:rFonts w:ascii="Times New Roman" w:hAnsi="Times New Roman"/>
          <w:sz w:val="24"/>
          <w:szCs w:val="24"/>
        </w:rPr>
        <w:t>suggesting relatively low reporting quality over the</w:t>
      </w:r>
      <w:r w:rsidRPr="003C3F06">
        <w:rPr>
          <w:rFonts w:ascii="Times New Roman" w:hAnsi="Times New Roman"/>
          <w:b/>
          <w:bCs/>
          <w:sz w:val="24"/>
          <w:szCs w:val="24"/>
        </w:rPr>
        <w:t xml:space="preserve"> </w:t>
      </w:r>
      <w:r w:rsidRPr="003C3F06">
        <w:rPr>
          <w:rFonts w:ascii="Times New Roman" w:hAnsi="Times New Roman"/>
          <w:sz w:val="24"/>
          <w:szCs w:val="24"/>
        </w:rPr>
        <w:t xml:space="preserve">2014–2024 period. This reflects </w:t>
      </w:r>
      <w:r w:rsidRPr="003C3F06">
        <w:rPr>
          <w:rStyle w:val="Strong"/>
          <w:rFonts w:ascii="Times New Roman" w:hAnsi="Times New Roman"/>
          <w:b w:val="0"/>
          <w:bCs w:val="0"/>
          <w:sz w:val="24"/>
          <w:szCs w:val="24"/>
        </w:rPr>
        <w:t>partial adoption of corporate governance codes and reporting guidelines</w:t>
      </w:r>
      <w:r w:rsidRPr="003C3F06">
        <w:rPr>
          <w:rFonts w:ascii="Times New Roman" w:hAnsi="Times New Roman"/>
          <w:b/>
          <w:bCs/>
          <w:sz w:val="24"/>
          <w:szCs w:val="24"/>
        </w:rPr>
        <w:t>.</w:t>
      </w:r>
      <w:r w:rsidRPr="003C3F06">
        <w:rPr>
          <w:rFonts w:ascii="Times New Roman" w:hAnsi="Times New Roman"/>
          <w:sz w:val="24"/>
          <w:szCs w:val="24"/>
        </w:rPr>
        <w:t xml:space="preserve"> Skewness and kurtosis values for FRQ and its subcomponents fall within acceptable ranges (±1.96 for skewness; ±3 for kurtosis), confirming </w:t>
      </w:r>
      <w:r w:rsidRPr="003C3F06">
        <w:rPr>
          <w:rStyle w:val="Strong"/>
          <w:rFonts w:ascii="Times New Roman" w:hAnsi="Times New Roman"/>
          <w:b w:val="0"/>
          <w:bCs w:val="0"/>
          <w:sz w:val="24"/>
          <w:szCs w:val="24"/>
        </w:rPr>
        <w:t>normal distribution of the data</w:t>
      </w:r>
      <w:r w:rsidRPr="003C3F06">
        <w:rPr>
          <w:rFonts w:ascii="Times New Roman" w:hAnsi="Times New Roman"/>
          <w:sz w:val="24"/>
          <w:szCs w:val="24"/>
        </w:rPr>
        <w:t xml:space="preserve"> (</w:t>
      </w:r>
      <w:proofErr w:type="spellStart"/>
      <w:r w:rsidRPr="003C3F06">
        <w:rPr>
          <w:rFonts w:ascii="Times New Roman" w:hAnsi="Times New Roman"/>
          <w:sz w:val="24"/>
          <w:szCs w:val="24"/>
        </w:rPr>
        <w:t>Uttley</w:t>
      </w:r>
      <w:proofErr w:type="spellEnd"/>
      <w:r w:rsidRPr="003C3F06">
        <w:rPr>
          <w:rFonts w:ascii="Times New Roman" w:hAnsi="Times New Roman"/>
          <w:sz w:val="24"/>
          <w:szCs w:val="24"/>
        </w:rPr>
        <w:t xml:space="preserve">, 2019). Mean values lie between the observed minimum and maximum, demonstrating </w:t>
      </w:r>
      <w:r w:rsidRPr="003C3F06">
        <w:rPr>
          <w:rStyle w:val="Strong"/>
          <w:rFonts w:ascii="Times New Roman" w:hAnsi="Times New Roman"/>
          <w:b w:val="0"/>
          <w:bCs w:val="0"/>
          <w:sz w:val="24"/>
          <w:szCs w:val="24"/>
        </w:rPr>
        <w:t>data consistency</w:t>
      </w:r>
      <w:r w:rsidRPr="003C3F06">
        <w:rPr>
          <w:rFonts w:ascii="Times New Roman" w:hAnsi="Times New Roman"/>
          <w:b/>
          <w:bCs/>
          <w:sz w:val="24"/>
          <w:szCs w:val="24"/>
        </w:rPr>
        <w:t>.</w:t>
      </w:r>
    </w:p>
    <w:p w14:paraId="4D09309A" w14:textId="15689010" w:rsidR="007B5F7B" w:rsidRPr="007B5F7B" w:rsidRDefault="007B5F7B" w:rsidP="007B5F7B">
      <w:pPr>
        <w:rPr>
          <w:rFonts w:ascii="Times New Roman" w:hAnsi="Times New Roman"/>
          <w:b/>
          <w:bCs/>
          <w:sz w:val="24"/>
          <w:szCs w:val="24"/>
          <w:lang w:eastAsia="en-US"/>
        </w:rPr>
      </w:pPr>
      <w:r>
        <w:rPr>
          <w:rFonts w:ascii="Times New Roman" w:hAnsi="Times New Roman"/>
          <w:b/>
          <w:bCs/>
          <w:sz w:val="24"/>
          <w:szCs w:val="24"/>
          <w:lang w:eastAsia="en-US"/>
        </w:rPr>
        <w:t xml:space="preserve">Table .2: </w:t>
      </w:r>
      <w:r w:rsidRPr="007B5F7B">
        <w:rPr>
          <w:rFonts w:ascii="Times New Roman" w:hAnsi="Times New Roman"/>
          <w:b/>
          <w:bCs/>
          <w:sz w:val="24"/>
          <w:szCs w:val="24"/>
          <w:lang w:eastAsia="en-US"/>
        </w:rPr>
        <w:t>Correlation Matrix of Variables (N = 77)</w:t>
      </w:r>
    </w:p>
    <w:tbl>
      <w:tblPr>
        <w:tblW w:w="0" w:type="auto"/>
        <w:tblBorders>
          <w:top w:val="single" w:sz="4" w:space="0" w:color="auto"/>
        </w:tblBorders>
        <w:tblLook w:val="04A0" w:firstRow="1" w:lastRow="0" w:firstColumn="1" w:lastColumn="0" w:noHBand="0" w:noVBand="1"/>
      </w:tblPr>
      <w:tblGrid>
        <w:gridCol w:w="1234"/>
        <w:gridCol w:w="1234"/>
        <w:gridCol w:w="1234"/>
        <w:gridCol w:w="1234"/>
        <w:gridCol w:w="1234"/>
        <w:gridCol w:w="1234"/>
        <w:gridCol w:w="1234"/>
      </w:tblGrid>
      <w:tr w:rsidR="00B62FE0" w:rsidRPr="003C3F06" w14:paraId="1C69F781" w14:textId="77777777" w:rsidTr="007B5F7B">
        <w:tc>
          <w:tcPr>
            <w:tcW w:w="1234" w:type="dxa"/>
            <w:tcBorders>
              <w:top w:val="single" w:sz="4" w:space="0" w:color="auto"/>
              <w:bottom w:val="single" w:sz="4" w:space="0" w:color="auto"/>
            </w:tcBorders>
          </w:tcPr>
          <w:p w14:paraId="296E3232"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Variable</w:t>
            </w:r>
          </w:p>
        </w:tc>
        <w:tc>
          <w:tcPr>
            <w:tcW w:w="1234" w:type="dxa"/>
            <w:tcBorders>
              <w:top w:val="single" w:sz="4" w:space="0" w:color="auto"/>
              <w:bottom w:val="single" w:sz="4" w:space="0" w:color="auto"/>
            </w:tcBorders>
          </w:tcPr>
          <w:p w14:paraId="038878DE"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FRQ</w:t>
            </w:r>
          </w:p>
        </w:tc>
        <w:tc>
          <w:tcPr>
            <w:tcW w:w="1234" w:type="dxa"/>
            <w:tcBorders>
              <w:top w:val="single" w:sz="4" w:space="0" w:color="auto"/>
              <w:bottom w:val="single" w:sz="4" w:space="0" w:color="auto"/>
            </w:tcBorders>
          </w:tcPr>
          <w:p w14:paraId="259181D1"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ACIDP</w:t>
            </w:r>
          </w:p>
        </w:tc>
        <w:tc>
          <w:tcPr>
            <w:tcW w:w="1234" w:type="dxa"/>
            <w:tcBorders>
              <w:top w:val="single" w:sz="4" w:space="0" w:color="auto"/>
              <w:bottom w:val="single" w:sz="4" w:space="0" w:color="auto"/>
            </w:tcBorders>
          </w:tcPr>
          <w:p w14:paraId="5A2DE5FF"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ACM</w:t>
            </w:r>
          </w:p>
        </w:tc>
        <w:tc>
          <w:tcPr>
            <w:tcW w:w="1234" w:type="dxa"/>
            <w:tcBorders>
              <w:top w:val="single" w:sz="4" w:space="0" w:color="auto"/>
              <w:bottom w:val="single" w:sz="4" w:space="0" w:color="auto"/>
            </w:tcBorders>
          </w:tcPr>
          <w:p w14:paraId="2DDD54E2"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ACSIZ</w:t>
            </w:r>
          </w:p>
        </w:tc>
        <w:tc>
          <w:tcPr>
            <w:tcW w:w="1234" w:type="dxa"/>
            <w:tcBorders>
              <w:top w:val="single" w:sz="4" w:space="0" w:color="auto"/>
              <w:bottom w:val="single" w:sz="4" w:space="0" w:color="auto"/>
            </w:tcBorders>
          </w:tcPr>
          <w:p w14:paraId="1F0E3580"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OGCSIZE</w:t>
            </w:r>
          </w:p>
        </w:tc>
        <w:tc>
          <w:tcPr>
            <w:tcW w:w="1234" w:type="dxa"/>
            <w:tcBorders>
              <w:top w:val="single" w:sz="4" w:space="0" w:color="auto"/>
              <w:bottom w:val="single" w:sz="4" w:space="0" w:color="auto"/>
            </w:tcBorders>
          </w:tcPr>
          <w:p w14:paraId="7F272957"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OGLEV</w:t>
            </w:r>
          </w:p>
        </w:tc>
      </w:tr>
      <w:tr w:rsidR="00B62FE0" w:rsidRPr="003C3F06" w14:paraId="1A476A15" w14:textId="77777777" w:rsidTr="007B5F7B">
        <w:tc>
          <w:tcPr>
            <w:tcW w:w="1234" w:type="dxa"/>
            <w:tcBorders>
              <w:top w:val="single" w:sz="4" w:space="0" w:color="auto"/>
            </w:tcBorders>
          </w:tcPr>
          <w:p w14:paraId="2848BDF2"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FRQ</w:t>
            </w:r>
          </w:p>
        </w:tc>
        <w:tc>
          <w:tcPr>
            <w:tcW w:w="1234" w:type="dxa"/>
            <w:tcBorders>
              <w:top w:val="single" w:sz="4" w:space="0" w:color="auto"/>
            </w:tcBorders>
          </w:tcPr>
          <w:p w14:paraId="09ABBB98"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1</w:t>
            </w:r>
          </w:p>
        </w:tc>
        <w:tc>
          <w:tcPr>
            <w:tcW w:w="1234" w:type="dxa"/>
            <w:tcBorders>
              <w:top w:val="single" w:sz="4" w:space="0" w:color="auto"/>
            </w:tcBorders>
          </w:tcPr>
          <w:p w14:paraId="1C485F0F" w14:textId="77777777" w:rsidR="00B62FE0" w:rsidRPr="003C3F06" w:rsidRDefault="00B62FE0" w:rsidP="003C3F06">
            <w:pPr>
              <w:spacing w:after="0" w:line="240" w:lineRule="auto"/>
              <w:jc w:val="both"/>
              <w:rPr>
                <w:rFonts w:ascii="Times New Roman" w:hAnsi="Times New Roman"/>
                <w:sz w:val="24"/>
                <w:szCs w:val="24"/>
              </w:rPr>
            </w:pPr>
          </w:p>
        </w:tc>
        <w:tc>
          <w:tcPr>
            <w:tcW w:w="1234" w:type="dxa"/>
            <w:tcBorders>
              <w:top w:val="single" w:sz="4" w:space="0" w:color="auto"/>
            </w:tcBorders>
          </w:tcPr>
          <w:p w14:paraId="1F7375B4" w14:textId="77777777" w:rsidR="00B62FE0" w:rsidRPr="003C3F06" w:rsidRDefault="00B62FE0" w:rsidP="003C3F06">
            <w:pPr>
              <w:spacing w:after="0" w:line="240" w:lineRule="auto"/>
              <w:jc w:val="both"/>
              <w:rPr>
                <w:rFonts w:ascii="Times New Roman" w:hAnsi="Times New Roman"/>
                <w:sz w:val="24"/>
                <w:szCs w:val="24"/>
              </w:rPr>
            </w:pPr>
          </w:p>
        </w:tc>
        <w:tc>
          <w:tcPr>
            <w:tcW w:w="1234" w:type="dxa"/>
            <w:tcBorders>
              <w:top w:val="single" w:sz="4" w:space="0" w:color="auto"/>
            </w:tcBorders>
          </w:tcPr>
          <w:p w14:paraId="2B773729" w14:textId="77777777" w:rsidR="00B62FE0" w:rsidRPr="003C3F06" w:rsidRDefault="00B62FE0" w:rsidP="003C3F06">
            <w:pPr>
              <w:spacing w:after="0" w:line="240" w:lineRule="auto"/>
              <w:jc w:val="both"/>
              <w:rPr>
                <w:rFonts w:ascii="Times New Roman" w:hAnsi="Times New Roman"/>
                <w:sz w:val="24"/>
                <w:szCs w:val="24"/>
              </w:rPr>
            </w:pPr>
          </w:p>
        </w:tc>
        <w:tc>
          <w:tcPr>
            <w:tcW w:w="1234" w:type="dxa"/>
            <w:tcBorders>
              <w:top w:val="single" w:sz="4" w:space="0" w:color="auto"/>
            </w:tcBorders>
          </w:tcPr>
          <w:p w14:paraId="178BDF49" w14:textId="77777777" w:rsidR="00B62FE0" w:rsidRPr="003C3F06" w:rsidRDefault="00B62FE0" w:rsidP="003C3F06">
            <w:pPr>
              <w:spacing w:after="0" w:line="240" w:lineRule="auto"/>
              <w:jc w:val="both"/>
              <w:rPr>
                <w:rFonts w:ascii="Times New Roman" w:hAnsi="Times New Roman"/>
                <w:sz w:val="24"/>
                <w:szCs w:val="24"/>
              </w:rPr>
            </w:pPr>
          </w:p>
        </w:tc>
        <w:tc>
          <w:tcPr>
            <w:tcW w:w="1234" w:type="dxa"/>
            <w:tcBorders>
              <w:top w:val="single" w:sz="4" w:space="0" w:color="auto"/>
            </w:tcBorders>
          </w:tcPr>
          <w:p w14:paraId="6C01C09E" w14:textId="77777777" w:rsidR="00B62FE0" w:rsidRPr="003C3F06" w:rsidRDefault="00B62FE0" w:rsidP="003C3F06">
            <w:pPr>
              <w:spacing w:after="0" w:line="240" w:lineRule="auto"/>
              <w:jc w:val="both"/>
              <w:rPr>
                <w:rFonts w:ascii="Times New Roman" w:hAnsi="Times New Roman"/>
                <w:sz w:val="24"/>
                <w:szCs w:val="24"/>
              </w:rPr>
            </w:pPr>
          </w:p>
        </w:tc>
      </w:tr>
      <w:tr w:rsidR="00B62FE0" w:rsidRPr="003C3F06" w14:paraId="00F23186" w14:textId="77777777" w:rsidTr="007B5F7B">
        <w:tc>
          <w:tcPr>
            <w:tcW w:w="1234" w:type="dxa"/>
          </w:tcPr>
          <w:p w14:paraId="40BD64B2"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ACIDP</w:t>
            </w:r>
          </w:p>
        </w:tc>
        <w:tc>
          <w:tcPr>
            <w:tcW w:w="1234" w:type="dxa"/>
          </w:tcPr>
          <w:p w14:paraId="3CCCDBED"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.53</w:t>
            </w:r>
          </w:p>
        </w:tc>
        <w:tc>
          <w:tcPr>
            <w:tcW w:w="1234" w:type="dxa"/>
          </w:tcPr>
          <w:p w14:paraId="1A1DF615"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1</w:t>
            </w:r>
          </w:p>
        </w:tc>
        <w:tc>
          <w:tcPr>
            <w:tcW w:w="1234" w:type="dxa"/>
          </w:tcPr>
          <w:p w14:paraId="0A763516" w14:textId="77777777" w:rsidR="00B62FE0" w:rsidRPr="003C3F06" w:rsidRDefault="00B62FE0" w:rsidP="003C3F06">
            <w:pPr>
              <w:spacing w:after="0" w:line="240" w:lineRule="auto"/>
              <w:jc w:val="both"/>
              <w:rPr>
                <w:rFonts w:ascii="Times New Roman" w:hAnsi="Times New Roman"/>
                <w:sz w:val="24"/>
                <w:szCs w:val="24"/>
              </w:rPr>
            </w:pPr>
          </w:p>
        </w:tc>
        <w:tc>
          <w:tcPr>
            <w:tcW w:w="1234" w:type="dxa"/>
          </w:tcPr>
          <w:p w14:paraId="73DF3BF8" w14:textId="77777777" w:rsidR="00B62FE0" w:rsidRPr="003C3F06" w:rsidRDefault="00B62FE0" w:rsidP="003C3F06">
            <w:pPr>
              <w:spacing w:after="0" w:line="240" w:lineRule="auto"/>
              <w:jc w:val="both"/>
              <w:rPr>
                <w:rFonts w:ascii="Times New Roman" w:hAnsi="Times New Roman"/>
                <w:sz w:val="24"/>
                <w:szCs w:val="24"/>
              </w:rPr>
            </w:pPr>
          </w:p>
        </w:tc>
        <w:tc>
          <w:tcPr>
            <w:tcW w:w="1234" w:type="dxa"/>
          </w:tcPr>
          <w:p w14:paraId="560C9506" w14:textId="77777777" w:rsidR="00B62FE0" w:rsidRPr="003C3F06" w:rsidRDefault="00B62FE0" w:rsidP="003C3F06">
            <w:pPr>
              <w:spacing w:after="0" w:line="240" w:lineRule="auto"/>
              <w:jc w:val="both"/>
              <w:rPr>
                <w:rFonts w:ascii="Times New Roman" w:hAnsi="Times New Roman"/>
                <w:sz w:val="24"/>
                <w:szCs w:val="24"/>
              </w:rPr>
            </w:pPr>
          </w:p>
        </w:tc>
        <w:tc>
          <w:tcPr>
            <w:tcW w:w="1234" w:type="dxa"/>
          </w:tcPr>
          <w:p w14:paraId="3BBDF1CE" w14:textId="77777777" w:rsidR="00B62FE0" w:rsidRPr="003C3F06" w:rsidRDefault="00B62FE0" w:rsidP="003C3F06">
            <w:pPr>
              <w:spacing w:after="0" w:line="240" w:lineRule="auto"/>
              <w:jc w:val="both"/>
              <w:rPr>
                <w:rFonts w:ascii="Times New Roman" w:hAnsi="Times New Roman"/>
                <w:sz w:val="24"/>
                <w:szCs w:val="24"/>
              </w:rPr>
            </w:pPr>
          </w:p>
        </w:tc>
      </w:tr>
      <w:tr w:rsidR="00B62FE0" w:rsidRPr="003C3F06" w14:paraId="48D8134B" w14:textId="77777777" w:rsidTr="007B5F7B">
        <w:tc>
          <w:tcPr>
            <w:tcW w:w="1234" w:type="dxa"/>
          </w:tcPr>
          <w:p w14:paraId="6662924E"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ACM</w:t>
            </w:r>
          </w:p>
        </w:tc>
        <w:tc>
          <w:tcPr>
            <w:tcW w:w="1234" w:type="dxa"/>
          </w:tcPr>
          <w:p w14:paraId="6E93B61E"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.49</w:t>
            </w:r>
          </w:p>
        </w:tc>
        <w:tc>
          <w:tcPr>
            <w:tcW w:w="1234" w:type="dxa"/>
          </w:tcPr>
          <w:p w14:paraId="33BE84E6"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.30</w:t>
            </w:r>
          </w:p>
        </w:tc>
        <w:tc>
          <w:tcPr>
            <w:tcW w:w="1234" w:type="dxa"/>
          </w:tcPr>
          <w:p w14:paraId="2EFD49E4"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1</w:t>
            </w:r>
          </w:p>
        </w:tc>
        <w:tc>
          <w:tcPr>
            <w:tcW w:w="1234" w:type="dxa"/>
          </w:tcPr>
          <w:p w14:paraId="46087D9B" w14:textId="77777777" w:rsidR="00B62FE0" w:rsidRPr="003C3F06" w:rsidRDefault="00B62FE0" w:rsidP="003C3F06">
            <w:pPr>
              <w:spacing w:after="0" w:line="240" w:lineRule="auto"/>
              <w:jc w:val="both"/>
              <w:rPr>
                <w:rFonts w:ascii="Times New Roman" w:hAnsi="Times New Roman"/>
                <w:sz w:val="24"/>
                <w:szCs w:val="24"/>
              </w:rPr>
            </w:pPr>
          </w:p>
        </w:tc>
        <w:tc>
          <w:tcPr>
            <w:tcW w:w="1234" w:type="dxa"/>
          </w:tcPr>
          <w:p w14:paraId="4EC76B9D" w14:textId="77777777" w:rsidR="00B62FE0" w:rsidRPr="003C3F06" w:rsidRDefault="00B62FE0" w:rsidP="003C3F06">
            <w:pPr>
              <w:spacing w:after="0" w:line="240" w:lineRule="auto"/>
              <w:jc w:val="both"/>
              <w:rPr>
                <w:rFonts w:ascii="Times New Roman" w:hAnsi="Times New Roman"/>
                <w:sz w:val="24"/>
                <w:szCs w:val="24"/>
              </w:rPr>
            </w:pPr>
          </w:p>
        </w:tc>
        <w:tc>
          <w:tcPr>
            <w:tcW w:w="1234" w:type="dxa"/>
          </w:tcPr>
          <w:p w14:paraId="53784ABD" w14:textId="77777777" w:rsidR="00B62FE0" w:rsidRPr="003C3F06" w:rsidRDefault="00B62FE0" w:rsidP="003C3F06">
            <w:pPr>
              <w:spacing w:after="0" w:line="240" w:lineRule="auto"/>
              <w:jc w:val="both"/>
              <w:rPr>
                <w:rFonts w:ascii="Times New Roman" w:hAnsi="Times New Roman"/>
                <w:sz w:val="24"/>
                <w:szCs w:val="24"/>
              </w:rPr>
            </w:pPr>
          </w:p>
        </w:tc>
      </w:tr>
      <w:tr w:rsidR="00B62FE0" w:rsidRPr="003C3F06" w14:paraId="2BE435DC" w14:textId="77777777" w:rsidTr="007B5F7B">
        <w:tc>
          <w:tcPr>
            <w:tcW w:w="1234" w:type="dxa"/>
          </w:tcPr>
          <w:p w14:paraId="24690DE6"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ACSIZ</w:t>
            </w:r>
          </w:p>
        </w:tc>
        <w:tc>
          <w:tcPr>
            <w:tcW w:w="1234" w:type="dxa"/>
          </w:tcPr>
          <w:p w14:paraId="6D46E860"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.41</w:t>
            </w:r>
          </w:p>
        </w:tc>
        <w:tc>
          <w:tcPr>
            <w:tcW w:w="1234" w:type="dxa"/>
          </w:tcPr>
          <w:p w14:paraId="544D9114"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.30</w:t>
            </w:r>
          </w:p>
        </w:tc>
        <w:tc>
          <w:tcPr>
            <w:tcW w:w="1234" w:type="dxa"/>
          </w:tcPr>
          <w:p w14:paraId="3EC37CD0"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.36</w:t>
            </w:r>
          </w:p>
        </w:tc>
        <w:tc>
          <w:tcPr>
            <w:tcW w:w="1234" w:type="dxa"/>
          </w:tcPr>
          <w:p w14:paraId="6C981B84"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1</w:t>
            </w:r>
          </w:p>
        </w:tc>
        <w:tc>
          <w:tcPr>
            <w:tcW w:w="1234" w:type="dxa"/>
          </w:tcPr>
          <w:p w14:paraId="22647CA2" w14:textId="77777777" w:rsidR="00B62FE0" w:rsidRPr="003C3F06" w:rsidRDefault="00B62FE0" w:rsidP="003C3F06">
            <w:pPr>
              <w:spacing w:after="0" w:line="240" w:lineRule="auto"/>
              <w:jc w:val="both"/>
              <w:rPr>
                <w:rFonts w:ascii="Times New Roman" w:hAnsi="Times New Roman"/>
                <w:sz w:val="24"/>
                <w:szCs w:val="24"/>
              </w:rPr>
            </w:pPr>
          </w:p>
        </w:tc>
        <w:tc>
          <w:tcPr>
            <w:tcW w:w="1234" w:type="dxa"/>
          </w:tcPr>
          <w:p w14:paraId="040E1910" w14:textId="77777777" w:rsidR="00B62FE0" w:rsidRPr="003C3F06" w:rsidRDefault="00B62FE0" w:rsidP="003C3F06">
            <w:pPr>
              <w:spacing w:after="0" w:line="240" w:lineRule="auto"/>
              <w:jc w:val="both"/>
              <w:rPr>
                <w:rFonts w:ascii="Times New Roman" w:hAnsi="Times New Roman"/>
                <w:sz w:val="24"/>
                <w:szCs w:val="24"/>
              </w:rPr>
            </w:pPr>
          </w:p>
        </w:tc>
      </w:tr>
      <w:tr w:rsidR="00B62FE0" w:rsidRPr="003C3F06" w14:paraId="4AC7806E" w14:textId="77777777" w:rsidTr="007B5F7B">
        <w:tc>
          <w:tcPr>
            <w:tcW w:w="1234" w:type="dxa"/>
          </w:tcPr>
          <w:p w14:paraId="6CF2F17E"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OGCSIZE</w:t>
            </w:r>
          </w:p>
        </w:tc>
        <w:tc>
          <w:tcPr>
            <w:tcW w:w="1234" w:type="dxa"/>
          </w:tcPr>
          <w:p w14:paraId="3F274DEF"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.37</w:t>
            </w:r>
          </w:p>
        </w:tc>
        <w:tc>
          <w:tcPr>
            <w:tcW w:w="1234" w:type="dxa"/>
          </w:tcPr>
          <w:p w14:paraId="61E597AC"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.11</w:t>
            </w:r>
          </w:p>
        </w:tc>
        <w:tc>
          <w:tcPr>
            <w:tcW w:w="1234" w:type="dxa"/>
          </w:tcPr>
          <w:p w14:paraId="3FF8971F"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.29</w:t>
            </w:r>
          </w:p>
        </w:tc>
        <w:tc>
          <w:tcPr>
            <w:tcW w:w="1234" w:type="dxa"/>
          </w:tcPr>
          <w:p w14:paraId="3ECA60D8"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.39</w:t>
            </w:r>
          </w:p>
        </w:tc>
        <w:tc>
          <w:tcPr>
            <w:tcW w:w="1234" w:type="dxa"/>
          </w:tcPr>
          <w:p w14:paraId="74F21D7A"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1</w:t>
            </w:r>
          </w:p>
        </w:tc>
        <w:tc>
          <w:tcPr>
            <w:tcW w:w="1234" w:type="dxa"/>
          </w:tcPr>
          <w:p w14:paraId="0761B774" w14:textId="77777777" w:rsidR="00B62FE0" w:rsidRPr="003C3F06" w:rsidRDefault="00B62FE0" w:rsidP="003C3F06">
            <w:pPr>
              <w:spacing w:after="0" w:line="240" w:lineRule="auto"/>
              <w:jc w:val="both"/>
              <w:rPr>
                <w:rFonts w:ascii="Times New Roman" w:hAnsi="Times New Roman"/>
                <w:sz w:val="24"/>
                <w:szCs w:val="24"/>
              </w:rPr>
            </w:pPr>
          </w:p>
        </w:tc>
      </w:tr>
      <w:tr w:rsidR="00B62FE0" w:rsidRPr="003C3F06" w14:paraId="32210355" w14:textId="77777777" w:rsidTr="007B5F7B">
        <w:tc>
          <w:tcPr>
            <w:tcW w:w="1234" w:type="dxa"/>
            <w:tcBorders>
              <w:bottom w:val="single" w:sz="4" w:space="0" w:color="auto"/>
            </w:tcBorders>
          </w:tcPr>
          <w:p w14:paraId="6296EB01"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OGLEV</w:t>
            </w:r>
          </w:p>
        </w:tc>
        <w:tc>
          <w:tcPr>
            <w:tcW w:w="1234" w:type="dxa"/>
            <w:tcBorders>
              <w:bottom w:val="single" w:sz="4" w:space="0" w:color="auto"/>
            </w:tcBorders>
          </w:tcPr>
          <w:p w14:paraId="52C2668B"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-.42</w:t>
            </w:r>
          </w:p>
        </w:tc>
        <w:tc>
          <w:tcPr>
            <w:tcW w:w="1234" w:type="dxa"/>
            <w:tcBorders>
              <w:bottom w:val="single" w:sz="4" w:space="0" w:color="auto"/>
            </w:tcBorders>
          </w:tcPr>
          <w:p w14:paraId="06E4D2E4"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-.22</w:t>
            </w:r>
          </w:p>
        </w:tc>
        <w:tc>
          <w:tcPr>
            <w:tcW w:w="1234" w:type="dxa"/>
            <w:tcBorders>
              <w:bottom w:val="single" w:sz="4" w:space="0" w:color="auto"/>
            </w:tcBorders>
          </w:tcPr>
          <w:p w14:paraId="137B39FD"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-.18</w:t>
            </w:r>
          </w:p>
        </w:tc>
        <w:tc>
          <w:tcPr>
            <w:tcW w:w="1234" w:type="dxa"/>
            <w:tcBorders>
              <w:bottom w:val="single" w:sz="4" w:space="0" w:color="auto"/>
            </w:tcBorders>
          </w:tcPr>
          <w:p w14:paraId="796C6B7C"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-.13</w:t>
            </w:r>
          </w:p>
        </w:tc>
        <w:tc>
          <w:tcPr>
            <w:tcW w:w="1234" w:type="dxa"/>
            <w:tcBorders>
              <w:bottom w:val="single" w:sz="4" w:space="0" w:color="auto"/>
            </w:tcBorders>
          </w:tcPr>
          <w:p w14:paraId="4F646650"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.51</w:t>
            </w:r>
          </w:p>
        </w:tc>
        <w:tc>
          <w:tcPr>
            <w:tcW w:w="1234" w:type="dxa"/>
            <w:tcBorders>
              <w:bottom w:val="single" w:sz="4" w:space="0" w:color="auto"/>
            </w:tcBorders>
          </w:tcPr>
          <w:p w14:paraId="59B5E50D" w14:textId="77777777" w:rsidR="00B62FE0" w:rsidRPr="003C3F06" w:rsidRDefault="00B62FE0" w:rsidP="003C3F06">
            <w:pPr>
              <w:spacing w:after="0" w:line="240" w:lineRule="auto"/>
              <w:jc w:val="both"/>
              <w:rPr>
                <w:rFonts w:ascii="Times New Roman" w:hAnsi="Times New Roman"/>
                <w:sz w:val="24"/>
                <w:szCs w:val="24"/>
              </w:rPr>
            </w:pPr>
            <w:r w:rsidRPr="003C3F06">
              <w:rPr>
                <w:rFonts w:ascii="Times New Roman" w:hAnsi="Times New Roman"/>
                <w:sz w:val="24"/>
                <w:szCs w:val="24"/>
              </w:rPr>
              <w:t>1</w:t>
            </w:r>
          </w:p>
        </w:tc>
      </w:tr>
    </w:tbl>
    <w:p w14:paraId="471111C4" w14:textId="77777777" w:rsidR="002005C5" w:rsidRPr="003C3F06" w:rsidRDefault="002005C5" w:rsidP="003C3F06">
      <w:pPr>
        <w:spacing w:before="100" w:beforeAutospacing="1" w:after="100" w:afterAutospacing="1" w:line="240" w:lineRule="auto"/>
        <w:jc w:val="both"/>
        <w:outlineLvl w:val="2"/>
        <w:rPr>
          <w:rFonts w:ascii="Times New Roman" w:eastAsia="Times New Roman" w:hAnsi="Times New Roman"/>
          <w:b/>
          <w:bCs/>
          <w:sz w:val="24"/>
          <w:szCs w:val="24"/>
          <w:lang w:eastAsia="en-US"/>
        </w:rPr>
      </w:pPr>
      <w:r w:rsidRPr="003C3F06">
        <w:rPr>
          <w:rFonts w:ascii="Times New Roman" w:hAnsi="Times New Roman"/>
          <w:b/>
          <w:sz w:val="24"/>
          <w:szCs w:val="24"/>
        </w:rPr>
        <w:t>Source: Researchers’ Computation 2025</w:t>
      </w:r>
    </w:p>
    <w:p w14:paraId="103A776E" w14:textId="1EF69A85" w:rsidR="00634862" w:rsidRPr="003C3F06" w:rsidRDefault="002005C5" w:rsidP="003C3F06">
      <w:pPr>
        <w:spacing w:before="100" w:beforeAutospacing="1" w:after="100" w:afterAutospacing="1" w:line="360" w:lineRule="auto"/>
        <w:jc w:val="both"/>
        <w:rPr>
          <w:rFonts w:ascii="Times New Roman" w:hAnsi="Times New Roman"/>
          <w:b/>
          <w:bCs/>
          <w:sz w:val="24"/>
          <w:szCs w:val="24"/>
        </w:rPr>
      </w:pPr>
      <w:r w:rsidRPr="003C3F06">
        <w:rPr>
          <w:rFonts w:ascii="Times New Roman" w:hAnsi="Times New Roman"/>
          <w:sz w:val="24"/>
          <w:szCs w:val="24"/>
        </w:rPr>
        <w:t xml:space="preserve">The </w:t>
      </w:r>
      <w:r w:rsidRPr="003C3F06">
        <w:rPr>
          <w:rStyle w:val="Strong"/>
          <w:rFonts w:ascii="Times New Roman" w:hAnsi="Times New Roman"/>
          <w:b w:val="0"/>
          <w:bCs w:val="0"/>
          <w:sz w:val="24"/>
          <w:szCs w:val="24"/>
        </w:rPr>
        <w:t>correlation analysis</w:t>
      </w:r>
      <w:r w:rsidRPr="003C3F06">
        <w:rPr>
          <w:rFonts w:ascii="Times New Roman" w:hAnsi="Times New Roman"/>
          <w:sz w:val="24"/>
          <w:szCs w:val="24"/>
        </w:rPr>
        <w:t xml:space="preserve"> (Table 2) reveals a </w:t>
      </w:r>
      <w:r w:rsidRPr="003C3F06">
        <w:rPr>
          <w:rStyle w:val="Strong"/>
          <w:rFonts w:ascii="Times New Roman" w:hAnsi="Times New Roman"/>
          <w:b w:val="0"/>
          <w:bCs w:val="0"/>
          <w:sz w:val="24"/>
          <w:szCs w:val="24"/>
        </w:rPr>
        <w:t>moderately strong positive association</w:t>
      </w:r>
      <w:r w:rsidRPr="003C3F06">
        <w:rPr>
          <w:rFonts w:ascii="Times New Roman" w:hAnsi="Times New Roman"/>
          <w:sz w:val="24"/>
          <w:szCs w:val="24"/>
        </w:rPr>
        <w:t xml:space="preserve"> between FRQ and audit committee independence (ACIDP) (r = 0.532), suggesting that greater independence improves reporting quality. FRQ shows a </w:t>
      </w:r>
      <w:r w:rsidRPr="003C3F06">
        <w:rPr>
          <w:rStyle w:val="Strong"/>
          <w:rFonts w:ascii="Times New Roman" w:hAnsi="Times New Roman"/>
          <w:b w:val="0"/>
          <w:bCs w:val="0"/>
          <w:sz w:val="24"/>
          <w:szCs w:val="24"/>
        </w:rPr>
        <w:t>negative correlation with leverage (OGLEV)</w:t>
      </w:r>
      <w:r w:rsidRPr="003C3F06">
        <w:rPr>
          <w:rFonts w:ascii="Times New Roman" w:hAnsi="Times New Roman"/>
          <w:b/>
          <w:bCs/>
          <w:sz w:val="24"/>
          <w:szCs w:val="24"/>
        </w:rPr>
        <w:t xml:space="preserve"> </w:t>
      </w:r>
      <w:r w:rsidRPr="003C3F06">
        <w:rPr>
          <w:rFonts w:ascii="Times New Roman" w:hAnsi="Times New Roman"/>
          <w:sz w:val="24"/>
          <w:szCs w:val="24"/>
        </w:rPr>
        <w:t xml:space="preserve">(r = –0.422), indicating that higher leverage may undermine reporting quality. Moderate positive correlations exist between FRQ and audit committee meeting frequency (ACM) (r = 0.487) and size (ACSIZ) (r = 0.41), implying that </w:t>
      </w:r>
      <w:r w:rsidRPr="003C3F06">
        <w:rPr>
          <w:rStyle w:val="Strong"/>
          <w:rFonts w:ascii="Times New Roman" w:hAnsi="Times New Roman"/>
          <w:b w:val="0"/>
          <w:bCs w:val="0"/>
          <w:sz w:val="24"/>
          <w:szCs w:val="24"/>
        </w:rPr>
        <w:t>committee diligence and optimal size contribute to better reporting outcomes</w:t>
      </w:r>
      <w:r w:rsidRPr="003C3F06">
        <w:rPr>
          <w:rFonts w:ascii="Times New Roman" w:hAnsi="Times New Roman"/>
          <w:b/>
          <w:bCs/>
          <w:sz w:val="24"/>
          <w:szCs w:val="24"/>
        </w:rPr>
        <w:t>.</w:t>
      </w:r>
    </w:p>
    <w:p w14:paraId="1669406D" w14:textId="3696EB51" w:rsidR="00B62FE0" w:rsidRPr="003C3F06" w:rsidRDefault="00B62FE0" w:rsidP="003C3F06">
      <w:pPr>
        <w:pStyle w:val="Heading2"/>
        <w:spacing w:line="240" w:lineRule="auto"/>
        <w:jc w:val="both"/>
        <w:rPr>
          <w:rFonts w:ascii="Times New Roman" w:hAnsi="Times New Roman" w:cs="Times New Roman"/>
          <w:b/>
          <w:bCs/>
          <w:color w:val="auto"/>
          <w:sz w:val="24"/>
          <w:szCs w:val="24"/>
        </w:rPr>
      </w:pPr>
      <w:r w:rsidRPr="003C3F06">
        <w:rPr>
          <w:rFonts w:ascii="Times New Roman" w:hAnsi="Times New Roman" w:cs="Times New Roman"/>
          <w:b/>
          <w:bCs/>
          <w:color w:val="auto"/>
          <w:sz w:val="24"/>
          <w:szCs w:val="24"/>
        </w:rPr>
        <w:lastRenderedPageBreak/>
        <w:t>Table 3</w:t>
      </w:r>
      <w:r w:rsidR="002E1DAC">
        <w:rPr>
          <w:rFonts w:ascii="Times New Roman" w:hAnsi="Times New Roman" w:cs="Times New Roman"/>
          <w:b/>
          <w:bCs/>
          <w:color w:val="auto"/>
          <w:sz w:val="24"/>
          <w:szCs w:val="24"/>
        </w:rPr>
        <w:t>--</w:t>
      </w:r>
      <w:r w:rsidR="00880CD8">
        <w:rPr>
          <w:rFonts w:ascii="Times New Roman" w:hAnsi="Times New Roman" w:cs="Times New Roman"/>
          <w:b/>
          <w:bCs/>
          <w:color w:val="auto"/>
          <w:sz w:val="24"/>
          <w:szCs w:val="24"/>
        </w:rPr>
        <w:t xml:space="preserve"> </w:t>
      </w:r>
      <w:r w:rsidR="00880CD8" w:rsidRPr="00880CD8">
        <w:rPr>
          <w:rFonts w:ascii="Times New Roman" w:hAnsi="Times New Roman" w:cs="Times New Roman"/>
          <w:b/>
          <w:bCs/>
          <w:color w:val="auto"/>
          <w:sz w:val="24"/>
          <w:szCs w:val="24"/>
        </w:rPr>
        <w:t>Regression Study on Factors Influencing FRQ</w:t>
      </w:r>
    </w:p>
    <w:tbl>
      <w:tblPr>
        <w:tblW w:w="0" w:type="auto"/>
        <w:tblInd w:w="30" w:type="dxa"/>
        <w:tblBorders>
          <w:top w:val="single" w:sz="4" w:space="0" w:color="auto"/>
        </w:tblBorders>
        <w:tblLayout w:type="fixed"/>
        <w:tblCellMar>
          <w:left w:w="0" w:type="dxa"/>
          <w:right w:w="0" w:type="dxa"/>
        </w:tblCellMar>
        <w:tblLook w:val="0000" w:firstRow="0" w:lastRow="0" w:firstColumn="0" w:lastColumn="0" w:noHBand="0" w:noVBand="0"/>
      </w:tblPr>
      <w:tblGrid>
        <w:gridCol w:w="2220"/>
        <w:gridCol w:w="1350"/>
        <w:gridCol w:w="1350"/>
        <w:gridCol w:w="900"/>
        <w:gridCol w:w="1440"/>
        <w:gridCol w:w="1080"/>
      </w:tblGrid>
      <w:tr w:rsidR="00CB5472" w:rsidRPr="003C3F06" w14:paraId="2ECB6B80" w14:textId="77777777" w:rsidTr="00B04057">
        <w:trPr>
          <w:trHeight w:val="225"/>
        </w:trPr>
        <w:tc>
          <w:tcPr>
            <w:tcW w:w="4920" w:type="dxa"/>
            <w:gridSpan w:val="3"/>
            <w:vAlign w:val="bottom"/>
          </w:tcPr>
          <w:p w14:paraId="04729841" w14:textId="77777777" w:rsidR="00CB5472" w:rsidRPr="003C3F06" w:rsidRDefault="00CB5472" w:rsidP="003C3F06">
            <w:pPr>
              <w:autoSpaceDE w:val="0"/>
              <w:autoSpaceDN w:val="0"/>
              <w:adjustRightInd w:val="0"/>
              <w:spacing w:after="0" w:line="240" w:lineRule="auto"/>
              <w:jc w:val="both"/>
              <w:rPr>
                <w:rFonts w:ascii="Times New Roman" w:hAnsi="Times New Roman"/>
                <w:sz w:val="24"/>
                <w:szCs w:val="24"/>
              </w:rPr>
            </w:pPr>
            <w:r w:rsidRPr="003C3F06">
              <w:rPr>
                <w:rFonts w:ascii="Times New Roman" w:hAnsi="Times New Roman"/>
                <w:sz w:val="24"/>
                <w:szCs w:val="24"/>
              </w:rPr>
              <w:t>Dependent Variable: FRQ</w:t>
            </w:r>
          </w:p>
        </w:tc>
        <w:tc>
          <w:tcPr>
            <w:tcW w:w="2340" w:type="dxa"/>
            <w:gridSpan w:val="2"/>
            <w:vAlign w:val="bottom"/>
          </w:tcPr>
          <w:p w14:paraId="3B47AE2F" w14:textId="77777777" w:rsidR="00CB5472" w:rsidRPr="003C3F06" w:rsidRDefault="00CB5472" w:rsidP="003C3F06">
            <w:pPr>
              <w:autoSpaceDE w:val="0"/>
              <w:autoSpaceDN w:val="0"/>
              <w:adjustRightInd w:val="0"/>
              <w:spacing w:after="0" w:line="240" w:lineRule="auto"/>
              <w:jc w:val="both"/>
              <w:rPr>
                <w:rFonts w:ascii="Times New Roman" w:hAnsi="Times New Roman"/>
                <w:sz w:val="24"/>
                <w:szCs w:val="24"/>
              </w:rPr>
            </w:pPr>
          </w:p>
        </w:tc>
        <w:tc>
          <w:tcPr>
            <w:tcW w:w="1080" w:type="dxa"/>
            <w:vAlign w:val="bottom"/>
          </w:tcPr>
          <w:p w14:paraId="47F2203C" w14:textId="77777777" w:rsidR="00CB5472" w:rsidRPr="003C3F06" w:rsidRDefault="00CB5472" w:rsidP="003C3F06">
            <w:pPr>
              <w:autoSpaceDE w:val="0"/>
              <w:autoSpaceDN w:val="0"/>
              <w:adjustRightInd w:val="0"/>
              <w:spacing w:after="0" w:line="240" w:lineRule="auto"/>
              <w:jc w:val="both"/>
              <w:rPr>
                <w:rFonts w:ascii="Times New Roman" w:hAnsi="Times New Roman"/>
                <w:sz w:val="24"/>
                <w:szCs w:val="24"/>
              </w:rPr>
            </w:pPr>
          </w:p>
        </w:tc>
      </w:tr>
      <w:tr w:rsidR="00CB5472" w:rsidRPr="003C3F06" w14:paraId="0DAB4626" w14:textId="77777777" w:rsidTr="00B04057">
        <w:trPr>
          <w:trHeight w:val="225"/>
        </w:trPr>
        <w:tc>
          <w:tcPr>
            <w:tcW w:w="4920" w:type="dxa"/>
            <w:gridSpan w:val="3"/>
            <w:vAlign w:val="bottom"/>
          </w:tcPr>
          <w:p w14:paraId="4CE7CED6" w14:textId="77777777" w:rsidR="00CB5472" w:rsidRPr="003C3F06" w:rsidRDefault="00CB5472" w:rsidP="003C3F06">
            <w:pPr>
              <w:autoSpaceDE w:val="0"/>
              <w:autoSpaceDN w:val="0"/>
              <w:adjustRightInd w:val="0"/>
              <w:spacing w:after="0" w:line="240" w:lineRule="auto"/>
              <w:jc w:val="both"/>
              <w:rPr>
                <w:rFonts w:ascii="Times New Roman" w:hAnsi="Times New Roman"/>
                <w:sz w:val="24"/>
                <w:szCs w:val="24"/>
              </w:rPr>
            </w:pPr>
            <w:r w:rsidRPr="003C3F06">
              <w:rPr>
                <w:rFonts w:ascii="Times New Roman" w:hAnsi="Times New Roman"/>
                <w:sz w:val="24"/>
                <w:szCs w:val="24"/>
              </w:rPr>
              <w:t>Method: Least Squares</w:t>
            </w:r>
          </w:p>
        </w:tc>
        <w:tc>
          <w:tcPr>
            <w:tcW w:w="2340" w:type="dxa"/>
            <w:gridSpan w:val="2"/>
            <w:vAlign w:val="bottom"/>
          </w:tcPr>
          <w:p w14:paraId="73F6D090" w14:textId="77777777" w:rsidR="00CB5472" w:rsidRPr="003C3F06" w:rsidRDefault="00CB5472" w:rsidP="003C3F06">
            <w:pPr>
              <w:autoSpaceDE w:val="0"/>
              <w:autoSpaceDN w:val="0"/>
              <w:adjustRightInd w:val="0"/>
              <w:spacing w:after="0" w:line="240" w:lineRule="auto"/>
              <w:jc w:val="both"/>
              <w:rPr>
                <w:rFonts w:ascii="Times New Roman" w:hAnsi="Times New Roman"/>
                <w:sz w:val="24"/>
                <w:szCs w:val="24"/>
              </w:rPr>
            </w:pPr>
          </w:p>
        </w:tc>
        <w:tc>
          <w:tcPr>
            <w:tcW w:w="1080" w:type="dxa"/>
            <w:vAlign w:val="bottom"/>
          </w:tcPr>
          <w:p w14:paraId="5EAC28EF" w14:textId="77777777" w:rsidR="00CB5472" w:rsidRPr="003C3F06" w:rsidRDefault="00CB5472" w:rsidP="003C3F06">
            <w:pPr>
              <w:autoSpaceDE w:val="0"/>
              <w:autoSpaceDN w:val="0"/>
              <w:adjustRightInd w:val="0"/>
              <w:spacing w:after="0" w:line="240" w:lineRule="auto"/>
              <w:jc w:val="both"/>
              <w:rPr>
                <w:rFonts w:ascii="Times New Roman" w:hAnsi="Times New Roman"/>
                <w:sz w:val="24"/>
                <w:szCs w:val="24"/>
              </w:rPr>
            </w:pPr>
          </w:p>
        </w:tc>
      </w:tr>
      <w:tr w:rsidR="00CB5472" w:rsidRPr="003C3F06" w14:paraId="10C2BD5E" w14:textId="77777777" w:rsidTr="00B04057">
        <w:trPr>
          <w:trHeight w:val="225"/>
        </w:trPr>
        <w:tc>
          <w:tcPr>
            <w:tcW w:w="7260" w:type="dxa"/>
            <w:gridSpan w:val="5"/>
            <w:tcBorders>
              <w:top w:val="single" w:sz="4" w:space="0" w:color="auto"/>
            </w:tcBorders>
            <w:vAlign w:val="bottom"/>
          </w:tcPr>
          <w:p w14:paraId="53F8B58B" w14:textId="163C8422" w:rsidR="00CB5472" w:rsidRPr="003C3F06" w:rsidRDefault="00CB5472" w:rsidP="003C3F06">
            <w:pPr>
              <w:autoSpaceDE w:val="0"/>
              <w:autoSpaceDN w:val="0"/>
              <w:adjustRightInd w:val="0"/>
              <w:spacing w:after="0" w:line="240" w:lineRule="auto"/>
              <w:jc w:val="both"/>
              <w:rPr>
                <w:rFonts w:ascii="Times New Roman" w:hAnsi="Times New Roman"/>
                <w:sz w:val="24"/>
                <w:szCs w:val="24"/>
              </w:rPr>
            </w:pPr>
            <w:r w:rsidRPr="003C3F06">
              <w:rPr>
                <w:rFonts w:ascii="Times New Roman" w:hAnsi="Times New Roman"/>
                <w:sz w:val="24"/>
                <w:szCs w:val="24"/>
              </w:rPr>
              <w:t xml:space="preserve">Included observations: </w:t>
            </w:r>
            <w:r w:rsidR="008F3716" w:rsidRPr="003C3F06">
              <w:rPr>
                <w:rFonts w:ascii="Times New Roman" w:hAnsi="Times New Roman"/>
                <w:sz w:val="24"/>
                <w:szCs w:val="24"/>
              </w:rPr>
              <w:t>77</w:t>
            </w:r>
            <w:r w:rsidRPr="003C3F06">
              <w:rPr>
                <w:rFonts w:ascii="Times New Roman" w:hAnsi="Times New Roman"/>
                <w:sz w:val="24"/>
                <w:szCs w:val="24"/>
              </w:rPr>
              <w:t xml:space="preserve"> after adjustments</w:t>
            </w:r>
          </w:p>
        </w:tc>
        <w:tc>
          <w:tcPr>
            <w:tcW w:w="1080" w:type="dxa"/>
            <w:tcBorders>
              <w:top w:val="single" w:sz="4" w:space="0" w:color="auto"/>
            </w:tcBorders>
            <w:vAlign w:val="bottom"/>
          </w:tcPr>
          <w:p w14:paraId="075987FE" w14:textId="77777777" w:rsidR="00CB5472" w:rsidRPr="003C3F06" w:rsidRDefault="00CB5472" w:rsidP="003C3F06">
            <w:pPr>
              <w:autoSpaceDE w:val="0"/>
              <w:autoSpaceDN w:val="0"/>
              <w:adjustRightInd w:val="0"/>
              <w:spacing w:after="0" w:line="240" w:lineRule="auto"/>
              <w:jc w:val="both"/>
              <w:rPr>
                <w:rFonts w:ascii="Times New Roman" w:hAnsi="Times New Roman"/>
                <w:sz w:val="24"/>
                <w:szCs w:val="24"/>
              </w:rPr>
            </w:pPr>
          </w:p>
        </w:tc>
      </w:tr>
      <w:tr w:rsidR="00CB5472" w:rsidRPr="003C3F06" w14:paraId="75C71529" w14:textId="77777777" w:rsidTr="00B04057">
        <w:trPr>
          <w:trHeight w:hRule="exact" w:val="90"/>
        </w:trPr>
        <w:tc>
          <w:tcPr>
            <w:tcW w:w="2220" w:type="dxa"/>
            <w:vAlign w:val="bottom"/>
          </w:tcPr>
          <w:p w14:paraId="19E78B6E" w14:textId="77777777" w:rsidR="00CB5472" w:rsidRPr="003C3F06" w:rsidRDefault="00CB5472" w:rsidP="003C3F06">
            <w:pPr>
              <w:autoSpaceDE w:val="0"/>
              <w:autoSpaceDN w:val="0"/>
              <w:adjustRightInd w:val="0"/>
              <w:spacing w:after="0" w:line="240" w:lineRule="auto"/>
              <w:jc w:val="both"/>
              <w:rPr>
                <w:rFonts w:ascii="Times New Roman" w:hAnsi="Times New Roman"/>
                <w:sz w:val="24"/>
                <w:szCs w:val="24"/>
              </w:rPr>
            </w:pPr>
          </w:p>
        </w:tc>
        <w:tc>
          <w:tcPr>
            <w:tcW w:w="1350" w:type="dxa"/>
            <w:vAlign w:val="bottom"/>
          </w:tcPr>
          <w:p w14:paraId="62DCAAFD" w14:textId="77777777" w:rsidR="00CB5472" w:rsidRPr="003C3F06" w:rsidRDefault="00CB5472" w:rsidP="003C3F06">
            <w:pPr>
              <w:autoSpaceDE w:val="0"/>
              <w:autoSpaceDN w:val="0"/>
              <w:adjustRightInd w:val="0"/>
              <w:spacing w:after="0" w:line="240" w:lineRule="auto"/>
              <w:jc w:val="both"/>
              <w:rPr>
                <w:rFonts w:ascii="Times New Roman" w:hAnsi="Times New Roman"/>
                <w:sz w:val="24"/>
                <w:szCs w:val="24"/>
              </w:rPr>
            </w:pPr>
          </w:p>
        </w:tc>
        <w:tc>
          <w:tcPr>
            <w:tcW w:w="2250" w:type="dxa"/>
            <w:gridSpan w:val="2"/>
            <w:vAlign w:val="bottom"/>
          </w:tcPr>
          <w:p w14:paraId="4698964F" w14:textId="77777777" w:rsidR="00CB5472" w:rsidRPr="003C3F06" w:rsidRDefault="00CB5472" w:rsidP="003C3F06">
            <w:pPr>
              <w:autoSpaceDE w:val="0"/>
              <w:autoSpaceDN w:val="0"/>
              <w:adjustRightInd w:val="0"/>
              <w:spacing w:after="0" w:line="240" w:lineRule="auto"/>
              <w:jc w:val="both"/>
              <w:rPr>
                <w:rFonts w:ascii="Times New Roman" w:hAnsi="Times New Roman"/>
                <w:sz w:val="24"/>
                <w:szCs w:val="24"/>
              </w:rPr>
            </w:pPr>
          </w:p>
        </w:tc>
        <w:tc>
          <w:tcPr>
            <w:tcW w:w="1440" w:type="dxa"/>
            <w:vAlign w:val="bottom"/>
          </w:tcPr>
          <w:p w14:paraId="66CB2BD7" w14:textId="77777777" w:rsidR="00CB5472" w:rsidRPr="003C3F06" w:rsidRDefault="00CB5472" w:rsidP="003C3F06">
            <w:pPr>
              <w:autoSpaceDE w:val="0"/>
              <w:autoSpaceDN w:val="0"/>
              <w:adjustRightInd w:val="0"/>
              <w:spacing w:after="0" w:line="240" w:lineRule="auto"/>
              <w:jc w:val="both"/>
              <w:rPr>
                <w:rFonts w:ascii="Times New Roman" w:hAnsi="Times New Roman"/>
                <w:sz w:val="24"/>
                <w:szCs w:val="24"/>
              </w:rPr>
            </w:pPr>
          </w:p>
        </w:tc>
        <w:tc>
          <w:tcPr>
            <w:tcW w:w="1080" w:type="dxa"/>
            <w:vAlign w:val="bottom"/>
          </w:tcPr>
          <w:p w14:paraId="1B5DBA77" w14:textId="77777777" w:rsidR="00CB5472" w:rsidRPr="003C3F06" w:rsidRDefault="00CB5472" w:rsidP="003C3F06">
            <w:pPr>
              <w:autoSpaceDE w:val="0"/>
              <w:autoSpaceDN w:val="0"/>
              <w:adjustRightInd w:val="0"/>
              <w:spacing w:after="0" w:line="240" w:lineRule="auto"/>
              <w:jc w:val="both"/>
              <w:rPr>
                <w:rFonts w:ascii="Times New Roman" w:hAnsi="Times New Roman"/>
                <w:sz w:val="24"/>
                <w:szCs w:val="24"/>
              </w:rPr>
            </w:pPr>
          </w:p>
        </w:tc>
      </w:tr>
      <w:tr w:rsidR="00CB5472" w:rsidRPr="003C3F06" w14:paraId="7D4D78B1" w14:textId="77777777" w:rsidTr="00B04057">
        <w:trPr>
          <w:trHeight w:hRule="exact" w:val="135"/>
        </w:trPr>
        <w:tc>
          <w:tcPr>
            <w:tcW w:w="2220" w:type="dxa"/>
            <w:tcBorders>
              <w:bottom w:val="nil"/>
            </w:tcBorders>
            <w:vAlign w:val="bottom"/>
          </w:tcPr>
          <w:p w14:paraId="7183ACFE" w14:textId="77777777" w:rsidR="00CB5472" w:rsidRPr="003C3F06" w:rsidRDefault="00CB5472" w:rsidP="003C3F06">
            <w:pPr>
              <w:autoSpaceDE w:val="0"/>
              <w:autoSpaceDN w:val="0"/>
              <w:adjustRightInd w:val="0"/>
              <w:spacing w:after="0" w:line="240" w:lineRule="auto"/>
              <w:jc w:val="both"/>
              <w:rPr>
                <w:rFonts w:ascii="Times New Roman" w:hAnsi="Times New Roman"/>
                <w:sz w:val="24"/>
                <w:szCs w:val="24"/>
              </w:rPr>
            </w:pPr>
          </w:p>
        </w:tc>
        <w:tc>
          <w:tcPr>
            <w:tcW w:w="1350" w:type="dxa"/>
            <w:tcBorders>
              <w:bottom w:val="nil"/>
            </w:tcBorders>
            <w:vAlign w:val="bottom"/>
          </w:tcPr>
          <w:p w14:paraId="63908A14" w14:textId="77777777" w:rsidR="00CB5472" w:rsidRPr="003C3F06" w:rsidRDefault="00CB5472" w:rsidP="003C3F06">
            <w:pPr>
              <w:autoSpaceDE w:val="0"/>
              <w:autoSpaceDN w:val="0"/>
              <w:adjustRightInd w:val="0"/>
              <w:spacing w:after="0" w:line="240" w:lineRule="auto"/>
              <w:jc w:val="both"/>
              <w:rPr>
                <w:rFonts w:ascii="Times New Roman" w:hAnsi="Times New Roman"/>
                <w:sz w:val="24"/>
                <w:szCs w:val="24"/>
              </w:rPr>
            </w:pPr>
          </w:p>
        </w:tc>
        <w:tc>
          <w:tcPr>
            <w:tcW w:w="2250" w:type="dxa"/>
            <w:gridSpan w:val="2"/>
            <w:tcBorders>
              <w:bottom w:val="nil"/>
            </w:tcBorders>
            <w:vAlign w:val="bottom"/>
          </w:tcPr>
          <w:p w14:paraId="3B0DFA35" w14:textId="77777777" w:rsidR="00CB5472" w:rsidRPr="003C3F06" w:rsidRDefault="00CB5472" w:rsidP="003C3F06">
            <w:pPr>
              <w:autoSpaceDE w:val="0"/>
              <w:autoSpaceDN w:val="0"/>
              <w:adjustRightInd w:val="0"/>
              <w:spacing w:after="0" w:line="240" w:lineRule="auto"/>
              <w:jc w:val="both"/>
              <w:rPr>
                <w:rFonts w:ascii="Times New Roman" w:hAnsi="Times New Roman"/>
                <w:sz w:val="24"/>
                <w:szCs w:val="24"/>
              </w:rPr>
            </w:pPr>
          </w:p>
        </w:tc>
        <w:tc>
          <w:tcPr>
            <w:tcW w:w="1440" w:type="dxa"/>
            <w:tcBorders>
              <w:bottom w:val="nil"/>
            </w:tcBorders>
            <w:vAlign w:val="bottom"/>
          </w:tcPr>
          <w:p w14:paraId="22448E09" w14:textId="77777777" w:rsidR="00CB5472" w:rsidRPr="003C3F06" w:rsidRDefault="00CB5472" w:rsidP="003C3F06">
            <w:pPr>
              <w:autoSpaceDE w:val="0"/>
              <w:autoSpaceDN w:val="0"/>
              <w:adjustRightInd w:val="0"/>
              <w:spacing w:after="0" w:line="240" w:lineRule="auto"/>
              <w:jc w:val="both"/>
              <w:rPr>
                <w:rFonts w:ascii="Times New Roman" w:hAnsi="Times New Roman"/>
                <w:sz w:val="24"/>
                <w:szCs w:val="24"/>
              </w:rPr>
            </w:pPr>
          </w:p>
        </w:tc>
        <w:tc>
          <w:tcPr>
            <w:tcW w:w="1080" w:type="dxa"/>
            <w:tcBorders>
              <w:bottom w:val="nil"/>
            </w:tcBorders>
            <w:vAlign w:val="bottom"/>
          </w:tcPr>
          <w:p w14:paraId="3B09AD63" w14:textId="77777777" w:rsidR="00CB5472" w:rsidRPr="003C3F06" w:rsidRDefault="00CB5472" w:rsidP="003C3F06">
            <w:pPr>
              <w:autoSpaceDE w:val="0"/>
              <w:autoSpaceDN w:val="0"/>
              <w:adjustRightInd w:val="0"/>
              <w:spacing w:after="0" w:line="240" w:lineRule="auto"/>
              <w:jc w:val="both"/>
              <w:rPr>
                <w:rFonts w:ascii="Times New Roman" w:hAnsi="Times New Roman"/>
                <w:sz w:val="24"/>
                <w:szCs w:val="24"/>
              </w:rPr>
            </w:pPr>
          </w:p>
        </w:tc>
      </w:tr>
      <w:tr w:rsidR="00CB5472" w:rsidRPr="003C3F06" w14:paraId="27531CB1" w14:textId="77777777" w:rsidTr="00B04057">
        <w:trPr>
          <w:trHeight w:val="225"/>
        </w:trPr>
        <w:tc>
          <w:tcPr>
            <w:tcW w:w="2220" w:type="dxa"/>
            <w:tcBorders>
              <w:top w:val="nil"/>
            </w:tcBorders>
            <w:vAlign w:val="bottom"/>
          </w:tcPr>
          <w:p w14:paraId="201C1451" w14:textId="77777777" w:rsidR="00CB5472" w:rsidRPr="003C3F06" w:rsidRDefault="00CB5472" w:rsidP="003C3F06">
            <w:pPr>
              <w:autoSpaceDE w:val="0"/>
              <w:autoSpaceDN w:val="0"/>
              <w:adjustRightInd w:val="0"/>
              <w:spacing w:after="0" w:line="240" w:lineRule="auto"/>
              <w:jc w:val="both"/>
              <w:rPr>
                <w:rFonts w:ascii="Times New Roman" w:hAnsi="Times New Roman"/>
                <w:sz w:val="24"/>
                <w:szCs w:val="24"/>
              </w:rPr>
            </w:pPr>
            <w:r w:rsidRPr="003C3F06">
              <w:rPr>
                <w:rFonts w:ascii="Times New Roman" w:hAnsi="Times New Roman"/>
                <w:sz w:val="24"/>
                <w:szCs w:val="24"/>
              </w:rPr>
              <w:t>Variable</w:t>
            </w:r>
          </w:p>
        </w:tc>
        <w:tc>
          <w:tcPr>
            <w:tcW w:w="1350" w:type="dxa"/>
            <w:tcBorders>
              <w:top w:val="nil"/>
            </w:tcBorders>
            <w:vAlign w:val="bottom"/>
          </w:tcPr>
          <w:p w14:paraId="70441E32" w14:textId="77777777" w:rsidR="00CB5472" w:rsidRPr="003C3F06" w:rsidRDefault="00CB5472" w:rsidP="003C3F06">
            <w:pPr>
              <w:autoSpaceDE w:val="0"/>
              <w:autoSpaceDN w:val="0"/>
              <w:adjustRightInd w:val="0"/>
              <w:spacing w:after="0" w:line="240" w:lineRule="auto"/>
              <w:ind w:right="10"/>
              <w:jc w:val="both"/>
              <w:rPr>
                <w:rFonts w:ascii="Times New Roman" w:hAnsi="Times New Roman"/>
                <w:sz w:val="24"/>
                <w:szCs w:val="24"/>
              </w:rPr>
            </w:pPr>
            <w:r w:rsidRPr="003C3F06">
              <w:rPr>
                <w:rFonts w:ascii="Times New Roman" w:hAnsi="Times New Roman"/>
                <w:sz w:val="24"/>
                <w:szCs w:val="24"/>
              </w:rPr>
              <w:t>Coefficient</w:t>
            </w:r>
          </w:p>
        </w:tc>
        <w:tc>
          <w:tcPr>
            <w:tcW w:w="2250" w:type="dxa"/>
            <w:gridSpan w:val="2"/>
            <w:tcBorders>
              <w:top w:val="nil"/>
            </w:tcBorders>
            <w:vAlign w:val="bottom"/>
          </w:tcPr>
          <w:p w14:paraId="00475BE7" w14:textId="77777777" w:rsidR="00CB5472" w:rsidRPr="003C3F06" w:rsidRDefault="00CB5472" w:rsidP="003C3F06">
            <w:pPr>
              <w:autoSpaceDE w:val="0"/>
              <w:autoSpaceDN w:val="0"/>
              <w:adjustRightInd w:val="0"/>
              <w:spacing w:after="0" w:line="240" w:lineRule="auto"/>
              <w:ind w:right="10"/>
              <w:jc w:val="both"/>
              <w:rPr>
                <w:rFonts w:ascii="Times New Roman" w:hAnsi="Times New Roman"/>
                <w:sz w:val="24"/>
                <w:szCs w:val="24"/>
              </w:rPr>
            </w:pPr>
            <w:r w:rsidRPr="003C3F06">
              <w:rPr>
                <w:rFonts w:ascii="Times New Roman" w:hAnsi="Times New Roman"/>
                <w:sz w:val="24"/>
                <w:szCs w:val="24"/>
              </w:rPr>
              <w:t>Std. Error</w:t>
            </w:r>
          </w:p>
        </w:tc>
        <w:tc>
          <w:tcPr>
            <w:tcW w:w="1440" w:type="dxa"/>
            <w:tcBorders>
              <w:top w:val="nil"/>
            </w:tcBorders>
            <w:vAlign w:val="bottom"/>
          </w:tcPr>
          <w:p w14:paraId="4C9D6A95" w14:textId="77777777" w:rsidR="00CB5472" w:rsidRPr="003C3F06" w:rsidRDefault="00CB5472" w:rsidP="003C3F06">
            <w:pPr>
              <w:autoSpaceDE w:val="0"/>
              <w:autoSpaceDN w:val="0"/>
              <w:adjustRightInd w:val="0"/>
              <w:spacing w:after="0" w:line="240" w:lineRule="auto"/>
              <w:ind w:right="10"/>
              <w:jc w:val="both"/>
              <w:rPr>
                <w:rFonts w:ascii="Times New Roman" w:hAnsi="Times New Roman"/>
                <w:sz w:val="24"/>
                <w:szCs w:val="24"/>
              </w:rPr>
            </w:pPr>
            <w:r w:rsidRPr="003C3F06">
              <w:rPr>
                <w:rFonts w:ascii="Times New Roman" w:hAnsi="Times New Roman"/>
                <w:sz w:val="24"/>
                <w:szCs w:val="24"/>
              </w:rPr>
              <w:t>t-Statistic</w:t>
            </w:r>
          </w:p>
        </w:tc>
        <w:tc>
          <w:tcPr>
            <w:tcW w:w="1080" w:type="dxa"/>
            <w:tcBorders>
              <w:top w:val="nil"/>
            </w:tcBorders>
            <w:vAlign w:val="bottom"/>
          </w:tcPr>
          <w:p w14:paraId="4E0EC2C7" w14:textId="77777777" w:rsidR="00CB5472" w:rsidRPr="003C3F06" w:rsidRDefault="00CB5472" w:rsidP="003C3F06">
            <w:pPr>
              <w:autoSpaceDE w:val="0"/>
              <w:autoSpaceDN w:val="0"/>
              <w:adjustRightInd w:val="0"/>
              <w:spacing w:after="0" w:line="240" w:lineRule="auto"/>
              <w:ind w:right="10"/>
              <w:jc w:val="both"/>
              <w:rPr>
                <w:rFonts w:ascii="Times New Roman" w:hAnsi="Times New Roman"/>
                <w:sz w:val="24"/>
                <w:szCs w:val="24"/>
              </w:rPr>
            </w:pPr>
            <w:r w:rsidRPr="003C3F06">
              <w:rPr>
                <w:rFonts w:ascii="Times New Roman" w:hAnsi="Times New Roman"/>
                <w:sz w:val="24"/>
                <w:szCs w:val="24"/>
              </w:rPr>
              <w:t>Prob.  </w:t>
            </w:r>
          </w:p>
        </w:tc>
      </w:tr>
      <w:tr w:rsidR="00CB5472" w:rsidRPr="003C3F06" w14:paraId="41F081D5" w14:textId="77777777" w:rsidTr="00B04057">
        <w:trPr>
          <w:trHeight w:hRule="exact" w:val="90"/>
        </w:trPr>
        <w:tc>
          <w:tcPr>
            <w:tcW w:w="2220" w:type="dxa"/>
            <w:tcBorders>
              <w:top w:val="nil"/>
              <w:bottom w:val="single" w:sz="4" w:space="0" w:color="auto"/>
            </w:tcBorders>
            <w:vAlign w:val="bottom"/>
          </w:tcPr>
          <w:p w14:paraId="3A808852" w14:textId="77777777" w:rsidR="00CB5472" w:rsidRPr="003C3F06" w:rsidRDefault="00CB5472" w:rsidP="003C3F06">
            <w:pPr>
              <w:autoSpaceDE w:val="0"/>
              <w:autoSpaceDN w:val="0"/>
              <w:adjustRightInd w:val="0"/>
              <w:spacing w:after="0" w:line="240" w:lineRule="auto"/>
              <w:jc w:val="both"/>
              <w:rPr>
                <w:rFonts w:ascii="Times New Roman" w:hAnsi="Times New Roman"/>
                <w:sz w:val="24"/>
                <w:szCs w:val="24"/>
              </w:rPr>
            </w:pPr>
          </w:p>
        </w:tc>
        <w:tc>
          <w:tcPr>
            <w:tcW w:w="1350" w:type="dxa"/>
            <w:tcBorders>
              <w:top w:val="nil"/>
              <w:bottom w:val="single" w:sz="4" w:space="0" w:color="auto"/>
            </w:tcBorders>
            <w:vAlign w:val="bottom"/>
          </w:tcPr>
          <w:p w14:paraId="6FFA7958" w14:textId="77777777" w:rsidR="00CB5472" w:rsidRPr="003C3F06" w:rsidRDefault="00CB5472" w:rsidP="003C3F06">
            <w:pPr>
              <w:autoSpaceDE w:val="0"/>
              <w:autoSpaceDN w:val="0"/>
              <w:adjustRightInd w:val="0"/>
              <w:spacing w:after="0" w:line="240" w:lineRule="auto"/>
              <w:jc w:val="both"/>
              <w:rPr>
                <w:rFonts w:ascii="Times New Roman" w:hAnsi="Times New Roman"/>
                <w:sz w:val="24"/>
                <w:szCs w:val="24"/>
              </w:rPr>
            </w:pPr>
          </w:p>
        </w:tc>
        <w:tc>
          <w:tcPr>
            <w:tcW w:w="2250" w:type="dxa"/>
            <w:gridSpan w:val="2"/>
            <w:tcBorders>
              <w:top w:val="nil"/>
              <w:bottom w:val="single" w:sz="4" w:space="0" w:color="auto"/>
            </w:tcBorders>
            <w:vAlign w:val="bottom"/>
          </w:tcPr>
          <w:p w14:paraId="770E10B6" w14:textId="77777777" w:rsidR="00CB5472" w:rsidRPr="003C3F06" w:rsidRDefault="00CB5472" w:rsidP="003C3F06">
            <w:pPr>
              <w:autoSpaceDE w:val="0"/>
              <w:autoSpaceDN w:val="0"/>
              <w:adjustRightInd w:val="0"/>
              <w:spacing w:after="0" w:line="240" w:lineRule="auto"/>
              <w:jc w:val="both"/>
              <w:rPr>
                <w:rFonts w:ascii="Times New Roman" w:hAnsi="Times New Roman"/>
                <w:sz w:val="24"/>
                <w:szCs w:val="24"/>
              </w:rPr>
            </w:pPr>
          </w:p>
        </w:tc>
        <w:tc>
          <w:tcPr>
            <w:tcW w:w="1440" w:type="dxa"/>
            <w:tcBorders>
              <w:top w:val="nil"/>
              <w:bottom w:val="single" w:sz="4" w:space="0" w:color="auto"/>
            </w:tcBorders>
            <w:vAlign w:val="bottom"/>
          </w:tcPr>
          <w:p w14:paraId="71A41E1C" w14:textId="77777777" w:rsidR="00CB5472" w:rsidRPr="003C3F06" w:rsidRDefault="00CB5472" w:rsidP="003C3F06">
            <w:pPr>
              <w:autoSpaceDE w:val="0"/>
              <w:autoSpaceDN w:val="0"/>
              <w:adjustRightInd w:val="0"/>
              <w:spacing w:after="0" w:line="240" w:lineRule="auto"/>
              <w:jc w:val="both"/>
              <w:rPr>
                <w:rFonts w:ascii="Times New Roman" w:hAnsi="Times New Roman"/>
                <w:sz w:val="24"/>
                <w:szCs w:val="24"/>
              </w:rPr>
            </w:pPr>
          </w:p>
        </w:tc>
        <w:tc>
          <w:tcPr>
            <w:tcW w:w="1080" w:type="dxa"/>
            <w:tcBorders>
              <w:top w:val="nil"/>
              <w:bottom w:val="single" w:sz="4" w:space="0" w:color="auto"/>
            </w:tcBorders>
            <w:vAlign w:val="bottom"/>
          </w:tcPr>
          <w:p w14:paraId="40240C16" w14:textId="77777777" w:rsidR="00CB5472" w:rsidRPr="003C3F06" w:rsidRDefault="00CB5472" w:rsidP="003C3F06">
            <w:pPr>
              <w:autoSpaceDE w:val="0"/>
              <w:autoSpaceDN w:val="0"/>
              <w:adjustRightInd w:val="0"/>
              <w:spacing w:after="0" w:line="240" w:lineRule="auto"/>
              <w:jc w:val="both"/>
              <w:rPr>
                <w:rFonts w:ascii="Times New Roman" w:hAnsi="Times New Roman"/>
                <w:sz w:val="24"/>
                <w:szCs w:val="24"/>
              </w:rPr>
            </w:pPr>
          </w:p>
        </w:tc>
      </w:tr>
      <w:tr w:rsidR="00CB5472" w:rsidRPr="003C3F06" w14:paraId="3575C60C" w14:textId="77777777" w:rsidTr="00B04057">
        <w:trPr>
          <w:trHeight w:hRule="exact" w:val="90"/>
        </w:trPr>
        <w:tc>
          <w:tcPr>
            <w:tcW w:w="2220" w:type="dxa"/>
            <w:tcBorders>
              <w:top w:val="single" w:sz="4" w:space="0" w:color="auto"/>
            </w:tcBorders>
            <w:vAlign w:val="bottom"/>
          </w:tcPr>
          <w:p w14:paraId="42B19A0D" w14:textId="77777777" w:rsidR="00CB5472" w:rsidRPr="003C3F06" w:rsidRDefault="00CB5472" w:rsidP="003C3F06">
            <w:pPr>
              <w:autoSpaceDE w:val="0"/>
              <w:autoSpaceDN w:val="0"/>
              <w:adjustRightInd w:val="0"/>
              <w:spacing w:after="0" w:line="240" w:lineRule="auto"/>
              <w:jc w:val="both"/>
              <w:rPr>
                <w:rFonts w:ascii="Times New Roman" w:hAnsi="Times New Roman"/>
                <w:sz w:val="24"/>
                <w:szCs w:val="24"/>
              </w:rPr>
            </w:pPr>
          </w:p>
        </w:tc>
        <w:tc>
          <w:tcPr>
            <w:tcW w:w="1350" w:type="dxa"/>
            <w:tcBorders>
              <w:top w:val="single" w:sz="4" w:space="0" w:color="auto"/>
            </w:tcBorders>
            <w:vAlign w:val="bottom"/>
          </w:tcPr>
          <w:p w14:paraId="326FBE1D" w14:textId="77777777" w:rsidR="00CB5472" w:rsidRPr="003C3F06" w:rsidRDefault="00CB5472" w:rsidP="003C3F06">
            <w:pPr>
              <w:autoSpaceDE w:val="0"/>
              <w:autoSpaceDN w:val="0"/>
              <w:adjustRightInd w:val="0"/>
              <w:spacing w:after="0" w:line="240" w:lineRule="auto"/>
              <w:jc w:val="both"/>
              <w:rPr>
                <w:rFonts w:ascii="Times New Roman" w:hAnsi="Times New Roman"/>
                <w:sz w:val="24"/>
                <w:szCs w:val="24"/>
              </w:rPr>
            </w:pPr>
          </w:p>
        </w:tc>
        <w:tc>
          <w:tcPr>
            <w:tcW w:w="2250" w:type="dxa"/>
            <w:gridSpan w:val="2"/>
            <w:tcBorders>
              <w:top w:val="single" w:sz="4" w:space="0" w:color="auto"/>
            </w:tcBorders>
            <w:vAlign w:val="bottom"/>
          </w:tcPr>
          <w:p w14:paraId="03DD2CC4" w14:textId="77777777" w:rsidR="00CB5472" w:rsidRPr="003C3F06" w:rsidRDefault="00CB5472" w:rsidP="003C3F06">
            <w:pPr>
              <w:autoSpaceDE w:val="0"/>
              <w:autoSpaceDN w:val="0"/>
              <w:adjustRightInd w:val="0"/>
              <w:spacing w:after="0" w:line="240" w:lineRule="auto"/>
              <w:jc w:val="both"/>
              <w:rPr>
                <w:rFonts w:ascii="Times New Roman" w:hAnsi="Times New Roman"/>
                <w:sz w:val="24"/>
                <w:szCs w:val="24"/>
              </w:rPr>
            </w:pPr>
          </w:p>
        </w:tc>
        <w:tc>
          <w:tcPr>
            <w:tcW w:w="1440" w:type="dxa"/>
            <w:tcBorders>
              <w:top w:val="single" w:sz="4" w:space="0" w:color="auto"/>
            </w:tcBorders>
            <w:vAlign w:val="bottom"/>
          </w:tcPr>
          <w:p w14:paraId="570B0097" w14:textId="77777777" w:rsidR="00CB5472" w:rsidRPr="003C3F06" w:rsidRDefault="00CB5472" w:rsidP="003C3F06">
            <w:pPr>
              <w:autoSpaceDE w:val="0"/>
              <w:autoSpaceDN w:val="0"/>
              <w:adjustRightInd w:val="0"/>
              <w:spacing w:after="0" w:line="240" w:lineRule="auto"/>
              <w:jc w:val="both"/>
              <w:rPr>
                <w:rFonts w:ascii="Times New Roman" w:hAnsi="Times New Roman"/>
                <w:sz w:val="24"/>
                <w:szCs w:val="24"/>
              </w:rPr>
            </w:pPr>
          </w:p>
        </w:tc>
        <w:tc>
          <w:tcPr>
            <w:tcW w:w="1080" w:type="dxa"/>
            <w:tcBorders>
              <w:top w:val="single" w:sz="4" w:space="0" w:color="auto"/>
            </w:tcBorders>
            <w:vAlign w:val="bottom"/>
          </w:tcPr>
          <w:p w14:paraId="5C229332" w14:textId="77777777" w:rsidR="00CB5472" w:rsidRPr="003C3F06" w:rsidRDefault="00CB5472" w:rsidP="003C3F06">
            <w:pPr>
              <w:autoSpaceDE w:val="0"/>
              <w:autoSpaceDN w:val="0"/>
              <w:adjustRightInd w:val="0"/>
              <w:spacing w:after="0" w:line="240" w:lineRule="auto"/>
              <w:jc w:val="both"/>
              <w:rPr>
                <w:rFonts w:ascii="Times New Roman" w:hAnsi="Times New Roman"/>
                <w:sz w:val="24"/>
                <w:szCs w:val="24"/>
              </w:rPr>
            </w:pPr>
          </w:p>
        </w:tc>
      </w:tr>
      <w:tr w:rsidR="00CB5472" w:rsidRPr="003C3F06" w14:paraId="07180A4D" w14:textId="77777777" w:rsidTr="00B04057">
        <w:trPr>
          <w:trHeight w:val="225"/>
        </w:trPr>
        <w:tc>
          <w:tcPr>
            <w:tcW w:w="2220" w:type="dxa"/>
            <w:vAlign w:val="bottom"/>
          </w:tcPr>
          <w:p w14:paraId="023B8EE2" w14:textId="77777777" w:rsidR="00CB5472" w:rsidRPr="003C3F06" w:rsidRDefault="00CB5472" w:rsidP="003C3F06">
            <w:pPr>
              <w:autoSpaceDE w:val="0"/>
              <w:autoSpaceDN w:val="0"/>
              <w:adjustRightInd w:val="0"/>
              <w:spacing w:after="0" w:line="240" w:lineRule="auto"/>
              <w:jc w:val="both"/>
              <w:rPr>
                <w:rFonts w:ascii="Times New Roman" w:hAnsi="Times New Roman"/>
                <w:sz w:val="24"/>
                <w:szCs w:val="24"/>
              </w:rPr>
            </w:pPr>
            <w:r w:rsidRPr="003C3F06">
              <w:rPr>
                <w:rFonts w:ascii="Times New Roman" w:hAnsi="Times New Roman"/>
                <w:sz w:val="24"/>
                <w:szCs w:val="24"/>
              </w:rPr>
              <w:t>C</w:t>
            </w:r>
          </w:p>
        </w:tc>
        <w:tc>
          <w:tcPr>
            <w:tcW w:w="1350" w:type="dxa"/>
            <w:vAlign w:val="bottom"/>
          </w:tcPr>
          <w:p w14:paraId="41E52362" w14:textId="77777777" w:rsidR="00CB5472" w:rsidRPr="003C3F06" w:rsidRDefault="00CB5472" w:rsidP="003C3F06">
            <w:pPr>
              <w:autoSpaceDE w:val="0"/>
              <w:autoSpaceDN w:val="0"/>
              <w:adjustRightInd w:val="0"/>
              <w:spacing w:after="0" w:line="240" w:lineRule="auto"/>
              <w:ind w:right="10"/>
              <w:jc w:val="both"/>
              <w:rPr>
                <w:rFonts w:ascii="Times New Roman" w:hAnsi="Times New Roman"/>
                <w:sz w:val="24"/>
                <w:szCs w:val="24"/>
              </w:rPr>
            </w:pPr>
            <w:r w:rsidRPr="003C3F06">
              <w:rPr>
                <w:rFonts w:ascii="Times New Roman" w:hAnsi="Times New Roman"/>
                <w:sz w:val="24"/>
                <w:szCs w:val="24"/>
              </w:rPr>
              <w:t>-1.510752</w:t>
            </w:r>
          </w:p>
        </w:tc>
        <w:tc>
          <w:tcPr>
            <w:tcW w:w="2250" w:type="dxa"/>
            <w:gridSpan w:val="2"/>
            <w:vAlign w:val="bottom"/>
          </w:tcPr>
          <w:p w14:paraId="0E8B31AF" w14:textId="77777777" w:rsidR="00CB5472" w:rsidRPr="003C3F06" w:rsidRDefault="00CB5472" w:rsidP="003C3F06">
            <w:pPr>
              <w:autoSpaceDE w:val="0"/>
              <w:autoSpaceDN w:val="0"/>
              <w:adjustRightInd w:val="0"/>
              <w:spacing w:after="0" w:line="240" w:lineRule="auto"/>
              <w:ind w:right="10"/>
              <w:jc w:val="both"/>
              <w:rPr>
                <w:rFonts w:ascii="Times New Roman" w:hAnsi="Times New Roman"/>
                <w:sz w:val="24"/>
                <w:szCs w:val="24"/>
              </w:rPr>
            </w:pPr>
            <w:r w:rsidRPr="003C3F06">
              <w:rPr>
                <w:rFonts w:ascii="Times New Roman" w:hAnsi="Times New Roman"/>
                <w:sz w:val="24"/>
                <w:szCs w:val="24"/>
              </w:rPr>
              <w:t>0.153576</w:t>
            </w:r>
          </w:p>
        </w:tc>
        <w:tc>
          <w:tcPr>
            <w:tcW w:w="1440" w:type="dxa"/>
            <w:vAlign w:val="bottom"/>
          </w:tcPr>
          <w:p w14:paraId="0CFDD135" w14:textId="77777777" w:rsidR="00CB5472" w:rsidRPr="003C3F06" w:rsidRDefault="00CB5472" w:rsidP="003C3F06">
            <w:pPr>
              <w:autoSpaceDE w:val="0"/>
              <w:autoSpaceDN w:val="0"/>
              <w:adjustRightInd w:val="0"/>
              <w:spacing w:after="0" w:line="240" w:lineRule="auto"/>
              <w:ind w:right="10"/>
              <w:jc w:val="both"/>
              <w:rPr>
                <w:rFonts w:ascii="Times New Roman" w:hAnsi="Times New Roman"/>
                <w:sz w:val="24"/>
                <w:szCs w:val="24"/>
              </w:rPr>
            </w:pPr>
            <w:r w:rsidRPr="003C3F06">
              <w:rPr>
                <w:rFonts w:ascii="Times New Roman" w:hAnsi="Times New Roman"/>
                <w:sz w:val="24"/>
                <w:szCs w:val="24"/>
              </w:rPr>
              <w:t>-9.837111</w:t>
            </w:r>
          </w:p>
        </w:tc>
        <w:tc>
          <w:tcPr>
            <w:tcW w:w="1080" w:type="dxa"/>
            <w:vAlign w:val="bottom"/>
          </w:tcPr>
          <w:p w14:paraId="004F8E70" w14:textId="77777777" w:rsidR="00CB5472" w:rsidRPr="003C3F06" w:rsidRDefault="00CB5472" w:rsidP="003C3F06">
            <w:pPr>
              <w:autoSpaceDE w:val="0"/>
              <w:autoSpaceDN w:val="0"/>
              <w:adjustRightInd w:val="0"/>
              <w:spacing w:after="0" w:line="240" w:lineRule="auto"/>
              <w:ind w:right="10"/>
              <w:jc w:val="both"/>
              <w:rPr>
                <w:rFonts w:ascii="Times New Roman" w:hAnsi="Times New Roman"/>
                <w:sz w:val="24"/>
                <w:szCs w:val="24"/>
              </w:rPr>
            </w:pPr>
            <w:r w:rsidRPr="003C3F06">
              <w:rPr>
                <w:rFonts w:ascii="Times New Roman" w:hAnsi="Times New Roman"/>
                <w:sz w:val="24"/>
                <w:szCs w:val="24"/>
              </w:rPr>
              <w:t>3.374161</w:t>
            </w:r>
          </w:p>
        </w:tc>
      </w:tr>
      <w:tr w:rsidR="00CB5472" w:rsidRPr="003C3F06" w14:paraId="7ECEEBFA" w14:textId="77777777" w:rsidTr="00B04057">
        <w:trPr>
          <w:trHeight w:val="225"/>
        </w:trPr>
        <w:tc>
          <w:tcPr>
            <w:tcW w:w="2220" w:type="dxa"/>
            <w:vAlign w:val="bottom"/>
          </w:tcPr>
          <w:p w14:paraId="404FD483" w14:textId="77777777" w:rsidR="00CB5472" w:rsidRPr="003C3F06" w:rsidRDefault="00CB5472" w:rsidP="003C3F06">
            <w:pPr>
              <w:autoSpaceDE w:val="0"/>
              <w:autoSpaceDN w:val="0"/>
              <w:adjustRightInd w:val="0"/>
              <w:spacing w:after="0" w:line="240" w:lineRule="auto"/>
              <w:jc w:val="both"/>
              <w:rPr>
                <w:rFonts w:ascii="Times New Roman" w:hAnsi="Times New Roman"/>
                <w:sz w:val="24"/>
                <w:szCs w:val="24"/>
              </w:rPr>
            </w:pPr>
            <w:r w:rsidRPr="003C3F06">
              <w:rPr>
                <w:rFonts w:ascii="Times New Roman" w:hAnsi="Times New Roman"/>
                <w:sz w:val="24"/>
                <w:szCs w:val="24"/>
              </w:rPr>
              <w:t>ACIDP</w:t>
            </w:r>
          </w:p>
        </w:tc>
        <w:tc>
          <w:tcPr>
            <w:tcW w:w="1350" w:type="dxa"/>
            <w:vAlign w:val="bottom"/>
          </w:tcPr>
          <w:p w14:paraId="519871B5" w14:textId="77777777" w:rsidR="00CB5472" w:rsidRPr="003C3F06" w:rsidRDefault="00CB5472" w:rsidP="003C3F06">
            <w:pPr>
              <w:autoSpaceDE w:val="0"/>
              <w:autoSpaceDN w:val="0"/>
              <w:adjustRightInd w:val="0"/>
              <w:spacing w:after="0" w:line="240" w:lineRule="auto"/>
              <w:ind w:right="10"/>
              <w:jc w:val="both"/>
              <w:rPr>
                <w:rFonts w:ascii="Times New Roman" w:hAnsi="Times New Roman"/>
                <w:sz w:val="24"/>
                <w:szCs w:val="24"/>
              </w:rPr>
            </w:pPr>
            <w:r w:rsidRPr="003C3F06">
              <w:rPr>
                <w:rFonts w:ascii="Times New Roman" w:hAnsi="Times New Roman"/>
                <w:sz w:val="24"/>
                <w:szCs w:val="24"/>
              </w:rPr>
              <w:t>0.001916</w:t>
            </w:r>
          </w:p>
        </w:tc>
        <w:tc>
          <w:tcPr>
            <w:tcW w:w="2250" w:type="dxa"/>
            <w:gridSpan w:val="2"/>
            <w:vAlign w:val="bottom"/>
          </w:tcPr>
          <w:p w14:paraId="604F0C49" w14:textId="77777777" w:rsidR="00CB5472" w:rsidRPr="003C3F06" w:rsidRDefault="00CB5472" w:rsidP="003C3F06">
            <w:pPr>
              <w:autoSpaceDE w:val="0"/>
              <w:autoSpaceDN w:val="0"/>
              <w:adjustRightInd w:val="0"/>
              <w:spacing w:after="0" w:line="240" w:lineRule="auto"/>
              <w:ind w:right="10"/>
              <w:jc w:val="both"/>
              <w:rPr>
                <w:rFonts w:ascii="Times New Roman" w:hAnsi="Times New Roman"/>
                <w:sz w:val="24"/>
                <w:szCs w:val="24"/>
              </w:rPr>
            </w:pPr>
            <w:r w:rsidRPr="003C3F06">
              <w:rPr>
                <w:rFonts w:ascii="Times New Roman" w:hAnsi="Times New Roman"/>
                <w:sz w:val="24"/>
                <w:szCs w:val="24"/>
              </w:rPr>
              <w:t>0.000845</w:t>
            </w:r>
          </w:p>
        </w:tc>
        <w:tc>
          <w:tcPr>
            <w:tcW w:w="1440" w:type="dxa"/>
            <w:vAlign w:val="bottom"/>
          </w:tcPr>
          <w:p w14:paraId="53973D10" w14:textId="77777777" w:rsidR="00CB5472" w:rsidRPr="003C3F06" w:rsidRDefault="00CB5472" w:rsidP="003C3F06">
            <w:pPr>
              <w:autoSpaceDE w:val="0"/>
              <w:autoSpaceDN w:val="0"/>
              <w:adjustRightInd w:val="0"/>
              <w:spacing w:after="0" w:line="240" w:lineRule="auto"/>
              <w:ind w:right="10"/>
              <w:jc w:val="both"/>
              <w:rPr>
                <w:rFonts w:ascii="Times New Roman" w:hAnsi="Times New Roman"/>
                <w:sz w:val="24"/>
                <w:szCs w:val="24"/>
              </w:rPr>
            </w:pPr>
            <w:r w:rsidRPr="003C3F06">
              <w:rPr>
                <w:rFonts w:ascii="Times New Roman" w:hAnsi="Times New Roman"/>
                <w:sz w:val="24"/>
                <w:szCs w:val="24"/>
              </w:rPr>
              <w:t>2.265881</w:t>
            </w:r>
          </w:p>
        </w:tc>
        <w:tc>
          <w:tcPr>
            <w:tcW w:w="1080" w:type="dxa"/>
            <w:vAlign w:val="bottom"/>
          </w:tcPr>
          <w:p w14:paraId="6C0E61E8" w14:textId="77777777" w:rsidR="00CB5472" w:rsidRPr="003C3F06" w:rsidRDefault="00CB5472" w:rsidP="003C3F06">
            <w:pPr>
              <w:autoSpaceDE w:val="0"/>
              <w:autoSpaceDN w:val="0"/>
              <w:adjustRightInd w:val="0"/>
              <w:spacing w:after="0" w:line="240" w:lineRule="auto"/>
              <w:ind w:right="10"/>
              <w:jc w:val="both"/>
              <w:rPr>
                <w:rFonts w:ascii="Times New Roman" w:hAnsi="Times New Roman"/>
                <w:sz w:val="24"/>
                <w:szCs w:val="24"/>
              </w:rPr>
            </w:pPr>
            <w:r w:rsidRPr="003C3F06">
              <w:rPr>
                <w:rFonts w:ascii="Times New Roman" w:hAnsi="Times New Roman"/>
                <w:sz w:val="24"/>
                <w:szCs w:val="24"/>
              </w:rPr>
              <w:t>0.025206</w:t>
            </w:r>
          </w:p>
        </w:tc>
      </w:tr>
      <w:tr w:rsidR="00CB5472" w:rsidRPr="003C3F06" w14:paraId="5F085865" w14:textId="77777777" w:rsidTr="00B04057">
        <w:trPr>
          <w:trHeight w:val="225"/>
        </w:trPr>
        <w:tc>
          <w:tcPr>
            <w:tcW w:w="2220" w:type="dxa"/>
            <w:vAlign w:val="bottom"/>
          </w:tcPr>
          <w:p w14:paraId="633FC8D5" w14:textId="77777777" w:rsidR="00CB5472" w:rsidRPr="003C3F06" w:rsidRDefault="00CB5472" w:rsidP="003C3F06">
            <w:pPr>
              <w:autoSpaceDE w:val="0"/>
              <w:autoSpaceDN w:val="0"/>
              <w:adjustRightInd w:val="0"/>
              <w:spacing w:after="0" w:line="240" w:lineRule="auto"/>
              <w:jc w:val="both"/>
              <w:rPr>
                <w:rFonts w:ascii="Times New Roman" w:hAnsi="Times New Roman"/>
                <w:sz w:val="24"/>
                <w:szCs w:val="24"/>
              </w:rPr>
            </w:pPr>
            <w:r w:rsidRPr="003C3F06">
              <w:rPr>
                <w:rFonts w:ascii="Times New Roman" w:hAnsi="Times New Roman"/>
                <w:sz w:val="24"/>
                <w:szCs w:val="24"/>
              </w:rPr>
              <w:t>ACM</w:t>
            </w:r>
          </w:p>
        </w:tc>
        <w:tc>
          <w:tcPr>
            <w:tcW w:w="1350" w:type="dxa"/>
            <w:vAlign w:val="bottom"/>
          </w:tcPr>
          <w:p w14:paraId="21088CB1" w14:textId="77777777" w:rsidR="00CB5472" w:rsidRPr="003C3F06" w:rsidRDefault="00CB5472" w:rsidP="003C3F06">
            <w:pPr>
              <w:autoSpaceDE w:val="0"/>
              <w:autoSpaceDN w:val="0"/>
              <w:adjustRightInd w:val="0"/>
              <w:spacing w:after="0" w:line="240" w:lineRule="auto"/>
              <w:ind w:right="10"/>
              <w:jc w:val="both"/>
              <w:rPr>
                <w:rFonts w:ascii="Times New Roman" w:hAnsi="Times New Roman"/>
                <w:sz w:val="24"/>
                <w:szCs w:val="24"/>
              </w:rPr>
            </w:pPr>
            <w:r w:rsidRPr="003C3F06">
              <w:rPr>
                <w:rFonts w:ascii="Times New Roman" w:hAnsi="Times New Roman"/>
                <w:sz w:val="24"/>
                <w:szCs w:val="24"/>
              </w:rPr>
              <w:t>-0.007786</w:t>
            </w:r>
          </w:p>
        </w:tc>
        <w:tc>
          <w:tcPr>
            <w:tcW w:w="2250" w:type="dxa"/>
            <w:gridSpan w:val="2"/>
            <w:vAlign w:val="bottom"/>
          </w:tcPr>
          <w:p w14:paraId="600A18B2" w14:textId="77777777" w:rsidR="00CB5472" w:rsidRPr="003C3F06" w:rsidRDefault="00CB5472" w:rsidP="003C3F06">
            <w:pPr>
              <w:autoSpaceDE w:val="0"/>
              <w:autoSpaceDN w:val="0"/>
              <w:adjustRightInd w:val="0"/>
              <w:spacing w:after="0" w:line="240" w:lineRule="auto"/>
              <w:ind w:right="10"/>
              <w:jc w:val="both"/>
              <w:rPr>
                <w:rFonts w:ascii="Times New Roman" w:hAnsi="Times New Roman"/>
                <w:sz w:val="24"/>
                <w:szCs w:val="24"/>
              </w:rPr>
            </w:pPr>
            <w:r w:rsidRPr="003C3F06">
              <w:rPr>
                <w:rFonts w:ascii="Times New Roman" w:hAnsi="Times New Roman"/>
                <w:sz w:val="24"/>
                <w:szCs w:val="24"/>
              </w:rPr>
              <w:t>0.015287</w:t>
            </w:r>
          </w:p>
        </w:tc>
        <w:tc>
          <w:tcPr>
            <w:tcW w:w="1440" w:type="dxa"/>
            <w:vAlign w:val="bottom"/>
          </w:tcPr>
          <w:p w14:paraId="7E625FEB" w14:textId="77777777" w:rsidR="00CB5472" w:rsidRPr="003C3F06" w:rsidRDefault="00CB5472" w:rsidP="003C3F06">
            <w:pPr>
              <w:autoSpaceDE w:val="0"/>
              <w:autoSpaceDN w:val="0"/>
              <w:adjustRightInd w:val="0"/>
              <w:spacing w:after="0" w:line="240" w:lineRule="auto"/>
              <w:ind w:right="10"/>
              <w:jc w:val="both"/>
              <w:rPr>
                <w:rFonts w:ascii="Times New Roman" w:hAnsi="Times New Roman"/>
                <w:sz w:val="24"/>
                <w:szCs w:val="24"/>
              </w:rPr>
            </w:pPr>
            <w:r w:rsidRPr="003C3F06">
              <w:rPr>
                <w:rFonts w:ascii="Times New Roman" w:hAnsi="Times New Roman"/>
                <w:sz w:val="24"/>
                <w:szCs w:val="24"/>
              </w:rPr>
              <w:t>-0.509356</w:t>
            </w:r>
          </w:p>
        </w:tc>
        <w:tc>
          <w:tcPr>
            <w:tcW w:w="1080" w:type="dxa"/>
            <w:vAlign w:val="bottom"/>
          </w:tcPr>
          <w:p w14:paraId="1F06B2DC" w14:textId="77777777" w:rsidR="00CB5472" w:rsidRPr="003C3F06" w:rsidRDefault="00CB5472" w:rsidP="003C3F06">
            <w:pPr>
              <w:autoSpaceDE w:val="0"/>
              <w:autoSpaceDN w:val="0"/>
              <w:adjustRightInd w:val="0"/>
              <w:spacing w:after="0" w:line="240" w:lineRule="auto"/>
              <w:ind w:right="10"/>
              <w:jc w:val="both"/>
              <w:rPr>
                <w:rFonts w:ascii="Times New Roman" w:hAnsi="Times New Roman"/>
                <w:sz w:val="24"/>
                <w:szCs w:val="24"/>
              </w:rPr>
            </w:pPr>
            <w:r w:rsidRPr="003C3F06">
              <w:rPr>
                <w:rFonts w:ascii="Times New Roman" w:hAnsi="Times New Roman"/>
                <w:sz w:val="24"/>
                <w:szCs w:val="24"/>
              </w:rPr>
              <w:t>0.611415</w:t>
            </w:r>
          </w:p>
        </w:tc>
      </w:tr>
      <w:tr w:rsidR="00CB5472" w:rsidRPr="003C3F06" w14:paraId="1A424563" w14:textId="77777777" w:rsidTr="00B04057">
        <w:trPr>
          <w:trHeight w:val="225"/>
        </w:trPr>
        <w:tc>
          <w:tcPr>
            <w:tcW w:w="2220" w:type="dxa"/>
            <w:vAlign w:val="bottom"/>
          </w:tcPr>
          <w:p w14:paraId="5E33F68D" w14:textId="77777777" w:rsidR="00CB5472" w:rsidRPr="003C3F06" w:rsidRDefault="00CB5472" w:rsidP="003C3F06">
            <w:pPr>
              <w:autoSpaceDE w:val="0"/>
              <w:autoSpaceDN w:val="0"/>
              <w:adjustRightInd w:val="0"/>
              <w:spacing w:after="0" w:line="240" w:lineRule="auto"/>
              <w:jc w:val="both"/>
              <w:rPr>
                <w:rFonts w:ascii="Times New Roman" w:hAnsi="Times New Roman"/>
                <w:sz w:val="24"/>
                <w:szCs w:val="24"/>
              </w:rPr>
            </w:pPr>
            <w:r w:rsidRPr="003C3F06">
              <w:rPr>
                <w:rFonts w:ascii="Times New Roman" w:hAnsi="Times New Roman"/>
                <w:sz w:val="24"/>
                <w:szCs w:val="24"/>
              </w:rPr>
              <w:t>ACSIZ</w:t>
            </w:r>
          </w:p>
        </w:tc>
        <w:tc>
          <w:tcPr>
            <w:tcW w:w="1350" w:type="dxa"/>
            <w:vAlign w:val="bottom"/>
          </w:tcPr>
          <w:p w14:paraId="0A867397" w14:textId="77777777" w:rsidR="00CB5472" w:rsidRPr="003C3F06" w:rsidRDefault="00CB5472" w:rsidP="003C3F06">
            <w:pPr>
              <w:autoSpaceDE w:val="0"/>
              <w:autoSpaceDN w:val="0"/>
              <w:adjustRightInd w:val="0"/>
              <w:spacing w:after="0" w:line="240" w:lineRule="auto"/>
              <w:ind w:right="10"/>
              <w:jc w:val="both"/>
              <w:rPr>
                <w:rFonts w:ascii="Times New Roman" w:hAnsi="Times New Roman"/>
                <w:sz w:val="24"/>
                <w:szCs w:val="24"/>
              </w:rPr>
            </w:pPr>
            <w:r w:rsidRPr="003C3F06">
              <w:rPr>
                <w:rFonts w:ascii="Times New Roman" w:hAnsi="Times New Roman"/>
                <w:sz w:val="24"/>
                <w:szCs w:val="24"/>
              </w:rPr>
              <w:t>-0.051311</w:t>
            </w:r>
          </w:p>
        </w:tc>
        <w:tc>
          <w:tcPr>
            <w:tcW w:w="2250" w:type="dxa"/>
            <w:gridSpan w:val="2"/>
            <w:vAlign w:val="bottom"/>
          </w:tcPr>
          <w:p w14:paraId="630D1EB3" w14:textId="77777777" w:rsidR="00CB5472" w:rsidRPr="003C3F06" w:rsidRDefault="00CB5472" w:rsidP="003C3F06">
            <w:pPr>
              <w:autoSpaceDE w:val="0"/>
              <w:autoSpaceDN w:val="0"/>
              <w:adjustRightInd w:val="0"/>
              <w:spacing w:after="0" w:line="240" w:lineRule="auto"/>
              <w:ind w:right="10"/>
              <w:jc w:val="both"/>
              <w:rPr>
                <w:rFonts w:ascii="Times New Roman" w:hAnsi="Times New Roman"/>
                <w:sz w:val="24"/>
                <w:szCs w:val="24"/>
              </w:rPr>
            </w:pPr>
            <w:r w:rsidRPr="003C3F06">
              <w:rPr>
                <w:rFonts w:ascii="Times New Roman" w:hAnsi="Times New Roman"/>
                <w:sz w:val="24"/>
                <w:szCs w:val="24"/>
              </w:rPr>
              <w:t>0.018167</w:t>
            </w:r>
          </w:p>
        </w:tc>
        <w:tc>
          <w:tcPr>
            <w:tcW w:w="1440" w:type="dxa"/>
            <w:vAlign w:val="bottom"/>
          </w:tcPr>
          <w:p w14:paraId="095FB7BC" w14:textId="77777777" w:rsidR="00CB5472" w:rsidRPr="003C3F06" w:rsidRDefault="00CB5472" w:rsidP="003C3F06">
            <w:pPr>
              <w:autoSpaceDE w:val="0"/>
              <w:autoSpaceDN w:val="0"/>
              <w:adjustRightInd w:val="0"/>
              <w:spacing w:after="0" w:line="240" w:lineRule="auto"/>
              <w:ind w:right="10"/>
              <w:jc w:val="both"/>
              <w:rPr>
                <w:rFonts w:ascii="Times New Roman" w:hAnsi="Times New Roman"/>
                <w:sz w:val="24"/>
                <w:szCs w:val="24"/>
              </w:rPr>
            </w:pPr>
            <w:r w:rsidRPr="003C3F06">
              <w:rPr>
                <w:rFonts w:ascii="Times New Roman" w:hAnsi="Times New Roman"/>
                <w:sz w:val="24"/>
                <w:szCs w:val="24"/>
              </w:rPr>
              <w:t>-2.824254</w:t>
            </w:r>
          </w:p>
        </w:tc>
        <w:tc>
          <w:tcPr>
            <w:tcW w:w="1080" w:type="dxa"/>
            <w:vAlign w:val="bottom"/>
          </w:tcPr>
          <w:p w14:paraId="381860B1" w14:textId="77777777" w:rsidR="00CB5472" w:rsidRPr="003C3F06" w:rsidRDefault="00CB5472" w:rsidP="003C3F06">
            <w:pPr>
              <w:autoSpaceDE w:val="0"/>
              <w:autoSpaceDN w:val="0"/>
              <w:adjustRightInd w:val="0"/>
              <w:spacing w:after="0" w:line="240" w:lineRule="auto"/>
              <w:ind w:right="10"/>
              <w:jc w:val="both"/>
              <w:rPr>
                <w:rFonts w:ascii="Times New Roman" w:hAnsi="Times New Roman"/>
                <w:sz w:val="24"/>
                <w:szCs w:val="24"/>
              </w:rPr>
            </w:pPr>
            <w:r w:rsidRPr="003C3F06">
              <w:rPr>
                <w:rFonts w:ascii="Times New Roman" w:hAnsi="Times New Roman"/>
                <w:sz w:val="24"/>
                <w:szCs w:val="24"/>
              </w:rPr>
              <w:t>0.005530</w:t>
            </w:r>
          </w:p>
        </w:tc>
      </w:tr>
      <w:tr w:rsidR="00CB5472" w:rsidRPr="003C3F06" w14:paraId="3E1566DA" w14:textId="77777777" w:rsidTr="00B04057">
        <w:trPr>
          <w:trHeight w:val="225"/>
        </w:trPr>
        <w:tc>
          <w:tcPr>
            <w:tcW w:w="2220" w:type="dxa"/>
            <w:vAlign w:val="bottom"/>
          </w:tcPr>
          <w:p w14:paraId="7B6CADB2" w14:textId="77777777" w:rsidR="00CB5472" w:rsidRPr="003C3F06" w:rsidRDefault="00CB5472" w:rsidP="003C3F06">
            <w:pPr>
              <w:autoSpaceDE w:val="0"/>
              <w:autoSpaceDN w:val="0"/>
              <w:adjustRightInd w:val="0"/>
              <w:spacing w:after="0" w:line="240" w:lineRule="auto"/>
              <w:jc w:val="both"/>
              <w:rPr>
                <w:rFonts w:ascii="Times New Roman" w:hAnsi="Times New Roman"/>
                <w:sz w:val="24"/>
                <w:szCs w:val="24"/>
              </w:rPr>
            </w:pPr>
            <w:r w:rsidRPr="003C3F06">
              <w:rPr>
                <w:rFonts w:ascii="Times New Roman" w:hAnsi="Times New Roman"/>
                <w:sz w:val="24"/>
                <w:szCs w:val="24"/>
              </w:rPr>
              <w:t>OGCSIZE</w:t>
            </w:r>
          </w:p>
        </w:tc>
        <w:tc>
          <w:tcPr>
            <w:tcW w:w="1350" w:type="dxa"/>
            <w:vAlign w:val="bottom"/>
          </w:tcPr>
          <w:p w14:paraId="1350717D" w14:textId="77777777" w:rsidR="00CB5472" w:rsidRPr="003C3F06" w:rsidRDefault="00CB5472" w:rsidP="003C3F06">
            <w:pPr>
              <w:autoSpaceDE w:val="0"/>
              <w:autoSpaceDN w:val="0"/>
              <w:adjustRightInd w:val="0"/>
              <w:spacing w:after="0" w:line="240" w:lineRule="auto"/>
              <w:ind w:right="10"/>
              <w:jc w:val="both"/>
              <w:rPr>
                <w:rFonts w:ascii="Times New Roman" w:hAnsi="Times New Roman"/>
                <w:sz w:val="24"/>
                <w:szCs w:val="24"/>
              </w:rPr>
            </w:pPr>
            <w:r w:rsidRPr="003C3F06">
              <w:rPr>
                <w:rFonts w:ascii="Times New Roman" w:hAnsi="Times New Roman"/>
                <w:sz w:val="24"/>
                <w:szCs w:val="24"/>
              </w:rPr>
              <w:t>0.274923</w:t>
            </w:r>
          </w:p>
        </w:tc>
        <w:tc>
          <w:tcPr>
            <w:tcW w:w="2250" w:type="dxa"/>
            <w:gridSpan w:val="2"/>
            <w:vAlign w:val="bottom"/>
          </w:tcPr>
          <w:p w14:paraId="101E8A93" w14:textId="77777777" w:rsidR="00CB5472" w:rsidRPr="003C3F06" w:rsidRDefault="00CB5472" w:rsidP="003C3F06">
            <w:pPr>
              <w:autoSpaceDE w:val="0"/>
              <w:autoSpaceDN w:val="0"/>
              <w:adjustRightInd w:val="0"/>
              <w:spacing w:after="0" w:line="240" w:lineRule="auto"/>
              <w:ind w:right="10"/>
              <w:jc w:val="both"/>
              <w:rPr>
                <w:rFonts w:ascii="Times New Roman" w:hAnsi="Times New Roman"/>
                <w:sz w:val="24"/>
                <w:szCs w:val="24"/>
              </w:rPr>
            </w:pPr>
            <w:r w:rsidRPr="003C3F06">
              <w:rPr>
                <w:rFonts w:ascii="Times New Roman" w:hAnsi="Times New Roman"/>
                <w:sz w:val="24"/>
                <w:szCs w:val="24"/>
              </w:rPr>
              <w:t>0.023774</w:t>
            </w:r>
          </w:p>
        </w:tc>
        <w:tc>
          <w:tcPr>
            <w:tcW w:w="1440" w:type="dxa"/>
            <w:vAlign w:val="bottom"/>
          </w:tcPr>
          <w:p w14:paraId="7EB6EBC9" w14:textId="77777777" w:rsidR="00CB5472" w:rsidRPr="003C3F06" w:rsidRDefault="00CB5472" w:rsidP="003C3F06">
            <w:pPr>
              <w:autoSpaceDE w:val="0"/>
              <w:autoSpaceDN w:val="0"/>
              <w:adjustRightInd w:val="0"/>
              <w:spacing w:after="0" w:line="240" w:lineRule="auto"/>
              <w:ind w:right="10"/>
              <w:jc w:val="both"/>
              <w:rPr>
                <w:rFonts w:ascii="Times New Roman" w:hAnsi="Times New Roman"/>
                <w:sz w:val="24"/>
                <w:szCs w:val="24"/>
              </w:rPr>
            </w:pPr>
            <w:r w:rsidRPr="003C3F06">
              <w:rPr>
                <w:rFonts w:ascii="Times New Roman" w:hAnsi="Times New Roman"/>
                <w:sz w:val="24"/>
                <w:szCs w:val="24"/>
              </w:rPr>
              <w:t>11.563756</w:t>
            </w:r>
          </w:p>
        </w:tc>
        <w:tc>
          <w:tcPr>
            <w:tcW w:w="1080" w:type="dxa"/>
            <w:vAlign w:val="bottom"/>
          </w:tcPr>
          <w:p w14:paraId="4A807BAD" w14:textId="77777777" w:rsidR="00CB5472" w:rsidRPr="003C3F06" w:rsidRDefault="00CB5472" w:rsidP="003C3F06">
            <w:pPr>
              <w:autoSpaceDE w:val="0"/>
              <w:autoSpaceDN w:val="0"/>
              <w:adjustRightInd w:val="0"/>
              <w:spacing w:after="0" w:line="240" w:lineRule="auto"/>
              <w:ind w:right="10"/>
              <w:jc w:val="both"/>
              <w:rPr>
                <w:rFonts w:ascii="Times New Roman" w:hAnsi="Times New Roman"/>
                <w:sz w:val="24"/>
                <w:szCs w:val="24"/>
              </w:rPr>
            </w:pPr>
            <w:r w:rsidRPr="003C3F06">
              <w:rPr>
                <w:rFonts w:ascii="Times New Roman" w:hAnsi="Times New Roman"/>
                <w:sz w:val="24"/>
                <w:szCs w:val="24"/>
              </w:rPr>
              <w:t>2.197559</w:t>
            </w:r>
          </w:p>
        </w:tc>
      </w:tr>
      <w:tr w:rsidR="00CB5472" w:rsidRPr="003C3F06" w14:paraId="5DEDE7D9" w14:textId="77777777" w:rsidTr="00B04057">
        <w:trPr>
          <w:trHeight w:val="225"/>
        </w:trPr>
        <w:tc>
          <w:tcPr>
            <w:tcW w:w="2220" w:type="dxa"/>
            <w:vAlign w:val="bottom"/>
          </w:tcPr>
          <w:p w14:paraId="56178C37" w14:textId="77777777" w:rsidR="00CB5472" w:rsidRPr="003C3F06" w:rsidRDefault="00CB5472" w:rsidP="003C3F06">
            <w:pPr>
              <w:autoSpaceDE w:val="0"/>
              <w:autoSpaceDN w:val="0"/>
              <w:adjustRightInd w:val="0"/>
              <w:spacing w:after="0" w:line="240" w:lineRule="auto"/>
              <w:jc w:val="both"/>
              <w:rPr>
                <w:rFonts w:ascii="Times New Roman" w:hAnsi="Times New Roman"/>
                <w:sz w:val="24"/>
                <w:szCs w:val="24"/>
              </w:rPr>
            </w:pPr>
            <w:r w:rsidRPr="003C3F06">
              <w:rPr>
                <w:rFonts w:ascii="Times New Roman" w:hAnsi="Times New Roman"/>
                <w:sz w:val="24"/>
                <w:szCs w:val="24"/>
              </w:rPr>
              <w:t>OGLEV</w:t>
            </w:r>
          </w:p>
        </w:tc>
        <w:tc>
          <w:tcPr>
            <w:tcW w:w="1350" w:type="dxa"/>
            <w:vAlign w:val="bottom"/>
          </w:tcPr>
          <w:p w14:paraId="606AFDB5" w14:textId="77777777" w:rsidR="00CB5472" w:rsidRPr="003C3F06" w:rsidRDefault="00CB5472" w:rsidP="003C3F06">
            <w:pPr>
              <w:autoSpaceDE w:val="0"/>
              <w:autoSpaceDN w:val="0"/>
              <w:adjustRightInd w:val="0"/>
              <w:spacing w:after="0" w:line="240" w:lineRule="auto"/>
              <w:ind w:right="10"/>
              <w:jc w:val="both"/>
              <w:rPr>
                <w:rFonts w:ascii="Times New Roman" w:hAnsi="Times New Roman"/>
                <w:sz w:val="24"/>
                <w:szCs w:val="24"/>
              </w:rPr>
            </w:pPr>
            <w:r w:rsidRPr="003C3F06">
              <w:rPr>
                <w:rFonts w:ascii="Times New Roman" w:hAnsi="Times New Roman"/>
                <w:sz w:val="24"/>
                <w:szCs w:val="24"/>
              </w:rPr>
              <w:t>0.000205</w:t>
            </w:r>
          </w:p>
        </w:tc>
        <w:tc>
          <w:tcPr>
            <w:tcW w:w="2250" w:type="dxa"/>
            <w:gridSpan w:val="2"/>
            <w:vAlign w:val="bottom"/>
          </w:tcPr>
          <w:p w14:paraId="0393FFE5" w14:textId="77777777" w:rsidR="00CB5472" w:rsidRPr="003C3F06" w:rsidRDefault="00CB5472" w:rsidP="003C3F06">
            <w:pPr>
              <w:autoSpaceDE w:val="0"/>
              <w:autoSpaceDN w:val="0"/>
              <w:adjustRightInd w:val="0"/>
              <w:spacing w:after="0" w:line="240" w:lineRule="auto"/>
              <w:ind w:right="10"/>
              <w:jc w:val="both"/>
              <w:rPr>
                <w:rFonts w:ascii="Times New Roman" w:hAnsi="Times New Roman"/>
                <w:sz w:val="24"/>
                <w:szCs w:val="24"/>
              </w:rPr>
            </w:pPr>
            <w:r w:rsidRPr="003C3F06">
              <w:rPr>
                <w:rFonts w:ascii="Times New Roman" w:hAnsi="Times New Roman"/>
                <w:sz w:val="24"/>
                <w:szCs w:val="24"/>
              </w:rPr>
              <w:t>0.00024</w:t>
            </w:r>
          </w:p>
        </w:tc>
        <w:tc>
          <w:tcPr>
            <w:tcW w:w="1440" w:type="dxa"/>
            <w:vAlign w:val="bottom"/>
          </w:tcPr>
          <w:p w14:paraId="5FCCA053" w14:textId="77777777" w:rsidR="00CB5472" w:rsidRPr="003C3F06" w:rsidRDefault="00CB5472" w:rsidP="003C3F06">
            <w:pPr>
              <w:autoSpaceDE w:val="0"/>
              <w:autoSpaceDN w:val="0"/>
              <w:adjustRightInd w:val="0"/>
              <w:spacing w:after="0" w:line="240" w:lineRule="auto"/>
              <w:ind w:right="10"/>
              <w:jc w:val="both"/>
              <w:rPr>
                <w:rFonts w:ascii="Times New Roman" w:hAnsi="Times New Roman"/>
                <w:sz w:val="24"/>
                <w:szCs w:val="24"/>
              </w:rPr>
            </w:pPr>
            <w:r w:rsidRPr="003C3F06">
              <w:rPr>
                <w:rFonts w:ascii="Times New Roman" w:hAnsi="Times New Roman"/>
                <w:sz w:val="24"/>
                <w:szCs w:val="24"/>
              </w:rPr>
              <w:t>0.855920</w:t>
            </w:r>
          </w:p>
        </w:tc>
        <w:tc>
          <w:tcPr>
            <w:tcW w:w="1080" w:type="dxa"/>
            <w:vAlign w:val="bottom"/>
          </w:tcPr>
          <w:p w14:paraId="482F6977" w14:textId="77777777" w:rsidR="00CB5472" w:rsidRPr="003C3F06" w:rsidRDefault="00CB5472" w:rsidP="003C3F06">
            <w:pPr>
              <w:autoSpaceDE w:val="0"/>
              <w:autoSpaceDN w:val="0"/>
              <w:adjustRightInd w:val="0"/>
              <w:spacing w:after="0" w:line="240" w:lineRule="auto"/>
              <w:ind w:right="10"/>
              <w:jc w:val="both"/>
              <w:rPr>
                <w:rFonts w:ascii="Times New Roman" w:hAnsi="Times New Roman"/>
                <w:sz w:val="24"/>
                <w:szCs w:val="24"/>
              </w:rPr>
            </w:pPr>
            <w:r w:rsidRPr="003C3F06">
              <w:rPr>
                <w:rFonts w:ascii="Times New Roman" w:hAnsi="Times New Roman"/>
                <w:sz w:val="24"/>
                <w:szCs w:val="24"/>
              </w:rPr>
              <w:t>0.393705</w:t>
            </w:r>
          </w:p>
        </w:tc>
      </w:tr>
      <w:tr w:rsidR="00CB5472" w:rsidRPr="003C3F06" w14:paraId="071B9DC9" w14:textId="77777777" w:rsidTr="00B04057">
        <w:trPr>
          <w:trHeight w:hRule="exact" w:val="90"/>
        </w:trPr>
        <w:tc>
          <w:tcPr>
            <w:tcW w:w="2220" w:type="dxa"/>
            <w:vAlign w:val="bottom"/>
          </w:tcPr>
          <w:p w14:paraId="0AE46613" w14:textId="77777777" w:rsidR="00CB5472" w:rsidRPr="003C3F06" w:rsidRDefault="00CB5472" w:rsidP="003C3F06">
            <w:pPr>
              <w:autoSpaceDE w:val="0"/>
              <w:autoSpaceDN w:val="0"/>
              <w:adjustRightInd w:val="0"/>
              <w:spacing w:after="0" w:line="240" w:lineRule="auto"/>
              <w:jc w:val="both"/>
              <w:rPr>
                <w:rFonts w:ascii="Times New Roman" w:hAnsi="Times New Roman"/>
                <w:sz w:val="24"/>
                <w:szCs w:val="24"/>
              </w:rPr>
            </w:pPr>
          </w:p>
        </w:tc>
        <w:tc>
          <w:tcPr>
            <w:tcW w:w="1350" w:type="dxa"/>
            <w:vAlign w:val="bottom"/>
          </w:tcPr>
          <w:p w14:paraId="772C8C23" w14:textId="77777777" w:rsidR="00CB5472" w:rsidRPr="003C3F06" w:rsidRDefault="00CB5472" w:rsidP="003C3F06">
            <w:pPr>
              <w:autoSpaceDE w:val="0"/>
              <w:autoSpaceDN w:val="0"/>
              <w:adjustRightInd w:val="0"/>
              <w:spacing w:after="0" w:line="240" w:lineRule="auto"/>
              <w:jc w:val="both"/>
              <w:rPr>
                <w:rFonts w:ascii="Times New Roman" w:hAnsi="Times New Roman"/>
                <w:sz w:val="24"/>
                <w:szCs w:val="24"/>
              </w:rPr>
            </w:pPr>
          </w:p>
        </w:tc>
        <w:tc>
          <w:tcPr>
            <w:tcW w:w="2250" w:type="dxa"/>
            <w:gridSpan w:val="2"/>
            <w:vAlign w:val="bottom"/>
          </w:tcPr>
          <w:p w14:paraId="0309257C" w14:textId="77777777" w:rsidR="00CB5472" w:rsidRPr="003C3F06" w:rsidRDefault="00CB5472" w:rsidP="003C3F06">
            <w:pPr>
              <w:autoSpaceDE w:val="0"/>
              <w:autoSpaceDN w:val="0"/>
              <w:adjustRightInd w:val="0"/>
              <w:spacing w:after="0" w:line="240" w:lineRule="auto"/>
              <w:jc w:val="both"/>
              <w:rPr>
                <w:rFonts w:ascii="Times New Roman" w:hAnsi="Times New Roman"/>
                <w:sz w:val="24"/>
                <w:szCs w:val="24"/>
              </w:rPr>
            </w:pPr>
          </w:p>
        </w:tc>
        <w:tc>
          <w:tcPr>
            <w:tcW w:w="1440" w:type="dxa"/>
            <w:vAlign w:val="bottom"/>
          </w:tcPr>
          <w:p w14:paraId="10EFC8D0" w14:textId="77777777" w:rsidR="00CB5472" w:rsidRPr="003C3F06" w:rsidRDefault="00CB5472" w:rsidP="003C3F06">
            <w:pPr>
              <w:autoSpaceDE w:val="0"/>
              <w:autoSpaceDN w:val="0"/>
              <w:adjustRightInd w:val="0"/>
              <w:spacing w:after="0" w:line="240" w:lineRule="auto"/>
              <w:jc w:val="both"/>
              <w:rPr>
                <w:rFonts w:ascii="Times New Roman" w:hAnsi="Times New Roman"/>
                <w:sz w:val="24"/>
                <w:szCs w:val="24"/>
              </w:rPr>
            </w:pPr>
          </w:p>
        </w:tc>
        <w:tc>
          <w:tcPr>
            <w:tcW w:w="1080" w:type="dxa"/>
            <w:vAlign w:val="bottom"/>
          </w:tcPr>
          <w:p w14:paraId="59F780F8" w14:textId="77777777" w:rsidR="00CB5472" w:rsidRPr="003C3F06" w:rsidRDefault="00CB5472" w:rsidP="003C3F06">
            <w:pPr>
              <w:autoSpaceDE w:val="0"/>
              <w:autoSpaceDN w:val="0"/>
              <w:adjustRightInd w:val="0"/>
              <w:spacing w:after="0" w:line="240" w:lineRule="auto"/>
              <w:jc w:val="both"/>
              <w:rPr>
                <w:rFonts w:ascii="Times New Roman" w:hAnsi="Times New Roman"/>
                <w:sz w:val="24"/>
                <w:szCs w:val="24"/>
              </w:rPr>
            </w:pPr>
          </w:p>
        </w:tc>
      </w:tr>
      <w:tr w:rsidR="00CB5472" w:rsidRPr="003C3F06" w14:paraId="051D79C5" w14:textId="77777777" w:rsidTr="00B04057">
        <w:trPr>
          <w:trHeight w:hRule="exact" w:val="135"/>
        </w:trPr>
        <w:tc>
          <w:tcPr>
            <w:tcW w:w="2220" w:type="dxa"/>
            <w:vAlign w:val="bottom"/>
          </w:tcPr>
          <w:p w14:paraId="4980ECE1" w14:textId="77777777" w:rsidR="00CB5472" w:rsidRPr="003C3F06" w:rsidRDefault="00CB5472" w:rsidP="003C3F06">
            <w:pPr>
              <w:autoSpaceDE w:val="0"/>
              <w:autoSpaceDN w:val="0"/>
              <w:adjustRightInd w:val="0"/>
              <w:spacing w:after="0" w:line="240" w:lineRule="auto"/>
              <w:jc w:val="both"/>
              <w:rPr>
                <w:rFonts w:ascii="Times New Roman" w:hAnsi="Times New Roman"/>
                <w:sz w:val="24"/>
                <w:szCs w:val="24"/>
              </w:rPr>
            </w:pPr>
          </w:p>
        </w:tc>
        <w:tc>
          <w:tcPr>
            <w:tcW w:w="1350" w:type="dxa"/>
            <w:vAlign w:val="bottom"/>
          </w:tcPr>
          <w:p w14:paraId="720C4ACD" w14:textId="77777777" w:rsidR="00CB5472" w:rsidRPr="003C3F06" w:rsidRDefault="00CB5472" w:rsidP="003C3F06">
            <w:pPr>
              <w:autoSpaceDE w:val="0"/>
              <w:autoSpaceDN w:val="0"/>
              <w:adjustRightInd w:val="0"/>
              <w:spacing w:after="0" w:line="240" w:lineRule="auto"/>
              <w:jc w:val="both"/>
              <w:rPr>
                <w:rFonts w:ascii="Times New Roman" w:hAnsi="Times New Roman"/>
                <w:sz w:val="24"/>
                <w:szCs w:val="24"/>
              </w:rPr>
            </w:pPr>
          </w:p>
        </w:tc>
        <w:tc>
          <w:tcPr>
            <w:tcW w:w="2250" w:type="dxa"/>
            <w:gridSpan w:val="2"/>
            <w:vAlign w:val="bottom"/>
          </w:tcPr>
          <w:p w14:paraId="5C9E9D39" w14:textId="77777777" w:rsidR="00CB5472" w:rsidRPr="003C3F06" w:rsidRDefault="00CB5472" w:rsidP="003C3F06">
            <w:pPr>
              <w:autoSpaceDE w:val="0"/>
              <w:autoSpaceDN w:val="0"/>
              <w:adjustRightInd w:val="0"/>
              <w:spacing w:after="0" w:line="240" w:lineRule="auto"/>
              <w:jc w:val="both"/>
              <w:rPr>
                <w:rFonts w:ascii="Times New Roman" w:hAnsi="Times New Roman"/>
                <w:sz w:val="24"/>
                <w:szCs w:val="24"/>
              </w:rPr>
            </w:pPr>
          </w:p>
        </w:tc>
        <w:tc>
          <w:tcPr>
            <w:tcW w:w="1440" w:type="dxa"/>
            <w:vAlign w:val="bottom"/>
          </w:tcPr>
          <w:p w14:paraId="4C026C32" w14:textId="77777777" w:rsidR="00CB5472" w:rsidRPr="003C3F06" w:rsidRDefault="00CB5472" w:rsidP="003C3F06">
            <w:pPr>
              <w:autoSpaceDE w:val="0"/>
              <w:autoSpaceDN w:val="0"/>
              <w:adjustRightInd w:val="0"/>
              <w:spacing w:after="0" w:line="240" w:lineRule="auto"/>
              <w:jc w:val="both"/>
              <w:rPr>
                <w:rFonts w:ascii="Times New Roman" w:hAnsi="Times New Roman"/>
                <w:sz w:val="24"/>
                <w:szCs w:val="24"/>
              </w:rPr>
            </w:pPr>
          </w:p>
        </w:tc>
        <w:tc>
          <w:tcPr>
            <w:tcW w:w="1080" w:type="dxa"/>
            <w:vAlign w:val="bottom"/>
          </w:tcPr>
          <w:p w14:paraId="13FDA7DD" w14:textId="77777777" w:rsidR="00CB5472" w:rsidRPr="003C3F06" w:rsidRDefault="00CB5472" w:rsidP="003C3F06">
            <w:pPr>
              <w:autoSpaceDE w:val="0"/>
              <w:autoSpaceDN w:val="0"/>
              <w:adjustRightInd w:val="0"/>
              <w:spacing w:after="0" w:line="240" w:lineRule="auto"/>
              <w:jc w:val="both"/>
              <w:rPr>
                <w:rFonts w:ascii="Times New Roman" w:hAnsi="Times New Roman"/>
                <w:sz w:val="24"/>
                <w:szCs w:val="24"/>
              </w:rPr>
            </w:pPr>
          </w:p>
        </w:tc>
      </w:tr>
      <w:tr w:rsidR="00CB5472" w:rsidRPr="003C3F06" w14:paraId="40D73559" w14:textId="77777777" w:rsidTr="00B04057">
        <w:trPr>
          <w:trHeight w:val="225"/>
        </w:trPr>
        <w:tc>
          <w:tcPr>
            <w:tcW w:w="2220" w:type="dxa"/>
            <w:vAlign w:val="bottom"/>
          </w:tcPr>
          <w:p w14:paraId="56D51BAF" w14:textId="77777777" w:rsidR="00CB5472" w:rsidRPr="003C3F06" w:rsidRDefault="00CB5472" w:rsidP="003C3F06">
            <w:pPr>
              <w:autoSpaceDE w:val="0"/>
              <w:autoSpaceDN w:val="0"/>
              <w:adjustRightInd w:val="0"/>
              <w:spacing w:after="0" w:line="240" w:lineRule="auto"/>
              <w:jc w:val="both"/>
              <w:rPr>
                <w:rFonts w:ascii="Times New Roman" w:hAnsi="Times New Roman"/>
                <w:sz w:val="24"/>
                <w:szCs w:val="24"/>
              </w:rPr>
            </w:pPr>
            <w:r w:rsidRPr="003C3F06">
              <w:rPr>
                <w:rFonts w:ascii="Times New Roman" w:hAnsi="Times New Roman"/>
                <w:sz w:val="24"/>
                <w:szCs w:val="24"/>
              </w:rPr>
              <w:t>R-squared</w:t>
            </w:r>
          </w:p>
        </w:tc>
        <w:tc>
          <w:tcPr>
            <w:tcW w:w="1350" w:type="dxa"/>
            <w:vAlign w:val="bottom"/>
          </w:tcPr>
          <w:p w14:paraId="4893ED5A" w14:textId="77777777" w:rsidR="00CB5472" w:rsidRPr="003C3F06" w:rsidRDefault="00CB5472" w:rsidP="003C3F06">
            <w:pPr>
              <w:autoSpaceDE w:val="0"/>
              <w:autoSpaceDN w:val="0"/>
              <w:adjustRightInd w:val="0"/>
              <w:spacing w:after="0" w:line="240" w:lineRule="auto"/>
              <w:ind w:right="10"/>
              <w:jc w:val="both"/>
              <w:rPr>
                <w:rFonts w:ascii="Times New Roman" w:hAnsi="Times New Roman"/>
                <w:sz w:val="24"/>
                <w:szCs w:val="24"/>
              </w:rPr>
            </w:pPr>
            <w:r w:rsidRPr="003C3F06">
              <w:rPr>
                <w:rFonts w:ascii="Times New Roman" w:hAnsi="Times New Roman"/>
                <w:sz w:val="24"/>
                <w:szCs w:val="24"/>
              </w:rPr>
              <w:t>0.591414</w:t>
            </w:r>
          </w:p>
        </w:tc>
        <w:tc>
          <w:tcPr>
            <w:tcW w:w="3690" w:type="dxa"/>
            <w:gridSpan w:val="3"/>
            <w:vAlign w:val="bottom"/>
          </w:tcPr>
          <w:p w14:paraId="6E057B4C" w14:textId="77777777" w:rsidR="00CB5472" w:rsidRPr="003C3F06" w:rsidRDefault="00CB5472" w:rsidP="003C3F06">
            <w:pPr>
              <w:autoSpaceDE w:val="0"/>
              <w:autoSpaceDN w:val="0"/>
              <w:adjustRightInd w:val="0"/>
              <w:spacing w:after="0" w:line="240" w:lineRule="auto"/>
              <w:ind w:right="10"/>
              <w:jc w:val="both"/>
              <w:rPr>
                <w:rFonts w:ascii="Times New Roman" w:hAnsi="Times New Roman"/>
                <w:sz w:val="24"/>
                <w:szCs w:val="24"/>
              </w:rPr>
            </w:pPr>
            <w:r w:rsidRPr="003C3F06">
              <w:rPr>
                <w:rFonts w:ascii="Times New Roman" w:hAnsi="Times New Roman"/>
                <w:sz w:val="24"/>
                <w:szCs w:val="24"/>
              </w:rPr>
              <w:t>    Mean dependent var</w:t>
            </w:r>
          </w:p>
        </w:tc>
        <w:tc>
          <w:tcPr>
            <w:tcW w:w="1080" w:type="dxa"/>
            <w:vAlign w:val="bottom"/>
          </w:tcPr>
          <w:p w14:paraId="6357F823" w14:textId="77777777" w:rsidR="00CB5472" w:rsidRPr="003C3F06" w:rsidRDefault="00CB5472" w:rsidP="003C3F06">
            <w:pPr>
              <w:autoSpaceDE w:val="0"/>
              <w:autoSpaceDN w:val="0"/>
              <w:adjustRightInd w:val="0"/>
              <w:spacing w:after="0" w:line="240" w:lineRule="auto"/>
              <w:ind w:right="10"/>
              <w:jc w:val="both"/>
              <w:rPr>
                <w:rFonts w:ascii="Times New Roman" w:hAnsi="Times New Roman"/>
                <w:sz w:val="24"/>
                <w:szCs w:val="24"/>
              </w:rPr>
            </w:pPr>
            <w:r w:rsidRPr="003C3F06">
              <w:rPr>
                <w:rFonts w:ascii="Times New Roman" w:hAnsi="Times New Roman"/>
                <w:sz w:val="24"/>
                <w:szCs w:val="24"/>
              </w:rPr>
              <w:t>0.381136</w:t>
            </w:r>
          </w:p>
        </w:tc>
      </w:tr>
      <w:tr w:rsidR="00CB5472" w:rsidRPr="003C3F06" w14:paraId="1450EA7B" w14:textId="77777777" w:rsidTr="00B04057">
        <w:trPr>
          <w:trHeight w:val="225"/>
        </w:trPr>
        <w:tc>
          <w:tcPr>
            <w:tcW w:w="2220" w:type="dxa"/>
            <w:vAlign w:val="bottom"/>
          </w:tcPr>
          <w:p w14:paraId="1B2680FC" w14:textId="2EF3510C" w:rsidR="00CB5472" w:rsidRPr="003C3F06" w:rsidRDefault="00CB5472" w:rsidP="007552B9">
            <w:pPr>
              <w:autoSpaceDE w:val="0"/>
              <w:autoSpaceDN w:val="0"/>
              <w:adjustRightInd w:val="0"/>
              <w:spacing w:after="0" w:line="240" w:lineRule="auto"/>
              <w:rPr>
                <w:rFonts w:ascii="Times New Roman" w:hAnsi="Times New Roman"/>
                <w:sz w:val="24"/>
                <w:szCs w:val="24"/>
              </w:rPr>
            </w:pPr>
            <w:r w:rsidRPr="003C3F06">
              <w:rPr>
                <w:rFonts w:ascii="Times New Roman" w:hAnsi="Times New Roman"/>
                <w:sz w:val="24"/>
                <w:szCs w:val="24"/>
              </w:rPr>
              <w:t>Adjusted</w:t>
            </w:r>
            <w:r w:rsidR="007552B9">
              <w:rPr>
                <w:rFonts w:ascii="Times New Roman" w:hAnsi="Times New Roman"/>
                <w:sz w:val="24"/>
                <w:szCs w:val="24"/>
              </w:rPr>
              <w:t xml:space="preserve"> </w:t>
            </w:r>
            <w:r w:rsidRPr="003C3F06">
              <w:rPr>
                <w:rFonts w:ascii="Times New Roman" w:hAnsi="Times New Roman"/>
                <w:sz w:val="24"/>
                <w:szCs w:val="24"/>
              </w:rPr>
              <w:t>R-squared</w:t>
            </w:r>
          </w:p>
        </w:tc>
        <w:tc>
          <w:tcPr>
            <w:tcW w:w="1350" w:type="dxa"/>
            <w:vAlign w:val="bottom"/>
          </w:tcPr>
          <w:p w14:paraId="2F2EFB5F" w14:textId="77777777" w:rsidR="00CB5472" w:rsidRPr="003C3F06" w:rsidRDefault="00CB5472" w:rsidP="003C3F06">
            <w:pPr>
              <w:autoSpaceDE w:val="0"/>
              <w:autoSpaceDN w:val="0"/>
              <w:adjustRightInd w:val="0"/>
              <w:spacing w:after="0" w:line="240" w:lineRule="auto"/>
              <w:ind w:right="10"/>
              <w:jc w:val="both"/>
              <w:rPr>
                <w:rFonts w:ascii="Times New Roman" w:hAnsi="Times New Roman"/>
                <w:sz w:val="24"/>
                <w:szCs w:val="24"/>
              </w:rPr>
            </w:pPr>
            <w:r w:rsidRPr="003C3F06">
              <w:rPr>
                <w:rFonts w:ascii="Times New Roman" w:hAnsi="Times New Roman"/>
                <w:sz w:val="24"/>
                <w:szCs w:val="24"/>
              </w:rPr>
              <w:t>0.574805</w:t>
            </w:r>
          </w:p>
        </w:tc>
        <w:tc>
          <w:tcPr>
            <w:tcW w:w="3690" w:type="dxa"/>
            <w:gridSpan w:val="3"/>
            <w:vAlign w:val="bottom"/>
          </w:tcPr>
          <w:p w14:paraId="386E2B5A" w14:textId="77777777" w:rsidR="00CB5472" w:rsidRPr="003C3F06" w:rsidRDefault="00CB5472" w:rsidP="003C3F06">
            <w:pPr>
              <w:autoSpaceDE w:val="0"/>
              <w:autoSpaceDN w:val="0"/>
              <w:adjustRightInd w:val="0"/>
              <w:spacing w:after="0" w:line="240" w:lineRule="auto"/>
              <w:ind w:right="10"/>
              <w:jc w:val="both"/>
              <w:rPr>
                <w:rFonts w:ascii="Times New Roman" w:hAnsi="Times New Roman"/>
                <w:sz w:val="24"/>
                <w:szCs w:val="24"/>
              </w:rPr>
            </w:pPr>
            <w:r w:rsidRPr="003C3F06">
              <w:rPr>
                <w:rFonts w:ascii="Times New Roman" w:hAnsi="Times New Roman"/>
                <w:sz w:val="24"/>
                <w:szCs w:val="24"/>
              </w:rPr>
              <w:t>    S.D. dependent var</w:t>
            </w:r>
          </w:p>
        </w:tc>
        <w:tc>
          <w:tcPr>
            <w:tcW w:w="1080" w:type="dxa"/>
            <w:vAlign w:val="bottom"/>
          </w:tcPr>
          <w:p w14:paraId="7581EC3E" w14:textId="77777777" w:rsidR="00CB5472" w:rsidRPr="003C3F06" w:rsidRDefault="00CB5472" w:rsidP="003C3F06">
            <w:pPr>
              <w:autoSpaceDE w:val="0"/>
              <w:autoSpaceDN w:val="0"/>
              <w:adjustRightInd w:val="0"/>
              <w:spacing w:after="0" w:line="240" w:lineRule="auto"/>
              <w:ind w:right="10"/>
              <w:jc w:val="both"/>
              <w:rPr>
                <w:rFonts w:ascii="Times New Roman" w:hAnsi="Times New Roman"/>
                <w:sz w:val="24"/>
                <w:szCs w:val="24"/>
              </w:rPr>
            </w:pPr>
            <w:r w:rsidRPr="003C3F06">
              <w:rPr>
                <w:rFonts w:ascii="Times New Roman" w:hAnsi="Times New Roman"/>
                <w:sz w:val="24"/>
                <w:szCs w:val="24"/>
              </w:rPr>
              <w:t>0.273380</w:t>
            </w:r>
          </w:p>
        </w:tc>
      </w:tr>
      <w:tr w:rsidR="00CB5472" w:rsidRPr="003C3F06" w14:paraId="44F1C1FE" w14:textId="77777777" w:rsidTr="00B04057">
        <w:trPr>
          <w:trHeight w:val="225"/>
        </w:trPr>
        <w:tc>
          <w:tcPr>
            <w:tcW w:w="2220" w:type="dxa"/>
            <w:vAlign w:val="bottom"/>
          </w:tcPr>
          <w:p w14:paraId="7F403025" w14:textId="003CB4D6" w:rsidR="00CB5472" w:rsidRPr="003C3F06" w:rsidRDefault="00B04057" w:rsidP="003C3F0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S.E. </w:t>
            </w:r>
            <w:r w:rsidR="00CB5472" w:rsidRPr="003C3F06">
              <w:rPr>
                <w:rFonts w:ascii="Times New Roman" w:hAnsi="Times New Roman"/>
                <w:sz w:val="24"/>
                <w:szCs w:val="24"/>
              </w:rPr>
              <w:t>of regression</w:t>
            </w:r>
          </w:p>
        </w:tc>
        <w:tc>
          <w:tcPr>
            <w:tcW w:w="1350" w:type="dxa"/>
            <w:vAlign w:val="bottom"/>
          </w:tcPr>
          <w:p w14:paraId="5C83F5DF" w14:textId="77777777" w:rsidR="00CB5472" w:rsidRPr="003C3F06" w:rsidRDefault="00CB5472" w:rsidP="003C3F06">
            <w:pPr>
              <w:autoSpaceDE w:val="0"/>
              <w:autoSpaceDN w:val="0"/>
              <w:adjustRightInd w:val="0"/>
              <w:spacing w:after="0" w:line="240" w:lineRule="auto"/>
              <w:ind w:right="10"/>
              <w:jc w:val="both"/>
              <w:rPr>
                <w:rFonts w:ascii="Times New Roman" w:hAnsi="Times New Roman"/>
                <w:sz w:val="24"/>
                <w:szCs w:val="24"/>
              </w:rPr>
            </w:pPr>
            <w:r w:rsidRPr="003C3F06">
              <w:rPr>
                <w:rFonts w:ascii="Times New Roman" w:hAnsi="Times New Roman"/>
                <w:sz w:val="24"/>
                <w:szCs w:val="24"/>
              </w:rPr>
              <w:t>0.178263</w:t>
            </w:r>
          </w:p>
        </w:tc>
        <w:tc>
          <w:tcPr>
            <w:tcW w:w="3690" w:type="dxa"/>
            <w:gridSpan w:val="3"/>
            <w:vAlign w:val="bottom"/>
          </w:tcPr>
          <w:p w14:paraId="4D7C64B8" w14:textId="77777777" w:rsidR="00CB5472" w:rsidRPr="003C3F06" w:rsidRDefault="00CB5472" w:rsidP="003C3F06">
            <w:pPr>
              <w:autoSpaceDE w:val="0"/>
              <w:autoSpaceDN w:val="0"/>
              <w:adjustRightInd w:val="0"/>
              <w:spacing w:after="0" w:line="240" w:lineRule="auto"/>
              <w:ind w:right="10"/>
              <w:jc w:val="both"/>
              <w:rPr>
                <w:rFonts w:ascii="Times New Roman" w:hAnsi="Times New Roman"/>
                <w:sz w:val="24"/>
                <w:szCs w:val="24"/>
              </w:rPr>
            </w:pPr>
            <w:r w:rsidRPr="003C3F06">
              <w:rPr>
                <w:rFonts w:ascii="Times New Roman" w:hAnsi="Times New Roman"/>
                <w:sz w:val="24"/>
                <w:szCs w:val="24"/>
              </w:rPr>
              <w:t>    Akaike info criterion</w:t>
            </w:r>
          </w:p>
        </w:tc>
        <w:tc>
          <w:tcPr>
            <w:tcW w:w="1080" w:type="dxa"/>
            <w:vAlign w:val="bottom"/>
          </w:tcPr>
          <w:p w14:paraId="3830D896" w14:textId="77777777" w:rsidR="00CB5472" w:rsidRPr="003C3F06" w:rsidRDefault="00CB5472" w:rsidP="003C3F06">
            <w:pPr>
              <w:autoSpaceDE w:val="0"/>
              <w:autoSpaceDN w:val="0"/>
              <w:adjustRightInd w:val="0"/>
              <w:spacing w:after="0" w:line="240" w:lineRule="auto"/>
              <w:ind w:right="10"/>
              <w:jc w:val="both"/>
              <w:rPr>
                <w:rFonts w:ascii="Times New Roman" w:hAnsi="Times New Roman"/>
                <w:sz w:val="24"/>
                <w:szCs w:val="24"/>
              </w:rPr>
            </w:pPr>
            <w:r w:rsidRPr="003C3F06">
              <w:rPr>
                <w:rFonts w:ascii="Times New Roman" w:hAnsi="Times New Roman"/>
                <w:sz w:val="24"/>
                <w:szCs w:val="24"/>
              </w:rPr>
              <w:t>-0.565717</w:t>
            </w:r>
          </w:p>
        </w:tc>
      </w:tr>
      <w:tr w:rsidR="00CB5472" w:rsidRPr="003C3F06" w14:paraId="32EA7A9C" w14:textId="77777777" w:rsidTr="00B04057">
        <w:trPr>
          <w:trHeight w:val="225"/>
        </w:trPr>
        <w:tc>
          <w:tcPr>
            <w:tcW w:w="2220" w:type="dxa"/>
            <w:vAlign w:val="bottom"/>
          </w:tcPr>
          <w:p w14:paraId="09ABFC67" w14:textId="6FF76077" w:rsidR="00CB5472" w:rsidRPr="003C3F06" w:rsidRDefault="00B04057" w:rsidP="003C3F0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Sum square </w:t>
            </w:r>
            <w:proofErr w:type="spellStart"/>
            <w:r>
              <w:rPr>
                <w:rFonts w:ascii="Times New Roman" w:hAnsi="Times New Roman"/>
                <w:sz w:val="24"/>
                <w:szCs w:val="24"/>
              </w:rPr>
              <w:t>d</w:t>
            </w:r>
            <w:r w:rsidR="00CB5472" w:rsidRPr="003C3F06">
              <w:rPr>
                <w:rFonts w:ascii="Times New Roman" w:hAnsi="Times New Roman"/>
                <w:sz w:val="24"/>
                <w:szCs w:val="24"/>
              </w:rPr>
              <w:t>resid</w:t>
            </w:r>
            <w:proofErr w:type="spellEnd"/>
          </w:p>
        </w:tc>
        <w:tc>
          <w:tcPr>
            <w:tcW w:w="1350" w:type="dxa"/>
            <w:vAlign w:val="bottom"/>
          </w:tcPr>
          <w:p w14:paraId="25FEA7B4" w14:textId="77777777" w:rsidR="00CB5472" w:rsidRPr="003C3F06" w:rsidRDefault="00CB5472" w:rsidP="003C3F06">
            <w:pPr>
              <w:autoSpaceDE w:val="0"/>
              <w:autoSpaceDN w:val="0"/>
              <w:adjustRightInd w:val="0"/>
              <w:spacing w:after="0" w:line="240" w:lineRule="auto"/>
              <w:ind w:right="10"/>
              <w:jc w:val="both"/>
              <w:rPr>
                <w:rFonts w:ascii="Times New Roman" w:hAnsi="Times New Roman"/>
                <w:sz w:val="24"/>
                <w:szCs w:val="24"/>
              </w:rPr>
            </w:pPr>
            <w:r w:rsidRPr="003C3F06">
              <w:rPr>
                <w:rFonts w:ascii="Times New Roman" w:hAnsi="Times New Roman"/>
                <w:sz w:val="24"/>
                <w:szCs w:val="24"/>
              </w:rPr>
              <w:t>3.908659</w:t>
            </w:r>
          </w:p>
        </w:tc>
        <w:tc>
          <w:tcPr>
            <w:tcW w:w="3690" w:type="dxa"/>
            <w:gridSpan w:val="3"/>
            <w:vAlign w:val="bottom"/>
          </w:tcPr>
          <w:p w14:paraId="35746548" w14:textId="77777777" w:rsidR="00CB5472" w:rsidRPr="003C3F06" w:rsidRDefault="00CB5472" w:rsidP="003C3F06">
            <w:pPr>
              <w:autoSpaceDE w:val="0"/>
              <w:autoSpaceDN w:val="0"/>
              <w:adjustRightInd w:val="0"/>
              <w:spacing w:after="0" w:line="240" w:lineRule="auto"/>
              <w:ind w:right="10"/>
              <w:jc w:val="both"/>
              <w:rPr>
                <w:rFonts w:ascii="Times New Roman" w:hAnsi="Times New Roman"/>
                <w:sz w:val="24"/>
                <w:szCs w:val="24"/>
              </w:rPr>
            </w:pPr>
            <w:r w:rsidRPr="003C3F06">
              <w:rPr>
                <w:rFonts w:ascii="Times New Roman" w:hAnsi="Times New Roman"/>
                <w:sz w:val="24"/>
                <w:szCs w:val="24"/>
              </w:rPr>
              <w:t>    Schwarz criterion</w:t>
            </w:r>
          </w:p>
        </w:tc>
        <w:tc>
          <w:tcPr>
            <w:tcW w:w="1080" w:type="dxa"/>
            <w:vAlign w:val="bottom"/>
          </w:tcPr>
          <w:p w14:paraId="4D5E3A2C" w14:textId="77777777" w:rsidR="00CB5472" w:rsidRPr="003C3F06" w:rsidRDefault="00CB5472" w:rsidP="003C3F06">
            <w:pPr>
              <w:autoSpaceDE w:val="0"/>
              <w:autoSpaceDN w:val="0"/>
              <w:adjustRightInd w:val="0"/>
              <w:spacing w:after="0" w:line="240" w:lineRule="auto"/>
              <w:ind w:right="10"/>
              <w:jc w:val="both"/>
              <w:rPr>
                <w:rFonts w:ascii="Times New Roman" w:hAnsi="Times New Roman"/>
                <w:sz w:val="24"/>
                <w:szCs w:val="24"/>
              </w:rPr>
            </w:pPr>
            <w:r w:rsidRPr="003C3F06">
              <w:rPr>
                <w:rFonts w:ascii="Times New Roman" w:hAnsi="Times New Roman"/>
                <w:sz w:val="24"/>
                <w:szCs w:val="24"/>
              </w:rPr>
              <w:t>-0.432702</w:t>
            </w:r>
          </w:p>
        </w:tc>
      </w:tr>
      <w:tr w:rsidR="00CB5472" w:rsidRPr="003C3F06" w14:paraId="1C91ADBA" w14:textId="77777777" w:rsidTr="00B04057">
        <w:trPr>
          <w:trHeight w:val="225"/>
        </w:trPr>
        <w:tc>
          <w:tcPr>
            <w:tcW w:w="2220" w:type="dxa"/>
            <w:vAlign w:val="bottom"/>
          </w:tcPr>
          <w:p w14:paraId="686E773B" w14:textId="77777777" w:rsidR="00CB5472" w:rsidRPr="003C3F06" w:rsidRDefault="00CB5472" w:rsidP="003C3F06">
            <w:pPr>
              <w:autoSpaceDE w:val="0"/>
              <w:autoSpaceDN w:val="0"/>
              <w:adjustRightInd w:val="0"/>
              <w:spacing w:after="0" w:line="240" w:lineRule="auto"/>
              <w:jc w:val="both"/>
              <w:rPr>
                <w:rFonts w:ascii="Times New Roman" w:hAnsi="Times New Roman"/>
                <w:sz w:val="24"/>
                <w:szCs w:val="24"/>
              </w:rPr>
            </w:pPr>
            <w:r w:rsidRPr="003C3F06">
              <w:rPr>
                <w:rFonts w:ascii="Times New Roman" w:hAnsi="Times New Roman"/>
                <w:sz w:val="24"/>
                <w:szCs w:val="24"/>
              </w:rPr>
              <w:t>Log likelihood</w:t>
            </w:r>
          </w:p>
        </w:tc>
        <w:tc>
          <w:tcPr>
            <w:tcW w:w="1350" w:type="dxa"/>
            <w:vAlign w:val="bottom"/>
          </w:tcPr>
          <w:p w14:paraId="70E0F3FD" w14:textId="77777777" w:rsidR="00CB5472" w:rsidRPr="003C3F06" w:rsidRDefault="00CB5472" w:rsidP="003C3F06">
            <w:pPr>
              <w:autoSpaceDE w:val="0"/>
              <w:autoSpaceDN w:val="0"/>
              <w:adjustRightInd w:val="0"/>
              <w:spacing w:after="0" w:line="240" w:lineRule="auto"/>
              <w:ind w:right="10"/>
              <w:jc w:val="both"/>
              <w:rPr>
                <w:rFonts w:ascii="Times New Roman" w:hAnsi="Times New Roman"/>
                <w:sz w:val="24"/>
                <w:szCs w:val="24"/>
              </w:rPr>
            </w:pPr>
            <w:r w:rsidRPr="003C3F06">
              <w:rPr>
                <w:rFonts w:ascii="Times New Roman" w:hAnsi="Times New Roman"/>
                <w:sz w:val="24"/>
                <w:szCs w:val="24"/>
              </w:rPr>
              <w:t>42.488779</w:t>
            </w:r>
          </w:p>
        </w:tc>
        <w:tc>
          <w:tcPr>
            <w:tcW w:w="3690" w:type="dxa"/>
            <w:gridSpan w:val="3"/>
            <w:vAlign w:val="bottom"/>
          </w:tcPr>
          <w:p w14:paraId="00FD1DC9" w14:textId="77777777" w:rsidR="00CB5472" w:rsidRPr="003C3F06" w:rsidRDefault="00CB5472" w:rsidP="003C3F06">
            <w:pPr>
              <w:autoSpaceDE w:val="0"/>
              <w:autoSpaceDN w:val="0"/>
              <w:adjustRightInd w:val="0"/>
              <w:spacing w:after="0" w:line="240" w:lineRule="auto"/>
              <w:ind w:right="10"/>
              <w:jc w:val="both"/>
              <w:rPr>
                <w:rFonts w:ascii="Times New Roman" w:hAnsi="Times New Roman"/>
                <w:sz w:val="24"/>
                <w:szCs w:val="24"/>
              </w:rPr>
            </w:pPr>
            <w:r w:rsidRPr="003C3F06">
              <w:rPr>
                <w:rFonts w:ascii="Times New Roman" w:hAnsi="Times New Roman"/>
                <w:sz w:val="24"/>
                <w:szCs w:val="24"/>
              </w:rPr>
              <w:t xml:space="preserve">    Hannan-Quinn </w:t>
            </w:r>
            <w:proofErr w:type="spellStart"/>
            <w:r w:rsidRPr="003C3F06">
              <w:rPr>
                <w:rFonts w:ascii="Times New Roman" w:hAnsi="Times New Roman"/>
                <w:sz w:val="24"/>
                <w:szCs w:val="24"/>
              </w:rPr>
              <w:t>criter</w:t>
            </w:r>
            <w:proofErr w:type="spellEnd"/>
            <w:r w:rsidRPr="003C3F06">
              <w:rPr>
                <w:rFonts w:ascii="Times New Roman" w:hAnsi="Times New Roman"/>
                <w:sz w:val="24"/>
                <w:szCs w:val="24"/>
              </w:rPr>
              <w:t>.</w:t>
            </w:r>
          </w:p>
        </w:tc>
        <w:tc>
          <w:tcPr>
            <w:tcW w:w="1080" w:type="dxa"/>
            <w:vAlign w:val="bottom"/>
          </w:tcPr>
          <w:p w14:paraId="096C58A7" w14:textId="77777777" w:rsidR="00CB5472" w:rsidRPr="003C3F06" w:rsidRDefault="00CB5472" w:rsidP="003C3F06">
            <w:pPr>
              <w:autoSpaceDE w:val="0"/>
              <w:autoSpaceDN w:val="0"/>
              <w:adjustRightInd w:val="0"/>
              <w:spacing w:after="0" w:line="240" w:lineRule="auto"/>
              <w:ind w:right="10"/>
              <w:jc w:val="both"/>
              <w:rPr>
                <w:rFonts w:ascii="Times New Roman" w:hAnsi="Times New Roman"/>
                <w:sz w:val="24"/>
                <w:szCs w:val="24"/>
              </w:rPr>
            </w:pPr>
            <w:r w:rsidRPr="003C3F06">
              <w:rPr>
                <w:rFonts w:ascii="Times New Roman" w:hAnsi="Times New Roman"/>
                <w:sz w:val="24"/>
                <w:szCs w:val="24"/>
              </w:rPr>
              <w:t>-0.511671</w:t>
            </w:r>
          </w:p>
        </w:tc>
      </w:tr>
      <w:tr w:rsidR="00CB5472" w:rsidRPr="003C3F06" w14:paraId="1316C4EC" w14:textId="77777777" w:rsidTr="00B04057">
        <w:trPr>
          <w:trHeight w:val="225"/>
        </w:trPr>
        <w:tc>
          <w:tcPr>
            <w:tcW w:w="2220" w:type="dxa"/>
            <w:vAlign w:val="bottom"/>
          </w:tcPr>
          <w:p w14:paraId="1BC27A3F" w14:textId="77777777" w:rsidR="00CB5472" w:rsidRPr="003C3F06" w:rsidRDefault="00CB5472" w:rsidP="003C3F06">
            <w:pPr>
              <w:autoSpaceDE w:val="0"/>
              <w:autoSpaceDN w:val="0"/>
              <w:adjustRightInd w:val="0"/>
              <w:spacing w:after="0" w:line="240" w:lineRule="auto"/>
              <w:jc w:val="both"/>
              <w:rPr>
                <w:rFonts w:ascii="Times New Roman" w:hAnsi="Times New Roman"/>
                <w:sz w:val="24"/>
                <w:szCs w:val="24"/>
              </w:rPr>
            </w:pPr>
            <w:r w:rsidRPr="003C3F06">
              <w:rPr>
                <w:rFonts w:ascii="Times New Roman" w:hAnsi="Times New Roman"/>
                <w:sz w:val="24"/>
                <w:szCs w:val="24"/>
              </w:rPr>
              <w:t>F-statistic</w:t>
            </w:r>
          </w:p>
        </w:tc>
        <w:tc>
          <w:tcPr>
            <w:tcW w:w="1350" w:type="dxa"/>
            <w:vAlign w:val="bottom"/>
          </w:tcPr>
          <w:p w14:paraId="0ED89187" w14:textId="77777777" w:rsidR="00CB5472" w:rsidRPr="003C3F06" w:rsidRDefault="00CB5472" w:rsidP="003C3F06">
            <w:pPr>
              <w:autoSpaceDE w:val="0"/>
              <w:autoSpaceDN w:val="0"/>
              <w:adjustRightInd w:val="0"/>
              <w:spacing w:after="0" w:line="240" w:lineRule="auto"/>
              <w:ind w:right="10"/>
              <w:jc w:val="both"/>
              <w:rPr>
                <w:rFonts w:ascii="Times New Roman" w:hAnsi="Times New Roman"/>
                <w:sz w:val="24"/>
                <w:szCs w:val="24"/>
              </w:rPr>
            </w:pPr>
            <w:r w:rsidRPr="003C3F06">
              <w:rPr>
                <w:rFonts w:ascii="Times New Roman" w:hAnsi="Times New Roman"/>
                <w:sz w:val="24"/>
                <w:szCs w:val="24"/>
              </w:rPr>
              <w:t>35.607726</w:t>
            </w:r>
          </w:p>
        </w:tc>
        <w:tc>
          <w:tcPr>
            <w:tcW w:w="3690" w:type="dxa"/>
            <w:gridSpan w:val="3"/>
            <w:vAlign w:val="bottom"/>
          </w:tcPr>
          <w:p w14:paraId="2553A094" w14:textId="77777777" w:rsidR="00CB5472" w:rsidRPr="003C3F06" w:rsidRDefault="00CB5472" w:rsidP="003C3F06">
            <w:pPr>
              <w:autoSpaceDE w:val="0"/>
              <w:autoSpaceDN w:val="0"/>
              <w:adjustRightInd w:val="0"/>
              <w:spacing w:after="0" w:line="240" w:lineRule="auto"/>
              <w:ind w:right="10"/>
              <w:jc w:val="both"/>
              <w:rPr>
                <w:rFonts w:ascii="Times New Roman" w:hAnsi="Times New Roman"/>
                <w:sz w:val="24"/>
                <w:szCs w:val="24"/>
              </w:rPr>
            </w:pPr>
            <w:r w:rsidRPr="003C3F06">
              <w:rPr>
                <w:rFonts w:ascii="Times New Roman" w:hAnsi="Times New Roman"/>
                <w:sz w:val="24"/>
                <w:szCs w:val="24"/>
              </w:rPr>
              <w:t>    Durbin-Watson stat</w:t>
            </w:r>
          </w:p>
        </w:tc>
        <w:tc>
          <w:tcPr>
            <w:tcW w:w="1080" w:type="dxa"/>
            <w:vAlign w:val="bottom"/>
          </w:tcPr>
          <w:p w14:paraId="14441643" w14:textId="261EBC5F" w:rsidR="00CB5472" w:rsidRPr="003C3F06" w:rsidRDefault="00B04057" w:rsidP="003C3F06">
            <w:pPr>
              <w:autoSpaceDE w:val="0"/>
              <w:autoSpaceDN w:val="0"/>
              <w:adjustRightInd w:val="0"/>
              <w:spacing w:after="0" w:line="240" w:lineRule="auto"/>
              <w:ind w:right="10"/>
              <w:jc w:val="both"/>
              <w:rPr>
                <w:rFonts w:ascii="Times New Roman" w:hAnsi="Times New Roman"/>
                <w:sz w:val="24"/>
                <w:szCs w:val="24"/>
              </w:rPr>
            </w:pPr>
            <w:r>
              <w:rPr>
                <w:rFonts w:ascii="Times New Roman" w:hAnsi="Times New Roman"/>
                <w:sz w:val="24"/>
                <w:szCs w:val="24"/>
              </w:rPr>
              <w:t>1</w:t>
            </w:r>
            <w:r w:rsidR="00CB5472" w:rsidRPr="003C3F06">
              <w:rPr>
                <w:rFonts w:ascii="Times New Roman" w:hAnsi="Times New Roman"/>
                <w:sz w:val="24"/>
                <w:szCs w:val="24"/>
              </w:rPr>
              <w:t>.913340</w:t>
            </w:r>
          </w:p>
        </w:tc>
      </w:tr>
      <w:tr w:rsidR="00CB5472" w:rsidRPr="003C3F06" w14:paraId="5085DACD" w14:textId="77777777" w:rsidTr="00B04057">
        <w:trPr>
          <w:trHeight w:val="225"/>
        </w:trPr>
        <w:tc>
          <w:tcPr>
            <w:tcW w:w="2220" w:type="dxa"/>
            <w:vAlign w:val="bottom"/>
          </w:tcPr>
          <w:p w14:paraId="6B8D52E2" w14:textId="77777777" w:rsidR="00CB5472" w:rsidRPr="003C3F06" w:rsidRDefault="00CB5472" w:rsidP="003C3F06">
            <w:pPr>
              <w:autoSpaceDE w:val="0"/>
              <w:autoSpaceDN w:val="0"/>
              <w:adjustRightInd w:val="0"/>
              <w:spacing w:after="0" w:line="240" w:lineRule="auto"/>
              <w:jc w:val="both"/>
              <w:rPr>
                <w:rFonts w:ascii="Times New Roman" w:hAnsi="Times New Roman"/>
                <w:sz w:val="24"/>
                <w:szCs w:val="24"/>
              </w:rPr>
            </w:pPr>
            <w:r w:rsidRPr="003C3F06">
              <w:rPr>
                <w:rFonts w:ascii="Times New Roman" w:hAnsi="Times New Roman"/>
                <w:sz w:val="24"/>
                <w:szCs w:val="24"/>
              </w:rPr>
              <w:t>Prob(F-statistic)</w:t>
            </w:r>
          </w:p>
        </w:tc>
        <w:tc>
          <w:tcPr>
            <w:tcW w:w="1350" w:type="dxa"/>
            <w:vAlign w:val="bottom"/>
          </w:tcPr>
          <w:p w14:paraId="27B192B0" w14:textId="5C317A3D" w:rsidR="00CB5472" w:rsidRPr="003C3F06" w:rsidRDefault="00B04057" w:rsidP="003C3F06">
            <w:pPr>
              <w:autoSpaceDE w:val="0"/>
              <w:autoSpaceDN w:val="0"/>
              <w:adjustRightInd w:val="0"/>
              <w:spacing w:after="0" w:line="240" w:lineRule="auto"/>
              <w:ind w:right="10"/>
              <w:jc w:val="both"/>
              <w:rPr>
                <w:rFonts w:ascii="Times New Roman" w:hAnsi="Times New Roman"/>
                <w:sz w:val="24"/>
                <w:szCs w:val="24"/>
              </w:rPr>
            </w:pPr>
            <w:r>
              <w:rPr>
                <w:rFonts w:ascii="Times New Roman" w:hAnsi="Times New Roman"/>
                <w:sz w:val="24"/>
                <w:szCs w:val="24"/>
              </w:rPr>
              <w:t>0.0000</w:t>
            </w:r>
            <w:r w:rsidR="00CB5472" w:rsidRPr="003C3F06">
              <w:rPr>
                <w:rFonts w:ascii="Times New Roman" w:hAnsi="Times New Roman"/>
                <w:sz w:val="24"/>
                <w:szCs w:val="24"/>
              </w:rPr>
              <w:t>302</w:t>
            </w:r>
          </w:p>
        </w:tc>
        <w:tc>
          <w:tcPr>
            <w:tcW w:w="1350" w:type="dxa"/>
            <w:vAlign w:val="bottom"/>
          </w:tcPr>
          <w:p w14:paraId="62553F6E" w14:textId="77777777" w:rsidR="00CB5472" w:rsidRPr="003C3F06" w:rsidRDefault="00CB5472" w:rsidP="003C3F06">
            <w:pPr>
              <w:autoSpaceDE w:val="0"/>
              <w:autoSpaceDN w:val="0"/>
              <w:adjustRightInd w:val="0"/>
              <w:spacing w:after="0" w:line="240" w:lineRule="auto"/>
              <w:ind w:right="10"/>
              <w:jc w:val="both"/>
              <w:rPr>
                <w:rFonts w:ascii="Times New Roman" w:hAnsi="Times New Roman"/>
                <w:sz w:val="24"/>
                <w:szCs w:val="24"/>
              </w:rPr>
            </w:pPr>
          </w:p>
        </w:tc>
        <w:tc>
          <w:tcPr>
            <w:tcW w:w="2340" w:type="dxa"/>
            <w:gridSpan w:val="2"/>
            <w:vAlign w:val="bottom"/>
          </w:tcPr>
          <w:p w14:paraId="7B6F4276" w14:textId="77777777" w:rsidR="00CB5472" w:rsidRPr="003C3F06" w:rsidRDefault="00CB5472" w:rsidP="003C3F06">
            <w:pPr>
              <w:autoSpaceDE w:val="0"/>
              <w:autoSpaceDN w:val="0"/>
              <w:adjustRightInd w:val="0"/>
              <w:spacing w:after="0" w:line="240" w:lineRule="auto"/>
              <w:ind w:right="10"/>
              <w:jc w:val="both"/>
              <w:rPr>
                <w:rFonts w:ascii="Times New Roman" w:hAnsi="Times New Roman"/>
                <w:sz w:val="24"/>
                <w:szCs w:val="24"/>
              </w:rPr>
            </w:pPr>
          </w:p>
        </w:tc>
        <w:tc>
          <w:tcPr>
            <w:tcW w:w="1080" w:type="dxa"/>
            <w:vAlign w:val="bottom"/>
          </w:tcPr>
          <w:p w14:paraId="7655B175" w14:textId="77777777" w:rsidR="00CB5472" w:rsidRPr="003C3F06" w:rsidRDefault="00CB5472" w:rsidP="003C3F06">
            <w:pPr>
              <w:autoSpaceDE w:val="0"/>
              <w:autoSpaceDN w:val="0"/>
              <w:adjustRightInd w:val="0"/>
              <w:spacing w:after="0" w:line="240" w:lineRule="auto"/>
              <w:ind w:right="10"/>
              <w:jc w:val="both"/>
              <w:rPr>
                <w:rFonts w:ascii="Times New Roman" w:hAnsi="Times New Roman"/>
                <w:sz w:val="24"/>
                <w:szCs w:val="24"/>
              </w:rPr>
            </w:pPr>
          </w:p>
        </w:tc>
      </w:tr>
      <w:tr w:rsidR="00CB5472" w:rsidRPr="003C3F06" w14:paraId="037A4456" w14:textId="77777777" w:rsidTr="00B04057">
        <w:trPr>
          <w:trHeight w:hRule="exact" w:val="90"/>
        </w:trPr>
        <w:tc>
          <w:tcPr>
            <w:tcW w:w="2220" w:type="dxa"/>
            <w:vAlign w:val="bottom"/>
          </w:tcPr>
          <w:p w14:paraId="3A27C9B5" w14:textId="77777777" w:rsidR="00CB5472" w:rsidRPr="003C3F06" w:rsidRDefault="00CB5472" w:rsidP="003C3F06">
            <w:pPr>
              <w:autoSpaceDE w:val="0"/>
              <w:autoSpaceDN w:val="0"/>
              <w:adjustRightInd w:val="0"/>
              <w:spacing w:after="0" w:line="240" w:lineRule="auto"/>
              <w:jc w:val="both"/>
              <w:rPr>
                <w:rFonts w:ascii="Times New Roman" w:hAnsi="Times New Roman"/>
                <w:sz w:val="24"/>
                <w:szCs w:val="24"/>
              </w:rPr>
            </w:pPr>
          </w:p>
        </w:tc>
        <w:tc>
          <w:tcPr>
            <w:tcW w:w="1350" w:type="dxa"/>
            <w:vAlign w:val="bottom"/>
          </w:tcPr>
          <w:p w14:paraId="2371F96D" w14:textId="77777777" w:rsidR="00CB5472" w:rsidRPr="003C3F06" w:rsidRDefault="00CB5472" w:rsidP="003C3F06">
            <w:pPr>
              <w:autoSpaceDE w:val="0"/>
              <w:autoSpaceDN w:val="0"/>
              <w:adjustRightInd w:val="0"/>
              <w:spacing w:after="0" w:line="240" w:lineRule="auto"/>
              <w:jc w:val="both"/>
              <w:rPr>
                <w:rFonts w:ascii="Times New Roman" w:hAnsi="Times New Roman"/>
                <w:sz w:val="24"/>
                <w:szCs w:val="24"/>
              </w:rPr>
            </w:pPr>
          </w:p>
        </w:tc>
        <w:tc>
          <w:tcPr>
            <w:tcW w:w="1350" w:type="dxa"/>
            <w:vAlign w:val="bottom"/>
          </w:tcPr>
          <w:p w14:paraId="667A87D0" w14:textId="77777777" w:rsidR="00CB5472" w:rsidRPr="003C3F06" w:rsidRDefault="00CB5472" w:rsidP="003C3F06">
            <w:pPr>
              <w:autoSpaceDE w:val="0"/>
              <w:autoSpaceDN w:val="0"/>
              <w:adjustRightInd w:val="0"/>
              <w:spacing w:after="0" w:line="240" w:lineRule="auto"/>
              <w:jc w:val="both"/>
              <w:rPr>
                <w:rFonts w:ascii="Times New Roman" w:hAnsi="Times New Roman"/>
                <w:sz w:val="24"/>
                <w:szCs w:val="24"/>
              </w:rPr>
            </w:pPr>
          </w:p>
        </w:tc>
        <w:tc>
          <w:tcPr>
            <w:tcW w:w="2340" w:type="dxa"/>
            <w:gridSpan w:val="2"/>
            <w:vAlign w:val="bottom"/>
          </w:tcPr>
          <w:p w14:paraId="05B91FC4" w14:textId="77777777" w:rsidR="00CB5472" w:rsidRPr="003C3F06" w:rsidRDefault="00CB5472" w:rsidP="003C3F06">
            <w:pPr>
              <w:autoSpaceDE w:val="0"/>
              <w:autoSpaceDN w:val="0"/>
              <w:adjustRightInd w:val="0"/>
              <w:spacing w:after="0" w:line="240" w:lineRule="auto"/>
              <w:jc w:val="both"/>
              <w:rPr>
                <w:rFonts w:ascii="Times New Roman" w:hAnsi="Times New Roman"/>
                <w:sz w:val="24"/>
                <w:szCs w:val="24"/>
              </w:rPr>
            </w:pPr>
          </w:p>
        </w:tc>
        <w:tc>
          <w:tcPr>
            <w:tcW w:w="1080" w:type="dxa"/>
            <w:vAlign w:val="bottom"/>
          </w:tcPr>
          <w:p w14:paraId="2A045694" w14:textId="77777777" w:rsidR="00CB5472" w:rsidRPr="003C3F06" w:rsidRDefault="00CB5472" w:rsidP="003C3F06">
            <w:pPr>
              <w:autoSpaceDE w:val="0"/>
              <w:autoSpaceDN w:val="0"/>
              <w:adjustRightInd w:val="0"/>
              <w:spacing w:after="0" w:line="240" w:lineRule="auto"/>
              <w:jc w:val="both"/>
              <w:rPr>
                <w:rFonts w:ascii="Times New Roman" w:hAnsi="Times New Roman"/>
                <w:sz w:val="24"/>
                <w:szCs w:val="24"/>
              </w:rPr>
            </w:pPr>
          </w:p>
        </w:tc>
      </w:tr>
      <w:tr w:rsidR="00CB5472" w:rsidRPr="003C3F06" w14:paraId="4ABE6BA6" w14:textId="77777777" w:rsidTr="00B04057">
        <w:trPr>
          <w:trHeight w:hRule="exact" w:val="135"/>
        </w:trPr>
        <w:tc>
          <w:tcPr>
            <w:tcW w:w="2220" w:type="dxa"/>
            <w:vAlign w:val="bottom"/>
          </w:tcPr>
          <w:p w14:paraId="049C3F2F" w14:textId="77777777" w:rsidR="00CB5472" w:rsidRPr="003C3F06" w:rsidRDefault="00CB5472" w:rsidP="003C3F06">
            <w:pPr>
              <w:autoSpaceDE w:val="0"/>
              <w:autoSpaceDN w:val="0"/>
              <w:adjustRightInd w:val="0"/>
              <w:spacing w:after="0" w:line="240" w:lineRule="auto"/>
              <w:jc w:val="both"/>
              <w:rPr>
                <w:rFonts w:ascii="Times New Roman" w:hAnsi="Times New Roman"/>
                <w:sz w:val="24"/>
                <w:szCs w:val="24"/>
              </w:rPr>
            </w:pPr>
          </w:p>
        </w:tc>
        <w:tc>
          <w:tcPr>
            <w:tcW w:w="1350" w:type="dxa"/>
            <w:vAlign w:val="bottom"/>
          </w:tcPr>
          <w:p w14:paraId="79309A6E" w14:textId="77777777" w:rsidR="00CB5472" w:rsidRPr="003C3F06" w:rsidRDefault="00CB5472" w:rsidP="003C3F06">
            <w:pPr>
              <w:autoSpaceDE w:val="0"/>
              <w:autoSpaceDN w:val="0"/>
              <w:adjustRightInd w:val="0"/>
              <w:spacing w:after="0" w:line="240" w:lineRule="auto"/>
              <w:jc w:val="both"/>
              <w:rPr>
                <w:rFonts w:ascii="Times New Roman" w:hAnsi="Times New Roman"/>
                <w:sz w:val="24"/>
                <w:szCs w:val="24"/>
              </w:rPr>
            </w:pPr>
          </w:p>
        </w:tc>
        <w:tc>
          <w:tcPr>
            <w:tcW w:w="1350" w:type="dxa"/>
            <w:vAlign w:val="bottom"/>
          </w:tcPr>
          <w:p w14:paraId="58A15C2E" w14:textId="77777777" w:rsidR="00CB5472" w:rsidRPr="003C3F06" w:rsidRDefault="00CB5472" w:rsidP="003C3F06">
            <w:pPr>
              <w:autoSpaceDE w:val="0"/>
              <w:autoSpaceDN w:val="0"/>
              <w:adjustRightInd w:val="0"/>
              <w:spacing w:after="0" w:line="240" w:lineRule="auto"/>
              <w:jc w:val="both"/>
              <w:rPr>
                <w:rFonts w:ascii="Times New Roman" w:hAnsi="Times New Roman"/>
                <w:sz w:val="24"/>
                <w:szCs w:val="24"/>
              </w:rPr>
            </w:pPr>
          </w:p>
        </w:tc>
        <w:tc>
          <w:tcPr>
            <w:tcW w:w="2340" w:type="dxa"/>
            <w:gridSpan w:val="2"/>
            <w:vAlign w:val="bottom"/>
          </w:tcPr>
          <w:p w14:paraId="415A320B" w14:textId="77777777" w:rsidR="00CB5472" w:rsidRPr="003C3F06" w:rsidRDefault="00CB5472" w:rsidP="003C3F06">
            <w:pPr>
              <w:autoSpaceDE w:val="0"/>
              <w:autoSpaceDN w:val="0"/>
              <w:adjustRightInd w:val="0"/>
              <w:spacing w:after="0" w:line="240" w:lineRule="auto"/>
              <w:jc w:val="both"/>
              <w:rPr>
                <w:rFonts w:ascii="Times New Roman" w:hAnsi="Times New Roman"/>
                <w:sz w:val="24"/>
                <w:szCs w:val="24"/>
              </w:rPr>
            </w:pPr>
          </w:p>
        </w:tc>
        <w:tc>
          <w:tcPr>
            <w:tcW w:w="1080" w:type="dxa"/>
            <w:vAlign w:val="bottom"/>
          </w:tcPr>
          <w:p w14:paraId="3C3EA7F6" w14:textId="77777777" w:rsidR="00CB5472" w:rsidRPr="003C3F06" w:rsidRDefault="00CB5472" w:rsidP="003C3F06">
            <w:pPr>
              <w:autoSpaceDE w:val="0"/>
              <w:autoSpaceDN w:val="0"/>
              <w:adjustRightInd w:val="0"/>
              <w:spacing w:after="0" w:line="240" w:lineRule="auto"/>
              <w:jc w:val="both"/>
              <w:rPr>
                <w:rFonts w:ascii="Times New Roman" w:hAnsi="Times New Roman"/>
                <w:sz w:val="24"/>
                <w:szCs w:val="24"/>
              </w:rPr>
            </w:pPr>
          </w:p>
        </w:tc>
      </w:tr>
    </w:tbl>
    <w:p w14:paraId="3D360BBE" w14:textId="77777777" w:rsidR="002005C5" w:rsidRPr="003C3F06" w:rsidRDefault="002005C5" w:rsidP="007552B9">
      <w:pPr>
        <w:pBdr>
          <w:top w:val="single" w:sz="4" w:space="1" w:color="auto"/>
        </w:pBdr>
        <w:spacing w:line="240" w:lineRule="auto"/>
        <w:jc w:val="both"/>
        <w:rPr>
          <w:rFonts w:ascii="Times New Roman" w:hAnsi="Times New Roman"/>
          <w:b/>
          <w:sz w:val="24"/>
          <w:szCs w:val="24"/>
        </w:rPr>
      </w:pPr>
      <w:r w:rsidRPr="003C3F06">
        <w:rPr>
          <w:rFonts w:ascii="Times New Roman" w:hAnsi="Times New Roman"/>
          <w:b/>
          <w:sz w:val="24"/>
          <w:szCs w:val="24"/>
        </w:rPr>
        <w:t>Source: Researchers’ Computation 2025</w:t>
      </w:r>
    </w:p>
    <w:p w14:paraId="2C98AFF1" w14:textId="7D4734EA" w:rsidR="00F765A7" w:rsidRPr="00F765A7" w:rsidRDefault="00F765A7" w:rsidP="00F765A7">
      <w:pPr>
        <w:spacing w:before="100" w:beforeAutospacing="1" w:after="100" w:afterAutospacing="1" w:line="360" w:lineRule="auto"/>
        <w:jc w:val="both"/>
        <w:rPr>
          <w:rFonts w:ascii="Times New Roman" w:eastAsia="Times New Roman" w:hAnsi="Times New Roman"/>
          <w:sz w:val="24"/>
          <w:szCs w:val="24"/>
          <w:lang w:eastAsia="en-US"/>
        </w:rPr>
      </w:pPr>
      <w:r w:rsidRPr="00F765A7">
        <w:rPr>
          <w:rFonts w:ascii="Times New Roman" w:eastAsia="Times New Roman" w:hAnsi="Times New Roman"/>
          <w:sz w:val="24"/>
          <w:szCs w:val="24"/>
          <w:lang w:eastAsia="en-US"/>
        </w:rPr>
        <w:t>The results from the panel OLS regression analysis (Table 3) offer additional clarity on the relationships under investigation. Audit committee independence (ACIDP) demonstrates a positive and statistically significant impact on financial reporting quali</w:t>
      </w:r>
      <w:r w:rsidR="00B04057">
        <w:rPr>
          <w:rFonts w:ascii="Times New Roman" w:eastAsia="Times New Roman" w:hAnsi="Times New Roman"/>
          <w:sz w:val="24"/>
          <w:szCs w:val="24"/>
          <w:lang w:eastAsia="en-US"/>
        </w:rPr>
        <w:t>ty (FRQ) (β = 0.00192, t = 2.2658, p &lt; 0.05</w:t>
      </w:r>
      <w:r w:rsidRPr="00F765A7">
        <w:rPr>
          <w:rFonts w:ascii="Times New Roman" w:eastAsia="Times New Roman" w:hAnsi="Times New Roman"/>
          <w:sz w:val="24"/>
          <w:szCs w:val="24"/>
          <w:lang w:eastAsia="en-US"/>
        </w:rPr>
        <w:t xml:space="preserve">), reinforcing the argument that independent audit committees improve oversight and reduce earnings manipulation, as supported by </w:t>
      </w:r>
      <w:proofErr w:type="spellStart"/>
      <w:r w:rsidRPr="00F765A7">
        <w:rPr>
          <w:rFonts w:ascii="Times New Roman" w:eastAsia="Times New Roman" w:hAnsi="Times New Roman"/>
          <w:sz w:val="24"/>
          <w:szCs w:val="24"/>
          <w:lang w:eastAsia="en-US"/>
        </w:rPr>
        <w:t>Nwafor</w:t>
      </w:r>
      <w:proofErr w:type="spellEnd"/>
      <w:r w:rsidRPr="00F765A7">
        <w:rPr>
          <w:rFonts w:ascii="Times New Roman" w:eastAsia="Times New Roman" w:hAnsi="Times New Roman"/>
          <w:sz w:val="24"/>
          <w:szCs w:val="24"/>
          <w:lang w:eastAsia="en-US"/>
        </w:rPr>
        <w:t xml:space="preserve"> and </w:t>
      </w:r>
      <w:proofErr w:type="spellStart"/>
      <w:r w:rsidRPr="00F765A7">
        <w:rPr>
          <w:rFonts w:ascii="Times New Roman" w:eastAsia="Times New Roman" w:hAnsi="Times New Roman"/>
          <w:sz w:val="24"/>
          <w:szCs w:val="24"/>
          <w:lang w:eastAsia="en-US"/>
        </w:rPr>
        <w:t>Eze</w:t>
      </w:r>
      <w:proofErr w:type="spellEnd"/>
      <w:r w:rsidRPr="00F765A7">
        <w:rPr>
          <w:rFonts w:ascii="Times New Roman" w:eastAsia="Times New Roman" w:hAnsi="Times New Roman"/>
          <w:sz w:val="24"/>
          <w:szCs w:val="24"/>
          <w:lang w:eastAsia="en-US"/>
        </w:rPr>
        <w:t xml:space="preserve"> (2023) and Zhou et al. (2023). Conversely, this outcome contrasts with the findings of Ajayi and </w:t>
      </w:r>
      <w:proofErr w:type="spellStart"/>
      <w:r w:rsidRPr="00F765A7">
        <w:rPr>
          <w:rFonts w:ascii="Times New Roman" w:eastAsia="Times New Roman" w:hAnsi="Times New Roman"/>
          <w:sz w:val="24"/>
          <w:szCs w:val="24"/>
          <w:lang w:eastAsia="en-US"/>
        </w:rPr>
        <w:t>Ogundipe</w:t>
      </w:r>
      <w:proofErr w:type="spellEnd"/>
      <w:r w:rsidRPr="00F765A7">
        <w:rPr>
          <w:rFonts w:ascii="Times New Roman" w:eastAsia="Times New Roman" w:hAnsi="Times New Roman"/>
          <w:sz w:val="24"/>
          <w:szCs w:val="24"/>
          <w:lang w:eastAsia="en-US"/>
        </w:rPr>
        <w:t xml:space="preserve"> (2022) and </w:t>
      </w:r>
      <w:proofErr w:type="spellStart"/>
      <w:r w:rsidRPr="00F765A7">
        <w:rPr>
          <w:rFonts w:ascii="Times New Roman" w:eastAsia="Times New Roman" w:hAnsi="Times New Roman"/>
          <w:sz w:val="24"/>
          <w:szCs w:val="24"/>
          <w:lang w:eastAsia="en-US"/>
        </w:rPr>
        <w:t>Ofoegbu</w:t>
      </w:r>
      <w:proofErr w:type="spellEnd"/>
      <w:r w:rsidRPr="00F765A7">
        <w:rPr>
          <w:rFonts w:ascii="Times New Roman" w:eastAsia="Times New Roman" w:hAnsi="Times New Roman"/>
          <w:sz w:val="24"/>
          <w:szCs w:val="24"/>
          <w:lang w:eastAsia="en-US"/>
        </w:rPr>
        <w:t xml:space="preserve"> et al. (2022). Furthermore, the frequency of audit committee meetings (ACM) is negatively related to FRQ (β = –0.00779, p = 0.611), although the relationship is not statistically significant. This implies that frequent meetings alone may not necessarily enhance oversight effectiveness, a view consistent with Wang et al. (2023) and Khan et al. (2023), but contrary to the conclusions of </w:t>
      </w:r>
      <w:proofErr w:type="spellStart"/>
      <w:r w:rsidRPr="00F765A7">
        <w:rPr>
          <w:rFonts w:ascii="Times New Roman" w:eastAsia="Times New Roman" w:hAnsi="Times New Roman"/>
          <w:sz w:val="24"/>
          <w:szCs w:val="24"/>
          <w:lang w:eastAsia="en-US"/>
        </w:rPr>
        <w:t>Ojo</w:t>
      </w:r>
      <w:proofErr w:type="spellEnd"/>
      <w:r w:rsidRPr="00F765A7">
        <w:rPr>
          <w:rFonts w:ascii="Times New Roman" w:eastAsia="Times New Roman" w:hAnsi="Times New Roman"/>
          <w:sz w:val="24"/>
          <w:szCs w:val="24"/>
          <w:lang w:eastAsia="en-US"/>
        </w:rPr>
        <w:t xml:space="preserve"> and </w:t>
      </w:r>
      <w:proofErr w:type="spellStart"/>
      <w:r w:rsidRPr="00F765A7">
        <w:rPr>
          <w:rFonts w:ascii="Times New Roman" w:eastAsia="Times New Roman" w:hAnsi="Times New Roman"/>
          <w:sz w:val="24"/>
          <w:szCs w:val="24"/>
          <w:lang w:eastAsia="en-US"/>
        </w:rPr>
        <w:t>Nwogugu</w:t>
      </w:r>
      <w:proofErr w:type="spellEnd"/>
      <w:r w:rsidRPr="00F765A7">
        <w:rPr>
          <w:rFonts w:ascii="Times New Roman" w:eastAsia="Times New Roman" w:hAnsi="Times New Roman"/>
          <w:sz w:val="24"/>
          <w:szCs w:val="24"/>
          <w:lang w:eastAsia="en-US"/>
        </w:rPr>
        <w:t xml:space="preserve"> (2023) and Zhang and Zhao (2023). Regarding audit committee size (ACSIZ), the analysis reveals a statistically significant negative relationship</w:t>
      </w:r>
      <w:r w:rsidR="0035340D">
        <w:rPr>
          <w:rFonts w:ascii="Times New Roman" w:eastAsia="Times New Roman" w:hAnsi="Times New Roman"/>
          <w:sz w:val="24"/>
          <w:szCs w:val="24"/>
          <w:lang w:eastAsia="en-US"/>
        </w:rPr>
        <w:t xml:space="preserve"> with FRQ (β = 0.05131, p &lt; 0.05</w:t>
      </w:r>
      <w:r w:rsidRPr="00F765A7">
        <w:rPr>
          <w:rFonts w:ascii="Times New Roman" w:eastAsia="Times New Roman" w:hAnsi="Times New Roman"/>
          <w:sz w:val="24"/>
          <w:szCs w:val="24"/>
          <w:lang w:eastAsia="en-US"/>
        </w:rPr>
        <w:t xml:space="preserve">), suggesting that excessively large committees might impair accountability and delay decision-making processes. This finding aligns with the studies by Wang et al. (2023) and Niemann et al. (2023), although it contradicts the positive associations reported by Zhang and Zhao (2023) and </w:t>
      </w:r>
      <w:proofErr w:type="spellStart"/>
      <w:r w:rsidRPr="00F765A7">
        <w:rPr>
          <w:rFonts w:ascii="Times New Roman" w:eastAsia="Times New Roman" w:hAnsi="Times New Roman"/>
          <w:sz w:val="24"/>
          <w:szCs w:val="24"/>
          <w:lang w:eastAsia="en-US"/>
        </w:rPr>
        <w:t>Nwafor</w:t>
      </w:r>
      <w:proofErr w:type="spellEnd"/>
      <w:r w:rsidRPr="00F765A7">
        <w:rPr>
          <w:rFonts w:ascii="Times New Roman" w:eastAsia="Times New Roman" w:hAnsi="Times New Roman"/>
          <w:sz w:val="24"/>
          <w:szCs w:val="24"/>
          <w:lang w:eastAsia="en-US"/>
        </w:rPr>
        <w:t xml:space="preserve"> and </w:t>
      </w:r>
      <w:proofErr w:type="spellStart"/>
      <w:r w:rsidRPr="00F765A7">
        <w:rPr>
          <w:rFonts w:ascii="Times New Roman" w:eastAsia="Times New Roman" w:hAnsi="Times New Roman"/>
          <w:sz w:val="24"/>
          <w:szCs w:val="24"/>
          <w:lang w:eastAsia="en-US"/>
        </w:rPr>
        <w:t>Eze</w:t>
      </w:r>
      <w:proofErr w:type="spellEnd"/>
      <w:r w:rsidRPr="00F765A7">
        <w:rPr>
          <w:rFonts w:ascii="Times New Roman" w:eastAsia="Times New Roman" w:hAnsi="Times New Roman"/>
          <w:sz w:val="24"/>
          <w:szCs w:val="24"/>
          <w:lang w:eastAsia="en-US"/>
        </w:rPr>
        <w:t xml:space="preserve"> (2024).</w:t>
      </w:r>
    </w:p>
    <w:p w14:paraId="6BA24CC2" w14:textId="2E047DEB" w:rsidR="006E7B74" w:rsidRPr="003C3F06" w:rsidRDefault="007E1613" w:rsidP="003C3F06">
      <w:pPr>
        <w:pStyle w:val="NormalWeb"/>
        <w:spacing w:line="360" w:lineRule="auto"/>
        <w:jc w:val="both"/>
      </w:pPr>
      <w:r w:rsidRPr="003C3F06">
        <w:lastRenderedPageBreak/>
        <w:t>Firm size (OGCSIZE) (β = 0.27492, p &gt; 0.05) and leverage (OGLEV) (β = 0.00021, p &gt; 0.05) both reveal positive but statistically insignificant relationships with FRQ, implying that structural characteristics alone may not be strong drivers of reporting quality in the oil and gas industry. Overall, the evidence underscores audit committee independence as the most influential factor in ensuring high-quality financial reporting, while also pointing out the drawbacks of large committee size and the limited contribution of meeting frequency. These findings provide a useful basis for discussing governance mechanisms that can strengthen transparency and accountability within Nigeria’s oil and gas sector.</w:t>
      </w:r>
    </w:p>
    <w:p w14:paraId="124A2C96" w14:textId="77777777" w:rsidR="007E1613" w:rsidRPr="003C3F06" w:rsidRDefault="007E1613" w:rsidP="003C3F06">
      <w:pPr>
        <w:pStyle w:val="Heading3"/>
        <w:spacing w:line="360" w:lineRule="auto"/>
        <w:jc w:val="both"/>
        <w:rPr>
          <w:sz w:val="24"/>
          <w:szCs w:val="24"/>
        </w:rPr>
      </w:pPr>
      <w:r w:rsidRPr="003C3F06">
        <w:rPr>
          <w:sz w:val="24"/>
          <w:szCs w:val="24"/>
        </w:rPr>
        <w:t>5. Conclusion and Recommendations</w:t>
      </w:r>
    </w:p>
    <w:p w14:paraId="7E3F26F6" w14:textId="3A1FDFF2" w:rsidR="006E7B74" w:rsidRPr="003C3F06" w:rsidRDefault="006E7B74" w:rsidP="003C3F06">
      <w:pPr>
        <w:pStyle w:val="NormalWeb"/>
        <w:spacing w:line="360" w:lineRule="auto"/>
        <w:jc w:val="both"/>
      </w:pPr>
      <w:r w:rsidRPr="003C3F06">
        <w:t>This study assessed how audit committee attributes</w:t>
      </w:r>
      <w:r w:rsidR="00634862" w:rsidRPr="003C3F06">
        <w:t xml:space="preserve"> </w:t>
      </w:r>
      <w:r w:rsidRPr="003C3F06">
        <w:t>specifically independence, size, and meeting frequency</w:t>
      </w:r>
      <w:r w:rsidR="00634862" w:rsidRPr="003C3F06">
        <w:t xml:space="preserve"> </w:t>
      </w:r>
      <w:r w:rsidRPr="003C3F06">
        <w:t>affect the financial reporting quality of Nigerian oil and gas firms. The findings emphasize that independence plays a pivotal role in promoting credible and trustworthy financial disclosures, underscoring its importance as a governance mechanism. By contrast, the effects of committee size and meeting frequency were less consistent, indicating that structural and procedural features alone may not be sufficient to enhance reporting outcomes. Given the oil and gas sector’s strategic relevance and the high level of regulatory scrutiny it faces, strengthening audit committee performance is critical for improving transparency, safeguarding investor confidence, and ensuring long-term corporate sustainability.</w:t>
      </w:r>
    </w:p>
    <w:p w14:paraId="57C6A62C" w14:textId="77777777" w:rsidR="006E7B74" w:rsidRPr="003C3F06" w:rsidRDefault="006E7B74" w:rsidP="003C3F06">
      <w:pPr>
        <w:pStyle w:val="NormalWeb"/>
        <w:spacing w:line="360" w:lineRule="auto"/>
        <w:jc w:val="both"/>
      </w:pPr>
      <w:r w:rsidRPr="003C3F06">
        <w:t>Accordingly, the study recommends that regulatory bodies such as the Financial Reporting Council of Nigeria (FRCN) and the Nigerian Exchange Group (NGX) intensify oversight and enforcement of governance provisions, particularly those addressing audit committee structure and responsibilities. In addition, firms should focus on appointing committee members with strong financial expertise and industry-specific knowledge to provide effective oversight of the sector’s complex reporting obligations.</w:t>
      </w:r>
    </w:p>
    <w:p w14:paraId="35BE52C8" w14:textId="77777777" w:rsidR="007E1613" w:rsidRPr="003C3F06" w:rsidRDefault="007E1613" w:rsidP="003C3F06">
      <w:pPr>
        <w:pStyle w:val="NormalWeb"/>
        <w:spacing w:line="360" w:lineRule="auto"/>
        <w:jc w:val="both"/>
      </w:pPr>
      <w:r w:rsidRPr="003C3F06">
        <w:t xml:space="preserve">Although the findings offer valuable insights, this research is not without limitations. Expanding the scope to include other industries in Nigeria could provide a broader perspective on sector-specific governance challenges. Additionally, extending the time horizon of future studies may </w:t>
      </w:r>
      <w:r w:rsidRPr="003C3F06">
        <w:lastRenderedPageBreak/>
        <w:t>capture the impact of evolving audit committee practices on reporting quality, thereby offering deeper understanding of governance effectiveness in changing economic contexts.</w:t>
      </w:r>
    </w:p>
    <w:p w14:paraId="0BF3C76E" w14:textId="27F1DD0A" w:rsidR="002005C5" w:rsidRPr="003C3F06" w:rsidRDefault="002005C5" w:rsidP="003C3F06">
      <w:pPr>
        <w:spacing w:before="100" w:beforeAutospacing="1" w:after="100" w:afterAutospacing="1" w:line="240" w:lineRule="auto"/>
        <w:jc w:val="both"/>
        <w:rPr>
          <w:rFonts w:ascii="Times New Roman" w:eastAsia="Times New Roman" w:hAnsi="Times New Roman"/>
          <w:b/>
          <w:bCs/>
          <w:sz w:val="24"/>
          <w:szCs w:val="24"/>
          <w:lang w:eastAsia="en-US"/>
        </w:rPr>
      </w:pPr>
      <w:r w:rsidRPr="003C3F06">
        <w:rPr>
          <w:rFonts w:ascii="Times New Roman" w:hAnsi="Times New Roman"/>
          <w:b/>
          <w:bCs/>
          <w:sz w:val="24"/>
          <w:szCs w:val="24"/>
        </w:rPr>
        <w:t>References</w:t>
      </w:r>
    </w:p>
    <w:p w14:paraId="5E5C6D2F" w14:textId="77777777" w:rsidR="00AA3EBA" w:rsidRDefault="00AA3EBA" w:rsidP="00AA3EBA">
      <w:pPr>
        <w:pStyle w:val="NormalWeb"/>
        <w:ind w:left="720" w:hanging="720"/>
        <w:jc w:val="both"/>
      </w:pPr>
      <w:r w:rsidRPr="00AA3EBA">
        <w:rPr>
          <w:rStyle w:val="Strong"/>
          <w:b w:val="0"/>
          <w:bCs w:val="0"/>
        </w:rPr>
        <w:t>Abdullahi, A. M.</w:t>
      </w:r>
      <w:r w:rsidRPr="00AA3EBA">
        <w:t xml:space="preserve"> (2024). Impact of audit committee size and meetings on financial reporting quality of listed commercial banks in Nigeria. </w:t>
      </w:r>
      <w:r w:rsidRPr="00AA3EBA">
        <w:rPr>
          <w:rStyle w:val="Emphasis"/>
        </w:rPr>
        <w:t>African Journal of Business and Economic Development, 4</w:t>
      </w:r>
      <w:r w:rsidRPr="00AA3EBA">
        <w:t>(2), 27–36.</w:t>
      </w:r>
      <w:r>
        <w:t xml:space="preserve"> </w:t>
      </w:r>
    </w:p>
    <w:p w14:paraId="27951BFE" w14:textId="77777777" w:rsidR="00AA3EBA" w:rsidRDefault="00AA3EBA" w:rsidP="00AA3EBA">
      <w:pPr>
        <w:pStyle w:val="NormalWeb"/>
        <w:ind w:left="720" w:hanging="720"/>
        <w:jc w:val="both"/>
      </w:pPr>
      <w:r w:rsidRPr="00AA3EBA">
        <w:rPr>
          <w:rStyle w:val="Strong"/>
          <w:b w:val="0"/>
          <w:bCs w:val="0"/>
        </w:rPr>
        <w:t>Adeyemi, S., &amp; Olawale, K.</w:t>
      </w:r>
      <w:r w:rsidRPr="00AA3EBA">
        <w:t xml:space="preserve"> (2022). Audit committee meeting frequency and financial reporting quality of listed firms in Nigeria. </w:t>
      </w:r>
      <w:r w:rsidRPr="00AA3EBA">
        <w:rPr>
          <w:rStyle w:val="Emphasis"/>
        </w:rPr>
        <w:t>African Journal of Accounting and Corporate Governance, 14</w:t>
      </w:r>
      <w:r w:rsidRPr="00AA3EBA">
        <w:t>(3), 112–128.</w:t>
      </w:r>
      <w:r>
        <w:t xml:space="preserve"> </w:t>
      </w:r>
    </w:p>
    <w:p w14:paraId="1333486F" w14:textId="77777777" w:rsidR="00AA3EBA" w:rsidRDefault="00AA3EBA" w:rsidP="00AA3EBA">
      <w:pPr>
        <w:pStyle w:val="NormalWeb"/>
        <w:ind w:left="720" w:hanging="720"/>
        <w:jc w:val="both"/>
      </w:pPr>
      <w:r w:rsidRPr="00AA3EBA">
        <w:rPr>
          <w:rStyle w:val="Strong"/>
          <w:b w:val="0"/>
          <w:bCs w:val="0"/>
        </w:rPr>
        <w:t xml:space="preserve">Adeyemi, S., &amp; </w:t>
      </w:r>
      <w:proofErr w:type="spellStart"/>
      <w:r w:rsidRPr="00AA3EBA">
        <w:rPr>
          <w:rStyle w:val="Strong"/>
          <w:b w:val="0"/>
          <w:bCs w:val="0"/>
        </w:rPr>
        <w:t>Uadiale</w:t>
      </w:r>
      <w:proofErr w:type="spellEnd"/>
      <w:r w:rsidRPr="00AA3EBA">
        <w:rPr>
          <w:rStyle w:val="Strong"/>
          <w:b w:val="0"/>
          <w:bCs w:val="0"/>
        </w:rPr>
        <w:t>, O.</w:t>
      </w:r>
      <w:r w:rsidRPr="00AA3EBA">
        <w:t xml:space="preserve"> (2023). Audit committee independence and financial reporting quality in Nigerian telecommunication companies. </w:t>
      </w:r>
      <w:r w:rsidRPr="00AA3EBA">
        <w:rPr>
          <w:rStyle w:val="Emphasis"/>
        </w:rPr>
        <w:t>Journal of Accounting and Governance Studies, 15</w:t>
      </w:r>
      <w:r w:rsidRPr="00AA3EBA">
        <w:t>(2), 55–71.</w:t>
      </w:r>
      <w:r>
        <w:t xml:space="preserve"> </w:t>
      </w:r>
    </w:p>
    <w:p w14:paraId="568A87A5" w14:textId="77777777" w:rsidR="00AA3EBA" w:rsidRDefault="00AA3EBA" w:rsidP="00AA3EBA">
      <w:pPr>
        <w:pStyle w:val="NormalWeb"/>
        <w:ind w:left="720" w:hanging="720"/>
        <w:jc w:val="both"/>
      </w:pPr>
      <w:r w:rsidRPr="00AA3EBA">
        <w:rPr>
          <w:rStyle w:val="Strong"/>
          <w:b w:val="0"/>
          <w:bCs w:val="0"/>
        </w:rPr>
        <w:t>Abe, T. O., Adekoya, A. C., &amp; Ifeanyi, J. O.</w:t>
      </w:r>
      <w:r w:rsidRPr="00AA3EBA">
        <w:t xml:space="preserve"> (2025). Corporate governance mechanisms and financial reporting quality among listed Nigerian oil &amp; gas firms. </w:t>
      </w:r>
      <w:r w:rsidRPr="00AA3EBA">
        <w:rPr>
          <w:rStyle w:val="Emphasis"/>
        </w:rPr>
        <w:t>International Journal of Innovative Research in Accounting and Sustainability, 10</w:t>
      </w:r>
      <w:r w:rsidRPr="00AA3EBA">
        <w:t>(1), ISSN: 2736-1381.</w:t>
      </w:r>
      <w:r>
        <w:t xml:space="preserve"> </w:t>
      </w:r>
    </w:p>
    <w:p w14:paraId="21CEDC0E" w14:textId="77777777" w:rsidR="00AA3EBA" w:rsidRDefault="00AA3EBA" w:rsidP="00AA3EBA">
      <w:pPr>
        <w:pStyle w:val="NormalWeb"/>
        <w:ind w:left="720" w:hanging="720"/>
        <w:jc w:val="both"/>
      </w:pPr>
      <w:r w:rsidRPr="00AA3EBA">
        <w:rPr>
          <w:rStyle w:val="Strong"/>
          <w:b w:val="0"/>
          <w:bCs w:val="0"/>
        </w:rPr>
        <w:t xml:space="preserve">Ajayi, T., &amp; </w:t>
      </w:r>
      <w:proofErr w:type="spellStart"/>
      <w:r w:rsidRPr="00AA3EBA">
        <w:rPr>
          <w:rStyle w:val="Strong"/>
          <w:b w:val="0"/>
          <w:bCs w:val="0"/>
        </w:rPr>
        <w:t>Ogundipe</w:t>
      </w:r>
      <w:proofErr w:type="spellEnd"/>
      <w:r w:rsidRPr="00AA3EBA">
        <w:rPr>
          <w:rStyle w:val="Strong"/>
          <w:b w:val="0"/>
          <w:bCs w:val="0"/>
        </w:rPr>
        <w:t>, A.</w:t>
      </w:r>
      <w:r w:rsidRPr="00AA3EBA">
        <w:t xml:space="preserve"> (2022). Audit committee independence and financial reporting quality of Nigerian publicly traded firms. </w:t>
      </w:r>
      <w:r w:rsidRPr="00AA3EBA">
        <w:rPr>
          <w:rStyle w:val="Emphasis"/>
        </w:rPr>
        <w:t>African Journal of Finance and Management, 28</w:t>
      </w:r>
      <w:r w:rsidRPr="00AA3EBA">
        <w:t>(4), 102–118.</w:t>
      </w:r>
      <w:r>
        <w:t xml:space="preserve"> </w:t>
      </w:r>
    </w:p>
    <w:p w14:paraId="4E603004" w14:textId="77777777" w:rsidR="00AA3EBA" w:rsidRDefault="00AA3EBA" w:rsidP="00AA3EBA">
      <w:pPr>
        <w:pStyle w:val="NormalWeb"/>
        <w:ind w:left="720" w:hanging="720"/>
        <w:jc w:val="both"/>
      </w:pPr>
      <w:proofErr w:type="spellStart"/>
      <w:r w:rsidRPr="00AA3EBA">
        <w:rPr>
          <w:rStyle w:val="Strong"/>
          <w:b w:val="0"/>
          <w:bCs w:val="0"/>
        </w:rPr>
        <w:t>Aigienohuwa</w:t>
      </w:r>
      <w:proofErr w:type="spellEnd"/>
      <w:r w:rsidRPr="00AA3EBA">
        <w:rPr>
          <w:rStyle w:val="Strong"/>
          <w:b w:val="0"/>
          <w:bCs w:val="0"/>
        </w:rPr>
        <w:t xml:space="preserve">, O., &amp; </w:t>
      </w:r>
      <w:proofErr w:type="spellStart"/>
      <w:r w:rsidRPr="00AA3EBA">
        <w:rPr>
          <w:rStyle w:val="Strong"/>
          <w:b w:val="0"/>
          <w:bCs w:val="0"/>
        </w:rPr>
        <w:t>Irowa-Omoregie</w:t>
      </w:r>
      <w:proofErr w:type="spellEnd"/>
      <w:r w:rsidRPr="00AA3EBA">
        <w:rPr>
          <w:rStyle w:val="Strong"/>
          <w:b w:val="0"/>
          <w:bCs w:val="0"/>
        </w:rPr>
        <w:t>, O.</w:t>
      </w:r>
      <w:r w:rsidRPr="00AA3EBA">
        <w:t xml:space="preserve"> (2025). Optimizing scale efficiency: Examining audit committee size and diligence in Nigerian manufacturing firms. </w:t>
      </w:r>
      <w:r w:rsidRPr="00AA3EBA">
        <w:rPr>
          <w:rStyle w:val="Emphasis"/>
        </w:rPr>
        <w:t>UMYU Journal of Accounting and Finance Research, 8</w:t>
      </w:r>
      <w:r w:rsidRPr="00AA3EBA">
        <w:t xml:space="preserve">(1), 113–126. </w:t>
      </w:r>
      <w:hyperlink r:id="rId8" w:history="1">
        <w:r w:rsidRPr="0053155C">
          <w:rPr>
            <w:rStyle w:val="Hyperlink"/>
          </w:rPr>
          <w:t>https://doi.org/10.61143/umyu-jafr.8(1)2025.008</w:t>
        </w:r>
      </w:hyperlink>
      <w:r>
        <w:t xml:space="preserve"> </w:t>
      </w:r>
    </w:p>
    <w:p w14:paraId="635A606F" w14:textId="77777777" w:rsidR="00AA3EBA" w:rsidRDefault="00AA3EBA" w:rsidP="00AA3EBA">
      <w:pPr>
        <w:pStyle w:val="NormalWeb"/>
        <w:ind w:left="720" w:hanging="720"/>
        <w:jc w:val="both"/>
      </w:pPr>
      <w:proofErr w:type="spellStart"/>
      <w:r w:rsidRPr="00AA3EBA">
        <w:rPr>
          <w:rStyle w:val="Strong"/>
          <w:b w:val="0"/>
          <w:bCs w:val="0"/>
        </w:rPr>
        <w:t>Aljifri</w:t>
      </w:r>
      <w:proofErr w:type="spellEnd"/>
      <w:r w:rsidRPr="00AA3EBA">
        <w:rPr>
          <w:rStyle w:val="Strong"/>
          <w:b w:val="0"/>
          <w:bCs w:val="0"/>
        </w:rPr>
        <w:t>, K., &amp; Khamis, R.</w:t>
      </w:r>
      <w:r w:rsidRPr="00AA3EBA">
        <w:t xml:space="preserve"> (2022). Audit committee independence and financial reporting reliability in the UAE. </w:t>
      </w:r>
      <w:r w:rsidRPr="00AA3EBA">
        <w:rPr>
          <w:rStyle w:val="Emphasis"/>
        </w:rPr>
        <w:t>International Review of Accounting and Auditing, 34</w:t>
      </w:r>
      <w:r w:rsidRPr="00AA3EBA">
        <w:t>(1), 44–60.</w:t>
      </w:r>
      <w:r>
        <w:t xml:space="preserve"> </w:t>
      </w:r>
    </w:p>
    <w:p w14:paraId="4EEE7523" w14:textId="77777777" w:rsidR="00AA3EBA" w:rsidRDefault="00AA3EBA" w:rsidP="00AA3EBA">
      <w:pPr>
        <w:pStyle w:val="NormalWeb"/>
        <w:ind w:left="720" w:hanging="720"/>
        <w:jc w:val="both"/>
      </w:pPr>
      <w:proofErr w:type="spellStart"/>
      <w:r w:rsidRPr="00AA3EBA">
        <w:rPr>
          <w:rStyle w:val="Strong"/>
          <w:b w:val="0"/>
          <w:bCs w:val="0"/>
        </w:rPr>
        <w:t>Alqatamin</w:t>
      </w:r>
      <w:proofErr w:type="spellEnd"/>
      <w:r w:rsidRPr="00AA3EBA">
        <w:rPr>
          <w:rStyle w:val="Strong"/>
          <w:b w:val="0"/>
          <w:bCs w:val="0"/>
        </w:rPr>
        <w:t xml:space="preserve">, D. A., &amp; </w:t>
      </w:r>
      <w:proofErr w:type="spellStart"/>
      <w:r w:rsidRPr="00AA3EBA">
        <w:rPr>
          <w:rStyle w:val="Strong"/>
          <w:b w:val="0"/>
          <w:bCs w:val="0"/>
        </w:rPr>
        <w:t>Alqatamin</w:t>
      </w:r>
      <w:proofErr w:type="spellEnd"/>
      <w:r w:rsidRPr="00AA3EBA">
        <w:rPr>
          <w:rStyle w:val="Strong"/>
          <w:b w:val="0"/>
          <w:bCs w:val="0"/>
        </w:rPr>
        <w:t>, R. M.</w:t>
      </w:r>
      <w:r w:rsidRPr="00AA3EBA">
        <w:t xml:space="preserve"> (2024). Audit committee characteristics and financial reporting quality: Evidence from the emerging market. </w:t>
      </w:r>
      <w:r w:rsidRPr="00AA3EBA">
        <w:rPr>
          <w:rStyle w:val="Emphasis"/>
        </w:rPr>
        <w:t>Risk Governance and Control: Financial Markets &amp; Institutions, 14</w:t>
      </w:r>
      <w:r w:rsidRPr="00AA3EBA">
        <w:t xml:space="preserve">(3), 86–95. </w:t>
      </w:r>
      <w:hyperlink r:id="rId9" w:tgtFrame="_new" w:history="1">
        <w:r w:rsidRPr="00AA3EBA">
          <w:rPr>
            <w:rStyle w:val="Hyperlink"/>
            <w:rFonts w:eastAsiaTheme="majorEastAsia"/>
          </w:rPr>
          <w:t>https://doi.org/10.22495/rgcv14i3p9</w:t>
        </w:r>
      </w:hyperlink>
      <w:r>
        <w:t xml:space="preserve"> </w:t>
      </w:r>
    </w:p>
    <w:p w14:paraId="23F40641" w14:textId="77777777" w:rsidR="00AA3EBA" w:rsidRDefault="00AA3EBA" w:rsidP="00AA3EBA">
      <w:pPr>
        <w:pStyle w:val="NormalWeb"/>
        <w:ind w:left="720" w:hanging="720"/>
        <w:jc w:val="both"/>
      </w:pPr>
      <w:r w:rsidRPr="00AA3EBA">
        <w:rPr>
          <w:rStyle w:val="Strong"/>
          <w:b w:val="0"/>
          <w:bCs w:val="0"/>
        </w:rPr>
        <w:t>Bae, S., Kim, J., &amp; Lee, H.</w:t>
      </w:r>
      <w:r w:rsidRPr="00AA3EBA">
        <w:t xml:space="preserve"> (2022). Audit committee characteristics and financial reporting quality in South Korean firms. </w:t>
      </w:r>
      <w:r w:rsidRPr="00AA3EBA">
        <w:rPr>
          <w:rStyle w:val="Emphasis"/>
        </w:rPr>
        <w:t>Asian Journal of Corporate Governance, 10</w:t>
      </w:r>
      <w:r w:rsidRPr="00AA3EBA">
        <w:t>(2), 91–108.</w:t>
      </w:r>
      <w:r>
        <w:t xml:space="preserve"> </w:t>
      </w:r>
    </w:p>
    <w:p w14:paraId="3F125320" w14:textId="77777777" w:rsidR="00AA3EBA" w:rsidRDefault="00AA3EBA" w:rsidP="00AA3EBA">
      <w:pPr>
        <w:pStyle w:val="NormalWeb"/>
        <w:ind w:left="720" w:hanging="720"/>
        <w:jc w:val="both"/>
      </w:pPr>
      <w:r w:rsidRPr="00AA3EBA">
        <w:rPr>
          <w:rStyle w:val="Strong"/>
          <w:b w:val="0"/>
          <w:bCs w:val="0"/>
        </w:rPr>
        <w:t>Bae, S., Kim, J., &amp; Lee, H.</w:t>
      </w:r>
      <w:r w:rsidRPr="00AA3EBA">
        <w:t xml:space="preserve"> (2023). Audit committee characteristics and financial reporting quality in South Korea. </w:t>
      </w:r>
      <w:r w:rsidRPr="00AA3EBA">
        <w:rPr>
          <w:rStyle w:val="Emphasis"/>
        </w:rPr>
        <w:t>Asian Journal of Corporate Governance, 11</w:t>
      </w:r>
      <w:r w:rsidRPr="00AA3EBA">
        <w:t>(3), 89–104.</w:t>
      </w:r>
      <w:r>
        <w:t xml:space="preserve"> </w:t>
      </w:r>
    </w:p>
    <w:p w14:paraId="5C1182E2" w14:textId="77777777" w:rsidR="00AA3EBA" w:rsidRDefault="00AA3EBA" w:rsidP="00AA3EBA">
      <w:pPr>
        <w:pStyle w:val="NormalWeb"/>
        <w:ind w:left="720" w:hanging="720"/>
        <w:jc w:val="both"/>
      </w:pPr>
      <w:r w:rsidRPr="00AA3EBA">
        <w:rPr>
          <w:rStyle w:val="Strong"/>
          <w:b w:val="0"/>
          <w:bCs w:val="0"/>
        </w:rPr>
        <w:t>Choudhury, T., &amp; Paul, M.</w:t>
      </w:r>
      <w:r w:rsidRPr="00AA3EBA">
        <w:t xml:space="preserve"> (2023). Audit committee meeting frequency and financial reporting quality in Bangladesh. </w:t>
      </w:r>
      <w:r w:rsidRPr="00AA3EBA">
        <w:rPr>
          <w:rStyle w:val="Emphasis"/>
        </w:rPr>
        <w:t>Journal of Accounting and Financial Studies, 11</w:t>
      </w:r>
      <w:r w:rsidRPr="00AA3EBA">
        <w:t>(4), 225–241.</w:t>
      </w:r>
      <w:r>
        <w:t xml:space="preserve"> </w:t>
      </w:r>
    </w:p>
    <w:p w14:paraId="546EE1C9" w14:textId="77777777" w:rsidR="009B662C" w:rsidRDefault="00AA3EBA" w:rsidP="009B662C">
      <w:pPr>
        <w:pStyle w:val="NormalWeb"/>
        <w:ind w:left="720" w:hanging="720"/>
        <w:jc w:val="both"/>
      </w:pPr>
      <w:proofErr w:type="spellStart"/>
      <w:r w:rsidRPr="00AA3EBA">
        <w:rPr>
          <w:rStyle w:val="Strong"/>
          <w:b w:val="0"/>
          <w:bCs w:val="0"/>
        </w:rPr>
        <w:lastRenderedPageBreak/>
        <w:t>Dewi</w:t>
      </w:r>
      <w:proofErr w:type="spellEnd"/>
      <w:r w:rsidRPr="00AA3EBA">
        <w:rPr>
          <w:rStyle w:val="Strong"/>
          <w:b w:val="0"/>
          <w:bCs w:val="0"/>
        </w:rPr>
        <w:t>, A. R., &amp; Haryanto, H. D.</w:t>
      </w:r>
      <w:r w:rsidRPr="00AA3EBA">
        <w:t xml:space="preserve"> (2024). Determinants and consequences of financial reporting quality: A systematic literature review. </w:t>
      </w:r>
      <w:proofErr w:type="spellStart"/>
      <w:r w:rsidRPr="00AA3EBA">
        <w:rPr>
          <w:rStyle w:val="Emphasis"/>
        </w:rPr>
        <w:t>Jurnal</w:t>
      </w:r>
      <w:proofErr w:type="spellEnd"/>
      <w:r w:rsidRPr="00AA3EBA">
        <w:rPr>
          <w:rStyle w:val="Emphasis"/>
        </w:rPr>
        <w:t xml:space="preserve"> </w:t>
      </w:r>
      <w:proofErr w:type="spellStart"/>
      <w:r w:rsidRPr="00AA3EBA">
        <w:rPr>
          <w:rStyle w:val="Emphasis"/>
        </w:rPr>
        <w:t>Riset</w:t>
      </w:r>
      <w:proofErr w:type="spellEnd"/>
      <w:r w:rsidRPr="00AA3EBA">
        <w:rPr>
          <w:rStyle w:val="Emphasis"/>
        </w:rPr>
        <w:t xml:space="preserve"> </w:t>
      </w:r>
      <w:proofErr w:type="spellStart"/>
      <w:r w:rsidRPr="00AA3EBA">
        <w:rPr>
          <w:rStyle w:val="Emphasis"/>
        </w:rPr>
        <w:t>Akuntansi</w:t>
      </w:r>
      <w:proofErr w:type="spellEnd"/>
      <w:r w:rsidRPr="00AA3EBA">
        <w:rPr>
          <w:rStyle w:val="Emphasis"/>
        </w:rPr>
        <w:t xml:space="preserve"> </w:t>
      </w:r>
      <w:proofErr w:type="spellStart"/>
      <w:r w:rsidRPr="00AA3EBA">
        <w:rPr>
          <w:rStyle w:val="Emphasis"/>
        </w:rPr>
        <w:t>Kontemporer</w:t>
      </w:r>
      <w:proofErr w:type="spellEnd"/>
      <w:r w:rsidRPr="00AA3EBA">
        <w:rPr>
          <w:rStyle w:val="Emphasis"/>
        </w:rPr>
        <w:t>, 16</w:t>
      </w:r>
      <w:r w:rsidRPr="00AA3EBA">
        <w:t>(1), 22–34.</w:t>
      </w:r>
      <w:r w:rsidR="009B662C">
        <w:t xml:space="preserve"> </w:t>
      </w:r>
    </w:p>
    <w:p w14:paraId="128A60D8" w14:textId="77777777" w:rsidR="009B662C" w:rsidRDefault="00AA3EBA" w:rsidP="009B662C">
      <w:pPr>
        <w:pStyle w:val="NormalWeb"/>
        <w:ind w:left="720" w:hanging="720"/>
        <w:jc w:val="both"/>
      </w:pPr>
      <w:r w:rsidRPr="00AA3EBA">
        <w:rPr>
          <w:rStyle w:val="Strong"/>
          <w:b w:val="0"/>
          <w:bCs w:val="0"/>
        </w:rPr>
        <w:t>Emeka, P., &amp; Chinedu, J.</w:t>
      </w:r>
      <w:r w:rsidRPr="00AA3EBA">
        <w:t xml:space="preserve"> (2023). Audit committee independence and financial reporting quality in Nigeria’s manufacturing sector. </w:t>
      </w:r>
      <w:r w:rsidRPr="00AA3EBA">
        <w:rPr>
          <w:rStyle w:val="Emphasis"/>
        </w:rPr>
        <w:t>Nigerian Journal of Accounting and Finance, 12</w:t>
      </w:r>
      <w:r w:rsidRPr="00AA3EBA">
        <w:t>(3), 145–161.</w:t>
      </w:r>
      <w:r w:rsidR="009B662C">
        <w:t xml:space="preserve"> </w:t>
      </w:r>
    </w:p>
    <w:p w14:paraId="28325E82" w14:textId="77777777" w:rsidR="009B662C" w:rsidRDefault="00AA3EBA" w:rsidP="009B662C">
      <w:pPr>
        <w:pStyle w:val="NormalWeb"/>
        <w:ind w:left="720" w:hanging="720"/>
        <w:jc w:val="both"/>
      </w:pPr>
      <w:proofErr w:type="spellStart"/>
      <w:r w:rsidRPr="00AA3EBA">
        <w:rPr>
          <w:rStyle w:val="Strong"/>
          <w:b w:val="0"/>
          <w:bCs w:val="0"/>
        </w:rPr>
        <w:t>Eyenubo</w:t>
      </w:r>
      <w:proofErr w:type="spellEnd"/>
      <w:r w:rsidRPr="00AA3EBA">
        <w:rPr>
          <w:rStyle w:val="Strong"/>
          <w:b w:val="0"/>
          <w:bCs w:val="0"/>
        </w:rPr>
        <w:t>, A.</w:t>
      </w:r>
      <w:r w:rsidRPr="00AA3EBA">
        <w:t xml:space="preserve"> (2017). Audit committee effectiveness and financial reporting quality in Nigerian listed firms. </w:t>
      </w:r>
      <w:r w:rsidRPr="00AA3EBA">
        <w:rPr>
          <w:rStyle w:val="Emphasis"/>
        </w:rPr>
        <w:t>International Journal of Accounting Research, 6</w:t>
      </w:r>
      <w:r w:rsidRPr="00AA3EBA">
        <w:t>(1), 45–59.</w:t>
      </w:r>
      <w:r w:rsidR="009B662C">
        <w:t xml:space="preserve"> </w:t>
      </w:r>
    </w:p>
    <w:p w14:paraId="31773093" w14:textId="77777777" w:rsidR="009B662C" w:rsidRDefault="00AA3EBA" w:rsidP="009B662C">
      <w:pPr>
        <w:pStyle w:val="NormalWeb"/>
        <w:ind w:left="720" w:hanging="720"/>
        <w:jc w:val="both"/>
      </w:pPr>
      <w:proofErr w:type="spellStart"/>
      <w:r w:rsidRPr="00AA3EBA">
        <w:rPr>
          <w:rStyle w:val="Strong"/>
          <w:b w:val="0"/>
          <w:bCs w:val="0"/>
        </w:rPr>
        <w:t>Eyenubo</w:t>
      </w:r>
      <w:proofErr w:type="spellEnd"/>
      <w:r w:rsidRPr="00AA3EBA">
        <w:rPr>
          <w:rStyle w:val="Strong"/>
          <w:b w:val="0"/>
          <w:bCs w:val="0"/>
        </w:rPr>
        <w:t>, S. A., Mohammed, M., &amp; Ali, M. S.</w:t>
      </w:r>
      <w:r w:rsidRPr="00AA3EBA">
        <w:t xml:space="preserve"> (2017). Audit committee effectiveness of financial reporting quality in listed companies in Nigeria Stock Exchange. </w:t>
      </w:r>
      <w:r w:rsidRPr="00AA3EBA">
        <w:rPr>
          <w:rStyle w:val="Emphasis"/>
        </w:rPr>
        <w:t>The International Journal of Academic Research in Business and Social Sciences, 7</w:t>
      </w:r>
      <w:r w:rsidRPr="00AA3EBA">
        <w:t>, 487–505.</w:t>
      </w:r>
      <w:r w:rsidR="009B662C">
        <w:t xml:space="preserve"> </w:t>
      </w:r>
    </w:p>
    <w:p w14:paraId="265EB4CC" w14:textId="77777777" w:rsidR="009B662C" w:rsidRDefault="00AA3EBA" w:rsidP="009B662C">
      <w:pPr>
        <w:pStyle w:val="NormalWeb"/>
        <w:ind w:left="720" w:hanging="720"/>
        <w:jc w:val="both"/>
      </w:pPr>
      <w:r w:rsidRPr="00AA3EBA">
        <w:rPr>
          <w:rStyle w:val="Strong"/>
          <w:b w:val="0"/>
          <w:bCs w:val="0"/>
        </w:rPr>
        <w:t>International Accounting Standards Board (IASB).</w:t>
      </w:r>
      <w:r w:rsidRPr="00AA3EBA">
        <w:t xml:space="preserve"> (2024). </w:t>
      </w:r>
      <w:r w:rsidRPr="00AA3EBA">
        <w:rPr>
          <w:rStyle w:val="Emphasis"/>
        </w:rPr>
        <w:t>Conceptual framework for financial reporting</w:t>
      </w:r>
      <w:r w:rsidRPr="00AA3EBA">
        <w:t xml:space="preserve">. </w:t>
      </w:r>
      <w:hyperlink r:id="rId10" w:tgtFrame="_new" w:history="1">
        <w:r w:rsidRPr="00AA3EBA">
          <w:rPr>
            <w:rStyle w:val="Hyperlink"/>
            <w:rFonts w:eastAsiaTheme="majorEastAsia"/>
          </w:rPr>
          <w:t>https://www.ifrs.org</w:t>
        </w:r>
      </w:hyperlink>
      <w:r w:rsidR="009B662C">
        <w:t xml:space="preserve"> </w:t>
      </w:r>
    </w:p>
    <w:p w14:paraId="2AE7D25F" w14:textId="77777777" w:rsidR="009B662C" w:rsidRDefault="00AA3EBA" w:rsidP="009B662C">
      <w:pPr>
        <w:pStyle w:val="NormalWeb"/>
        <w:ind w:left="720" w:hanging="720"/>
        <w:jc w:val="both"/>
      </w:pPr>
      <w:r w:rsidRPr="00AA3EBA">
        <w:rPr>
          <w:rStyle w:val="Strong"/>
          <w:b w:val="0"/>
          <w:bCs w:val="0"/>
        </w:rPr>
        <w:t xml:space="preserve">Jensen, M. C., &amp; </w:t>
      </w:r>
      <w:proofErr w:type="spellStart"/>
      <w:r w:rsidRPr="00AA3EBA">
        <w:rPr>
          <w:rStyle w:val="Strong"/>
          <w:b w:val="0"/>
          <w:bCs w:val="0"/>
        </w:rPr>
        <w:t>Meckling</w:t>
      </w:r>
      <w:proofErr w:type="spellEnd"/>
      <w:r w:rsidRPr="00AA3EBA">
        <w:rPr>
          <w:rStyle w:val="Strong"/>
          <w:b w:val="0"/>
          <w:bCs w:val="0"/>
        </w:rPr>
        <w:t>, W. H.</w:t>
      </w:r>
      <w:r w:rsidRPr="00AA3EBA">
        <w:t xml:space="preserve"> (1976). Theory of the firm: Managerial behavior, agency costs and ownership structure. </w:t>
      </w:r>
      <w:r w:rsidRPr="00AA3EBA">
        <w:rPr>
          <w:rStyle w:val="Emphasis"/>
        </w:rPr>
        <w:t>Journal of Financial Economics, 3</w:t>
      </w:r>
      <w:r w:rsidRPr="00AA3EBA">
        <w:t xml:space="preserve">(4), 305–360. </w:t>
      </w:r>
      <w:hyperlink r:id="rId11" w:history="1">
        <w:r w:rsidR="009B662C" w:rsidRPr="0053155C">
          <w:rPr>
            <w:rStyle w:val="Hyperlink"/>
          </w:rPr>
          <w:t>https://doi.org/10.1016/0304-405X(76)90026-X</w:t>
        </w:r>
      </w:hyperlink>
      <w:r w:rsidR="009B662C">
        <w:t xml:space="preserve"> </w:t>
      </w:r>
    </w:p>
    <w:p w14:paraId="037FA2DB" w14:textId="77777777" w:rsidR="009B662C" w:rsidRDefault="00AA3EBA" w:rsidP="009B662C">
      <w:pPr>
        <w:pStyle w:val="NormalWeb"/>
        <w:ind w:left="720" w:hanging="720"/>
        <w:jc w:val="both"/>
      </w:pPr>
      <w:r w:rsidRPr="00AA3EBA">
        <w:rPr>
          <w:rStyle w:val="Strong"/>
          <w:b w:val="0"/>
          <w:bCs w:val="0"/>
        </w:rPr>
        <w:t>Khan, A., Patel, R., &amp; Singh, V.</w:t>
      </w:r>
      <w:r w:rsidRPr="00AA3EBA">
        <w:t xml:space="preserve"> (2023). Audit committee attributes and financial reporting outcomes in Indian listed firms. </w:t>
      </w:r>
      <w:r w:rsidRPr="00AA3EBA">
        <w:rPr>
          <w:rStyle w:val="Emphasis"/>
        </w:rPr>
        <w:t>Indian Journal of Finance and Management, 19</w:t>
      </w:r>
      <w:r w:rsidRPr="00AA3EBA">
        <w:t>(2), 155–171.</w:t>
      </w:r>
      <w:r w:rsidR="009B662C">
        <w:t xml:space="preserve"> </w:t>
      </w:r>
    </w:p>
    <w:p w14:paraId="10CED84F" w14:textId="77777777" w:rsidR="009B662C" w:rsidRDefault="00AA3EBA" w:rsidP="009B662C">
      <w:pPr>
        <w:pStyle w:val="NormalWeb"/>
        <w:ind w:left="720" w:hanging="720"/>
        <w:jc w:val="both"/>
      </w:pPr>
      <w:r w:rsidRPr="00AA3EBA">
        <w:rPr>
          <w:rStyle w:val="Strong"/>
          <w:b w:val="0"/>
          <w:bCs w:val="0"/>
        </w:rPr>
        <w:t xml:space="preserve">Muhammed, I. K., </w:t>
      </w:r>
      <w:proofErr w:type="spellStart"/>
      <w:r w:rsidRPr="00AA3EBA">
        <w:rPr>
          <w:rStyle w:val="Strong"/>
          <w:b w:val="0"/>
          <w:bCs w:val="0"/>
        </w:rPr>
        <w:t>Abdulyakeen</w:t>
      </w:r>
      <w:proofErr w:type="spellEnd"/>
      <w:r w:rsidRPr="00AA3EBA">
        <w:rPr>
          <w:rStyle w:val="Strong"/>
          <w:b w:val="0"/>
          <w:bCs w:val="0"/>
        </w:rPr>
        <w:t xml:space="preserve">, G., </w:t>
      </w:r>
      <w:proofErr w:type="spellStart"/>
      <w:r w:rsidRPr="00AA3EBA">
        <w:rPr>
          <w:rStyle w:val="Strong"/>
          <w:b w:val="0"/>
          <w:bCs w:val="0"/>
        </w:rPr>
        <w:t>Ajide</w:t>
      </w:r>
      <w:proofErr w:type="spellEnd"/>
      <w:r w:rsidRPr="00AA3EBA">
        <w:rPr>
          <w:rStyle w:val="Strong"/>
          <w:b w:val="0"/>
          <w:bCs w:val="0"/>
        </w:rPr>
        <w:t xml:space="preserve">, K. T., &amp; </w:t>
      </w:r>
      <w:proofErr w:type="spellStart"/>
      <w:r w:rsidRPr="00AA3EBA">
        <w:rPr>
          <w:rStyle w:val="Strong"/>
          <w:b w:val="0"/>
          <w:bCs w:val="0"/>
        </w:rPr>
        <w:t>Oyaleke</w:t>
      </w:r>
      <w:proofErr w:type="spellEnd"/>
      <w:r w:rsidRPr="00AA3EBA">
        <w:rPr>
          <w:rStyle w:val="Strong"/>
          <w:b w:val="0"/>
          <w:bCs w:val="0"/>
        </w:rPr>
        <w:t>, K. O.</w:t>
      </w:r>
      <w:r w:rsidRPr="00AA3EBA">
        <w:t xml:space="preserve"> (2024). Audit committee’s attributes and quality of financial reporting on listed consumer goods firms in Nigeria. </w:t>
      </w:r>
      <w:proofErr w:type="spellStart"/>
      <w:r w:rsidRPr="00AA3EBA">
        <w:rPr>
          <w:rStyle w:val="Emphasis"/>
        </w:rPr>
        <w:t>Malete</w:t>
      </w:r>
      <w:proofErr w:type="spellEnd"/>
      <w:r w:rsidRPr="00AA3EBA">
        <w:rPr>
          <w:rStyle w:val="Emphasis"/>
        </w:rPr>
        <w:t xml:space="preserve"> Journal of Accounting and Finance, 4</w:t>
      </w:r>
      <w:r w:rsidRPr="00AA3EBA">
        <w:t>(2), 209–224.</w:t>
      </w:r>
      <w:r w:rsidR="009B662C">
        <w:t xml:space="preserve"> </w:t>
      </w:r>
    </w:p>
    <w:p w14:paraId="140F7F88" w14:textId="77777777" w:rsidR="009B662C" w:rsidRDefault="00AA3EBA" w:rsidP="009B662C">
      <w:pPr>
        <w:pStyle w:val="NormalWeb"/>
        <w:ind w:left="720" w:hanging="720"/>
        <w:jc w:val="both"/>
      </w:pPr>
      <w:r w:rsidRPr="00AA3EBA">
        <w:rPr>
          <w:rStyle w:val="Strong"/>
          <w:b w:val="0"/>
          <w:bCs w:val="0"/>
        </w:rPr>
        <w:t>Mokhtar, M., &amp; Ali, N.</w:t>
      </w:r>
      <w:r w:rsidRPr="00AA3EBA">
        <w:t xml:space="preserve"> (2022). Audit committee meeting frequency and the mitigation of financial misreporting in Malaysia. </w:t>
      </w:r>
      <w:r w:rsidRPr="00AA3EBA">
        <w:rPr>
          <w:rStyle w:val="Emphasis"/>
        </w:rPr>
        <w:t>Journal of Corporate Governance Research, 18</w:t>
      </w:r>
      <w:r w:rsidRPr="00AA3EBA">
        <w:t>(2), 209–225.</w:t>
      </w:r>
      <w:r w:rsidR="009B662C">
        <w:t xml:space="preserve"> </w:t>
      </w:r>
    </w:p>
    <w:p w14:paraId="6C685890" w14:textId="77777777" w:rsidR="009B662C" w:rsidRDefault="00AA3EBA" w:rsidP="009B662C">
      <w:pPr>
        <w:pStyle w:val="NormalWeb"/>
        <w:ind w:left="720" w:hanging="720"/>
        <w:jc w:val="both"/>
      </w:pPr>
      <w:r w:rsidRPr="00AA3EBA">
        <w:rPr>
          <w:rStyle w:val="Strong"/>
          <w:b w:val="0"/>
          <w:bCs w:val="0"/>
        </w:rPr>
        <w:t>Mokhtar, M., &amp; Ali, N.</w:t>
      </w:r>
      <w:r w:rsidRPr="00AA3EBA">
        <w:t xml:space="preserve"> (2023). Audit committee independence and financial reporting quality in Malaysia. </w:t>
      </w:r>
      <w:r w:rsidRPr="00AA3EBA">
        <w:rPr>
          <w:rStyle w:val="Emphasis"/>
        </w:rPr>
        <w:t>Journal of Corporate Governance Research, 18</w:t>
      </w:r>
      <w:r w:rsidRPr="00AA3EBA">
        <w:t>(2), 201–217.</w:t>
      </w:r>
      <w:r w:rsidR="009B662C">
        <w:t xml:space="preserve"> </w:t>
      </w:r>
    </w:p>
    <w:p w14:paraId="4795CB89" w14:textId="77777777" w:rsidR="009B662C" w:rsidRDefault="00AA3EBA" w:rsidP="009B662C">
      <w:pPr>
        <w:pStyle w:val="NormalWeb"/>
        <w:ind w:left="720" w:hanging="720"/>
        <w:jc w:val="both"/>
      </w:pPr>
      <w:r w:rsidRPr="00AA3EBA">
        <w:rPr>
          <w:rStyle w:val="Strong"/>
          <w:b w:val="0"/>
          <w:bCs w:val="0"/>
        </w:rPr>
        <w:t>Niemann, F., Richter, L., &amp; Schaefer, P.</w:t>
      </w:r>
      <w:r w:rsidRPr="00AA3EBA">
        <w:t xml:space="preserve"> (2023). Comparative analysis of audit committee meeting frequency and financial reporting quality across economies. </w:t>
      </w:r>
      <w:r w:rsidRPr="00AA3EBA">
        <w:rPr>
          <w:rStyle w:val="Emphasis"/>
        </w:rPr>
        <w:t>International Review of Accounting and Governance, 33</w:t>
      </w:r>
      <w:r w:rsidRPr="00AA3EBA">
        <w:t>(1), 51–68.</w:t>
      </w:r>
      <w:r w:rsidR="009B662C">
        <w:t xml:space="preserve"> </w:t>
      </w:r>
    </w:p>
    <w:p w14:paraId="6242F0D2" w14:textId="77777777" w:rsidR="009B662C" w:rsidRDefault="00AA3EBA" w:rsidP="009B662C">
      <w:pPr>
        <w:pStyle w:val="NormalWeb"/>
        <w:ind w:left="720" w:hanging="720"/>
        <w:jc w:val="both"/>
      </w:pPr>
      <w:proofErr w:type="spellStart"/>
      <w:r w:rsidRPr="00AA3EBA">
        <w:rPr>
          <w:rStyle w:val="Strong"/>
          <w:b w:val="0"/>
          <w:bCs w:val="0"/>
        </w:rPr>
        <w:t>Nwafor</w:t>
      </w:r>
      <w:proofErr w:type="spellEnd"/>
      <w:r w:rsidRPr="00AA3EBA">
        <w:rPr>
          <w:rStyle w:val="Strong"/>
          <w:b w:val="0"/>
          <w:bCs w:val="0"/>
        </w:rPr>
        <w:t xml:space="preserve">, C., &amp; </w:t>
      </w:r>
      <w:proofErr w:type="spellStart"/>
      <w:r w:rsidRPr="00AA3EBA">
        <w:rPr>
          <w:rStyle w:val="Strong"/>
          <w:b w:val="0"/>
          <w:bCs w:val="0"/>
        </w:rPr>
        <w:t>Eze</w:t>
      </w:r>
      <w:proofErr w:type="spellEnd"/>
      <w:r w:rsidRPr="00AA3EBA">
        <w:rPr>
          <w:rStyle w:val="Strong"/>
          <w:b w:val="0"/>
          <w:bCs w:val="0"/>
        </w:rPr>
        <w:t>, R.</w:t>
      </w:r>
      <w:r w:rsidRPr="00AA3EBA">
        <w:t xml:space="preserve"> (2024). Audit committee size and financial reporting reliability in Nigerian banks. </w:t>
      </w:r>
      <w:r w:rsidRPr="00AA3EBA">
        <w:rPr>
          <w:rStyle w:val="Emphasis"/>
        </w:rPr>
        <w:t>Journal of Banking and Corporate Governance, 11</w:t>
      </w:r>
      <w:r w:rsidRPr="00AA3EBA">
        <w:t>(2), 66–82.</w:t>
      </w:r>
      <w:r w:rsidR="009B662C">
        <w:t xml:space="preserve"> </w:t>
      </w:r>
    </w:p>
    <w:p w14:paraId="62725594" w14:textId="77777777" w:rsidR="009B662C" w:rsidRDefault="00AA3EBA" w:rsidP="009B662C">
      <w:pPr>
        <w:pStyle w:val="NormalWeb"/>
        <w:ind w:left="720" w:hanging="720"/>
        <w:jc w:val="both"/>
      </w:pPr>
      <w:proofErr w:type="spellStart"/>
      <w:r w:rsidRPr="00AA3EBA">
        <w:rPr>
          <w:rStyle w:val="Strong"/>
          <w:b w:val="0"/>
          <w:bCs w:val="0"/>
        </w:rPr>
        <w:lastRenderedPageBreak/>
        <w:t>Ofoegbu</w:t>
      </w:r>
      <w:proofErr w:type="spellEnd"/>
      <w:r w:rsidRPr="00AA3EBA">
        <w:rPr>
          <w:rStyle w:val="Strong"/>
          <w:b w:val="0"/>
          <w:bCs w:val="0"/>
        </w:rPr>
        <w:t xml:space="preserve">, G., Okoye, E., &amp; </w:t>
      </w:r>
      <w:proofErr w:type="spellStart"/>
      <w:r w:rsidRPr="00AA3EBA">
        <w:rPr>
          <w:rStyle w:val="Strong"/>
          <w:b w:val="0"/>
          <w:bCs w:val="0"/>
        </w:rPr>
        <w:t>Ijeoma</w:t>
      </w:r>
      <w:proofErr w:type="spellEnd"/>
      <w:r w:rsidRPr="00AA3EBA">
        <w:rPr>
          <w:rStyle w:val="Strong"/>
          <w:b w:val="0"/>
          <w:bCs w:val="0"/>
        </w:rPr>
        <w:t>, N.</w:t>
      </w:r>
      <w:r w:rsidRPr="00AA3EBA">
        <w:t xml:space="preserve"> (2022). Audit committee independence and quality of financial reporting in Nigeria. </w:t>
      </w:r>
      <w:r w:rsidRPr="00AA3EBA">
        <w:rPr>
          <w:rStyle w:val="Emphasis"/>
        </w:rPr>
        <w:t>International Journal of Finance and Accounting, 9</w:t>
      </w:r>
      <w:r w:rsidRPr="00AA3EBA">
        <w:t>(4), 112–128.</w:t>
      </w:r>
      <w:r w:rsidR="009B662C">
        <w:t xml:space="preserve"> </w:t>
      </w:r>
    </w:p>
    <w:p w14:paraId="33E51432" w14:textId="77777777" w:rsidR="009B662C" w:rsidRDefault="00AA3EBA" w:rsidP="009B662C">
      <w:pPr>
        <w:pStyle w:val="NormalWeb"/>
        <w:ind w:left="720" w:hanging="720"/>
        <w:jc w:val="both"/>
      </w:pPr>
      <w:proofErr w:type="spellStart"/>
      <w:r w:rsidRPr="00AA3EBA">
        <w:rPr>
          <w:rStyle w:val="Strong"/>
          <w:b w:val="0"/>
          <w:bCs w:val="0"/>
        </w:rPr>
        <w:t>Ofoegbu</w:t>
      </w:r>
      <w:proofErr w:type="spellEnd"/>
      <w:r w:rsidRPr="00AA3EBA">
        <w:rPr>
          <w:rStyle w:val="Strong"/>
          <w:b w:val="0"/>
          <w:bCs w:val="0"/>
        </w:rPr>
        <w:t xml:space="preserve">, G. N., &amp; </w:t>
      </w:r>
      <w:proofErr w:type="spellStart"/>
      <w:r w:rsidRPr="00AA3EBA">
        <w:rPr>
          <w:rStyle w:val="Strong"/>
          <w:b w:val="0"/>
          <w:bCs w:val="0"/>
        </w:rPr>
        <w:t>Ezeabasili</w:t>
      </w:r>
      <w:proofErr w:type="spellEnd"/>
      <w:r w:rsidRPr="00AA3EBA">
        <w:rPr>
          <w:rStyle w:val="Strong"/>
          <w:b w:val="0"/>
          <w:bCs w:val="0"/>
        </w:rPr>
        <w:t>, A. C.</w:t>
      </w:r>
      <w:r w:rsidRPr="00AA3EBA">
        <w:t xml:space="preserve"> (2023). The role of governance and regulatory compliance in enhancing financial report reliability in Nigeria’s oil sector. </w:t>
      </w:r>
      <w:r w:rsidRPr="00AA3EBA">
        <w:rPr>
          <w:rStyle w:val="Emphasis"/>
        </w:rPr>
        <w:t>African Journal of Accounting, Auditing and Finance, 9</w:t>
      </w:r>
      <w:r w:rsidRPr="00AA3EBA">
        <w:t>(4), 301–317.</w:t>
      </w:r>
      <w:r w:rsidR="009B662C">
        <w:t xml:space="preserve"> </w:t>
      </w:r>
    </w:p>
    <w:p w14:paraId="2E1F24AC" w14:textId="77777777" w:rsidR="009B662C" w:rsidRDefault="00AA3EBA" w:rsidP="009B662C">
      <w:pPr>
        <w:pStyle w:val="NormalWeb"/>
        <w:ind w:left="720" w:hanging="720"/>
        <w:jc w:val="both"/>
      </w:pPr>
      <w:r w:rsidRPr="00AA3EBA">
        <w:rPr>
          <w:rStyle w:val="Strong"/>
          <w:b w:val="0"/>
          <w:bCs w:val="0"/>
        </w:rPr>
        <w:t>Ofori, D., &amp; Agyemang, E.</w:t>
      </w:r>
      <w:r w:rsidRPr="00AA3EBA">
        <w:t xml:space="preserve"> (2023). Audit committee meeting frequency and oversight effectiveness in Ghanaian firms. </w:t>
      </w:r>
      <w:r w:rsidRPr="00AA3EBA">
        <w:rPr>
          <w:rStyle w:val="Emphasis"/>
        </w:rPr>
        <w:t>West African Journal of Accounting, 8</w:t>
      </w:r>
      <w:r w:rsidRPr="00AA3EBA">
        <w:t>(1), 73–89.</w:t>
      </w:r>
      <w:r w:rsidR="009B662C">
        <w:t xml:space="preserve"> </w:t>
      </w:r>
    </w:p>
    <w:p w14:paraId="150AA2F7" w14:textId="77777777" w:rsidR="009B662C" w:rsidRDefault="00AA3EBA" w:rsidP="009B662C">
      <w:pPr>
        <w:pStyle w:val="NormalWeb"/>
        <w:ind w:left="720" w:hanging="720"/>
        <w:jc w:val="both"/>
      </w:pPr>
      <w:proofErr w:type="spellStart"/>
      <w:r w:rsidRPr="00AA3EBA">
        <w:rPr>
          <w:rStyle w:val="Strong"/>
          <w:b w:val="0"/>
          <w:bCs w:val="0"/>
        </w:rPr>
        <w:t>Ojali</w:t>
      </w:r>
      <w:proofErr w:type="spellEnd"/>
      <w:r w:rsidRPr="00AA3EBA">
        <w:rPr>
          <w:rStyle w:val="Strong"/>
          <w:b w:val="0"/>
          <w:bCs w:val="0"/>
        </w:rPr>
        <w:t xml:space="preserve">, J. S., </w:t>
      </w:r>
      <w:proofErr w:type="spellStart"/>
      <w:r w:rsidRPr="00AA3EBA">
        <w:rPr>
          <w:rStyle w:val="Strong"/>
          <w:b w:val="0"/>
          <w:bCs w:val="0"/>
        </w:rPr>
        <w:t>Adamu</w:t>
      </w:r>
      <w:proofErr w:type="spellEnd"/>
      <w:r w:rsidRPr="00AA3EBA">
        <w:rPr>
          <w:rStyle w:val="Strong"/>
          <w:b w:val="0"/>
          <w:bCs w:val="0"/>
        </w:rPr>
        <w:t xml:space="preserve">, I. A., &amp; </w:t>
      </w:r>
      <w:proofErr w:type="spellStart"/>
      <w:r w:rsidRPr="00AA3EBA">
        <w:rPr>
          <w:rStyle w:val="Strong"/>
          <w:b w:val="0"/>
          <w:bCs w:val="0"/>
        </w:rPr>
        <w:t>Shawai</w:t>
      </w:r>
      <w:proofErr w:type="spellEnd"/>
      <w:r w:rsidRPr="00AA3EBA">
        <w:rPr>
          <w:rStyle w:val="Strong"/>
          <w:b w:val="0"/>
          <w:bCs w:val="0"/>
        </w:rPr>
        <w:t>, A. S.</w:t>
      </w:r>
      <w:r w:rsidRPr="00AA3EBA">
        <w:t xml:space="preserve"> (2023). Audit committee characteristics and audit delay among Nigerian oil and gas companies. </w:t>
      </w:r>
      <w:r w:rsidRPr="00AA3EBA">
        <w:rPr>
          <w:rStyle w:val="Emphasis"/>
        </w:rPr>
        <w:t>FUDMA Journal of Accounting and Finance Research (FUJAFR), 1</w:t>
      </w:r>
      <w:r w:rsidRPr="00AA3EBA">
        <w:t>(1), 136–156.</w:t>
      </w:r>
      <w:r w:rsidR="009B662C">
        <w:t xml:space="preserve"> </w:t>
      </w:r>
    </w:p>
    <w:p w14:paraId="16DF8433" w14:textId="77777777" w:rsidR="009B662C" w:rsidRDefault="00AA3EBA" w:rsidP="009B662C">
      <w:pPr>
        <w:pStyle w:val="NormalWeb"/>
        <w:ind w:left="720" w:hanging="720"/>
        <w:jc w:val="both"/>
      </w:pPr>
      <w:proofErr w:type="spellStart"/>
      <w:r w:rsidRPr="00AA3EBA">
        <w:rPr>
          <w:rStyle w:val="Strong"/>
          <w:b w:val="0"/>
          <w:bCs w:val="0"/>
        </w:rPr>
        <w:t>Ojo</w:t>
      </w:r>
      <w:proofErr w:type="spellEnd"/>
      <w:r w:rsidRPr="00AA3EBA">
        <w:rPr>
          <w:rStyle w:val="Strong"/>
          <w:b w:val="0"/>
          <w:bCs w:val="0"/>
        </w:rPr>
        <w:t xml:space="preserve">, M., &amp; </w:t>
      </w:r>
      <w:proofErr w:type="spellStart"/>
      <w:r w:rsidRPr="00AA3EBA">
        <w:rPr>
          <w:rStyle w:val="Strong"/>
          <w:b w:val="0"/>
          <w:bCs w:val="0"/>
        </w:rPr>
        <w:t>Nwogugu</w:t>
      </w:r>
      <w:proofErr w:type="spellEnd"/>
      <w:r w:rsidRPr="00AA3EBA">
        <w:rPr>
          <w:rStyle w:val="Strong"/>
          <w:b w:val="0"/>
          <w:bCs w:val="0"/>
        </w:rPr>
        <w:t>, C.</w:t>
      </w:r>
      <w:r w:rsidRPr="00AA3EBA">
        <w:t xml:space="preserve"> (2023). Audit committee meeting frequency and financial reporting quality in Nigerian banks. </w:t>
      </w:r>
      <w:r w:rsidRPr="00AA3EBA">
        <w:rPr>
          <w:rStyle w:val="Emphasis"/>
        </w:rPr>
        <w:t>Journal of Banking and Corporate Governance, 9</w:t>
      </w:r>
      <w:r w:rsidRPr="00AA3EBA">
        <w:t>(3), 142–159.</w:t>
      </w:r>
      <w:r w:rsidR="009B662C">
        <w:t xml:space="preserve"> </w:t>
      </w:r>
    </w:p>
    <w:p w14:paraId="7372EEAD" w14:textId="77777777" w:rsidR="009B662C" w:rsidRDefault="00AA3EBA" w:rsidP="009B662C">
      <w:pPr>
        <w:pStyle w:val="NormalWeb"/>
        <w:ind w:left="720" w:hanging="720"/>
        <w:jc w:val="both"/>
      </w:pPr>
      <w:proofErr w:type="spellStart"/>
      <w:r w:rsidRPr="00AA3EBA">
        <w:rPr>
          <w:rStyle w:val="Strong"/>
          <w:b w:val="0"/>
          <w:bCs w:val="0"/>
        </w:rPr>
        <w:t>Olaoye</w:t>
      </w:r>
      <w:proofErr w:type="spellEnd"/>
      <w:r w:rsidRPr="00AA3EBA">
        <w:rPr>
          <w:rStyle w:val="Strong"/>
          <w:b w:val="0"/>
          <w:bCs w:val="0"/>
        </w:rPr>
        <w:t>, F. O., &amp; Bamidele, V. O.</w:t>
      </w:r>
      <w:r w:rsidRPr="00AA3EBA">
        <w:t xml:space="preserve"> (2023). Effect of audit committee characteristics on financial reporting quality of listed deposit money banks in Nigeria. </w:t>
      </w:r>
      <w:proofErr w:type="spellStart"/>
      <w:r w:rsidRPr="00AA3EBA">
        <w:rPr>
          <w:rStyle w:val="Emphasis"/>
        </w:rPr>
        <w:t>Fuoye</w:t>
      </w:r>
      <w:proofErr w:type="spellEnd"/>
      <w:r w:rsidRPr="00AA3EBA">
        <w:rPr>
          <w:rStyle w:val="Emphasis"/>
        </w:rPr>
        <w:t xml:space="preserve"> Journal of Management, Innovation and Entrepreneurship, 2</w:t>
      </w:r>
      <w:r w:rsidRPr="00AA3EBA">
        <w:t>(2), 165–175.</w:t>
      </w:r>
      <w:r w:rsidR="009B662C">
        <w:t xml:space="preserve"> </w:t>
      </w:r>
    </w:p>
    <w:p w14:paraId="6DCD9F5A" w14:textId="77777777" w:rsidR="009B662C" w:rsidRDefault="00AA3EBA" w:rsidP="009B662C">
      <w:pPr>
        <w:pStyle w:val="NormalWeb"/>
        <w:ind w:left="720" w:hanging="720"/>
        <w:jc w:val="both"/>
      </w:pPr>
      <w:proofErr w:type="spellStart"/>
      <w:r w:rsidRPr="00AA3EBA">
        <w:rPr>
          <w:rStyle w:val="Strong"/>
          <w:b w:val="0"/>
          <w:bCs w:val="0"/>
        </w:rPr>
        <w:t>Olorunfemi</w:t>
      </w:r>
      <w:proofErr w:type="spellEnd"/>
      <w:r w:rsidRPr="00AA3EBA">
        <w:rPr>
          <w:rStyle w:val="Strong"/>
          <w:b w:val="0"/>
          <w:bCs w:val="0"/>
        </w:rPr>
        <w:t>, G. S.</w:t>
      </w:r>
      <w:r w:rsidRPr="00AA3EBA">
        <w:t xml:space="preserve"> (2024). Internal control system and financial reporting quality of listed oil and gas companies in Nigeria. </w:t>
      </w:r>
      <w:proofErr w:type="spellStart"/>
      <w:r w:rsidRPr="00AA3EBA">
        <w:rPr>
          <w:rStyle w:val="Emphasis"/>
        </w:rPr>
        <w:t>Malete</w:t>
      </w:r>
      <w:proofErr w:type="spellEnd"/>
      <w:r w:rsidRPr="00AA3EBA">
        <w:rPr>
          <w:rStyle w:val="Emphasis"/>
        </w:rPr>
        <w:t xml:space="preserve"> Journal of Accounting and Finance, 5</w:t>
      </w:r>
      <w:r w:rsidRPr="00AA3EBA">
        <w:t>(1), 16–30.</w:t>
      </w:r>
      <w:r w:rsidR="009B662C">
        <w:t xml:space="preserve"> </w:t>
      </w:r>
    </w:p>
    <w:p w14:paraId="16ABDC7A" w14:textId="77777777" w:rsidR="009B662C" w:rsidRDefault="00AA3EBA" w:rsidP="009B662C">
      <w:pPr>
        <w:pStyle w:val="NormalWeb"/>
        <w:ind w:left="720" w:hanging="720"/>
        <w:jc w:val="both"/>
      </w:pPr>
      <w:proofErr w:type="spellStart"/>
      <w:r w:rsidRPr="00AA3EBA">
        <w:rPr>
          <w:rStyle w:val="Strong"/>
          <w:b w:val="0"/>
          <w:bCs w:val="0"/>
        </w:rPr>
        <w:t>Obigbemi</w:t>
      </w:r>
      <w:proofErr w:type="spellEnd"/>
      <w:r w:rsidRPr="00AA3EBA">
        <w:rPr>
          <w:rStyle w:val="Strong"/>
          <w:b w:val="0"/>
          <w:bCs w:val="0"/>
        </w:rPr>
        <w:t xml:space="preserve">, I. F., </w:t>
      </w:r>
      <w:proofErr w:type="spellStart"/>
      <w:r w:rsidRPr="00AA3EBA">
        <w:rPr>
          <w:rStyle w:val="Strong"/>
          <w:b w:val="0"/>
          <w:bCs w:val="0"/>
        </w:rPr>
        <w:t>Omolehinwa</w:t>
      </w:r>
      <w:proofErr w:type="spellEnd"/>
      <w:r w:rsidRPr="00AA3EBA">
        <w:rPr>
          <w:rStyle w:val="Strong"/>
          <w:b w:val="0"/>
          <w:bCs w:val="0"/>
        </w:rPr>
        <w:t xml:space="preserve">, E., &amp; </w:t>
      </w:r>
      <w:proofErr w:type="spellStart"/>
      <w:r w:rsidRPr="00AA3EBA">
        <w:rPr>
          <w:rStyle w:val="Strong"/>
          <w:b w:val="0"/>
          <w:bCs w:val="0"/>
        </w:rPr>
        <w:t>Mukoro</w:t>
      </w:r>
      <w:proofErr w:type="spellEnd"/>
      <w:r w:rsidRPr="00AA3EBA">
        <w:rPr>
          <w:rStyle w:val="Strong"/>
          <w:b w:val="0"/>
          <w:bCs w:val="0"/>
        </w:rPr>
        <w:t>, D.</w:t>
      </w:r>
      <w:r w:rsidRPr="00AA3EBA">
        <w:t xml:space="preserve"> (2022). Financial reporting quality and firm value: Evidence from Nigerian listed firms. </w:t>
      </w:r>
      <w:r w:rsidRPr="00AA3EBA">
        <w:rPr>
          <w:rStyle w:val="Emphasis"/>
        </w:rPr>
        <w:t>International Journal of Accounting and Financial Reporting, 12</w:t>
      </w:r>
      <w:r w:rsidRPr="00AA3EBA">
        <w:t xml:space="preserve">(1), 1–19. </w:t>
      </w:r>
      <w:hyperlink r:id="rId12" w:tgtFrame="_new" w:history="1">
        <w:r w:rsidRPr="00AA3EBA">
          <w:rPr>
            <w:rStyle w:val="Hyperlink"/>
            <w:rFonts w:eastAsiaTheme="majorEastAsia"/>
          </w:rPr>
          <w:t>https://doi.org/10.5296/ijafr.v12i1.19261</w:t>
        </w:r>
      </w:hyperlink>
      <w:r w:rsidR="009B662C">
        <w:t xml:space="preserve"> </w:t>
      </w:r>
    </w:p>
    <w:p w14:paraId="15E165E3" w14:textId="77777777" w:rsidR="009B662C" w:rsidRDefault="00AA3EBA" w:rsidP="009B662C">
      <w:pPr>
        <w:pStyle w:val="NormalWeb"/>
        <w:ind w:left="720" w:hanging="720"/>
        <w:jc w:val="both"/>
      </w:pPr>
      <w:proofErr w:type="spellStart"/>
      <w:r w:rsidRPr="00AA3EBA">
        <w:rPr>
          <w:rStyle w:val="Strong"/>
          <w:b w:val="0"/>
          <w:bCs w:val="0"/>
        </w:rPr>
        <w:t>Orijinta</w:t>
      </w:r>
      <w:proofErr w:type="spellEnd"/>
      <w:r w:rsidRPr="00AA3EBA">
        <w:rPr>
          <w:rStyle w:val="Strong"/>
          <w:b w:val="0"/>
          <w:bCs w:val="0"/>
        </w:rPr>
        <w:t xml:space="preserve">, C., Okafor, J., &amp; </w:t>
      </w:r>
      <w:proofErr w:type="spellStart"/>
      <w:r w:rsidRPr="00AA3EBA">
        <w:rPr>
          <w:rStyle w:val="Strong"/>
          <w:b w:val="0"/>
          <w:bCs w:val="0"/>
        </w:rPr>
        <w:t>Eze</w:t>
      </w:r>
      <w:proofErr w:type="spellEnd"/>
      <w:r w:rsidRPr="00AA3EBA">
        <w:rPr>
          <w:rStyle w:val="Strong"/>
          <w:b w:val="0"/>
          <w:bCs w:val="0"/>
        </w:rPr>
        <w:t>, M.</w:t>
      </w:r>
      <w:r w:rsidRPr="00AA3EBA">
        <w:t xml:space="preserve"> (2025). Audit committee attributes, audit report timeliness, and earnings volatility in Nigerian oil and gas firms. </w:t>
      </w:r>
      <w:r w:rsidRPr="00AA3EBA">
        <w:rPr>
          <w:rStyle w:val="Emphasis"/>
        </w:rPr>
        <w:t>Nigerian Journal of Accounting and Auditing Studies, 13</w:t>
      </w:r>
      <w:r w:rsidRPr="00AA3EBA">
        <w:t>(1), 54–72.</w:t>
      </w:r>
      <w:r w:rsidR="009B662C">
        <w:t xml:space="preserve"> </w:t>
      </w:r>
    </w:p>
    <w:p w14:paraId="236221B1" w14:textId="77777777" w:rsidR="009B662C" w:rsidRDefault="00AA3EBA" w:rsidP="009B662C">
      <w:pPr>
        <w:pStyle w:val="NormalWeb"/>
        <w:ind w:left="720" w:hanging="720"/>
        <w:jc w:val="both"/>
      </w:pPr>
      <w:proofErr w:type="spellStart"/>
      <w:r w:rsidRPr="00AA3EBA">
        <w:rPr>
          <w:rStyle w:val="Strong"/>
          <w:b w:val="0"/>
          <w:bCs w:val="0"/>
        </w:rPr>
        <w:t>Orijinta</w:t>
      </w:r>
      <w:proofErr w:type="spellEnd"/>
      <w:r w:rsidRPr="00AA3EBA">
        <w:rPr>
          <w:rStyle w:val="Strong"/>
          <w:b w:val="0"/>
          <w:bCs w:val="0"/>
        </w:rPr>
        <w:t xml:space="preserve">, H. I., </w:t>
      </w:r>
      <w:proofErr w:type="spellStart"/>
      <w:r w:rsidRPr="00AA3EBA">
        <w:rPr>
          <w:rStyle w:val="Strong"/>
          <w:b w:val="0"/>
          <w:bCs w:val="0"/>
        </w:rPr>
        <w:t>Otiedhe</w:t>
      </w:r>
      <w:proofErr w:type="spellEnd"/>
      <w:r w:rsidRPr="00AA3EBA">
        <w:rPr>
          <w:rStyle w:val="Strong"/>
          <w:b w:val="0"/>
          <w:bCs w:val="0"/>
        </w:rPr>
        <w:t xml:space="preserve">, G. M., &amp; </w:t>
      </w:r>
      <w:proofErr w:type="spellStart"/>
      <w:r w:rsidRPr="00AA3EBA">
        <w:rPr>
          <w:rStyle w:val="Strong"/>
          <w:b w:val="0"/>
          <w:bCs w:val="0"/>
        </w:rPr>
        <w:t>Udoezika</w:t>
      </w:r>
      <w:proofErr w:type="spellEnd"/>
      <w:r w:rsidRPr="00AA3EBA">
        <w:rPr>
          <w:rStyle w:val="Strong"/>
          <w:b w:val="0"/>
          <w:bCs w:val="0"/>
        </w:rPr>
        <w:t>, D.</w:t>
      </w:r>
      <w:r w:rsidRPr="00AA3EBA">
        <w:t xml:space="preserve"> (2025). Moderating effect of audit report timeliness on audit committee attributes and earnings volatility of quoted oil and gas firms in Nigeria. </w:t>
      </w:r>
      <w:r w:rsidRPr="00AA3EBA">
        <w:rPr>
          <w:rStyle w:val="Emphasis"/>
        </w:rPr>
        <w:t>International Journal of Multidisciplinary Approach Research and Science, 3</w:t>
      </w:r>
      <w:r w:rsidRPr="00AA3EBA">
        <w:t xml:space="preserve">(1), 14–26. </w:t>
      </w:r>
      <w:hyperlink r:id="rId13" w:tgtFrame="_new" w:history="1">
        <w:r w:rsidRPr="00AA3EBA">
          <w:rPr>
            <w:rStyle w:val="Hyperlink"/>
            <w:rFonts w:eastAsiaTheme="majorEastAsia"/>
          </w:rPr>
          <w:t>https://doi.org/10.59653/ijmars.v3i01.1194</w:t>
        </w:r>
      </w:hyperlink>
      <w:r w:rsidR="009B662C">
        <w:t xml:space="preserve"> </w:t>
      </w:r>
    </w:p>
    <w:p w14:paraId="58AF9B62" w14:textId="77777777" w:rsidR="009B662C" w:rsidRDefault="00AA3EBA" w:rsidP="009B662C">
      <w:pPr>
        <w:pStyle w:val="NormalWeb"/>
        <w:ind w:left="720" w:hanging="720"/>
        <w:jc w:val="both"/>
      </w:pPr>
      <w:proofErr w:type="spellStart"/>
      <w:r w:rsidRPr="00AA3EBA">
        <w:rPr>
          <w:rStyle w:val="Strong"/>
          <w:b w:val="0"/>
          <w:bCs w:val="0"/>
        </w:rPr>
        <w:t>Peekate</w:t>
      </w:r>
      <w:proofErr w:type="spellEnd"/>
      <w:r w:rsidRPr="00AA3EBA">
        <w:rPr>
          <w:rStyle w:val="Strong"/>
          <w:b w:val="0"/>
          <w:bCs w:val="0"/>
        </w:rPr>
        <w:t>, F. K.</w:t>
      </w:r>
      <w:r w:rsidRPr="00AA3EBA">
        <w:t xml:space="preserve"> (2025). Audit committee size and quality of financial reporting of listed consumer’s goods manufacturing companies in Nigeria. </w:t>
      </w:r>
      <w:r w:rsidRPr="00AA3EBA">
        <w:rPr>
          <w:rStyle w:val="Emphasis"/>
        </w:rPr>
        <w:t>BW Academic Journal, 2</w:t>
      </w:r>
      <w:r w:rsidRPr="00AA3EBA">
        <w:t xml:space="preserve">, 51–68. </w:t>
      </w:r>
      <w:hyperlink r:id="rId14" w:tgtFrame="_new" w:history="1">
        <w:r w:rsidRPr="00AA3EBA">
          <w:rPr>
            <w:rStyle w:val="Hyperlink"/>
            <w:rFonts w:eastAsiaTheme="majorEastAsia"/>
          </w:rPr>
          <w:t>https://bwjournal.org/index.php/bsjournal/article/view/2959</w:t>
        </w:r>
      </w:hyperlink>
      <w:r w:rsidR="009B662C">
        <w:t xml:space="preserve"> </w:t>
      </w:r>
    </w:p>
    <w:p w14:paraId="21A80881" w14:textId="77777777" w:rsidR="009B662C" w:rsidRDefault="00AA3EBA" w:rsidP="009B662C">
      <w:pPr>
        <w:pStyle w:val="NormalWeb"/>
        <w:ind w:left="720" w:hanging="720"/>
        <w:jc w:val="both"/>
      </w:pPr>
      <w:r w:rsidRPr="00AA3EBA">
        <w:rPr>
          <w:rStyle w:val="Strong"/>
          <w:b w:val="0"/>
          <w:bCs w:val="0"/>
        </w:rPr>
        <w:t xml:space="preserve">Pfeffer, J., &amp; </w:t>
      </w:r>
      <w:proofErr w:type="spellStart"/>
      <w:r w:rsidRPr="00AA3EBA">
        <w:rPr>
          <w:rStyle w:val="Strong"/>
          <w:b w:val="0"/>
          <w:bCs w:val="0"/>
        </w:rPr>
        <w:t>Salancik</w:t>
      </w:r>
      <w:proofErr w:type="spellEnd"/>
      <w:r w:rsidRPr="00AA3EBA">
        <w:rPr>
          <w:rStyle w:val="Strong"/>
          <w:b w:val="0"/>
          <w:bCs w:val="0"/>
        </w:rPr>
        <w:t>, G. R.</w:t>
      </w:r>
      <w:r w:rsidRPr="00AA3EBA">
        <w:t xml:space="preserve"> (1978). </w:t>
      </w:r>
      <w:r w:rsidRPr="00AA3EBA">
        <w:rPr>
          <w:rStyle w:val="Emphasis"/>
        </w:rPr>
        <w:t>The external control of organizations: A resource dependence perspective</w:t>
      </w:r>
      <w:r w:rsidRPr="00AA3EBA">
        <w:t xml:space="preserve">. University of Illinois at Urbana-Champaign's Academy for </w:t>
      </w:r>
      <w:r w:rsidRPr="00AA3EBA">
        <w:lastRenderedPageBreak/>
        <w:t xml:space="preserve">Entrepreneurial Leadership Historical Research Reference in Entrepreneurship. </w:t>
      </w:r>
      <w:hyperlink r:id="rId15" w:tgtFrame="_new" w:history="1">
        <w:r w:rsidRPr="00AA3EBA">
          <w:rPr>
            <w:rStyle w:val="Hyperlink"/>
            <w:rFonts w:eastAsiaTheme="majorEastAsia"/>
          </w:rPr>
          <w:t>https://ssrn.com/abstract=1496213</w:t>
        </w:r>
      </w:hyperlink>
      <w:r w:rsidR="009B662C">
        <w:t xml:space="preserve"> </w:t>
      </w:r>
    </w:p>
    <w:p w14:paraId="257E38C0" w14:textId="77777777" w:rsidR="009B662C" w:rsidRDefault="00AA3EBA" w:rsidP="009B662C">
      <w:pPr>
        <w:pStyle w:val="NormalWeb"/>
        <w:ind w:left="720" w:hanging="720"/>
        <w:jc w:val="both"/>
      </w:pPr>
      <w:r w:rsidRPr="00AA3EBA">
        <w:rPr>
          <w:rStyle w:val="Strong"/>
          <w:b w:val="0"/>
          <w:bCs w:val="0"/>
        </w:rPr>
        <w:t xml:space="preserve">Tan, J., &amp; </w:t>
      </w:r>
      <w:proofErr w:type="spellStart"/>
      <w:r w:rsidRPr="00AA3EBA">
        <w:rPr>
          <w:rStyle w:val="Strong"/>
          <w:b w:val="0"/>
          <w:bCs w:val="0"/>
        </w:rPr>
        <w:t>Shuan</w:t>
      </w:r>
      <w:proofErr w:type="spellEnd"/>
      <w:r w:rsidRPr="00AA3EBA">
        <w:rPr>
          <w:rStyle w:val="Strong"/>
          <w:b w:val="0"/>
          <w:bCs w:val="0"/>
        </w:rPr>
        <w:t>, L.</w:t>
      </w:r>
      <w:r w:rsidRPr="00AA3EBA">
        <w:t xml:space="preserve"> (2022). Audit committee engagement and financial reporting quality in Singaporean firms. </w:t>
      </w:r>
      <w:r w:rsidRPr="00AA3EBA">
        <w:rPr>
          <w:rStyle w:val="Emphasis"/>
        </w:rPr>
        <w:t>Asia-Pacific Journal of Accounting and Governance, 20</w:t>
      </w:r>
      <w:r w:rsidRPr="00AA3EBA">
        <w:t>(2), 131–146.</w:t>
      </w:r>
      <w:r w:rsidR="009B662C">
        <w:t xml:space="preserve"> </w:t>
      </w:r>
    </w:p>
    <w:p w14:paraId="461E191B" w14:textId="77777777" w:rsidR="009B662C" w:rsidRDefault="00AA3EBA" w:rsidP="009B662C">
      <w:pPr>
        <w:pStyle w:val="NormalWeb"/>
        <w:ind w:left="720" w:hanging="720"/>
        <w:jc w:val="both"/>
      </w:pPr>
      <w:r w:rsidRPr="00AA3EBA">
        <w:rPr>
          <w:rStyle w:val="Strong"/>
          <w:b w:val="0"/>
          <w:bCs w:val="0"/>
        </w:rPr>
        <w:t xml:space="preserve">Tan, J., &amp; </w:t>
      </w:r>
      <w:proofErr w:type="spellStart"/>
      <w:r w:rsidRPr="00AA3EBA">
        <w:rPr>
          <w:rStyle w:val="Strong"/>
          <w:b w:val="0"/>
          <w:bCs w:val="0"/>
        </w:rPr>
        <w:t>Shuan</w:t>
      </w:r>
      <w:proofErr w:type="spellEnd"/>
      <w:r w:rsidRPr="00AA3EBA">
        <w:rPr>
          <w:rStyle w:val="Strong"/>
          <w:b w:val="0"/>
          <w:bCs w:val="0"/>
        </w:rPr>
        <w:t>, L.</w:t>
      </w:r>
      <w:r w:rsidRPr="00AA3EBA">
        <w:t xml:space="preserve"> (2023). Audit committee composition and financial reporting transparency in Singaporean firms. </w:t>
      </w:r>
      <w:r w:rsidRPr="00AA3EBA">
        <w:rPr>
          <w:rStyle w:val="Emphasis"/>
        </w:rPr>
        <w:t>Asia-Pacific Journal of Accounting and Governance, 21</w:t>
      </w:r>
      <w:r w:rsidRPr="00AA3EBA">
        <w:t>(2), 128–144.</w:t>
      </w:r>
      <w:r w:rsidR="009B662C">
        <w:t xml:space="preserve"> </w:t>
      </w:r>
    </w:p>
    <w:p w14:paraId="750B7E39" w14:textId="77777777" w:rsidR="009B662C" w:rsidRDefault="00AA3EBA" w:rsidP="009B662C">
      <w:pPr>
        <w:pStyle w:val="NormalWeb"/>
        <w:ind w:left="720" w:hanging="720"/>
        <w:jc w:val="both"/>
      </w:pPr>
      <w:r w:rsidRPr="00AA3EBA">
        <w:rPr>
          <w:rStyle w:val="Strong"/>
          <w:b w:val="0"/>
          <w:bCs w:val="0"/>
        </w:rPr>
        <w:t xml:space="preserve">Tan, J., &amp; </w:t>
      </w:r>
      <w:proofErr w:type="spellStart"/>
      <w:r w:rsidRPr="00AA3EBA">
        <w:rPr>
          <w:rStyle w:val="Strong"/>
          <w:b w:val="0"/>
          <w:bCs w:val="0"/>
        </w:rPr>
        <w:t>Shuan</w:t>
      </w:r>
      <w:proofErr w:type="spellEnd"/>
      <w:r w:rsidRPr="00AA3EBA">
        <w:rPr>
          <w:rStyle w:val="Strong"/>
          <w:b w:val="0"/>
          <w:bCs w:val="0"/>
        </w:rPr>
        <w:t>, L.</w:t>
      </w:r>
      <w:r w:rsidRPr="00AA3EBA">
        <w:t xml:space="preserve"> (2023). Audit committee independence and accountability in Singaporean firms. </w:t>
      </w:r>
      <w:r w:rsidRPr="00AA3EBA">
        <w:rPr>
          <w:rStyle w:val="Emphasis"/>
        </w:rPr>
        <w:t>Asia-Pacific Journal of Accounting and Governance, 21</w:t>
      </w:r>
      <w:r w:rsidRPr="00AA3EBA">
        <w:t>(2), 132–147.</w:t>
      </w:r>
      <w:r w:rsidR="009B662C">
        <w:t xml:space="preserve"> </w:t>
      </w:r>
    </w:p>
    <w:p w14:paraId="2987F5D7" w14:textId="77777777" w:rsidR="009B662C" w:rsidRDefault="00AA3EBA" w:rsidP="009B662C">
      <w:pPr>
        <w:pStyle w:val="NormalWeb"/>
        <w:ind w:left="720" w:hanging="720"/>
        <w:jc w:val="both"/>
      </w:pPr>
      <w:r w:rsidRPr="00AA3EBA">
        <w:rPr>
          <w:rStyle w:val="Strong"/>
          <w:b w:val="0"/>
          <w:bCs w:val="0"/>
        </w:rPr>
        <w:t xml:space="preserve">Thanh Dong, N., </w:t>
      </w:r>
      <w:proofErr w:type="spellStart"/>
      <w:r w:rsidRPr="00AA3EBA">
        <w:rPr>
          <w:rStyle w:val="Strong"/>
          <w:b w:val="0"/>
          <w:bCs w:val="0"/>
        </w:rPr>
        <w:t>Thi</w:t>
      </w:r>
      <w:proofErr w:type="spellEnd"/>
      <w:r w:rsidRPr="00AA3EBA">
        <w:rPr>
          <w:rStyle w:val="Strong"/>
          <w:b w:val="0"/>
          <w:bCs w:val="0"/>
        </w:rPr>
        <w:t xml:space="preserve"> Mien Thuy, C., </w:t>
      </w:r>
      <w:proofErr w:type="spellStart"/>
      <w:r w:rsidRPr="00AA3EBA">
        <w:rPr>
          <w:rStyle w:val="Strong"/>
          <w:b w:val="0"/>
          <w:bCs w:val="0"/>
        </w:rPr>
        <w:t>Khuong</w:t>
      </w:r>
      <w:proofErr w:type="spellEnd"/>
      <w:r w:rsidRPr="00AA3EBA">
        <w:rPr>
          <w:rStyle w:val="Strong"/>
          <w:b w:val="0"/>
          <w:bCs w:val="0"/>
        </w:rPr>
        <w:t>, N. V., &amp; Le, A. H. T.</w:t>
      </w:r>
      <w:r w:rsidRPr="00AA3EBA">
        <w:t xml:space="preserve"> (2025). Annual report readability and financial reporting quality: The moderating role of information asymmetry. </w:t>
      </w:r>
      <w:r w:rsidRPr="00AA3EBA">
        <w:rPr>
          <w:rStyle w:val="Emphasis"/>
        </w:rPr>
        <w:t>International Journal of Accounting &amp; Information Management, 33</w:t>
      </w:r>
      <w:r w:rsidRPr="00AA3EBA">
        <w:t>(1), 241–261.</w:t>
      </w:r>
      <w:r w:rsidR="009B662C">
        <w:t xml:space="preserve"> </w:t>
      </w:r>
    </w:p>
    <w:p w14:paraId="2DEAFCD2" w14:textId="77777777" w:rsidR="009B662C" w:rsidRDefault="00AA3EBA" w:rsidP="009B662C">
      <w:pPr>
        <w:pStyle w:val="NormalWeb"/>
        <w:ind w:left="720" w:hanging="720"/>
        <w:jc w:val="both"/>
      </w:pPr>
      <w:proofErr w:type="spellStart"/>
      <w:r w:rsidRPr="00AA3EBA">
        <w:rPr>
          <w:rStyle w:val="Strong"/>
          <w:b w:val="0"/>
          <w:bCs w:val="0"/>
        </w:rPr>
        <w:t>Uttley</w:t>
      </w:r>
      <w:proofErr w:type="spellEnd"/>
      <w:r w:rsidRPr="00AA3EBA">
        <w:rPr>
          <w:rStyle w:val="Strong"/>
          <w:b w:val="0"/>
          <w:bCs w:val="0"/>
        </w:rPr>
        <w:t>, J.</w:t>
      </w:r>
      <w:r w:rsidRPr="00AA3EBA">
        <w:t xml:space="preserve"> (2019). Power analysis, sample size, and assessment of statistical assumptions—Improving the evidential value of lighting research. </w:t>
      </w:r>
      <w:r w:rsidRPr="00AA3EBA">
        <w:rPr>
          <w:rStyle w:val="Emphasis"/>
        </w:rPr>
        <w:t>LEUKOS, 15</w:t>
      </w:r>
      <w:r w:rsidRPr="00AA3EBA">
        <w:t xml:space="preserve">(2-3), 143–162. </w:t>
      </w:r>
      <w:hyperlink r:id="rId16" w:history="1">
        <w:r w:rsidR="009B662C" w:rsidRPr="0053155C">
          <w:rPr>
            <w:rStyle w:val="Hyperlink"/>
          </w:rPr>
          <w:t>https://doi.org/10.1080/15502724.2018.1533851</w:t>
        </w:r>
      </w:hyperlink>
      <w:r w:rsidR="009B662C">
        <w:t xml:space="preserve">. </w:t>
      </w:r>
    </w:p>
    <w:p w14:paraId="4AF63FBD" w14:textId="77777777" w:rsidR="009B662C" w:rsidRDefault="00AA3EBA" w:rsidP="009B662C">
      <w:pPr>
        <w:pStyle w:val="NormalWeb"/>
        <w:ind w:left="720" w:hanging="720"/>
        <w:jc w:val="both"/>
      </w:pPr>
      <w:r w:rsidRPr="00AA3EBA">
        <w:rPr>
          <w:rStyle w:val="Strong"/>
          <w:b w:val="0"/>
          <w:bCs w:val="0"/>
        </w:rPr>
        <w:t>Wang, Y., Li, X., &amp; Chen, Z.</w:t>
      </w:r>
      <w:r w:rsidRPr="00AA3EBA">
        <w:t xml:space="preserve"> (2022). A cross-country analysis of audit committee independence and financial reporting quality. </w:t>
      </w:r>
      <w:r w:rsidRPr="00AA3EBA">
        <w:rPr>
          <w:rStyle w:val="Emphasis"/>
        </w:rPr>
        <w:t>Global Accounting Journal, 30</w:t>
      </w:r>
      <w:r w:rsidRPr="00AA3EBA">
        <w:t>(4), 325–342.</w:t>
      </w:r>
      <w:r w:rsidR="009B662C">
        <w:t xml:space="preserve"> </w:t>
      </w:r>
    </w:p>
    <w:p w14:paraId="64A5D1FC" w14:textId="77777777" w:rsidR="009B662C" w:rsidRDefault="00AA3EBA" w:rsidP="009B662C">
      <w:pPr>
        <w:pStyle w:val="NormalWeb"/>
        <w:ind w:left="720" w:hanging="720"/>
        <w:jc w:val="both"/>
      </w:pPr>
      <w:r w:rsidRPr="00AA3EBA">
        <w:rPr>
          <w:rStyle w:val="Strong"/>
          <w:b w:val="0"/>
          <w:bCs w:val="0"/>
        </w:rPr>
        <w:t>Wang, Y., Li, X., &amp; Chen, Z.</w:t>
      </w:r>
      <w:r w:rsidRPr="00AA3EBA">
        <w:t xml:space="preserve"> (2023). Audit committee structure and financial reporting quality in Australian listed companies. </w:t>
      </w:r>
      <w:r w:rsidRPr="00AA3EBA">
        <w:rPr>
          <w:rStyle w:val="Emphasis"/>
        </w:rPr>
        <w:t>Australian Accounting Research Journal, 31</w:t>
      </w:r>
      <w:r w:rsidRPr="00AA3EBA">
        <w:t>(2), 101–117.</w:t>
      </w:r>
      <w:r w:rsidR="009B662C">
        <w:t xml:space="preserve"> </w:t>
      </w:r>
    </w:p>
    <w:p w14:paraId="73AF9213" w14:textId="77777777" w:rsidR="009B662C" w:rsidRDefault="00AA3EBA" w:rsidP="009B662C">
      <w:pPr>
        <w:pStyle w:val="NormalWeb"/>
        <w:ind w:left="720" w:hanging="720"/>
        <w:jc w:val="both"/>
      </w:pPr>
      <w:proofErr w:type="spellStart"/>
      <w:r w:rsidRPr="00AA3EBA">
        <w:rPr>
          <w:rStyle w:val="Strong"/>
          <w:b w:val="0"/>
          <w:bCs w:val="0"/>
        </w:rPr>
        <w:t>Yawuri</w:t>
      </w:r>
      <w:proofErr w:type="spellEnd"/>
      <w:r w:rsidRPr="00AA3EBA">
        <w:rPr>
          <w:rStyle w:val="Strong"/>
          <w:b w:val="0"/>
          <w:bCs w:val="0"/>
        </w:rPr>
        <w:t xml:space="preserve">, A. N., </w:t>
      </w:r>
      <w:proofErr w:type="spellStart"/>
      <w:r w:rsidRPr="00AA3EBA">
        <w:rPr>
          <w:rStyle w:val="Strong"/>
          <w:b w:val="0"/>
          <w:bCs w:val="0"/>
        </w:rPr>
        <w:t>Kighir</w:t>
      </w:r>
      <w:proofErr w:type="spellEnd"/>
      <w:r w:rsidRPr="00AA3EBA">
        <w:rPr>
          <w:rStyle w:val="Strong"/>
          <w:b w:val="0"/>
          <w:bCs w:val="0"/>
        </w:rPr>
        <w:t xml:space="preserve">, A. E., </w:t>
      </w:r>
      <w:proofErr w:type="spellStart"/>
      <w:r w:rsidRPr="00AA3EBA">
        <w:rPr>
          <w:rStyle w:val="Strong"/>
          <w:b w:val="0"/>
          <w:bCs w:val="0"/>
        </w:rPr>
        <w:t>Bugaje</w:t>
      </w:r>
      <w:proofErr w:type="spellEnd"/>
      <w:r w:rsidRPr="00AA3EBA">
        <w:rPr>
          <w:rStyle w:val="Strong"/>
          <w:b w:val="0"/>
          <w:bCs w:val="0"/>
        </w:rPr>
        <w:t xml:space="preserve">, S. Y., &amp; </w:t>
      </w:r>
      <w:proofErr w:type="spellStart"/>
      <w:r w:rsidRPr="00AA3EBA">
        <w:rPr>
          <w:rStyle w:val="Strong"/>
          <w:b w:val="0"/>
          <w:bCs w:val="0"/>
        </w:rPr>
        <w:t>Obeitoh</w:t>
      </w:r>
      <w:proofErr w:type="spellEnd"/>
      <w:r w:rsidRPr="00AA3EBA">
        <w:rPr>
          <w:rStyle w:val="Strong"/>
          <w:b w:val="0"/>
          <w:bCs w:val="0"/>
        </w:rPr>
        <w:t>, O. O.</w:t>
      </w:r>
      <w:r w:rsidRPr="00AA3EBA">
        <w:t xml:space="preserve"> (2024). Audit and board committee expertise and financial statement fraud among listed oil and gas firms in Nigeria. </w:t>
      </w:r>
      <w:r w:rsidRPr="00AA3EBA">
        <w:rPr>
          <w:rStyle w:val="Emphasis"/>
        </w:rPr>
        <w:t>FUDMA Journal of Accounting and Finance Research [FUJAFR], 2</w:t>
      </w:r>
      <w:r w:rsidRPr="00AA3EBA">
        <w:t xml:space="preserve">(2), 95–104. </w:t>
      </w:r>
      <w:hyperlink r:id="rId17" w:tgtFrame="_new" w:history="1">
        <w:r w:rsidRPr="00AA3EBA">
          <w:rPr>
            <w:rStyle w:val="Hyperlink"/>
            <w:rFonts w:eastAsiaTheme="majorEastAsia"/>
          </w:rPr>
          <w:t>https://doi.org/10.33003/fujafr</w:t>
        </w:r>
      </w:hyperlink>
      <w:r w:rsidR="009B662C">
        <w:t xml:space="preserve"> </w:t>
      </w:r>
    </w:p>
    <w:p w14:paraId="4B3E9E6B" w14:textId="77777777" w:rsidR="009B662C" w:rsidRDefault="00AA3EBA" w:rsidP="009B662C">
      <w:pPr>
        <w:pStyle w:val="NormalWeb"/>
        <w:ind w:left="720" w:hanging="720"/>
        <w:jc w:val="both"/>
      </w:pPr>
      <w:r w:rsidRPr="00AA3EBA">
        <w:rPr>
          <w:rStyle w:val="Strong"/>
          <w:b w:val="0"/>
          <w:bCs w:val="0"/>
        </w:rPr>
        <w:t>Zhang, W., &amp; Zhao, L.</w:t>
      </w:r>
      <w:r w:rsidRPr="00AA3EBA">
        <w:t xml:space="preserve"> (2023). Audit committee meeting frequency and financial transparency in Chinese listed firms. </w:t>
      </w:r>
      <w:r w:rsidRPr="00AA3EBA">
        <w:rPr>
          <w:rStyle w:val="Emphasis"/>
        </w:rPr>
        <w:t>China Journal of Accounting Research, 16</w:t>
      </w:r>
      <w:r w:rsidRPr="00AA3EBA">
        <w:t>(3), 201–218.</w:t>
      </w:r>
      <w:r w:rsidR="009B662C">
        <w:t xml:space="preserve"> </w:t>
      </w:r>
    </w:p>
    <w:p w14:paraId="2B8573A2" w14:textId="0966E3D2" w:rsidR="00AA3EBA" w:rsidRDefault="00AA3EBA" w:rsidP="009B662C">
      <w:pPr>
        <w:pStyle w:val="NormalWeb"/>
        <w:ind w:left="720" w:hanging="720"/>
        <w:jc w:val="both"/>
      </w:pPr>
      <w:r w:rsidRPr="00AA3EBA">
        <w:rPr>
          <w:rStyle w:val="Strong"/>
          <w:b w:val="0"/>
          <w:bCs w:val="0"/>
        </w:rPr>
        <w:t>Zhou, L., Xu, F., &amp; Zhang, W.</w:t>
      </w:r>
      <w:r w:rsidRPr="00AA3EBA">
        <w:t xml:space="preserve"> (2023). Audit committee independence and transparency in financial reporting: Evidence from China. </w:t>
      </w:r>
      <w:r w:rsidRPr="00AA3EBA">
        <w:rPr>
          <w:rStyle w:val="Emphasis"/>
        </w:rPr>
        <w:t>China Journal of Accounting Research, 16</w:t>
      </w:r>
      <w:r w:rsidRPr="00AA3EBA">
        <w:t>(1), 88–103.</w:t>
      </w:r>
    </w:p>
    <w:p w14:paraId="39B1DF26" w14:textId="020CA755" w:rsidR="00AA3EBA" w:rsidRDefault="00AA3EBA" w:rsidP="00AA3EBA"/>
    <w:p w14:paraId="5018917F" w14:textId="77777777" w:rsidR="009A0781" w:rsidRPr="000C116B" w:rsidRDefault="009A0781" w:rsidP="000C116B">
      <w:pPr>
        <w:pStyle w:val="NormalWeb"/>
        <w:jc w:val="both"/>
      </w:pPr>
    </w:p>
    <w:sectPr w:rsidR="009A0781" w:rsidRPr="000C116B">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7A07C" w14:textId="77777777" w:rsidR="00DB4DEA" w:rsidRDefault="00DB4DEA">
      <w:pPr>
        <w:spacing w:after="0" w:line="240" w:lineRule="auto"/>
      </w:pPr>
      <w:r>
        <w:separator/>
      </w:r>
    </w:p>
  </w:endnote>
  <w:endnote w:type="continuationSeparator" w:id="0">
    <w:p w14:paraId="2BFB9068" w14:textId="77777777" w:rsidR="00DB4DEA" w:rsidRDefault="00DB4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BAC24" w14:textId="77777777" w:rsidR="000F56A3" w:rsidRDefault="000F56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970118"/>
      <w:docPartObj>
        <w:docPartGallery w:val="Page Numbers (Bottom of Page)"/>
        <w:docPartUnique/>
      </w:docPartObj>
    </w:sdtPr>
    <w:sdtEndPr>
      <w:rPr>
        <w:noProof/>
      </w:rPr>
    </w:sdtEndPr>
    <w:sdtContent>
      <w:p w14:paraId="68D9B9F4" w14:textId="77777777" w:rsidR="0089721F" w:rsidRDefault="000B2BB8">
        <w:pPr>
          <w:pStyle w:val="Footer"/>
          <w:jc w:val="center"/>
        </w:pPr>
        <w:r>
          <w:fldChar w:fldCharType="begin"/>
        </w:r>
        <w:r>
          <w:instrText xml:space="preserve"> PAGE   \* MERGEFORMAT </w:instrText>
        </w:r>
        <w:r>
          <w:fldChar w:fldCharType="separate"/>
        </w:r>
        <w:r w:rsidR="00B17B47">
          <w:rPr>
            <w:noProof/>
          </w:rPr>
          <w:t>1</w:t>
        </w:r>
        <w:r>
          <w:rPr>
            <w:noProof/>
          </w:rPr>
          <w:fldChar w:fldCharType="end"/>
        </w:r>
      </w:p>
    </w:sdtContent>
  </w:sdt>
  <w:p w14:paraId="03BFA4F4" w14:textId="77777777" w:rsidR="0089721F" w:rsidRDefault="008972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411D8" w14:textId="77777777" w:rsidR="000F56A3" w:rsidRDefault="000F56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EFACE" w14:textId="77777777" w:rsidR="00DB4DEA" w:rsidRDefault="00DB4DEA">
      <w:pPr>
        <w:spacing w:after="0" w:line="240" w:lineRule="auto"/>
      </w:pPr>
      <w:r>
        <w:separator/>
      </w:r>
    </w:p>
  </w:footnote>
  <w:footnote w:type="continuationSeparator" w:id="0">
    <w:p w14:paraId="777D9D36" w14:textId="77777777" w:rsidR="00DB4DEA" w:rsidRDefault="00DB4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196A6" w14:textId="1B69E741" w:rsidR="000F56A3" w:rsidRDefault="000F56A3">
    <w:pPr>
      <w:pStyle w:val="Header"/>
    </w:pPr>
    <w:r>
      <w:rPr>
        <w:noProof/>
      </w:rPr>
      <w:pict w14:anchorId="47C995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1858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FEB08" w14:textId="2AFEE589" w:rsidR="000F56A3" w:rsidRDefault="000F56A3">
    <w:pPr>
      <w:pStyle w:val="Header"/>
    </w:pPr>
    <w:r>
      <w:rPr>
        <w:noProof/>
      </w:rPr>
      <w:pict w14:anchorId="6007EC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1858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4F641" w14:textId="36E21EBF" w:rsidR="000F56A3" w:rsidRDefault="000F56A3">
    <w:pPr>
      <w:pStyle w:val="Header"/>
    </w:pPr>
    <w:r>
      <w:rPr>
        <w:noProof/>
      </w:rPr>
      <w:pict w14:anchorId="7C788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1858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72FE4"/>
    <w:multiLevelType w:val="multilevel"/>
    <w:tmpl w:val="E6D4D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B5283C"/>
    <w:multiLevelType w:val="multilevel"/>
    <w:tmpl w:val="9878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1B2D36"/>
    <w:multiLevelType w:val="multilevel"/>
    <w:tmpl w:val="6CD6C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E171C2"/>
    <w:multiLevelType w:val="multilevel"/>
    <w:tmpl w:val="C1E4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DB3FB7"/>
    <w:multiLevelType w:val="multilevel"/>
    <w:tmpl w:val="3F643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WwMDMwMjO1MDM0MDFV0lEKTi0uzszPAykwrAUABuhykCwAAAA="/>
  </w:docVars>
  <w:rsids>
    <w:rsidRoot w:val="002005C5"/>
    <w:rsid w:val="000310F9"/>
    <w:rsid w:val="00031AA9"/>
    <w:rsid w:val="00055102"/>
    <w:rsid w:val="00076724"/>
    <w:rsid w:val="00083D65"/>
    <w:rsid w:val="000B0CEA"/>
    <w:rsid w:val="000B2BB8"/>
    <w:rsid w:val="000B3109"/>
    <w:rsid w:val="000C116B"/>
    <w:rsid w:val="000C1B0A"/>
    <w:rsid w:val="000E2143"/>
    <w:rsid w:val="000F56A3"/>
    <w:rsid w:val="00113A97"/>
    <w:rsid w:val="001306DD"/>
    <w:rsid w:val="00146811"/>
    <w:rsid w:val="0016195A"/>
    <w:rsid w:val="001826A9"/>
    <w:rsid w:val="001A0DB6"/>
    <w:rsid w:val="001A5033"/>
    <w:rsid w:val="001C4A97"/>
    <w:rsid w:val="001F4BEB"/>
    <w:rsid w:val="002005C5"/>
    <w:rsid w:val="00200E84"/>
    <w:rsid w:val="00207B4D"/>
    <w:rsid w:val="00224A26"/>
    <w:rsid w:val="002318A8"/>
    <w:rsid w:val="00246DCA"/>
    <w:rsid w:val="00246F8A"/>
    <w:rsid w:val="0025067A"/>
    <w:rsid w:val="00256529"/>
    <w:rsid w:val="0025771C"/>
    <w:rsid w:val="0028744A"/>
    <w:rsid w:val="002876B1"/>
    <w:rsid w:val="00296013"/>
    <w:rsid w:val="002B3CBC"/>
    <w:rsid w:val="002B7832"/>
    <w:rsid w:val="002D3AEE"/>
    <w:rsid w:val="002E1DAC"/>
    <w:rsid w:val="002E5688"/>
    <w:rsid w:val="002F2735"/>
    <w:rsid w:val="003001A1"/>
    <w:rsid w:val="003219DE"/>
    <w:rsid w:val="0035340D"/>
    <w:rsid w:val="00354255"/>
    <w:rsid w:val="003605A7"/>
    <w:rsid w:val="00386AF3"/>
    <w:rsid w:val="003A387B"/>
    <w:rsid w:val="003B05D2"/>
    <w:rsid w:val="003C3F06"/>
    <w:rsid w:val="003D7716"/>
    <w:rsid w:val="004408A5"/>
    <w:rsid w:val="00460A78"/>
    <w:rsid w:val="00490EFF"/>
    <w:rsid w:val="00496194"/>
    <w:rsid w:val="00496A3A"/>
    <w:rsid w:val="004976B5"/>
    <w:rsid w:val="004A5B50"/>
    <w:rsid w:val="004A6E53"/>
    <w:rsid w:val="004B14A9"/>
    <w:rsid w:val="004B56DD"/>
    <w:rsid w:val="004E6824"/>
    <w:rsid w:val="00502138"/>
    <w:rsid w:val="005318EE"/>
    <w:rsid w:val="005663B4"/>
    <w:rsid w:val="00571656"/>
    <w:rsid w:val="00604A90"/>
    <w:rsid w:val="00617F1C"/>
    <w:rsid w:val="00632BB3"/>
    <w:rsid w:val="00634862"/>
    <w:rsid w:val="00661639"/>
    <w:rsid w:val="0068537A"/>
    <w:rsid w:val="006E7B74"/>
    <w:rsid w:val="00701CFF"/>
    <w:rsid w:val="00710714"/>
    <w:rsid w:val="00727206"/>
    <w:rsid w:val="00746110"/>
    <w:rsid w:val="007552B9"/>
    <w:rsid w:val="00767E7F"/>
    <w:rsid w:val="00777CFC"/>
    <w:rsid w:val="00781F9E"/>
    <w:rsid w:val="00787FC0"/>
    <w:rsid w:val="007A3B3D"/>
    <w:rsid w:val="007B5F7B"/>
    <w:rsid w:val="007D293E"/>
    <w:rsid w:val="007E1613"/>
    <w:rsid w:val="007E2E6D"/>
    <w:rsid w:val="00847297"/>
    <w:rsid w:val="00864987"/>
    <w:rsid w:val="00874774"/>
    <w:rsid w:val="00880CD8"/>
    <w:rsid w:val="0089721F"/>
    <w:rsid w:val="008A6D48"/>
    <w:rsid w:val="008D23F8"/>
    <w:rsid w:val="008D264C"/>
    <w:rsid w:val="008F3716"/>
    <w:rsid w:val="00912EE3"/>
    <w:rsid w:val="00924B92"/>
    <w:rsid w:val="00963DE9"/>
    <w:rsid w:val="0097544E"/>
    <w:rsid w:val="0098271A"/>
    <w:rsid w:val="009A0781"/>
    <w:rsid w:val="009A14DC"/>
    <w:rsid w:val="009B4878"/>
    <w:rsid w:val="009B662C"/>
    <w:rsid w:val="00A23896"/>
    <w:rsid w:val="00A459AA"/>
    <w:rsid w:val="00A832B6"/>
    <w:rsid w:val="00A960EA"/>
    <w:rsid w:val="00AA3EBA"/>
    <w:rsid w:val="00AA578A"/>
    <w:rsid w:val="00AA6ADD"/>
    <w:rsid w:val="00AC7FCB"/>
    <w:rsid w:val="00AF66B8"/>
    <w:rsid w:val="00B01B1A"/>
    <w:rsid w:val="00B02DDB"/>
    <w:rsid w:val="00B03177"/>
    <w:rsid w:val="00B04057"/>
    <w:rsid w:val="00B17B47"/>
    <w:rsid w:val="00B23C74"/>
    <w:rsid w:val="00B3000C"/>
    <w:rsid w:val="00B33EAF"/>
    <w:rsid w:val="00B3526A"/>
    <w:rsid w:val="00B51B0B"/>
    <w:rsid w:val="00B62FE0"/>
    <w:rsid w:val="00B6521C"/>
    <w:rsid w:val="00B85F51"/>
    <w:rsid w:val="00B90890"/>
    <w:rsid w:val="00B97E94"/>
    <w:rsid w:val="00BB7B9F"/>
    <w:rsid w:val="00C025A7"/>
    <w:rsid w:val="00C10EBE"/>
    <w:rsid w:val="00C314CA"/>
    <w:rsid w:val="00C43162"/>
    <w:rsid w:val="00C54A10"/>
    <w:rsid w:val="00C70E78"/>
    <w:rsid w:val="00C7678A"/>
    <w:rsid w:val="00C84307"/>
    <w:rsid w:val="00CB5472"/>
    <w:rsid w:val="00CC7411"/>
    <w:rsid w:val="00CD4C82"/>
    <w:rsid w:val="00CE57FA"/>
    <w:rsid w:val="00D024ED"/>
    <w:rsid w:val="00D253FA"/>
    <w:rsid w:val="00D263C6"/>
    <w:rsid w:val="00D34769"/>
    <w:rsid w:val="00D51B7C"/>
    <w:rsid w:val="00D63F5D"/>
    <w:rsid w:val="00DB4DEA"/>
    <w:rsid w:val="00DD020A"/>
    <w:rsid w:val="00DD02A9"/>
    <w:rsid w:val="00DF3E2D"/>
    <w:rsid w:val="00E04DE3"/>
    <w:rsid w:val="00E14E4F"/>
    <w:rsid w:val="00E20B01"/>
    <w:rsid w:val="00E27244"/>
    <w:rsid w:val="00E444B5"/>
    <w:rsid w:val="00E62C62"/>
    <w:rsid w:val="00E644BF"/>
    <w:rsid w:val="00E73BFB"/>
    <w:rsid w:val="00E77EEB"/>
    <w:rsid w:val="00E91358"/>
    <w:rsid w:val="00EA760E"/>
    <w:rsid w:val="00EB16E6"/>
    <w:rsid w:val="00EB6B10"/>
    <w:rsid w:val="00EC0640"/>
    <w:rsid w:val="00EE2C74"/>
    <w:rsid w:val="00EF27CF"/>
    <w:rsid w:val="00F34EA5"/>
    <w:rsid w:val="00F47737"/>
    <w:rsid w:val="00F574CC"/>
    <w:rsid w:val="00F675ED"/>
    <w:rsid w:val="00F765A7"/>
    <w:rsid w:val="00F94798"/>
    <w:rsid w:val="00FB5F53"/>
    <w:rsid w:val="00FD053A"/>
    <w:rsid w:val="00FE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D681C3C"/>
  <w15:docId w15:val="{1AA526D2-2A5B-4FAE-9217-476842AD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05C5"/>
    <w:pPr>
      <w:spacing w:after="200" w:line="276" w:lineRule="auto"/>
    </w:pPr>
    <w:rPr>
      <w:rFonts w:ascii="Calibri" w:eastAsia="SimSun" w:hAnsi="Calibri" w:cs="Times New Roman"/>
      <w:lang w:eastAsia="zh-CN"/>
    </w:rPr>
  </w:style>
  <w:style w:type="paragraph" w:styleId="Heading1">
    <w:name w:val="heading 1"/>
    <w:basedOn w:val="Normal"/>
    <w:next w:val="Normal"/>
    <w:link w:val="Heading1Char"/>
    <w:uiPriority w:val="9"/>
    <w:qFormat/>
    <w:rsid w:val="000B31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62F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005C5"/>
    <w:pPr>
      <w:spacing w:before="100" w:beforeAutospacing="1" w:after="100" w:afterAutospacing="1" w:line="240" w:lineRule="auto"/>
      <w:outlineLvl w:val="2"/>
    </w:pPr>
    <w:rPr>
      <w:rFonts w:ascii="Times New Roman" w:eastAsia="Times New Roman" w:hAnsi="Times New Roman"/>
      <w:b/>
      <w:bCs/>
      <w:sz w:val="27"/>
      <w:szCs w:val="27"/>
      <w:lang w:eastAsia="en-US"/>
    </w:rPr>
  </w:style>
  <w:style w:type="paragraph" w:styleId="Heading4">
    <w:name w:val="heading 4"/>
    <w:basedOn w:val="Normal"/>
    <w:next w:val="Normal"/>
    <w:link w:val="Heading4Char"/>
    <w:uiPriority w:val="9"/>
    <w:unhideWhenUsed/>
    <w:qFormat/>
    <w:rsid w:val="002005C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005C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005C5"/>
    <w:rPr>
      <w:rFonts w:ascii="Times New Roman" w:eastAsia="Times New Roman" w:hAnsi="Times New Roman" w:cs="Times New Roman"/>
      <w:b/>
      <w:bCs/>
      <w:sz w:val="27"/>
      <w:szCs w:val="27"/>
    </w:rPr>
  </w:style>
  <w:style w:type="paragraph" w:styleId="NormalWeb">
    <w:name w:val="Normal (Web)"/>
    <w:basedOn w:val="Normal"/>
    <w:uiPriority w:val="99"/>
    <w:unhideWhenUsed/>
    <w:rsid w:val="002005C5"/>
    <w:pPr>
      <w:spacing w:before="100" w:beforeAutospacing="1" w:after="100" w:afterAutospacing="1" w:line="240" w:lineRule="auto"/>
    </w:pPr>
    <w:rPr>
      <w:rFonts w:ascii="Times New Roman" w:eastAsia="Times New Roman" w:hAnsi="Times New Roman"/>
      <w:sz w:val="24"/>
      <w:szCs w:val="24"/>
      <w:lang w:eastAsia="en-US"/>
    </w:rPr>
  </w:style>
  <w:style w:type="paragraph" w:styleId="NoSpacing">
    <w:name w:val="No Spacing"/>
    <w:link w:val="NoSpacingChar"/>
    <w:uiPriority w:val="1"/>
    <w:qFormat/>
    <w:rsid w:val="002005C5"/>
    <w:pPr>
      <w:spacing w:after="0" w:line="240" w:lineRule="auto"/>
    </w:pPr>
  </w:style>
  <w:style w:type="character" w:customStyle="1" w:styleId="NoSpacingChar">
    <w:name w:val="No Spacing Char"/>
    <w:link w:val="NoSpacing"/>
    <w:uiPriority w:val="1"/>
    <w:locked/>
    <w:rsid w:val="002005C5"/>
  </w:style>
  <w:style w:type="character" w:customStyle="1" w:styleId="Heading4Char">
    <w:name w:val="Heading 4 Char"/>
    <w:basedOn w:val="DefaultParagraphFont"/>
    <w:link w:val="Heading4"/>
    <w:uiPriority w:val="9"/>
    <w:rsid w:val="002005C5"/>
    <w:rPr>
      <w:rFonts w:asciiTheme="majorHAnsi" w:eastAsiaTheme="majorEastAsia" w:hAnsiTheme="majorHAnsi" w:cstheme="majorBidi"/>
      <w:i/>
      <w:iCs/>
      <w:color w:val="2F5496" w:themeColor="accent1" w:themeShade="BF"/>
      <w:lang w:eastAsia="zh-CN"/>
    </w:rPr>
  </w:style>
  <w:style w:type="character" w:customStyle="1" w:styleId="Heading5Char">
    <w:name w:val="Heading 5 Char"/>
    <w:basedOn w:val="DefaultParagraphFont"/>
    <w:link w:val="Heading5"/>
    <w:uiPriority w:val="9"/>
    <w:semiHidden/>
    <w:rsid w:val="002005C5"/>
    <w:rPr>
      <w:rFonts w:asciiTheme="majorHAnsi" w:eastAsiaTheme="majorEastAsia" w:hAnsiTheme="majorHAnsi" w:cstheme="majorBidi"/>
      <w:color w:val="2F5496" w:themeColor="accent1" w:themeShade="BF"/>
      <w:lang w:eastAsia="zh-CN"/>
    </w:rPr>
  </w:style>
  <w:style w:type="character" w:styleId="Strong">
    <w:name w:val="Strong"/>
    <w:basedOn w:val="DefaultParagraphFont"/>
    <w:uiPriority w:val="22"/>
    <w:qFormat/>
    <w:rsid w:val="002005C5"/>
    <w:rPr>
      <w:b/>
      <w:bCs/>
    </w:rPr>
  </w:style>
  <w:style w:type="character" w:styleId="Emphasis">
    <w:name w:val="Emphasis"/>
    <w:basedOn w:val="DefaultParagraphFont"/>
    <w:uiPriority w:val="20"/>
    <w:qFormat/>
    <w:rsid w:val="002005C5"/>
    <w:rPr>
      <w:i/>
      <w:iCs/>
    </w:rPr>
  </w:style>
  <w:style w:type="character" w:styleId="Hyperlink">
    <w:name w:val="Hyperlink"/>
    <w:basedOn w:val="DefaultParagraphFont"/>
    <w:uiPriority w:val="99"/>
    <w:unhideWhenUsed/>
    <w:rsid w:val="002005C5"/>
    <w:rPr>
      <w:color w:val="0000FF"/>
      <w:u w:val="single"/>
    </w:rPr>
  </w:style>
  <w:style w:type="paragraph" w:styleId="Footer">
    <w:name w:val="footer"/>
    <w:basedOn w:val="Normal"/>
    <w:link w:val="FooterChar"/>
    <w:uiPriority w:val="99"/>
    <w:unhideWhenUsed/>
    <w:rsid w:val="002005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5C5"/>
    <w:rPr>
      <w:rFonts w:ascii="Calibri" w:eastAsia="SimSun" w:hAnsi="Calibri" w:cs="Times New Roman"/>
      <w:lang w:eastAsia="zh-CN"/>
    </w:rPr>
  </w:style>
  <w:style w:type="character" w:customStyle="1" w:styleId="mord">
    <w:name w:val="mord"/>
    <w:basedOn w:val="DefaultParagraphFont"/>
    <w:rsid w:val="002005C5"/>
  </w:style>
  <w:style w:type="character" w:customStyle="1" w:styleId="katex-mathml">
    <w:name w:val="katex-mathml"/>
    <w:basedOn w:val="DefaultParagraphFont"/>
    <w:rsid w:val="00B90890"/>
  </w:style>
  <w:style w:type="character" w:customStyle="1" w:styleId="vlist-s">
    <w:name w:val="vlist-s"/>
    <w:basedOn w:val="DefaultParagraphFont"/>
    <w:rsid w:val="00B90890"/>
  </w:style>
  <w:style w:type="character" w:customStyle="1" w:styleId="mrel">
    <w:name w:val="mrel"/>
    <w:basedOn w:val="DefaultParagraphFont"/>
    <w:rsid w:val="00B90890"/>
  </w:style>
  <w:style w:type="character" w:customStyle="1" w:styleId="mbin">
    <w:name w:val="mbin"/>
    <w:basedOn w:val="DefaultParagraphFont"/>
    <w:rsid w:val="00B90890"/>
  </w:style>
  <w:style w:type="character" w:customStyle="1" w:styleId="mpunct">
    <w:name w:val="mpunct"/>
    <w:basedOn w:val="DefaultParagraphFont"/>
    <w:rsid w:val="00B90890"/>
  </w:style>
  <w:style w:type="character" w:customStyle="1" w:styleId="Heading2Char">
    <w:name w:val="Heading 2 Char"/>
    <w:basedOn w:val="DefaultParagraphFont"/>
    <w:link w:val="Heading2"/>
    <w:uiPriority w:val="9"/>
    <w:rsid w:val="00B62FE0"/>
    <w:rPr>
      <w:rFonts w:asciiTheme="majorHAnsi" w:eastAsiaTheme="majorEastAsia" w:hAnsiTheme="majorHAnsi" w:cstheme="majorBidi"/>
      <w:color w:val="2F5496" w:themeColor="accent1" w:themeShade="BF"/>
      <w:sz w:val="26"/>
      <w:szCs w:val="26"/>
      <w:lang w:eastAsia="zh-CN"/>
    </w:rPr>
  </w:style>
  <w:style w:type="paragraph" w:styleId="IntenseQuote">
    <w:name w:val="Intense Quote"/>
    <w:basedOn w:val="Normal"/>
    <w:next w:val="Normal"/>
    <w:link w:val="IntenseQuoteChar"/>
    <w:uiPriority w:val="30"/>
    <w:qFormat/>
    <w:rsid w:val="00B62FE0"/>
    <w:pPr>
      <w:pBdr>
        <w:bottom w:val="single" w:sz="4" w:space="4" w:color="4472C4" w:themeColor="accent1"/>
      </w:pBdr>
      <w:spacing w:before="200" w:after="280"/>
      <w:ind w:left="936" w:right="936"/>
    </w:pPr>
    <w:rPr>
      <w:rFonts w:asciiTheme="minorHAnsi" w:eastAsiaTheme="minorEastAsia" w:hAnsiTheme="minorHAnsi" w:cstheme="minorBidi"/>
      <w:b/>
      <w:bCs/>
      <w:i/>
      <w:iCs/>
      <w:color w:val="4472C4" w:themeColor="accent1"/>
      <w:lang w:eastAsia="en-US"/>
    </w:rPr>
  </w:style>
  <w:style w:type="character" w:customStyle="1" w:styleId="IntenseQuoteChar">
    <w:name w:val="Intense Quote Char"/>
    <w:basedOn w:val="DefaultParagraphFont"/>
    <w:link w:val="IntenseQuote"/>
    <w:uiPriority w:val="30"/>
    <w:rsid w:val="00B62FE0"/>
    <w:rPr>
      <w:rFonts w:eastAsiaTheme="minorEastAsia"/>
      <w:b/>
      <w:bCs/>
      <w:i/>
      <w:iCs/>
      <w:color w:val="4472C4" w:themeColor="accent1"/>
    </w:rPr>
  </w:style>
  <w:style w:type="character" w:customStyle="1" w:styleId="UnresolvedMention1">
    <w:name w:val="Unresolved Mention1"/>
    <w:basedOn w:val="DefaultParagraphFont"/>
    <w:uiPriority w:val="99"/>
    <w:semiHidden/>
    <w:unhideWhenUsed/>
    <w:rsid w:val="003B05D2"/>
    <w:rPr>
      <w:color w:val="605E5C"/>
      <w:shd w:val="clear" w:color="auto" w:fill="E1DFDD"/>
    </w:rPr>
  </w:style>
  <w:style w:type="character" w:customStyle="1" w:styleId="Heading1Char">
    <w:name w:val="Heading 1 Char"/>
    <w:basedOn w:val="DefaultParagraphFont"/>
    <w:link w:val="Heading1"/>
    <w:uiPriority w:val="9"/>
    <w:rsid w:val="000B3109"/>
    <w:rPr>
      <w:rFonts w:asciiTheme="majorHAnsi" w:eastAsiaTheme="majorEastAsia" w:hAnsiTheme="majorHAnsi" w:cstheme="majorBidi"/>
      <w:color w:val="2F5496" w:themeColor="accent1" w:themeShade="BF"/>
      <w:sz w:val="32"/>
      <w:szCs w:val="32"/>
      <w:lang w:eastAsia="zh-CN"/>
    </w:rPr>
  </w:style>
  <w:style w:type="paragraph" w:styleId="ListParagraph">
    <w:name w:val="List Paragraph"/>
    <w:basedOn w:val="Normal"/>
    <w:uiPriority w:val="34"/>
    <w:qFormat/>
    <w:rsid w:val="006E7B74"/>
    <w:pPr>
      <w:ind w:left="720"/>
      <w:contextualSpacing/>
    </w:pPr>
  </w:style>
  <w:style w:type="character" w:customStyle="1" w:styleId="UnresolvedMention2">
    <w:name w:val="Unresolved Mention2"/>
    <w:basedOn w:val="DefaultParagraphFont"/>
    <w:uiPriority w:val="99"/>
    <w:semiHidden/>
    <w:unhideWhenUsed/>
    <w:rsid w:val="00787FC0"/>
    <w:rPr>
      <w:color w:val="605E5C"/>
      <w:shd w:val="clear" w:color="auto" w:fill="E1DFDD"/>
    </w:rPr>
  </w:style>
  <w:style w:type="character" w:styleId="CommentReference">
    <w:name w:val="annotation reference"/>
    <w:basedOn w:val="DefaultParagraphFont"/>
    <w:uiPriority w:val="99"/>
    <w:semiHidden/>
    <w:unhideWhenUsed/>
    <w:rsid w:val="001C4A97"/>
    <w:rPr>
      <w:sz w:val="16"/>
      <w:szCs w:val="16"/>
    </w:rPr>
  </w:style>
  <w:style w:type="paragraph" w:styleId="CommentText">
    <w:name w:val="annotation text"/>
    <w:basedOn w:val="Normal"/>
    <w:link w:val="CommentTextChar"/>
    <w:uiPriority w:val="99"/>
    <w:semiHidden/>
    <w:unhideWhenUsed/>
    <w:rsid w:val="001C4A97"/>
    <w:pPr>
      <w:spacing w:line="240" w:lineRule="auto"/>
    </w:pPr>
    <w:rPr>
      <w:sz w:val="20"/>
      <w:szCs w:val="20"/>
    </w:rPr>
  </w:style>
  <w:style w:type="character" w:customStyle="1" w:styleId="CommentTextChar">
    <w:name w:val="Comment Text Char"/>
    <w:basedOn w:val="DefaultParagraphFont"/>
    <w:link w:val="CommentText"/>
    <w:uiPriority w:val="99"/>
    <w:semiHidden/>
    <w:rsid w:val="001C4A97"/>
    <w:rPr>
      <w:rFonts w:ascii="Calibri" w:eastAsia="SimSun" w:hAnsi="Calibri"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C4A97"/>
    <w:rPr>
      <w:b/>
      <w:bCs/>
    </w:rPr>
  </w:style>
  <w:style w:type="character" w:customStyle="1" w:styleId="CommentSubjectChar">
    <w:name w:val="Comment Subject Char"/>
    <w:basedOn w:val="CommentTextChar"/>
    <w:link w:val="CommentSubject"/>
    <w:uiPriority w:val="99"/>
    <w:semiHidden/>
    <w:rsid w:val="001C4A97"/>
    <w:rPr>
      <w:rFonts w:ascii="Calibri" w:eastAsia="SimSun" w:hAnsi="Calibri" w:cs="Times New Roman"/>
      <w:b/>
      <w:bCs/>
      <w:sz w:val="20"/>
      <w:szCs w:val="20"/>
      <w:lang w:eastAsia="zh-CN"/>
    </w:rPr>
  </w:style>
  <w:style w:type="character" w:styleId="UnresolvedMention">
    <w:name w:val="Unresolved Mention"/>
    <w:basedOn w:val="DefaultParagraphFont"/>
    <w:uiPriority w:val="99"/>
    <w:semiHidden/>
    <w:unhideWhenUsed/>
    <w:rsid w:val="002E1DAC"/>
    <w:rPr>
      <w:color w:val="605E5C"/>
      <w:shd w:val="clear" w:color="auto" w:fill="E1DFDD"/>
    </w:rPr>
  </w:style>
  <w:style w:type="paragraph" w:styleId="Header">
    <w:name w:val="header"/>
    <w:basedOn w:val="Normal"/>
    <w:link w:val="HeaderChar"/>
    <w:uiPriority w:val="99"/>
    <w:unhideWhenUsed/>
    <w:rsid w:val="000F56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6A3"/>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747">
      <w:bodyDiv w:val="1"/>
      <w:marLeft w:val="0"/>
      <w:marRight w:val="0"/>
      <w:marTop w:val="0"/>
      <w:marBottom w:val="0"/>
      <w:divBdr>
        <w:top w:val="none" w:sz="0" w:space="0" w:color="auto"/>
        <w:left w:val="none" w:sz="0" w:space="0" w:color="auto"/>
        <w:bottom w:val="none" w:sz="0" w:space="0" w:color="auto"/>
        <w:right w:val="none" w:sz="0" w:space="0" w:color="auto"/>
      </w:divBdr>
    </w:div>
    <w:div w:id="67457648">
      <w:bodyDiv w:val="1"/>
      <w:marLeft w:val="0"/>
      <w:marRight w:val="0"/>
      <w:marTop w:val="0"/>
      <w:marBottom w:val="0"/>
      <w:divBdr>
        <w:top w:val="none" w:sz="0" w:space="0" w:color="auto"/>
        <w:left w:val="none" w:sz="0" w:space="0" w:color="auto"/>
        <w:bottom w:val="none" w:sz="0" w:space="0" w:color="auto"/>
        <w:right w:val="none" w:sz="0" w:space="0" w:color="auto"/>
      </w:divBdr>
    </w:div>
    <w:div w:id="99841673">
      <w:bodyDiv w:val="1"/>
      <w:marLeft w:val="0"/>
      <w:marRight w:val="0"/>
      <w:marTop w:val="0"/>
      <w:marBottom w:val="0"/>
      <w:divBdr>
        <w:top w:val="none" w:sz="0" w:space="0" w:color="auto"/>
        <w:left w:val="none" w:sz="0" w:space="0" w:color="auto"/>
        <w:bottom w:val="none" w:sz="0" w:space="0" w:color="auto"/>
        <w:right w:val="none" w:sz="0" w:space="0" w:color="auto"/>
      </w:divBdr>
    </w:div>
    <w:div w:id="245458333">
      <w:bodyDiv w:val="1"/>
      <w:marLeft w:val="0"/>
      <w:marRight w:val="0"/>
      <w:marTop w:val="0"/>
      <w:marBottom w:val="0"/>
      <w:divBdr>
        <w:top w:val="none" w:sz="0" w:space="0" w:color="auto"/>
        <w:left w:val="none" w:sz="0" w:space="0" w:color="auto"/>
        <w:bottom w:val="none" w:sz="0" w:space="0" w:color="auto"/>
        <w:right w:val="none" w:sz="0" w:space="0" w:color="auto"/>
      </w:divBdr>
    </w:div>
    <w:div w:id="361058019">
      <w:bodyDiv w:val="1"/>
      <w:marLeft w:val="0"/>
      <w:marRight w:val="0"/>
      <w:marTop w:val="0"/>
      <w:marBottom w:val="0"/>
      <w:divBdr>
        <w:top w:val="none" w:sz="0" w:space="0" w:color="auto"/>
        <w:left w:val="none" w:sz="0" w:space="0" w:color="auto"/>
        <w:bottom w:val="none" w:sz="0" w:space="0" w:color="auto"/>
        <w:right w:val="none" w:sz="0" w:space="0" w:color="auto"/>
      </w:divBdr>
    </w:div>
    <w:div w:id="382482055">
      <w:bodyDiv w:val="1"/>
      <w:marLeft w:val="0"/>
      <w:marRight w:val="0"/>
      <w:marTop w:val="0"/>
      <w:marBottom w:val="0"/>
      <w:divBdr>
        <w:top w:val="none" w:sz="0" w:space="0" w:color="auto"/>
        <w:left w:val="none" w:sz="0" w:space="0" w:color="auto"/>
        <w:bottom w:val="none" w:sz="0" w:space="0" w:color="auto"/>
        <w:right w:val="none" w:sz="0" w:space="0" w:color="auto"/>
      </w:divBdr>
    </w:div>
    <w:div w:id="406803648">
      <w:bodyDiv w:val="1"/>
      <w:marLeft w:val="0"/>
      <w:marRight w:val="0"/>
      <w:marTop w:val="0"/>
      <w:marBottom w:val="0"/>
      <w:divBdr>
        <w:top w:val="none" w:sz="0" w:space="0" w:color="auto"/>
        <w:left w:val="none" w:sz="0" w:space="0" w:color="auto"/>
        <w:bottom w:val="none" w:sz="0" w:space="0" w:color="auto"/>
        <w:right w:val="none" w:sz="0" w:space="0" w:color="auto"/>
      </w:divBdr>
    </w:div>
    <w:div w:id="411244078">
      <w:bodyDiv w:val="1"/>
      <w:marLeft w:val="0"/>
      <w:marRight w:val="0"/>
      <w:marTop w:val="0"/>
      <w:marBottom w:val="0"/>
      <w:divBdr>
        <w:top w:val="none" w:sz="0" w:space="0" w:color="auto"/>
        <w:left w:val="none" w:sz="0" w:space="0" w:color="auto"/>
        <w:bottom w:val="none" w:sz="0" w:space="0" w:color="auto"/>
        <w:right w:val="none" w:sz="0" w:space="0" w:color="auto"/>
      </w:divBdr>
    </w:div>
    <w:div w:id="434059044">
      <w:bodyDiv w:val="1"/>
      <w:marLeft w:val="0"/>
      <w:marRight w:val="0"/>
      <w:marTop w:val="0"/>
      <w:marBottom w:val="0"/>
      <w:divBdr>
        <w:top w:val="none" w:sz="0" w:space="0" w:color="auto"/>
        <w:left w:val="none" w:sz="0" w:space="0" w:color="auto"/>
        <w:bottom w:val="none" w:sz="0" w:space="0" w:color="auto"/>
        <w:right w:val="none" w:sz="0" w:space="0" w:color="auto"/>
      </w:divBdr>
    </w:div>
    <w:div w:id="531767906">
      <w:bodyDiv w:val="1"/>
      <w:marLeft w:val="0"/>
      <w:marRight w:val="0"/>
      <w:marTop w:val="0"/>
      <w:marBottom w:val="0"/>
      <w:divBdr>
        <w:top w:val="none" w:sz="0" w:space="0" w:color="auto"/>
        <w:left w:val="none" w:sz="0" w:space="0" w:color="auto"/>
        <w:bottom w:val="none" w:sz="0" w:space="0" w:color="auto"/>
        <w:right w:val="none" w:sz="0" w:space="0" w:color="auto"/>
      </w:divBdr>
    </w:div>
    <w:div w:id="534729846">
      <w:bodyDiv w:val="1"/>
      <w:marLeft w:val="0"/>
      <w:marRight w:val="0"/>
      <w:marTop w:val="0"/>
      <w:marBottom w:val="0"/>
      <w:divBdr>
        <w:top w:val="none" w:sz="0" w:space="0" w:color="auto"/>
        <w:left w:val="none" w:sz="0" w:space="0" w:color="auto"/>
        <w:bottom w:val="none" w:sz="0" w:space="0" w:color="auto"/>
        <w:right w:val="none" w:sz="0" w:space="0" w:color="auto"/>
      </w:divBdr>
    </w:div>
    <w:div w:id="702559096">
      <w:bodyDiv w:val="1"/>
      <w:marLeft w:val="0"/>
      <w:marRight w:val="0"/>
      <w:marTop w:val="0"/>
      <w:marBottom w:val="0"/>
      <w:divBdr>
        <w:top w:val="none" w:sz="0" w:space="0" w:color="auto"/>
        <w:left w:val="none" w:sz="0" w:space="0" w:color="auto"/>
        <w:bottom w:val="none" w:sz="0" w:space="0" w:color="auto"/>
        <w:right w:val="none" w:sz="0" w:space="0" w:color="auto"/>
      </w:divBdr>
    </w:div>
    <w:div w:id="721751398">
      <w:bodyDiv w:val="1"/>
      <w:marLeft w:val="0"/>
      <w:marRight w:val="0"/>
      <w:marTop w:val="0"/>
      <w:marBottom w:val="0"/>
      <w:divBdr>
        <w:top w:val="none" w:sz="0" w:space="0" w:color="auto"/>
        <w:left w:val="none" w:sz="0" w:space="0" w:color="auto"/>
        <w:bottom w:val="none" w:sz="0" w:space="0" w:color="auto"/>
        <w:right w:val="none" w:sz="0" w:space="0" w:color="auto"/>
      </w:divBdr>
    </w:div>
    <w:div w:id="723725086">
      <w:bodyDiv w:val="1"/>
      <w:marLeft w:val="0"/>
      <w:marRight w:val="0"/>
      <w:marTop w:val="0"/>
      <w:marBottom w:val="0"/>
      <w:divBdr>
        <w:top w:val="none" w:sz="0" w:space="0" w:color="auto"/>
        <w:left w:val="none" w:sz="0" w:space="0" w:color="auto"/>
        <w:bottom w:val="none" w:sz="0" w:space="0" w:color="auto"/>
        <w:right w:val="none" w:sz="0" w:space="0" w:color="auto"/>
      </w:divBdr>
    </w:div>
    <w:div w:id="786630370">
      <w:bodyDiv w:val="1"/>
      <w:marLeft w:val="0"/>
      <w:marRight w:val="0"/>
      <w:marTop w:val="0"/>
      <w:marBottom w:val="0"/>
      <w:divBdr>
        <w:top w:val="none" w:sz="0" w:space="0" w:color="auto"/>
        <w:left w:val="none" w:sz="0" w:space="0" w:color="auto"/>
        <w:bottom w:val="none" w:sz="0" w:space="0" w:color="auto"/>
        <w:right w:val="none" w:sz="0" w:space="0" w:color="auto"/>
      </w:divBdr>
    </w:div>
    <w:div w:id="873886137">
      <w:bodyDiv w:val="1"/>
      <w:marLeft w:val="0"/>
      <w:marRight w:val="0"/>
      <w:marTop w:val="0"/>
      <w:marBottom w:val="0"/>
      <w:divBdr>
        <w:top w:val="none" w:sz="0" w:space="0" w:color="auto"/>
        <w:left w:val="none" w:sz="0" w:space="0" w:color="auto"/>
        <w:bottom w:val="none" w:sz="0" w:space="0" w:color="auto"/>
        <w:right w:val="none" w:sz="0" w:space="0" w:color="auto"/>
      </w:divBdr>
    </w:div>
    <w:div w:id="903759232">
      <w:bodyDiv w:val="1"/>
      <w:marLeft w:val="0"/>
      <w:marRight w:val="0"/>
      <w:marTop w:val="0"/>
      <w:marBottom w:val="0"/>
      <w:divBdr>
        <w:top w:val="none" w:sz="0" w:space="0" w:color="auto"/>
        <w:left w:val="none" w:sz="0" w:space="0" w:color="auto"/>
        <w:bottom w:val="none" w:sz="0" w:space="0" w:color="auto"/>
        <w:right w:val="none" w:sz="0" w:space="0" w:color="auto"/>
      </w:divBdr>
    </w:div>
    <w:div w:id="966592301">
      <w:bodyDiv w:val="1"/>
      <w:marLeft w:val="0"/>
      <w:marRight w:val="0"/>
      <w:marTop w:val="0"/>
      <w:marBottom w:val="0"/>
      <w:divBdr>
        <w:top w:val="none" w:sz="0" w:space="0" w:color="auto"/>
        <w:left w:val="none" w:sz="0" w:space="0" w:color="auto"/>
        <w:bottom w:val="none" w:sz="0" w:space="0" w:color="auto"/>
        <w:right w:val="none" w:sz="0" w:space="0" w:color="auto"/>
      </w:divBdr>
    </w:div>
    <w:div w:id="1070418826">
      <w:bodyDiv w:val="1"/>
      <w:marLeft w:val="0"/>
      <w:marRight w:val="0"/>
      <w:marTop w:val="0"/>
      <w:marBottom w:val="0"/>
      <w:divBdr>
        <w:top w:val="none" w:sz="0" w:space="0" w:color="auto"/>
        <w:left w:val="none" w:sz="0" w:space="0" w:color="auto"/>
        <w:bottom w:val="none" w:sz="0" w:space="0" w:color="auto"/>
        <w:right w:val="none" w:sz="0" w:space="0" w:color="auto"/>
      </w:divBdr>
    </w:div>
    <w:div w:id="1185484352">
      <w:bodyDiv w:val="1"/>
      <w:marLeft w:val="0"/>
      <w:marRight w:val="0"/>
      <w:marTop w:val="0"/>
      <w:marBottom w:val="0"/>
      <w:divBdr>
        <w:top w:val="none" w:sz="0" w:space="0" w:color="auto"/>
        <w:left w:val="none" w:sz="0" w:space="0" w:color="auto"/>
        <w:bottom w:val="none" w:sz="0" w:space="0" w:color="auto"/>
        <w:right w:val="none" w:sz="0" w:space="0" w:color="auto"/>
      </w:divBdr>
    </w:div>
    <w:div w:id="1261524655">
      <w:bodyDiv w:val="1"/>
      <w:marLeft w:val="0"/>
      <w:marRight w:val="0"/>
      <w:marTop w:val="0"/>
      <w:marBottom w:val="0"/>
      <w:divBdr>
        <w:top w:val="none" w:sz="0" w:space="0" w:color="auto"/>
        <w:left w:val="none" w:sz="0" w:space="0" w:color="auto"/>
        <w:bottom w:val="none" w:sz="0" w:space="0" w:color="auto"/>
        <w:right w:val="none" w:sz="0" w:space="0" w:color="auto"/>
      </w:divBdr>
    </w:div>
    <w:div w:id="1345546914">
      <w:bodyDiv w:val="1"/>
      <w:marLeft w:val="0"/>
      <w:marRight w:val="0"/>
      <w:marTop w:val="0"/>
      <w:marBottom w:val="0"/>
      <w:divBdr>
        <w:top w:val="none" w:sz="0" w:space="0" w:color="auto"/>
        <w:left w:val="none" w:sz="0" w:space="0" w:color="auto"/>
        <w:bottom w:val="none" w:sz="0" w:space="0" w:color="auto"/>
        <w:right w:val="none" w:sz="0" w:space="0" w:color="auto"/>
      </w:divBdr>
    </w:div>
    <w:div w:id="1415783609">
      <w:bodyDiv w:val="1"/>
      <w:marLeft w:val="0"/>
      <w:marRight w:val="0"/>
      <w:marTop w:val="0"/>
      <w:marBottom w:val="0"/>
      <w:divBdr>
        <w:top w:val="none" w:sz="0" w:space="0" w:color="auto"/>
        <w:left w:val="none" w:sz="0" w:space="0" w:color="auto"/>
        <w:bottom w:val="none" w:sz="0" w:space="0" w:color="auto"/>
        <w:right w:val="none" w:sz="0" w:space="0" w:color="auto"/>
      </w:divBdr>
    </w:div>
    <w:div w:id="1443764172">
      <w:bodyDiv w:val="1"/>
      <w:marLeft w:val="0"/>
      <w:marRight w:val="0"/>
      <w:marTop w:val="0"/>
      <w:marBottom w:val="0"/>
      <w:divBdr>
        <w:top w:val="none" w:sz="0" w:space="0" w:color="auto"/>
        <w:left w:val="none" w:sz="0" w:space="0" w:color="auto"/>
        <w:bottom w:val="none" w:sz="0" w:space="0" w:color="auto"/>
        <w:right w:val="none" w:sz="0" w:space="0" w:color="auto"/>
      </w:divBdr>
    </w:div>
    <w:div w:id="1467311033">
      <w:bodyDiv w:val="1"/>
      <w:marLeft w:val="0"/>
      <w:marRight w:val="0"/>
      <w:marTop w:val="0"/>
      <w:marBottom w:val="0"/>
      <w:divBdr>
        <w:top w:val="none" w:sz="0" w:space="0" w:color="auto"/>
        <w:left w:val="none" w:sz="0" w:space="0" w:color="auto"/>
        <w:bottom w:val="none" w:sz="0" w:space="0" w:color="auto"/>
        <w:right w:val="none" w:sz="0" w:space="0" w:color="auto"/>
      </w:divBdr>
    </w:div>
    <w:div w:id="1510215997">
      <w:bodyDiv w:val="1"/>
      <w:marLeft w:val="0"/>
      <w:marRight w:val="0"/>
      <w:marTop w:val="0"/>
      <w:marBottom w:val="0"/>
      <w:divBdr>
        <w:top w:val="none" w:sz="0" w:space="0" w:color="auto"/>
        <w:left w:val="none" w:sz="0" w:space="0" w:color="auto"/>
        <w:bottom w:val="none" w:sz="0" w:space="0" w:color="auto"/>
        <w:right w:val="none" w:sz="0" w:space="0" w:color="auto"/>
      </w:divBdr>
    </w:div>
    <w:div w:id="1519734194">
      <w:bodyDiv w:val="1"/>
      <w:marLeft w:val="0"/>
      <w:marRight w:val="0"/>
      <w:marTop w:val="0"/>
      <w:marBottom w:val="0"/>
      <w:divBdr>
        <w:top w:val="none" w:sz="0" w:space="0" w:color="auto"/>
        <w:left w:val="none" w:sz="0" w:space="0" w:color="auto"/>
        <w:bottom w:val="none" w:sz="0" w:space="0" w:color="auto"/>
        <w:right w:val="none" w:sz="0" w:space="0" w:color="auto"/>
      </w:divBdr>
    </w:div>
    <w:div w:id="1654947226">
      <w:bodyDiv w:val="1"/>
      <w:marLeft w:val="0"/>
      <w:marRight w:val="0"/>
      <w:marTop w:val="0"/>
      <w:marBottom w:val="0"/>
      <w:divBdr>
        <w:top w:val="none" w:sz="0" w:space="0" w:color="auto"/>
        <w:left w:val="none" w:sz="0" w:space="0" w:color="auto"/>
        <w:bottom w:val="none" w:sz="0" w:space="0" w:color="auto"/>
        <w:right w:val="none" w:sz="0" w:space="0" w:color="auto"/>
      </w:divBdr>
    </w:div>
    <w:div w:id="1807502614">
      <w:bodyDiv w:val="1"/>
      <w:marLeft w:val="0"/>
      <w:marRight w:val="0"/>
      <w:marTop w:val="0"/>
      <w:marBottom w:val="0"/>
      <w:divBdr>
        <w:top w:val="none" w:sz="0" w:space="0" w:color="auto"/>
        <w:left w:val="none" w:sz="0" w:space="0" w:color="auto"/>
        <w:bottom w:val="none" w:sz="0" w:space="0" w:color="auto"/>
        <w:right w:val="none" w:sz="0" w:space="0" w:color="auto"/>
      </w:divBdr>
    </w:div>
    <w:div w:id="1841966633">
      <w:bodyDiv w:val="1"/>
      <w:marLeft w:val="0"/>
      <w:marRight w:val="0"/>
      <w:marTop w:val="0"/>
      <w:marBottom w:val="0"/>
      <w:divBdr>
        <w:top w:val="none" w:sz="0" w:space="0" w:color="auto"/>
        <w:left w:val="none" w:sz="0" w:space="0" w:color="auto"/>
        <w:bottom w:val="none" w:sz="0" w:space="0" w:color="auto"/>
        <w:right w:val="none" w:sz="0" w:space="0" w:color="auto"/>
      </w:divBdr>
    </w:div>
    <w:div w:id="1851678299">
      <w:bodyDiv w:val="1"/>
      <w:marLeft w:val="0"/>
      <w:marRight w:val="0"/>
      <w:marTop w:val="0"/>
      <w:marBottom w:val="0"/>
      <w:divBdr>
        <w:top w:val="none" w:sz="0" w:space="0" w:color="auto"/>
        <w:left w:val="none" w:sz="0" w:space="0" w:color="auto"/>
        <w:bottom w:val="none" w:sz="0" w:space="0" w:color="auto"/>
        <w:right w:val="none" w:sz="0" w:space="0" w:color="auto"/>
      </w:divBdr>
    </w:div>
    <w:div w:id="1857042441">
      <w:bodyDiv w:val="1"/>
      <w:marLeft w:val="0"/>
      <w:marRight w:val="0"/>
      <w:marTop w:val="0"/>
      <w:marBottom w:val="0"/>
      <w:divBdr>
        <w:top w:val="none" w:sz="0" w:space="0" w:color="auto"/>
        <w:left w:val="none" w:sz="0" w:space="0" w:color="auto"/>
        <w:bottom w:val="none" w:sz="0" w:space="0" w:color="auto"/>
        <w:right w:val="none" w:sz="0" w:space="0" w:color="auto"/>
      </w:divBdr>
    </w:div>
    <w:div w:id="1906335093">
      <w:bodyDiv w:val="1"/>
      <w:marLeft w:val="0"/>
      <w:marRight w:val="0"/>
      <w:marTop w:val="0"/>
      <w:marBottom w:val="0"/>
      <w:divBdr>
        <w:top w:val="none" w:sz="0" w:space="0" w:color="auto"/>
        <w:left w:val="none" w:sz="0" w:space="0" w:color="auto"/>
        <w:bottom w:val="none" w:sz="0" w:space="0" w:color="auto"/>
        <w:right w:val="none" w:sz="0" w:space="0" w:color="auto"/>
      </w:divBdr>
    </w:div>
    <w:div w:id="1927837460">
      <w:bodyDiv w:val="1"/>
      <w:marLeft w:val="0"/>
      <w:marRight w:val="0"/>
      <w:marTop w:val="0"/>
      <w:marBottom w:val="0"/>
      <w:divBdr>
        <w:top w:val="none" w:sz="0" w:space="0" w:color="auto"/>
        <w:left w:val="none" w:sz="0" w:space="0" w:color="auto"/>
        <w:bottom w:val="none" w:sz="0" w:space="0" w:color="auto"/>
        <w:right w:val="none" w:sz="0" w:space="0" w:color="auto"/>
      </w:divBdr>
    </w:div>
    <w:div w:id="208522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1143/umyu-jafr.8(1)2025.008" TargetMode="External"/><Relationship Id="rId13" Type="http://schemas.openxmlformats.org/officeDocument/2006/relationships/hyperlink" Target="https://doi.org/10.59653/ijmars.v3i01.1194"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5296/ijafr.v12i1.19261" TargetMode="External"/><Relationship Id="rId17" Type="http://schemas.openxmlformats.org/officeDocument/2006/relationships/hyperlink" Target="https://doi.org/10.33003/fujaf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80/15502724.2018.153385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0304-405X(76)90026-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srn.com/abstract=1496213" TargetMode="External"/><Relationship Id="rId23" Type="http://schemas.openxmlformats.org/officeDocument/2006/relationships/footer" Target="footer3.xml"/><Relationship Id="rId10" Type="http://schemas.openxmlformats.org/officeDocument/2006/relationships/hyperlink" Target="https://www.ifrs.org"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22495/rgcv14i3p9" TargetMode="External"/><Relationship Id="rId14" Type="http://schemas.openxmlformats.org/officeDocument/2006/relationships/hyperlink" Target="https://bwjournal.org/index.php/bsjournal/article/view/2959"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2C070-7B56-48AF-988F-1FBDF6B64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4953</Words>
  <Characters>28236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1180</cp:lastModifiedBy>
  <cp:revision>13</cp:revision>
  <dcterms:created xsi:type="dcterms:W3CDTF">2025-10-14T15:05:00Z</dcterms:created>
  <dcterms:modified xsi:type="dcterms:W3CDTF">2025-10-16T12:39:00Z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364aba9d-3b39-4177-a611-37b84d9cc257</vt:lpwstr>
  </property>
</Properties>
</file>