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0D888" w14:textId="77777777" w:rsidR="00B1185E" w:rsidRDefault="00B1185E" w:rsidP="005C6F5F">
      <w:pPr>
        <w:spacing w:after="0" w:line="360" w:lineRule="auto"/>
        <w:jc w:val="center"/>
        <w:rPr>
          <w:rFonts w:ascii="Arial" w:hAnsi="Arial" w:cs="Arial"/>
          <w:b/>
          <w:bCs/>
          <w:sz w:val="36"/>
          <w:szCs w:val="36"/>
        </w:rPr>
      </w:pPr>
      <w:r w:rsidRPr="00B1185E">
        <w:rPr>
          <w:rFonts w:ascii="Arial" w:hAnsi="Arial" w:cs="Arial"/>
          <w:b/>
          <w:bCs/>
          <w:sz w:val="36"/>
          <w:szCs w:val="36"/>
        </w:rPr>
        <w:t xml:space="preserve">Original Research Article </w:t>
      </w:r>
    </w:p>
    <w:p w14:paraId="1A835D68" w14:textId="77777777" w:rsidR="00B1185E" w:rsidRDefault="00B1185E" w:rsidP="005C6F5F">
      <w:pPr>
        <w:spacing w:after="0" w:line="360" w:lineRule="auto"/>
        <w:jc w:val="center"/>
        <w:rPr>
          <w:rFonts w:ascii="Arial" w:hAnsi="Arial" w:cs="Arial"/>
          <w:b/>
          <w:bCs/>
          <w:sz w:val="36"/>
          <w:szCs w:val="36"/>
        </w:rPr>
      </w:pPr>
    </w:p>
    <w:p w14:paraId="427F3349" w14:textId="719FCCDE" w:rsidR="005C6F5F" w:rsidRPr="00630717" w:rsidRDefault="00F826BE" w:rsidP="005C6F5F">
      <w:pPr>
        <w:spacing w:after="0" w:line="360" w:lineRule="auto"/>
        <w:jc w:val="center"/>
        <w:rPr>
          <w:rFonts w:ascii="Arial" w:hAnsi="Arial" w:cs="Arial"/>
          <w:b/>
          <w:bCs/>
          <w:sz w:val="36"/>
          <w:szCs w:val="36"/>
        </w:rPr>
      </w:pPr>
      <w:r w:rsidRPr="00630717">
        <w:rPr>
          <w:rFonts w:ascii="Arial" w:hAnsi="Arial" w:cs="Arial"/>
          <w:b/>
          <w:bCs/>
          <w:sz w:val="36"/>
          <w:szCs w:val="36"/>
        </w:rPr>
        <w:t>FACTORS INFLUENCING ELECTRIC VEHICLE ADOPTION AND POLICY IMPLICATIONS IN MYANMAR</w:t>
      </w:r>
    </w:p>
    <w:p w14:paraId="3D6B5C2C" w14:textId="77777777" w:rsidR="00630717" w:rsidRDefault="00630717" w:rsidP="00630717">
      <w:pPr>
        <w:spacing w:after="0" w:line="360" w:lineRule="auto"/>
        <w:jc w:val="right"/>
        <w:rPr>
          <w:rFonts w:ascii="Arial" w:eastAsia="Times New Roman" w:hAnsi="Arial" w:cs="Arial"/>
          <w:b/>
          <w:kern w:val="0"/>
          <w:lang w:bidi="ar-SA"/>
          <w14:ligatures w14:val="none"/>
        </w:rPr>
      </w:pPr>
    </w:p>
    <w:p w14:paraId="44B1530B" w14:textId="77777777" w:rsidR="00A43C12" w:rsidRDefault="00A43C12" w:rsidP="00415E7D">
      <w:pPr>
        <w:spacing w:after="0" w:line="276" w:lineRule="auto"/>
        <w:jc w:val="right"/>
        <w:rPr>
          <w:rFonts w:ascii="Arial" w:eastAsia="Times New Roman" w:hAnsi="Arial" w:cs="Arial"/>
          <w:b/>
          <w:color w:val="000000" w:themeColor="text1"/>
          <w:kern w:val="0"/>
          <w:sz w:val="20"/>
          <w:szCs w:val="20"/>
          <w:lang w:bidi="ar-SA"/>
          <w14:ligatures w14:val="none"/>
        </w:rPr>
      </w:pPr>
    </w:p>
    <w:p w14:paraId="530E6DBD" w14:textId="4CECCD6E" w:rsidR="000E2E08" w:rsidRPr="00630717" w:rsidRDefault="000E2E08" w:rsidP="006B25B8">
      <w:pPr>
        <w:spacing w:after="0" w:line="276" w:lineRule="auto"/>
        <w:jc w:val="right"/>
        <w:rPr>
          <w:rFonts w:ascii="Arial" w:eastAsia="Times New Roman" w:hAnsi="Arial" w:cs="Arial"/>
          <w:color w:val="000000" w:themeColor="text1"/>
          <w:kern w:val="0"/>
          <w:sz w:val="20"/>
          <w:szCs w:val="20"/>
          <w:lang w:bidi="ar-SA"/>
          <w14:ligatures w14:val="none"/>
        </w:rPr>
      </w:pPr>
    </w:p>
    <w:p w14:paraId="061F6FD1" w14:textId="18FB1197" w:rsidR="00FA52B7" w:rsidRPr="00FA52B7" w:rsidRDefault="008C2B05" w:rsidP="00FA52B7">
      <w:pPr>
        <w:spacing w:after="0" w:line="360" w:lineRule="auto"/>
        <w:jc w:val="both"/>
        <w:rPr>
          <w:rFonts w:ascii="Arial" w:hAnsi="Arial" w:cs="Arial"/>
          <w:b/>
          <w:bCs/>
          <w:sz w:val="22"/>
          <w:szCs w:val="22"/>
        </w:rPr>
      </w:pPr>
      <w:r>
        <w:rPr>
          <w:rFonts w:ascii="Arial" w:hAnsi="Arial" w:cs="Arial"/>
          <w:b/>
          <w:bCs/>
          <w:sz w:val="22"/>
          <w:szCs w:val="22"/>
        </w:rPr>
        <w:t>ABSTRACT</w:t>
      </w:r>
    </w:p>
    <w:p w14:paraId="462E53E8" w14:textId="3A3F4ABF" w:rsidR="007E6971" w:rsidRPr="00790A7F" w:rsidRDefault="00FA52B7" w:rsidP="00D514E3">
      <w:pPr>
        <w:pStyle w:val="Body"/>
        <w:pBdr>
          <w:top w:val="single" w:sz="4" w:space="1" w:color="auto"/>
          <w:left w:val="single" w:sz="4" w:space="4" w:color="auto"/>
          <w:bottom w:val="single" w:sz="4" w:space="1" w:color="auto"/>
          <w:right w:val="single" w:sz="4" w:space="4" w:color="auto"/>
        </w:pBdr>
        <w:spacing w:after="0" w:line="276" w:lineRule="auto"/>
        <w:rPr>
          <w:rFonts w:ascii="Arial" w:hAnsi="Arial" w:cs="Arial"/>
          <w:color w:val="000000" w:themeColor="text1"/>
        </w:rPr>
      </w:pPr>
      <w:r w:rsidRPr="00790A7F">
        <w:rPr>
          <w:rFonts w:ascii="Arial" w:hAnsi="Arial" w:cs="Arial"/>
          <w:color w:val="000000" w:themeColor="text1"/>
          <w:shd w:val="clear" w:color="auto" w:fill="FFFFFF"/>
        </w:rPr>
        <w:t xml:space="preserve">The aim of this study is to investigate the factors influencing electric vehicle (EV) adoption in Myanmar and to identify public preferences for effective </w:t>
      </w:r>
      <w:bookmarkStart w:id="0" w:name="_GoBack"/>
      <w:bookmarkEnd w:id="0"/>
      <w:r w:rsidRPr="00790A7F">
        <w:rPr>
          <w:rFonts w:ascii="Arial" w:hAnsi="Arial" w:cs="Arial"/>
          <w:color w:val="000000" w:themeColor="text1"/>
          <w:shd w:val="clear" w:color="auto" w:fill="FFFFFF"/>
        </w:rPr>
        <w:t>policy actions that can enhance EV uptake and objective is t</w:t>
      </w:r>
      <w:r w:rsidRPr="00790A7F">
        <w:rPr>
          <w:rFonts w:ascii="Arial" w:hAnsi="Arial" w:cs="Arial"/>
          <w:color w:val="000000" w:themeColor="text1"/>
        </w:rPr>
        <w:t>o examine the role of government incentives, awareness, and charging infrastructure in shaping EV adoption behavior</w:t>
      </w:r>
      <w:r w:rsidR="00262A86" w:rsidRPr="00790A7F">
        <w:rPr>
          <w:rFonts w:ascii="Arial" w:hAnsi="Arial" w:cs="Arial"/>
          <w:color w:val="000000" w:themeColor="text1"/>
        </w:rPr>
        <w:t xml:space="preserve">, also </w:t>
      </w:r>
      <w:r w:rsidR="00AA0049" w:rsidRPr="00790A7F">
        <w:rPr>
          <w:rFonts w:ascii="Arial" w:hAnsi="Arial" w:cs="Arial"/>
          <w:color w:val="000000" w:themeColor="text1"/>
        </w:rPr>
        <w:t xml:space="preserve">a vital part of sustainable mobility and energy change worldwide. In emerging markets like Myanmar, EV adoption is still low due to issues with infrastructure, information, and behavior. </w:t>
      </w:r>
      <w:r w:rsidRPr="00790A7F">
        <w:rPr>
          <w:rFonts w:ascii="Arial" w:hAnsi="Arial" w:cs="Arial"/>
          <w:color w:val="000000" w:themeColor="text1"/>
          <w:shd w:val="clear" w:color="auto" w:fill="FFFFFF"/>
        </w:rPr>
        <w:t xml:space="preserve">Design of </w:t>
      </w:r>
      <w:r w:rsidR="00AA0049" w:rsidRPr="00790A7F">
        <w:rPr>
          <w:rFonts w:ascii="Arial" w:hAnsi="Arial" w:cs="Arial"/>
          <w:color w:val="000000" w:themeColor="text1"/>
          <w:shd w:val="clear" w:color="auto" w:fill="FFFFFF"/>
        </w:rPr>
        <w:t xml:space="preserve">study looks at the key factors that affect EV adoption in Myanmar and explores public preferences for policy actions. </w:t>
      </w:r>
      <w:r w:rsidRPr="00790A7F">
        <w:rPr>
          <w:rFonts w:ascii="Arial" w:hAnsi="Arial" w:cs="Arial"/>
          <w:color w:val="000000" w:themeColor="text1"/>
          <w:shd w:val="clear" w:color="auto" w:fill="FFFFFF"/>
        </w:rPr>
        <w:t xml:space="preserve">Myanmar EV policy and energy </w:t>
      </w:r>
      <w:r w:rsidR="0026441D" w:rsidRPr="00790A7F">
        <w:rPr>
          <w:rFonts w:ascii="Arial" w:hAnsi="Arial" w:cs="Arial"/>
          <w:color w:val="000000" w:themeColor="text1"/>
          <w:shd w:val="clear" w:color="auto" w:fill="FFFFFF"/>
        </w:rPr>
        <w:t>transition</w:t>
      </w:r>
      <w:r w:rsidRPr="00790A7F">
        <w:rPr>
          <w:rFonts w:ascii="Arial" w:hAnsi="Arial" w:cs="Arial"/>
          <w:color w:val="000000" w:themeColor="text1"/>
          <w:shd w:val="clear" w:color="auto" w:fill="FFFFFF"/>
        </w:rPr>
        <w:t xml:space="preserve"> start from 2022FY and research survey at 2023FY in populated cities Yangon,</w:t>
      </w:r>
      <w:r w:rsidR="00964277">
        <w:rPr>
          <w:rFonts w:ascii="Arial" w:hAnsi="Arial" w:cs="Arial"/>
          <w:color w:val="000000" w:themeColor="text1"/>
          <w:shd w:val="clear" w:color="auto" w:fill="FFFFFF"/>
        </w:rPr>
        <w:t xml:space="preserve"> </w:t>
      </w:r>
      <w:r w:rsidRPr="00790A7F">
        <w:rPr>
          <w:rFonts w:ascii="Arial" w:hAnsi="Arial" w:cs="Arial"/>
          <w:color w:val="000000" w:themeColor="text1"/>
          <w:shd w:val="clear" w:color="auto" w:fill="FFFFFF"/>
        </w:rPr>
        <w:t>Mandalay and Nay</w:t>
      </w:r>
      <w:r w:rsidR="00964277">
        <w:rPr>
          <w:rFonts w:ascii="Arial" w:hAnsi="Arial" w:cs="Arial"/>
          <w:color w:val="000000" w:themeColor="text1"/>
          <w:shd w:val="clear" w:color="auto" w:fill="FFFFFF"/>
        </w:rPr>
        <w:t xml:space="preserve"> </w:t>
      </w:r>
      <w:proofErr w:type="spellStart"/>
      <w:r w:rsidR="00964277">
        <w:rPr>
          <w:rFonts w:ascii="Arial" w:hAnsi="Arial" w:cs="Arial"/>
          <w:color w:val="000000" w:themeColor="text1"/>
          <w:shd w:val="clear" w:color="auto" w:fill="FFFFFF"/>
        </w:rPr>
        <w:t>P</w:t>
      </w:r>
      <w:r w:rsidRPr="00790A7F">
        <w:rPr>
          <w:rFonts w:ascii="Arial" w:hAnsi="Arial" w:cs="Arial"/>
          <w:color w:val="000000" w:themeColor="text1"/>
          <w:shd w:val="clear" w:color="auto" w:fill="FFFFFF"/>
        </w:rPr>
        <w:t>y</w:t>
      </w:r>
      <w:r w:rsidR="00964277">
        <w:rPr>
          <w:rFonts w:ascii="Arial" w:hAnsi="Arial" w:cs="Arial"/>
          <w:color w:val="000000" w:themeColor="text1"/>
          <w:shd w:val="clear" w:color="auto" w:fill="FFFFFF"/>
        </w:rPr>
        <w:t>i</w:t>
      </w:r>
      <w:proofErr w:type="spellEnd"/>
      <w:r w:rsidR="00964277">
        <w:rPr>
          <w:rFonts w:ascii="Arial" w:hAnsi="Arial" w:cs="Arial"/>
          <w:color w:val="000000" w:themeColor="text1"/>
          <w:shd w:val="clear" w:color="auto" w:fill="FFFFFF"/>
        </w:rPr>
        <w:t xml:space="preserve"> </w:t>
      </w:r>
      <w:r w:rsidRPr="00790A7F">
        <w:rPr>
          <w:rFonts w:ascii="Arial" w:hAnsi="Arial" w:cs="Arial"/>
          <w:color w:val="000000" w:themeColor="text1"/>
          <w:shd w:val="clear" w:color="auto" w:fill="FFFFFF"/>
        </w:rPr>
        <w:t>Taw area.</w:t>
      </w:r>
      <w:r w:rsidR="008C2B05" w:rsidRPr="00790A7F">
        <w:rPr>
          <w:rFonts w:ascii="Times New Roman" w:hAnsi="Times New Roman"/>
          <w:color w:val="000000" w:themeColor="text1"/>
          <w:lang w:bidi="my-MM"/>
        </w:rPr>
        <w:t xml:space="preserve"> </w:t>
      </w:r>
      <w:r w:rsidRPr="00790A7F">
        <w:rPr>
          <w:rFonts w:ascii="Arial" w:hAnsi="Arial" w:cs="Arial"/>
          <w:color w:val="000000" w:themeColor="text1"/>
        </w:rPr>
        <w:t xml:space="preserve"> </w:t>
      </w:r>
      <w:r w:rsidR="0026441D" w:rsidRPr="00790A7F">
        <w:rPr>
          <w:rFonts w:ascii="Arial" w:hAnsi="Arial" w:cs="Arial"/>
          <w:color w:val="000000" w:themeColor="text1"/>
        </w:rPr>
        <w:t xml:space="preserve">Research </w:t>
      </w:r>
      <w:r w:rsidR="0026441D" w:rsidRPr="00790A7F">
        <w:rPr>
          <w:rFonts w:ascii="Arial" w:eastAsia="Calibri" w:hAnsi="Arial" w:cs="Arial"/>
          <w:color w:val="000000" w:themeColor="text1"/>
          <w:szCs w:val="22"/>
        </w:rPr>
        <w:t xml:space="preserve"> was found Department Electric Power transmission and System Control, Ministry of Electric Power (MOEP) and </w:t>
      </w:r>
      <w:r w:rsidR="0026441D" w:rsidRPr="00790A7F">
        <w:rPr>
          <w:rFonts w:ascii="Arial" w:hAnsi="Arial" w:cs="Arial"/>
          <w:color w:val="000000" w:themeColor="text1"/>
        </w:rPr>
        <w:t>International Leadership College, Nay</w:t>
      </w:r>
      <w:r w:rsidR="000871EC" w:rsidRPr="00790A7F">
        <w:rPr>
          <w:rFonts w:ascii="Arial" w:hAnsi="Arial" w:cs="Arial"/>
          <w:color w:val="000000" w:themeColor="text1"/>
        </w:rPr>
        <w:t xml:space="preserve"> </w:t>
      </w:r>
      <w:proofErr w:type="spellStart"/>
      <w:r w:rsidR="0026441D" w:rsidRPr="00790A7F">
        <w:rPr>
          <w:rFonts w:ascii="Arial" w:hAnsi="Arial" w:cs="Arial"/>
          <w:color w:val="000000" w:themeColor="text1"/>
        </w:rPr>
        <w:t>Pyi</w:t>
      </w:r>
      <w:proofErr w:type="spellEnd"/>
      <w:r w:rsidR="000871EC" w:rsidRPr="00790A7F">
        <w:rPr>
          <w:rFonts w:ascii="Arial" w:hAnsi="Arial" w:cs="Arial"/>
          <w:color w:val="000000" w:themeColor="text1"/>
        </w:rPr>
        <w:t xml:space="preserve"> </w:t>
      </w:r>
      <w:r w:rsidR="0026441D" w:rsidRPr="00790A7F">
        <w:rPr>
          <w:rFonts w:ascii="Arial" w:hAnsi="Arial" w:cs="Arial"/>
          <w:color w:val="000000" w:themeColor="text1"/>
        </w:rPr>
        <w:t>Taw,</w:t>
      </w:r>
      <w:r w:rsidR="000871EC" w:rsidRPr="00790A7F">
        <w:rPr>
          <w:rFonts w:ascii="Arial" w:hAnsi="Arial" w:cs="Arial"/>
          <w:color w:val="000000" w:themeColor="text1"/>
        </w:rPr>
        <w:t xml:space="preserve"> </w:t>
      </w:r>
      <w:r w:rsidR="0026441D" w:rsidRPr="00790A7F">
        <w:rPr>
          <w:rFonts w:ascii="Arial" w:hAnsi="Arial" w:cs="Arial"/>
          <w:color w:val="000000" w:themeColor="text1"/>
        </w:rPr>
        <w:t>Myanmar</w:t>
      </w:r>
      <w:r w:rsidR="0026441D" w:rsidRPr="00790A7F">
        <w:rPr>
          <w:rFonts w:ascii="Arial" w:eastAsia="Calibri" w:hAnsi="Arial" w:cs="Arial"/>
          <w:color w:val="000000" w:themeColor="text1"/>
          <w:szCs w:val="22"/>
        </w:rPr>
        <w:t>, between June 2023 and October 2025.</w:t>
      </w:r>
      <w:r w:rsidR="00687615" w:rsidRPr="00790A7F">
        <w:rPr>
          <w:rFonts w:ascii="Arial" w:hAnsi="Arial" w:cs="Arial"/>
          <w:color w:val="000000" w:themeColor="text1"/>
        </w:rPr>
        <w:t xml:space="preserve">The study was </w:t>
      </w:r>
      <w:r w:rsidR="00AA0049" w:rsidRPr="00790A7F">
        <w:rPr>
          <w:rFonts w:ascii="Arial" w:hAnsi="Arial" w:cs="Arial"/>
          <w:color w:val="000000" w:themeColor="text1"/>
        </w:rPr>
        <w:t xml:space="preserve">conducted </w:t>
      </w:r>
      <w:r w:rsidR="00687615" w:rsidRPr="00790A7F">
        <w:rPr>
          <w:rFonts w:ascii="Arial" w:hAnsi="Arial" w:cs="Arial"/>
          <w:color w:val="000000" w:themeColor="text1"/>
        </w:rPr>
        <w:t xml:space="preserve">by a </w:t>
      </w:r>
      <w:r w:rsidR="00AA0049" w:rsidRPr="00790A7F">
        <w:rPr>
          <w:rFonts w:ascii="Arial" w:hAnsi="Arial" w:cs="Arial"/>
          <w:color w:val="000000" w:themeColor="text1"/>
        </w:rPr>
        <w:t xml:space="preserve">structured survey with 150 respondents, focusing on demographics, charging habits, views on government incentives, and preferences for policy. </w:t>
      </w:r>
      <w:r w:rsidR="008C2B05" w:rsidRPr="00790A7F">
        <w:rPr>
          <w:rFonts w:ascii="Arial" w:hAnsi="Arial" w:cs="Arial"/>
          <w:color w:val="000000" w:themeColor="text1"/>
          <w:lang w:bidi="my-MM"/>
        </w:rPr>
        <w:t xml:space="preserve">The participants were chosen </w:t>
      </w:r>
      <w:r w:rsidR="00262A86" w:rsidRPr="00790A7F">
        <w:rPr>
          <w:rFonts w:ascii="Arial" w:hAnsi="Arial" w:cs="Arial"/>
          <w:color w:val="000000" w:themeColor="text1"/>
          <w:lang w:bidi="my-MM"/>
        </w:rPr>
        <w:t>by sampling</w:t>
      </w:r>
      <w:r w:rsidR="00D514E3" w:rsidRPr="00790A7F">
        <w:rPr>
          <w:rFonts w:ascii="Arial" w:hAnsi="Arial" w:cs="Arial"/>
          <w:color w:val="000000" w:themeColor="text1"/>
          <w:lang w:bidi="my-MM"/>
        </w:rPr>
        <w:t xml:space="preserve"> method </w:t>
      </w:r>
      <w:r w:rsidR="008C2B05" w:rsidRPr="00790A7F">
        <w:rPr>
          <w:rFonts w:ascii="Arial" w:hAnsi="Arial" w:cs="Arial"/>
          <w:color w:val="000000" w:themeColor="text1"/>
          <w:lang w:bidi="my-MM"/>
        </w:rPr>
        <w:t>through community networks, charging stations, public parking lots, and online-based user forums.</w:t>
      </w:r>
      <w:r w:rsidR="008C2B05" w:rsidRPr="00790A7F">
        <w:rPr>
          <w:rFonts w:ascii="Arial" w:hAnsi="Arial" w:cs="Arial"/>
          <w:color w:val="000000" w:themeColor="text1"/>
        </w:rPr>
        <w:t xml:space="preserve"> </w:t>
      </w:r>
      <w:r w:rsidR="00687615" w:rsidRPr="00790A7F">
        <w:rPr>
          <w:rFonts w:ascii="Arial" w:hAnsi="Arial" w:cs="Arial"/>
          <w:color w:val="000000" w:themeColor="text1"/>
        </w:rPr>
        <w:t xml:space="preserve">Data were analyzed using IBM SPSS Statistics, employing descriptive statistics, cross-tabulations, Chi-square tests, and multiple linear regression analyses to identify behavioral </w:t>
      </w:r>
      <w:r w:rsidR="009A4DA1" w:rsidRPr="00790A7F">
        <w:rPr>
          <w:rFonts w:ascii="Arial" w:hAnsi="Arial" w:cs="Arial"/>
          <w:color w:val="000000" w:themeColor="text1"/>
        </w:rPr>
        <w:t xml:space="preserve">EV </w:t>
      </w:r>
      <w:r w:rsidR="00687615" w:rsidRPr="00790A7F">
        <w:rPr>
          <w:rFonts w:ascii="Arial" w:hAnsi="Arial" w:cs="Arial"/>
          <w:color w:val="000000" w:themeColor="text1"/>
        </w:rPr>
        <w:t xml:space="preserve">trends and adoption drivers. </w:t>
      </w:r>
      <w:r w:rsidR="00AA0049" w:rsidRPr="00790A7F">
        <w:rPr>
          <w:rFonts w:ascii="Arial" w:hAnsi="Arial" w:cs="Arial"/>
          <w:color w:val="000000" w:themeColor="text1"/>
        </w:rPr>
        <w:t>The findings show</w:t>
      </w:r>
      <w:r w:rsidR="009A4DA1" w:rsidRPr="00790A7F">
        <w:rPr>
          <w:rFonts w:ascii="Arial" w:hAnsi="Arial" w:cs="Arial"/>
          <w:color w:val="000000" w:themeColor="text1"/>
        </w:rPr>
        <w:t>ed</w:t>
      </w:r>
      <w:r w:rsidR="00AA0049" w:rsidRPr="00790A7F">
        <w:rPr>
          <w:rFonts w:ascii="Arial" w:hAnsi="Arial" w:cs="Arial"/>
          <w:color w:val="000000" w:themeColor="text1"/>
        </w:rPr>
        <w:t xml:space="preserve"> that satisfaction with charging infrastructure and awareness of government incentives while worries about charging times deter it. Most respondents prefer increasing the number of public charging over financial incentives, emphasizing the importance of infrastructure. These insights suggest that policymakers and private sector players should work on making EV infrastructure more accessible, reliable, and well-known to boost adoption. </w:t>
      </w:r>
      <w:r w:rsidR="00CA0DE3" w:rsidRPr="00790A7F">
        <w:rPr>
          <w:rFonts w:ascii="Arial" w:hAnsi="Arial" w:cs="Arial"/>
          <w:color w:val="000000" w:themeColor="text1"/>
        </w:rPr>
        <w:t xml:space="preserve">This study contributes to the literature by offering </w:t>
      </w:r>
      <w:r w:rsidR="00AA0049" w:rsidRPr="00790A7F">
        <w:rPr>
          <w:rFonts w:ascii="Arial" w:hAnsi="Arial" w:cs="Arial"/>
          <w:color w:val="000000" w:themeColor="text1"/>
        </w:rPr>
        <w:t xml:space="preserve">points out practical implications for government planning, infrastructure investment, and public awareness programs. </w:t>
      </w:r>
    </w:p>
    <w:p w14:paraId="67A038C9" w14:textId="064DF579" w:rsidR="005C6F5F" w:rsidRPr="007E6971" w:rsidRDefault="00AA0049" w:rsidP="00FA79BB">
      <w:pPr>
        <w:spacing w:after="0" w:line="276" w:lineRule="auto"/>
        <w:ind w:left="1080" w:hanging="1080"/>
        <w:jc w:val="both"/>
        <w:rPr>
          <w:rFonts w:ascii="Arial" w:hAnsi="Arial" w:cs="Arial"/>
          <w:i/>
          <w:color w:val="4C94D8" w:themeColor="text2" w:themeTint="80"/>
          <w:sz w:val="20"/>
          <w:szCs w:val="20"/>
        </w:rPr>
      </w:pPr>
      <w:r w:rsidRPr="007E6971">
        <w:rPr>
          <w:rFonts w:ascii="Arial" w:hAnsi="Arial" w:cs="Arial"/>
          <w:b/>
          <w:bCs/>
          <w:i/>
          <w:sz w:val="20"/>
          <w:szCs w:val="20"/>
        </w:rPr>
        <w:t>Keywords:</w:t>
      </w:r>
      <w:r w:rsidRPr="007E6971">
        <w:rPr>
          <w:rFonts w:ascii="Arial" w:hAnsi="Arial" w:cs="Arial"/>
          <w:i/>
          <w:sz w:val="20"/>
          <w:szCs w:val="20"/>
        </w:rPr>
        <w:t xml:space="preserve"> Electric vehicle adoption, charging infrastructure, government incen</w:t>
      </w:r>
      <w:r w:rsidR="005D73F7" w:rsidRPr="007E6971">
        <w:rPr>
          <w:rFonts w:ascii="Arial" w:hAnsi="Arial" w:cs="Arial"/>
          <w:i/>
          <w:sz w:val="20"/>
          <w:szCs w:val="20"/>
        </w:rPr>
        <w:t xml:space="preserve">tives, policy </w:t>
      </w:r>
      <w:proofErr w:type="gramStart"/>
      <w:r w:rsidR="005D73F7" w:rsidRPr="007E6971">
        <w:rPr>
          <w:rFonts w:ascii="Arial" w:hAnsi="Arial" w:cs="Arial"/>
          <w:i/>
          <w:sz w:val="20"/>
          <w:szCs w:val="20"/>
        </w:rPr>
        <w:t xml:space="preserve">measures, </w:t>
      </w:r>
      <w:r w:rsidR="007E6971">
        <w:rPr>
          <w:rFonts w:ascii="Arial" w:hAnsi="Arial" w:cs="Arial"/>
          <w:i/>
          <w:sz w:val="20"/>
          <w:szCs w:val="20"/>
        </w:rPr>
        <w:t xml:space="preserve"> </w:t>
      </w:r>
      <w:r w:rsidR="005D73F7" w:rsidRPr="007E6971">
        <w:rPr>
          <w:rFonts w:ascii="Arial" w:hAnsi="Arial" w:cs="Arial"/>
          <w:i/>
          <w:sz w:val="20"/>
          <w:szCs w:val="20"/>
        </w:rPr>
        <w:t>Myanmar</w:t>
      </w:r>
      <w:proofErr w:type="gramEnd"/>
      <w:r w:rsidRPr="007E6971">
        <w:rPr>
          <w:rFonts w:ascii="Arial" w:hAnsi="Arial" w:cs="Arial"/>
          <w:i/>
          <w:sz w:val="20"/>
          <w:szCs w:val="20"/>
        </w:rPr>
        <w:t xml:space="preserve"> </w:t>
      </w:r>
      <w:r w:rsidR="005D73F7" w:rsidRPr="007E6971">
        <w:rPr>
          <w:rFonts w:ascii="Arial" w:hAnsi="Arial" w:cs="Arial"/>
          <w:i/>
          <w:sz w:val="20"/>
          <w:szCs w:val="20"/>
        </w:rPr>
        <w:t xml:space="preserve">, </w:t>
      </w:r>
      <w:r w:rsidRPr="007E6971">
        <w:rPr>
          <w:rFonts w:ascii="Arial" w:hAnsi="Arial" w:cs="Arial"/>
          <w:i/>
          <w:sz w:val="20"/>
          <w:szCs w:val="20"/>
        </w:rPr>
        <w:t>energy transition</w:t>
      </w:r>
      <w:r w:rsidR="00CC6EB8" w:rsidRPr="007E6971">
        <w:rPr>
          <w:rFonts w:ascii="Arial" w:hAnsi="Arial" w:cs="Arial"/>
          <w:i/>
          <w:sz w:val="20"/>
          <w:szCs w:val="20"/>
        </w:rPr>
        <w:t>.</w:t>
      </w:r>
    </w:p>
    <w:p w14:paraId="5CFB1635" w14:textId="77777777" w:rsidR="009E2771" w:rsidRPr="007E6971" w:rsidRDefault="009E2771" w:rsidP="007E6971">
      <w:pPr>
        <w:spacing w:after="0" w:line="276" w:lineRule="auto"/>
        <w:jc w:val="both"/>
        <w:rPr>
          <w:rFonts w:ascii="Arial" w:hAnsi="Arial" w:cs="Arial"/>
          <w:i/>
          <w:sz w:val="20"/>
          <w:szCs w:val="20"/>
        </w:rPr>
      </w:pPr>
    </w:p>
    <w:p w14:paraId="2D04DDF3" w14:textId="77777777"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1. Introduction</w:t>
      </w:r>
    </w:p>
    <w:p w14:paraId="44EFAAC4" w14:textId="365F9DB8" w:rsidR="00BE2ECB" w:rsidRDefault="00B1783E" w:rsidP="00FA79BB">
      <w:pPr>
        <w:spacing w:after="0" w:line="240" w:lineRule="auto"/>
        <w:ind w:firstLine="720"/>
        <w:jc w:val="both"/>
        <w:rPr>
          <w:rFonts w:ascii="Arial" w:hAnsi="Arial" w:cs="Arial"/>
          <w:sz w:val="20"/>
          <w:szCs w:val="20"/>
        </w:rPr>
      </w:pPr>
      <w:r w:rsidRPr="00B1783E">
        <w:rPr>
          <w:rFonts w:ascii="Arial" w:hAnsi="Arial" w:cs="Arial"/>
          <w:sz w:val="20"/>
          <w:szCs w:val="20"/>
        </w:rPr>
        <w:t>Electric vehicles (EVs) are automobiles powered by electric energy rather than conventional fossil fuels such as gasoline or diesel</w:t>
      </w:r>
      <w:r w:rsidR="005F76CB">
        <w:rPr>
          <w:rFonts w:ascii="Arial" w:hAnsi="Arial" w:cs="Arial"/>
          <w:sz w:val="20"/>
          <w:szCs w:val="20"/>
        </w:rPr>
        <w:t xml:space="preserve"> (</w:t>
      </w:r>
      <w:r>
        <w:rPr>
          <w:rFonts w:ascii="Arial" w:hAnsi="Arial" w:cs="Arial"/>
          <w:color w:val="222222"/>
          <w:sz w:val="20"/>
          <w:szCs w:val="20"/>
          <w:shd w:val="clear" w:color="auto" w:fill="FFFFFF"/>
        </w:rPr>
        <w:t>Zaino et al. 2024)</w:t>
      </w:r>
      <w:r w:rsidR="005F76CB" w:rsidRPr="005F76CB">
        <w:rPr>
          <w:rFonts w:ascii="Arial" w:hAnsi="Arial" w:cs="Arial"/>
          <w:sz w:val="20"/>
          <w:szCs w:val="20"/>
        </w:rPr>
        <w:t>. </w:t>
      </w:r>
      <w:r w:rsidR="00F86923" w:rsidRPr="00F86923">
        <w:rPr>
          <w:rFonts w:ascii="Arial" w:hAnsi="Arial" w:cs="Arial"/>
          <w:sz w:val="20"/>
          <w:szCs w:val="20"/>
        </w:rPr>
        <w:t>According to the Intergovernmental Panel on Climate Change Report (2022), the primary cause of climate change is the increasing concentration of greenhouse gases such as CO</w:t>
      </w:r>
      <w:r w:rsidR="00F86923" w:rsidRPr="00F86923">
        <w:rPr>
          <w:rFonts w:ascii="Arial" w:hAnsi="Arial" w:cs="Arial"/>
          <w:sz w:val="20"/>
          <w:szCs w:val="20"/>
          <w:vertAlign w:val="subscript"/>
        </w:rPr>
        <w:t>2</w:t>
      </w:r>
      <w:r w:rsidR="00F86923" w:rsidRPr="00F86923">
        <w:rPr>
          <w:rFonts w:ascii="Arial" w:hAnsi="Arial" w:cs="Arial"/>
          <w:sz w:val="20"/>
          <w:szCs w:val="20"/>
        </w:rPr>
        <w:t xml:space="preserve"> and N</w:t>
      </w:r>
      <w:r w:rsidR="00F86923" w:rsidRPr="00F86923">
        <w:rPr>
          <w:rFonts w:ascii="Arial" w:hAnsi="Arial" w:cs="Arial"/>
          <w:sz w:val="20"/>
          <w:szCs w:val="20"/>
          <w:vertAlign w:val="subscript"/>
        </w:rPr>
        <w:t>2</w:t>
      </w:r>
      <w:r w:rsidR="00F86923" w:rsidRPr="00F86923">
        <w:rPr>
          <w:rFonts w:ascii="Arial" w:hAnsi="Arial" w:cs="Arial"/>
          <w:sz w:val="20"/>
          <w:szCs w:val="20"/>
        </w:rPr>
        <w:t xml:space="preserve">O. This </w:t>
      </w:r>
      <w:r w:rsidR="00F86923" w:rsidRPr="00F86923">
        <w:rPr>
          <w:rFonts w:ascii="Arial" w:hAnsi="Arial" w:cs="Arial"/>
          <w:sz w:val="20"/>
          <w:szCs w:val="20"/>
        </w:rPr>
        <w:lastRenderedPageBreak/>
        <w:t xml:space="preserve">phenomenon has a deleterious effect on the natural ecosystem that exists on Earth. In the meantime, the International Energy Agency predicts that by the year 2030, emissions from the transportation sector will account for half of the total greenhouse gas emissions (International Energy Agency, 2018). </w:t>
      </w:r>
      <w:r w:rsidR="00BE2ECB" w:rsidRPr="00BE2ECB">
        <w:rPr>
          <w:rFonts w:ascii="Arial" w:hAnsi="Arial" w:cs="Arial"/>
          <w:sz w:val="20"/>
          <w:szCs w:val="20"/>
        </w:rPr>
        <w:t>Electric vehicles (EVs) possess the capacity to lower these CO</w:t>
      </w:r>
      <w:r w:rsidR="00BE2ECB" w:rsidRPr="00BE2ECB">
        <w:rPr>
          <w:rFonts w:ascii="Arial" w:hAnsi="Arial" w:cs="Arial"/>
          <w:sz w:val="20"/>
          <w:szCs w:val="20"/>
          <w:vertAlign w:val="subscript"/>
        </w:rPr>
        <w:t>2</w:t>
      </w:r>
      <w:r w:rsidR="00BE2ECB" w:rsidRPr="00BE2ECB">
        <w:rPr>
          <w:rFonts w:ascii="Arial" w:hAnsi="Arial" w:cs="Arial"/>
          <w:sz w:val="20"/>
          <w:szCs w:val="20"/>
        </w:rPr>
        <w:t xml:space="preserve"> emissions and are vital to achieving the climate change goals established for reducing CO</w:t>
      </w:r>
      <w:r w:rsidR="00BE2ECB" w:rsidRPr="00BE2ECB">
        <w:rPr>
          <w:rFonts w:ascii="Arial" w:hAnsi="Arial" w:cs="Arial"/>
          <w:sz w:val="20"/>
          <w:szCs w:val="20"/>
          <w:vertAlign w:val="subscript"/>
        </w:rPr>
        <w:t>2</w:t>
      </w:r>
      <w:r w:rsidR="00BE2ECB" w:rsidRPr="00BE2ECB">
        <w:rPr>
          <w:rFonts w:ascii="Arial" w:hAnsi="Arial" w:cs="Arial"/>
          <w:sz w:val="20"/>
          <w:szCs w:val="20"/>
        </w:rPr>
        <w:t xml:space="preserve"> (Adnan et al., 2018; Jaiswal et al., 2022; Patel et al.</w:t>
      </w:r>
      <w:r w:rsidR="00621D26">
        <w:rPr>
          <w:rFonts w:ascii="Arial" w:hAnsi="Arial" w:cs="Arial"/>
          <w:sz w:val="20"/>
          <w:szCs w:val="20"/>
        </w:rPr>
        <w:t>,</w:t>
      </w:r>
      <w:r w:rsidR="00BE2ECB" w:rsidRPr="00BE2ECB">
        <w:rPr>
          <w:rFonts w:ascii="Arial" w:hAnsi="Arial" w:cs="Arial"/>
          <w:sz w:val="20"/>
          <w:szCs w:val="20"/>
        </w:rPr>
        <w:t xml:space="preserve"> 2023).</w:t>
      </w:r>
    </w:p>
    <w:p w14:paraId="24B3463B" w14:textId="018420EC" w:rsidR="00D52926" w:rsidRDefault="00B1783E" w:rsidP="00FA79BB">
      <w:pPr>
        <w:spacing w:after="0" w:line="240" w:lineRule="auto"/>
        <w:ind w:firstLine="720"/>
        <w:jc w:val="both"/>
        <w:rPr>
          <w:rFonts w:ascii="Arial" w:hAnsi="Arial" w:cs="Arial"/>
          <w:sz w:val="20"/>
          <w:szCs w:val="20"/>
        </w:rPr>
      </w:pPr>
      <w:r>
        <w:rPr>
          <w:rFonts w:ascii="Arial" w:hAnsi="Arial" w:cs="Arial"/>
          <w:sz w:val="20"/>
          <w:szCs w:val="20"/>
        </w:rPr>
        <w:t>R</w:t>
      </w:r>
      <w:r w:rsidRPr="00B1783E">
        <w:rPr>
          <w:rFonts w:ascii="Arial" w:hAnsi="Arial" w:cs="Arial"/>
          <w:sz w:val="20"/>
          <w:szCs w:val="20"/>
        </w:rPr>
        <w:t xml:space="preserve">eplacing traditional automobiles with ones powered by other sources of energy may be viewed as a potentially fruitful alternative </w:t>
      </w:r>
      <w:r w:rsidR="002A2774">
        <w:rPr>
          <w:rFonts w:ascii="Arial" w:hAnsi="Arial" w:cs="Arial"/>
          <w:sz w:val="20"/>
          <w:szCs w:val="20"/>
        </w:rPr>
        <w:t xml:space="preserve">in energy sector </w:t>
      </w:r>
      <w:r w:rsidRPr="00B1783E">
        <w:rPr>
          <w:rFonts w:ascii="Arial" w:hAnsi="Arial" w:cs="Arial"/>
          <w:sz w:val="20"/>
          <w:szCs w:val="20"/>
        </w:rPr>
        <w:t>(Tu &amp; Yang, 2019)</w:t>
      </w:r>
      <w:r w:rsidR="002A2774">
        <w:rPr>
          <w:rFonts w:ascii="Arial" w:hAnsi="Arial" w:cs="Arial"/>
          <w:sz w:val="20"/>
          <w:szCs w:val="20"/>
        </w:rPr>
        <w:t>.</w:t>
      </w:r>
      <w:r w:rsidR="005F76CB" w:rsidRPr="005F76CB">
        <w:rPr>
          <w:rFonts w:ascii="Arial" w:hAnsi="Arial" w:cs="Arial"/>
          <w:sz w:val="20"/>
          <w:szCs w:val="20"/>
        </w:rPr>
        <w:t xml:space="preserve"> </w:t>
      </w:r>
      <w:r w:rsidR="00D52926" w:rsidRPr="00D52926">
        <w:rPr>
          <w:rFonts w:ascii="Arial" w:hAnsi="Arial" w:cs="Arial"/>
          <w:sz w:val="20"/>
          <w:szCs w:val="20"/>
        </w:rPr>
        <w:t xml:space="preserve">Electric vehicles (EVs) </w:t>
      </w:r>
      <w:r w:rsidR="00D52926">
        <w:rPr>
          <w:rFonts w:ascii="Arial" w:hAnsi="Arial" w:cs="Arial"/>
          <w:sz w:val="20"/>
          <w:szCs w:val="20"/>
        </w:rPr>
        <w:t>have ability to</w:t>
      </w:r>
      <w:r w:rsidR="00D52926" w:rsidRPr="00D52926">
        <w:rPr>
          <w:rFonts w:ascii="Arial" w:hAnsi="Arial" w:cs="Arial"/>
          <w:sz w:val="20"/>
          <w:szCs w:val="20"/>
        </w:rPr>
        <w:t xml:space="preserve"> connect to the power grid, which allows for a significant reduction in, or entire elimination of, the ne</w:t>
      </w:r>
      <w:r w:rsidR="002A10CF">
        <w:rPr>
          <w:rFonts w:ascii="Arial" w:hAnsi="Arial" w:cs="Arial"/>
          <w:sz w:val="20"/>
          <w:szCs w:val="20"/>
        </w:rPr>
        <w:t>cessity</w:t>
      </w:r>
      <w:r w:rsidR="00D52926" w:rsidRPr="00D52926">
        <w:rPr>
          <w:rFonts w:ascii="Arial" w:hAnsi="Arial" w:cs="Arial"/>
          <w:sz w:val="20"/>
          <w:szCs w:val="20"/>
        </w:rPr>
        <w:t xml:space="preserve"> for traditional fuels </w:t>
      </w:r>
      <w:r w:rsidR="002A10CF">
        <w:rPr>
          <w:rFonts w:ascii="Arial" w:hAnsi="Arial" w:cs="Arial"/>
          <w:sz w:val="20"/>
          <w:szCs w:val="20"/>
        </w:rPr>
        <w:t>called</w:t>
      </w:r>
      <w:r w:rsidR="00D52926" w:rsidRPr="00D52926">
        <w:rPr>
          <w:rFonts w:ascii="Arial" w:hAnsi="Arial" w:cs="Arial"/>
          <w:sz w:val="20"/>
          <w:szCs w:val="20"/>
        </w:rPr>
        <w:t xml:space="preserve"> gasoline or diesel within the vehicle itself</w:t>
      </w:r>
      <w:r w:rsidR="00D52926">
        <w:rPr>
          <w:rFonts w:ascii="Arial" w:hAnsi="Arial" w:cs="Arial"/>
          <w:sz w:val="20"/>
          <w:szCs w:val="20"/>
        </w:rPr>
        <w:t xml:space="preserve"> (</w:t>
      </w:r>
      <w:proofErr w:type="spellStart"/>
      <w:r w:rsidR="00D52926" w:rsidRPr="00D52926">
        <w:rPr>
          <w:rFonts w:ascii="Arial" w:hAnsi="Arial" w:cs="Arial"/>
          <w:sz w:val="20"/>
          <w:szCs w:val="20"/>
        </w:rPr>
        <w:t>Toolib</w:t>
      </w:r>
      <w:proofErr w:type="spellEnd"/>
      <w:r w:rsidR="00D52926">
        <w:rPr>
          <w:rFonts w:ascii="Arial" w:hAnsi="Arial" w:cs="Arial"/>
          <w:sz w:val="20"/>
          <w:szCs w:val="20"/>
        </w:rPr>
        <w:t xml:space="preserve"> et al. </w:t>
      </w:r>
      <w:r w:rsidR="00D52926" w:rsidRPr="00D52926">
        <w:rPr>
          <w:rFonts w:ascii="Arial" w:hAnsi="Arial" w:cs="Arial"/>
          <w:sz w:val="20"/>
          <w:szCs w:val="20"/>
        </w:rPr>
        <w:t xml:space="preserve">2023). </w:t>
      </w:r>
      <w:r w:rsidR="00B37F1B">
        <w:rPr>
          <w:rFonts w:ascii="Arial" w:hAnsi="Arial" w:cs="Arial"/>
          <w:sz w:val="20"/>
          <w:szCs w:val="20"/>
        </w:rPr>
        <w:t>Currently, the f</w:t>
      </w:r>
      <w:r w:rsidR="00D907AC" w:rsidRPr="00D907AC">
        <w:rPr>
          <w:rFonts w:ascii="Arial" w:hAnsi="Arial" w:cs="Arial"/>
          <w:sz w:val="20"/>
          <w:szCs w:val="20"/>
        </w:rPr>
        <w:t xml:space="preserve">uel cell electric cars, battery electric vehicles, hybrid electric vehicles, plug-in hybrid electric vehicles, and range-extended electric vehicles are the major categories that electric vehicles (EVs) can be placed into </w:t>
      </w:r>
      <w:r w:rsidR="00D907AC">
        <w:rPr>
          <w:rFonts w:ascii="Arial" w:hAnsi="Arial" w:cs="Arial"/>
          <w:sz w:val="20"/>
          <w:szCs w:val="20"/>
        </w:rPr>
        <w:t xml:space="preserve">vehicle production </w:t>
      </w:r>
      <w:r w:rsidR="00D907AC" w:rsidRPr="00D907AC">
        <w:rPr>
          <w:rFonts w:ascii="Arial" w:hAnsi="Arial" w:cs="Arial"/>
          <w:sz w:val="20"/>
          <w:szCs w:val="20"/>
        </w:rPr>
        <w:t>(Adnan et al., 2018; Zhang et al., 2018).</w:t>
      </w:r>
    </w:p>
    <w:p w14:paraId="2EC3895F" w14:textId="709A99EB" w:rsidR="005C6F5F"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The adoption of electric vehicles</w:t>
      </w:r>
      <w:r w:rsidR="005F76CB">
        <w:rPr>
          <w:rFonts w:ascii="Arial" w:hAnsi="Arial" w:cs="Arial"/>
          <w:sz w:val="20"/>
          <w:szCs w:val="20"/>
        </w:rPr>
        <w:t xml:space="preserve"> </w:t>
      </w:r>
      <w:r w:rsidRPr="00630717">
        <w:rPr>
          <w:rFonts w:ascii="Arial" w:hAnsi="Arial" w:cs="Arial"/>
          <w:sz w:val="20"/>
          <w:szCs w:val="20"/>
        </w:rPr>
        <w:t xml:space="preserve">has become a global priority in response to environmental degradation, air pollution, and climate change. EVs offer the dual benefit of reducing greenhouse gas emissions and decreasing dependence on imported fossil fuels, making them especially attractive in emerging economies seeking sustainable development pathways </w:t>
      </w:r>
      <w:r w:rsidR="00790A7F">
        <w:rPr>
          <w:rFonts w:ascii="Arial" w:hAnsi="Arial" w:cs="Arial"/>
          <w:sz w:val="20"/>
          <w:szCs w:val="20"/>
        </w:rPr>
        <w:t>(</w:t>
      </w:r>
      <w:r w:rsidR="00790A7F" w:rsidRPr="00630717">
        <w:rPr>
          <w:rFonts w:ascii="Arial" w:hAnsi="Arial" w:cs="Arial"/>
          <w:sz w:val="20"/>
          <w:szCs w:val="20"/>
        </w:rPr>
        <w:t xml:space="preserve">Zhang &amp; </w:t>
      </w:r>
      <w:proofErr w:type="gramStart"/>
      <w:r w:rsidR="00790A7F" w:rsidRPr="00630717">
        <w:rPr>
          <w:rFonts w:ascii="Arial" w:hAnsi="Arial" w:cs="Arial"/>
          <w:sz w:val="20"/>
          <w:szCs w:val="20"/>
        </w:rPr>
        <w:t>Yang  2021</w:t>
      </w:r>
      <w:proofErr w:type="gramEnd"/>
      <w:r w:rsidR="00790A7F" w:rsidRPr="00630717">
        <w:rPr>
          <w:rFonts w:ascii="Arial" w:hAnsi="Arial" w:cs="Arial"/>
          <w:sz w:val="20"/>
          <w:szCs w:val="20"/>
        </w:rPr>
        <w:t xml:space="preserve">). </w:t>
      </w:r>
      <w:r w:rsidRPr="00630717">
        <w:rPr>
          <w:rFonts w:ascii="Arial" w:hAnsi="Arial" w:cs="Arial"/>
          <w:sz w:val="20"/>
          <w:szCs w:val="20"/>
        </w:rPr>
        <w:t xml:space="preserve"> Despite their potential, EV adoption in Myanmar faces multiple challenges, including limited charging infrastructure, inconsistent electricity supply, lack of awareness regarding government incentives, and perceptions of inconvenience associated with charging</w:t>
      </w:r>
      <w:r w:rsidR="003067B4" w:rsidRPr="00630717">
        <w:rPr>
          <w:rFonts w:ascii="Arial" w:hAnsi="Arial" w:cs="Arial"/>
          <w:sz w:val="20"/>
          <w:szCs w:val="20"/>
        </w:rPr>
        <w:t xml:space="preserve"> </w:t>
      </w:r>
      <w:r w:rsidR="00212261">
        <w:rPr>
          <w:rFonts w:ascii="Arial" w:hAnsi="Arial" w:cs="Arial"/>
          <w:sz w:val="20"/>
          <w:szCs w:val="20"/>
        </w:rPr>
        <w:t>(</w:t>
      </w:r>
      <w:r w:rsidR="00212261" w:rsidRPr="00630717">
        <w:rPr>
          <w:rFonts w:ascii="Arial" w:hAnsi="Arial" w:cs="Arial"/>
          <w:sz w:val="20"/>
          <w:szCs w:val="20"/>
        </w:rPr>
        <w:t>Aung</w:t>
      </w:r>
      <w:r w:rsidR="00212261">
        <w:rPr>
          <w:rFonts w:ascii="Arial" w:hAnsi="Arial" w:cs="Arial"/>
          <w:sz w:val="20"/>
          <w:szCs w:val="20"/>
        </w:rPr>
        <w:t xml:space="preserve"> &amp;</w:t>
      </w:r>
      <w:r w:rsidR="00212261" w:rsidRPr="00630717">
        <w:rPr>
          <w:rFonts w:ascii="Arial" w:hAnsi="Arial" w:cs="Arial"/>
          <w:sz w:val="20"/>
          <w:szCs w:val="20"/>
        </w:rPr>
        <w:t xml:space="preserve"> Thein</w:t>
      </w:r>
      <w:r w:rsidR="00212261">
        <w:rPr>
          <w:rFonts w:ascii="Arial" w:hAnsi="Arial" w:cs="Arial"/>
          <w:sz w:val="20"/>
          <w:szCs w:val="20"/>
        </w:rPr>
        <w:t xml:space="preserve"> </w:t>
      </w:r>
      <w:r w:rsidR="00212261" w:rsidRPr="00630717">
        <w:rPr>
          <w:rFonts w:ascii="Arial" w:hAnsi="Arial" w:cs="Arial"/>
          <w:sz w:val="20"/>
          <w:szCs w:val="20"/>
        </w:rPr>
        <w:t xml:space="preserve">2022). </w:t>
      </w:r>
      <w:r w:rsidRPr="00630717">
        <w:rPr>
          <w:rFonts w:ascii="Arial" w:hAnsi="Arial" w:cs="Arial"/>
          <w:sz w:val="20"/>
          <w:szCs w:val="20"/>
        </w:rPr>
        <w:t xml:space="preserve"> Understanding the behavioral and perceptual factors driving EV adoption is crucial for designing effective policies and strategies tailored to local contexts.</w:t>
      </w:r>
    </w:p>
    <w:p w14:paraId="18D92355" w14:textId="79EAAD61" w:rsidR="0010289E" w:rsidRPr="00630717" w:rsidRDefault="0010289E" w:rsidP="00FA79BB">
      <w:pPr>
        <w:spacing w:after="0" w:line="240" w:lineRule="auto"/>
        <w:ind w:firstLine="720"/>
        <w:jc w:val="both"/>
        <w:rPr>
          <w:rFonts w:ascii="Arial" w:hAnsi="Arial" w:cs="Arial"/>
          <w:sz w:val="20"/>
          <w:szCs w:val="20"/>
        </w:rPr>
      </w:pPr>
      <w:r w:rsidRPr="0010289E">
        <w:rPr>
          <w:rFonts w:ascii="Arial" w:hAnsi="Arial" w:cs="Arial"/>
          <w:sz w:val="20"/>
          <w:szCs w:val="20"/>
        </w:rPr>
        <w:t xml:space="preserve">As of July 2022, there were roughly 500 vehicles in </w:t>
      </w:r>
      <w:r>
        <w:rPr>
          <w:rFonts w:ascii="Arial" w:hAnsi="Arial" w:cs="Arial"/>
          <w:sz w:val="20"/>
          <w:szCs w:val="20"/>
        </w:rPr>
        <w:t>M</w:t>
      </w:r>
      <w:r w:rsidRPr="0010289E">
        <w:rPr>
          <w:rFonts w:ascii="Arial" w:hAnsi="Arial" w:cs="Arial"/>
          <w:sz w:val="20"/>
          <w:szCs w:val="20"/>
        </w:rPr>
        <w:t>yanmar that could be charged with electricity in which most of them are in Yangon and other populated cities. The number of electric vehicles is increasing day by day and it is projected that it will cross the mark of 10,000 by the end of 2030 according to the heads of the Myanmar Association of Vehicle importers/companies but it requires a huge investment in infrastructure like charging stations(Global New light of Myanmar</w:t>
      </w:r>
      <w:r>
        <w:rPr>
          <w:rFonts w:ascii="Arial" w:hAnsi="Arial" w:cs="Arial"/>
          <w:sz w:val="20"/>
          <w:szCs w:val="20"/>
        </w:rPr>
        <w:t>, 2023</w:t>
      </w:r>
      <w:r w:rsidRPr="0010289E">
        <w:rPr>
          <w:rFonts w:ascii="Arial" w:hAnsi="Arial" w:cs="Arial"/>
          <w:sz w:val="20"/>
          <w:szCs w:val="20"/>
        </w:rPr>
        <w:t>).</w:t>
      </w:r>
    </w:p>
    <w:p w14:paraId="1E79D00A" w14:textId="15A11C53" w:rsidR="005C6F5F" w:rsidRPr="00630717" w:rsidRDefault="00CA0DE3" w:rsidP="00FA79BB">
      <w:pPr>
        <w:spacing w:after="0" w:line="240" w:lineRule="auto"/>
        <w:ind w:firstLine="720"/>
        <w:jc w:val="both"/>
        <w:rPr>
          <w:rFonts w:ascii="Arial" w:hAnsi="Arial" w:cs="Arial"/>
          <w:sz w:val="20"/>
          <w:szCs w:val="20"/>
        </w:rPr>
      </w:pPr>
      <w:r w:rsidRPr="00630717">
        <w:rPr>
          <w:rFonts w:ascii="Arial" w:hAnsi="Arial" w:cs="Arial"/>
          <w:sz w:val="20"/>
          <w:szCs w:val="20"/>
        </w:rPr>
        <w:t xml:space="preserve">Emerging markets encounter unique challenges that set them apart from developed countries. </w:t>
      </w:r>
      <w:r w:rsidR="005C6F5F" w:rsidRPr="00630717">
        <w:rPr>
          <w:rFonts w:ascii="Arial" w:hAnsi="Arial" w:cs="Arial"/>
          <w:sz w:val="20"/>
          <w:szCs w:val="20"/>
        </w:rPr>
        <w:t xml:space="preserve">While EV adoption in regions like Europe and East Asia is often driven by environmental concerns and technological confidence, consumers in Myanmar are more influenced by practical factors such as the availability of charging stations, convenience, and economic incentives </w:t>
      </w:r>
      <w:r w:rsidR="00B96806">
        <w:rPr>
          <w:rFonts w:ascii="Arial" w:hAnsi="Arial" w:cs="Arial"/>
          <w:sz w:val="20"/>
          <w:szCs w:val="20"/>
        </w:rPr>
        <w:t>(</w:t>
      </w:r>
      <w:r w:rsidR="00B96806" w:rsidRPr="00630717">
        <w:rPr>
          <w:rFonts w:ascii="Arial" w:hAnsi="Arial" w:cs="Arial"/>
          <w:sz w:val="20"/>
          <w:szCs w:val="20"/>
        </w:rPr>
        <w:t>Zaw &amp; Kyaw</w:t>
      </w:r>
      <w:r w:rsidR="00B96806">
        <w:rPr>
          <w:rFonts w:ascii="Arial" w:hAnsi="Arial" w:cs="Arial"/>
          <w:sz w:val="20"/>
          <w:szCs w:val="20"/>
        </w:rPr>
        <w:t xml:space="preserve"> </w:t>
      </w:r>
      <w:r w:rsidR="00B96806" w:rsidRPr="00630717">
        <w:rPr>
          <w:rFonts w:ascii="Arial" w:hAnsi="Arial" w:cs="Arial"/>
          <w:sz w:val="20"/>
          <w:szCs w:val="20"/>
        </w:rPr>
        <w:t>2020).</w:t>
      </w:r>
      <w:r w:rsidR="005C6F5F" w:rsidRPr="00630717">
        <w:rPr>
          <w:rFonts w:ascii="Arial" w:hAnsi="Arial" w:cs="Arial"/>
          <w:sz w:val="20"/>
          <w:szCs w:val="20"/>
        </w:rPr>
        <w:t>Therefore, policies that work in other regions cannot be directly transplanted; they must consider local infrastructure constraints, awareness levels, and behavioral patterns.</w:t>
      </w:r>
    </w:p>
    <w:p w14:paraId="422ED0E5" w14:textId="77777777" w:rsidR="005C6F5F" w:rsidRPr="00630717"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This study seeks to examine the factors influencing EV adoption in Myanmar by assessing user perceptions, charging behaviors, and policy preferences. It also evaluates the effectiveness of government incentives and explores the public’s desired level of infrastructure development. By combining descriptive, cross-tabulation, and regression analyses, the study provides actionable insights for policymakers and private sector actors aiming to accelerate EV adoption in emerging economies.</w:t>
      </w:r>
    </w:p>
    <w:p w14:paraId="1EC191AA" w14:textId="77777777" w:rsidR="005C6F5F" w:rsidRPr="00630717" w:rsidRDefault="005C6F5F" w:rsidP="00FA79BB">
      <w:pPr>
        <w:spacing w:after="0" w:line="240" w:lineRule="auto"/>
        <w:jc w:val="both"/>
        <w:rPr>
          <w:rFonts w:ascii="Arial" w:hAnsi="Arial" w:cs="Arial"/>
          <w:b/>
          <w:bCs/>
          <w:sz w:val="20"/>
          <w:szCs w:val="20"/>
        </w:rPr>
      </w:pPr>
    </w:p>
    <w:p w14:paraId="204BD8E5" w14:textId="2A15BB5C" w:rsidR="005C6F5F" w:rsidRPr="008B3F1A" w:rsidRDefault="005C6F5F" w:rsidP="008B3F1A">
      <w:pPr>
        <w:jc w:val="both"/>
        <w:rPr>
          <w:rFonts w:ascii="Arial" w:hAnsi="Arial" w:cs="Arial"/>
          <w:sz w:val="20"/>
          <w:szCs w:val="20"/>
        </w:rPr>
      </w:pPr>
      <w:r w:rsidRPr="008B3F1A">
        <w:rPr>
          <w:rFonts w:ascii="Arial" w:hAnsi="Arial" w:cs="Arial"/>
          <w:sz w:val="20"/>
          <w:szCs w:val="20"/>
        </w:rPr>
        <w:t>2. Literature Review</w:t>
      </w:r>
    </w:p>
    <w:p w14:paraId="7B32F71F" w14:textId="4BDC4C79" w:rsidR="005C6F5F" w:rsidRPr="00630717" w:rsidRDefault="005C6F5F" w:rsidP="0040499B">
      <w:pPr>
        <w:spacing w:after="0"/>
        <w:ind w:firstLine="720"/>
        <w:jc w:val="both"/>
        <w:rPr>
          <w:rFonts w:ascii="Arial" w:hAnsi="Arial" w:cs="Arial"/>
          <w:sz w:val="20"/>
          <w:szCs w:val="20"/>
        </w:rPr>
      </w:pPr>
      <w:r w:rsidRPr="008B3F1A">
        <w:rPr>
          <w:rFonts w:ascii="Arial" w:hAnsi="Arial" w:cs="Arial"/>
          <w:sz w:val="20"/>
          <w:szCs w:val="20"/>
        </w:rPr>
        <w:t>Previous research indicates that EV adoption is influenced by a combination of infrastructural, financial, informational, and behavioral factors. Satisfaction with charging infrastructure has been consistently identified as a primary determinant of adoption</w:t>
      </w:r>
      <w:r w:rsidR="00B96806">
        <w:rPr>
          <w:rFonts w:ascii="Arial" w:hAnsi="Arial" w:cs="Arial"/>
          <w:sz w:val="20"/>
          <w:szCs w:val="20"/>
        </w:rPr>
        <w:t xml:space="preserve"> (</w:t>
      </w:r>
      <w:r w:rsidR="00B96806" w:rsidRPr="00630717">
        <w:rPr>
          <w:rFonts w:ascii="Arial" w:hAnsi="Arial" w:cs="Arial"/>
          <w:sz w:val="20"/>
          <w:szCs w:val="20"/>
        </w:rPr>
        <w:t>Bakker</w:t>
      </w:r>
      <w:r w:rsidR="00B96806">
        <w:rPr>
          <w:rFonts w:ascii="Arial" w:hAnsi="Arial" w:cs="Arial"/>
          <w:sz w:val="20"/>
          <w:szCs w:val="20"/>
        </w:rPr>
        <w:t xml:space="preserve"> et al. </w:t>
      </w:r>
      <w:r w:rsidR="00B96806" w:rsidRPr="00630717">
        <w:rPr>
          <w:rFonts w:ascii="Arial" w:hAnsi="Arial" w:cs="Arial"/>
          <w:sz w:val="20"/>
          <w:szCs w:val="20"/>
        </w:rPr>
        <w:t>2020)</w:t>
      </w:r>
      <w:r w:rsidRPr="008B3F1A">
        <w:rPr>
          <w:rFonts w:ascii="Arial" w:hAnsi="Arial" w:cs="Arial"/>
          <w:sz w:val="20"/>
          <w:szCs w:val="20"/>
        </w:rPr>
        <w:t xml:space="preserve">. Users are more likely to adopt EVs if charging stations are accessible, reliable, and convenient. Conversely, limited station coverage and long charging times </w:t>
      </w:r>
      <w:r w:rsidR="00503263">
        <w:rPr>
          <w:rFonts w:ascii="Arial" w:hAnsi="Arial" w:cs="Arial"/>
          <w:sz w:val="20"/>
          <w:szCs w:val="20"/>
        </w:rPr>
        <w:t>c</w:t>
      </w:r>
      <w:r w:rsidRPr="008B3F1A">
        <w:rPr>
          <w:rFonts w:ascii="Arial" w:hAnsi="Arial" w:cs="Arial"/>
          <w:sz w:val="20"/>
          <w:szCs w:val="20"/>
        </w:rPr>
        <w:t xml:space="preserve">ontribute to “charging anxiety,” which can deter adoption </w:t>
      </w:r>
      <w:r w:rsidR="001B49A8">
        <w:rPr>
          <w:rFonts w:ascii="Arial" w:hAnsi="Arial" w:cs="Arial"/>
          <w:sz w:val="20"/>
          <w:szCs w:val="20"/>
        </w:rPr>
        <w:t>(</w:t>
      </w:r>
      <w:r w:rsidR="001B49A8" w:rsidRPr="00630717">
        <w:rPr>
          <w:rFonts w:ascii="Arial" w:hAnsi="Arial" w:cs="Arial"/>
          <w:sz w:val="20"/>
          <w:szCs w:val="20"/>
        </w:rPr>
        <w:t>Zhang &amp; Yang</w:t>
      </w:r>
      <w:r w:rsidR="001B49A8">
        <w:rPr>
          <w:rFonts w:ascii="Arial" w:hAnsi="Arial" w:cs="Arial"/>
          <w:sz w:val="20"/>
          <w:szCs w:val="20"/>
        </w:rPr>
        <w:t xml:space="preserve"> </w:t>
      </w:r>
      <w:r w:rsidR="001B49A8" w:rsidRPr="00630717">
        <w:rPr>
          <w:rFonts w:ascii="Arial" w:hAnsi="Arial" w:cs="Arial"/>
          <w:sz w:val="20"/>
          <w:szCs w:val="20"/>
        </w:rPr>
        <w:t>2021).</w:t>
      </w:r>
      <w:r w:rsidR="001B49A8">
        <w:rPr>
          <w:rFonts w:ascii="Arial" w:hAnsi="Arial" w:cs="Arial"/>
          <w:sz w:val="20"/>
          <w:szCs w:val="20"/>
        </w:rPr>
        <w:t xml:space="preserve"> </w:t>
      </w:r>
      <w:r w:rsidRPr="00630717">
        <w:rPr>
          <w:rFonts w:ascii="Arial" w:hAnsi="Arial" w:cs="Arial"/>
          <w:sz w:val="20"/>
          <w:szCs w:val="20"/>
        </w:rPr>
        <w:t xml:space="preserve">Government incentives, including tax exemptions, subsidies, and reduced import duties, are widely recognized as facilitators of EV adoption </w:t>
      </w:r>
      <w:r w:rsidR="005F41EF">
        <w:rPr>
          <w:rFonts w:ascii="Arial" w:hAnsi="Arial" w:cs="Arial"/>
          <w:sz w:val="20"/>
          <w:szCs w:val="20"/>
        </w:rPr>
        <w:t>(</w:t>
      </w:r>
      <w:r w:rsidR="005F41EF" w:rsidRPr="00630717">
        <w:rPr>
          <w:rFonts w:ascii="Arial" w:hAnsi="Arial" w:cs="Arial"/>
          <w:sz w:val="20"/>
          <w:szCs w:val="20"/>
        </w:rPr>
        <w:t>Gnann</w:t>
      </w:r>
      <w:r w:rsidR="005F41EF">
        <w:rPr>
          <w:rFonts w:ascii="Arial" w:hAnsi="Arial" w:cs="Arial"/>
          <w:sz w:val="20"/>
          <w:szCs w:val="20"/>
        </w:rPr>
        <w:t xml:space="preserve"> et al. </w:t>
      </w:r>
      <w:r w:rsidR="005F41EF" w:rsidRPr="00630717">
        <w:rPr>
          <w:rFonts w:ascii="Arial" w:hAnsi="Arial" w:cs="Arial"/>
          <w:sz w:val="20"/>
          <w:szCs w:val="20"/>
        </w:rPr>
        <w:t>2020)</w:t>
      </w:r>
      <w:r w:rsidR="003067B4" w:rsidRPr="00630717">
        <w:rPr>
          <w:rFonts w:ascii="Arial" w:hAnsi="Arial" w:cs="Arial"/>
          <w:sz w:val="20"/>
          <w:szCs w:val="20"/>
        </w:rPr>
        <w:t>.</w:t>
      </w:r>
      <w:r w:rsidRPr="00630717">
        <w:rPr>
          <w:rFonts w:ascii="Arial" w:hAnsi="Arial" w:cs="Arial"/>
          <w:sz w:val="20"/>
          <w:szCs w:val="20"/>
        </w:rPr>
        <w:t xml:space="preserve"> Awareness and clarity of these incentives are critical; even well-designed policies fail to </w:t>
      </w:r>
      <w:r w:rsidRPr="00630717">
        <w:rPr>
          <w:rFonts w:ascii="Arial" w:hAnsi="Arial" w:cs="Arial"/>
          <w:sz w:val="20"/>
          <w:szCs w:val="20"/>
        </w:rPr>
        <w:lastRenderedPageBreak/>
        <w:t>achieve impact if consumers are uninformed. Educational campaigns and public awareness initiatives can enhance adoption by bridging the information gap, particularly among higher-educated segments who may scrutinize policy effectiveness.</w:t>
      </w:r>
    </w:p>
    <w:p w14:paraId="6D3F5B71" w14:textId="63CCB930" w:rsidR="005C6F5F" w:rsidRPr="00630717"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Behavioral factors, such as occupational constraints and lifestyle patterns, also shape adoption decisions. Studies have shown that flexible charging schedules and off-peak incentives can mitigate perceived inconvenience and increase uptake</w:t>
      </w:r>
      <w:r w:rsidR="003067B4" w:rsidRPr="00630717">
        <w:rPr>
          <w:rFonts w:ascii="Arial" w:hAnsi="Arial" w:cs="Arial"/>
          <w:sz w:val="20"/>
          <w:szCs w:val="20"/>
        </w:rPr>
        <w:t xml:space="preserve"> </w:t>
      </w:r>
      <w:r w:rsidR="00565137">
        <w:rPr>
          <w:rFonts w:ascii="Arial" w:hAnsi="Arial" w:cs="Arial"/>
          <w:sz w:val="20"/>
          <w:szCs w:val="20"/>
        </w:rPr>
        <w:t>(</w:t>
      </w:r>
      <w:r w:rsidR="00565137" w:rsidRPr="00630717">
        <w:rPr>
          <w:rFonts w:ascii="Arial" w:hAnsi="Arial" w:cs="Arial"/>
          <w:sz w:val="20"/>
          <w:szCs w:val="20"/>
        </w:rPr>
        <w:t>Zhang</w:t>
      </w:r>
      <w:r w:rsidR="00565137">
        <w:rPr>
          <w:rFonts w:ascii="Arial" w:hAnsi="Arial" w:cs="Arial"/>
          <w:sz w:val="20"/>
          <w:szCs w:val="20"/>
        </w:rPr>
        <w:t xml:space="preserve"> et al. </w:t>
      </w:r>
      <w:r w:rsidR="00565137" w:rsidRPr="00630717">
        <w:rPr>
          <w:rFonts w:ascii="Arial" w:hAnsi="Arial" w:cs="Arial"/>
          <w:sz w:val="20"/>
          <w:szCs w:val="20"/>
        </w:rPr>
        <w:t>2022)</w:t>
      </w:r>
      <w:r w:rsidRPr="00630717">
        <w:rPr>
          <w:rFonts w:ascii="Arial" w:hAnsi="Arial" w:cs="Arial"/>
          <w:sz w:val="20"/>
          <w:szCs w:val="20"/>
        </w:rPr>
        <w:t>. Moreover, user preferences for public charging stations over home-based solutions highlight the importance of location and accessibility in policy planning.</w:t>
      </w:r>
      <w:r w:rsidR="00EF3C01">
        <w:rPr>
          <w:rFonts w:ascii="Arial" w:hAnsi="Arial" w:cs="Arial"/>
          <w:sz w:val="20"/>
          <w:szCs w:val="20"/>
        </w:rPr>
        <w:t xml:space="preserve"> </w:t>
      </w:r>
      <w:r w:rsidR="00EF3C01" w:rsidRPr="00EF3C01">
        <w:rPr>
          <w:rFonts w:ascii="Arial" w:hAnsi="Arial" w:cs="Arial"/>
          <w:sz w:val="20"/>
          <w:szCs w:val="20"/>
        </w:rPr>
        <w:t>Enhancing the benefits of using EVs was identified as an approach that might boost their appeal. Among these benefits are free and priority parking, a decrease in the cost of charging, and access to special lanes such as bus and high occupancy vehicle lanes (Melton et al., 2017; Khan et al. 2022).</w:t>
      </w:r>
    </w:p>
    <w:p w14:paraId="51D43CEB" w14:textId="69FADE38" w:rsidR="00CC09F3" w:rsidRDefault="00223293" w:rsidP="00223293">
      <w:pPr>
        <w:spacing w:after="0" w:line="240" w:lineRule="auto"/>
        <w:ind w:firstLine="720"/>
        <w:jc w:val="both"/>
        <w:rPr>
          <w:rFonts w:ascii="Arial" w:hAnsi="Arial" w:cs="Arial"/>
          <w:sz w:val="20"/>
          <w:szCs w:val="20"/>
        </w:rPr>
      </w:pPr>
      <w:r w:rsidRPr="00223293">
        <w:rPr>
          <w:rFonts w:ascii="Arial" w:hAnsi="Arial" w:cs="Arial"/>
          <w:sz w:val="20"/>
          <w:szCs w:val="20"/>
        </w:rPr>
        <w:t>However, countries face several challenges that stand in the way of EV adoption in Southeast Asia. The policy review and other studies cite the concerns of consumers and businesses in the region</w:t>
      </w:r>
      <w:r>
        <w:rPr>
          <w:rFonts w:ascii="Arial" w:hAnsi="Arial" w:cs="Arial"/>
          <w:sz w:val="20"/>
          <w:szCs w:val="20"/>
        </w:rPr>
        <w:t xml:space="preserve"> called </w:t>
      </w:r>
      <w:r w:rsidRPr="00223293">
        <w:rPr>
          <w:rFonts w:ascii="Arial" w:hAnsi="Arial" w:cs="Arial"/>
          <w:sz w:val="20"/>
          <w:szCs w:val="20"/>
        </w:rPr>
        <w:t>Lack of public charging infrastructure,</w:t>
      </w:r>
      <w:r>
        <w:rPr>
          <w:rFonts w:ascii="Arial" w:hAnsi="Arial" w:cs="Arial"/>
          <w:sz w:val="20"/>
          <w:szCs w:val="20"/>
        </w:rPr>
        <w:t xml:space="preserve"> h</w:t>
      </w:r>
      <w:r w:rsidRPr="00223293">
        <w:rPr>
          <w:rFonts w:ascii="Arial" w:hAnsi="Arial" w:cs="Arial"/>
          <w:sz w:val="20"/>
          <w:szCs w:val="20"/>
        </w:rPr>
        <w:t>igh cost of ownership,</w:t>
      </w:r>
      <w:r>
        <w:rPr>
          <w:rFonts w:ascii="Arial" w:hAnsi="Arial" w:cs="Arial"/>
          <w:sz w:val="20"/>
          <w:szCs w:val="20"/>
        </w:rPr>
        <w:t xml:space="preserve"> s</w:t>
      </w:r>
      <w:r w:rsidRPr="00223293">
        <w:rPr>
          <w:rFonts w:ascii="Arial" w:hAnsi="Arial" w:cs="Arial"/>
          <w:sz w:val="20"/>
          <w:szCs w:val="20"/>
        </w:rPr>
        <w:t>afety, driving range, and operation and maintenance of EVs, and</w:t>
      </w:r>
      <w:r>
        <w:rPr>
          <w:rFonts w:ascii="Arial" w:hAnsi="Arial" w:cs="Arial"/>
          <w:sz w:val="20"/>
          <w:szCs w:val="20"/>
        </w:rPr>
        <w:t xml:space="preserve"> e</w:t>
      </w:r>
      <w:r w:rsidRPr="00223293">
        <w:rPr>
          <w:rFonts w:ascii="Arial" w:hAnsi="Arial" w:cs="Arial"/>
          <w:sz w:val="20"/>
          <w:szCs w:val="20"/>
        </w:rPr>
        <w:t>nergy sources and reliability of power supply</w:t>
      </w:r>
      <w:r>
        <w:rPr>
          <w:rFonts w:ascii="Arial" w:hAnsi="Arial" w:cs="Arial"/>
          <w:sz w:val="20"/>
          <w:szCs w:val="20"/>
        </w:rPr>
        <w:t xml:space="preserve"> </w:t>
      </w:r>
      <w:r w:rsidR="00450346">
        <w:rPr>
          <w:rFonts w:ascii="Arial" w:hAnsi="Arial" w:cs="Arial"/>
          <w:sz w:val="20"/>
          <w:szCs w:val="20"/>
        </w:rPr>
        <w:t>(Automotive Policy 2019)</w:t>
      </w:r>
      <w:r w:rsidRPr="00223293">
        <w:rPr>
          <w:rFonts w:ascii="Arial" w:hAnsi="Arial" w:cs="Arial"/>
          <w:sz w:val="20"/>
          <w:szCs w:val="20"/>
        </w:rPr>
        <w:t>.</w:t>
      </w:r>
      <w:r>
        <w:rPr>
          <w:rFonts w:ascii="Arial" w:hAnsi="Arial" w:cs="Arial"/>
          <w:sz w:val="20"/>
          <w:szCs w:val="20"/>
        </w:rPr>
        <w:t xml:space="preserve"> </w:t>
      </w:r>
      <w:r w:rsidR="005C6F5F" w:rsidRPr="00630717">
        <w:rPr>
          <w:rFonts w:ascii="Arial" w:hAnsi="Arial" w:cs="Arial"/>
          <w:sz w:val="20"/>
          <w:szCs w:val="20"/>
        </w:rPr>
        <w:t xml:space="preserve">Emerging evidence from Myanmar suggests that practical considerations outweigh ideological motivations like environmental concern </w:t>
      </w:r>
      <w:r w:rsidR="000017F4">
        <w:rPr>
          <w:rFonts w:ascii="Arial" w:hAnsi="Arial" w:cs="Arial"/>
          <w:sz w:val="20"/>
          <w:szCs w:val="20"/>
        </w:rPr>
        <w:t>(</w:t>
      </w:r>
      <w:r w:rsidR="000017F4" w:rsidRPr="00630717">
        <w:rPr>
          <w:rFonts w:ascii="Arial" w:hAnsi="Arial" w:cs="Arial"/>
          <w:sz w:val="20"/>
          <w:szCs w:val="20"/>
        </w:rPr>
        <w:t>Aung</w:t>
      </w:r>
      <w:r w:rsidR="000017F4">
        <w:rPr>
          <w:rFonts w:ascii="Arial" w:hAnsi="Arial" w:cs="Arial"/>
          <w:sz w:val="20"/>
          <w:szCs w:val="20"/>
        </w:rPr>
        <w:t xml:space="preserve"> &amp;</w:t>
      </w:r>
      <w:r w:rsidR="000017F4" w:rsidRPr="00630717">
        <w:rPr>
          <w:rFonts w:ascii="Arial" w:hAnsi="Arial" w:cs="Arial"/>
          <w:sz w:val="20"/>
          <w:szCs w:val="20"/>
        </w:rPr>
        <w:t>Thein</w:t>
      </w:r>
      <w:r w:rsidR="000017F4">
        <w:rPr>
          <w:rFonts w:ascii="Arial" w:hAnsi="Arial" w:cs="Arial"/>
          <w:sz w:val="20"/>
          <w:szCs w:val="20"/>
        </w:rPr>
        <w:t xml:space="preserve"> </w:t>
      </w:r>
      <w:r w:rsidR="000017F4" w:rsidRPr="00630717">
        <w:rPr>
          <w:rFonts w:ascii="Arial" w:hAnsi="Arial" w:cs="Arial"/>
          <w:sz w:val="20"/>
          <w:szCs w:val="20"/>
        </w:rPr>
        <w:t>2022)</w:t>
      </w:r>
      <w:r w:rsidR="000017F4">
        <w:rPr>
          <w:rFonts w:ascii="Arial" w:hAnsi="Arial" w:cs="Arial"/>
          <w:sz w:val="20"/>
          <w:szCs w:val="20"/>
        </w:rPr>
        <w:t>.</w:t>
      </w:r>
    </w:p>
    <w:p w14:paraId="32A3EF91" w14:textId="3CA631F1" w:rsidR="005C6F5F" w:rsidRPr="00630717" w:rsidRDefault="00CC09F3" w:rsidP="00223293">
      <w:pPr>
        <w:spacing w:after="0" w:line="240" w:lineRule="auto"/>
        <w:ind w:firstLine="720"/>
        <w:jc w:val="both"/>
        <w:rPr>
          <w:rFonts w:ascii="Arial" w:hAnsi="Arial" w:cs="Arial"/>
          <w:sz w:val="20"/>
          <w:szCs w:val="20"/>
        </w:rPr>
      </w:pPr>
      <w:r w:rsidRPr="00CC09F3">
        <w:rPr>
          <w:rFonts w:ascii="Arial" w:hAnsi="Arial" w:cs="Arial"/>
          <w:sz w:val="20"/>
          <w:szCs w:val="20"/>
        </w:rPr>
        <w:t xml:space="preserve">Domestically, these global developments have resulted in widespread fuel shortages in Myanmar’s urban centers, such as Yangon and Mandalay. Citizens face prolonged queues at fuel stations, and logistical challenges have worsened owing to the limited availability of petroleum </w:t>
      </w:r>
      <w:r w:rsidR="00B06F54">
        <w:rPr>
          <w:rFonts w:ascii="Arial" w:hAnsi="Arial" w:cs="Arial"/>
          <w:sz w:val="20"/>
          <w:szCs w:val="20"/>
        </w:rPr>
        <w:t>(World Bank, 2025)</w:t>
      </w:r>
      <w:r w:rsidRPr="00CC09F3">
        <w:rPr>
          <w:rFonts w:ascii="Arial" w:hAnsi="Arial" w:cs="Arial"/>
          <w:sz w:val="20"/>
          <w:szCs w:val="20"/>
        </w:rPr>
        <w:t xml:space="preserve">. </w:t>
      </w:r>
      <w:r w:rsidR="005C6F5F" w:rsidRPr="00630717">
        <w:rPr>
          <w:rFonts w:ascii="Arial" w:hAnsi="Arial" w:cs="Arial"/>
          <w:sz w:val="20"/>
          <w:szCs w:val="20"/>
        </w:rPr>
        <w:t>Therefore, understanding the local context, ranging from urban versus suburban accessibility to education-level differences in policy awareness, is essential for effective policy design. This study builds on these insights by combining survey data with statistical analyses to identify the most influential factors and preferred policy measures for EV adoption.</w:t>
      </w:r>
    </w:p>
    <w:p w14:paraId="12E3DCF2" w14:textId="77777777" w:rsidR="00726861" w:rsidRPr="00630717" w:rsidRDefault="00726861" w:rsidP="00FA79BB">
      <w:pPr>
        <w:spacing w:after="0" w:line="240" w:lineRule="auto"/>
        <w:jc w:val="both"/>
        <w:rPr>
          <w:rFonts w:ascii="Arial" w:hAnsi="Arial" w:cs="Arial"/>
          <w:b/>
          <w:bCs/>
          <w:sz w:val="20"/>
          <w:szCs w:val="20"/>
        </w:rPr>
      </w:pPr>
    </w:p>
    <w:p w14:paraId="6B7EFBCB" w14:textId="77777777"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3. Methodology</w:t>
      </w:r>
    </w:p>
    <w:p w14:paraId="018E8633" w14:textId="120CDF6C" w:rsidR="005C6F5F" w:rsidRPr="00630717" w:rsidRDefault="00726861" w:rsidP="00FA79BB">
      <w:pPr>
        <w:spacing w:after="0" w:line="240" w:lineRule="auto"/>
        <w:ind w:firstLine="720"/>
        <w:jc w:val="both"/>
        <w:rPr>
          <w:rFonts w:ascii="Arial" w:hAnsi="Arial" w:cs="Arial"/>
          <w:sz w:val="20"/>
          <w:szCs w:val="20"/>
        </w:rPr>
      </w:pPr>
      <w:r w:rsidRPr="00630717">
        <w:rPr>
          <w:rFonts w:ascii="Arial" w:hAnsi="Arial" w:cs="Arial"/>
          <w:sz w:val="20"/>
          <w:szCs w:val="20"/>
        </w:rPr>
        <w:t xml:space="preserve">The study was conducted by using simple random sampling methods to collect the responses. </w:t>
      </w:r>
      <w:r w:rsidR="005C6F5F" w:rsidRPr="00630717">
        <w:rPr>
          <w:rFonts w:ascii="Arial" w:hAnsi="Arial" w:cs="Arial"/>
          <w:sz w:val="20"/>
          <w:szCs w:val="20"/>
        </w:rPr>
        <w:t>A structured survey was administered to 150 respondents in Myanmar to explore perceptions, behaviors, and policy preferences related to EV adoption. The survey included demographic variables (age, education, occupation), charging behavior (preferred time, perceived barriers), awareness of government incentives, and preferred policy measures. Respondents were also asked about the desired number of charging stations in their area.</w:t>
      </w:r>
    </w:p>
    <w:p w14:paraId="4A9FF7EB" w14:textId="77777777" w:rsidR="00726861" w:rsidRPr="00630717" w:rsidRDefault="00726861" w:rsidP="00FA79BB">
      <w:pPr>
        <w:spacing w:after="0" w:line="240" w:lineRule="auto"/>
        <w:jc w:val="both"/>
        <w:rPr>
          <w:rFonts w:ascii="Arial" w:hAnsi="Arial" w:cs="Arial"/>
          <w:b/>
          <w:bCs/>
          <w:sz w:val="20"/>
          <w:szCs w:val="20"/>
        </w:rPr>
      </w:pPr>
    </w:p>
    <w:p w14:paraId="54ED88AF" w14:textId="3A034477"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3.1</w:t>
      </w:r>
      <w:r w:rsidR="008F498F" w:rsidRPr="00FA79BB">
        <w:rPr>
          <w:rFonts w:ascii="Arial" w:hAnsi="Arial" w:cs="Arial"/>
          <w:b/>
          <w:bCs/>
          <w:sz w:val="22"/>
          <w:szCs w:val="22"/>
        </w:rPr>
        <w:t>.</w:t>
      </w:r>
      <w:r w:rsidRPr="00FA79BB">
        <w:rPr>
          <w:rFonts w:ascii="Arial" w:hAnsi="Arial" w:cs="Arial"/>
          <w:b/>
          <w:bCs/>
          <w:sz w:val="22"/>
          <w:szCs w:val="22"/>
        </w:rPr>
        <w:t xml:space="preserve"> Sampling and Data Collection</w:t>
      </w:r>
    </w:p>
    <w:p w14:paraId="53BEF1EC" w14:textId="44725654" w:rsidR="005C6F5F" w:rsidRPr="00630717"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The survey employed purposive sampling targeting both urban and suburban residents with potential interest in EV adoption. Urban respondents represented the majority (n = 142), while suburban participants numbered eight (n = 8). Data was collected through face-to-face interviews and online surveys to ensure coverage of different occupational and educational groups.</w:t>
      </w:r>
    </w:p>
    <w:p w14:paraId="75F6E190" w14:textId="77777777" w:rsidR="00726861" w:rsidRPr="00630717" w:rsidRDefault="00726861" w:rsidP="00FA79BB">
      <w:pPr>
        <w:spacing w:after="0" w:line="240" w:lineRule="auto"/>
        <w:jc w:val="both"/>
        <w:rPr>
          <w:rFonts w:ascii="Arial" w:hAnsi="Arial" w:cs="Arial"/>
          <w:b/>
          <w:bCs/>
          <w:sz w:val="20"/>
          <w:szCs w:val="20"/>
        </w:rPr>
      </w:pPr>
    </w:p>
    <w:p w14:paraId="63AFBFB2" w14:textId="471CE17D"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3.2</w:t>
      </w:r>
      <w:r w:rsidR="008F498F" w:rsidRPr="00FA79BB">
        <w:rPr>
          <w:rFonts w:ascii="Arial" w:hAnsi="Arial" w:cs="Arial"/>
          <w:b/>
          <w:bCs/>
          <w:sz w:val="22"/>
          <w:szCs w:val="22"/>
        </w:rPr>
        <w:t>.</w:t>
      </w:r>
      <w:r w:rsidRPr="00FA79BB">
        <w:rPr>
          <w:rFonts w:ascii="Arial" w:hAnsi="Arial" w:cs="Arial"/>
          <w:b/>
          <w:bCs/>
          <w:sz w:val="22"/>
          <w:szCs w:val="22"/>
        </w:rPr>
        <w:t xml:space="preserve"> Measures and Statistical Analysis</w:t>
      </w:r>
    </w:p>
    <w:p w14:paraId="5F53C8B2" w14:textId="79AEF8E6" w:rsidR="005C6F5F" w:rsidRPr="00630717"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 xml:space="preserve">Dependent variables included respondents stated likelihood of adopting an EV within the next five years, measured on a 5-point Likert scale. Independent variables included satisfaction with charging infrastructure, awareness of government incentives, and concern over charging time. </w:t>
      </w:r>
      <w:r w:rsidR="00687615" w:rsidRPr="00630717">
        <w:rPr>
          <w:rFonts w:ascii="Arial" w:hAnsi="Arial" w:cs="Arial"/>
          <w:sz w:val="20"/>
          <w:szCs w:val="20"/>
        </w:rPr>
        <w:t xml:space="preserve">Data was analyzed using SPSS (Version 23) to compute descriptive statistics, cross-tabulations, Chi-square tests, and multiple linear regression analyses. </w:t>
      </w:r>
      <w:r w:rsidRPr="00630717">
        <w:rPr>
          <w:rFonts w:ascii="Arial" w:hAnsi="Arial" w:cs="Arial"/>
          <w:sz w:val="20"/>
          <w:szCs w:val="20"/>
        </w:rPr>
        <w:t>Chi-square tests were employed to evaluate associations between categorical variables, including education level and policy perception, as well as residential location and desired charging station density.</w:t>
      </w:r>
    </w:p>
    <w:p w14:paraId="6CD5D97F" w14:textId="77777777" w:rsidR="005C6F5F" w:rsidRPr="00630717" w:rsidRDefault="005C6F5F" w:rsidP="00FA79BB">
      <w:pPr>
        <w:spacing w:after="0" w:line="240" w:lineRule="auto"/>
        <w:ind w:firstLine="720"/>
        <w:jc w:val="both"/>
        <w:rPr>
          <w:rFonts w:ascii="Arial" w:hAnsi="Arial" w:cs="Arial"/>
          <w:sz w:val="20"/>
          <w:szCs w:val="20"/>
        </w:rPr>
      </w:pPr>
    </w:p>
    <w:p w14:paraId="0CF656D1" w14:textId="585CB6BE"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4. Results and Discussion</w:t>
      </w:r>
    </w:p>
    <w:p w14:paraId="3E64086C" w14:textId="3F8E09DB" w:rsidR="005C6F5F" w:rsidRPr="00630717" w:rsidRDefault="005C6F5F" w:rsidP="00FA79BB">
      <w:pPr>
        <w:spacing w:after="0" w:line="240" w:lineRule="auto"/>
        <w:jc w:val="both"/>
        <w:rPr>
          <w:rFonts w:ascii="Arial" w:hAnsi="Arial" w:cs="Arial"/>
          <w:b/>
          <w:bCs/>
          <w:sz w:val="20"/>
          <w:szCs w:val="20"/>
        </w:rPr>
      </w:pPr>
      <w:r w:rsidRPr="00FA79BB">
        <w:rPr>
          <w:rFonts w:ascii="Arial" w:hAnsi="Arial" w:cs="Arial"/>
          <w:b/>
          <w:bCs/>
          <w:sz w:val="22"/>
          <w:szCs w:val="22"/>
        </w:rPr>
        <w:t>4.1</w:t>
      </w:r>
      <w:r w:rsidR="008F498F" w:rsidRPr="00FA79BB">
        <w:rPr>
          <w:rFonts w:ascii="Arial" w:hAnsi="Arial" w:cs="Arial"/>
          <w:b/>
          <w:bCs/>
          <w:sz w:val="22"/>
          <w:szCs w:val="22"/>
        </w:rPr>
        <w:t>.</w:t>
      </w:r>
      <w:r w:rsidRPr="00FA79BB">
        <w:rPr>
          <w:rFonts w:ascii="Arial" w:hAnsi="Arial" w:cs="Arial"/>
          <w:b/>
          <w:bCs/>
          <w:sz w:val="22"/>
          <w:szCs w:val="22"/>
        </w:rPr>
        <w:t xml:space="preserve"> Demographics</w:t>
      </w:r>
    </w:p>
    <w:p w14:paraId="1EA3F56C" w14:textId="65788BB9" w:rsidR="005C6F5F" w:rsidRPr="00630717"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lastRenderedPageBreak/>
        <w:t xml:space="preserve">The respondent profile indicated diversity in educational attainment and occupation, providing a representative sample of potential EV users in Myanmar. Educational levels ranged from secondary education to doctorate degrees, with the largest </w:t>
      </w:r>
      <w:r w:rsidR="00F826BE" w:rsidRPr="00630717">
        <w:rPr>
          <w:rFonts w:ascii="Arial" w:hAnsi="Arial" w:cs="Arial"/>
          <w:sz w:val="20"/>
          <w:szCs w:val="20"/>
        </w:rPr>
        <w:t>group</w:t>
      </w:r>
      <w:r w:rsidRPr="00630717">
        <w:rPr>
          <w:rFonts w:ascii="Arial" w:hAnsi="Arial" w:cs="Arial"/>
          <w:sz w:val="20"/>
          <w:szCs w:val="20"/>
        </w:rPr>
        <w:t xml:space="preserve"> holding bachelor’s (n = 71) and master’s degrees (n = 52). Occupations included government employees, private-sector workers, drivers, students, retirees, and unemployed individuals.</w:t>
      </w:r>
    </w:p>
    <w:p w14:paraId="1B38406F" w14:textId="77777777" w:rsidR="00726861" w:rsidRPr="00630717" w:rsidRDefault="00726861" w:rsidP="00FA79BB">
      <w:pPr>
        <w:spacing w:after="0" w:line="240" w:lineRule="auto"/>
        <w:jc w:val="both"/>
        <w:rPr>
          <w:rFonts w:ascii="Arial" w:hAnsi="Arial" w:cs="Arial"/>
          <w:b/>
          <w:bCs/>
          <w:sz w:val="20"/>
          <w:szCs w:val="20"/>
        </w:rPr>
      </w:pPr>
    </w:p>
    <w:p w14:paraId="276E9592" w14:textId="18DBB3D1"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4.2</w:t>
      </w:r>
      <w:r w:rsidR="008F498F" w:rsidRPr="00FA79BB">
        <w:rPr>
          <w:rFonts w:ascii="Arial" w:hAnsi="Arial" w:cs="Arial"/>
          <w:b/>
          <w:bCs/>
          <w:sz w:val="22"/>
          <w:szCs w:val="22"/>
        </w:rPr>
        <w:t>.</w:t>
      </w:r>
      <w:r w:rsidRPr="00FA79BB">
        <w:rPr>
          <w:rFonts w:ascii="Arial" w:hAnsi="Arial" w:cs="Arial"/>
          <w:b/>
          <w:bCs/>
          <w:sz w:val="22"/>
          <w:szCs w:val="22"/>
        </w:rPr>
        <w:t xml:space="preserve"> Charging Behavior and Preferences</w:t>
      </w:r>
    </w:p>
    <w:p w14:paraId="586CBD4E" w14:textId="46857EB3" w:rsidR="005C6F5F"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The majority of respondents (60%) preferred charging during “free time,” encompassing non-working hours, evenings, and personal convenience periods. Night-time charging was the second most preferred option (31.3%), aligning with off-peak electricity use. Early morning and daytime charging were minimally selected (7.3% and 1.3%, respectively), reflecting occupational constraints and station availability.</w:t>
      </w:r>
    </w:p>
    <w:p w14:paraId="658A5ADE" w14:textId="77777777" w:rsidR="00067F6C" w:rsidRPr="00630717" w:rsidRDefault="00067F6C" w:rsidP="00FA79BB">
      <w:pPr>
        <w:spacing w:after="0" w:line="240" w:lineRule="auto"/>
        <w:ind w:firstLine="720"/>
        <w:jc w:val="both"/>
        <w:rPr>
          <w:rFonts w:ascii="Arial" w:hAnsi="Arial" w:cs="Arial"/>
          <w:sz w:val="20"/>
          <w:szCs w:val="20"/>
        </w:rPr>
      </w:pPr>
    </w:p>
    <w:p w14:paraId="78A1220B" w14:textId="2C2361C9" w:rsidR="00F826BE" w:rsidRPr="00630717" w:rsidRDefault="00285EDC" w:rsidP="00FA79BB">
      <w:pPr>
        <w:spacing w:after="0" w:line="240" w:lineRule="auto"/>
        <w:jc w:val="center"/>
        <w:rPr>
          <w:rFonts w:ascii="Arial" w:hAnsi="Arial" w:cs="Arial"/>
          <w:sz w:val="20"/>
          <w:szCs w:val="20"/>
        </w:rPr>
      </w:pPr>
      <w:r w:rsidRPr="00630717">
        <w:rPr>
          <w:rFonts w:ascii="Arial" w:hAnsi="Arial" w:cs="Arial"/>
          <w:noProof/>
          <w:color w:val="FF0000"/>
          <w:sz w:val="20"/>
          <w:szCs w:val="20"/>
          <w:lang w:bidi="ar-SA"/>
        </w:rPr>
        <w:drawing>
          <wp:inline distT="0" distB="0" distL="0" distR="0" wp14:anchorId="646B2EF7" wp14:editId="63592F0B">
            <wp:extent cx="5001895" cy="2756535"/>
            <wp:effectExtent l="0" t="0" r="8255" b="5715"/>
            <wp:docPr id="49449104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9A1B655" w14:textId="305EF7FF" w:rsidR="00F826BE" w:rsidRPr="00630717" w:rsidRDefault="00F826BE" w:rsidP="00FA79BB">
      <w:pPr>
        <w:spacing w:after="0" w:line="240" w:lineRule="auto"/>
        <w:jc w:val="center"/>
        <w:rPr>
          <w:rFonts w:ascii="Arial" w:hAnsi="Arial" w:cs="Arial"/>
          <w:b/>
          <w:bCs/>
          <w:color w:val="000000" w:themeColor="text1"/>
          <w:sz w:val="20"/>
          <w:szCs w:val="20"/>
        </w:rPr>
      </w:pPr>
      <w:r w:rsidRPr="00630717">
        <w:rPr>
          <w:rFonts w:ascii="Arial" w:hAnsi="Arial" w:cs="Arial"/>
          <w:b/>
          <w:bCs/>
          <w:sz w:val="20"/>
          <w:szCs w:val="20"/>
        </w:rPr>
        <w:t xml:space="preserve">Figure (1) </w:t>
      </w:r>
      <w:r w:rsidRPr="00630717">
        <w:rPr>
          <w:rFonts w:ascii="Arial" w:hAnsi="Arial" w:cs="Arial"/>
          <w:b/>
          <w:bCs/>
          <w:color w:val="000000" w:themeColor="text1"/>
          <w:sz w:val="20"/>
          <w:szCs w:val="20"/>
        </w:rPr>
        <w:t>Preferred Charging Time by Occupation</w:t>
      </w:r>
    </w:p>
    <w:p w14:paraId="07CCD42A" w14:textId="77777777" w:rsidR="00067F6C" w:rsidRDefault="00067F6C" w:rsidP="00FA79BB">
      <w:pPr>
        <w:spacing w:after="0" w:line="240" w:lineRule="auto"/>
        <w:ind w:firstLine="720"/>
        <w:jc w:val="both"/>
        <w:rPr>
          <w:rFonts w:ascii="Arial" w:hAnsi="Arial" w:cs="Arial"/>
          <w:sz w:val="20"/>
          <w:szCs w:val="20"/>
        </w:rPr>
      </w:pPr>
    </w:p>
    <w:p w14:paraId="48A796D0" w14:textId="77777777" w:rsidR="00F826BE" w:rsidRPr="00630717" w:rsidRDefault="00F826BE" w:rsidP="00FA79BB">
      <w:pPr>
        <w:spacing w:after="0" w:line="240" w:lineRule="auto"/>
        <w:ind w:firstLine="720"/>
        <w:jc w:val="both"/>
        <w:rPr>
          <w:rFonts w:ascii="Arial" w:hAnsi="Arial" w:cs="Arial"/>
          <w:sz w:val="20"/>
          <w:szCs w:val="20"/>
        </w:rPr>
      </w:pPr>
      <w:r w:rsidRPr="00630717">
        <w:rPr>
          <w:rFonts w:ascii="Arial" w:hAnsi="Arial" w:cs="Arial"/>
          <w:sz w:val="20"/>
          <w:szCs w:val="20"/>
        </w:rPr>
        <w:t>According to Figure (1), Cross-tabulation by occupation revealed that drivers, government employees, and private-sector workers all favored flexible “free time” charging. Night-time charging was more popular among private and government sector employees (39.7% and 30.6%, respectively), reflecting structured work hours. Chi-square analysis (χ² (15) = 23.408, p = 0.076) indicated no statistically significant association, though descriptive trends were evident.</w:t>
      </w:r>
    </w:p>
    <w:p w14:paraId="70A7779C" w14:textId="77777777" w:rsidR="00726861" w:rsidRPr="00630717" w:rsidRDefault="00726861" w:rsidP="00FA79BB">
      <w:pPr>
        <w:spacing w:after="0" w:line="240" w:lineRule="auto"/>
        <w:jc w:val="both"/>
        <w:rPr>
          <w:rFonts w:ascii="Arial" w:hAnsi="Arial" w:cs="Arial"/>
          <w:b/>
          <w:bCs/>
          <w:sz w:val="20"/>
          <w:szCs w:val="20"/>
        </w:rPr>
      </w:pPr>
    </w:p>
    <w:p w14:paraId="2C31E598" w14:textId="15452651"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4.3</w:t>
      </w:r>
      <w:r w:rsidR="008F498F" w:rsidRPr="00FA79BB">
        <w:rPr>
          <w:rFonts w:ascii="Arial" w:hAnsi="Arial" w:cs="Arial"/>
          <w:b/>
          <w:bCs/>
          <w:sz w:val="22"/>
          <w:szCs w:val="22"/>
        </w:rPr>
        <w:t>.</w:t>
      </w:r>
      <w:r w:rsidRPr="00FA79BB">
        <w:rPr>
          <w:rFonts w:ascii="Arial" w:hAnsi="Arial" w:cs="Arial"/>
          <w:b/>
          <w:bCs/>
          <w:sz w:val="22"/>
          <w:szCs w:val="22"/>
        </w:rPr>
        <w:t xml:space="preserve"> Barriers to EV Charging</w:t>
      </w:r>
    </w:p>
    <w:p w14:paraId="6D68F23F" w14:textId="5B4DC422" w:rsidR="007913EE" w:rsidRDefault="007913EE" w:rsidP="00FA79BB">
      <w:pPr>
        <w:spacing w:after="0" w:line="240" w:lineRule="auto"/>
        <w:ind w:firstLine="720"/>
        <w:jc w:val="both"/>
        <w:rPr>
          <w:rFonts w:ascii="Arial" w:hAnsi="Arial" w:cs="Arial"/>
          <w:sz w:val="20"/>
          <w:szCs w:val="20"/>
        </w:rPr>
      </w:pPr>
      <w:r w:rsidRPr="00630717">
        <w:rPr>
          <w:rFonts w:ascii="Arial" w:hAnsi="Arial" w:cs="Arial"/>
          <w:sz w:val="20"/>
          <w:szCs w:val="20"/>
        </w:rPr>
        <w:t xml:space="preserve">Respondents identified multiple barriers to accessing electric vehicle (EV) charging facilities. </w:t>
      </w:r>
      <w:r w:rsidR="00FC6419" w:rsidRPr="00630717">
        <w:rPr>
          <w:rFonts w:ascii="Arial" w:hAnsi="Arial" w:cs="Arial"/>
          <w:sz w:val="20"/>
          <w:szCs w:val="20"/>
        </w:rPr>
        <w:t xml:space="preserve">Especially, public </w:t>
      </w:r>
      <w:proofErr w:type="gramStart"/>
      <w:r w:rsidR="00FC6419" w:rsidRPr="00630717">
        <w:rPr>
          <w:rFonts w:ascii="Arial" w:hAnsi="Arial" w:cs="Arial"/>
          <w:sz w:val="20"/>
          <w:szCs w:val="20"/>
        </w:rPr>
        <w:t>DC  fast</w:t>
      </w:r>
      <w:proofErr w:type="gramEnd"/>
      <w:r w:rsidR="00FC6419" w:rsidRPr="00630717">
        <w:rPr>
          <w:rFonts w:ascii="Arial" w:hAnsi="Arial" w:cs="Arial"/>
          <w:sz w:val="20"/>
          <w:szCs w:val="20"/>
        </w:rPr>
        <w:t xml:space="preserve"> charging rate 750kyat(0.17USD) and countryside hotels charging rate 1500kyat(0.34UUSD). And can it be easy to access charging in surrounding </w:t>
      </w:r>
      <w:proofErr w:type="gramStart"/>
      <w:r w:rsidR="00FC6419" w:rsidRPr="00630717">
        <w:rPr>
          <w:rFonts w:ascii="Arial" w:hAnsi="Arial" w:cs="Arial"/>
          <w:sz w:val="20"/>
          <w:szCs w:val="20"/>
        </w:rPr>
        <w:t>area?,</w:t>
      </w:r>
      <w:proofErr w:type="gramEnd"/>
      <w:r w:rsidR="00FC6419" w:rsidRPr="00630717">
        <w:rPr>
          <w:rFonts w:ascii="Arial" w:hAnsi="Arial" w:cs="Arial"/>
          <w:sz w:val="20"/>
          <w:szCs w:val="20"/>
        </w:rPr>
        <w:t xml:space="preserve"> etc.</w:t>
      </w:r>
    </w:p>
    <w:p w14:paraId="3344120C" w14:textId="77777777" w:rsidR="00FA79BB" w:rsidRPr="00630717" w:rsidRDefault="00FA79BB" w:rsidP="00FA79BB">
      <w:pPr>
        <w:spacing w:after="0" w:line="240" w:lineRule="auto"/>
        <w:ind w:firstLine="720"/>
        <w:jc w:val="both"/>
        <w:rPr>
          <w:rFonts w:ascii="Arial" w:hAnsi="Arial" w:cs="Arial"/>
          <w:sz w:val="20"/>
          <w:szCs w:val="20"/>
        </w:rPr>
      </w:pPr>
    </w:p>
    <w:p w14:paraId="740659D2" w14:textId="042E42FA" w:rsidR="007913EE" w:rsidRPr="00630717" w:rsidRDefault="00285EDC" w:rsidP="00FA79BB">
      <w:pPr>
        <w:spacing w:after="0" w:line="240" w:lineRule="auto"/>
        <w:jc w:val="center"/>
        <w:rPr>
          <w:rFonts w:ascii="Arial" w:hAnsi="Arial" w:cs="Arial"/>
          <w:sz w:val="20"/>
          <w:szCs w:val="20"/>
        </w:rPr>
      </w:pPr>
      <w:r w:rsidRPr="00630717">
        <w:rPr>
          <w:rFonts w:ascii="Arial" w:hAnsi="Arial" w:cs="Arial"/>
          <w:noProof/>
          <w:sz w:val="20"/>
          <w:szCs w:val="20"/>
          <w:lang w:bidi="ar-SA"/>
        </w:rPr>
        <w:lastRenderedPageBreak/>
        <w:drawing>
          <wp:inline distT="0" distB="0" distL="0" distR="0" wp14:anchorId="7DCC2724" wp14:editId="1C06845F">
            <wp:extent cx="4995582" cy="2023783"/>
            <wp:effectExtent l="0" t="0" r="14605" b="14605"/>
            <wp:docPr id="15995067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B8C6D9" w14:textId="5F0A4E6C" w:rsidR="00871F23" w:rsidRPr="00630717" w:rsidRDefault="00871F23" w:rsidP="00FA79BB">
      <w:pPr>
        <w:spacing w:after="0" w:line="240" w:lineRule="auto"/>
        <w:jc w:val="center"/>
        <w:rPr>
          <w:rFonts w:ascii="Arial" w:hAnsi="Arial" w:cs="Arial"/>
          <w:b/>
          <w:bCs/>
          <w:sz w:val="20"/>
          <w:szCs w:val="20"/>
        </w:rPr>
      </w:pPr>
      <w:r w:rsidRPr="00630717">
        <w:rPr>
          <w:rFonts w:ascii="Arial" w:hAnsi="Arial" w:cs="Arial"/>
          <w:b/>
          <w:bCs/>
          <w:sz w:val="20"/>
          <w:szCs w:val="20"/>
        </w:rPr>
        <w:t>Figure (</w:t>
      </w:r>
      <w:r w:rsidR="007913EE" w:rsidRPr="00630717">
        <w:rPr>
          <w:rFonts w:ascii="Arial" w:hAnsi="Arial" w:cs="Arial"/>
          <w:b/>
          <w:bCs/>
          <w:sz w:val="20"/>
          <w:szCs w:val="20"/>
        </w:rPr>
        <w:t>2</w:t>
      </w:r>
      <w:r w:rsidRPr="00630717">
        <w:rPr>
          <w:rFonts w:ascii="Arial" w:hAnsi="Arial" w:cs="Arial"/>
          <w:b/>
          <w:bCs/>
          <w:sz w:val="20"/>
          <w:szCs w:val="20"/>
        </w:rPr>
        <w:t>) Barriers to EV Charging</w:t>
      </w:r>
    </w:p>
    <w:p w14:paraId="1F39D97E" w14:textId="77777777" w:rsidR="00FA79BB" w:rsidRDefault="00FA79BB" w:rsidP="00FA79BB">
      <w:pPr>
        <w:spacing w:after="0" w:line="240" w:lineRule="auto"/>
        <w:ind w:firstLine="720"/>
        <w:jc w:val="both"/>
        <w:rPr>
          <w:rFonts w:ascii="Arial" w:hAnsi="Arial" w:cs="Arial"/>
          <w:sz w:val="20"/>
          <w:szCs w:val="20"/>
        </w:rPr>
      </w:pPr>
    </w:p>
    <w:p w14:paraId="4966B68D" w14:textId="52DAF472" w:rsidR="007913EE" w:rsidRPr="00630717" w:rsidRDefault="007913EE" w:rsidP="00FA79BB">
      <w:pPr>
        <w:spacing w:after="0" w:line="240" w:lineRule="auto"/>
        <w:ind w:firstLine="720"/>
        <w:jc w:val="both"/>
        <w:rPr>
          <w:rFonts w:ascii="Arial" w:hAnsi="Arial" w:cs="Arial"/>
          <w:sz w:val="20"/>
          <w:szCs w:val="20"/>
        </w:rPr>
      </w:pPr>
      <w:r w:rsidRPr="00630717">
        <w:rPr>
          <w:rFonts w:ascii="Arial" w:hAnsi="Arial" w:cs="Arial"/>
          <w:sz w:val="20"/>
          <w:szCs w:val="20"/>
        </w:rPr>
        <w:t>As shown in Figure (2), the most frequently cited challenge was the perception that charging is expensive to charge (55.3%), underscoring financial barriers to adoption. The charging rate at public stations, set at 750 kyats</w:t>
      </w:r>
      <w:r w:rsidR="004A1C8A">
        <w:rPr>
          <w:rFonts w:ascii="Arial" w:hAnsi="Arial" w:cs="Arial"/>
          <w:sz w:val="20"/>
          <w:szCs w:val="20"/>
        </w:rPr>
        <w:t xml:space="preserve"> </w:t>
      </w:r>
      <w:r w:rsidR="00B7104D" w:rsidRPr="00630717">
        <w:rPr>
          <w:rFonts w:ascii="Arial" w:hAnsi="Arial" w:cs="Arial"/>
          <w:sz w:val="20"/>
          <w:szCs w:val="20"/>
        </w:rPr>
        <w:t>0.17USD)</w:t>
      </w:r>
      <w:r w:rsidRPr="00630717">
        <w:rPr>
          <w:rFonts w:ascii="Arial" w:hAnsi="Arial" w:cs="Arial"/>
          <w:sz w:val="20"/>
          <w:szCs w:val="20"/>
        </w:rPr>
        <w:t xml:space="preserve"> per unit,</w:t>
      </w:r>
      <w:r w:rsidR="00B7104D" w:rsidRPr="00630717">
        <w:rPr>
          <w:rFonts w:ascii="Arial" w:hAnsi="Arial" w:cs="Arial"/>
          <w:sz w:val="20"/>
          <w:szCs w:val="20"/>
        </w:rPr>
        <w:t xml:space="preserve"> hotels in popular cities Level2 AC charging about 1500</w:t>
      </w:r>
      <w:r w:rsidR="004A1C8A">
        <w:rPr>
          <w:rFonts w:ascii="Arial" w:hAnsi="Arial" w:cs="Arial"/>
          <w:sz w:val="20"/>
          <w:szCs w:val="20"/>
        </w:rPr>
        <w:t xml:space="preserve"> </w:t>
      </w:r>
      <w:r w:rsidR="00B7104D" w:rsidRPr="00630717">
        <w:rPr>
          <w:rFonts w:ascii="Arial" w:hAnsi="Arial" w:cs="Arial"/>
          <w:sz w:val="20"/>
          <w:szCs w:val="20"/>
        </w:rPr>
        <w:t>kyat</w:t>
      </w:r>
      <w:r w:rsidR="004A1C8A">
        <w:rPr>
          <w:rFonts w:ascii="Arial" w:hAnsi="Arial" w:cs="Arial"/>
          <w:sz w:val="20"/>
          <w:szCs w:val="20"/>
        </w:rPr>
        <w:t xml:space="preserve"> </w:t>
      </w:r>
      <w:r w:rsidR="00B7104D" w:rsidRPr="00630717">
        <w:rPr>
          <w:rFonts w:ascii="Arial" w:hAnsi="Arial" w:cs="Arial"/>
          <w:sz w:val="20"/>
          <w:szCs w:val="20"/>
        </w:rPr>
        <w:t>(0.34USD) per unit are</w:t>
      </w:r>
      <w:r w:rsidRPr="00630717">
        <w:rPr>
          <w:rFonts w:ascii="Arial" w:hAnsi="Arial" w:cs="Arial"/>
          <w:sz w:val="20"/>
          <w:szCs w:val="20"/>
        </w:rPr>
        <w:t xml:space="preserve"> considered excessively high compared to the 150 kyats </w:t>
      </w:r>
      <w:r w:rsidR="00B7104D" w:rsidRPr="00630717">
        <w:rPr>
          <w:rFonts w:ascii="Arial" w:hAnsi="Arial" w:cs="Arial"/>
          <w:sz w:val="20"/>
          <w:szCs w:val="20"/>
        </w:rPr>
        <w:t xml:space="preserve">(0.034USD) </w:t>
      </w:r>
      <w:r w:rsidRPr="00630717">
        <w:rPr>
          <w:rFonts w:ascii="Arial" w:hAnsi="Arial" w:cs="Arial"/>
          <w:sz w:val="20"/>
          <w:szCs w:val="20"/>
        </w:rPr>
        <w:t>per unit cost of home-based Level 2 charging. This was followed by limited station availability across locations (32.7%), reflecting uneven geographic coverage, particularly in suburban and peri-urban areas. In addition, 9.3% of respondents reported the need to check in advance due to power outages, highlighting persistent electricity reliability concerns, while 2.7% mentioned waiting times at charging points, signaling early signs of congestion at popular stations. Together, these findings reveal that both cost-related and infrastructural issues are shaping user experience and may hinder the broader expansion of Myanmar’s EV ecosystem.</w:t>
      </w:r>
    </w:p>
    <w:p w14:paraId="5C3E25FC" w14:textId="77777777" w:rsidR="007439B5" w:rsidRPr="00630717" w:rsidRDefault="007439B5" w:rsidP="00FA79BB">
      <w:pPr>
        <w:spacing w:after="0" w:line="240" w:lineRule="auto"/>
        <w:ind w:firstLine="720"/>
        <w:jc w:val="both"/>
        <w:rPr>
          <w:rFonts w:ascii="Arial" w:hAnsi="Arial" w:cs="Arial"/>
          <w:sz w:val="20"/>
          <w:szCs w:val="20"/>
        </w:rPr>
      </w:pPr>
    </w:p>
    <w:p w14:paraId="0E2C0249" w14:textId="28B56370"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4.4</w:t>
      </w:r>
      <w:r w:rsidR="008F498F" w:rsidRPr="00FA79BB">
        <w:rPr>
          <w:rFonts w:ascii="Arial" w:hAnsi="Arial" w:cs="Arial"/>
          <w:b/>
          <w:bCs/>
          <w:sz w:val="22"/>
          <w:szCs w:val="22"/>
        </w:rPr>
        <w:t>.</w:t>
      </w:r>
      <w:r w:rsidRPr="00FA79BB">
        <w:rPr>
          <w:rFonts w:ascii="Arial" w:hAnsi="Arial" w:cs="Arial"/>
          <w:b/>
          <w:bCs/>
          <w:sz w:val="22"/>
          <w:szCs w:val="22"/>
        </w:rPr>
        <w:t xml:space="preserve"> Desired Number of Charging Stations</w:t>
      </w:r>
    </w:p>
    <w:p w14:paraId="2A7F0671" w14:textId="53449E81" w:rsidR="007913EE" w:rsidRPr="00630717" w:rsidRDefault="00260F8B" w:rsidP="00260F8B">
      <w:pPr>
        <w:spacing w:after="0" w:line="240" w:lineRule="auto"/>
        <w:ind w:firstLine="720"/>
        <w:jc w:val="both"/>
        <w:rPr>
          <w:rFonts w:ascii="Arial" w:hAnsi="Arial" w:cs="Arial"/>
          <w:sz w:val="20"/>
          <w:szCs w:val="20"/>
        </w:rPr>
      </w:pPr>
      <w:r w:rsidRPr="00260F8B">
        <w:rPr>
          <w:rFonts w:ascii="Arial" w:hAnsi="Arial" w:cs="Arial"/>
          <w:sz w:val="20"/>
          <w:szCs w:val="20"/>
        </w:rPr>
        <w:t>The number of public charge points is growing dramatically across most of the country, particularly on the rapid network. The number of public charge points has constructed in 2023, On average, over 200 new chargers are being installed to the Highway roads and big towns in Myanmar. Over 75% desired more than five stations in their local area, with nearly half wanting more than 15 stations. Urban residents favored higher coverage (16 - 20 stations or more than 20), whereas suburban residents leaned toward moderate numbers (6 -15 stations). Chi-square tests indicated no statistically significant difference (p = 0.243), but trends highlight the higher infrastructure expectations in urban areas</w:t>
      </w:r>
      <w:r>
        <w:rPr>
          <w:rFonts w:ascii="Arial" w:hAnsi="Arial" w:cs="Arial"/>
          <w:sz w:val="20"/>
          <w:szCs w:val="20"/>
        </w:rPr>
        <w:t xml:space="preserve"> (</w:t>
      </w:r>
      <w:r w:rsidRPr="00260F8B">
        <w:rPr>
          <w:rFonts w:ascii="Arial" w:hAnsi="Arial" w:cs="Arial"/>
          <w:sz w:val="20"/>
          <w:szCs w:val="20"/>
        </w:rPr>
        <w:t>Global New Light of Myanmar</w:t>
      </w:r>
      <w:r>
        <w:rPr>
          <w:rFonts w:ascii="Arial" w:hAnsi="Arial" w:cs="Arial"/>
          <w:sz w:val="20"/>
          <w:szCs w:val="20"/>
        </w:rPr>
        <w:t>, 2023)</w:t>
      </w:r>
      <w:r w:rsidRPr="00260F8B">
        <w:rPr>
          <w:rFonts w:ascii="Arial" w:hAnsi="Arial" w:cs="Arial"/>
          <w:sz w:val="20"/>
          <w:szCs w:val="20"/>
        </w:rPr>
        <w:t>.</w:t>
      </w:r>
    </w:p>
    <w:p w14:paraId="02893A33" w14:textId="77777777" w:rsidR="00067F6C" w:rsidRDefault="00067F6C" w:rsidP="00FA79BB">
      <w:pPr>
        <w:spacing w:after="0" w:line="240" w:lineRule="auto"/>
        <w:jc w:val="both"/>
        <w:rPr>
          <w:rFonts w:ascii="Arial" w:hAnsi="Arial" w:cs="Arial"/>
          <w:b/>
          <w:bCs/>
          <w:sz w:val="22"/>
          <w:szCs w:val="22"/>
        </w:rPr>
      </w:pPr>
    </w:p>
    <w:p w14:paraId="67B8921E" w14:textId="51B48452"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4.5</w:t>
      </w:r>
      <w:r w:rsidR="008F498F" w:rsidRPr="00FA79BB">
        <w:rPr>
          <w:rFonts w:ascii="Arial" w:hAnsi="Arial" w:cs="Arial"/>
          <w:b/>
          <w:bCs/>
          <w:sz w:val="22"/>
          <w:szCs w:val="22"/>
        </w:rPr>
        <w:t>.</w:t>
      </w:r>
      <w:r w:rsidRPr="00FA79BB">
        <w:rPr>
          <w:rFonts w:ascii="Arial" w:hAnsi="Arial" w:cs="Arial"/>
          <w:b/>
          <w:bCs/>
          <w:sz w:val="22"/>
          <w:szCs w:val="22"/>
        </w:rPr>
        <w:t xml:space="preserve"> Perception of Government Incentives</w:t>
      </w:r>
    </w:p>
    <w:p w14:paraId="2ECA6789" w14:textId="01ECF292" w:rsidR="005C6F5F" w:rsidRPr="00630717" w:rsidRDefault="005C6F5F" w:rsidP="00260F8B">
      <w:pPr>
        <w:spacing w:after="0" w:line="240" w:lineRule="auto"/>
        <w:ind w:firstLine="720"/>
        <w:jc w:val="both"/>
        <w:rPr>
          <w:rFonts w:ascii="Arial" w:hAnsi="Arial" w:cs="Arial"/>
          <w:sz w:val="20"/>
          <w:szCs w:val="20"/>
        </w:rPr>
      </w:pPr>
      <w:r w:rsidRPr="00630717">
        <w:rPr>
          <w:rFonts w:ascii="Arial" w:hAnsi="Arial" w:cs="Arial"/>
          <w:sz w:val="20"/>
          <w:szCs w:val="20"/>
        </w:rPr>
        <w:t xml:space="preserve">Respondents largely agreed that government incentives, including subsidies and tax breaks, encourage EV adoption (80.7%). Awareness and perception varied by education level: 100% of secondary-level respondents agreed, while doctorate holders showed 88% agreement and 12% uncertainty. </w:t>
      </w:r>
      <w:r w:rsidR="00D37608" w:rsidRPr="00630717">
        <w:rPr>
          <w:rFonts w:ascii="Arial" w:hAnsi="Arial" w:cs="Arial"/>
          <w:sz w:val="20"/>
          <w:szCs w:val="20"/>
        </w:rPr>
        <w:t>Bachelor’s and master’s</w:t>
      </w:r>
      <w:r w:rsidRPr="00630717">
        <w:rPr>
          <w:rFonts w:ascii="Arial" w:hAnsi="Arial" w:cs="Arial"/>
          <w:sz w:val="20"/>
          <w:szCs w:val="20"/>
        </w:rPr>
        <w:t xml:space="preserve"> degree holders exhibited some disagreement and cautious responses, indicating nuanced policy evaluation among higher-educated participants.</w:t>
      </w:r>
    </w:p>
    <w:p w14:paraId="6A0B1093" w14:textId="77777777" w:rsidR="007439B5" w:rsidRPr="00630717" w:rsidRDefault="007439B5" w:rsidP="00FA79BB">
      <w:pPr>
        <w:spacing w:after="0" w:line="240" w:lineRule="auto"/>
        <w:jc w:val="both"/>
        <w:rPr>
          <w:rFonts w:ascii="Arial" w:hAnsi="Arial" w:cs="Arial"/>
          <w:sz w:val="20"/>
          <w:szCs w:val="20"/>
        </w:rPr>
      </w:pPr>
    </w:p>
    <w:p w14:paraId="50CFE1B8" w14:textId="77777777" w:rsidR="008226C2" w:rsidRPr="00630717" w:rsidRDefault="008226C2" w:rsidP="00FA79BB">
      <w:pPr>
        <w:spacing w:after="0" w:line="240" w:lineRule="auto"/>
        <w:jc w:val="both"/>
        <w:rPr>
          <w:rFonts w:ascii="Arial" w:hAnsi="Arial" w:cs="Arial"/>
          <w:sz w:val="20"/>
          <w:szCs w:val="20"/>
        </w:rPr>
      </w:pPr>
    </w:p>
    <w:p w14:paraId="0E01CE7C" w14:textId="7AEB6EF1"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4.6</w:t>
      </w:r>
      <w:r w:rsidR="008F498F" w:rsidRPr="00FA79BB">
        <w:rPr>
          <w:rFonts w:ascii="Arial" w:hAnsi="Arial" w:cs="Arial"/>
          <w:b/>
          <w:bCs/>
          <w:sz w:val="22"/>
          <w:szCs w:val="22"/>
        </w:rPr>
        <w:t>.</w:t>
      </w:r>
      <w:r w:rsidRPr="00FA79BB">
        <w:rPr>
          <w:rFonts w:ascii="Arial" w:hAnsi="Arial" w:cs="Arial"/>
          <w:b/>
          <w:bCs/>
          <w:sz w:val="22"/>
          <w:szCs w:val="22"/>
        </w:rPr>
        <w:t xml:space="preserve"> Preferred Policy Measures for EV Adoption</w:t>
      </w:r>
    </w:p>
    <w:p w14:paraId="765B1D3F" w14:textId="476296A0" w:rsidR="005C6F5F" w:rsidRPr="00630717"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A clear majority (82%) prioritized “more public charging stations” over financial incentives, education campaigns, research investment, or private partnerships. Chi-square analysis (x² = 361.20, df = 4, p &lt; 0.001) confirmed a statistically significant preference for infrastructure expansion. Public awareness and financial incentives were secondary concerns, highlighting the practical nature of adoption priorities.</w:t>
      </w:r>
      <w:r w:rsidR="00FF1625" w:rsidRPr="00630717">
        <w:rPr>
          <w:rFonts w:ascii="Arial" w:hAnsi="Arial" w:cs="Arial"/>
          <w:sz w:val="20"/>
          <w:szCs w:val="20"/>
        </w:rPr>
        <w:t xml:space="preserve"> Almost </w:t>
      </w:r>
      <w:r w:rsidR="00FF1625" w:rsidRPr="00630717">
        <w:rPr>
          <w:rFonts w:ascii="Arial" w:hAnsi="Arial" w:cs="Arial"/>
          <w:sz w:val="20"/>
          <w:szCs w:val="20"/>
        </w:rPr>
        <w:lastRenderedPageBreak/>
        <w:t xml:space="preserve">Myanmar people shall </w:t>
      </w:r>
      <w:proofErr w:type="gramStart"/>
      <w:r w:rsidR="00FF1625" w:rsidRPr="00630717">
        <w:rPr>
          <w:rFonts w:ascii="Arial" w:hAnsi="Arial" w:cs="Arial"/>
          <w:sz w:val="20"/>
          <w:szCs w:val="20"/>
        </w:rPr>
        <w:t>has</w:t>
      </w:r>
      <w:proofErr w:type="gramEnd"/>
      <w:r w:rsidR="00FF1625" w:rsidRPr="00630717">
        <w:rPr>
          <w:rFonts w:ascii="Arial" w:hAnsi="Arial" w:cs="Arial"/>
          <w:sz w:val="20"/>
          <w:szCs w:val="20"/>
        </w:rPr>
        <w:t xml:space="preserve"> to understand the benefits and energy saving cost by using EV cars instead of ICE cars.</w:t>
      </w:r>
    </w:p>
    <w:p w14:paraId="02738004" w14:textId="77777777" w:rsidR="007439B5" w:rsidRPr="00630717" w:rsidRDefault="007439B5" w:rsidP="00FA79BB">
      <w:pPr>
        <w:spacing w:after="0" w:line="240" w:lineRule="auto"/>
        <w:ind w:firstLine="720"/>
        <w:jc w:val="both"/>
        <w:rPr>
          <w:rFonts w:ascii="Arial" w:hAnsi="Arial" w:cs="Arial"/>
          <w:sz w:val="20"/>
          <w:szCs w:val="20"/>
        </w:rPr>
      </w:pPr>
    </w:p>
    <w:p w14:paraId="5A91A54C" w14:textId="1F7F8A5A"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4.7</w:t>
      </w:r>
      <w:r w:rsidR="008F498F" w:rsidRPr="00FA79BB">
        <w:rPr>
          <w:rFonts w:ascii="Arial" w:hAnsi="Arial" w:cs="Arial"/>
          <w:b/>
          <w:bCs/>
          <w:sz w:val="22"/>
          <w:szCs w:val="22"/>
        </w:rPr>
        <w:t>.</w:t>
      </w:r>
      <w:r w:rsidRPr="00FA79BB">
        <w:rPr>
          <w:rFonts w:ascii="Arial" w:hAnsi="Arial" w:cs="Arial"/>
          <w:b/>
          <w:bCs/>
          <w:sz w:val="22"/>
          <w:szCs w:val="22"/>
        </w:rPr>
        <w:t xml:space="preserve"> Factors Influencing EV Adoption</w:t>
      </w:r>
    </w:p>
    <w:p w14:paraId="200A4303" w14:textId="32C9B9F3" w:rsidR="005C6F5F" w:rsidRPr="00630717"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Multiple linear regression analysis identified three significant predictors of adoption. Satisfaction with charging infrastructure (β = 0.310, p = 0.004) positively influenced adoption. Government incentive awareness (β = 0.280, p = 0.001) also positively contributed. Concern over charging time (β = –0.180, p = 0.040) negatively affected adoption. These findings indicate that practical, tangible factors, particularly infrastructure availability and incentive awareness, drive adoption, whereas percei</w:t>
      </w:r>
      <w:r w:rsidR="005962C7" w:rsidRPr="00630717">
        <w:rPr>
          <w:rFonts w:ascii="Arial" w:hAnsi="Arial" w:cs="Arial"/>
          <w:sz w:val="20"/>
          <w:szCs w:val="20"/>
        </w:rPr>
        <w:t>ved inconvenience deters uptake,</w:t>
      </w:r>
      <w:r w:rsidR="00F826BE" w:rsidRPr="00630717">
        <w:rPr>
          <w:rFonts w:ascii="Arial" w:hAnsi="Arial" w:cs="Arial"/>
          <w:sz w:val="20"/>
          <w:szCs w:val="20"/>
        </w:rPr>
        <w:t xml:space="preserve"> </w:t>
      </w:r>
      <w:r w:rsidR="005962C7" w:rsidRPr="00630717">
        <w:rPr>
          <w:rFonts w:ascii="Arial" w:hAnsi="Arial" w:cs="Arial"/>
          <w:sz w:val="20"/>
          <w:szCs w:val="20"/>
        </w:rPr>
        <w:t>that</w:t>
      </w:r>
      <w:r w:rsidR="00F826BE" w:rsidRPr="00630717">
        <w:rPr>
          <w:rFonts w:ascii="Arial" w:hAnsi="Arial" w:cs="Arial"/>
          <w:sz w:val="20"/>
          <w:szCs w:val="20"/>
        </w:rPr>
        <w:t xml:space="preserve"> are as shown in Table (1)</w:t>
      </w:r>
      <w:r w:rsidR="005962C7" w:rsidRPr="00630717">
        <w:rPr>
          <w:rFonts w:ascii="Arial" w:hAnsi="Arial" w:cs="Arial"/>
          <w:sz w:val="20"/>
          <w:szCs w:val="20"/>
        </w:rPr>
        <w:t>.</w:t>
      </w:r>
    </w:p>
    <w:p w14:paraId="09598321" w14:textId="77777777" w:rsidR="00FA79BB" w:rsidRDefault="00FA79BB" w:rsidP="00FA79BB">
      <w:pPr>
        <w:spacing w:after="0" w:line="240" w:lineRule="auto"/>
        <w:jc w:val="center"/>
        <w:rPr>
          <w:rFonts w:ascii="Arial" w:hAnsi="Arial" w:cs="Arial"/>
          <w:b/>
          <w:bCs/>
          <w:color w:val="000000" w:themeColor="text1"/>
          <w:sz w:val="20"/>
          <w:szCs w:val="20"/>
        </w:rPr>
      </w:pPr>
    </w:p>
    <w:p w14:paraId="4FAB78D0" w14:textId="009191CC" w:rsidR="00F826BE" w:rsidRPr="00630717" w:rsidRDefault="00F826BE" w:rsidP="00FA79BB">
      <w:pPr>
        <w:spacing w:after="0" w:line="240" w:lineRule="auto"/>
        <w:jc w:val="center"/>
        <w:rPr>
          <w:rFonts w:ascii="Arial" w:hAnsi="Arial" w:cs="Arial"/>
          <w:b/>
          <w:bCs/>
          <w:color w:val="000000" w:themeColor="text1"/>
          <w:sz w:val="20"/>
          <w:szCs w:val="20"/>
          <w:cs/>
        </w:rPr>
      </w:pPr>
      <w:r w:rsidRPr="00630717">
        <w:rPr>
          <w:rFonts w:ascii="Arial" w:hAnsi="Arial" w:cs="Arial"/>
          <w:b/>
          <w:bCs/>
          <w:color w:val="000000" w:themeColor="text1"/>
          <w:sz w:val="20"/>
          <w:szCs w:val="20"/>
        </w:rPr>
        <w:t>Table (1) Factors Influencing EV Adoption</w:t>
      </w:r>
    </w:p>
    <w:tbl>
      <w:tblPr>
        <w:tblStyle w:val="TableGrid"/>
        <w:tblW w:w="7920" w:type="dxa"/>
        <w:tblInd w:w="108" w:type="dxa"/>
        <w:tblLook w:val="04A0" w:firstRow="1" w:lastRow="0" w:firstColumn="1" w:lastColumn="0" w:noHBand="0" w:noVBand="1"/>
      </w:tblPr>
      <w:tblGrid>
        <w:gridCol w:w="3870"/>
        <w:gridCol w:w="1980"/>
        <w:gridCol w:w="2070"/>
      </w:tblGrid>
      <w:tr w:rsidR="00F826BE" w:rsidRPr="00630717" w14:paraId="13B2B083" w14:textId="77777777" w:rsidTr="00FD4B39">
        <w:trPr>
          <w:trHeight w:val="593"/>
        </w:trPr>
        <w:tc>
          <w:tcPr>
            <w:tcW w:w="3870" w:type="dxa"/>
            <w:vAlign w:val="center"/>
          </w:tcPr>
          <w:p w14:paraId="0046A3B3" w14:textId="77777777" w:rsidR="00F826BE" w:rsidRPr="00630717" w:rsidRDefault="00F826BE" w:rsidP="00FA79BB">
            <w:pPr>
              <w:jc w:val="center"/>
              <w:rPr>
                <w:rFonts w:ascii="Arial" w:hAnsi="Arial" w:cs="Arial"/>
                <w:b/>
                <w:bCs/>
                <w:color w:val="000000" w:themeColor="text1"/>
                <w:sz w:val="20"/>
                <w:szCs w:val="20"/>
                <w:lang w:bidi="my-MM"/>
              </w:rPr>
            </w:pPr>
            <w:r w:rsidRPr="00630717">
              <w:rPr>
                <w:rFonts w:ascii="Arial" w:hAnsi="Arial" w:cs="Arial"/>
                <w:b/>
                <w:bCs/>
                <w:color w:val="000000" w:themeColor="text1"/>
                <w:sz w:val="20"/>
                <w:szCs w:val="20"/>
                <w:lang w:bidi="my-MM"/>
              </w:rPr>
              <w:t>Factors Influencing</w:t>
            </w:r>
          </w:p>
        </w:tc>
        <w:tc>
          <w:tcPr>
            <w:tcW w:w="1980" w:type="dxa"/>
            <w:vAlign w:val="center"/>
          </w:tcPr>
          <w:p w14:paraId="3102BF3A" w14:textId="77777777" w:rsidR="00F826BE" w:rsidRPr="00630717" w:rsidRDefault="00F826BE" w:rsidP="00FA79BB">
            <w:pPr>
              <w:jc w:val="center"/>
              <w:rPr>
                <w:rFonts w:ascii="Arial" w:hAnsi="Arial" w:cs="Arial"/>
                <w:b/>
                <w:bCs/>
                <w:color w:val="000000" w:themeColor="text1"/>
                <w:sz w:val="20"/>
                <w:szCs w:val="20"/>
              </w:rPr>
            </w:pPr>
            <w:r w:rsidRPr="00630717">
              <w:rPr>
                <w:rFonts w:ascii="Arial" w:hAnsi="Arial" w:cs="Arial"/>
                <w:b/>
                <w:bCs/>
                <w:color w:val="000000" w:themeColor="text1"/>
                <w:sz w:val="20"/>
                <w:szCs w:val="20"/>
              </w:rPr>
              <w:t xml:space="preserve">Standardized </w:t>
            </w:r>
          </w:p>
          <w:p w14:paraId="516EEC90" w14:textId="77777777" w:rsidR="00F826BE" w:rsidRPr="00630717" w:rsidRDefault="00F826BE" w:rsidP="00FA79BB">
            <w:pPr>
              <w:jc w:val="center"/>
              <w:rPr>
                <w:rFonts w:ascii="Arial" w:hAnsi="Arial" w:cs="Arial"/>
                <w:b/>
                <w:bCs/>
                <w:color w:val="000000" w:themeColor="text1"/>
                <w:sz w:val="20"/>
                <w:szCs w:val="20"/>
              </w:rPr>
            </w:pPr>
            <w:r w:rsidRPr="00630717">
              <w:rPr>
                <w:rFonts w:ascii="Arial" w:hAnsi="Arial" w:cs="Arial"/>
                <w:b/>
                <w:bCs/>
                <w:color w:val="000000" w:themeColor="text1"/>
                <w:sz w:val="20"/>
                <w:szCs w:val="20"/>
              </w:rPr>
              <w:t>Beta (β)</w:t>
            </w:r>
          </w:p>
        </w:tc>
        <w:tc>
          <w:tcPr>
            <w:tcW w:w="2070" w:type="dxa"/>
            <w:vAlign w:val="center"/>
          </w:tcPr>
          <w:p w14:paraId="27762608" w14:textId="77777777" w:rsidR="00F826BE" w:rsidRPr="00630717" w:rsidRDefault="00F826BE" w:rsidP="00FA79BB">
            <w:pPr>
              <w:jc w:val="center"/>
              <w:rPr>
                <w:rFonts w:ascii="Arial" w:hAnsi="Arial" w:cs="Arial"/>
                <w:b/>
                <w:bCs/>
                <w:color w:val="000000" w:themeColor="text1"/>
                <w:sz w:val="20"/>
                <w:szCs w:val="20"/>
              </w:rPr>
            </w:pPr>
            <w:r w:rsidRPr="00630717">
              <w:rPr>
                <w:rFonts w:ascii="Arial" w:hAnsi="Arial" w:cs="Arial"/>
                <w:b/>
                <w:bCs/>
                <w:color w:val="000000" w:themeColor="text1"/>
                <w:sz w:val="20"/>
                <w:szCs w:val="20"/>
              </w:rPr>
              <w:t xml:space="preserve">Significance </w:t>
            </w:r>
          </w:p>
          <w:p w14:paraId="7A9DD2F3" w14:textId="77777777" w:rsidR="00F826BE" w:rsidRPr="00630717" w:rsidRDefault="00F826BE" w:rsidP="00FA79BB">
            <w:pPr>
              <w:jc w:val="center"/>
              <w:rPr>
                <w:rFonts w:ascii="Arial" w:hAnsi="Arial" w:cs="Arial"/>
                <w:b/>
                <w:bCs/>
                <w:color w:val="000000" w:themeColor="text1"/>
                <w:sz w:val="20"/>
                <w:szCs w:val="20"/>
              </w:rPr>
            </w:pPr>
            <w:r w:rsidRPr="00630717">
              <w:rPr>
                <w:rFonts w:ascii="Arial" w:hAnsi="Arial" w:cs="Arial"/>
                <w:b/>
                <w:bCs/>
                <w:color w:val="000000" w:themeColor="text1"/>
                <w:sz w:val="20"/>
                <w:szCs w:val="20"/>
              </w:rPr>
              <w:t>(p-value)</w:t>
            </w:r>
          </w:p>
        </w:tc>
      </w:tr>
      <w:tr w:rsidR="00F826BE" w:rsidRPr="00630717" w14:paraId="18032E0B" w14:textId="77777777" w:rsidTr="00FD4B39">
        <w:tc>
          <w:tcPr>
            <w:tcW w:w="3870" w:type="dxa"/>
            <w:vAlign w:val="center"/>
          </w:tcPr>
          <w:p w14:paraId="492A4B5C" w14:textId="77777777" w:rsidR="00F826BE" w:rsidRPr="00630717" w:rsidRDefault="00F826BE" w:rsidP="00FA79BB">
            <w:pPr>
              <w:jc w:val="both"/>
              <w:rPr>
                <w:rFonts w:ascii="Arial" w:hAnsi="Arial" w:cs="Arial"/>
                <w:color w:val="000000" w:themeColor="text1"/>
                <w:sz w:val="20"/>
                <w:szCs w:val="20"/>
                <w:lang w:bidi="my-MM"/>
              </w:rPr>
            </w:pPr>
            <w:r w:rsidRPr="00630717">
              <w:rPr>
                <w:rFonts w:ascii="Arial" w:hAnsi="Arial" w:cs="Arial"/>
                <w:color w:val="000000" w:themeColor="text1"/>
                <w:sz w:val="20"/>
                <w:szCs w:val="20"/>
                <w:lang w:bidi="my-MM"/>
              </w:rPr>
              <w:t>Satisfaction with charging infrastructure</w:t>
            </w:r>
          </w:p>
        </w:tc>
        <w:tc>
          <w:tcPr>
            <w:tcW w:w="1980" w:type="dxa"/>
          </w:tcPr>
          <w:p w14:paraId="7699E3FB" w14:textId="77777777" w:rsidR="00F826BE" w:rsidRPr="00630717" w:rsidRDefault="00F826BE" w:rsidP="00FA79BB">
            <w:pPr>
              <w:jc w:val="center"/>
              <w:rPr>
                <w:rFonts w:ascii="Arial" w:hAnsi="Arial" w:cs="Arial"/>
                <w:color w:val="000000" w:themeColor="text1"/>
                <w:sz w:val="20"/>
                <w:szCs w:val="20"/>
                <w:lang w:bidi="my-MM"/>
              </w:rPr>
            </w:pPr>
            <w:r w:rsidRPr="00630717">
              <w:rPr>
                <w:rFonts w:ascii="Arial" w:hAnsi="Arial" w:cs="Arial"/>
                <w:color w:val="000000" w:themeColor="text1"/>
                <w:sz w:val="20"/>
                <w:szCs w:val="20"/>
                <w:lang w:bidi="my-MM"/>
              </w:rPr>
              <w:t>0.310</w:t>
            </w:r>
          </w:p>
        </w:tc>
        <w:tc>
          <w:tcPr>
            <w:tcW w:w="2070" w:type="dxa"/>
          </w:tcPr>
          <w:p w14:paraId="08CC130A" w14:textId="77777777" w:rsidR="00F826BE" w:rsidRPr="00630717" w:rsidRDefault="00F826BE" w:rsidP="00FA79BB">
            <w:pPr>
              <w:jc w:val="center"/>
              <w:rPr>
                <w:rFonts w:ascii="Arial" w:hAnsi="Arial" w:cs="Arial"/>
                <w:color w:val="000000" w:themeColor="text1"/>
                <w:sz w:val="20"/>
                <w:szCs w:val="20"/>
                <w:lang w:bidi="my-MM"/>
              </w:rPr>
            </w:pPr>
            <w:r w:rsidRPr="00630717">
              <w:rPr>
                <w:rFonts w:ascii="Arial" w:hAnsi="Arial" w:cs="Arial"/>
                <w:color w:val="000000" w:themeColor="text1"/>
                <w:sz w:val="20"/>
                <w:szCs w:val="20"/>
                <w:lang w:bidi="my-MM"/>
              </w:rPr>
              <w:t>0.004</w:t>
            </w:r>
          </w:p>
        </w:tc>
      </w:tr>
      <w:tr w:rsidR="00F826BE" w:rsidRPr="00630717" w14:paraId="4EFDABB6" w14:textId="77777777" w:rsidTr="00FD4B39">
        <w:tc>
          <w:tcPr>
            <w:tcW w:w="3870" w:type="dxa"/>
            <w:vAlign w:val="center"/>
          </w:tcPr>
          <w:p w14:paraId="4D0A1371" w14:textId="77777777" w:rsidR="00F826BE" w:rsidRPr="00630717" w:rsidRDefault="00F826BE" w:rsidP="00FA79BB">
            <w:pPr>
              <w:jc w:val="both"/>
              <w:rPr>
                <w:rFonts w:ascii="Arial" w:hAnsi="Arial" w:cs="Arial"/>
                <w:color w:val="000000" w:themeColor="text1"/>
                <w:sz w:val="20"/>
                <w:szCs w:val="20"/>
                <w:lang w:bidi="my-MM"/>
              </w:rPr>
            </w:pPr>
            <w:r w:rsidRPr="00630717">
              <w:rPr>
                <w:rFonts w:ascii="Arial" w:hAnsi="Arial" w:cs="Arial"/>
                <w:color w:val="000000" w:themeColor="text1"/>
                <w:sz w:val="20"/>
                <w:szCs w:val="20"/>
                <w:lang w:bidi="my-MM"/>
              </w:rPr>
              <w:t>Government incentives awareness</w:t>
            </w:r>
          </w:p>
        </w:tc>
        <w:tc>
          <w:tcPr>
            <w:tcW w:w="1980" w:type="dxa"/>
          </w:tcPr>
          <w:p w14:paraId="1698BFC7" w14:textId="77777777" w:rsidR="00F826BE" w:rsidRPr="00630717" w:rsidRDefault="00F826BE" w:rsidP="00FA79BB">
            <w:pPr>
              <w:jc w:val="center"/>
              <w:rPr>
                <w:rFonts w:ascii="Arial" w:hAnsi="Arial" w:cs="Arial"/>
                <w:color w:val="000000" w:themeColor="text1"/>
                <w:sz w:val="20"/>
                <w:szCs w:val="20"/>
                <w:lang w:bidi="my-MM"/>
              </w:rPr>
            </w:pPr>
            <w:r w:rsidRPr="00630717">
              <w:rPr>
                <w:rFonts w:ascii="Arial" w:hAnsi="Arial" w:cs="Arial"/>
                <w:color w:val="000000" w:themeColor="text1"/>
                <w:sz w:val="20"/>
                <w:szCs w:val="20"/>
                <w:lang w:bidi="my-MM"/>
              </w:rPr>
              <w:t>0.280</w:t>
            </w:r>
          </w:p>
        </w:tc>
        <w:tc>
          <w:tcPr>
            <w:tcW w:w="2070" w:type="dxa"/>
          </w:tcPr>
          <w:p w14:paraId="7D01F414" w14:textId="77777777" w:rsidR="00F826BE" w:rsidRPr="00630717" w:rsidRDefault="00F826BE" w:rsidP="00FA79BB">
            <w:pPr>
              <w:jc w:val="center"/>
              <w:rPr>
                <w:rFonts w:ascii="Arial" w:hAnsi="Arial" w:cs="Arial"/>
                <w:color w:val="000000" w:themeColor="text1"/>
                <w:sz w:val="20"/>
                <w:szCs w:val="20"/>
                <w:lang w:bidi="my-MM"/>
              </w:rPr>
            </w:pPr>
            <w:r w:rsidRPr="00630717">
              <w:rPr>
                <w:rFonts w:ascii="Arial" w:hAnsi="Arial" w:cs="Arial"/>
                <w:color w:val="000000" w:themeColor="text1"/>
                <w:sz w:val="20"/>
                <w:szCs w:val="20"/>
                <w:lang w:bidi="my-MM"/>
              </w:rPr>
              <w:t>0.001</w:t>
            </w:r>
          </w:p>
        </w:tc>
      </w:tr>
      <w:tr w:rsidR="00F826BE" w:rsidRPr="00630717" w14:paraId="7194E675" w14:textId="77777777" w:rsidTr="00FD4B39">
        <w:tc>
          <w:tcPr>
            <w:tcW w:w="3870" w:type="dxa"/>
            <w:vAlign w:val="center"/>
          </w:tcPr>
          <w:p w14:paraId="74B1361D" w14:textId="77777777" w:rsidR="00F826BE" w:rsidRPr="00630717" w:rsidRDefault="00F826BE" w:rsidP="00FA79BB">
            <w:pPr>
              <w:jc w:val="both"/>
              <w:rPr>
                <w:rFonts w:ascii="Arial" w:hAnsi="Arial" w:cs="Arial"/>
                <w:color w:val="000000" w:themeColor="text1"/>
                <w:sz w:val="20"/>
                <w:szCs w:val="20"/>
                <w:lang w:bidi="my-MM"/>
              </w:rPr>
            </w:pPr>
            <w:r w:rsidRPr="00630717">
              <w:rPr>
                <w:rFonts w:ascii="Arial" w:hAnsi="Arial" w:cs="Arial"/>
                <w:color w:val="000000" w:themeColor="text1"/>
                <w:sz w:val="20"/>
                <w:szCs w:val="20"/>
                <w:lang w:bidi="my-MM"/>
              </w:rPr>
              <w:t>Concern over charging time</w:t>
            </w:r>
          </w:p>
        </w:tc>
        <w:tc>
          <w:tcPr>
            <w:tcW w:w="1980" w:type="dxa"/>
          </w:tcPr>
          <w:p w14:paraId="4D75DDF0" w14:textId="77777777" w:rsidR="00F826BE" w:rsidRPr="00630717" w:rsidRDefault="00F826BE" w:rsidP="00FA79BB">
            <w:pPr>
              <w:jc w:val="center"/>
              <w:rPr>
                <w:rFonts w:ascii="Arial" w:hAnsi="Arial" w:cs="Arial"/>
                <w:color w:val="000000" w:themeColor="text1"/>
                <w:sz w:val="20"/>
                <w:szCs w:val="20"/>
                <w:lang w:bidi="my-MM"/>
              </w:rPr>
            </w:pPr>
            <w:r w:rsidRPr="00630717">
              <w:rPr>
                <w:rFonts w:ascii="Arial" w:hAnsi="Arial" w:cs="Arial"/>
                <w:color w:val="000000" w:themeColor="text1"/>
                <w:sz w:val="20"/>
                <w:szCs w:val="20"/>
                <w:lang w:bidi="my-MM"/>
              </w:rPr>
              <w:t>– 0.180</w:t>
            </w:r>
          </w:p>
        </w:tc>
        <w:tc>
          <w:tcPr>
            <w:tcW w:w="2070" w:type="dxa"/>
          </w:tcPr>
          <w:p w14:paraId="3DD00D24" w14:textId="77777777" w:rsidR="00F826BE" w:rsidRPr="00630717" w:rsidRDefault="00F826BE" w:rsidP="00FA79BB">
            <w:pPr>
              <w:jc w:val="center"/>
              <w:rPr>
                <w:rFonts w:ascii="Arial" w:hAnsi="Arial" w:cs="Arial"/>
                <w:color w:val="000000" w:themeColor="text1"/>
                <w:sz w:val="20"/>
                <w:szCs w:val="20"/>
                <w:lang w:bidi="my-MM"/>
              </w:rPr>
            </w:pPr>
            <w:r w:rsidRPr="00630717">
              <w:rPr>
                <w:rFonts w:ascii="Arial" w:hAnsi="Arial" w:cs="Arial"/>
                <w:color w:val="000000" w:themeColor="text1"/>
                <w:sz w:val="20"/>
                <w:szCs w:val="20"/>
                <w:lang w:bidi="my-MM"/>
              </w:rPr>
              <w:t>0.040</w:t>
            </w:r>
          </w:p>
        </w:tc>
      </w:tr>
    </w:tbl>
    <w:p w14:paraId="590CCDC6" w14:textId="77777777" w:rsidR="007913EE" w:rsidRPr="00630717" w:rsidRDefault="007913EE" w:rsidP="00FA79BB">
      <w:pPr>
        <w:spacing w:after="0" w:line="240" w:lineRule="auto"/>
        <w:jc w:val="both"/>
        <w:rPr>
          <w:rFonts w:ascii="Arial" w:hAnsi="Arial" w:cs="Arial"/>
          <w:b/>
          <w:bCs/>
          <w:sz w:val="20"/>
          <w:szCs w:val="20"/>
        </w:rPr>
      </w:pPr>
    </w:p>
    <w:p w14:paraId="545BDA5D" w14:textId="77777777" w:rsidR="00E560D6" w:rsidRDefault="00E560D6" w:rsidP="00FA79BB">
      <w:pPr>
        <w:spacing w:after="0" w:line="240" w:lineRule="auto"/>
        <w:jc w:val="both"/>
        <w:rPr>
          <w:rFonts w:ascii="Arial" w:hAnsi="Arial" w:cs="Arial"/>
          <w:b/>
          <w:bCs/>
          <w:sz w:val="20"/>
          <w:szCs w:val="20"/>
        </w:rPr>
      </w:pPr>
    </w:p>
    <w:p w14:paraId="59BEDA38" w14:textId="350C01FF" w:rsidR="005C6F5F" w:rsidRPr="00FA79BB" w:rsidRDefault="005C6F5F" w:rsidP="00FA79BB">
      <w:pPr>
        <w:spacing w:after="0" w:line="240" w:lineRule="auto"/>
        <w:jc w:val="both"/>
        <w:rPr>
          <w:rFonts w:ascii="Arial" w:hAnsi="Arial" w:cs="Arial"/>
          <w:b/>
          <w:bCs/>
          <w:sz w:val="22"/>
          <w:szCs w:val="22"/>
        </w:rPr>
      </w:pPr>
      <w:r w:rsidRPr="00FA79BB">
        <w:rPr>
          <w:rFonts w:ascii="Arial" w:hAnsi="Arial" w:cs="Arial"/>
          <w:b/>
          <w:bCs/>
          <w:sz w:val="22"/>
          <w:szCs w:val="22"/>
        </w:rPr>
        <w:t>4.8</w:t>
      </w:r>
      <w:r w:rsidR="008F498F" w:rsidRPr="00FA79BB">
        <w:rPr>
          <w:rFonts w:ascii="Arial" w:hAnsi="Arial" w:cs="Arial"/>
          <w:b/>
          <w:bCs/>
          <w:sz w:val="22"/>
          <w:szCs w:val="22"/>
        </w:rPr>
        <w:t>.</w:t>
      </w:r>
      <w:r w:rsidRPr="00FA79BB">
        <w:rPr>
          <w:rFonts w:ascii="Arial" w:hAnsi="Arial" w:cs="Arial"/>
          <w:b/>
          <w:bCs/>
          <w:sz w:val="22"/>
          <w:szCs w:val="22"/>
        </w:rPr>
        <w:t xml:space="preserve"> Discussion </w:t>
      </w:r>
    </w:p>
    <w:p w14:paraId="510B380C" w14:textId="77777777" w:rsidR="005C6F5F" w:rsidRPr="00630717" w:rsidRDefault="005C6F5F" w:rsidP="00FA79BB">
      <w:pPr>
        <w:spacing w:after="0" w:line="240" w:lineRule="auto"/>
        <w:jc w:val="both"/>
        <w:rPr>
          <w:rFonts w:ascii="Arial" w:hAnsi="Arial" w:cs="Arial"/>
          <w:sz w:val="20"/>
          <w:szCs w:val="20"/>
        </w:rPr>
      </w:pPr>
      <w:r w:rsidRPr="00630717">
        <w:rPr>
          <w:rFonts w:ascii="Arial" w:hAnsi="Arial" w:cs="Arial"/>
          <w:sz w:val="20"/>
          <w:szCs w:val="20"/>
        </w:rPr>
        <w:tab/>
        <w:t>The findings demonstrate that EV adoption in Myanmar is shaped primarily by infrastructural and informational factors rather than environmental concern or technological enthusiasm. Satisfaction with charging infrastructure emerged as the strongest predictor, highlighting the critical need for a reliable and accessible network. Investment in public charging stations, especially in suburban areas, would directly address user concerns and reduce adoption barriers.</w:t>
      </w:r>
    </w:p>
    <w:p w14:paraId="3671F2F6" w14:textId="77777777" w:rsidR="005C6F5F" w:rsidRPr="00630717"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Awareness of government incentives also significantly influenced adoption, underscoring the importance of effective communication and outreach campaigns. Financial incentives are unlikely to succeed in isolation without clear, accessible information that reaches potential users across different education and occupational strata.</w:t>
      </w:r>
    </w:p>
    <w:p w14:paraId="4C828F99" w14:textId="77777777" w:rsidR="005C6F5F" w:rsidRPr="00630717" w:rsidRDefault="005C6F5F" w:rsidP="00FA79BB">
      <w:pPr>
        <w:spacing w:after="0" w:line="240" w:lineRule="auto"/>
        <w:ind w:firstLine="720"/>
        <w:jc w:val="both"/>
        <w:rPr>
          <w:rFonts w:ascii="Arial" w:hAnsi="Arial" w:cs="Arial"/>
          <w:sz w:val="20"/>
          <w:szCs w:val="20"/>
        </w:rPr>
      </w:pPr>
      <w:r w:rsidRPr="00630717">
        <w:rPr>
          <w:rFonts w:ascii="Arial" w:hAnsi="Arial" w:cs="Arial"/>
          <w:sz w:val="20"/>
          <w:szCs w:val="20"/>
        </w:rPr>
        <w:t>Concerns over charging time negatively impacted adoption, emphasizing the need for fast-charging solutions, strategic station placement, and mobile applications to guide users and reduce perceived waiting times. Interestingly, environmental concerns and technological confidence were not significant drivers, suggesting that in Myanmar, practical and immediate benefits resonate more strongly than ideological motivations.</w:t>
      </w:r>
    </w:p>
    <w:p w14:paraId="339AEB3C" w14:textId="77777777" w:rsidR="00F826BE" w:rsidRPr="00630717" w:rsidRDefault="00F826BE" w:rsidP="00FA79BB">
      <w:pPr>
        <w:spacing w:after="0" w:line="240" w:lineRule="auto"/>
        <w:ind w:firstLine="720"/>
        <w:jc w:val="both"/>
        <w:rPr>
          <w:rFonts w:ascii="Arial" w:hAnsi="Arial" w:cs="Arial"/>
          <w:sz w:val="20"/>
          <w:szCs w:val="20"/>
        </w:rPr>
      </w:pPr>
    </w:p>
    <w:p w14:paraId="7298C3FA" w14:textId="69CF34FF" w:rsidR="005C6F5F" w:rsidRPr="00FA79BB" w:rsidRDefault="00F826BE" w:rsidP="00FA79BB">
      <w:pPr>
        <w:spacing w:after="0" w:line="240" w:lineRule="auto"/>
        <w:jc w:val="both"/>
        <w:rPr>
          <w:rFonts w:ascii="Arial" w:hAnsi="Arial" w:cs="Arial"/>
          <w:b/>
          <w:bCs/>
          <w:sz w:val="22"/>
          <w:szCs w:val="22"/>
        </w:rPr>
      </w:pPr>
      <w:r w:rsidRPr="00FA79BB">
        <w:rPr>
          <w:rFonts w:ascii="Arial" w:hAnsi="Arial" w:cs="Arial"/>
          <w:b/>
          <w:bCs/>
          <w:sz w:val="22"/>
          <w:szCs w:val="22"/>
        </w:rPr>
        <w:t>5</w:t>
      </w:r>
      <w:r w:rsidR="003067B4" w:rsidRPr="00FA79BB">
        <w:rPr>
          <w:rFonts w:ascii="Arial" w:hAnsi="Arial" w:cs="Arial"/>
          <w:b/>
          <w:bCs/>
          <w:sz w:val="22"/>
          <w:szCs w:val="22"/>
        </w:rPr>
        <w:t>. Conclusion and Recommendations</w:t>
      </w:r>
    </w:p>
    <w:p w14:paraId="4CE36D9A" w14:textId="040FA6E5" w:rsidR="003067B4" w:rsidRPr="00630717" w:rsidRDefault="003067B4" w:rsidP="00FA79BB">
      <w:pPr>
        <w:spacing w:after="0" w:line="240" w:lineRule="auto"/>
        <w:ind w:firstLine="720"/>
        <w:jc w:val="both"/>
        <w:rPr>
          <w:rFonts w:ascii="Arial" w:hAnsi="Arial" w:cs="Arial"/>
          <w:sz w:val="20"/>
          <w:szCs w:val="20"/>
        </w:rPr>
      </w:pPr>
      <w:r w:rsidRPr="00630717">
        <w:rPr>
          <w:rFonts w:ascii="Arial" w:hAnsi="Arial" w:cs="Arial"/>
          <w:sz w:val="20"/>
          <w:szCs w:val="20"/>
        </w:rPr>
        <w:t>This study provides empirical evidence on the factors influencing EV adoption in Myanmar and highlights the critical role of infrastructure and government incentives. Practical considerations, such as the availability of charging stations and awareness of financial support, outweigh ideological motivations in shaping adoption behavior. Addressing infrastructure gaps, reducing charging time barriers, and effectively communicating incentive programs can accelerate EV uptake. Policymakers and private stakeholders must focus on these tangible interventions to achieve a sustainable energy transition, enhance urban mobility, and foster broader environmental and economic benefits.</w:t>
      </w:r>
    </w:p>
    <w:p w14:paraId="06722052" w14:textId="7607640B" w:rsidR="003067B4" w:rsidRPr="00630717" w:rsidRDefault="003067B4" w:rsidP="00FA79BB">
      <w:pPr>
        <w:spacing w:after="0" w:line="240" w:lineRule="auto"/>
        <w:ind w:firstLine="720"/>
        <w:jc w:val="both"/>
        <w:rPr>
          <w:rFonts w:ascii="Arial" w:hAnsi="Arial" w:cs="Arial"/>
          <w:sz w:val="20"/>
          <w:szCs w:val="20"/>
        </w:rPr>
      </w:pPr>
      <w:r w:rsidRPr="00630717">
        <w:rPr>
          <w:rFonts w:ascii="Arial" w:hAnsi="Arial" w:cs="Arial"/>
          <w:sz w:val="20"/>
          <w:szCs w:val="20"/>
        </w:rPr>
        <w:t>The study highlights several actionable policy recommendations for accelerating EV adoption in Myanmar,</w:t>
      </w:r>
    </w:p>
    <w:p w14:paraId="634E9D30" w14:textId="77777777" w:rsidR="003067B4" w:rsidRPr="00630717" w:rsidRDefault="003067B4" w:rsidP="00FA79BB">
      <w:pPr>
        <w:numPr>
          <w:ilvl w:val="0"/>
          <w:numId w:val="3"/>
        </w:numPr>
        <w:spacing w:after="0" w:line="240" w:lineRule="auto"/>
        <w:jc w:val="both"/>
        <w:rPr>
          <w:rFonts w:ascii="Arial" w:hAnsi="Arial" w:cs="Arial"/>
          <w:sz w:val="20"/>
          <w:szCs w:val="20"/>
        </w:rPr>
      </w:pPr>
      <w:r w:rsidRPr="00630717">
        <w:rPr>
          <w:rFonts w:ascii="Arial" w:hAnsi="Arial" w:cs="Arial"/>
          <w:sz w:val="20"/>
          <w:szCs w:val="20"/>
        </w:rPr>
        <w:t>Expand Charging Infrastructure: Prioritize the construction of public charging stations in urban, suburban, and peri-urban areas. Include fast-charging options and ensure reliable electricity supply.</w:t>
      </w:r>
    </w:p>
    <w:p w14:paraId="59F12B81" w14:textId="00908F24" w:rsidR="003067B4" w:rsidRPr="00630717" w:rsidRDefault="003067B4" w:rsidP="00FA79BB">
      <w:pPr>
        <w:numPr>
          <w:ilvl w:val="0"/>
          <w:numId w:val="3"/>
        </w:numPr>
        <w:spacing w:after="0" w:line="240" w:lineRule="auto"/>
        <w:jc w:val="both"/>
        <w:rPr>
          <w:rFonts w:ascii="Arial" w:hAnsi="Arial" w:cs="Arial"/>
          <w:sz w:val="20"/>
          <w:szCs w:val="20"/>
        </w:rPr>
      </w:pPr>
      <w:r w:rsidRPr="00630717">
        <w:rPr>
          <w:rFonts w:ascii="Arial" w:hAnsi="Arial" w:cs="Arial"/>
          <w:sz w:val="20"/>
          <w:szCs w:val="20"/>
        </w:rPr>
        <w:t xml:space="preserve">Enhance Incentive Awareness: Develop targeted campaigns, leveraging media, dealerships, and local authorities to increase public knowledge of </w:t>
      </w:r>
      <w:r w:rsidR="004C425B" w:rsidRPr="00630717">
        <w:rPr>
          <w:rFonts w:ascii="Arial" w:hAnsi="Arial" w:cs="Arial"/>
          <w:sz w:val="20"/>
          <w:szCs w:val="20"/>
        </w:rPr>
        <w:t xml:space="preserve">available government incentives for new charging point implementation work and to promote the number of EV car using in their each region. </w:t>
      </w:r>
    </w:p>
    <w:p w14:paraId="141ED160" w14:textId="77777777" w:rsidR="003067B4" w:rsidRPr="00630717" w:rsidRDefault="003067B4" w:rsidP="00FA79BB">
      <w:pPr>
        <w:numPr>
          <w:ilvl w:val="0"/>
          <w:numId w:val="3"/>
        </w:numPr>
        <w:spacing w:after="0" w:line="240" w:lineRule="auto"/>
        <w:jc w:val="both"/>
        <w:rPr>
          <w:rFonts w:ascii="Arial" w:hAnsi="Arial" w:cs="Arial"/>
          <w:sz w:val="20"/>
          <w:szCs w:val="20"/>
        </w:rPr>
      </w:pPr>
      <w:r w:rsidRPr="00630717">
        <w:rPr>
          <w:rFonts w:ascii="Arial" w:hAnsi="Arial" w:cs="Arial"/>
          <w:sz w:val="20"/>
          <w:szCs w:val="20"/>
        </w:rPr>
        <w:lastRenderedPageBreak/>
        <w:t>Address Charging Time Concerns: Introduce mobile apps and signage to inform users of station availability and expected charging durations. Implement fast-charging hubs at high-traffic locations.</w:t>
      </w:r>
    </w:p>
    <w:p w14:paraId="7D531DB9" w14:textId="77777777" w:rsidR="003067B4" w:rsidRPr="00630717" w:rsidRDefault="003067B4" w:rsidP="00FA79BB">
      <w:pPr>
        <w:numPr>
          <w:ilvl w:val="0"/>
          <w:numId w:val="3"/>
        </w:numPr>
        <w:spacing w:after="0" w:line="240" w:lineRule="auto"/>
        <w:jc w:val="both"/>
        <w:rPr>
          <w:rFonts w:ascii="Arial" w:hAnsi="Arial" w:cs="Arial"/>
          <w:sz w:val="20"/>
          <w:szCs w:val="20"/>
        </w:rPr>
      </w:pPr>
      <w:r w:rsidRPr="00630717">
        <w:rPr>
          <w:rFonts w:ascii="Arial" w:hAnsi="Arial" w:cs="Arial"/>
          <w:sz w:val="20"/>
          <w:szCs w:val="20"/>
        </w:rPr>
        <w:t>Contextualize Messaging: Emphasize practical benefits of EVs, such as fuel savings, energy independence, and local air quality improvement, rather than global environmental impacts.</w:t>
      </w:r>
    </w:p>
    <w:p w14:paraId="4B549F8C" w14:textId="4DC8E6BD" w:rsidR="007F3ABB" w:rsidRPr="00630717" w:rsidRDefault="007F3ABB" w:rsidP="00FA79BB">
      <w:pPr>
        <w:numPr>
          <w:ilvl w:val="0"/>
          <w:numId w:val="3"/>
        </w:numPr>
        <w:spacing w:after="0" w:line="240" w:lineRule="auto"/>
        <w:jc w:val="both"/>
        <w:rPr>
          <w:rFonts w:ascii="Arial" w:hAnsi="Arial" w:cs="Arial"/>
          <w:sz w:val="20"/>
          <w:szCs w:val="20"/>
        </w:rPr>
      </w:pPr>
      <w:r w:rsidRPr="00630717">
        <w:rPr>
          <w:rFonts w:ascii="Arial" w:hAnsi="Arial" w:cs="Arial"/>
          <w:sz w:val="20"/>
          <w:szCs w:val="20"/>
        </w:rPr>
        <w:t>Integrate basic knowledge about Renewable Energy Vehicles (REVs), starting from basic education level, such as their environmental and energy-saving benefits, into the primary school curriculum to raise early awareness and support future sustainable mobility adoption.</w:t>
      </w:r>
    </w:p>
    <w:p w14:paraId="44D00E67" w14:textId="1B61BE4C" w:rsidR="004C425B" w:rsidRPr="00630717" w:rsidRDefault="004C425B" w:rsidP="00FA79BB">
      <w:pPr>
        <w:numPr>
          <w:ilvl w:val="0"/>
          <w:numId w:val="3"/>
        </w:numPr>
        <w:spacing w:after="0" w:line="240" w:lineRule="auto"/>
        <w:jc w:val="both"/>
        <w:rPr>
          <w:rFonts w:ascii="Arial" w:hAnsi="Arial" w:cs="Arial"/>
          <w:sz w:val="20"/>
          <w:szCs w:val="20"/>
        </w:rPr>
      </w:pPr>
      <w:r w:rsidRPr="00630717">
        <w:rPr>
          <w:rFonts w:ascii="Arial" w:hAnsi="Arial" w:cs="Arial"/>
          <w:sz w:val="20"/>
          <w:szCs w:val="20"/>
        </w:rPr>
        <w:t>To be needed implementation of charging station Level 2(7kw) , Level2(22)kW and DC fast charger (60kW) at universities, regional hospitals and all public hospitals and all government office places within 2026FY. Non EV driver will have to consider to replace EVs instead of their ICE car when they see those closed charging station in town.</w:t>
      </w:r>
    </w:p>
    <w:p w14:paraId="78A837D7" w14:textId="77777777" w:rsidR="003067B4" w:rsidRPr="00630717" w:rsidRDefault="003067B4" w:rsidP="00FA79BB">
      <w:pPr>
        <w:spacing w:after="0" w:line="240" w:lineRule="auto"/>
        <w:ind w:left="720"/>
        <w:jc w:val="both"/>
        <w:rPr>
          <w:rFonts w:ascii="Arial" w:hAnsi="Arial" w:cs="Arial"/>
          <w:sz w:val="20"/>
          <w:szCs w:val="20"/>
        </w:rPr>
      </w:pPr>
      <w:r w:rsidRPr="00630717">
        <w:rPr>
          <w:rFonts w:ascii="Arial" w:hAnsi="Arial" w:cs="Arial"/>
          <w:sz w:val="20"/>
          <w:szCs w:val="20"/>
        </w:rPr>
        <w:t>These strategies can increase consumer confidence, improve convenience, and facilitate a smoother transition toward electric mobility.</w:t>
      </w:r>
    </w:p>
    <w:p w14:paraId="50D2074E" w14:textId="77777777" w:rsidR="003067B4" w:rsidRPr="00630717" w:rsidRDefault="003067B4" w:rsidP="00FA79BB">
      <w:pPr>
        <w:spacing w:after="0" w:line="240" w:lineRule="auto"/>
        <w:jc w:val="both"/>
        <w:rPr>
          <w:rFonts w:ascii="Arial" w:hAnsi="Arial" w:cs="Arial"/>
          <w:sz w:val="20"/>
          <w:szCs w:val="20"/>
        </w:rPr>
      </w:pPr>
    </w:p>
    <w:p w14:paraId="52132BA1" w14:textId="77777777" w:rsidR="008226C2" w:rsidRPr="00630717" w:rsidRDefault="008226C2" w:rsidP="00FA79BB">
      <w:pPr>
        <w:spacing w:after="0" w:line="240" w:lineRule="auto"/>
        <w:jc w:val="both"/>
        <w:rPr>
          <w:rFonts w:ascii="Arial" w:hAnsi="Arial" w:cs="Arial"/>
          <w:b/>
          <w:bCs/>
          <w:sz w:val="20"/>
          <w:szCs w:val="20"/>
        </w:rPr>
      </w:pPr>
    </w:p>
    <w:p w14:paraId="579A0DD7" w14:textId="04F72477" w:rsidR="003067B4" w:rsidRPr="00FA79BB" w:rsidRDefault="003067B4" w:rsidP="00FA79BB">
      <w:pPr>
        <w:spacing w:after="0" w:line="240" w:lineRule="auto"/>
        <w:jc w:val="both"/>
        <w:rPr>
          <w:rFonts w:ascii="Arial" w:hAnsi="Arial" w:cs="Arial"/>
          <w:b/>
          <w:bCs/>
          <w:sz w:val="22"/>
          <w:szCs w:val="22"/>
        </w:rPr>
      </w:pPr>
      <w:r w:rsidRPr="00FA79BB">
        <w:rPr>
          <w:rFonts w:ascii="Arial" w:hAnsi="Arial" w:cs="Arial"/>
          <w:b/>
          <w:bCs/>
          <w:sz w:val="22"/>
          <w:szCs w:val="22"/>
        </w:rPr>
        <w:t>References</w:t>
      </w:r>
    </w:p>
    <w:p w14:paraId="6B62BB4B" w14:textId="7F6445CD"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Adnan, N., Nordin, S. M., Amini, M. H., &amp; </w:t>
      </w:r>
      <w:proofErr w:type="spellStart"/>
      <w:r w:rsidRPr="00CF7556">
        <w:rPr>
          <w:rFonts w:ascii="Arial" w:hAnsi="Arial" w:cs="Arial"/>
          <w:sz w:val="20"/>
          <w:szCs w:val="20"/>
        </w:rPr>
        <w:t>Langove</w:t>
      </w:r>
      <w:proofErr w:type="spellEnd"/>
      <w:r w:rsidRPr="00CF7556">
        <w:rPr>
          <w:rFonts w:ascii="Arial" w:hAnsi="Arial" w:cs="Arial"/>
          <w:sz w:val="20"/>
          <w:szCs w:val="20"/>
        </w:rPr>
        <w:t xml:space="preserve">, N. (2018). What make consumer sign up to PHEVs? Predicting Malaysian consumer behavior in adoption of PHEVs. Transportation Research Part A: Policy and Practice, 113, 259-278. </w:t>
      </w:r>
      <w:r w:rsidRPr="00B24FD1">
        <w:rPr>
          <w:rFonts w:ascii="Arial" w:hAnsi="Arial" w:cs="Arial"/>
          <w:sz w:val="20"/>
          <w:szCs w:val="20"/>
        </w:rPr>
        <w:t>https://doi.org/10.1016/j.tra.2018.04.007</w:t>
      </w:r>
    </w:p>
    <w:p w14:paraId="45B814C5" w14:textId="5C89B66F"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Adnan, N., Nordin, S. M., Amini, M. H., &amp; </w:t>
      </w:r>
      <w:proofErr w:type="spellStart"/>
      <w:r w:rsidRPr="00CF7556">
        <w:rPr>
          <w:rFonts w:ascii="Arial" w:hAnsi="Arial" w:cs="Arial"/>
          <w:sz w:val="20"/>
          <w:szCs w:val="20"/>
        </w:rPr>
        <w:t>Langove</w:t>
      </w:r>
      <w:proofErr w:type="spellEnd"/>
      <w:r w:rsidRPr="00CF7556">
        <w:rPr>
          <w:rFonts w:ascii="Arial" w:hAnsi="Arial" w:cs="Arial"/>
          <w:sz w:val="20"/>
          <w:szCs w:val="20"/>
        </w:rPr>
        <w:t>, N., 2018. What make consumer sign up to PHEVs? Predicting Malaysian consumer behavior in adoption of PHEVs. Transportation Research Part A: Policy and Practice, 113, 259-278</w:t>
      </w:r>
    </w:p>
    <w:p w14:paraId="4201B264" w14:textId="762A26D6"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Aung, T., &amp; Thein, P. (2022). Challenges and opportunities of electric vehicle adoption in Myanmar: A consumer perspective. </w:t>
      </w:r>
      <w:r w:rsidRPr="00CF7556">
        <w:rPr>
          <w:rFonts w:ascii="Arial" w:hAnsi="Arial" w:cs="Arial"/>
          <w:i/>
          <w:iCs/>
          <w:sz w:val="20"/>
          <w:szCs w:val="20"/>
        </w:rPr>
        <w:t>Asian Journal of Sustainable Transport</w:t>
      </w:r>
      <w:r w:rsidRPr="00CF7556">
        <w:rPr>
          <w:rFonts w:ascii="Arial" w:hAnsi="Arial" w:cs="Arial"/>
          <w:sz w:val="20"/>
          <w:szCs w:val="20"/>
        </w:rPr>
        <w:t>, 6(1), 15–29</w:t>
      </w:r>
    </w:p>
    <w:p w14:paraId="785C5BA9" w14:textId="68702D5A"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Bakker, S., Maat, K., &amp; van Wee, B. (2020). Consumer preferences for electric vehicles: An analysis of behavioral factors. </w:t>
      </w:r>
      <w:r w:rsidRPr="00CF7556">
        <w:rPr>
          <w:rFonts w:ascii="Arial" w:hAnsi="Arial" w:cs="Arial"/>
          <w:i/>
          <w:iCs/>
          <w:sz w:val="20"/>
          <w:szCs w:val="20"/>
        </w:rPr>
        <w:t>Transportation Research Part D: Transport and Environment</w:t>
      </w:r>
      <w:r w:rsidRPr="00CF7556">
        <w:rPr>
          <w:rFonts w:ascii="Arial" w:hAnsi="Arial" w:cs="Arial"/>
          <w:sz w:val="20"/>
          <w:szCs w:val="20"/>
        </w:rPr>
        <w:t>, 85, 102395</w:t>
      </w:r>
    </w:p>
    <w:p w14:paraId="0A355530" w14:textId="7B99EAE8"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Global New Light of Myanmar. (2023). Global New Light of Myanmar. </w:t>
      </w:r>
      <w:r w:rsidRPr="00B24FD1">
        <w:rPr>
          <w:rFonts w:ascii="Arial" w:hAnsi="Arial" w:cs="Arial"/>
          <w:sz w:val="20"/>
          <w:szCs w:val="20"/>
        </w:rPr>
        <w:t>https://www.gnlm.com.mm</w:t>
      </w:r>
    </w:p>
    <w:p w14:paraId="3B11D067" w14:textId="42D0F4C6"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Gnann, T., </w:t>
      </w:r>
      <w:proofErr w:type="spellStart"/>
      <w:r w:rsidRPr="00CF7556">
        <w:rPr>
          <w:rFonts w:ascii="Arial" w:hAnsi="Arial" w:cs="Arial"/>
          <w:sz w:val="20"/>
          <w:szCs w:val="20"/>
        </w:rPr>
        <w:t>Plötz</w:t>
      </w:r>
      <w:proofErr w:type="spellEnd"/>
      <w:r w:rsidRPr="00CF7556">
        <w:rPr>
          <w:rFonts w:ascii="Arial" w:hAnsi="Arial" w:cs="Arial"/>
          <w:sz w:val="20"/>
          <w:szCs w:val="20"/>
        </w:rPr>
        <w:t xml:space="preserve">, P., &amp; </w:t>
      </w:r>
      <w:proofErr w:type="spellStart"/>
      <w:r w:rsidRPr="00CF7556">
        <w:rPr>
          <w:rFonts w:ascii="Arial" w:hAnsi="Arial" w:cs="Arial"/>
          <w:sz w:val="20"/>
          <w:szCs w:val="20"/>
        </w:rPr>
        <w:t>Wietschel</w:t>
      </w:r>
      <w:proofErr w:type="spellEnd"/>
      <w:r w:rsidRPr="00CF7556">
        <w:rPr>
          <w:rFonts w:ascii="Arial" w:hAnsi="Arial" w:cs="Arial"/>
          <w:sz w:val="20"/>
          <w:szCs w:val="20"/>
        </w:rPr>
        <w:t xml:space="preserve">, M. (2020). Modelling consumer response to electric vehicle incentives. </w:t>
      </w:r>
      <w:r w:rsidRPr="00CF7556">
        <w:rPr>
          <w:rFonts w:ascii="Arial" w:hAnsi="Arial" w:cs="Arial"/>
          <w:i/>
          <w:iCs/>
          <w:sz w:val="20"/>
          <w:szCs w:val="20"/>
        </w:rPr>
        <w:t>Energy Policy</w:t>
      </w:r>
      <w:r w:rsidRPr="00CF7556">
        <w:rPr>
          <w:rFonts w:ascii="Arial" w:hAnsi="Arial" w:cs="Arial"/>
          <w:sz w:val="20"/>
          <w:szCs w:val="20"/>
        </w:rPr>
        <w:t>, 138, 111238</w:t>
      </w:r>
    </w:p>
    <w:p w14:paraId="3574E193" w14:textId="654B366E"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IBM Corp. (2015). </w:t>
      </w:r>
      <w:r w:rsidRPr="00CF7556">
        <w:rPr>
          <w:rFonts w:ascii="Arial" w:hAnsi="Arial" w:cs="Arial"/>
          <w:i/>
          <w:iCs/>
          <w:sz w:val="20"/>
          <w:szCs w:val="20"/>
        </w:rPr>
        <w:t>IBM SPSS Statistics for Windows, Version 23.0</w:t>
      </w:r>
      <w:r w:rsidRPr="00CF7556">
        <w:rPr>
          <w:rFonts w:ascii="Arial" w:hAnsi="Arial" w:cs="Arial"/>
          <w:sz w:val="20"/>
          <w:szCs w:val="20"/>
        </w:rPr>
        <w:t>. IBM Corp</w:t>
      </w:r>
    </w:p>
    <w:p w14:paraId="5FFE9C4B" w14:textId="7CC49181"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International Energy Agency. (2018, October). Transport. </w:t>
      </w:r>
      <w:r w:rsidR="00067F6C" w:rsidRPr="00067F6C">
        <w:rPr>
          <w:rFonts w:ascii="Arial" w:hAnsi="Arial" w:cs="Arial"/>
          <w:sz w:val="20"/>
          <w:szCs w:val="20"/>
        </w:rPr>
        <w:t>https://www.iea.org/</w:t>
      </w:r>
      <w:r w:rsidR="00067F6C">
        <w:rPr>
          <w:rFonts w:ascii="Arial" w:hAnsi="Arial" w:cs="Arial"/>
          <w:sz w:val="20"/>
          <w:szCs w:val="20"/>
        </w:rPr>
        <w:t xml:space="preserve"> </w:t>
      </w:r>
      <w:r w:rsidRPr="00B24FD1">
        <w:rPr>
          <w:rFonts w:ascii="Arial" w:hAnsi="Arial" w:cs="Arial"/>
          <w:sz w:val="20"/>
          <w:szCs w:val="20"/>
        </w:rPr>
        <w:t>reports/renewables-2018</w:t>
      </w:r>
    </w:p>
    <w:p w14:paraId="45BEC58F" w14:textId="11740663"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Jaiswal, D., Deshmukh, A. K., &amp; </w:t>
      </w:r>
      <w:proofErr w:type="spellStart"/>
      <w:r w:rsidRPr="00CF7556">
        <w:rPr>
          <w:rFonts w:ascii="Arial" w:hAnsi="Arial" w:cs="Arial"/>
          <w:sz w:val="20"/>
          <w:szCs w:val="20"/>
        </w:rPr>
        <w:t>Thaichon</w:t>
      </w:r>
      <w:proofErr w:type="spellEnd"/>
      <w:r w:rsidRPr="00CF7556">
        <w:rPr>
          <w:rFonts w:ascii="Arial" w:hAnsi="Arial" w:cs="Arial"/>
          <w:sz w:val="20"/>
          <w:szCs w:val="20"/>
        </w:rPr>
        <w:t>, P., 2022. Who will adopt electric vehicles? Segmenting and exemplifying potential buyer heterogeneity and forthcoming research. Journal of Retailing and Consumer Services, 67, 102969</w:t>
      </w:r>
    </w:p>
    <w:p w14:paraId="42ADD065" w14:textId="2B25B113"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Khan, M., </w:t>
      </w:r>
      <w:proofErr w:type="spellStart"/>
      <w:r w:rsidRPr="00CF7556">
        <w:rPr>
          <w:rFonts w:ascii="Arial" w:hAnsi="Arial" w:cs="Arial"/>
          <w:sz w:val="20"/>
          <w:szCs w:val="20"/>
        </w:rPr>
        <w:t>Etminani-Ghasrodashti</w:t>
      </w:r>
      <w:proofErr w:type="spellEnd"/>
      <w:r w:rsidRPr="00CF7556">
        <w:rPr>
          <w:rFonts w:ascii="Arial" w:hAnsi="Arial" w:cs="Arial"/>
          <w:sz w:val="20"/>
          <w:szCs w:val="20"/>
        </w:rPr>
        <w:t xml:space="preserve">, R., </w:t>
      </w:r>
      <w:proofErr w:type="spellStart"/>
      <w:r w:rsidRPr="00CF7556">
        <w:rPr>
          <w:rFonts w:ascii="Arial" w:hAnsi="Arial" w:cs="Arial"/>
          <w:sz w:val="20"/>
          <w:szCs w:val="20"/>
        </w:rPr>
        <w:t>Kermanshachi</w:t>
      </w:r>
      <w:proofErr w:type="spellEnd"/>
      <w:r w:rsidRPr="00CF7556">
        <w:rPr>
          <w:rFonts w:ascii="Arial" w:hAnsi="Arial" w:cs="Arial"/>
          <w:sz w:val="20"/>
          <w:szCs w:val="20"/>
        </w:rPr>
        <w:t>, S., Rosenberger, J.M. and Foss, A., 2022. Identifying Usage of Shared Autonomous Vehicles (SAVs): Early Findings from a Pilot Project. In Transportation Research Board 101st Annual Meeting Washington, DC</w:t>
      </w:r>
    </w:p>
    <w:p w14:paraId="21209D8B" w14:textId="035EF528" w:rsid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Li, J., Zhang, X., &amp; Yang, Y. (2021). Factors affecting electric vehicle adoption: Evidence from emerging markets. </w:t>
      </w:r>
      <w:r w:rsidRPr="00CF7556">
        <w:rPr>
          <w:rFonts w:ascii="Arial" w:hAnsi="Arial" w:cs="Arial"/>
          <w:i/>
          <w:iCs/>
          <w:sz w:val="20"/>
          <w:szCs w:val="20"/>
        </w:rPr>
        <w:t>Journal of Cleaner Production</w:t>
      </w:r>
      <w:r w:rsidRPr="00CF7556">
        <w:rPr>
          <w:rFonts w:ascii="Arial" w:hAnsi="Arial" w:cs="Arial"/>
          <w:sz w:val="20"/>
          <w:szCs w:val="20"/>
        </w:rPr>
        <w:t>, 315, 128109</w:t>
      </w:r>
    </w:p>
    <w:p w14:paraId="6CEFAE36" w14:textId="77777777" w:rsidR="00492E2B" w:rsidRPr="00CF7556" w:rsidRDefault="00492E2B" w:rsidP="00CF7556">
      <w:pPr>
        <w:spacing w:after="0" w:line="240" w:lineRule="auto"/>
        <w:ind w:left="1080" w:hanging="720"/>
        <w:jc w:val="both"/>
        <w:rPr>
          <w:rFonts w:ascii="Arial" w:hAnsi="Arial" w:cs="Arial"/>
          <w:sz w:val="20"/>
          <w:szCs w:val="20"/>
        </w:rPr>
      </w:pPr>
    </w:p>
    <w:p w14:paraId="7B4891B8" w14:textId="41FB2DAD"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Melton, N., </w:t>
      </w:r>
      <w:proofErr w:type="spellStart"/>
      <w:r w:rsidRPr="00CF7556">
        <w:rPr>
          <w:rFonts w:ascii="Arial" w:hAnsi="Arial" w:cs="Arial"/>
          <w:sz w:val="20"/>
          <w:szCs w:val="20"/>
        </w:rPr>
        <w:t>Axsen</w:t>
      </w:r>
      <w:proofErr w:type="spellEnd"/>
      <w:r w:rsidRPr="00CF7556">
        <w:rPr>
          <w:rFonts w:ascii="Arial" w:hAnsi="Arial" w:cs="Arial"/>
          <w:sz w:val="20"/>
          <w:szCs w:val="20"/>
        </w:rPr>
        <w:t>, J., &amp; Goldberg, S., 2017. Evaluating plug-in electric vehicle policies in the context of long-term greenhouse gas reduction goals: Comparing 10 Canadian provinces using the “PEV policy report card”. Energy Policy, 107, 381-393</w:t>
      </w:r>
    </w:p>
    <w:p w14:paraId="2A0B30D6" w14:textId="5C141A97"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Oo, N. Z., Wider, W., Jiang, L., </w:t>
      </w:r>
      <w:proofErr w:type="spellStart"/>
      <w:r w:rsidRPr="00CF7556">
        <w:rPr>
          <w:rFonts w:ascii="Arial" w:hAnsi="Arial" w:cs="Arial"/>
          <w:sz w:val="20"/>
          <w:szCs w:val="20"/>
        </w:rPr>
        <w:t>Tanucan</w:t>
      </w:r>
      <w:proofErr w:type="spellEnd"/>
      <w:r w:rsidRPr="00CF7556">
        <w:rPr>
          <w:rFonts w:ascii="Arial" w:hAnsi="Arial" w:cs="Arial"/>
          <w:sz w:val="20"/>
          <w:szCs w:val="20"/>
        </w:rPr>
        <w:t xml:space="preserve">, J. C. M., Santos, J. M., Arokiasamy, A. R. A., &amp; Deng, P. (2025). Driving the Future: Strategic Imperatives and </w:t>
      </w:r>
      <w:r w:rsidRPr="00CF7556">
        <w:rPr>
          <w:rFonts w:ascii="Arial" w:hAnsi="Arial" w:cs="Arial"/>
          <w:sz w:val="20"/>
          <w:szCs w:val="20"/>
        </w:rPr>
        <w:lastRenderedPageBreak/>
        <w:t>Systemic Challenges in Myanmar’s Transition to Electric Mobility. </w:t>
      </w:r>
      <w:r w:rsidRPr="00CF7556">
        <w:rPr>
          <w:rFonts w:ascii="Arial" w:hAnsi="Arial" w:cs="Arial"/>
          <w:i/>
          <w:iCs/>
          <w:sz w:val="20"/>
          <w:szCs w:val="20"/>
        </w:rPr>
        <w:t>World Electric Vehicle Journal</w:t>
      </w:r>
      <w:r w:rsidRPr="00CF7556">
        <w:rPr>
          <w:rFonts w:ascii="Arial" w:hAnsi="Arial" w:cs="Arial"/>
          <w:sz w:val="20"/>
          <w:szCs w:val="20"/>
        </w:rPr>
        <w:t>, </w:t>
      </w:r>
      <w:r w:rsidRPr="00CF7556">
        <w:rPr>
          <w:rFonts w:ascii="Arial" w:hAnsi="Arial" w:cs="Arial"/>
          <w:i/>
          <w:iCs/>
          <w:sz w:val="20"/>
          <w:szCs w:val="20"/>
        </w:rPr>
        <w:t>16</w:t>
      </w:r>
      <w:r w:rsidRPr="00CF7556">
        <w:rPr>
          <w:rFonts w:ascii="Arial" w:hAnsi="Arial" w:cs="Arial"/>
          <w:sz w:val="20"/>
          <w:szCs w:val="20"/>
        </w:rPr>
        <w:t>(7), 348</w:t>
      </w:r>
    </w:p>
    <w:p w14:paraId="0A5D584A" w14:textId="0A4CFD68"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Patel, R. K., </w:t>
      </w:r>
      <w:proofErr w:type="spellStart"/>
      <w:r w:rsidRPr="00CF7556">
        <w:rPr>
          <w:rFonts w:ascii="Arial" w:hAnsi="Arial" w:cs="Arial"/>
          <w:sz w:val="20"/>
          <w:szCs w:val="20"/>
        </w:rPr>
        <w:t>Etminani-Ghasrodashti</w:t>
      </w:r>
      <w:proofErr w:type="spellEnd"/>
      <w:r w:rsidRPr="00CF7556">
        <w:rPr>
          <w:rFonts w:ascii="Arial" w:hAnsi="Arial" w:cs="Arial"/>
          <w:sz w:val="20"/>
          <w:szCs w:val="20"/>
        </w:rPr>
        <w:t xml:space="preserve">, R., </w:t>
      </w:r>
      <w:proofErr w:type="spellStart"/>
      <w:r w:rsidRPr="00CF7556">
        <w:rPr>
          <w:rFonts w:ascii="Arial" w:hAnsi="Arial" w:cs="Arial"/>
          <w:sz w:val="20"/>
          <w:szCs w:val="20"/>
        </w:rPr>
        <w:t>Kermanshachi</w:t>
      </w:r>
      <w:proofErr w:type="spellEnd"/>
      <w:r w:rsidRPr="00CF7556">
        <w:rPr>
          <w:rFonts w:ascii="Arial" w:hAnsi="Arial" w:cs="Arial"/>
          <w:sz w:val="20"/>
          <w:szCs w:val="20"/>
        </w:rPr>
        <w:t xml:space="preserve">, S., Rosenberger, J. M., </w:t>
      </w:r>
      <w:proofErr w:type="spellStart"/>
      <w:r w:rsidRPr="00CF7556">
        <w:rPr>
          <w:rFonts w:ascii="Arial" w:hAnsi="Arial" w:cs="Arial"/>
          <w:sz w:val="20"/>
          <w:szCs w:val="20"/>
        </w:rPr>
        <w:t>Pamidimukkala</w:t>
      </w:r>
      <w:proofErr w:type="spellEnd"/>
      <w:r w:rsidRPr="00CF7556">
        <w:rPr>
          <w:rFonts w:ascii="Arial" w:hAnsi="Arial" w:cs="Arial"/>
          <w:sz w:val="20"/>
          <w:szCs w:val="20"/>
        </w:rPr>
        <w:t>, A., &amp; Foss, A., 2023. Identifying individuals’ perceptions, attitudes, preferences, and concerns of shared autonomous vehicles: During-and post-implementation evidence. Transportation Research Interdisciplinary Perspectives, 18, 100785</w:t>
      </w:r>
    </w:p>
    <w:p w14:paraId="3A10BA7E" w14:textId="46A23D7F" w:rsidR="00CF7556" w:rsidRPr="00CF7556" w:rsidRDefault="00CF7556" w:rsidP="00CF7556">
      <w:pPr>
        <w:spacing w:after="0" w:line="240" w:lineRule="auto"/>
        <w:ind w:left="1080" w:hanging="720"/>
        <w:jc w:val="both"/>
        <w:rPr>
          <w:rFonts w:ascii="Arial" w:hAnsi="Arial" w:cs="Arial"/>
          <w:sz w:val="20"/>
          <w:szCs w:val="20"/>
        </w:rPr>
      </w:pPr>
      <w:proofErr w:type="spellStart"/>
      <w:r w:rsidRPr="00CF7556">
        <w:rPr>
          <w:rFonts w:ascii="Arial" w:hAnsi="Arial" w:cs="Arial"/>
          <w:sz w:val="20"/>
          <w:szCs w:val="20"/>
        </w:rPr>
        <w:t>Toolib</w:t>
      </w:r>
      <w:proofErr w:type="spellEnd"/>
      <w:r w:rsidRPr="00CF7556">
        <w:rPr>
          <w:rFonts w:ascii="Arial" w:hAnsi="Arial" w:cs="Arial"/>
          <w:sz w:val="20"/>
          <w:szCs w:val="20"/>
        </w:rPr>
        <w:t xml:space="preserve">, S. N., Wan Hanafi, W. N., Daud, S., &amp; </w:t>
      </w:r>
      <w:proofErr w:type="spellStart"/>
      <w:r w:rsidRPr="00CF7556">
        <w:rPr>
          <w:rFonts w:ascii="Arial" w:hAnsi="Arial" w:cs="Arial"/>
          <w:sz w:val="20"/>
          <w:szCs w:val="20"/>
        </w:rPr>
        <w:t>Afsarizal</w:t>
      </w:r>
      <w:proofErr w:type="spellEnd"/>
      <w:r w:rsidRPr="00CF7556">
        <w:rPr>
          <w:rFonts w:ascii="Arial" w:hAnsi="Arial" w:cs="Arial"/>
          <w:sz w:val="20"/>
          <w:szCs w:val="20"/>
        </w:rPr>
        <w:t>, H. A. (2023). Factors influencing electric vehicle adoption: A conceptual paper. </w:t>
      </w:r>
      <w:r w:rsidRPr="00CF7556">
        <w:rPr>
          <w:rFonts w:ascii="Arial" w:hAnsi="Arial" w:cs="Arial"/>
          <w:i/>
          <w:iCs/>
          <w:sz w:val="20"/>
          <w:szCs w:val="20"/>
        </w:rPr>
        <w:t>European Proceedings of Finance and Economics</w:t>
      </w:r>
    </w:p>
    <w:p w14:paraId="2ECF42AD" w14:textId="3BA47AAD"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Tu, J.-C., &amp; Yang, C. (2019). Key factors influencing consumers’ purchase of electric vehicles. Sustainability, 11(14), 3863. </w:t>
      </w:r>
      <w:r w:rsidRPr="00B24FD1">
        <w:rPr>
          <w:rFonts w:ascii="Arial" w:hAnsi="Arial" w:cs="Arial"/>
          <w:sz w:val="20"/>
          <w:szCs w:val="20"/>
        </w:rPr>
        <w:t>https://doi.org/10.3390/su11143863</w:t>
      </w:r>
    </w:p>
    <w:p w14:paraId="603DA496" w14:textId="61B8C54D"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World Bank. Myanmar Infrastructure Monitoring: Energy Sector; Report No. P177540. Available online: https://documents1 .worldbank.org/curated/en/099045104062298290/pdf/P177540085ed880ca098230031387b28dd2.pdf (accessed on 5 April 2025)</w:t>
      </w:r>
    </w:p>
    <w:p w14:paraId="37E0021B" w14:textId="08761615"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color w:val="222222"/>
          <w:sz w:val="20"/>
          <w:szCs w:val="20"/>
          <w:shd w:val="clear" w:color="auto" w:fill="FFFFFF"/>
        </w:rPr>
        <w:t xml:space="preserve">Zaino, R., Ahmed, V., Alhammadi, A. M., &amp; </w:t>
      </w:r>
      <w:proofErr w:type="spellStart"/>
      <w:r w:rsidRPr="00CF7556">
        <w:rPr>
          <w:rFonts w:ascii="Arial" w:hAnsi="Arial" w:cs="Arial"/>
          <w:color w:val="222222"/>
          <w:sz w:val="20"/>
          <w:szCs w:val="20"/>
          <w:shd w:val="clear" w:color="auto" w:fill="FFFFFF"/>
        </w:rPr>
        <w:t>Alghoush</w:t>
      </w:r>
      <w:proofErr w:type="spellEnd"/>
      <w:r w:rsidRPr="00CF7556">
        <w:rPr>
          <w:rFonts w:ascii="Arial" w:hAnsi="Arial" w:cs="Arial"/>
          <w:color w:val="222222"/>
          <w:sz w:val="20"/>
          <w:szCs w:val="20"/>
          <w:shd w:val="clear" w:color="auto" w:fill="FFFFFF"/>
        </w:rPr>
        <w:t>, M. (2024). Electric vehicle adoption: A comprehensive systematic review of technological, environmental, organizational and policy impacts. </w:t>
      </w:r>
      <w:r w:rsidRPr="00CF7556">
        <w:rPr>
          <w:rFonts w:ascii="Arial" w:hAnsi="Arial" w:cs="Arial"/>
          <w:i/>
          <w:iCs/>
          <w:color w:val="222222"/>
          <w:sz w:val="20"/>
          <w:szCs w:val="20"/>
          <w:shd w:val="clear" w:color="auto" w:fill="FFFFFF"/>
        </w:rPr>
        <w:t>World electric vehicle journal</w:t>
      </w:r>
      <w:r w:rsidRPr="00CF7556">
        <w:rPr>
          <w:rFonts w:ascii="Arial" w:hAnsi="Arial" w:cs="Arial"/>
          <w:color w:val="222222"/>
          <w:sz w:val="20"/>
          <w:szCs w:val="20"/>
          <w:shd w:val="clear" w:color="auto" w:fill="FFFFFF"/>
        </w:rPr>
        <w:t>, </w:t>
      </w:r>
      <w:r w:rsidRPr="00CF7556">
        <w:rPr>
          <w:rFonts w:ascii="Arial" w:hAnsi="Arial" w:cs="Arial"/>
          <w:i/>
          <w:iCs/>
          <w:color w:val="222222"/>
          <w:sz w:val="20"/>
          <w:szCs w:val="20"/>
          <w:shd w:val="clear" w:color="auto" w:fill="FFFFFF"/>
        </w:rPr>
        <w:t>15</w:t>
      </w:r>
      <w:r w:rsidRPr="00CF7556">
        <w:rPr>
          <w:rFonts w:ascii="Arial" w:hAnsi="Arial" w:cs="Arial"/>
          <w:color w:val="222222"/>
          <w:sz w:val="20"/>
          <w:szCs w:val="20"/>
          <w:shd w:val="clear" w:color="auto" w:fill="FFFFFF"/>
        </w:rPr>
        <w:t>(8), 375</w:t>
      </w:r>
    </w:p>
    <w:p w14:paraId="27BDAA11" w14:textId="48C044F5" w:rsidR="00CF7556" w:rsidRPr="00CF7556" w:rsidRDefault="00067F6C" w:rsidP="00CF7556">
      <w:pPr>
        <w:spacing w:after="0" w:line="240" w:lineRule="auto"/>
        <w:ind w:left="1080" w:hanging="720"/>
        <w:jc w:val="both"/>
        <w:rPr>
          <w:rFonts w:ascii="Arial" w:hAnsi="Arial" w:cs="Arial"/>
          <w:sz w:val="20"/>
          <w:szCs w:val="20"/>
        </w:rPr>
      </w:pPr>
      <w:proofErr w:type="spellStart"/>
      <w:r>
        <w:rPr>
          <w:rFonts w:ascii="Arial" w:hAnsi="Arial" w:cs="Arial"/>
          <w:sz w:val="20"/>
          <w:szCs w:val="20"/>
        </w:rPr>
        <w:t>Zaw</w:t>
      </w:r>
      <w:proofErr w:type="spellEnd"/>
      <w:r>
        <w:rPr>
          <w:rFonts w:ascii="Arial" w:hAnsi="Arial" w:cs="Arial"/>
          <w:sz w:val="20"/>
          <w:szCs w:val="20"/>
        </w:rPr>
        <w:t xml:space="preserve">, </w:t>
      </w:r>
      <w:proofErr w:type="gramStart"/>
      <w:r>
        <w:rPr>
          <w:rFonts w:ascii="Arial" w:hAnsi="Arial" w:cs="Arial"/>
          <w:sz w:val="20"/>
          <w:szCs w:val="20"/>
        </w:rPr>
        <w:t>M.,</w:t>
      </w:r>
      <w:proofErr w:type="spellStart"/>
      <w:r w:rsidR="00CF7556" w:rsidRPr="00CF7556">
        <w:rPr>
          <w:rFonts w:ascii="Arial" w:hAnsi="Arial" w:cs="Arial"/>
          <w:sz w:val="20"/>
          <w:szCs w:val="20"/>
        </w:rPr>
        <w:t>Htun</w:t>
      </w:r>
      <w:proofErr w:type="spellEnd"/>
      <w:proofErr w:type="gramEnd"/>
      <w:r w:rsidR="00CF7556" w:rsidRPr="00CF7556">
        <w:rPr>
          <w:rFonts w:ascii="Arial" w:hAnsi="Arial" w:cs="Arial"/>
          <w:sz w:val="20"/>
          <w:szCs w:val="20"/>
        </w:rPr>
        <w:t xml:space="preserve">, T., &amp; Kyaw, A. (2020). Electric vehicle adoption in Myanmar: Exploring perceptions and barriers. </w:t>
      </w:r>
      <w:r w:rsidR="00CF7556" w:rsidRPr="00CF7556">
        <w:rPr>
          <w:rFonts w:ascii="Arial" w:hAnsi="Arial" w:cs="Arial"/>
          <w:i/>
          <w:iCs/>
          <w:sz w:val="20"/>
          <w:szCs w:val="20"/>
        </w:rPr>
        <w:t>Energy Reports</w:t>
      </w:r>
      <w:r w:rsidR="00CF7556" w:rsidRPr="00CF7556">
        <w:rPr>
          <w:rFonts w:ascii="Arial" w:hAnsi="Arial" w:cs="Arial"/>
          <w:sz w:val="20"/>
          <w:szCs w:val="20"/>
        </w:rPr>
        <w:t>, 6, 117–128</w:t>
      </w:r>
    </w:p>
    <w:p w14:paraId="32320300" w14:textId="77777777"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Zhang, L., Wang, H., &amp; Liu, S. (2022). Understanding EV adoption behavior: The role of charging convenience. </w:t>
      </w:r>
      <w:r w:rsidRPr="00CF7556">
        <w:rPr>
          <w:rFonts w:ascii="Arial" w:hAnsi="Arial" w:cs="Arial"/>
          <w:i/>
          <w:iCs/>
          <w:sz w:val="20"/>
          <w:szCs w:val="20"/>
        </w:rPr>
        <w:t>Sustainable Cities and Society</w:t>
      </w:r>
      <w:r w:rsidRPr="00CF7556">
        <w:rPr>
          <w:rFonts w:ascii="Arial" w:hAnsi="Arial" w:cs="Arial"/>
          <w:sz w:val="20"/>
          <w:szCs w:val="20"/>
        </w:rPr>
        <w:t xml:space="preserve">, 80, 103798. </w:t>
      </w:r>
    </w:p>
    <w:p w14:paraId="43A9F303" w14:textId="4EB2BB06" w:rsidR="00CF7556" w:rsidRPr="00CF7556" w:rsidRDefault="00CF7556" w:rsidP="00CF7556">
      <w:pPr>
        <w:spacing w:after="0" w:line="240" w:lineRule="auto"/>
        <w:ind w:left="1080" w:hanging="720"/>
        <w:jc w:val="both"/>
        <w:rPr>
          <w:rFonts w:ascii="Arial" w:hAnsi="Arial" w:cs="Arial"/>
          <w:sz w:val="20"/>
          <w:szCs w:val="20"/>
        </w:rPr>
      </w:pPr>
      <w:r w:rsidRPr="00CF7556">
        <w:rPr>
          <w:rFonts w:ascii="Arial" w:hAnsi="Arial" w:cs="Arial"/>
          <w:sz w:val="20"/>
          <w:szCs w:val="20"/>
        </w:rPr>
        <w:t xml:space="preserve">Zhang, Q., Li, H., Zhu, L., Campana, P. E., Lu, H., Wallin, F., &amp; Sun, Q. (2018). Factors influencing the economics of public charging infrastructures for EV–A review. Renewable and Sustainable Energy Reviews, 94, 500-509. </w:t>
      </w:r>
      <w:r w:rsidRPr="007A3A86">
        <w:rPr>
          <w:rFonts w:ascii="Arial" w:hAnsi="Arial" w:cs="Arial"/>
          <w:sz w:val="20"/>
          <w:szCs w:val="20"/>
        </w:rPr>
        <w:t>https://doi.org/10.1016/j.rser.2018.06.022</w:t>
      </w:r>
    </w:p>
    <w:sectPr w:rsidR="00CF7556" w:rsidRPr="00CF7556" w:rsidSect="006B25B8">
      <w:headerReference w:type="even" r:id="rId9"/>
      <w:headerReference w:type="default" r:id="rId10"/>
      <w:footerReference w:type="even" r:id="rId11"/>
      <w:footerReference w:type="default" r:id="rId12"/>
      <w:headerReference w:type="first" r:id="rId13"/>
      <w:footerReference w:type="first" r:id="rId14"/>
      <w:pgSz w:w="11909" w:h="16834" w:code="9"/>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68DD5" w14:textId="77777777" w:rsidR="006A3B30" w:rsidRDefault="006A3B30" w:rsidP="001B22D5">
      <w:pPr>
        <w:spacing w:after="0" w:line="240" w:lineRule="auto"/>
      </w:pPr>
      <w:r>
        <w:separator/>
      </w:r>
    </w:p>
  </w:endnote>
  <w:endnote w:type="continuationSeparator" w:id="0">
    <w:p w14:paraId="1F2A8CC7" w14:textId="77777777" w:rsidR="006A3B30" w:rsidRDefault="006A3B30" w:rsidP="001B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BDD3" w14:textId="77777777" w:rsidR="004D3C2E" w:rsidRDefault="004D3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1FE0" w14:textId="4C460281" w:rsidR="00E033DA" w:rsidRPr="00E033DA" w:rsidRDefault="00E033DA" w:rsidP="00E033DA">
    <w:pPr>
      <w:spacing w:after="0" w:line="360" w:lineRule="auto"/>
      <w:jc w:val="both"/>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AE63" w14:textId="77777777" w:rsidR="004D3C2E" w:rsidRDefault="004D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7CFB6" w14:textId="77777777" w:rsidR="006A3B30" w:rsidRDefault="006A3B30" w:rsidP="001B22D5">
      <w:pPr>
        <w:spacing w:after="0" w:line="240" w:lineRule="auto"/>
      </w:pPr>
      <w:r>
        <w:separator/>
      </w:r>
    </w:p>
  </w:footnote>
  <w:footnote w:type="continuationSeparator" w:id="0">
    <w:p w14:paraId="20F3B85A" w14:textId="77777777" w:rsidR="006A3B30" w:rsidRDefault="006A3B30" w:rsidP="001B2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532A" w14:textId="00B2C163" w:rsidR="004D3C2E" w:rsidRDefault="002842EF">
    <w:pPr>
      <w:pStyle w:val="Header"/>
    </w:pPr>
    <w:r>
      <w:rPr>
        <w:noProof/>
      </w:rPr>
      <w:pict w14:anchorId="2EDA1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89876" o:spid="_x0000_s2050" type="#_x0000_t136" style="position:absolute;margin-left:0;margin-top:0;width:499.75pt;height:55.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5020" w14:textId="508D5D49" w:rsidR="001B22D5" w:rsidRPr="001B22D5" w:rsidRDefault="002842EF">
    <w:pPr>
      <w:pStyle w:val="Header"/>
      <w:jc w:val="center"/>
      <w:rPr>
        <w:rFonts w:ascii="Times New Roman" w:hAnsi="Times New Roman" w:cs="Times New Roman"/>
        <w:sz w:val="22"/>
        <w:szCs w:val="22"/>
      </w:rPr>
    </w:pPr>
    <w:r>
      <w:rPr>
        <w:noProof/>
      </w:rPr>
      <w:pict w14:anchorId="4E529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89877" o:spid="_x0000_s2051" type="#_x0000_t136" style="position:absolute;left:0;text-align:left;margin-left:0;margin-top:0;width:499.75pt;height:55.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sdt>
      <w:sdtPr>
        <w:id w:val="-1641261976"/>
        <w:docPartObj>
          <w:docPartGallery w:val="Page Numbers (Top of Page)"/>
          <w:docPartUnique/>
        </w:docPartObj>
      </w:sdtPr>
      <w:sdtEndPr>
        <w:rPr>
          <w:rFonts w:ascii="Times New Roman" w:hAnsi="Times New Roman" w:cs="Times New Roman"/>
          <w:noProof/>
          <w:sz w:val="22"/>
          <w:szCs w:val="22"/>
        </w:rPr>
      </w:sdtEndPr>
      <w:sdtContent>
        <w:r w:rsidR="001B22D5" w:rsidRPr="001B22D5">
          <w:rPr>
            <w:rFonts w:ascii="Times New Roman" w:hAnsi="Times New Roman" w:cs="Times New Roman"/>
            <w:sz w:val="22"/>
            <w:szCs w:val="22"/>
          </w:rPr>
          <w:fldChar w:fldCharType="begin"/>
        </w:r>
        <w:r w:rsidR="001B22D5" w:rsidRPr="001B22D5">
          <w:rPr>
            <w:rFonts w:ascii="Times New Roman" w:hAnsi="Times New Roman" w:cs="Times New Roman"/>
            <w:sz w:val="22"/>
            <w:szCs w:val="22"/>
          </w:rPr>
          <w:instrText xml:space="preserve"> PAGE   \* MERGEFORMAT </w:instrText>
        </w:r>
        <w:r w:rsidR="001B22D5" w:rsidRPr="001B22D5">
          <w:rPr>
            <w:rFonts w:ascii="Times New Roman" w:hAnsi="Times New Roman" w:cs="Times New Roman"/>
            <w:sz w:val="22"/>
            <w:szCs w:val="22"/>
          </w:rPr>
          <w:fldChar w:fldCharType="separate"/>
        </w:r>
        <w:r w:rsidR="00A87367">
          <w:rPr>
            <w:rFonts w:ascii="Times New Roman" w:hAnsi="Times New Roman" w:cs="Times New Roman"/>
            <w:noProof/>
            <w:sz w:val="22"/>
            <w:szCs w:val="22"/>
          </w:rPr>
          <w:t>8</w:t>
        </w:r>
        <w:r w:rsidR="001B22D5" w:rsidRPr="001B22D5">
          <w:rPr>
            <w:rFonts w:ascii="Times New Roman" w:hAnsi="Times New Roman" w:cs="Times New Roman"/>
            <w:noProof/>
            <w:sz w:val="22"/>
            <w:szCs w:val="22"/>
          </w:rPr>
          <w:fldChar w:fldCharType="end"/>
        </w:r>
      </w:sdtContent>
    </w:sdt>
  </w:p>
  <w:p w14:paraId="720133D0" w14:textId="77777777" w:rsidR="001B22D5" w:rsidRDefault="001B2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E566" w14:textId="5AE2563B" w:rsidR="004D3C2E" w:rsidRDefault="002842EF">
    <w:pPr>
      <w:pStyle w:val="Header"/>
    </w:pPr>
    <w:r>
      <w:rPr>
        <w:noProof/>
      </w:rPr>
      <w:pict w14:anchorId="2082F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389875" o:spid="_x0000_s2049" type="#_x0000_t136" style="position:absolute;margin-left:0;margin-top:0;width:499.75pt;height:55.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374"/>
    <w:multiLevelType w:val="multilevel"/>
    <w:tmpl w:val="A42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A7C07"/>
    <w:multiLevelType w:val="multilevel"/>
    <w:tmpl w:val="D8FA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F7034"/>
    <w:multiLevelType w:val="hybridMultilevel"/>
    <w:tmpl w:val="A094C3A4"/>
    <w:lvl w:ilvl="0" w:tplc="5B38F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0107D"/>
    <w:multiLevelType w:val="multilevel"/>
    <w:tmpl w:val="99086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8D3811"/>
    <w:multiLevelType w:val="multilevel"/>
    <w:tmpl w:val="6C34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F5F"/>
    <w:rsid w:val="000017F4"/>
    <w:rsid w:val="0001030F"/>
    <w:rsid w:val="000103B5"/>
    <w:rsid w:val="00044289"/>
    <w:rsid w:val="00067F6C"/>
    <w:rsid w:val="00083411"/>
    <w:rsid w:val="000871EC"/>
    <w:rsid w:val="000E2E08"/>
    <w:rsid w:val="000F391E"/>
    <w:rsid w:val="0010289E"/>
    <w:rsid w:val="00110B73"/>
    <w:rsid w:val="00126930"/>
    <w:rsid w:val="0013212C"/>
    <w:rsid w:val="001B22D5"/>
    <w:rsid w:val="001B49A8"/>
    <w:rsid w:val="00204250"/>
    <w:rsid w:val="00212261"/>
    <w:rsid w:val="002168CC"/>
    <w:rsid w:val="00223293"/>
    <w:rsid w:val="00260F8B"/>
    <w:rsid w:val="00262A86"/>
    <w:rsid w:val="0026441D"/>
    <w:rsid w:val="0026688B"/>
    <w:rsid w:val="002842EF"/>
    <w:rsid w:val="00285EDC"/>
    <w:rsid w:val="002A10CF"/>
    <w:rsid w:val="002A1A92"/>
    <w:rsid w:val="002A2774"/>
    <w:rsid w:val="002D1E42"/>
    <w:rsid w:val="003047DB"/>
    <w:rsid w:val="003067B4"/>
    <w:rsid w:val="003A50DD"/>
    <w:rsid w:val="0040499B"/>
    <w:rsid w:val="00415E7D"/>
    <w:rsid w:val="0043085D"/>
    <w:rsid w:val="00450346"/>
    <w:rsid w:val="00475E12"/>
    <w:rsid w:val="00492E2B"/>
    <w:rsid w:val="00494EBE"/>
    <w:rsid w:val="004A1C8A"/>
    <w:rsid w:val="004B04DB"/>
    <w:rsid w:val="004B570C"/>
    <w:rsid w:val="004C425B"/>
    <w:rsid w:val="004D3C2E"/>
    <w:rsid w:val="00503263"/>
    <w:rsid w:val="00517179"/>
    <w:rsid w:val="005338AC"/>
    <w:rsid w:val="00565137"/>
    <w:rsid w:val="005962C7"/>
    <w:rsid w:val="005C6F5F"/>
    <w:rsid w:val="005D73F7"/>
    <w:rsid w:val="005F41EF"/>
    <w:rsid w:val="005F76CB"/>
    <w:rsid w:val="00616B7C"/>
    <w:rsid w:val="00621D26"/>
    <w:rsid w:val="00630717"/>
    <w:rsid w:val="00641B32"/>
    <w:rsid w:val="00687615"/>
    <w:rsid w:val="00691DF0"/>
    <w:rsid w:val="006A3B30"/>
    <w:rsid w:val="006B25B8"/>
    <w:rsid w:val="006D31B5"/>
    <w:rsid w:val="006D5121"/>
    <w:rsid w:val="0070596A"/>
    <w:rsid w:val="00726861"/>
    <w:rsid w:val="0073555E"/>
    <w:rsid w:val="007439B5"/>
    <w:rsid w:val="00790A7F"/>
    <w:rsid w:val="007913EE"/>
    <w:rsid w:val="007A3A86"/>
    <w:rsid w:val="007C0D3A"/>
    <w:rsid w:val="007D5C2C"/>
    <w:rsid w:val="007E6971"/>
    <w:rsid w:val="007F399B"/>
    <w:rsid w:val="007F3ABB"/>
    <w:rsid w:val="00800E46"/>
    <w:rsid w:val="00807D4F"/>
    <w:rsid w:val="008226C2"/>
    <w:rsid w:val="0083087E"/>
    <w:rsid w:val="00871F23"/>
    <w:rsid w:val="008771F1"/>
    <w:rsid w:val="008832D5"/>
    <w:rsid w:val="008B3F1A"/>
    <w:rsid w:val="008C2B05"/>
    <w:rsid w:val="008F498F"/>
    <w:rsid w:val="008F5ED1"/>
    <w:rsid w:val="0093791B"/>
    <w:rsid w:val="00957C49"/>
    <w:rsid w:val="0096164D"/>
    <w:rsid w:val="009626DC"/>
    <w:rsid w:val="00964277"/>
    <w:rsid w:val="009809F6"/>
    <w:rsid w:val="009951B2"/>
    <w:rsid w:val="009A4DA1"/>
    <w:rsid w:val="009B364C"/>
    <w:rsid w:val="009D157E"/>
    <w:rsid w:val="009E2771"/>
    <w:rsid w:val="00A21F5C"/>
    <w:rsid w:val="00A43C12"/>
    <w:rsid w:val="00A56DA8"/>
    <w:rsid w:val="00A61211"/>
    <w:rsid w:val="00A71027"/>
    <w:rsid w:val="00A74420"/>
    <w:rsid w:val="00A87367"/>
    <w:rsid w:val="00AA0049"/>
    <w:rsid w:val="00AC6A24"/>
    <w:rsid w:val="00AE4013"/>
    <w:rsid w:val="00B06F54"/>
    <w:rsid w:val="00B1185E"/>
    <w:rsid w:val="00B15BCF"/>
    <w:rsid w:val="00B1783E"/>
    <w:rsid w:val="00B24FD1"/>
    <w:rsid w:val="00B328CD"/>
    <w:rsid w:val="00B37F1B"/>
    <w:rsid w:val="00B61A1D"/>
    <w:rsid w:val="00B7104D"/>
    <w:rsid w:val="00B92DCD"/>
    <w:rsid w:val="00B96806"/>
    <w:rsid w:val="00BD510F"/>
    <w:rsid w:val="00BE2ECB"/>
    <w:rsid w:val="00C02E29"/>
    <w:rsid w:val="00C06BF0"/>
    <w:rsid w:val="00CA0DE3"/>
    <w:rsid w:val="00CC09F3"/>
    <w:rsid w:val="00CC6EB8"/>
    <w:rsid w:val="00CF69A8"/>
    <w:rsid w:val="00CF7556"/>
    <w:rsid w:val="00D14945"/>
    <w:rsid w:val="00D37608"/>
    <w:rsid w:val="00D514E3"/>
    <w:rsid w:val="00D52926"/>
    <w:rsid w:val="00D63B03"/>
    <w:rsid w:val="00D7328B"/>
    <w:rsid w:val="00D735AD"/>
    <w:rsid w:val="00D907AC"/>
    <w:rsid w:val="00DE5370"/>
    <w:rsid w:val="00DF107F"/>
    <w:rsid w:val="00E033DA"/>
    <w:rsid w:val="00E2007A"/>
    <w:rsid w:val="00E54565"/>
    <w:rsid w:val="00E560D6"/>
    <w:rsid w:val="00E70BCF"/>
    <w:rsid w:val="00EF3C01"/>
    <w:rsid w:val="00F078B9"/>
    <w:rsid w:val="00F43E80"/>
    <w:rsid w:val="00F8250A"/>
    <w:rsid w:val="00F826BE"/>
    <w:rsid w:val="00F86923"/>
    <w:rsid w:val="00FA49D2"/>
    <w:rsid w:val="00FA52B7"/>
    <w:rsid w:val="00FA79BB"/>
    <w:rsid w:val="00FB77D4"/>
    <w:rsid w:val="00FC1A03"/>
    <w:rsid w:val="00FC6419"/>
    <w:rsid w:val="00FD4B39"/>
    <w:rsid w:val="00FF162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1F884C"/>
  <w15:docId w15:val="{B46D9F95-34AF-4444-BE74-B1A0FA1E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my-MM"/>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F5F"/>
    <w:rPr>
      <w:rFonts w:eastAsiaTheme="majorEastAsia" w:cstheme="majorBidi"/>
      <w:color w:val="272727" w:themeColor="text1" w:themeTint="D8"/>
    </w:rPr>
  </w:style>
  <w:style w:type="paragraph" w:styleId="Title">
    <w:name w:val="Title"/>
    <w:basedOn w:val="Normal"/>
    <w:next w:val="Normal"/>
    <w:link w:val="TitleChar"/>
    <w:uiPriority w:val="10"/>
    <w:qFormat/>
    <w:rsid w:val="005C6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F5F"/>
    <w:pPr>
      <w:spacing w:before="160"/>
      <w:jc w:val="center"/>
    </w:pPr>
    <w:rPr>
      <w:i/>
      <w:iCs/>
      <w:color w:val="404040" w:themeColor="text1" w:themeTint="BF"/>
    </w:rPr>
  </w:style>
  <w:style w:type="character" w:customStyle="1" w:styleId="QuoteChar">
    <w:name w:val="Quote Char"/>
    <w:basedOn w:val="DefaultParagraphFont"/>
    <w:link w:val="Quote"/>
    <w:uiPriority w:val="29"/>
    <w:rsid w:val="005C6F5F"/>
    <w:rPr>
      <w:i/>
      <w:iCs/>
      <w:color w:val="404040" w:themeColor="text1" w:themeTint="BF"/>
    </w:rPr>
  </w:style>
  <w:style w:type="paragraph" w:styleId="ListParagraph">
    <w:name w:val="List Paragraph"/>
    <w:basedOn w:val="Normal"/>
    <w:uiPriority w:val="34"/>
    <w:qFormat/>
    <w:rsid w:val="005C6F5F"/>
    <w:pPr>
      <w:ind w:left="720"/>
      <w:contextualSpacing/>
    </w:pPr>
  </w:style>
  <w:style w:type="character" w:styleId="IntenseEmphasis">
    <w:name w:val="Intense Emphasis"/>
    <w:basedOn w:val="DefaultParagraphFont"/>
    <w:uiPriority w:val="21"/>
    <w:qFormat/>
    <w:rsid w:val="005C6F5F"/>
    <w:rPr>
      <w:i/>
      <w:iCs/>
      <w:color w:val="0F4761" w:themeColor="accent1" w:themeShade="BF"/>
    </w:rPr>
  </w:style>
  <w:style w:type="paragraph" w:styleId="IntenseQuote">
    <w:name w:val="Intense Quote"/>
    <w:basedOn w:val="Normal"/>
    <w:next w:val="Normal"/>
    <w:link w:val="IntenseQuoteChar"/>
    <w:uiPriority w:val="30"/>
    <w:qFormat/>
    <w:rsid w:val="005C6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F5F"/>
    <w:rPr>
      <w:i/>
      <w:iCs/>
      <w:color w:val="0F4761" w:themeColor="accent1" w:themeShade="BF"/>
    </w:rPr>
  </w:style>
  <w:style w:type="character" w:styleId="IntenseReference">
    <w:name w:val="Intense Reference"/>
    <w:basedOn w:val="DefaultParagraphFont"/>
    <w:uiPriority w:val="32"/>
    <w:qFormat/>
    <w:rsid w:val="005C6F5F"/>
    <w:rPr>
      <w:b/>
      <w:bCs/>
      <w:smallCaps/>
      <w:color w:val="0F4761" w:themeColor="accent1" w:themeShade="BF"/>
      <w:spacing w:val="5"/>
    </w:rPr>
  </w:style>
  <w:style w:type="paragraph" w:styleId="NormalWeb">
    <w:name w:val="Normal (Web)"/>
    <w:basedOn w:val="Normal"/>
    <w:uiPriority w:val="99"/>
    <w:semiHidden/>
    <w:unhideWhenUsed/>
    <w:rsid w:val="005C6F5F"/>
    <w:rPr>
      <w:rFonts w:ascii="Times New Roman" w:hAnsi="Times New Roman" w:cs="Times New Roman"/>
    </w:rPr>
  </w:style>
  <w:style w:type="table" w:styleId="TableGrid">
    <w:name w:val="Table Grid"/>
    <w:basedOn w:val="TableNormal"/>
    <w:uiPriority w:val="39"/>
    <w:rsid w:val="00F826BE"/>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4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420"/>
    <w:rPr>
      <w:rFonts w:ascii="Tahoma" w:hAnsi="Tahoma" w:cs="Tahoma"/>
      <w:sz w:val="16"/>
      <w:szCs w:val="16"/>
    </w:rPr>
  </w:style>
  <w:style w:type="paragraph" w:styleId="Header">
    <w:name w:val="header"/>
    <w:basedOn w:val="Normal"/>
    <w:link w:val="HeaderChar"/>
    <w:uiPriority w:val="99"/>
    <w:unhideWhenUsed/>
    <w:rsid w:val="001B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D5"/>
  </w:style>
  <w:style w:type="paragraph" w:styleId="Footer">
    <w:name w:val="footer"/>
    <w:basedOn w:val="Normal"/>
    <w:link w:val="FooterChar"/>
    <w:unhideWhenUsed/>
    <w:rsid w:val="001B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D5"/>
  </w:style>
  <w:style w:type="character" w:customStyle="1" w:styleId="fs4">
    <w:name w:val="fs4"/>
    <w:basedOn w:val="DefaultParagraphFont"/>
    <w:rsid w:val="002A1A92"/>
  </w:style>
  <w:style w:type="character" w:customStyle="1" w:styleId="ls0">
    <w:name w:val="ls0"/>
    <w:basedOn w:val="DefaultParagraphFont"/>
    <w:rsid w:val="002A1A92"/>
  </w:style>
  <w:style w:type="character" w:customStyle="1" w:styleId="ls8">
    <w:name w:val="ls8"/>
    <w:basedOn w:val="DefaultParagraphFont"/>
    <w:rsid w:val="002A1A92"/>
  </w:style>
  <w:style w:type="character" w:customStyle="1" w:styleId="fs1">
    <w:name w:val="fs1"/>
    <w:basedOn w:val="DefaultParagraphFont"/>
    <w:rsid w:val="002A1A92"/>
  </w:style>
  <w:style w:type="character" w:styleId="Hyperlink">
    <w:name w:val="Hyperlink"/>
    <w:basedOn w:val="DefaultParagraphFont"/>
    <w:uiPriority w:val="99"/>
    <w:unhideWhenUsed/>
    <w:rsid w:val="000E2E08"/>
    <w:rPr>
      <w:color w:val="467886" w:themeColor="hyperlink"/>
      <w:u w:val="single"/>
    </w:rPr>
  </w:style>
  <w:style w:type="paragraph" w:customStyle="1" w:styleId="Body">
    <w:name w:val="Body"/>
    <w:basedOn w:val="Normal"/>
    <w:rsid w:val="0026441D"/>
    <w:pPr>
      <w:spacing w:after="240" w:line="240" w:lineRule="auto"/>
      <w:jc w:val="both"/>
    </w:pPr>
    <w:rPr>
      <w:rFonts w:ascii="Helvetica" w:eastAsia="Times New Roman" w:hAnsi="Helvetica" w:cs="Times New Roman"/>
      <w:kern w:val="0"/>
      <w:sz w:val="20"/>
      <w:szCs w:val="20"/>
      <w:lang w:bidi="ar-SA"/>
      <w14:ligatures w14:val="none"/>
    </w:rPr>
  </w:style>
  <w:style w:type="paragraph" w:styleId="NoSpacing">
    <w:name w:val="No Spacing"/>
    <w:uiPriority w:val="1"/>
    <w:qFormat/>
    <w:rsid w:val="008B3F1A"/>
    <w:pPr>
      <w:spacing w:after="0" w:line="240" w:lineRule="auto"/>
    </w:pPr>
  </w:style>
  <w:style w:type="character" w:customStyle="1" w:styleId="UnresolvedMention1">
    <w:name w:val="Unresolved Mention1"/>
    <w:basedOn w:val="DefaultParagraphFont"/>
    <w:uiPriority w:val="99"/>
    <w:semiHidden/>
    <w:unhideWhenUsed/>
    <w:rsid w:val="00D52926"/>
    <w:rPr>
      <w:color w:val="605E5C"/>
      <w:shd w:val="clear" w:color="auto" w:fill="E1DFDD"/>
    </w:rPr>
  </w:style>
  <w:style w:type="character" w:styleId="UnresolvedMention">
    <w:name w:val="Unresolved Mention"/>
    <w:basedOn w:val="DefaultParagraphFont"/>
    <w:uiPriority w:val="99"/>
    <w:semiHidden/>
    <w:unhideWhenUsed/>
    <w:rsid w:val="004B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3538">
      <w:bodyDiv w:val="1"/>
      <w:marLeft w:val="0"/>
      <w:marRight w:val="0"/>
      <w:marTop w:val="0"/>
      <w:marBottom w:val="0"/>
      <w:divBdr>
        <w:top w:val="none" w:sz="0" w:space="0" w:color="auto"/>
        <w:left w:val="none" w:sz="0" w:space="0" w:color="auto"/>
        <w:bottom w:val="none" w:sz="0" w:space="0" w:color="auto"/>
        <w:right w:val="none" w:sz="0" w:space="0" w:color="auto"/>
      </w:divBdr>
      <w:divsChild>
        <w:div w:id="1868521399">
          <w:marLeft w:val="0"/>
          <w:marRight w:val="0"/>
          <w:marTop w:val="0"/>
          <w:marBottom w:val="0"/>
          <w:divBdr>
            <w:top w:val="none" w:sz="0" w:space="0" w:color="auto"/>
            <w:left w:val="none" w:sz="0" w:space="0" w:color="auto"/>
            <w:bottom w:val="none" w:sz="0" w:space="0" w:color="auto"/>
            <w:right w:val="none" w:sz="0" w:space="0" w:color="auto"/>
          </w:divBdr>
        </w:div>
        <w:div w:id="277570796">
          <w:marLeft w:val="0"/>
          <w:marRight w:val="0"/>
          <w:marTop w:val="0"/>
          <w:marBottom w:val="0"/>
          <w:divBdr>
            <w:top w:val="none" w:sz="0" w:space="0" w:color="auto"/>
            <w:left w:val="none" w:sz="0" w:space="0" w:color="auto"/>
            <w:bottom w:val="none" w:sz="0" w:space="0" w:color="auto"/>
            <w:right w:val="none" w:sz="0" w:space="0" w:color="auto"/>
          </w:divBdr>
        </w:div>
        <w:div w:id="1529217772">
          <w:marLeft w:val="0"/>
          <w:marRight w:val="0"/>
          <w:marTop w:val="0"/>
          <w:marBottom w:val="0"/>
          <w:divBdr>
            <w:top w:val="none" w:sz="0" w:space="0" w:color="auto"/>
            <w:left w:val="none" w:sz="0" w:space="0" w:color="auto"/>
            <w:bottom w:val="none" w:sz="0" w:space="0" w:color="auto"/>
            <w:right w:val="none" w:sz="0" w:space="0" w:color="auto"/>
          </w:divBdr>
        </w:div>
        <w:div w:id="768626894">
          <w:marLeft w:val="0"/>
          <w:marRight w:val="0"/>
          <w:marTop w:val="0"/>
          <w:marBottom w:val="0"/>
          <w:divBdr>
            <w:top w:val="none" w:sz="0" w:space="0" w:color="auto"/>
            <w:left w:val="none" w:sz="0" w:space="0" w:color="auto"/>
            <w:bottom w:val="none" w:sz="0" w:space="0" w:color="auto"/>
            <w:right w:val="none" w:sz="0" w:space="0" w:color="auto"/>
          </w:divBdr>
        </w:div>
      </w:divsChild>
    </w:div>
    <w:div w:id="8152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Early Morning</c:v>
                </c:pt>
              </c:strCache>
            </c:strRef>
          </c:tx>
          <c:spPr>
            <a:pattFill prst="smGrid">
              <a:fgClr>
                <a:schemeClr val="tx1"/>
              </a:fgClr>
              <a:bgClr>
                <a:schemeClr val="bg1"/>
              </a:bgClr>
            </a:pattFill>
            <a:ln>
              <a:noFill/>
            </a:ln>
            <a:effectLst>
              <a:outerShdw blurRad="57150" dist="19050" dir="5400000" algn="ctr" rotWithShape="0">
                <a:srgbClr val="000000">
                  <a:alpha val="63000"/>
                </a:srgbClr>
              </a:outerShdw>
            </a:effectLst>
          </c:spPr>
          <c:invertIfNegative val="0"/>
          <c:cat>
            <c:strRef>
              <c:f>Sheet1!$A$2:$A$7</c:f>
              <c:strCache>
                <c:ptCount val="6"/>
                <c:pt idx="0">
                  <c:v>Student</c:v>
                </c:pt>
                <c:pt idx="1">
                  <c:v>Employed 
Private Sector	</c:v>
                </c:pt>
                <c:pt idx="2">
                  <c:v>Employed 
Government Sector	</c:v>
                </c:pt>
                <c:pt idx="3">
                  <c:v>Retired</c:v>
                </c:pt>
                <c:pt idx="4">
                  <c:v>Driver</c:v>
                </c:pt>
                <c:pt idx="5">
                  <c:v>Unemployed</c:v>
                </c:pt>
              </c:strCache>
            </c:strRef>
          </c:cat>
          <c:val>
            <c:numRef>
              <c:f>Sheet1!$B$2:$B$7</c:f>
              <c:numCache>
                <c:formatCode>General</c:formatCode>
                <c:ptCount val="6"/>
                <c:pt idx="0">
                  <c:v>0</c:v>
                </c:pt>
                <c:pt idx="1">
                  <c:v>3</c:v>
                </c:pt>
                <c:pt idx="2">
                  <c:v>4</c:v>
                </c:pt>
                <c:pt idx="3">
                  <c:v>0</c:v>
                </c:pt>
                <c:pt idx="4">
                  <c:v>4</c:v>
                </c:pt>
                <c:pt idx="5">
                  <c:v>0</c:v>
                </c:pt>
              </c:numCache>
            </c:numRef>
          </c:val>
          <c:extLst>
            <c:ext xmlns:c16="http://schemas.microsoft.com/office/drawing/2014/chart" uri="{C3380CC4-5D6E-409C-BE32-E72D297353CC}">
              <c16:uniqueId val="{00000000-F623-425D-9F3D-8506BF5D53EE}"/>
            </c:ext>
          </c:extLst>
        </c:ser>
        <c:ser>
          <c:idx val="1"/>
          <c:order val="1"/>
          <c:tx>
            <c:strRef>
              <c:f>Sheet1!$C$1</c:f>
              <c:strCache>
                <c:ptCount val="1"/>
                <c:pt idx="0">
                  <c:v>Day Time</c:v>
                </c:pt>
              </c:strCache>
            </c:strRef>
          </c:tx>
          <c:spPr>
            <a:pattFill prst="ltDnDiag">
              <a:fgClr>
                <a:schemeClr val="tx1"/>
              </a:fgClr>
              <a:bgClr>
                <a:schemeClr val="bg1"/>
              </a:bgClr>
            </a:pattFill>
            <a:ln>
              <a:noFill/>
            </a:ln>
            <a:effectLst>
              <a:outerShdw blurRad="57150" dist="19050" dir="5400000" algn="ctr" rotWithShape="0">
                <a:srgbClr val="000000">
                  <a:alpha val="63000"/>
                </a:srgbClr>
              </a:outerShdw>
            </a:effectLst>
          </c:spPr>
          <c:invertIfNegative val="0"/>
          <c:cat>
            <c:strRef>
              <c:f>Sheet1!$A$2:$A$7</c:f>
              <c:strCache>
                <c:ptCount val="6"/>
                <c:pt idx="0">
                  <c:v>Student</c:v>
                </c:pt>
                <c:pt idx="1">
                  <c:v>Employed 
Private Sector	</c:v>
                </c:pt>
                <c:pt idx="2">
                  <c:v>Employed 
Government Sector	</c:v>
                </c:pt>
                <c:pt idx="3">
                  <c:v>Retired</c:v>
                </c:pt>
                <c:pt idx="4">
                  <c:v>Driver</c:v>
                </c:pt>
                <c:pt idx="5">
                  <c:v>Unemployed</c:v>
                </c:pt>
              </c:strCache>
            </c:strRef>
          </c:cat>
          <c:val>
            <c:numRef>
              <c:f>Sheet1!$C$2:$C$7</c:f>
              <c:numCache>
                <c:formatCode>General</c:formatCode>
                <c:ptCount val="6"/>
                <c:pt idx="0">
                  <c:v>0</c:v>
                </c:pt>
                <c:pt idx="1">
                  <c:v>0</c:v>
                </c:pt>
                <c:pt idx="2">
                  <c:v>2</c:v>
                </c:pt>
                <c:pt idx="3">
                  <c:v>0</c:v>
                </c:pt>
                <c:pt idx="4">
                  <c:v>0</c:v>
                </c:pt>
                <c:pt idx="5">
                  <c:v>0</c:v>
                </c:pt>
              </c:numCache>
            </c:numRef>
          </c:val>
          <c:extLst>
            <c:ext xmlns:c16="http://schemas.microsoft.com/office/drawing/2014/chart" uri="{C3380CC4-5D6E-409C-BE32-E72D297353CC}">
              <c16:uniqueId val="{00000001-F623-425D-9F3D-8506BF5D53EE}"/>
            </c:ext>
          </c:extLst>
        </c:ser>
        <c:ser>
          <c:idx val="2"/>
          <c:order val="2"/>
          <c:tx>
            <c:strRef>
              <c:f>Sheet1!$D$1</c:f>
              <c:strCache>
                <c:ptCount val="1"/>
                <c:pt idx="0">
                  <c:v>Night Time</c:v>
                </c:pt>
              </c:strCache>
            </c:strRef>
          </c:tx>
          <c:spPr>
            <a:pattFill prst="pct60">
              <a:fgClr>
                <a:schemeClr val="tx1"/>
              </a:fgClr>
              <a:bgClr>
                <a:schemeClr val="bg1"/>
              </a:bgClr>
            </a:pattFill>
            <a:ln>
              <a:noFill/>
            </a:ln>
            <a:effectLst>
              <a:outerShdw blurRad="57150" dist="19050" dir="5400000" algn="ctr" rotWithShape="0">
                <a:srgbClr val="000000">
                  <a:alpha val="63000"/>
                </a:srgbClr>
              </a:outerShdw>
            </a:effectLst>
          </c:spPr>
          <c:invertIfNegative val="0"/>
          <c:cat>
            <c:strRef>
              <c:f>Sheet1!$A$2:$A$7</c:f>
              <c:strCache>
                <c:ptCount val="6"/>
                <c:pt idx="0">
                  <c:v>Student</c:v>
                </c:pt>
                <c:pt idx="1">
                  <c:v>Employed 
Private Sector	</c:v>
                </c:pt>
                <c:pt idx="2">
                  <c:v>Employed 
Government Sector	</c:v>
                </c:pt>
                <c:pt idx="3">
                  <c:v>Retired</c:v>
                </c:pt>
                <c:pt idx="4">
                  <c:v>Driver</c:v>
                </c:pt>
                <c:pt idx="5">
                  <c:v>Unemployed</c:v>
                </c:pt>
              </c:strCache>
            </c:strRef>
          </c:cat>
          <c:val>
            <c:numRef>
              <c:f>Sheet1!$D$2:$D$7</c:f>
              <c:numCache>
                <c:formatCode>General</c:formatCode>
                <c:ptCount val="6"/>
                <c:pt idx="0">
                  <c:v>0</c:v>
                </c:pt>
                <c:pt idx="1">
                  <c:v>25</c:v>
                </c:pt>
                <c:pt idx="2">
                  <c:v>22</c:v>
                </c:pt>
                <c:pt idx="3">
                  <c:v>0</c:v>
                </c:pt>
                <c:pt idx="4">
                  <c:v>0</c:v>
                </c:pt>
                <c:pt idx="5">
                  <c:v>0</c:v>
                </c:pt>
              </c:numCache>
            </c:numRef>
          </c:val>
          <c:extLst>
            <c:ext xmlns:c16="http://schemas.microsoft.com/office/drawing/2014/chart" uri="{C3380CC4-5D6E-409C-BE32-E72D297353CC}">
              <c16:uniqueId val="{00000002-F623-425D-9F3D-8506BF5D53EE}"/>
            </c:ext>
          </c:extLst>
        </c:ser>
        <c:ser>
          <c:idx val="3"/>
          <c:order val="3"/>
          <c:tx>
            <c:strRef>
              <c:f>Sheet1!$E$1</c:f>
              <c:strCache>
                <c:ptCount val="1"/>
                <c:pt idx="0">
                  <c:v>Free Time	</c:v>
                </c:pt>
              </c:strCache>
            </c:strRef>
          </c:tx>
          <c:spPr>
            <a:pattFill prst="diagBrick">
              <a:fgClr>
                <a:schemeClr val="tx1"/>
              </a:fgClr>
              <a:bgClr>
                <a:schemeClr val="bg1"/>
              </a:bgClr>
            </a:pattFill>
            <a:ln>
              <a:solidFill>
                <a:schemeClr val="accent1"/>
              </a:solidFill>
            </a:ln>
            <a:effectLst/>
          </c:spPr>
          <c:invertIfNegative val="0"/>
          <c:cat>
            <c:strRef>
              <c:f>Sheet1!$A$2:$A$7</c:f>
              <c:strCache>
                <c:ptCount val="6"/>
                <c:pt idx="0">
                  <c:v>Student</c:v>
                </c:pt>
                <c:pt idx="1">
                  <c:v>Employed 
Private Sector	</c:v>
                </c:pt>
                <c:pt idx="2">
                  <c:v>Employed 
Government Sector	</c:v>
                </c:pt>
                <c:pt idx="3">
                  <c:v>Retired</c:v>
                </c:pt>
                <c:pt idx="4">
                  <c:v>Driver</c:v>
                </c:pt>
                <c:pt idx="5">
                  <c:v>Unemployed</c:v>
                </c:pt>
              </c:strCache>
            </c:strRef>
          </c:cat>
          <c:val>
            <c:numRef>
              <c:f>Sheet1!$E$2:$E$7</c:f>
              <c:numCache>
                <c:formatCode>General</c:formatCode>
                <c:ptCount val="6"/>
                <c:pt idx="0">
                  <c:v>1</c:v>
                </c:pt>
                <c:pt idx="1">
                  <c:v>35</c:v>
                </c:pt>
                <c:pt idx="2">
                  <c:v>44</c:v>
                </c:pt>
                <c:pt idx="3">
                  <c:v>2</c:v>
                </c:pt>
                <c:pt idx="4">
                  <c:v>7</c:v>
                </c:pt>
                <c:pt idx="5">
                  <c:v>1</c:v>
                </c:pt>
              </c:numCache>
            </c:numRef>
          </c:val>
          <c:extLst>
            <c:ext xmlns:c16="http://schemas.microsoft.com/office/drawing/2014/chart" uri="{C3380CC4-5D6E-409C-BE32-E72D297353CC}">
              <c16:uniqueId val="{00000003-F623-425D-9F3D-8506BF5D53EE}"/>
            </c:ext>
          </c:extLst>
        </c:ser>
        <c:dLbls>
          <c:showLegendKey val="0"/>
          <c:showVal val="0"/>
          <c:showCatName val="0"/>
          <c:showSerName val="0"/>
          <c:showPercent val="0"/>
          <c:showBubbleSize val="0"/>
        </c:dLbls>
        <c:gapWidth val="149"/>
        <c:overlap val="-20"/>
        <c:axId val="40469632"/>
        <c:axId val="40471168"/>
      </c:barChart>
      <c:catAx>
        <c:axId val="404696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n-US"/>
          </a:p>
        </c:txPr>
        <c:crossAx val="40471168"/>
        <c:crosses val="autoZero"/>
        <c:auto val="1"/>
        <c:lblAlgn val="ctr"/>
        <c:lblOffset val="100"/>
        <c:noMultiLvlLbl val="0"/>
      </c:catAx>
      <c:valAx>
        <c:axId val="4047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4046963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pattFill prst="zigZag">
                <a:fgClr>
                  <a:schemeClr val="tx1"/>
                </a:fgClr>
                <a:bgClr>
                  <a:schemeClr val="bg1"/>
                </a:bgClr>
              </a:patt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2B-4885-A5D4-61595DE6D9C2}"/>
              </c:ext>
            </c:extLst>
          </c:dPt>
          <c:dPt>
            <c:idx val="1"/>
            <c:bubble3D val="0"/>
            <c:spPr>
              <a:pattFill prst="smGrid">
                <a:fgClr>
                  <a:schemeClr val="tx1"/>
                </a:fgClr>
                <a:bgClr>
                  <a:schemeClr val="bg1"/>
                </a:bgClr>
              </a:patt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2B-4885-A5D4-61595DE6D9C2}"/>
              </c:ext>
            </c:extLst>
          </c:dPt>
          <c:dPt>
            <c:idx val="2"/>
            <c:bubble3D val="0"/>
            <c:spPr>
              <a:pattFill prst="pct20">
                <a:fgClr>
                  <a:schemeClr val="tx1"/>
                </a:fgClr>
                <a:bgClr>
                  <a:schemeClr val="bg1"/>
                </a:bgClr>
              </a:patt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02B-4885-A5D4-61595DE6D9C2}"/>
              </c:ext>
            </c:extLst>
          </c:dPt>
          <c:dPt>
            <c:idx val="3"/>
            <c:bubble3D val="0"/>
            <c:spPr>
              <a:pattFill prst="dkDnDiag">
                <a:fgClr>
                  <a:schemeClr val="tx1"/>
                </a:fgClr>
                <a:bgClr>
                  <a:schemeClr val="bg1"/>
                </a:bgClr>
              </a:patt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02B-4885-A5D4-61595DE6D9C2}"/>
              </c:ext>
            </c:extLst>
          </c:dPt>
          <c:dLbls>
            <c:dLbl>
              <c:idx val="0"/>
              <c:layout>
                <c:manualLayout>
                  <c:x val="-7.1112163194790523E-2"/>
                  <c:y val="6.67540386047571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02B-4885-A5D4-61595DE6D9C2}"/>
                </c:ext>
              </c:extLst>
            </c:dLbl>
            <c:dLbl>
              <c:idx val="1"/>
              <c:layout>
                <c:manualLayout>
                  <c:x val="6.8343300441875143E-2"/>
                  <c:y val="-3.324037710281967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02B-4885-A5D4-61595DE6D9C2}"/>
                </c:ext>
              </c:extLst>
            </c:dLbl>
            <c:dLbl>
              <c:idx val="2"/>
              <c:layout>
                <c:manualLayout>
                  <c:x val="2.4704973587162365E-2"/>
                  <c:y val="0.153425222123879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2B-4885-A5D4-61595DE6D9C2}"/>
                </c:ext>
              </c:extLst>
            </c:dLbl>
            <c:dLbl>
              <c:idx val="3"/>
              <c:layout>
                <c:manualLayout>
                  <c:x val="1.2174580265633887E-2"/>
                  <c:y val="0.105704149618660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02B-4885-A5D4-61595DE6D9C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lt1"/>
                    </a:solidFill>
                    <a:latin typeface="Times New Roman" pitchFamily="18" charset="0"/>
                    <a:ea typeface="+mn-ea"/>
                    <a:cs typeface="Times New Roman"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Expensive to charge</c:v>
                </c:pt>
                <c:pt idx="1">
                  <c:v>Not available in every location</c:v>
                </c:pt>
                <c:pt idx="2">
                  <c:v>Need to inquire ahead due to power outages</c:v>
                </c:pt>
                <c:pt idx="3">
                  <c:v>Waiting time to charge</c:v>
                </c:pt>
              </c:strCache>
            </c:strRef>
          </c:cat>
          <c:val>
            <c:numRef>
              <c:f>Sheet1!$B$2:$B$5</c:f>
              <c:numCache>
                <c:formatCode>General</c:formatCode>
                <c:ptCount val="4"/>
                <c:pt idx="0">
                  <c:v>55.3</c:v>
                </c:pt>
                <c:pt idx="1">
                  <c:v>32.700000000000003</c:v>
                </c:pt>
                <c:pt idx="2">
                  <c:v>9.3000000000000007</c:v>
                </c:pt>
                <c:pt idx="3">
                  <c:v>2.7</c:v>
                </c:pt>
              </c:numCache>
            </c:numRef>
          </c:val>
          <c:extLst>
            <c:ext xmlns:c16="http://schemas.microsoft.com/office/drawing/2014/chart" uri="{C3380CC4-5D6E-409C-BE32-E72D297353CC}">
              <c16:uniqueId val="{00000008-E02B-4885-A5D4-61595DE6D9C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3974216683753173"/>
          <c:y val="0.14943467687455556"/>
          <c:w val="0.44747141857454525"/>
          <c:h val="0.7011301520657187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itchFamily="18" charset="0"/>
              <a:ea typeface="+mn-ea"/>
              <a:cs typeface="Times New Roman"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 Zin Tun Tun Lwin</dc:creator>
  <cp:lastModifiedBy>SDI 1180</cp:lastModifiedBy>
  <cp:revision>20</cp:revision>
  <cp:lastPrinted>2025-09-09T14:21:00Z</cp:lastPrinted>
  <dcterms:created xsi:type="dcterms:W3CDTF">2025-09-14T05:16:00Z</dcterms:created>
  <dcterms:modified xsi:type="dcterms:W3CDTF">2025-09-16T09:49:00Z</dcterms:modified>
</cp:coreProperties>
</file>