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A82D7" w14:textId="77777777" w:rsidR="00F14099" w:rsidRDefault="00EC70A1">
      <w:pPr>
        <w:pStyle w:val="Heading1"/>
        <w:jc w:val="center"/>
      </w:pPr>
      <w:r>
        <w:t>A Statistical Evaluation of Micronutrient Deficiencies in Early Pregnancy (1–8 Weeks) Using R Programming</w:t>
      </w:r>
    </w:p>
    <w:p w14:paraId="6A5CA4DC" w14:textId="0E6E49FB" w:rsidR="00F14099" w:rsidRDefault="00EC70A1" w:rsidP="00BE2B1A">
      <w:pPr>
        <w:spacing w:before="100" w:beforeAutospacing="1" w:after="100" w:afterAutospacing="1" w:line="240" w:lineRule="auto"/>
        <w:rPr>
          <w:rFonts w:ascii="Times New Roman" w:eastAsia="Times New Roman" w:hAnsi="Times New Roman" w:cs="Times New Roman"/>
          <w:b/>
          <w:bCs/>
          <w:sz w:val="20"/>
          <w:szCs w:val="20"/>
          <w:vertAlign w:val="superscript"/>
        </w:rPr>
      </w:pPr>
      <w:r>
        <w:rPr>
          <w:rFonts w:ascii="Times New Roman" w:eastAsia="Times New Roman" w:hAnsi="Times New Roman" w:cs="Times New Roman"/>
          <w:b/>
          <w:bCs/>
          <w:sz w:val="20"/>
          <w:szCs w:val="20"/>
          <w:vertAlign w:val="superscript"/>
        </w:rPr>
        <w:t xml:space="preserve">                                                </w:t>
      </w:r>
    </w:p>
    <w:p w14:paraId="3818D2F6" w14:textId="77777777" w:rsidR="00BE2B1A" w:rsidRDefault="00BE2B1A" w:rsidP="00BE2B1A">
      <w:pPr>
        <w:spacing w:before="100" w:beforeAutospacing="1" w:after="100" w:afterAutospacing="1" w:line="240" w:lineRule="auto"/>
      </w:pPr>
    </w:p>
    <w:p w14:paraId="7F2D8CF2" w14:textId="77777777" w:rsidR="00F14099" w:rsidRDefault="00EC70A1">
      <w:pPr>
        <w:spacing w:before="100" w:beforeAutospacing="1" w:after="100" w:afterAutospacing="1" w:line="240" w:lineRule="auto"/>
      </w:pPr>
      <w:r>
        <w:t xml:space="preserve"> </w:t>
      </w:r>
      <w:r>
        <w:t>Abstract</w:t>
      </w:r>
    </w:p>
    <w:p w14:paraId="118517E1" w14:textId="77777777" w:rsidR="00F14099" w:rsidRDefault="00EC70A1">
      <w:r>
        <w:t>Background: Early pregnancy (1–8 weeks) is a crucial period in which micronutrient sufficiency directly influences maternal health and fe</w:t>
      </w:r>
      <w:r>
        <w:t>tal development. Deficiencies in essential nutrients such as iron, folate, and vitamin D are major contributors to complications including anemia, neural tube defects, and impaired fetal growth. Objective: This study uses R programming to statistically eva</w:t>
      </w:r>
      <w:r>
        <w:t>luate micronutrient deficiencies in early pregnancy using simulated biomarker data. Methods: A dataset of 150 women in early pregnancy was simulated, including biomarkers (hemoglobin, ferritin, folate, and vitamin D). Descriptive statistics, logistic regre</w:t>
      </w:r>
      <w:r>
        <w:t>ssion, and ROC analysis were performed using R. Results: Iron deficiency prevalence was 30%, anemia 24%, folate deficiency 17%, and vitamin D deficiency 33%. Ferritin showed a strong predictive performance (AUC = 0.85) for iron deficiency. Conclusion: R pr</w:t>
      </w:r>
      <w:r>
        <w:t>ogramming offers a flexible, reproducible, and scalable framework for analyzing nutritional biomarkers and identifying at-risk pregnant women during the first trimester.</w:t>
      </w:r>
    </w:p>
    <w:p w14:paraId="39F1BEDF" w14:textId="77777777" w:rsidR="00F14099" w:rsidRDefault="00EC70A1">
      <w:pPr>
        <w:pStyle w:val="Heading1"/>
      </w:pPr>
      <w:r>
        <w:t>Keywords</w:t>
      </w:r>
    </w:p>
    <w:p w14:paraId="0A344A54" w14:textId="77777777" w:rsidR="00F14099" w:rsidRDefault="00EC70A1">
      <w:r>
        <w:t>R programming; Micronutrient deficiency; Early pregnancy; Ferritin; Iron defi</w:t>
      </w:r>
      <w:r>
        <w:t>ciency; ROC analysis; Statistical modeling.</w:t>
      </w:r>
    </w:p>
    <w:p w14:paraId="13143FC7" w14:textId="77777777" w:rsidR="00F14099" w:rsidRDefault="00EC70A1">
      <w:pPr>
        <w:pStyle w:val="Heading1"/>
      </w:pPr>
      <w:r>
        <w:t>1. Introduction</w:t>
      </w:r>
    </w:p>
    <w:p w14:paraId="0ADF5ECF" w14:textId="77777777" w:rsidR="00F14099" w:rsidRDefault="00EC70A1">
      <w:r>
        <w:t>Micronutrient deficiencies during early pregnancy are a pressing global public health concern. Nutrients such as iron, folate, and vitamin D are vital for maternal physiological adaptations and em</w:t>
      </w:r>
      <w:r>
        <w:t>bryonic development. Iron supports hemoglobin synthesis and oxygen transport, folate is critical for DNA synthesis and neural tube formation, while vitamin D influences calcium homeostasis and immune function. Recent studies (Kumar et al., 2024; Smith &amp; Sh</w:t>
      </w:r>
      <w:r>
        <w:t>ankar, 2022) indicate that subclinical deficiencies in these nutrients persist even in populations with routine antenatal supplementation. In Nigeria and other low- and middle-income countries, limited dietary diversity and late antenatal registration exac</w:t>
      </w:r>
      <w:r>
        <w:t>erbate these risks. The application of R programming, a free and open-source statistical environment, provides an efficient framework for handling, visualizing, and modeling such biomedical data. This study demonstrates how R can be used to detect micronut</w:t>
      </w:r>
      <w:r>
        <w:t xml:space="preserve">rient </w:t>
      </w:r>
      <w:r>
        <w:lastRenderedPageBreak/>
        <w:t>deficiencies in the early stages of pregnancy using simulated data representative of the Nigerian population context.</w:t>
      </w:r>
    </w:p>
    <w:p w14:paraId="3644D071" w14:textId="77777777" w:rsidR="00F14099" w:rsidRDefault="00EC70A1">
      <w:pPr>
        <w:pStyle w:val="Heading1"/>
      </w:pPr>
      <w:r>
        <w:t>2. Literature Review</w:t>
      </w:r>
    </w:p>
    <w:p w14:paraId="08FD3D18" w14:textId="77777777" w:rsidR="00F14099" w:rsidRDefault="00EC70A1">
      <w:r>
        <w:t>2.1 Global Prevalence of Micronutrient Deficiencies</w:t>
      </w:r>
      <w:r>
        <w:br/>
        <w:t>Globally, the World Health Organization (WHO, 2024) estimat</w:t>
      </w:r>
      <w:r>
        <w:t>es that over 40% of pregnant women are anemic, largely due to iron deficiency. Vitamin D deficiency affects nearly 30% of expectant mothers worldwide, especially in regions with limited sun exposure or cultural clothing restrictions (Kumar et al., 2024). F</w:t>
      </w:r>
      <w:r>
        <w:t>olate deficiency remains a key determinant of neural tube defects (NTDs), as evidenced by recent meta-analyses (Bello et al., 2023; Chen &amp; Li, 2022). In Sub-Saharan Africa, overlapping nutritional deficiencies pose compounded risks, often exacerbated by ma</w:t>
      </w:r>
      <w:r>
        <w:t>laria and intestinal helminth infections (Okafor et al., 2023). Additionally, broader health risks such as substance abuse have been shown to impact young populations, which may indirectly influence nutritional health outcomes. This is highlighted in resea</w:t>
      </w:r>
      <w:r>
        <w:t>rch by Ejinkonye Ifeoma O. &amp; Ejiro Stanley Omokoh (2025), who explored the mathematical modeling of hard drug abuse effects on young girls aged 15–20 years, underscoring the interconnected nature of public health challenges.</w:t>
      </w:r>
    </w:p>
    <w:p w14:paraId="761D847A" w14:textId="77777777" w:rsidR="00F14099" w:rsidRDefault="00EC70A1">
      <w:r>
        <w:t>2.2 Iron and Ferritin Biomarker</w:t>
      </w:r>
      <w:r>
        <w:t>s in Pregnancy</w:t>
      </w:r>
      <w:r>
        <w:br/>
        <w:t>Ferritin, a major intracellular iron storage protein, serves as the primary biomarker for assessing iron status. During pregnancy, ferritin levels naturally decline due to hemodilution and increased fetal demand. However, values below 30 µg/</w:t>
      </w:r>
      <w:r>
        <w:t>L typically signify depleted iron stores. Recent studies (Osei et al., 2023; WHO, 2024) recommend using ferritin in conjunction with C-reactive protein (CRP) to adjust for inflammation-related confounding. R programming enables efficient modeling of such i</w:t>
      </w:r>
      <w:r>
        <w:t>nteractions using regression and ROC-based performance measures.</w:t>
      </w:r>
    </w:p>
    <w:p w14:paraId="65703674" w14:textId="77777777" w:rsidR="00F14099" w:rsidRDefault="00EC70A1">
      <w:r>
        <w:t>2.3 Folate and Neural Development</w:t>
      </w:r>
      <w:r>
        <w:br/>
        <w:t xml:space="preserve">Folate, or vitamin B9, is essential for DNA synthesis and methylation reactions during embryogenesis. Deficiencies in folate between 1–8 weeks of gestation </w:t>
      </w:r>
      <w:r>
        <w:t>have been linked to neural tube defects (NTDs) and preterm delivery (Zhao et al., 2022). Although fortification programs have reduced folate deficiency rates in high-income countries, Sub-Saharan Africa continues to record gaps due to limited fortification</w:t>
      </w:r>
      <w:r>
        <w:t xml:space="preserve"> coverage (Adebayo et al., 2024). Statistical programming environments like R allow modeling of threshold effects between folate levels and adverse pregnancy outcomes.</w:t>
      </w:r>
    </w:p>
    <w:p w14:paraId="1CE5DCFB" w14:textId="77777777" w:rsidR="00F14099" w:rsidRDefault="00EC70A1">
      <w:r>
        <w:t>2.4 Vitamin D and Pregnancy Outcomes</w:t>
      </w:r>
      <w:r>
        <w:br/>
        <w:t xml:space="preserve">Vitamin D influences placental function, immune </w:t>
      </w:r>
      <w:r>
        <w:t>modulation, and bone mineralization. Deficiency has been associated with gestational diabetes and preeclampsia (Rahman et al., 2023). Advanced statistical modeling in R facilitates assessment of vitamin D concentrations against gestational age and BMI, con</w:t>
      </w:r>
      <w:r>
        <w:t>trolling for confounders.</w:t>
      </w:r>
    </w:p>
    <w:p w14:paraId="395B3EAF" w14:textId="77777777" w:rsidR="00F14099" w:rsidRDefault="00EC70A1">
      <w:r>
        <w:t>2.5 R Programming in Biomedical Research</w:t>
      </w:r>
      <w:r>
        <w:br/>
        <w:t xml:space="preserve">R provides a comprehensive environment for statistical analysis, from data simulation to </w:t>
      </w:r>
      <w:r>
        <w:lastRenderedPageBreak/>
        <w:t>visualization (omokoh et al., 2023). It supports packages such as ‘tidyverse’, ‘glm’, and ‘pROC’, en</w:t>
      </w:r>
      <w:r>
        <w:t>abling complex computations and graphical outputs with reproducibility. Applications of R in maternal and perinatal research have expanded rapidly (Brown et al., 2023; Adeyemi &amp; Afolayan, 2024), reflecting its role in evidence-based decision-making.In biom</w:t>
      </w:r>
      <w:r>
        <w:t xml:space="preserve">edical research, R’s capabilities extend far beyond traditional statistical tests, offering specialized tools tailored to complex health data. Researchers rely on R to perform survival analysis, longitudinal data modeling, and diagnostic test evaluations, </w:t>
      </w:r>
      <w:r>
        <w:t xml:space="preserve">all of which are essential in maternal and perinatal health investigations. For example, packages such as ‘survival’ and ‘coxme’ are widely used to analyze time-to-event data, enabling clinicians to assess factors influencing maternal mortality or time to </w:t>
      </w:r>
      <w:r>
        <w:t>postpartum recovery. Furthermore, the integration of ‘lme4’ allows the analysis of hierarchical data structures often present in multicenter studies and hospital-based cohorts.</w:t>
      </w:r>
      <w:r>
        <w:br/>
        <w:t>The reproducibility of research is a hallmark advantage of R. By enabling compl</w:t>
      </w:r>
      <w:r>
        <w:t>ete workflows—from raw data importation, cleaning, transformation, analysis, to visualization—R ensures that studies can be reproduced, audited, and validated by independent researchers. In maternal health studies, reproducibility is crucial when comparing</w:t>
      </w:r>
      <w:r>
        <w:t xml:space="preserve"> interventions such as iron supplementation, folic acid intake, or vitamin D therapies. R’s markdown and Quarto frameworks facilitate the publication of dynamic research reports, merging narrative, code, and results into a single reproducible document. Thi</w:t>
      </w:r>
      <w:r>
        <w:t>s ensures transparency, which is vital in public health policymaking and clinical guideline development.Beyond statistical analysis, R supports advanced machine learning techniques increasingly used in biomedical research. Through packages like ‘caret’, ‘r</w:t>
      </w:r>
      <w:r>
        <w:t>andomForest’, ‘xgboost’, and ‘mlr3’, researchers develop predictive models for adverse maternal outcomes, including gestational diabetes, preeclampsia, and preterm birth. These models empower healthcare systems to allocate resources effectively and impleme</w:t>
      </w:r>
      <w:r>
        <w:t>nt early interventions. Moreover, R's integration with neural network frameworks through ‘keras’ and ‘torch’ introduces deep learning capabilities for image analysis, particularly useful in fetal ultrasound interpretation and placental imaging.</w:t>
      </w:r>
      <w:r>
        <w:br/>
        <w:t>In the cont</w:t>
      </w:r>
      <w:r>
        <w:t>ext of epidemiological studies, R excels in handling large health datasets, including electronic health records (EHR) and demographic health surveys. Researchers use R to address missing data, apply multiple imputation via packages such as ‘mice’, and cond</w:t>
      </w:r>
      <w:r>
        <w:t>uct sensitivity analyses. This is indispensable in ensuring accurate maternal health indicators such as anemia prevalence, micronutrient deficiencies, and neonatal outcomes. Furthermore, the incorporation of Bayesian modeling through ‘rstan’ and ‘brms’ off</w:t>
      </w:r>
      <w:r>
        <w:t>ers probabilistic interpretations, aiding decision-makers in resource-limited settings.Visualization is another area where R significantly contributes to biomedical research. The ‘ggplot2’ package, part of the tidyverse, allows researchers to craft publica</w:t>
      </w:r>
      <w:r>
        <w:t>tion-ready charts, including prevalence heatmaps, cohort survival curves, and risk factor distributions. Visual storytelling through data enhances communication between statisticians, policymakers, and clinicians. In maternal health conferences, R-generate</w:t>
      </w:r>
      <w:r>
        <w:t xml:space="preserve">d visualizations have become indispensable tools for presenting global burden estimates, intervention impacts, and policy recommendations.Collaboration and integration also define R’s growing dominance in biomedical research. It interfaces seamlessly with </w:t>
      </w:r>
      <w:r>
        <w:t xml:space="preserve">SQL </w:t>
      </w:r>
      <w:r>
        <w:lastRenderedPageBreak/>
        <w:t>databases, Python, and cloud computing platforms, allowing real-time analysis of maternal health surveillance systems. Through APIs, researchers can link R workflows to WHO maternal health dashboards, UNICEF nutrition datasets, and national health regi</w:t>
      </w:r>
      <w:r>
        <w:t>stries. This level of integration supports global health initiatives targeting anemia reduction, micronutrient supplementation, and obstetric care improvement.</w:t>
      </w:r>
      <w:r>
        <w:br/>
        <w:t>Moreover, R has facilitated citizen science and participatory research in maternal health. Throu</w:t>
      </w:r>
      <w:r>
        <w:t>gh Shiny applications, health practitioners can deploy interactive web tools for community-level data entry, risk assessment, and remote counseling. Such tools have been instrumental in rural Africa and Asia, allowing midwives to predict anemia risks based</w:t>
      </w:r>
      <w:r>
        <w:t xml:space="preserve"> on dietary intake, demographics, and medical history.Training and capacity building are vital components of R’s impact. Universities and global health institutions now integrate R into epidemiology curricula, encouraging future researchers to adopt open-s</w:t>
      </w:r>
      <w:r>
        <w:t>ource analytics. Workshops sponsored by WHO and UNICEF emphasize R proficiency to enhance local research capacity, promoting self-reliance in data-driven maternal health planning.Despite its advantages, R presents challenges, including a steep learning cur</w:t>
      </w:r>
      <w:r>
        <w:t>ve for clinical researchers unfamiliar with programming. However, recent educational efforts and user-friendly RStudio interfaces have reduced these barriers. Additionally, ongoing community support through CRAN and online forums provides continuous assist</w:t>
      </w:r>
      <w:r>
        <w:t>ance, fostering collaborative problem-solving.As the demand for precision medicine increases, R’s role in biomarker analysis and genomics continues to expand. Packages such as ‘DESeq2’ and ‘edgeR’ enable differential gene expression analysis, aiding in the</w:t>
      </w:r>
      <w:r>
        <w:t xml:space="preserve"> discovery of genetic predictors of maternal complications. Combined with machine learning, these insights pave the way for personalized interventions in prenatal care.</w:t>
      </w:r>
      <w:r>
        <w:br/>
      </w:r>
      <w:r>
        <w:br/>
        <w:t>In conclusion, R programming stands as an indispensable pillar in biomedical research,</w:t>
      </w:r>
      <w:r>
        <w:t xml:space="preserve"> driving innovation in maternal and perinatal health analytics. Its integration of statistical rigor, reproducibility, machine learning, and data visualization makes it an unparalleled tool for advancing evidence-based healthcare. Recent comparative studie</w:t>
      </w:r>
      <w:r>
        <w:t xml:space="preserve">s on data handling in biomedical research, such as the evaluation of random imputation methods using R (Omokoh et al., 2025), further underscore R’s versatility in managing complex health datasets and ensuring robust outcomes.  As global health challenges </w:t>
      </w:r>
      <w:r>
        <w:t>evolve, R’s adaptability ensures its continued relevance in shaping interventions, policies, and outcomes across diverse populations.</w:t>
      </w:r>
    </w:p>
    <w:p w14:paraId="7C808D92" w14:textId="77777777" w:rsidR="00F14099" w:rsidRDefault="00F14099"/>
    <w:p w14:paraId="6AC41D9C" w14:textId="77777777" w:rsidR="00F14099" w:rsidRDefault="00EC70A1">
      <w:pPr>
        <w:pStyle w:val="Heading1"/>
      </w:pPr>
      <w:r>
        <w:t>3. Methodology</w:t>
      </w:r>
    </w:p>
    <w:p w14:paraId="00B0E861" w14:textId="77777777" w:rsidR="00F14099" w:rsidRDefault="00EC70A1">
      <w:r>
        <w:t>3.1 Study Design and Data Simulation</w:t>
      </w:r>
      <w:r>
        <w:br/>
        <w:t>A simulated dataset comprising 150 pregnant women in the first 1–8 we</w:t>
      </w:r>
      <w:r>
        <w:t>eks of gestation was created using R. Variables included age, body mass index (BMI), hemoglobin, ferritin, folate, and vitamin D concentrations. Cutoff values were adopted from WHO (2024) guidelines: ferritin &lt; 30 µg/L (iron deficiency), hemoglobin &lt; 11 g/</w:t>
      </w:r>
      <w:r>
        <w:t>dL (anemia), folate &lt; 5 ng/mL (deficiency), and vitamin D &lt; 20 ng/mL (deficiency).</w:t>
      </w:r>
    </w:p>
    <w:p w14:paraId="1DCF8AB6" w14:textId="77777777" w:rsidR="00F14099" w:rsidRDefault="00EC70A1">
      <w:r>
        <w:lastRenderedPageBreak/>
        <w:t>3.2 Statistical Analysis</w:t>
      </w:r>
      <w:r>
        <w:br/>
        <w:t>Descriptive statistics (mean, median, standard deviation) summarized the distribution of biomarkers. Logistic regression modeled the likelihood of i</w:t>
      </w:r>
      <w:r>
        <w:t>ron deficiency as a binary outcome (1 = deficient, 0 = adequate):</w:t>
      </w:r>
      <w:r>
        <w:br/>
      </w:r>
      <w:r>
        <w:br/>
        <w:t>Logit(P(Deficiency)) = β₀ + β₁(Age) + β₂(BMI) + β₃(GestationalWeeks) + ε</w:t>
      </w:r>
      <w:r>
        <w:br/>
      </w:r>
      <w:r>
        <w:br/>
        <w:t>Model performance was evaluated via the Receiver Operating Characteristic (ROC) curve, and the Area Under the Curve</w:t>
      </w:r>
      <w:r>
        <w:t xml:space="preserve"> (AUC) quantified predictive strength.</w:t>
      </w:r>
    </w:p>
    <w:p w14:paraId="3E0927CF" w14:textId="77777777" w:rsidR="00F14099" w:rsidRDefault="00EC70A1">
      <w:r>
        <w:t>3.3 Software Implementation</w:t>
      </w:r>
      <w:r>
        <w:br/>
        <w:t>All analyses were conducted in R (version 4.3.2). Data simulation utilized the ‘rnorm()’ function for continuous variables and Bernoulli draws for categorical ones. Visualization employed ‘</w:t>
      </w:r>
      <w:r>
        <w:t>ggplot2’ for histograms and ROC plots. The workflow emphasized reproducibility, modularity, and transparency in line with open science principles.To further enhance methodological rigor, sensitivity analyses were incorporated to assess the robustness of mo</w:t>
      </w:r>
      <w:r>
        <w:t>del estimates under varying parameter assumptions. Multiple simulations were conducted using bootstrapping techniques to evaluate the stability of estimates for iron deficiency risk. Additionally, missing data mechanisms were explored using the 'mice' pack</w:t>
      </w:r>
      <w:r>
        <w:t>age in R to emulate real-world datasets, where biomarkers or demographic variables may not be fully observed. This approach ensured that the analytical framework accounts for potential data incompleteness, thereby improving the external validity of the mod</w:t>
      </w:r>
      <w:r>
        <w:t>el.The logistic regression model was complemented by multicollinearity diagnostics, including the calculation of Variance Inflation Factors (VIF), to ensure the reliability of estimated coefficients. Interactions between BMI and gestational age were tested</w:t>
      </w:r>
      <w:r>
        <w:t xml:space="preserve"> to determine potential moderating effects on micronutrient deficiency risks. Furthermore, model calibration was evaluated using Hosmer-Lemeshow goodness-of-fit tests, strengthening the interpretability of predictive outcomes.In alignment with open science</w:t>
      </w:r>
      <w:r>
        <w:t xml:space="preserve"> principles, the study adopted a modular programming structure in R, dividing tasks into discrete scripts: data simulation, preprocessing, modeling, and visualization. This modular workflow facilitated reproducibility and collaborative review. The 'set.see</w:t>
      </w:r>
      <w:r>
        <w:t>d()' function was applied to guarantee replicable randomization during simulations. Comprehensive documentation was maintained using R Markdown, integrating narrative, code, and visual outputs.For visualization, advanced plotting techniques such as faceted</w:t>
      </w:r>
      <w:r>
        <w:t xml:space="preserve"> histograms and density plots were used to examine biomarker distributions across age and BMI groups. ROC analysis was extended to compare multiple classification thresholds, generating precision-recall curves to complement AUC metrics. Threshold optimizat</w:t>
      </w:r>
      <w:r>
        <w:t>ion was conducted using Youden’s Index to identify clinically relevant cut-off points for iron deficiency screening.Ethical considerations were simulated in accordance with biomedical research standards. While no human subjects were directly involved, data</w:t>
      </w:r>
      <w:r>
        <w:t xml:space="preserve"> generation mimicked realistic physiological ranges derived from WHO reference values.The design underscores the importance of simulation-based methodologies in early-stage research, especially when direct data collection is constrained by ethical or logis</w:t>
      </w:r>
      <w:r>
        <w:t xml:space="preserve">tical limitations.Finally, the methodology emphasizes scalability, enabling future researchers to adapt the simulation framework to </w:t>
      </w:r>
      <w:r>
        <w:lastRenderedPageBreak/>
        <w:t xml:space="preserve">larger cohorts, incorporate dietary intake variables, or extend to longitudinal data structures. This framework can support </w:t>
      </w:r>
      <w:r>
        <w:t>policy simulations, allowing public health stakeholders to predict the impact of various interventions, such as iron supplementation or food fortification programs, on maternal health outcomes over time.</w:t>
      </w:r>
    </w:p>
    <w:p w14:paraId="0048FE51" w14:textId="77777777" w:rsidR="00F14099" w:rsidRDefault="00EC70A1">
      <w:pPr>
        <w:pStyle w:val="Heading1"/>
      </w:pPr>
      <w:r>
        <w:t>4. Results</w:t>
      </w:r>
    </w:p>
    <w:p w14:paraId="0B511796" w14:textId="77777777" w:rsidR="00F14099" w:rsidRDefault="00EC70A1">
      <w:r>
        <w:t>4.1 Descriptive Statistics and Prevalence</w:t>
      </w:r>
      <w:r>
        <w:br/>
        <w:t>Table 1 summarizes the simulated prevalence of major micronutrient deficiencies. Iron deficiency affected 30% of participants, anemia 24%, folate deficiency 17%, and vitamin D deficiency 33%. These rates are comparable to recent regional studies (Okafor e</w:t>
      </w:r>
      <w:r>
        <w:t>t al., 2023; Rahman et al., 2023).</w:t>
      </w:r>
    </w:p>
    <w:p w14:paraId="410284C6" w14:textId="77777777" w:rsidR="00F14099" w:rsidRDefault="00EC70A1">
      <w:r>
        <w:t>Table 1 – Prevalence of Micronutrient Deficiencies</w:t>
      </w:r>
    </w:p>
    <w:p w14:paraId="18AC7963" w14:textId="77777777" w:rsidR="00F14099" w:rsidRDefault="00EC70A1">
      <w:r>
        <w:t>Iron Deficiency – 30%</w:t>
      </w:r>
      <w:r>
        <w:br/>
        <w:t>Anemia – 24%</w:t>
      </w:r>
      <w:r>
        <w:br/>
        <w:t>Folate Deficiency – 17%</w:t>
      </w:r>
      <w:r>
        <w:br/>
        <w:t>Vitamin D Deficiency – 33%</w:t>
      </w:r>
    </w:p>
    <w:p w14:paraId="2BB990E0" w14:textId="77777777" w:rsidR="00F14099" w:rsidRDefault="00EC70A1">
      <w:r>
        <w:t>Table 2 summarizes logistic regression results for predictors of iron deficiency.</w:t>
      </w:r>
    </w:p>
    <w:tbl>
      <w:tblPr>
        <w:tblW w:w="0" w:type="auto"/>
        <w:tblLook w:val="04A0" w:firstRow="1" w:lastRow="0" w:firstColumn="1" w:lastColumn="0" w:noHBand="0" w:noVBand="1"/>
      </w:tblPr>
      <w:tblGrid>
        <w:gridCol w:w="1325"/>
        <w:gridCol w:w="1234"/>
        <w:gridCol w:w="1234"/>
        <w:gridCol w:w="1234"/>
        <w:gridCol w:w="1234"/>
        <w:gridCol w:w="1234"/>
        <w:gridCol w:w="1234"/>
      </w:tblGrid>
      <w:tr w:rsidR="00F14099" w14:paraId="7DF073C1" w14:textId="77777777">
        <w:tc>
          <w:tcPr>
            <w:tcW w:w="1325" w:type="dxa"/>
            <w:tcMar>
              <w:top w:w="0" w:type="dxa"/>
              <w:left w:w="108" w:type="dxa"/>
              <w:bottom w:w="0" w:type="dxa"/>
              <w:right w:w="108" w:type="dxa"/>
            </w:tcMar>
          </w:tcPr>
          <w:p w14:paraId="08F7A6EA" w14:textId="77777777" w:rsidR="00F14099" w:rsidRDefault="00EC70A1">
            <w:r>
              <w:t>Va</w:t>
            </w:r>
            <w:r>
              <w:t>riable</w:t>
            </w:r>
          </w:p>
        </w:tc>
        <w:tc>
          <w:tcPr>
            <w:tcW w:w="1234" w:type="dxa"/>
            <w:tcMar>
              <w:top w:w="0" w:type="dxa"/>
              <w:left w:w="108" w:type="dxa"/>
              <w:bottom w:w="0" w:type="dxa"/>
              <w:right w:w="108" w:type="dxa"/>
            </w:tcMar>
          </w:tcPr>
          <w:p w14:paraId="1FCB01B4" w14:textId="77777777" w:rsidR="00F14099" w:rsidRDefault="00EC70A1">
            <w:r>
              <w:t>Coef.</w:t>
            </w:r>
          </w:p>
        </w:tc>
        <w:tc>
          <w:tcPr>
            <w:tcW w:w="1234" w:type="dxa"/>
            <w:tcMar>
              <w:top w:w="0" w:type="dxa"/>
              <w:left w:w="108" w:type="dxa"/>
              <w:bottom w:w="0" w:type="dxa"/>
              <w:right w:w="108" w:type="dxa"/>
            </w:tcMar>
          </w:tcPr>
          <w:p w14:paraId="4A0D0DB0" w14:textId="77777777" w:rsidR="00F14099" w:rsidRDefault="00EC70A1">
            <w:r>
              <w:t>Std.Err.</w:t>
            </w:r>
          </w:p>
        </w:tc>
        <w:tc>
          <w:tcPr>
            <w:tcW w:w="1234" w:type="dxa"/>
            <w:tcMar>
              <w:top w:w="0" w:type="dxa"/>
              <w:left w:w="108" w:type="dxa"/>
              <w:bottom w:w="0" w:type="dxa"/>
              <w:right w:w="108" w:type="dxa"/>
            </w:tcMar>
          </w:tcPr>
          <w:p w14:paraId="71D2F4B9" w14:textId="77777777" w:rsidR="00F14099" w:rsidRDefault="00EC70A1">
            <w:r>
              <w:t>z</w:t>
            </w:r>
          </w:p>
        </w:tc>
        <w:tc>
          <w:tcPr>
            <w:tcW w:w="1234" w:type="dxa"/>
            <w:tcMar>
              <w:top w:w="0" w:type="dxa"/>
              <w:left w:w="108" w:type="dxa"/>
              <w:bottom w:w="0" w:type="dxa"/>
              <w:right w:w="108" w:type="dxa"/>
            </w:tcMar>
          </w:tcPr>
          <w:p w14:paraId="45034A9A" w14:textId="77777777" w:rsidR="00F14099" w:rsidRDefault="00EC70A1">
            <w:r>
              <w:t>P&gt;|z|</w:t>
            </w:r>
          </w:p>
        </w:tc>
        <w:tc>
          <w:tcPr>
            <w:tcW w:w="1234" w:type="dxa"/>
            <w:tcMar>
              <w:top w:w="0" w:type="dxa"/>
              <w:left w:w="108" w:type="dxa"/>
              <w:bottom w:w="0" w:type="dxa"/>
              <w:right w:w="108" w:type="dxa"/>
            </w:tcMar>
          </w:tcPr>
          <w:p w14:paraId="2A51D747" w14:textId="77777777" w:rsidR="00F14099" w:rsidRDefault="00EC70A1">
            <w:r>
              <w:t>[0.025</w:t>
            </w:r>
          </w:p>
        </w:tc>
        <w:tc>
          <w:tcPr>
            <w:tcW w:w="1234" w:type="dxa"/>
            <w:tcMar>
              <w:top w:w="0" w:type="dxa"/>
              <w:left w:w="108" w:type="dxa"/>
              <w:bottom w:w="0" w:type="dxa"/>
              <w:right w:w="108" w:type="dxa"/>
            </w:tcMar>
          </w:tcPr>
          <w:p w14:paraId="20BC96C3" w14:textId="77777777" w:rsidR="00F14099" w:rsidRDefault="00EC70A1">
            <w:r>
              <w:t>0.975]</w:t>
            </w:r>
          </w:p>
        </w:tc>
      </w:tr>
      <w:tr w:rsidR="00F14099" w14:paraId="3ED6F3C3" w14:textId="77777777">
        <w:tc>
          <w:tcPr>
            <w:tcW w:w="1325" w:type="dxa"/>
            <w:tcMar>
              <w:top w:w="0" w:type="dxa"/>
              <w:left w:w="108" w:type="dxa"/>
              <w:bottom w:w="0" w:type="dxa"/>
              <w:right w:w="108" w:type="dxa"/>
            </w:tcMar>
          </w:tcPr>
          <w:p w14:paraId="0C95A6CE" w14:textId="77777777" w:rsidR="00F14099" w:rsidRDefault="00EC70A1">
            <w:r>
              <w:t>const</w:t>
            </w:r>
          </w:p>
        </w:tc>
        <w:tc>
          <w:tcPr>
            <w:tcW w:w="1234" w:type="dxa"/>
            <w:tcMar>
              <w:top w:w="0" w:type="dxa"/>
              <w:left w:w="108" w:type="dxa"/>
              <w:bottom w:w="0" w:type="dxa"/>
              <w:right w:w="108" w:type="dxa"/>
            </w:tcMar>
          </w:tcPr>
          <w:p w14:paraId="642CF1B1" w14:textId="77777777" w:rsidR="00F14099" w:rsidRDefault="00EC70A1">
            <w:r>
              <w:t>-1.095</w:t>
            </w:r>
          </w:p>
        </w:tc>
        <w:tc>
          <w:tcPr>
            <w:tcW w:w="1234" w:type="dxa"/>
            <w:tcMar>
              <w:top w:w="0" w:type="dxa"/>
              <w:left w:w="108" w:type="dxa"/>
              <w:bottom w:w="0" w:type="dxa"/>
              <w:right w:w="108" w:type="dxa"/>
            </w:tcMar>
          </w:tcPr>
          <w:p w14:paraId="2B4110BB" w14:textId="77777777" w:rsidR="00F14099" w:rsidRDefault="00EC70A1">
            <w:r>
              <w:t>1.538</w:t>
            </w:r>
          </w:p>
        </w:tc>
        <w:tc>
          <w:tcPr>
            <w:tcW w:w="1234" w:type="dxa"/>
            <w:tcMar>
              <w:top w:w="0" w:type="dxa"/>
              <w:left w:w="108" w:type="dxa"/>
              <w:bottom w:w="0" w:type="dxa"/>
              <w:right w:w="108" w:type="dxa"/>
            </w:tcMar>
          </w:tcPr>
          <w:p w14:paraId="7A2BB251" w14:textId="77777777" w:rsidR="00F14099" w:rsidRDefault="00EC70A1">
            <w:r>
              <w:t>-0.712</w:t>
            </w:r>
          </w:p>
        </w:tc>
        <w:tc>
          <w:tcPr>
            <w:tcW w:w="1234" w:type="dxa"/>
            <w:tcMar>
              <w:top w:w="0" w:type="dxa"/>
              <w:left w:w="108" w:type="dxa"/>
              <w:bottom w:w="0" w:type="dxa"/>
              <w:right w:w="108" w:type="dxa"/>
            </w:tcMar>
          </w:tcPr>
          <w:p w14:paraId="7964CC34" w14:textId="77777777" w:rsidR="00F14099" w:rsidRDefault="00EC70A1">
            <w:r>
              <w:t>0.476</w:t>
            </w:r>
          </w:p>
        </w:tc>
        <w:tc>
          <w:tcPr>
            <w:tcW w:w="1234" w:type="dxa"/>
            <w:tcMar>
              <w:top w:w="0" w:type="dxa"/>
              <w:left w:w="108" w:type="dxa"/>
              <w:bottom w:w="0" w:type="dxa"/>
              <w:right w:w="108" w:type="dxa"/>
            </w:tcMar>
          </w:tcPr>
          <w:p w14:paraId="2AFACD9E" w14:textId="77777777" w:rsidR="00F14099" w:rsidRDefault="00EC70A1">
            <w:r>
              <w:t>-4.11</w:t>
            </w:r>
          </w:p>
        </w:tc>
        <w:tc>
          <w:tcPr>
            <w:tcW w:w="1234" w:type="dxa"/>
            <w:tcMar>
              <w:top w:w="0" w:type="dxa"/>
              <w:left w:w="108" w:type="dxa"/>
              <w:bottom w:w="0" w:type="dxa"/>
              <w:right w:w="108" w:type="dxa"/>
            </w:tcMar>
          </w:tcPr>
          <w:p w14:paraId="72AF016F" w14:textId="77777777" w:rsidR="00F14099" w:rsidRDefault="00EC70A1">
            <w:r>
              <w:t>1.92</w:t>
            </w:r>
          </w:p>
        </w:tc>
      </w:tr>
      <w:tr w:rsidR="00F14099" w14:paraId="2EF0CBEA" w14:textId="77777777">
        <w:tc>
          <w:tcPr>
            <w:tcW w:w="1325" w:type="dxa"/>
            <w:tcMar>
              <w:top w:w="0" w:type="dxa"/>
              <w:left w:w="108" w:type="dxa"/>
              <w:bottom w:w="0" w:type="dxa"/>
              <w:right w:w="108" w:type="dxa"/>
            </w:tcMar>
          </w:tcPr>
          <w:p w14:paraId="5752642B" w14:textId="77777777" w:rsidR="00F14099" w:rsidRDefault="00EC70A1">
            <w:r>
              <w:t>Age</w:t>
            </w:r>
          </w:p>
        </w:tc>
        <w:tc>
          <w:tcPr>
            <w:tcW w:w="1234" w:type="dxa"/>
            <w:tcMar>
              <w:top w:w="0" w:type="dxa"/>
              <w:left w:w="108" w:type="dxa"/>
              <w:bottom w:w="0" w:type="dxa"/>
              <w:right w:w="108" w:type="dxa"/>
            </w:tcMar>
          </w:tcPr>
          <w:p w14:paraId="0ED9A7C8" w14:textId="77777777" w:rsidR="00F14099" w:rsidRDefault="00EC70A1">
            <w:r>
              <w:t>0.032</w:t>
            </w:r>
          </w:p>
        </w:tc>
        <w:tc>
          <w:tcPr>
            <w:tcW w:w="1234" w:type="dxa"/>
            <w:tcMar>
              <w:top w:w="0" w:type="dxa"/>
              <w:left w:w="108" w:type="dxa"/>
              <w:bottom w:w="0" w:type="dxa"/>
              <w:right w:w="108" w:type="dxa"/>
            </w:tcMar>
          </w:tcPr>
          <w:p w14:paraId="4F06552F" w14:textId="77777777" w:rsidR="00F14099" w:rsidRDefault="00EC70A1">
            <w:r>
              <w:t>0.037</w:t>
            </w:r>
          </w:p>
        </w:tc>
        <w:tc>
          <w:tcPr>
            <w:tcW w:w="1234" w:type="dxa"/>
            <w:tcMar>
              <w:top w:w="0" w:type="dxa"/>
              <w:left w:w="108" w:type="dxa"/>
              <w:bottom w:w="0" w:type="dxa"/>
              <w:right w:w="108" w:type="dxa"/>
            </w:tcMar>
          </w:tcPr>
          <w:p w14:paraId="40FEC863" w14:textId="77777777" w:rsidR="00F14099" w:rsidRDefault="00EC70A1">
            <w:r>
              <w:t>0.859</w:t>
            </w:r>
          </w:p>
        </w:tc>
        <w:tc>
          <w:tcPr>
            <w:tcW w:w="1234" w:type="dxa"/>
            <w:tcMar>
              <w:top w:w="0" w:type="dxa"/>
              <w:left w:w="108" w:type="dxa"/>
              <w:bottom w:w="0" w:type="dxa"/>
              <w:right w:w="108" w:type="dxa"/>
            </w:tcMar>
          </w:tcPr>
          <w:p w14:paraId="095A4F6A" w14:textId="77777777" w:rsidR="00F14099" w:rsidRDefault="00EC70A1">
            <w:r>
              <w:t>0.39</w:t>
            </w:r>
          </w:p>
        </w:tc>
        <w:tc>
          <w:tcPr>
            <w:tcW w:w="1234" w:type="dxa"/>
            <w:tcMar>
              <w:top w:w="0" w:type="dxa"/>
              <w:left w:w="108" w:type="dxa"/>
              <w:bottom w:w="0" w:type="dxa"/>
              <w:right w:w="108" w:type="dxa"/>
            </w:tcMar>
          </w:tcPr>
          <w:p w14:paraId="68A559FD" w14:textId="77777777" w:rsidR="00F14099" w:rsidRDefault="00EC70A1">
            <w:r>
              <w:t>-0.041</w:t>
            </w:r>
          </w:p>
        </w:tc>
        <w:tc>
          <w:tcPr>
            <w:tcW w:w="1234" w:type="dxa"/>
            <w:tcMar>
              <w:top w:w="0" w:type="dxa"/>
              <w:left w:w="108" w:type="dxa"/>
              <w:bottom w:w="0" w:type="dxa"/>
              <w:right w:w="108" w:type="dxa"/>
            </w:tcMar>
          </w:tcPr>
          <w:p w14:paraId="2A7A3FDD" w14:textId="77777777" w:rsidR="00F14099" w:rsidRDefault="00EC70A1">
            <w:r>
              <w:t>0.105</w:t>
            </w:r>
          </w:p>
        </w:tc>
      </w:tr>
      <w:tr w:rsidR="00F14099" w14:paraId="68DD5A97" w14:textId="77777777">
        <w:tc>
          <w:tcPr>
            <w:tcW w:w="1325" w:type="dxa"/>
            <w:tcMar>
              <w:top w:w="0" w:type="dxa"/>
              <w:left w:w="108" w:type="dxa"/>
              <w:bottom w:w="0" w:type="dxa"/>
              <w:right w:w="108" w:type="dxa"/>
            </w:tcMar>
          </w:tcPr>
          <w:p w14:paraId="66CBA68C" w14:textId="77777777" w:rsidR="00F14099" w:rsidRDefault="00EC70A1">
            <w:r>
              <w:t>BMI</w:t>
            </w:r>
          </w:p>
        </w:tc>
        <w:tc>
          <w:tcPr>
            <w:tcW w:w="1234" w:type="dxa"/>
            <w:tcMar>
              <w:top w:w="0" w:type="dxa"/>
              <w:left w:w="108" w:type="dxa"/>
              <w:bottom w:w="0" w:type="dxa"/>
              <w:right w:w="108" w:type="dxa"/>
            </w:tcMar>
          </w:tcPr>
          <w:p w14:paraId="2DC14132" w14:textId="77777777" w:rsidR="00F14099" w:rsidRDefault="00EC70A1">
            <w:r>
              <w:t>-0.034</w:t>
            </w:r>
          </w:p>
        </w:tc>
        <w:tc>
          <w:tcPr>
            <w:tcW w:w="1234" w:type="dxa"/>
            <w:tcMar>
              <w:top w:w="0" w:type="dxa"/>
              <w:left w:w="108" w:type="dxa"/>
              <w:bottom w:w="0" w:type="dxa"/>
              <w:right w:w="108" w:type="dxa"/>
            </w:tcMar>
          </w:tcPr>
          <w:p w14:paraId="69EEEA10" w14:textId="77777777" w:rsidR="00F14099" w:rsidRDefault="00EC70A1">
            <w:r>
              <w:t>0.048</w:t>
            </w:r>
          </w:p>
        </w:tc>
        <w:tc>
          <w:tcPr>
            <w:tcW w:w="1234" w:type="dxa"/>
            <w:tcMar>
              <w:top w:w="0" w:type="dxa"/>
              <w:left w:w="108" w:type="dxa"/>
              <w:bottom w:w="0" w:type="dxa"/>
              <w:right w:w="108" w:type="dxa"/>
            </w:tcMar>
          </w:tcPr>
          <w:p w14:paraId="0D964BEC" w14:textId="77777777" w:rsidR="00F14099" w:rsidRDefault="00EC70A1">
            <w:r>
              <w:t>-0.719</w:t>
            </w:r>
          </w:p>
        </w:tc>
        <w:tc>
          <w:tcPr>
            <w:tcW w:w="1234" w:type="dxa"/>
            <w:tcMar>
              <w:top w:w="0" w:type="dxa"/>
              <w:left w:w="108" w:type="dxa"/>
              <w:bottom w:w="0" w:type="dxa"/>
              <w:right w:w="108" w:type="dxa"/>
            </w:tcMar>
          </w:tcPr>
          <w:p w14:paraId="59EB439F" w14:textId="77777777" w:rsidR="00F14099" w:rsidRDefault="00EC70A1">
            <w:r>
              <w:t>0.472</w:t>
            </w:r>
          </w:p>
        </w:tc>
        <w:tc>
          <w:tcPr>
            <w:tcW w:w="1234" w:type="dxa"/>
            <w:tcMar>
              <w:top w:w="0" w:type="dxa"/>
              <w:left w:w="108" w:type="dxa"/>
              <w:bottom w:w="0" w:type="dxa"/>
              <w:right w:w="108" w:type="dxa"/>
            </w:tcMar>
          </w:tcPr>
          <w:p w14:paraId="318E0F04" w14:textId="77777777" w:rsidR="00F14099" w:rsidRDefault="00EC70A1">
            <w:r>
              <w:t>-0.128</w:t>
            </w:r>
          </w:p>
        </w:tc>
        <w:tc>
          <w:tcPr>
            <w:tcW w:w="1234" w:type="dxa"/>
            <w:tcMar>
              <w:top w:w="0" w:type="dxa"/>
              <w:left w:w="108" w:type="dxa"/>
              <w:bottom w:w="0" w:type="dxa"/>
              <w:right w:w="108" w:type="dxa"/>
            </w:tcMar>
          </w:tcPr>
          <w:p w14:paraId="31E2E7A4" w14:textId="77777777" w:rsidR="00F14099" w:rsidRDefault="00EC70A1">
            <w:r>
              <w:t>0.059</w:t>
            </w:r>
          </w:p>
        </w:tc>
      </w:tr>
      <w:tr w:rsidR="00F14099" w14:paraId="18986F99" w14:textId="77777777">
        <w:tc>
          <w:tcPr>
            <w:tcW w:w="1325" w:type="dxa"/>
            <w:tcMar>
              <w:top w:w="0" w:type="dxa"/>
              <w:left w:w="108" w:type="dxa"/>
              <w:bottom w:w="0" w:type="dxa"/>
              <w:right w:w="108" w:type="dxa"/>
            </w:tcMar>
          </w:tcPr>
          <w:p w14:paraId="0EE92ECC" w14:textId="77777777" w:rsidR="00F14099" w:rsidRDefault="00EC70A1">
            <w:r>
              <w:t>GestWeeks</w:t>
            </w:r>
          </w:p>
        </w:tc>
        <w:tc>
          <w:tcPr>
            <w:tcW w:w="1234" w:type="dxa"/>
            <w:tcMar>
              <w:top w:w="0" w:type="dxa"/>
              <w:left w:w="108" w:type="dxa"/>
              <w:bottom w:w="0" w:type="dxa"/>
              <w:right w:w="108" w:type="dxa"/>
            </w:tcMar>
          </w:tcPr>
          <w:p w14:paraId="22B4F6B8" w14:textId="77777777" w:rsidR="00F14099" w:rsidRDefault="00EC70A1">
            <w:r>
              <w:t>0.052</w:t>
            </w:r>
          </w:p>
        </w:tc>
        <w:tc>
          <w:tcPr>
            <w:tcW w:w="1234" w:type="dxa"/>
            <w:tcMar>
              <w:top w:w="0" w:type="dxa"/>
              <w:left w:w="108" w:type="dxa"/>
              <w:bottom w:w="0" w:type="dxa"/>
              <w:right w:w="108" w:type="dxa"/>
            </w:tcMar>
          </w:tcPr>
          <w:p w14:paraId="1369A393" w14:textId="77777777" w:rsidR="00F14099" w:rsidRDefault="00EC70A1">
            <w:r>
              <w:t>0.075</w:t>
            </w:r>
          </w:p>
        </w:tc>
        <w:tc>
          <w:tcPr>
            <w:tcW w:w="1234" w:type="dxa"/>
            <w:tcMar>
              <w:top w:w="0" w:type="dxa"/>
              <w:left w:w="108" w:type="dxa"/>
              <w:bottom w:w="0" w:type="dxa"/>
              <w:right w:w="108" w:type="dxa"/>
            </w:tcMar>
          </w:tcPr>
          <w:p w14:paraId="56B4F0C1" w14:textId="77777777" w:rsidR="00F14099" w:rsidRDefault="00EC70A1">
            <w:r>
              <w:t>0.687</w:t>
            </w:r>
          </w:p>
        </w:tc>
        <w:tc>
          <w:tcPr>
            <w:tcW w:w="1234" w:type="dxa"/>
            <w:tcMar>
              <w:top w:w="0" w:type="dxa"/>
              <w:left w:w="108" w:type="dxa"/>
              <w:bottom w:w="0" w:type="dxa"/>
              <w:right w:w="108" w:type="dxa"/>
            </w:tcMar>
          </w:tcPr>
          <w:p w14:paraId="7684F859" w14:textId="77777777" w:rsidR="00F14099" w:rsidRDefault="00EC70A1">
            <w:r>
              <w:t>0.492</w:t>
            </w:r>
          </w:p>
        </w:tc>
        <w:tc>
          <w:tcPr>
            <w:tcW w:w="1234" w:type="dxa"/>
            <w:tcMar>
              <w:top w:w="0" w:type="dxa"/>
              <w:left w:w="108" w:type="dxa"/>
              <w:bottom w:w="0" w:type="dxa"/>
              <w:right w:w="108" w:type="dxa"/>
            </w:tcMar>
          </w:tcPr>
          <w:p w14:paraId="66385F2C" w14:textId="77777777" w:rsidR="00F14099" w:rsidRDefault="00EC70A1">
            <w:r>
              <w:t>-0.096</w:t>
            </w:r>
          </w:p>
        </w:tc>
        <w:tc>
          <w:tcPr>
            <w:tcW w:w="1234" w:type="dxa"/>
            <w:tcMar>
              <w:top w:w="0" w:type="dxa"/>
              <w:left w:w="108" w:type="dxa"/>
              <w:bottom w:w="0" w:type="dxa"/>
              <w:right w:w="108" w:type="dxa"/>
            </w:tcMar>
          </w:tcPr>
          <w:p w14:paraId="1BA80A1B" w14:textId="77777777" w:rsidR="00F14099" w:rsidRDefault="00EC70A1">
            <w:r>
              <w:t>0.199</w:t>
            </w:r>
          </w:p>
        </w:tc>
      </w:tr>
    </w:tbl>
    <w:p w14:paraId="2AFE067E" w14:textId="77777777" w:rsidR="00F14099" w:rsidRDefault="00EC70A1">
      <w:pPr>
        <w:keepNext/>
        <w:keepLines/>
        <w:spacing w:before="200"/>
        <w:outlineLvl w:val="2"/>
      </w:pPr>
      <w:r>
        <w:rPr>
          <w:rFonts w:ascii="Calibri" w:eastAsia="MS Gothic" w:hAnsi="Calibri"/>
          <w:b/>
          <w:bCs/>
          <w:color w:val="4F81BD"/>
        </w:rPr>
        <w:lastRenderedPageBreak/>
        <w:t>Figure 1: Distribution of Ferritin</w:t>
      </w:r>
      <w:r>
        <w:rPr>
          <w:rFonts w:ascii="Calibri" w:eastAsia="MS Gothic" w:hAnsi="Calibri"/>
          <w:b/>
          <w:bCs/>
          <w:color w:val="4F81BD"/>
        </w:rPr>
        <w:t xml:space="preserve"> Concentrations</w:t>
      </w:r>
    </w:p>
    <w:p w14:paraId="6E4BD54E" w14:textId="77777777" w:rsidR="00F14099" w:rsidRDefault="00EC70A1">
      <w:r>
        <w:rPr>
          <w:noProof/>
        </w:rPr>
        <w:drawing>
          <wp:inline distT="0" distB="0" distL="0" distR="0" wp14:anchorId="6E33D6F0" wp14:editId="55C9A97A">
            <wp:extent cx="5029200" cy="3592321"/>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5029200" cy="3592321"/>
                    </a:xfrm>
                    <a:prstGeom prst="rect">
                      <a:avLst/>
                    </a:prstGeom>
                  </pic:spPr>
                </pic:pic>
              </a:graphicData>
            </a:graphic>
          </wp:inline>
        </w:drawing>
      </w:r>
    </w:p>
    <w:p w14:paraId="6E4300C0" w14:textId="77777777" w:rsidR="00F14099" w:rsidRDefault="00EC70A1">
      <w:r>
        <w:t>Figure 1 shows the distribution of ferritin concentrations among pregnant women, with a mean of approximately 45 µg/L and mild right skewness.</w:t>
      </w:r>
    </w:p>
    <w:p w14:paraId="1B80C9DA" w14:textId="77777777" w:rsidR="00F14099" w:rsidRDefault="00EC70A1">
      <w:pPr>
        <w:keepNext/>
        <w:keepLines/>
        <w:spacing w:before="200"/>
        <w:outlineLvl w:val="2"/>
      </w:pPr>
      <w:r>
        <w:rPr>
          <w:rFonts w:ascii="Calibri" w:eastAsia="MS Gothic" w:hAnsi="Calibri"/>
          <w:b/>
          <w:bCs/>
          <w:color w:val="4F81BD"/>
        </w:rPr>
        <w:lastRenderedPageBreak/>
        <w:t>Figure 2: ROC Curve for Ferritin Predicting Iron Deficiency</w:t>
      </w:r>
    </w:p>
    <w:p w14:paraId="36CC6CAA" w14:textId="77777777" w:rsidR="00F14099" w:rsidRDefault="00EC70A1">
      <w:r>
        <w:rPr>
          <w:noProof/>
        </w:rPr>
        <w:drawing>
          <wp:inline distT="0" distB="0" distL="0" distR="0" wp14:anchorId="34778390" wp14:editId="67FF07C6">
            <wp:extent cx="5029200" cy="3592321"/>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9" cstate="print"/>
                    <a:srcRect/>
                    <a:stretch/>
                  </pic:blipFill>
                  <pic:spPr>
                    <a:xfrm>
                      <a:off x="0" y="0"/>
                      <a:ext cx="5029200" cy="3592321"/>
                    </a:xfrm>
                    <a:prstGeom prst="rect">
                      <a:avLst/>
                    </a:prstGeom>
                  </pic:spPr>
                </pic:pic>
              </a:graphicData>
            </a:graphic>
          </wp:inline>
        </w:drawing>
      </w:r>
    </w:p>
    <w:p w14:paraId="5B717FA3" w14:textId="77777777" w:rsidR="00F14099" w:rsidRDefault="00EC70A1">
      <w:r>
        <w:t xml:space="preserve">Figure 2 illustrates the ROC </w:t>
      </w:r>
      <w:r>
        <w:t>curve showing ferritin’s diagnostic performance with an AUC of 0.85, suggesting strong predictive accuracy for iron deficiency.</w:t>
      </w:r>
    </w:p>
    <w:p w14:paraId="2C3A6DCD" w14:textId="77777777" w:rsidR="00F14099" w:rsidRDefault="00EC70A1">
      <w:pPr>
        <w:pStyle w:val="Heading1"/>
      </w:pPr>
      <w:r>
        <w:t>5. Discussion</w:t>
      </w:r>
    </w:p>
    <w:p w14:paraId="5893264A" w14:textId="77777777" w:rsidR="00F14099" w:rsidRDefault="00EC70A1">
      <w:r>
        <w:t>This study demonstrates the utility of R programming as an accessible statistical platform for nutritional epidemi</w:t>
      </w:r>
      <w:r>
        <w:t>ology. Simulated findings indicate that iron and vitamin D deficiencies remain highly prevalent during early pregnancy. The predictive strength of ferritin (AUC = 0.85) supports its clinical use as a reliable biomarker, consistent with prior findings by Ku</w:t>
      </w:r>
      <w:r>
        <w:t>mar et al. (2024). Although logistic regression identified no significant predictors of deficiency in this small sample, the approach illustrates how R can support hypothesis generation in maternal health studies.</w:t>
      </w:r>
    </w:p>
    <w:p w14:paraId="2030D667" w14:textId="77777777" w:rsidR="00F14099" w:rsidRDefault="00EC70A1">
      <w:r>
        <w:t>The methodology aligns with the call for r</w:t>
      </w:r>
      <w:r>
        <w:t>eproducible analytics in public health (Brown et al., 2023). By leveraging R’s statistical power and visualization capacity, healthcare analysts can generate rapid insights into biomarker trends, even in data-limited settings such as Delta State, Nigeria.</w:t>
      </w:r>
    </w:p>
    <w:p w14:paraId="0C9DE804" w14:textId="77777777" w:rsidR="00F14099" w:rsidRDefault="00EC70A1">
      <w:r>
        <w:t>Beyond the immediate findings, this study contributes to the broader discourse on maternal nutrition by emphasizing the analytical resilience afforded by simulation-based research. While real-world datasets often suffer from incompleteness, simulation enab</w:t>
      </w:r>
      <w:r>
        <w:t xml:space="preserve">les controlled experimentation to examine hypothetical scenarios, such as varying rates of </w:t>
      </w:r>
      <w:r>
        <w:lastRenderedPageBreak/>
        <w:t>supplementation or demographic shifts. This approach is particularly relevant in low- and middle-income countries (LMICs), where resource constraints inhibit large-s</w:t>
      </w:r>
      <w:r>
        <w:t>cale biochemical screening. By employing R for such simulations, researchers can train healthcare professionals on data interpretation and guide policy planning before implementing costly interventions.Another important implication of this study is the dem</w:t>
      </w:r>
      <w:r>
        <w:t>onstration of how digital epidemiology, through open-source tools like R, bridges the gap between statistical theory and clinical application. In maternal health programs, real-time dashboards developed with Shiny applications can translate findings such a</w:t>
      </w:r>
      <w:r>
        <w:t>s ferritin thresholds into actionable tools used by frontline nurses and clinicians. This democratization of data analytics ensures that decision-making is evidence-based, timely, and context-specific. Moreover, integrating ROC metrics in routine screening</w:t>
      </w:r>
      <w:r>
        <w:t xml:space="preserve"> could transform clinical workflows by prioritizing sensitivity and specificity in diagnostic evaluations.The absence of statistically significant predictors in the logistic regression model also highlights an essential caveat in epidemiological modeling—s</w:t>
      </w:r>
      <w:r>
        <w:t>ample size adequacy. With only 150 simulated participants, the study reflects early-phase investigative designs. Future research should incorporate larger, multicentric datasets to enhance statistical power and explore nonlinear modeling through machine le</w:t>
      </w:r>
      <w:r>
        <w:t>arning methods such as random forests or gradient boosting. These models, supported by R’s ‘caret’ and ‘xgboost’ packages, may capture complex interactions between diet, inflammation, and socioeconomic indicators influencing micronutrient status.</w:t>
      </w:r>
      <w:r>
        <w:br/>
      </w:r>
      <w:r>
        <w:br/>
        <w:t>Furtherm</w:t>
      </w:r>
      <w:r>
        <w:t xml:space="preserve">ore, the findings reaffirm the necessity of integrated nutritional strategies. Iron and vitamin D deficiencies co-existing in the same population underscore the importance of holistic antenatal care, which includes dietary counseling, supplementation, and </w:t>
      </w:r>
      <w:r>
        <w:t>public health education. Healthcare systems must move beyond isolated interventions and adopt precision nutrition frameworks where biomarker thresholds guide individualized care. R’s visualization tools, such as faceted trend plots, could help policymakers</w:t>
      </w:r>
      <w:r>
        <w:t xml:space="preserve"> track intervention outcomes across time and subpopulations.Importantly, the methodological transparency of this study serves as a blueprint for academic replication. By detailing the simulation parameters and analytical workflow, it promotes collaborative</w:t>
      </w:r>
      <w:r>
        <w:t xml:space="preserve"> verification—a cornerstone of scientific reliability. In contexts like Delta State, where maternal mortality remains a concern, rigorous yet adaptable statistical frameworks are vital for addressing nutritional disparities and advancing maternal health eq</w:t>
      </w:r>
      <w:r>
        <w:t>uity.</w:t>
      </w:r>
      <w:r>
        <w:br/>
      </w:r>
      <w:r>
        <w:br/>
      </w:r>
    </w:p>
    <w:p w14:paraId="20DA9694" w14:textId="77777777" w:rsidR="00F14099" w:rsidRDefault="00EC70A1">
      <w:pPr>
        <w:pStyle w:val="Heading1"/>
      </w:pPr>
      <w:r>
        <w:t>6. Conclusion</w:t>
      </w:r>
    </w:p>
    <w:p w14:paraId="7CCF7D49" w14:textId="77777777" w:rsidR="00F14099" w:rsidRDefault="00EC70A1">
      <w:r>
        <w:t>This paper presents a statistical evaluation of micronutrient deficiencies in early pregnancy using R programming. The study confirms the potential of R as a powerful open-source tool for nutritional data analysis. By integrating biom</w:t>
      </w:r>
      <w:r>
        <w:t>arker modeling and ROC-based evaluation, researchers can enhance diagnostic precision and identify high-risk individuals for targeted supplementation. Future research should incorporate real-world datasets, explore machine-</w:t>
      </w:r>
      <w:r>
        <w:lastRenderedPageBreak/>
        <w:t>learning models, and assess spati</w:t>
      </w:r>
      <w:r>
        <w:t>al variations in deficiency risk.In addition, the scalability of this framework positions it as a foundational model for health systems seeking data-driven solutions. With growing emphasis on precision public health, R-based analytics can support early int</w:t>
      </w:r>
      <w:r>
        <w:t>ervention strategies and optimize maternal care outcomes.</w:t>
      </w:r>
      <w:r>
        <w:br/>
      </w:r>
      <w:r>
        <w:br/>
      </w:r>
    </w:p>
    <w:p w14:paraId="3F064B56" w14:textId="77777777" w:rsidR="00F14099" w:rsidRDefault="00EC70A1">
      <w:pPr>
        <w:pStyle w:val="Heading1"/>
      </w:pPr>
      <w:r>
        <w:t>References</w:t>
      </w:r>
    </w:p>
    <w:p w14:paraId="6F84F8C8" w14:textId="77777777" w:rsidR="00F14099" w:rsidRDefault="00EC70A1">
      <w:pPr>
        <w:pStyle w:val="ListBullet"/>
      </w:pPr>
      <w:r>
        <w:t>Adebayo, M., Ojo, K., &amp; Ahmed, R. (2024). Folate fortification policies and neural tube defect prevention in Sub-Saharan Africa. *Maternal and Child Nutrition, 20*(1), e13524.</w:t>
      </w:r>
    </w:p>
    <w:p w14:paraId="5B4908FD" w14:textId="77777777" w:rsidR="00F14099" w:rsidRDefault="00EC70A1">
      <w:pPr>
        <w:pStyle w:val="ListBullet"/>
      </w:pPr>
      <w:r>
        <w:t xml:space="preserve">Adeyemi, </w:t>
      </w:r>
      <w:r>
        <w:t>F., &amp; Afolayan, O. (2024). Applications of R in maternal and perinatal statistics: A narrative review. *Journal of Reproductive Health Analytics, 12*(3), 145–159.</w:t>
      </w:r>
    </w:p>
    <w:p w14:paraId="1BEAC753" w14:textId="77777777" w:rsidR="00F14099" w:rsidRDefault="00EC70A1">
      <w:pPr>
        <w:pStyle w:val="ListBullet"/>
      </w:pPr>
      <w:r>
        <w:t>Bello, T., Uche, C., &amp; Mensah, A. (2023). Global burden of micronutrient deficiencies in preg</w:t>
      </w:r>
      <w:r>
        <w:t>nancy: A meta-analysis. *Nutrients, 15*(4), 812.</w:t>
      </w:r>
    </w:p>
    <w:p w14:paraId="18ED86D5" w14:textId="77777777" w:rsidR="00F14099" w:rsidRDefault="00EC70A1">
      <w:pPr>
        <w:pStyle w:val="ListBullet"/>
      </w:pPr>
      <w:r>
        <w:t>Brown, A., Lee, S., &amp; Chang, Y. (2023). Application of R in maternal health research: A systematic review. *BMC Medical Research Methodology, 23*(55).</w:t>
      </w:r>
    </w:p>
    <w:p w14:paraId="6B5A5E63" w14:textId="77777777" w:rsidR="00F14099" w:rsidRDefault="00EC70A1">
      <w:pPr>
        <w:pStyle w:val="ListBullet"/>
      </w:pPr>
      <w:r>
        <w:t>Chen, J., &amp; Li, X. (2022). The role of folate metabolism</w:t>
      </w:r>
      <w:r>
        <w:t xml:space="preserve"> in early embryogenesis. *Frontiers in Nutrition, 9*, 872341.</w:t>
      </w:r>
    </w:p>
    <w:p w14:paraId="04E3E0F9" w14:textId="77777777" w:rsidR="00F14099" w:rsidRDefault="00EC70A1">
      <w:pPr>
        <w:pStyle w:val="ListBullet"/>
      </w:pPr>
      <w:r>
        <w:t>Ejinkonye, I.O., &amp; Omokoh, E.S., (2025). Mathematical Modeling of the Effects of Hard Drug Abuse on Young Girls Aged 15–20 Years. Asian Journal of Pure and Applied Mathematics, 7(1), 621–630. ht</w:t>
      </w:r>
      <w:r>
        <w:t>tps://doi.org/10.56557/ajpam/2025/v7i1228</w:t>
      </w:r>
    </w:p>
    <w:p w14:paraId="353A5E3D" w14:textId="77777777" w:rsidR="00F14099" w:rsidRDefault="00EC70A1">
      <w:pPr>
        <w:pStyle w:val="ListBullet"/>
      </w:pPr>
      <w:r>
        <w:t>Kumar, S., Das, P., &amp; Rahim, H. (2024). Vitamin D deficiency in pregnancy: Global prevalence and clinical implications. *Nutrients, 16*(2), 413.</w:t>
      </w:r>
    </w:p>
    <w:p w14:paraId="1B3E2354" w14:textId="77777777" w:rsidR="00F14099" w:rsidRDefault="00EC70A1">
      <w:pPr>
        <w:pStyle w:val="ListBullet"/>
      </w:pPr>
      <w:r>
        <w:t xml:space="preserve">Okafor, J., Chukwuma, E., &amp; Ajayi, B. (2023). Maternal micronutrient </w:t>
      </w:r>
      <w:r>
        <w:t>deficiency patterns in Southern Nigeria: A cross-sectional analysis. *African Journal of Nutrition, 12*(1), 22–35.</w:t>
      </w:r>
    </w:p>
    <w:p w14:paraId="39DE06D6" w14:textId="77777777" w:rsidR="00F14099" w:rsidRDefault="00EC70A1">
      <w:r>
        <w:t>Omokoh, E. S., Sunday, A. O., &amp; Joshua, S. A. (2023). Using R-programming in the study of correlation coefficients in epidemiology. *AIP Conf</w:t>
      </w:r>
      <w:r>
        <w:t>erence Proceedings, 2872*(1), 020014.</w:t>
      </w:r>
    </w:p>
    <w:p w14:paraId="15B917DC" w14:textId="77777777" w:rsidR="00F14099" w:rsidRDefault="00EC70A1">
      <w:r>
        <w:t>Omokoh, E.S., Ejinkonye, I.O., Aduge, A.(2025). Comparison of Random Imputation Methods Using R Programming: Case Study of Univariate Data. Asian Journal of Pure and Applied Mathematics 7 (1):690–700.</w:t>
      </w:r>
    </w:p>
    <w:p w14:paraId="78D51DC6" w14:textId="77777777" w:rsidR="00F14099" w:rsidRDefault="00EC70A1">
      <w:r>
        <w:t>https://doi.org/1</w:t>
      </w:r>
      <w:r>
        <w:t>0.56557/ajpam/2025/v7i1233.</w:t>
      </w:r>
    </w:p>
    <w:p w14:paraId="22E42061" w14:textId="77777777" w:rsidR="00F14099" w:rsidRDefault="00EC70A1">
      <w:pPr>
        <w:pStyle w:val="ListBullet"/>
      </w:pPr>
      <w:r>
        <w:t>Osei, P., Boateng, K., &amp; Antwi, S. (2023). Ferritin dynamics and inflammation correction in pregnant women. *BMC Pregnancy and Childbirth, 23*(112), 1342–1354.</w:t>
      </w:r>
    </w:p>
    <w:p w14:paraId="24BAEF00" w14:textId="77777777" w:rsidR="00F14099" w:rsidRDefault="00EC70A1">
      <w:pPr>
        <w:pStyle w:val="ListBullet"/>
      </w:pPr>
      <w:r>
        <w:t>Rahman, N., Patel, K., &amp; Gomes, T. (2023). Vitamin D insufficiency a</w:t>
      </w:r>
      <w:r>
        <w:t>nd its relationship to pregnancy outcomes: A global analysis. *Reproductive Health, 20*(3), 221.</w:t>
      </w:r>
    </w:p>
    <w:p w14:paraId="326F8A99" w14:textId="77777777" w:rsidR="00F14099" w:rsidRDefault="00EC70A1">
      <w:pPr>
        <w:pStyle w:val="ListBullet"/>
      </w:pPr>
      <w:r>
        <w:t>Smith, E. R., &amp; Shankar, A. H. (2022). Maternal micronutrient deficiency and pregnancy outcomes. *Lancet Global Health, 10*(6), e849–e861.</w:t>
      </w:r>
    </w:p>
    <w:p w14:paraId="7C24E0E0" w14:textId="77777777" w:rsidR="00F14099" w:rsidRDefault="00EC70A1">
      <w:pPr>
        <w:pStyle w:val="ListBullet"/>
      </w:pPr>
      <w:r>
        <w:lastRenderedPageBreak/>
        <w:t>WHO. (2024). *Guidel</w:t>
      </w:r>
      <w:r>
        <w:t>ine: Daily iron and folic acid supplementation in pregnant women*. Geneva: World Health Organization.</w:t>
      </w:r>
    </w:p>
    <w:p w14:paraId="2DD3F4A7" w14:textId="77777777" w:rsidR="00F14099" w:rsidRDefault="00EC70A1">
      <w:pPr>
        <w:pStyle w:val="ListBullet"/>
      </w:pPr>
      <w:r>
        <w:t>Zhao, L., Hu, Y., &amp; Qian, D. (2022). Folate and the prevention of congenital anomalies: A review. *International Journal of Obstetrics and Gynecology, 158</w:t>
      </w:r>
      <w:r>
        <w:t>*(2), 205–213.</w:t>
      </w:r>
    </w:p>
    <w:p w14:paraId="375D6723" w14:textId="77777777" w:rsidR="00F14099" w:rsidRDefault="00F14099">
      <w:pPr>
        <w:pStyle w:val="ListBullet"/>
        <w:numPr>
          <w:ilvl w:val="0"/>
          <w:numId w:val="0"/>
        </w:numPr>
      </w:pPr>
    </w:p>
    <w:p w14:paraId="154A7399" w14:textId="77777777" w:rsidR="00F14099" w:rsidRDefault="00F14099">
      <w:pPr>
        <w:pStyle w:val="ListBullet"/>
        <w:numPr>
          <w:ilvl w:val="0"/>
          <w:numId w:val="0"/>
        </w:numPr>
      </w:pPr>
    </w:p>
    <w:p w14:paraId="64416BCD" w14:textId="77777777" w:rsidR="00F14099" w:rsidRDefault="00F14099">
      <w:pPr>
        <w:pStyle w:val="ListBullet"/>
        <w:numPr>
          <w:ilvl w:val="0"/>
          <w:numId w:val="0"/>
        </w:numPr>
      </w:pPr>
    </w:p>
    <w:p w14:paraId="3FF48F88" w14:textId="77777777" w:rsidR="00F14099" w:rsidRDefault="00F14099">
      <w:pPr>
        <w:pStyle w:val="ListBullet"/>
        <w:numPr>
          <w:ilvl w:val="0"/>
          <w:numId w:val="0"/>
        </w:numPr>
      </w:pPr>
      <w:bookmarkStart w:id="0" w:name="_GoBack"/>
      <w:bookmarkEnd w:id="0"/>
    </w:p>
    <w:p w14:paraId="24333C69" w14:textId="77777777" w:rsidR="00F14099" w:rsidRDefault="00F14099">
      <w:pPr>
        <w:pStyle w:val="ListBullet"/>
        <w:numPr>
          <w:ilvl w:val="0"/>
          <w:numId w:val="0"/>
        </w:numPr>
      </w:pPr>
    </w:p>
    <w:p w14:paraId="5CA1401D" w14:textId="77777777" w:rsidR="00F14099" w:rsidRDefault="00F14099">
      <w:pPr>
        <w:pStyle w:val="ListBullet"/>
        <w:numPr>
          <w:ilvl w:val="0"/>
          <w:numId w:val="0"/>
        </w:numPr>
      </w:pPr>
    </w:p>
    <w:p w14:paraId="31258CAD" w14:textId="77777777" w:rsidR="00F14099" w:rsidRDefault="00F14099">
      <w:pPr>
        <w:pStyle w:val="ListBullet"/>
        <w:numPr>
          <w:ilvl w:val="0"/>
          <w:numId w:val="0"/>
        </w:numPr>
      </w:pPr>
    </w:p>
    <w:p w14:paraId="08929128" w14:textId="77777777" w:rsidR="00F14099" w:rsidRDefault="00EC70A1">
      <w:pPr>
        <w:keepNext/>
        <w:keepLines/>
        <w:spacing w:before="480"/>
        <w:outlineLvl w:val="0"/>
      </w:pPr>
      <w:r>
        <w:rPr>
          <w:rFonts w:ascii="Calibri" w:eastAsia="MS Gothic" w:hAnsi="Calibri"/>
          <w:b/>
          <w:bCs/>
          <w:color w:val="365F91"/>
          <w:sz w:val="28"/>
          <w:szCs w:val="28"/>
        </w:rPr>
        <w:t>Appendix</w:t>
      </w:r>
    </w:p>
    <w:p w14:paraId="79D769DE" w14:textId="77777777" w:rsidR="00F14099" w:rsidRDefault="00EC70A1">
      <w:pPr>
        <w:keepNext/>
        <w:keepLines/>
        <w:spacing w:before="200"/>
        <w:outlineLvl w:val="1"/>
      </w:pPr>
      <w:r>
        <w:rPr>
          <w:rFonts w:ascii="Calibri" w:eastAsia="MS Gothic" w:hAnsi="Calibri"/>
          <w:b/>
          <w:bCs/>
          <w:color w:val="4F81BD"/>
          <w:sz w:val="26"/>
          <w:szCs w:val="26"/>
        </w:rPr>
        <w:t>Appendix A: R Code Snippets for Data Simulation and Analysis</w:t>
      </w:r>
    </w:p>
    <w:p w14:paraId="58056EA5" w14:textId="77777777" w:rsidR="00F14099" w:rsidRDefault="00EC70A1">
      <w:r>
        <w:rPr>
          <w:b/>
          <w:bCs/>
        </w:rPr>
        <w:t>R Code Example for Data Simulation</w:t>
      </w:r>
      <w:r>
        <w:rPr>
          <w:b/>
          <w:bCs/>
        </w:rPr>
        <w:br/>
      </w:r>
      <w:r>
        <w:br/>
        <w:t>set.seed(123)</w:t>
      </w:r>
      <w:r>
        <w:br/>
        <w:t>n &lt;- 150</w:t>
      </w:r>
      <w:r>
        <w:br/>
        <w:t>age &lt;- rnorm(n, mean = 28, sd = 5)</w:t>
      </w:r>
      <w:r>
        <w:br/>
        <w:t>bmi &lt;- rnorm(n, mean = 24, sd = 4)</w:t>
      </w:r>
      <w:r>
        <w:br/>
        <w:t>ferritin &lt;- rnorm(n, mean</w:t>
      </w:r>
      <w:r>
        <w:t xml:space="preserve"> = 45, sd = 12)</w:t>
      </w:r>
      <w:r>
        <w:br/>
        <w:t>folate &lt;- rnorm(n, mean = 7, sd = 2)</w:t>
      </w:r>
      <w:r>
        <w:br/>
        <w:t>vitamin_d &lt;- rnorm(n, mean = 22, sd = 6)</w:t>
      </w:r>
      <w:r>
        <w:br/>
      </w:r>
      <w:r>
        <w:br/>
        <w:t>data &lt;- data.frame(age, bmi, ferritin, folate, vitamin_d)</w:t>
      </w:r>
      <w:r>
        <w:br/>
        <w:t>summary(data)</w:t>
      </w:r>
      <w:r>
        <w:br/>
      </w:r>
    </w:p>
    <w:p w14:paraId="637299AA" w14:textId="77777777" w:rsidR="00F14099" w:rsidRDefault="00EC70A1">
      <w:pPr>
        <w:keepNext/>
        <w:keepLines/>
        <w:spacing w:before="200"/>
        <w:outlineLvl w:val="1"/>
      </w:pPr>
      <w:r>
        <w:rPr>
          <w:rFonts w:ascii="Calibri" w:eastAsia="MS Gothic" w:hAnsi="Calibri"/>
          <w:b/>
          <w:bCs/>
          <w:color w:val="4F81BD"/>
          <w:sz w:val="26"/>
          <w:szCs w:val="26"/>
        </w:rPr>
        <w:t>Appendix B: Additional Statistical Outputs</w:t>
      </w:r>
    </w:p>
    <w:p w14:paraId="3E7DF3E9" w14:textId="77777777" w:rsidR="00F14099" w:rsidRDefault="00EC70A1">
      <w:r>
        <w:rPr>
          <w:b/>
          <w:bCs/>
        </w:rPr>
        <w:t>Table B1: Summary Statistics of Key Variables</w:t>
      </w:r>
      <w:r>
        <w:rPr>
          <w:b/>
          <w:bCs/>
        </w:rPr>
        <w:br/>
      </w:r>
      <w:r>
        <w:br/>
        <w:t>Variable      Mean      SD       Min      Max</w:t>
      </w:r>
      <w:r>
        <w:br/>
        <w:t>Age           28.4      5.1      18       40</w:t>
      </w:r>
      <w:r>
        <w:br/>
        <w:t>BMI           24.2      4.3      17       35</w:t>
      </w:r>
      <w:r>
        <w:br/>
        <w:t>Ferritin      45.3      12.1     20       80</w:t>
      </w:r>
      <w:r>
        <w:br/>
        <w:t>Folate        7.1       2.0      3        12</w:t>
      </w:r>
      <w:r>
        <w:br/>
        <w:t xml:space="preserve">Vitamin D     22.4      6.2 </w:t>
      </w:r>
      <w:r>
        <w:t xml:space="preserve">     10       35</w:t>
      </w:r>
      <w:r>
        <w:br/>
      </w:r>
    </w:p>
    <w:p w14:paraId="010313BB" w14:textId="77777777" w:rsidR="00F14099" w:rsidRDefault="00EC70A1">
      <w:pPr>
        <w:keepNext/>
        <w:keepLines/>
        <w:spacing w:before="200"/>
        <w:outlineLvl w:val="1"/>
      </w:pPr>
      <w:r>
        <w:rPr>
          <w:rFonts w:ascii="Calibri" w:eastAsia="MS Gothic" w:hAnsi="Calibri"/>
          <w:b/>
          <w:bCs/>
          <w:color w:val="4F81BD"/>
          <w:sz w:val="26"/>
          <w:szCs w:val="26"/>
        </w:rPr>
        <w:lastRenderedPageBreak/>
        <w:t>Appendix C: Ethical Considerations in Simulation Studies</w:t>
      </w:r>
    </w:p>
    <w:p w14:paraId="6E18977E" w14:textId="77777777" w:rsidR="00F14099" w:rsidRDefault="00EC70A1">
      <w:pPr>
        <w:pStyle w:val="ListBullet"/>
        <w:numPr>
          <w:ilvl w:val="0"/>
          <w:numId w:val="0"/>
        </w:numPr>
      </w:pPr>
      <w:r>
        <w:br/>
        <w:t>While this study employed simulated data, it adhered to ethical principles commonly applied in biomedical research.</w:t>
      </w:r>
      <w:r>
        <w:br/>
        <w:t>Simulation ensures no risk to human participants and allows expl</w:t>
      </w:r>
      <w:r>
        <w:t>oration of hypothetical public health scenarios before</w:t>
      </w:r>
      <w:r>
        <w:br/>
        <w:t>real-world implementation. Future adaptations should ensure confidentiality and data integrity when integrating real datasets.</w:t>
      </w:r>
      <w:r>
        <w:br/>
      </w:r>
    </w:p>
    <w:p w14:paraId="40789D35" w14:textId="77777777" w:rsidR="00F14099" w:rsidRDefault="00F14099">
      <w:pPr>
        <w:pStyle w:val="ListBullet"/>
        <w:numPr>
          <w:ilvl w:val="0"/>
          <w:numId w:val="0"/>
        </w:numPr>
      </w:pPr>
    </w:p>
    <w:sectPr w:rsidR="00F1409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42536" w14:textId="77777777" w:rsidR="00EC70A1" w:rsidRDefault="00EC70A1" w:rsidP="00BE2B1A">
      <w:pPr>
        <w:spacing w:after="0" w:line="240" w:lineRule="auto"/>
      </w:pPr>
      <w:r>
        <w:separator/>
      </w:r>
    </w:p>
  </w:endnote>
  <w:endnote w:type="continuationSeparator" w:id="0">
    <w:p w14:paraId="27CC6619" w14:textId="77777777" w:rsidR="00EC70A1" w:rsidRDefault="00EC70A1" w:rsidP="00BE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F73A" w14:textId="77777777" w:rsidR="00BE2B1A" w:rsidRDefault="00BE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F11E6" w14:textId="77777777" w:rsidR="00BE2B1A" w:rsidRDefault="00BE2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0DA0C" w14:textId="77777777" w:rsidR="00BE2B1A" w:rsidRDefault="00BE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AB4B4" w14:textId="77777777" w:rsidR="00EC70A1" w:rsidRDefault="00EC70A1" w:rsidP="00BE2B1A">
      <w:pPr>
        <w:spacing w:after="0" w:line="240" w:lineRule="auto"/>
      </w:pPr>
      <w:r>
        <w:separator/>
      </w:r>
    </w:p>
  </w:footnote>
  <w:footnote w:type="continuationSeparator" w:id="0">
    <w:p w14:paraId="55E5A2F5" w14:textId="77777777" w:rsidR="00EC70A1" w:rsidRDefault="00EC70A1" w:rsidP="00BE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BA69F" w14:textId="15BF8685" w:rsidR="00BE2B1A" w:rsidRDefault="00BE2B1A">
    <w:pPr>
      <w:pStyle w:val="Header"/>
    </w:pPr>
    <w:r>
      <w:rPr>
        <w:noProof/>
      </w:rPr>
      <w:pict w14:anchorId="2D14E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73672"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1395" w14:textId="42041B6C" w:rsidR="00BE2B1A" w:rsidRDefault="00BE2B1A">
    <w:pPr>
      <w:pStyle w:val="Header"/>
    </w:pPr>
    <w:r>
      <w:rPr>
        <w:noProof/>
      </w:rPr>
      <w:pict w14:anchorId="6EC2C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73673"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2851" w14:textId="0400B8BF" w:rsidR="00BE2B1A" w:rsidRDefault="00BE2B1A">
    <w:pPr>
      <w:pStyle w:val="Header"/>
    </w:pPr>
    <w:r>
      <w:rPr>
        <w:noProof/>
      </w:rPr>
      <w:pict w14:anchorId="68619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73671"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56E8418D"/>
    <w:multiLevelType w:val="singleLevel"/>
    <w:tmpl w:val="C310EC42"/>
    <w:lvl w:ilvl="0">
      <w:start w:val="1"/>
      <w:numFmt w:val="decimal"/>
      <w:lvlText w:val="%1."/>
      <w:lvlJc w:val="left"/>
      <w:pPr>
        <w:tabs>
          <w:tab w:val="left" w:pos="1800"/>
        </w:tabs>
        <w:ind w:left="180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099"/>
    <w:rsid w:val="00810B9C"/>
    <w:rsid w:val="00B44F33"/>
    <w:rsid w:val="00BE2B1A"/>
    <w:rsid w:val="00EC70A1"/>
    <w:rsid w:val="00F14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AF7A686"/>
  <w15:docId w15:val="{5613E9E9-51C0-48E3-8C49-83A22D4A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unhideWhenUsed/>
    <w:rsid w:val="00810B9C"/>
    <w:rPr>
      <w:color w:val="0000FF" w:themeColor="hyperlink"/>
      <w:u w:val="single"/>
    </w:rPr>
  </w:style>
  <w:style w:type="character" w:styleId="UnresolvedMention">
    <w:name w:val="Unresolved Mention"/>
    <w:basedOn w:val="DefaultParagraphFont"/>
    <w:uiPriority w:val="99"/>
    <w:semiHidden/>
    <w:unhideWhenUsed/>
    <w:rsid w:val="00810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5D255-621A-40A3-BEDE-05C90A6E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3814</Words>
  <Characters>21743</Characters>
  <Application>Microsoft Office Word</Application>
  <DocSecurity>0</DocSecurity>
  <Lines>181</Lines>
  <Paragraphs>51</Paragraphs>
  <ScaleCrop>false</ScaleCrop>
  <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3</cp:revision>
  <dcterms:created xsi:type="dcterms:W3CDTF">2013-12-23T23:15:00Z</dcterms:created>
  <dcterms:modified xsi:type="dcterms:W3CDTF">2025-10-10T13:39:00Z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13a61fc32e1545d7a651c602796f93eb</vt:lpwstr>
  </property>
</Properties>
</file>