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23D79" w14:textId="77777777" w:rsidR="00652D9C" w:rsidRDefault="00652D9C" w:rsidP="003B61DE">
      <w:pPr>
        <w:spacing w:after="0" w:line="240" w:lineRule="auto"/>
        <w:jc w:val="center"/>
        <w:outlineLvl w:val="1"/>
        <w:rPr>
          <w:rFonts w:ascii="Arial" w:hAnsi="Arial" w:cs="Arial"/>
          <w:b/>
        </w:rPr>
      </w:pPr>
      <w:r w:rsidRPr="00652D9C">
        <w:rPr>
          <w:rFonts w:ascii="Arial" w:hAnsi="Arial" w:cs="Arial"/>
          <w:b/>
        </w:rPr>
        <w:t>Original Research Article</w:t>
      </w:r>
    </w:p>
    <w:p w14:paraId="45887F06" w14:textId="77777777" w:rsidR="00652D9C" w:rsidRDefault="00652D9C" w:rsidP="003B61DE">
      <w:pPr>
        <w:spacing w:after="0" w:line="240" w:lineRule="auto"/>
        <w:jc w:val="center"/>
        <w:outlineLvl w:val="1"/>
        <w:rPr>
          <w:rFonts w:ascii="Arial" w:hAnsi="Arial" w:cs="Arial"/>
          <w:b/>
        </w:rPr>
      </w:pPr>
    </w:p>
    <w:p w14:paraId="1880C83B" w14:textId="77777777" w:rsidR="00652D9C" w:rsidRDefault="00652D9C" w:rsidP="003B61DE">
      <w:pPr>
        <w:spacing w:after="0" w:line="240" w:lineRule="auto"/>
        <w:jc w:val="center"/>
        <w:outlineLvl w:val="1"/>
        <w:rPr>
          <w:rFonts w:ascii="Arial" w:hAnsi="Arial" w:cs="Arial"/>
          <w:b/>
        </w:rPr>
      </w:pPr>
    </w:p>
    <w:p w14:paraId="7784E483" w14:textId="207DE32C" w:rsidR="00AB4588" w:rsidRPr="00C46493" w:rsidRDefault="00AB4588" w:rsidP="003B61DE">
      <w:pPr>
        <w:spacing w:after="0" w:line="240" w:lineRule="auto"/>
        <w:jc w:val="center"/>
        <w:outlineLvl w:val="1"/>
        <w:rPr>
          <w:rFonts w:ascii="Arial" w:hAnsi="Arial" w:cs="Arial"/>
          <w:b/>
        </w:rPr>
      </w:pPr>
      <w:r w:rsidRPr="00C46493">
        <w:rPr>
          <w:rFonts w:ascii="Arial" w:hAnsi="Arial" w:cs="Arial"/>
          <w:b/>
        </w:rPr>
        <w:t>Enhancement of Reproducti</w:t>
      </w:r>
      <w:r w:rsidR="003B61DE" w:rsidRPr="00C46493">
        <w:rPr>
          <w:rFonts w:ascii="Arial" w:hAnsi="Arial" w:cs="Arial"/>
          <w:b/>
        </w:rPr>
        <w:t>ve Performance in Rabbit Bucks t</w:t>
      </w:r>
      <w:r w:rsidRPr="00C46493">
        <w:rPr>
          <w:rFonts w:ascii="Arial" w:hAnsi="Arial" w:cs="Arial"/>
          <w:b/>
        </w:rPr>
        <w:t>hrough Ethanolic Bitter Kola (</w:t>
      </w:r>
      <w:r w:rsidRPr="00C46493">
        <w:rPr>
          <w:rFonts w:ascii="Arial" w:hAnsi="Arial" w:cs="Arial"/>
          <w:b/>
          <w:i/>
        </w:rPr>
        <w:t>Garcinia kola</w:t>
      </w:r>
      <w:r w:rsidRPr="00C46493">
        <w:rPr>
          <w:rFonts w:ascii="Arial" w:hAnsi="Arial" w:cs="Arial"/>
          <w:b/>
        </w:rPr>
        <w:t>) Supplementation: A Dose-Response Study</w:t>
      </w:r>
    </w:p>
    <w:p w14:paraId="403F806F" w14:textId="77777777" w:rsidR="00AB4588" w:rsidRPr="00C46493" w:rsidRDefault="00AB4588" w:rsidP="00661513">
      <w:pPr>
        <w:spacing w:after="0" w:line="240" w:lineRule="auto"/>
        <w:outlineLvl w:val="1"/>
        <w:rPr>
          <w:rFonts w:ascii="Arial" w:eastAsia="Times New Roman" w:hAnsi="Arial" w:cs="Arial"/>
          <w:b/>
          <w:bCs/>
        </w:rPr>
      </w:pPr>
    </w:p>
    <w:p w14:paraId="5F2EEC21" w14:textId="77777777" w:rsidR="00AB4588" w:rsidRPr="00C46493" w:rsidRDefault="00AB4588" w:rsidP="00661513">
      <w:pPr>
        <w:spacing w:after="0" w:line="240" w:lineRule="auto"/>
        <w:outlineLvl w:val="1"/>
        <w:rPr>
          <w:rFonts w:ascii="Arial" w:eastAsia="Times New Roman" w:hAnsi="Arial" w:cs="Arial"/>
          <w:b/>
          <w:bCs/>
        </w:rPr>
      </w:pPr>
    </w:p>
    <w:p w14:paraId="17A3CFFC" w14:textId="77777777" w:rsidR="008E3195" w:rsidRPr="00C46493" w:rsidRDefault="008E3195" w:rsidP="00661513">
      <w:pPr>
        <w:spacing w:after="0" w:line="240" w:lineRule="auto"/>
        <w:outlineLvl w:val="1"/>
        <w:rPr>
          <w:rFonts w:ascii="Arial" w:eastAsia="Times New Roman" w:hAnsi="Arial" w:cs="Arial"/>
          <w:b/>
          <w:bCs/>
        </w:rPr>
      </w:pPr>
    </w:p>
    <w:p w14:paraId="026EB557" w14:textId="77777777" w:rsidR="008E3195" w:rsidRPr="00C46493" w:rsidRDefault="008E3195" w:rsidP="00661513">
      <w:pPr>
        <w:spacing w:after="0" w:line="240" w:lineRule="auto"/>
        <w:outlineLvl w:val="1"/>
        <w:rPr>
          <w:rFonts w:ascii="Arial" w:eastAsia="Times New Roman" w:hAnsi="Arial" w:cs="Arial"/>
          <w:b/>
          <w:bCs/>
        </w:rPr>
      </w:pPr>
    </w:p>
    <w:p w14:paraId="15F25836" w14:textId="77777777" w:rsidR="00FC613E" w:rsidRPr="00C46493" w:rsidRDefault="00FC613E" w:rsidP="00661513">
      <w:pPr>
        <w:spacing w:after="0" w:line="240" w:lineRule="auto"/>
        <w:outlineLvl w:val="1"/>
        <w:rPr>
          <w:rFonts w:ascii="Arial" w:eastAsia="Times New Roman" w:hAnsi="Arial" w:cs="Arial"/>
          <w:b/>
          <w:bCs/>
        </w:rPr>
      </w:pPr>
    </w:p>
    <w:p w14:paraId="0D2ED920" w14:textId="77777777" w:rsidR="00AA26A7" w:rsidRPr="00C46493" w:rsidRDefault="00AA26A7" w:rsidP="00661513">
      <w:pPr>
        <w:spacing w:after="0" w:line="240" w:lineRule="auto"/>
        <w:outlineLvl w:val="1"/>
        <w:rPr>
          <w:rFonts w:ascii="Arial" w:eastAsia="Times New Roman" w:hAnsi="Arial" w:cs="Arial"/>
          <w:b/>
          <w:bCs/>
        </w:rPr>
      </w:pPr>
    </w:p>
    <w:p w14:paraId="594C5B5E" w14:textId="77777777" w:rsidR="00AA26A7" w:rsidRPr="00C46493" w:rsidRDefault="00AA26A7" w:rsidP="00661513">
      <w:pPr>
        <w:spacing w:after="0" w:line="240" w:lineRule="auto"/>
        <w:outlineLvl w:val="1"/>
        <w:rPr>
          <w:rFonts w:ascii="Arial" w:eastAsia="Times New Roman" w:hAnsi="Arial" w:cs="Arial"/>
          <w:b/>
          <w:bCs/>
        </w:rPr>
      </w:pPr>
    </w:p>
    <w:p w14:paraId="615A0E92" w14:textId="77777777" w:rsidR="00AA26A7" w:rsidRPr="00C46493" w:rsidRDefault="00AA26A7" w:rsidP="00661513">
      <w:pPr>
        <w:spacing w:after="0" w:line="240" w:lineRule="auto"/>
        <w:outlineLvl w:val="1"/>
        <w:rPr>
          <w:rFonts w:ascii="Arial" w:eastAsia="Times New Roman" w:hAnsi="Arial" w:cs="Arial"/>
          <w:b/>
          <w:bCs/>
        </w:rPr>
      </w:pPr>
    </w:p>
    <w:p w14:paraId="56EDE6AE" w14:textId="77777777" w:rsidR="005C6B5E" w:rsidRPr="00C46493" w:rsidRDefault="005C6B5E" w:rsidP="00661513">
      <w:pPr>
        <w:spacing w:after="0" w:line="240" w:lineRule="auto"/>
        <w:outlineLvl w:val="1"/>
        <w:rPr>
          <w:rFonts w:ascii="Arial" w:eastAsia="Times New Roman" w:hAnsi="Arial" w:cs="Arial"/>
          <w:b/>
          <w:bCs/>
        </w:rPr>
      </w:pPr>
      <w:r w:rsidRPr="00C46493">
        <w:rPr>
          <w:rFonts w:ascii="Arial" w:eastAsia="Times New Roman" w:hAnsi="Arial" w:cs="Arial"/>
          <w:b/>
          <w:bCs/>
        </w:rPr>
        <w:t>ABSTRACT</w:t>
      </w:r>
    </w:p>
    <w:p w14:paraId="7FB793C6" w14:textId="77777777" w:rsidR="003F3AA2" w:rsidRPr="00C46493" w:rsidRDefault="003F3AA2" w:rsidP="00661513">
      <w:pPr>
        <w:spacing w:after="0" w:line="240" w:lineRule="auto"/>
        <w:jc w:val="both"/>
        <w:rPr>
          <w:rFonts w:ascii="Arial" w:eastAsia="Times New Roman" w:hAnsi="Arial" w:cs="Arial"/>
          <w:sz w:val="20"/>
          <w:szCs w:val="20"/>
        </w:rPr>
      </w:pPr>
      <w:r w:rsidRPr="00C46493">
        <w:rPr>
          <w:rFonts w:ascii="Arial" w:eastAsia="Times New Roman" w:hAnsi="Arial" w:cs="Arial"/>
          <w:sz w:val="20"/>
          <w:szCs w:val="20"/>
        </w:rPr>
        <w:t xml:space="preserve">This study looked into how the ethanolic extract of </w:t>
      </w:r>
      <w:r w:rsidRPr="00C46493">
        <w:rPr>
          <w:rFonts w:ascii="Arial" w:eastAsia="Times New Roman" w:hAnsi="Arial" w:cs="Arial"/>
          <w:i/>
          <w:sz w:val="20"/>
          <w:szCs w:val="20"/>
        </w:rPr>
        <w:t>Garcinia kola</w:t>
      </w:r>
      <w:r w:rsidRPr="00C46493">
        <w:rPr>
          <w:rFonts w:ascii="Arial" w:eastAsia="Times New Roman" w:hAnsi="Arial" w:cs="Arial"/>
          <w:sz w:val="20"/>
          <w:szCs w:val="20"/>
        </w:rPr>
        <w:t>, commonly known as bitter kola, affects the semen quality and hormonal profile of rabbit bucks. A total of twenty-four sexually mature rabbit bucks, aged between 6 to 8 months, were randomly divided into four groups of six animals each, following a Completely Randomized Design. Group A was given distilled water as a control, while Groups B, C, and D received the ethanolic bitter kola extract at doses of 100, 200, and 400 mg/kg body weight, respectively, administered orally every 12 hours for eight weeks. Semen samples were collected at weeks 0, 4, and 8 using an artificial vagina, and blood samples were taken for hormonal assays using ELISA. Phytochemical analysis showed that the extract contained flavonoids, alkaloids, tannins, saponins, and steroids. The results indicated that the 200 mg/kg dose significantly enhanced semen parameters by week 8, including semen volume (0.74±0.21 mL compared to 0.59±0.14 mL in the control), sperm motility (73.6±8.9%</w:t>
      </w:r>
      <w:bookmarkStart w:id="0" w:name="_GoBack"/>
      <w:bookmarkEnd w:id="0"/>
      <w:r w:rsidRPr="00C46493">
        <w:rPr>
          <w:rFonts w:ascii="Arial" w:eastAsia="Times New Roman" w:hAnsi="Arial" w:cs="Arial"/>
          <w:sz w:val="20"/>
          <w:szCs w:val="20"/>
        </w:rPr>
        <w:t xml:space="preserve"> vs 63.8±10.1%), sperm concentration (193±35×10⁶/mL vs 167±28×10⁶/mL), total sperm count (143±40×10⁶ vs 99±28×10⁶), sperm viability (78.2±8.7% vs 70.3±7.8%), normal morphology (80.8±6.2% vs 77.9±5.7%), membrane integrity (76.9±9.0% vs 73.1±8.2%), and semen pH (7.23±0.21 vs 7.09±0.18). Additionally, significant increases were noted in testosterone (2.46±0.37 ng/mL vs 1.89±0.30 ng/mL), luteinizing hormone (0.91±0.15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vs 0.74±0.12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and follicle-stimulating hormone (0.59±0.10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vs 0.46±0.08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levels. The 100 mg/kg dose showed some improvements, </w:t>
      </w:r>
      <w:r w:rsidR="00661513" w:rsidRPr="00C46493">
        <w:rPr>
          <w:rFonts w:ascii="Arial" w:eastAsia="Times New Roman" w:hAnsi="Arial" w:cs="Arial"/>
          <w:sz w:val="20"/>
          <w:szCs w:val="20"/>
        </w:rPr>
        <w:t xml:space="preserve">while the 400 mg/kg dose yielded no significant benefits, indicating a dose-dependent effect. These findings demonstrate that ethanolic extract of </w:t>
      </w:r>
      <w:r w:rsidR="00661513" w:rsidRPr="00C46493">
        <w:rPr>
          <w:rFonts w:ascii="Arial" w:eastAsia="Times New Roman" w:hAnsi="Arial" w:cs="Arial"/>
          <w:i/>
          <w:iCs/>
          <w:sz w:val="20"/>
          <w:szCs w:val="20"/>
        </w:rPr>
        <w:t>Garcinia kola</w:t>
      </w:r>
      <w:r w:rsidR="00661513" w:rsidRPr="00C46493">
        <w:rPr>
          <w:rFonts w:ascii="Arial" w:eastAsia="Times New Roman" w:hAnsi="Arial" w:cs="Arial"/>
          <w:sz w:val="20"/>
          <w:szCs w:val="20"/>
        </w:rPr>
        <w:t xml:space="preserve"> at 200 mg/kg optimally enhances reproductive performance in rabbit bucks through improved semen quality and hormonal stimulation</w:t>
      </w:r>
    </w:p>
    <w:p w14:paraId="40AD08B8" w14:textId="77777777" w:rsidR="00CD5ADC" w:rsidRPr="00C46493" w:rsidRDefault="00661513" w:rsidP="00CD5ADC">
      <w:pPr>
        <w:spacing w:after="0" w:line="240" w:lineRule="auto"/>
        <w:rPr>
          <w:rFonts w:ascii="Arial" w:eastAsia="Times New Roman" w:hAnsi="Arial" w:cs="Arial"/>
          <w:sz w:val="24"/>
          <w:szCs w:val="24"/>
        </w:rPr>
      </w:pPr>
      <w:r w:rsidRPr="00C46493">
        <w:rPr>
          <w:rFonts w:ascii="Arial" w:eastAsia="Times New Roman" w:hAnsi="Arial" w:cs="Arial"/>
          <w:b/>
          <w:sz w:val="20"/>
          <w:szCs w:val="20"/>
        </w:rPr>
        <w:t>Key words</w:t>
      </w:r>
      <w:r w:rsidRPr="00C46493">
        <w:rPr>
          <w:rFonts w:ascii="Arial" w:eastAsia="Times New Roman" w:hAnsi="Arial" w:cs="Arial"/>
          <w:sz w:val="20"/>
          <w:szCs w:val="20"/>
        </w:rPr>
        <w:t>:</w:t>
      </w:r>
      <w:r w:rsidR="00CD5ADC" w:rsidRPr="00C46493">
        <w:rPr>
          <w:rFonts w:ascii="Arial" w:eastAsia="Times New Roman" w:hAnsi="Arial" w:cs="Arial"/>
          <w:bCs/>
          <w:i/>
          <w:sz w:val="20"/>
          <w:szCs w:val="20"/>
        </w:rPr>
        <w:t xml:space="preserve"> Garcinia kola</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Semen quality</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Rabbit bucks,</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Reproductive hormones</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Ethanolic extract</w:t>
      </w:r>
    </w:p>
    <w:p w14:paraId="49344300" w14:textId="77777777" w:rsidR="00661513" w:rsidRPr="00C46493" w:rsidRDefault="00661513" w:rsidP="00661513">
      <w:pPr>
        <w:spacing w:after="0" w:line="240" w:lineRule="auto"/>
        <w:jc w:val="both"/>
        <w:rPr>
          <w:rFonts w:ascii="Arial" w:eastAsia="Times New Roman" w:hAnsi="Arial" w:cs="Arial"/>
          <w:sz w:val="20"/>
          <w:szCs w:val="20"/>
        </w:rPr>
      </w:pPr>
    </w:p>
    <w:p w14:paraId="74FB2DC4" w14:textId="77777777" w:rsidR="003F3AA2" w:rsidRPr="00C46493" w:rsidRDefault="003F3AA2" w:rsidP="00443A0B">
      <w:pPr>
        <w:spacing w:before="100" w:beforeAutospacing="1" w:after="100" w:afterAutospacing="1" w:line="240" w:lineRule="auto"/>
        <w:jc w:val="both"/>
        <w:rPr>
          <w:rFonts w:ascii="Arial" w:eastAsia="Times New Roman" w:hAnsi="Arial" w:cs="Arial"/>
          <w:sz w:val="24"/>
          <w:szCs w:val="24"/>
        </w:rPr>
      </w:pPr>
    </w:p>
    <w:p w14:paraId="1C3EAB3E" w14:textId="77777777" w:rsidR="003F3AA2" w:rsidRPr="00C46493" w:rsidRDefault="003F3AA2" w:rsidP="00443A0B">
      <w:pPr>
        <w:spacing w:before="100" w:beforeAutospacing="1" w:after="100" w:afterAutospacing="1" w:line="240" w:lineRule="auto"/>
        <w:jc w:val="both"/>
        <w:rPr>
          <w:rFonts w:ascii="Arial" w:eastAsia="Times New Roman" w:hAnsi="Arial" w:cs="Arial"/>
          <w:sz w:val="24"/>
          <w:szCs w:val="24"/>
        </w:rPr>
      </w:pPr>
    </w:p>
    <w:p w14:paraId="2B3C2F5C" w14:textId="77777777" w:rsidR="007E5BBE" w:rsidRPr="00C46493" w:rsidRDefault="007E5BBE" w:rsidP="00443A0B">
      <w:pPr>
        <w:spacing w:before="100" w:beforeAutospacing="1" w:after="100" w:afterAutospacing="1" w:line="240" w:lineRule="auto"/>
        <w:jc w:val="both"/>
        <w:rPr>
          <w:rFonts w:ascii="Arial" w:eastAsia="Times New Roman" w:hAnsi="Arial" w:cs="Arial"/>
          <w:sz w:val="24"/>
          <w:szCs w:val="24"/>
        </w:rPr>
      </w:pPr>
    </w:p>
    <w:p w14:paraId="7D8E1714" w14:textId="77777777" w:rsidR="008E14D9" w:rsidRPr="00C46493" w:rsidRDefault="008E14D9" w:rsidP="008E14D9">
      <w:pPr>
        <w:spacing w:before="100" w:beforeAutospacing="1" w:after="100" w:afterAutospacing="1" w:line="240" w:lineRule="auto"/>
        <w:jc w:val="both"/>
        <w:rPr>
          <w:rFonts w:ascii="Arial" w:eastAsia="Times New Roman" w:hAnsi="Arial" w:cs="Arial"/>
          <w:sz w:val="24"/>
          <w:szCs w:val="24"/>
        </w:rPr>
      </w:pPr>
    </w:p>
    <w:p w14:paraId="4F18548C" w14:textId="77777777" w:rsidR="008E14D9" w:rsidRPr="00C46493" w:rsidRDefault="00DC12A8" w:rsidP="00DE3533">
      <w:pPr>
        <w:pStyle w:val="ListParagraph"/>
        <w:numPr>
          <w:ilvl w:val="0"/>
          <w:numId w:val="2"/>
        </w:numPr>
        <w:spacing w:before="100" w:beforeAutospacing="1" w:after="100" w:afterAutospacing="1" w:line="240" w:lineRule="auto"/>
        <w:rPr>
          <w:rFonts w:ascii="Arial" w:eastAsia="Times New Roman" w:hAnsi="Arial" w:cs="Arial"/>
          <w:b/>
        </w:rPr>
      </w:pPr>
      <w:r w:rsidRPr="00C46493">
        <w:rPr>
          <w:rFonts w:ascii="Arial" w:eastAsia="Times New Roman" w:hAnsi="Arial" w:cs="Arial"/>
          <w:b/>
        </w:rPr>
        <w:t>INTRODUCTION</w:t>
      </w:r>
    </w:p>
    <w:p w14:paraId="7370697B" w14:textId="77777777" w:rsidR="00DE3DD9" w:rsidRPr="00C46493" w:rsidRDefault="008E14D9" w:rsidP="00DE3DD9">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The ability of male rabbits, often referred to as bucks, to produce healthy and viable sperm plays a crucial role in determining their fertility potential. Key semen parameters like sperm count, motility, morphology, pH, and viability are direct indicators of their reproductive health (</w:t>
      </w:r>
      <w:proofErr w:type="spellStart"/>
      <w:r w:rsidRPr="00C46493">
        <w:rPr>
          <w:rFonts w:ascii="Arial" w:eastAsia="Times New Roman" w:hAnsi="Arial" w:cs="Arial"/>
          <w:sz w:val="20"/>
          <w:szCs w:val="20"/>
        </w:rPr>
        <w:t>Bitto</w:t>
      </w:r>
      <w:proofErr w:type="spellEnd"/>
      <w:r w:rsidRPr="00C46493">
        <w:rPr>
          <w:rFonts w:ascii="Arial" w:eastAsia="Times New Roman" w:hAnsi="Arial" w:cs="Arial"/>
          <w:sz w:val="20"/>
          <w:szCs w:val="20"/>
        </w:rPr>
        <w:t xml:space="preserve"> and </w:t>
      </w:r>
      <w:proofErr w:type="spellStart"/>
      <w:r w:rsidRPr="00C46493">
        <w:rPr>
          <w:rFonts w:ascii="Arial" w:eastAsia="Times New Roman" w:hAnsi="Arial" w:cs="Arial"/>
          <w:sz w:val="20"/>
          <w:szCs w:val="20"/>
        </w:rPr>
        <w:t>Egbunike</w:t>
      </w:r>
      <w:proofErr w:type="spellEnd"/>
      <w:r w:rsidRPr="00C46493">
        <w:rPr>
          <w:rFonts w:ascii="Arial" w:eastAsia="Times New Roman" w:hAnsi="Arial" w:cs="Arial"/>
          <w:sz w:val="20"/>
          <w:szCs w:val="20"/>
        </w:rPr>
        <w:t>, 2012). For successful rabbit production, it's essential to have hi</w:t>
      </w:r>
      <w:r w:rsidR="00DE3533" w:rsidRPr="00C46493">
        <w:rPr>
          <w:rFonts w:ascii="Arial" w:eastAsia="Times New Roman" w:hAnsi="Arial" w:cs="Arial"/>
          <w:sz w:val="20"/>
          <w:szCs w:val="20"/>
        </w:rPr>
        <w:t>ghly fertile bucks with good</w:t>
      </w:r>
      <w:r w:rsidRPr="00C46493">
        <w:rPr>
          <w:rFonts w:ascii="Arial" w:eastAsia="Times New Roman" w:hAnsi="Arial" w:cs="Arial"/>
          <w:sz w:val="20"/>
          <w:szCs w:val="20"/>
        </w:rPr>
        <w:t xml:space="preserve"> semen quality (Theau-Clement </w:t>
      </w:r>
      <w:r w:rsidRPr="00C46493">
        <w:rPr>
          <w:rFonts w:ascii="Arial" w:eastAsia="Times New Roman" w:hAnsi="Arial" w:cs="Arial"/>
          <w:i/>
          <w:sz w:val="20"/>
          <w:szCs w:val="20"/>
        </w:rPr>
        <w:t>et al</w:t>
      </w:r>
      <w:r w:rsidRPr="00C46493">
        <w:rPr>
          <w:rFonts w:ascii="Arial" w:eastAsia="Times New Roman" w:hAnsi="Arial" w:cs="Arial"/>
          <w:sz w:val="20"/>
          <w:szCs w:val="20"/>
        </w:rPr>
        <w:t xml:space="preserve">., 2016). </w:t>
      </w:r>
    </w:p>
    <w:p w14:paraId="3A8B7FBB" w14:textId="77777777" w:rsidR="00A97A9D" w:rsidRPr="00C46493" w:rsidRDefault="008E14D9" w:rsidP="00DE3DD9">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lastRenderedPageBreak/>
        <w:t xml:space="preserve">While many synthetic drugs are available to enhance male fertility, they can be quite </w:t>
      </w:r>
      <w:r w:rsidR="00DE3533" w:rsidRPr="00C46493">
        <w:rPr>
          <w:rFonts w:ascii="Arial" w:eastAsia="Times New Roman" w:hAnsi="Arial" w:cs="Arial"/>
          <w:sz w:val="20"/>
          <w:szCs w:val="20"/>
        </w:rPr>
        <w:t>expensive</w:t>
      </w:r>
      <w:r w:rsidRPr="00C46493">
        <w:rPr>
          <w:rFonts w:ascii="Arial" w:eastAsia="Times New Roman" w:hAnsi="Arial" w:cs="Arial"/>
          <w:sz w:val="20"/>
          <w:szCs w:val="20"/>
        </w:rPr>
        <w:t xml:space="preserve"> and may carry long-term risks (</w:t>
      </w:r>
      <w:proofErr w:type="spellStart"/>
      <w:r w:rsidRPr="00C46493">
        <w:rPr>
          <w:rFonts w:ascii="Arial" w:eastAsia="Times New Roman" w:hAnsi="Arial" w:cs="Arial"/>
          <w:sz w:val="20"/>
          <w:szCs w:val="20"/>
        </w:rPr>
        <w:t>Semet</w:t>
      </w:r>
      <w:proofErr w:type="spellEnd"/>
      <w:r w:rsidRPr="00C46493">
        <w:rPr>
          <w:rFonts w:ascii="Arial" w:eastAsia="Times New Roman" w:hAnsi="Arial" w:cs="Arial"/>
          <w:sz w:val="20"/>
          <w:szCs w:val="20"/>
        </w:rPr>
        <w:t xml:space="preserve"> </w:t>
      </w:r>
      <w:r w:rsidRPr="00C46493">
        <w:rPr>
          <w:rFonts w:ascii="Arial" w:eastAsia="Times New Roman" w:hAnsi="Arial" w:cs="Arial"/>
          <w:i/>
          <w:sz w:val="20"/>
          <w:szCs w:val="20"/>
        </w:rPr>
        <w:t>et al</w:t>
      </w:r>
      <w:r w:rsidRPr="00C46493">
        <w:rPr>
          <w:rFonts w:ascii="Arial" w:eastAsia="Times New Roman" w:hAnsi="Arial" w:cs="Arial"/>
          <w:sz w:val="20"/>
          <w:szCs w:val="20"/>
        </w:rPr>
        <w:t>., 2017</w:t>
      </w:r>
      <w:r w:rsidR="00193CE0" w:rsidRPr="00C46493">
        <w:rPr>
          <w:rFonts w:ascii="Arial" w:eastAsia="Times New Roman" w:hAnsi="Arial" w:cs="Arial"/>
          <w:sz w:val="20"/>
          <w:szCs w:val="20"/>
        </w:rPr>
        <w:t>). To reduce over reliance on these synthetic drugs</w:t>
      </w:r>
      <w:r w:rsidRPr="00C46493">
        <w:rPr>
          <w:rFonts w:ascii="Arial" w:eastAsia="Times New Roman" w:hAnsi="Arial" w:cs="Arial"/>
          <w:sz w:val="20"/>
          <w:szCs w:val="20"/>
        </w:rPr>
        <w:t>, many people in developing countries,</w:t>
      </w:r>
      <w:r w:rsidR="00DE3533" w:rsidRPr="00C46493">
        <w:rPr>
          <w:rFonts w:ascii="Arial" w:eastAsia="Times New Roman" w:hAnsi="Arial" w:cs="Arial"/>
          <w:sz w:val="20"/>
          <w:szCs w:val="20"/>
        </w:rPr>
        <w:t xml:space="preserve"> including Nigeria, are </w:t>
      </w:r>
      <w:r w:rsidR="00193CE0" w:rsidRPr="00C46493">
        <w:rPr>
          <w:rFonts w:ascii="Arial" w:eastAsia="Times New Roman" w:hAnsi="Arial" w:cs="Arial"/>
          <w:sz w:val="20"/>
          <w:szCs w:val="20"/>
        </w:rPr>
        <w:t xml:space="preserve">exploring </w:t>
      </w:r>
      <w:r w:rsidRPr="00C46493">
        <w:rPr>
          <w:rFonts w:ascii="Arial" w:eastAsia="Times New Roman" w:hAnsi="Arial" w:cs="Arial"/>
          <w:sz w:val="20"/>
          <w:szCs w:val="20"/>
        </w:rPr>
        <w:t>more sustainable and cost-effective methods to boost male fertility.</w:t>
      </w:r>
      <w:r w:rsidR="00E80421" w:rsidRPr="00C46493">
        <w:rPr>
          <w:rFonts w:ascii="Arial" w:hAnsi="Arial" w:cs="Arial"/>
          <w:sz w:val="20"/>
          <w:szCs w:val="20"/>
        </w:rPr>
        <w:t xml:space="preserve"> One of the methods is the use of phytogenic compounds with potent antioxidant properties that could enhance male fertility</w:t>
      </w:r>
      <w:r w:rsidRPr="00C46493">
        <w:rPr>
          <w:rFonts w:ascii="Arial" w:eastAsia="Times New Roman" w:hAnsi="Arial" w:cs="Arial"/>
          <w:sz w:val="20"/>
          <w:szCs w:val="20"/>
        </w:rPr>
        <w:t xml:space="preserve">.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stands out among these compounds due to its rich phytochemical profile and its traditional use as a male aphrodisiac (Okezie </w:t>
      </w:r>
      <w:r w:rsidRPr="00C46493">
        <w:rPr>
          <w:rFonts w:ascii="Arial" w:eastAsia="Times New Roman" w:hAnsi="Arial" w:cs="Arial"/>
          <w:i/>
          <w:sz w:val="20"/>
          <w:szCs w:val="20"/>
        </w:rPr>
        <w:t>et al</w:t>
      </w:r>
      <w:r w:rsidRPr="00C46493">
        <w:rPr>
          <w:rFonts w:ascii="Arial" w:eastAsia="Times New Roman" w:hAnsi="Arial" w:cs="Arial"/>
          <w:sz w:val="20"/>
          <w:szCs w:val="20"/>
        </w:rPr>
        <w:t xml:space="preserve">., 2022). </w:t>
      </w:r>
      <w:r w:rsidR="00A97A9D" w:rsidRPr="00C46493">
        <w:rPr>
          <w:rFonts w:ascii="Arial" w:eastAsia="Times New Roman" w:hAnsi="Arial" w:cs="Arial"/>
          <w:sz w:val="20"/>
          <w:szCs w:val="20"/>
        </w:rPr>
        <w:t>Commonly known as Bi</w:t>
      </w:r>
      <w:r w:rsidR="00AA26A7" w:rsidRPr="00C46493">
        <w:rPr>
          <w:rFonts w:ascii="Arial" w:eastAsia="Times New Roman" w:hAnsi="Arial" w:cs="Arial"/>
          <w:sz w:val="20"/>
          <w:szCs w:val="20"/>
        </w:rPr>
        <w:t xml:space="preserve">tter Kola in Nigeria, </w:t>
      </w:r>
      <w:r w:rsidR="007F1C5C" w:rsidRPr="00C46493">
        <w:rPr>
          <w:rFonts w:ascii="Arial" w:eastAsia="Times New Roman" w:hAnsi="Arial" w:cs="Arial"/>
          <w:sz w:val="20"/>
          <w:szCs w:val="20"/>
        </w:rPr>
        <w:t>but</w:t>
      </w:r>
      <w:r w:rsidR="00AA26A7" w:rsidRPr="00C46493">
        <w:rPr>
          <w:rFonts w:ascii="Arial" w:eastAsia="Times New Roman" w:hAnsi="Arial" w:cs="Arial"/>
          <w:sz w:val="20"/>
          <w:szCs w:val="20"/>
        </w:rPr>
        <w:t xml:space="preserve"> known by</w:t>
      </w:r>
      <w:r w:rsidR="00A97A9D" w:rsidRPr="00C46493">
        <w:rPr>
          <w:rFonts w:ascii="Arial" w:eastAsia="Times New Roman" w:hAnsi="Arial" w:cs="Arial"/>
          <w:sz w:val="20"/>
          <w:szCs w:val="20"/>
        </w:rPr>
        <w:t xml:space="preserve"> various names</w:t>
      </w:r>
      <w:r w:rsidR="00AA26A7" w:rsidRPr="00C46493">
        <w:rPr>
          <w:rFonts w:ascii="Arial" w:eastAsia="Times New Roman" w:hAnsi="Arial" w:cs="Arial"/>
          <w:sz w:val="20"/>
          <w:szCs w:val="20"/>
        </w:rPr>
        <w:t xml:space="preserve"> in different dialects in Nigeria</w:t>
      </w:r>
      <w:r w:rsidR="00A97A9D" w:rsidRPr="00C46493">
        <w:rPr>
          <w:rFonts w:ascii="Arial" w:eastAsia="Times New Roman" w:hAnsi="Arial" w:cs="Arial"/>
          <w:sz w:val="20"/>
          <w:szCs w:val="20"/>
        </w:rPr>
        <w:t>: “</w:t>
      </w:r>
      <w:proofErr w:type="spellStart"/>
      <w:r w:rsidR="00A97A9D" w:rsidRPr="00C46493">
        <w:rPr>
          <w:rFonts w:ascii="Arial" w:eastAsia="Times New Roman" w:hAnsi="Arial" w:cs="Arial"/>
          <w:sz w:val="20"/>
          <w:szCs w:val="20"/>
        </w:rPr>
        <w:t>Namiji</w:t>
      </w:r>
      <w:proofErr w:type="spellEnd"/>
      <w:r w:rsidR="00A97A9D" w:rsidRPr="00C46493">
        <w:rPr>
          <w:rFonts w:ascii="Arial" w:eastAsia="Times New Roman" w:hAnsi="Arial" w:cs="Arial"/>
          <w:sz w:val="20"/>
          <w:szCs w:val="20"/>
        </w:rPr>
        <w:t xml:space="preserve"> </w:t>
      </w:r>
      <w:proofErr w:type="spellStart"/>
      <w:r w:rsidR="00A97A9D" w:rsidRPr="00C46493">
        <w:rPr>
          <w:rFonts w:ascii="Arial" w:eastAsia="Times New Roman" w:hAnsi="Arial" w:cs="Arial"/>
          <w:sz w:val="20"/>
          <w:szCs w:val="20"/>
        </w:rPr>
        <w:t>goro</w:t>
      </w:r>
      <w:proofErr w:type="spellEnd"/>
      <w:r w:rsidR="00A97A9D" w:rsidRPr="00C46493">
        <w:rPr>
          <w:rFonts w:ascii="Arial" w:eastAsia="Times New Roman" w:hAnsi="Arial" w:cs="Arial"/>
          <w:sz w:val="20"/>
          <w:szCs w:val="20"/>
        </w:rPr>
        <w:t>” in Hausa, “</w:t>
      </w:r>
      <w:proofErr w:type="spellStart"/>
      <w:r w:rsidR="00A97A9D" w:rsidRPr="00C46493">
        <w:rPr>
          <w:rFonts w:ascii="Arial" w:eastAsia="Times New Roman" w:hAnsi="Arial" w:cs="Arial"/>
          <w:sz w:val="20"/>
          <w:szCs w:val="20"/>
        </w:rPr>
        <w:t>Orogbo</w:t>
      </w:r>
      <w:proofErr w:type="spellEnd"/>
      <w:r w:rsidR="00A97A9D" w:rsidRPr="00C46493">
        <w:rPr>
          <w:rFonts w:ascii="Arial" w:eastAsia="Times New Roman" w:hAnsi="Arial" w:cs="Arial"/>
          <w:sz w:val="20"/>
          <w:szCs w:val="20"/>
        </w:rPr>
        <w:t>” in Yoruba, and “</w:t>
      </w:r>
      <w:proofErr w:type="spellStart"/>
      <w:r w:rsidR="00A97A9D" w:rsidRPr="00C46493">
        <w:rPr>
          <w:rFonts w:ascii="Arial" w:eastAsia="Times New Roman" w:hAnsi="Arial" w:cs="Arial"/>
          <w:sz w:val="20"/>
          <w:szCs w:val="20"/>
        </w:rPr>
        <w:t>Aku-ilu</w:t>
      </w:r>
      <w:proofErr w:type="spellEnd"/>
      <w:r w:rsidR="00A97A9D" w:rsidRPr="00C46493">
        <w:rPr>
          <w:rFonts w:ascii="Arial" w:eastAsia="Times New Roman" w:hAnsi="Arial" w:cs="Arial"/>
          <w:sz w:val="20"/>
          <w:szCs w:val="20"/>
        </w:rPr>
        <w:t>” in Igbo (</w:t>
      </w:r>
      <w:proofErr w:type="spellStart"/>
      <w:r w:rsidR="00A97A9D" w:rsidRPr="00C46493">
        <w:rPr>
          <w:rFonts w:ascii="Arial" w:eastAsia="Times New Roman" w:hAnsi="Arial" w:cs="Arial"/>
          <w:sz w:val="20"/>
          <w:szCs w:val="20"/>
        </w:rPr>
        <w:t>Bnouham</w:t>
      </w:r>
      <w:proofErr w:type="spellEnd"/>
      <w:r w:rsidR="00A97A9D" w:rsidRPr="00C46493">
        <w:rPr>
          <w:rFonts w:ascii="Arial" w:eastAsia="Times New Roman" w:hAnsi="Arial" w:cs="Arial"/>
          <w:sz w:val="20"/>
          <w:szCs w:val="20"/>
        </w:rPr>
        <w:t xml:space="preserve"> </w:t>
      </w:r>
      <w:r w:rsidR="00A97A9D" w:rsidRPr="00C46493">
        <w:rPr>
          <w:rFonts w:ascii="Arial" w:eastAsia="Times New Roman" w:hAnsi="Arial" w:cs="Arial"/>
          <w:i/>
          <w:sz w:val="20"/>
          <w:szCs w:val="20"/>
        </w:rPr>
        <w:t>et al</w:t>
      </w:r>
      <w:r w:rsidR="00A97A9D" w:rsidRPr="00C46493">
        <w:rPr>
          <w:rFonts w:ascii="Arial" w:eastAsia="Times New Roman" w:hAnsi="Arial" w:cs="Arial"/>
          <w:sz w:val="20"/>
          <w:szCs w:val="20"/>
        </w:rPr>
        <w:t>., 2006). This plant belongs to the</w:t>
      </w:r>
      <w:r w:rsidR="00A97A9D" w:rsidRPr="00C46493">
        <w:rPr>
          <w:rFonts w:ascii="Arial" w:eastAsia="Times New Roman" w:hAnsi="Arial" w:cs="Arial"/>
          <w:i/>
          <w:sz w:val="20"/>
          <w:szCs w:val="20"/>
        </w:rPr>
        <w:t xml:space="preserve"> </w:t>
      </w:r>
      <w:proofErr w:type="spellStart"/>
      <w:r w:rsidR="00A97A9D" w:rsidRPr="00C46493">
        <w:rPr>
          <w:rFonts w:ascii="Arial" w:eastAsia="Times New Roman" w:hAnsi="Arial" w:cs="Arial"/>
          <w:i/>
          <w:sz w:val="20"/>
          <w:szCs w:val="20"/>
        </w:rPr>
        <w:t>Guttiferae</w:t>
      </w:r>
      <w:proofErr w:type="spellEnd"/>
      <w:r w:rsidR="00A97A9D" w:rsidRPr="00C46493">
        <w:rPr>
          <w:rFonts w:ascii="Arial" w:eastAsia="Times New Roman" w:hAnsi="Arial" w:cs="Arial"/>
          <w:sz w:val="20"/>
          <w:szCs w:val="20"/>
        </w:rPr>
        <w:t xml:space="preserve"> family and is native to West and Central Africa, where it has been utilized in traditional African medicine for centuries, especially for its reputed aphrodisiac and fertility-enhancing properties (Iwu, 1993).</w:t>
      </w:r>
    </w:p>
    <w:p w14:paraId="14B00014" w14:textId="77777777" w:rsidR="00A97A9D" w:rsidRPr="00C46493" w:rsidRDefault="00DD46BE" w:rsidP="00A97A9D">
      <w:pPr>
        <w:spacing w:after="0" w:line="480" w:lineRule="auto"/>
        <w:jc w:val="both"/>
        <w:rPr>
          <w:rFonts w:ascii="Arial" w:hAnsi="Arial" w:cs="Arial"/>
          <w:sz w:val="20"/>
          <w:szCs w:val="20"/>
        </w:rPr>
      </w:pPr>
      <w:r w:rsidRPr="00C46493">
        <w:rPr>
          <w:rFonts w:ascii="Arial" w:eastAsia="Times New Roman" w:hAnsi="Arial" w:cs="Arial"/>
          <w:sz w:val="20"/>
          <w:szCs w:val="20"/>
        </w:rPr>
        <w:t>The primary</w:t>
      </w:r>
      <w:r w:rsidR="00D13F79" w:rsidRPr="00C46493">
        <w:rPr>
          <w:rFonts w:ascii="Arial" w:eastAsia="Times New Roman" w:hAnsi="Arial" w:cs="Arial"/>
          <w:sz w:val="20"/>
          <w:szCs w:val="20"/>
        </w:rPr>
        <w:t xml:space="preserve"> bioactive constituents </w:t>
      </w:r>
      <w:r w:rsidR="003166CD" w:rsidRPr="00C46493">
        <w:rPr>
          <w:rFonts w:ascii="Arial" w:eastAsia="Times New Roman" w:hAnsi="Arial" w:cs="Arial"/>
          <w:sz w:val="20"/>
          <w:szCs w:val="20"/>
        </w:rPr>
        <w:t xml:space="preserve">found in </w:t>
      </w:r>
      <w:r w:rsidR="003166CD" w:rsidRPr="00C46493">
        <w:rPr>
          <w:rFonts w:ascii="Arial" w:eastAsia="Times New Roman" w:hAnsi="Arial" w:cs="Arial"/>
          <w:i/>
          <w:sz w:val="20"/>
          <w:szCs w:val="20"/>
        </w:rPr>
        <w:t>Garcinia kola</w:t>
      </w:r>
      <w:r w:rsidR="003166CD" w:rsidRPr="00C46493">
        <w:rPr>
          <w:rFonts w:ascii="Arial" w:eastAsia="Times New Roman" w:hAnsi="Arial" w:cs="Arial"/>
          <w:sz w:val="20"/>
          <w:szCs w:val="20"/>
        </w:rPr>
        <w:t xml:space="preserve"> are </w:t>
      </w:r>
      <w:proofErr w:type="spellStart"/>
      <w:r w:rsidR="003166CD" w:rsidRPr="00C46493">
        <w:rPr>
          <w:rFonts w:ascii="Arial" w:eastAsia="Times New Roman" w:hAnsi="Arial" w:cs="Arial"/>
          <w:sz w:val="20"/>
          <w:szCs w:val="20"/>
        </w:rPr>
        <w:t>biflavonoids</w:t>
      </w:r>
      <w:proofErr w:type="spellEnd"/>
      <w:r w:rsidR="003166CD" w:rsidRPr="00C46493">
        <w:rPr>
          <w:rFonts w:ascii="Arial" w:eastAsia="Times New Roman" w:hAnsi="Arial" w:cs="Arial"/>
          <w:sz w:val="20"/>
          <w:szCs w:val="20"/>
        </w:rPr>
        <w:t>, wit</w:t>
      </w:r>
      <w:r w:rsidRPr="00C46493">
        <w:rPr>
          <w:rFonts w:ascii="Arial" w:eastAsia="Times New Roman" w:hAnsi="Arial" w:cs="Arial"/>
          <w:sz w:val="20"/>
          <w:szCs w:val="20"/>
        </w:rPr>
        <w:t xml:space="preserve">h </w:t>
      </w:r>
      <w:proofErr w:type="spellStart"/>
      <w:r w:rsidRPr="00C46493">
        <w:rPr>
          <w:rFonts w:ascii="Arial" w:eastAsia="Times New Roman" w:hAnsi="Arial" w:cs="Arial"/>
          <w:sz w:val="20"/>
          <w:szCs w:val="20"/>
        </w:rPr>
        <w:t>kolaviron</w:t>
      </w:r>
      <w:proofErr w:type="spellEnd"/>
      <w:r w:rsidRPr="00C46493">
        <w:rPr>
          <w:rFonts w:ascii="Arial" w:eastAsia="Times New Roman" w:hAnsi="Arial" w:cs="Arial"/>
          <w:sz w:val="20"/>
          <w:szCs w:val="20"/>
        </w:rPr>
        <w:t xml:space="preserve"> being the standout </w:t>
      </w:r>
      <w:r w:rsidR="003166CD" w:rsidRPr="00C46493">
        <w:rPr>
          <w:rFonts w:ascii="Arial" w:eastAsia="Times New Roman" w:hAnsi="Arial" w:cs="Arial"/>
          <w:sz w:val="20"/>
          <w:szCs w:val="20"/>
        </w:rPr>
        <w:t>(</w:t>
      </w:r>
      <w:proofErr w:type="spellStart"/>
      <w:r w:rsidR="003166CD" w:rsidRPr="00C46493">
        <w:rPr>
          <w:rFonts w:ascii="Arial" w:eastAsia="Times New Roman" w:hAnsi="Arial" w:cs="Arial"/>
          <w:sz w:val="20"/>
          <w:szCs w:val="20"/>
        </w:rPr>
        <w:t>Igboko</w:t>
      </w:r>
      <w:proofErr w:type="spellEnd"/>
      <w:r w:rsidR="003166CD" w:rsidRPr="00C46493">
        <w:rPr>
          <w:rFonts w:ascii="Arial" w:eastAsia="Times New Roman" w:hAnsi="Arial" w:cs="Arial"/>
          <w:sz w:val="20"/>
          <w:szCs w:val="20"/>
        </w:rPr>
        <w:t>, 1983).</w:t>
      </w:r>
      <w:r w:rsidRPr="00C46493">
        <w:rPr>
          <w:rFonts w:ascii="Arial" w:hAnsi="Arial" w:cs="Arial"/>
          <w:sz w:val="20"/>
          <w:szCs w:val="20"/>
        </w:rPr>
        <w:t xml:space="preserve"> </w:t>
      </w:r>
      <w:proofErr w:type="spellStart"/>
      <w:r w:rsidRPr="00C46493">
        <w:rPr>
          <w:rFonts w:ascii="Arial" w:hAnsi="Arial" w:cs="Arial"/>
          <w:sz w:val="20"/>
          <w:szCs w:val="20"/>
        </w:rPr>
        <w:t>Kolaviron</w:t>
      </w:r>
      <w:proofErr w:type="spellEnd"/>
      <w:r w:rsidRPr="00C46493">
        <w:rPr>
          <w:rFonts w:ascii="Arial" w:hAnsi="Arial" w:cs="Arial"/>
          <w:sz w:val="20"/>
          <w:szCs w:val="20"/>
        </w:rPr>
        <w:t xml:space="preserve"> is identified as the major bioactive component responsible for many of the plant's therapeutic effects, including its antioxidant, anti-inflammatory, and hepato</w:t>
      </w:r>
      <w:r w:rsidR="00846598" w:rsidRPr="00C46493">
        <w:rPr>
          <w:rFonts w:ascii="Arial" w:hAnsi="Arial" w:cs="Arial"/>
          <w:sz w:val="20"/>
          <w:szCs w:val="20"/>
        </w:rPr>
        <w:t>-</w:t>
      </w:r>
      <w:r w:rsidRPr="00C46493">
        <w:rPr>
          <w:rFonts w:ascii="Arial" w:hAnsi="Arial" w:cs="Arial"/>
          <w:sz w:val="20"/>
          <w:szCs w:val="20"/>
        </w:rPr>
        <w:t>protective properties (</w:t>
      </w:r>
      <w:proofErr w:type="spellStart"/>
      <w:r w:rsidRPr="00C46493">
        <w:rPr>
          <w:rFonts w:ascii="Arial" w:hAnsi="Arial" w:cs="Arial"/>
          <w:sz w:val="20"/>
          <w:szCs w:val="20"/>
        </w:rPr>
        <w:t>Okunji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.,2007</w:t>
      </w:r>
      <w:r w:rsidR="00846598" w:rsidRPr="00C46493">
        <w:rPr>
          <w:rFonts w:ascii="Arial" w:hAnsi="Arial" w:cs="Arial"/>
          <w:sz w:val="20"/>
          <w:szCs w:val="20"/>
        </w:rPr>
        <w:t xml:space="preserve">). These </w:t>
      </w:r>
      <w:proofErr w:type="spellStart"/>
      <w:r w:rsidR="00846598" w:rsidRPr="00C46493">
        <w:rPr>
          <w:rFonts w:ascii="Arial" w:eastAsia="Times New Roman" w:hAnsi="Arial" w:cs="Arial"/>
          <w:sz w:val="20"/>
          <w:szCs w:val="20"/>
        </w:rPr>
        <w:t>b</w:t>
      </w:r>
      <w:r w:rsidR="003166CD" w:rsidRPr="00C46493">
        <w:rPr>
          <w:rFonts w:ascii="Arial" w:eastAsia="Times New Roman" w:hAnsi="Arial" w:cs="Arial"/>
          <w:sz w:val="20"/>
          <w:szCs w:val="20"/>
        </w:rPr>
        <w:t>iflavonoids</w:t>
      </w:r>
      <w:proofErr w:type="spellEnd"/>
      <w:r w:rsidR="003166CD" w:rsidRPr="00C46493">
        <w:rPr>
          <w:rFonts w:ascii="Arial" w:eastAsia="Times New Roman" w:hAnsi="Arial" w:cs="Arial"/>
          <w:sz w:val="20"/>
          <w:szCs w:val="20"/>
        </w:rPr>
        <w:t xml:space="preserve"> are great at scavenging free radicals, which is crucial for shielding reproductive cells from oxidative harm (Iwu </w:t>
      </w:r>
      <w:r w:rsidR="003166CD" w:rsidRPr="00C46493">
        <w:rPr>
          <w:rFonts w:ascii="Arial" w:eastAsia="Times New Roman" w:hAnsi="Arial" w:cs="Arial"/>
          <w:i/>
          <w:sz w:val="20"/>
          <w:szCs w:val="20"/>
        </w:rPr>
        <w:t>et al.,</w:t>
      </w:r>
      <w:r w:rsidR="003166CD" w:rsidRPr="00C46493">
        <w:rPr>
          <w:rFonts w:ascii="Arial" w:eastAsia="Times New Roman" w:hAnsi="Arial" w:cs="Arial"/>
          <w:sz w:val="20"/>
          <w:szCs w:val="20"/>
        </w:rPr>
        <w:t xml:space="preserve"> 1993).</w:t>
      </w:r>
    </w:p>
    <w:p w14:paraId="3EFFBC42" w14:textId="77777777" w:rsidR="003166CD"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Reactive oxygen species (ROS) can be quite harmful to sperm cells, leading to issues like lipid peroxidation of sperm membranes, DNA damage, and decreased sperm motility (Agarwal, 2003). Fortunately, the high levels of antioxidant compounds in bitter kola work to neutralize these damaging free radicals, helping to protect spermatozoa from oxidative stress and keeping their structure and function intact (</w:t>
      </w:r>
      <w:proofErr w:type="spellStart"/>
      <w:r w:rsidRPr="00C46493">
        <w:rPr>
          <w:rFonts w:ascii="Arial" w:eastAsia="Times New Roman" w:hAnsi="Arial" w:cs="Arial"/>
          <w:sz w:val="20"/>
          <w:szCs w:val="20"/>
        </w:rPr>
        <w:t>Farombi</w:t>
      </w:r>
      <w:proofErr w:type="spellEnd"/>
      <w:r w:rsidRPr="00C46493">
        <w:rPr>
          <w:rFonts w:ascii="Arial" w:eastAsia="Times New Roman" w:hAnsi="Arial" w:cs="Arial"/>
          <w:sz w:val="20"/>
          <w:szCs w:val="20"/>
        </w:rPr>
        <w:t xml:space="preserve"> </w:t>
      </w:r>
      <w:r w:rsidRPr="00C46493">
        <w:rPr>
          <w:rFonts w:ascii="Arial" w:eastAsia="Times New Roman" w:hAnsi="Arial" w:cs="Arial"/>
          <w:i/>
          <w:sz w:val="20"/>
          <w:szCs w:val="20"/>
        </w:rPr>
        <w:t>et al</w:t>
      </w:r>
      <w:r w:rsidRPr="00C46493">
        <w:rPr>
          <w:rFonts w:ascii="Arial" w:eastAsia="Times New Roman" w:hAnsi="Arial" w:cs="Arial"/>
          <w:sz w:val="20"/>
          <w:szCs w:val="20"/>
        </w:rPr>
        <w:t>., 2005).</w:t>
      </w:r>
    </w:p>
    <w:p w14:paraId="73E60445" w14:textId="77777777" w:rsidR="00A97A9D"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Research has shown t</w:t>
      </w:r>
      <w:r w:rsidR="00FA48A0" w:rsidRPr="00C46493">
        <w:rPr>
          <w:rFonts w:ascii="Arial" w:eastAsia="Times New Roman" w:hAnsi="Arial" w:cs="Arial"/>
          <w:sz w:val="20"/>
          <w:szCs w:val="20"/>
        </w:rPr>
        <w:t>hat the phytochemical constituents</w:t>
      </w:r>
      <w:r w:rsidRPr="00C46493">
        <w:rPr>
          <w:rFonts w:ascii="Arial" w:eastAsia="Times New Roman" w:hAnsi="Arial" w:cs="Arial"/>
          <w:sz w:val="20"/>
          <w:szCs w:val="20"/>
        </w:rPr>
        <w:t xml:space="preserve"> of bitter kola can affect hormonal balance in male reproductive systems. Some studies suggest that specific compounds in the plant can boost the production of luteinizing hormone (LH) and follicle-stimulating hormone (FSH), both of which are vital for testosterone production and spermatogenesis, respectively (Kehinde </w:t>
      </w:r>
      <w:r w:rsidRPr="00C46493">
        <w:rPr>
          <w:rFonts w:ascii="Arial" w:eastAsia="Times New Roman" w:hAnsi="Arial" w:cs="Arial"/>
          <w:i/>
          <w:sz w:val="20"/>
          <w:szCs w:val="20"/>
        </w:rPr>
        <w:t>et al</w:t>
      </w:r>
      <w:r w:rsidRPr="00C46493">
        <w:rPr>
          <w:rFonts w:ascii="Arial" w:eastAsia="Times New Roman" w:hAnsi="Arial" w:cs="Arial"/>
          <w:sz w:val="20"/>
          <w:szCs w:val="20"/>
        </w:rPr>
        <w:t>., 2016). Increasing testosterone levels not only enhances sperm production but also boosts libido and overall reproductive performance in male animals (</w:t>
      </w:r>
      <w:proofErr w:type="spellStart"/>
      <w:r w:rsidRPr="00C46493">
        <w:rPr>
          <w:rFonts w:ascii="Arial" w:eastAsia="Times New Roman" w:hAnsi="Arial" w:cs="Arial"/>
          <w:sz w:val="20"/>
          <w:szCs w:val="20"/>
        </w:rPr>
        <w:t>Akpantah</w:t>
      </w:r>
      <w:proofErr w:type="spellEnd"/>
      <w:r w:rsidRPr="00C46493">
        <w:rPr>
          <w:rFonts w:ascii="Arial" w:eastAsia="Times New Roman" w:hAnsi="Arial" w:cs="Arial"/>
          <w:sz w:val="20"/>
          <w:szCs w:val="20"/>
        </w:rPr>
        <w:t xml:space="preserve"> </w:t>
      </w:r>
      <w:r w:rsidRPr="00C46493">
        <w:rPr>
          <w:rFonts w:ascii="Arial" w:eastAsia="Times New Roman" w:hAnsi="Arial" w:cs="Arial"/>
          <w:i/>
          <w:sz w:val="20"/>
          <w:szCs w:val="20"/>
        </w:rPr>
        <w:t>et al</w:t>
      </w:r>
      <w:r w:rsidRPr="00C46493">
        <w:rPr>
          <w:rFonts w:ascii="Arial" w:eastAsia="Times New Roman" w:hAnsi="Arial" w:cs="Arial"/>
          <w:sz w:val="20"/>
          <w:szCs w:val="20"/>
        </w:rPr>
        <w:t>., 2003).</w:t>
      </w:r>
    </w:p>
    <w:p w14:paraId="5A3EB22B" w14:textId="77777777" w:rsidR="00A97A9D"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The phenolic compounds found in bitter kola are known for their anti-inflammatory properties, which may help enhance reproductive health by reducing inflammation in the rep</w:t>
      </w:r>
      <w:r w:rsidR="00A97A9D" w:rsidRPr="00C46493">
        <w:rPr>
          <w:rFonts w:ascii="Arial" w:eastAsia="Times New Roman" w:hAnsi="Arial" w:cs="Arial"/>
          <w:sz w:val="20"/>
          <w:szCs w:val="20"/>
        </w:rPr>
        <w:t>roductive tract (Braide, 1993).</w:t>
      </w:r>
      <w:r w:rsidRPr="00C46493">
        <w:rPr>
          <w:rFonts w:ascii="Arial" w:eastAsia="Times New Roman" w:hAnsi="Arial" w:cs="Arial"/>
          <w:sz w:val="20"/>
          <w:szCs w:val="20"/>
        </w:rPr>
        <w:t>Chronic inflammation can have a negative effect on sperm production and quality, so the anti-</w:t>
      </w:r>
      <w:r w:rsidRPr="00C46493">
        <w:rPr>
          <w:rFonts w:ascii="Arial" w:eastAsia="Times New Roman" w:hAnsi="Arial" w:cs="Arial"/>
          <w:sz w:val="20"/>
          <w:szCs w:val="20"/>
        </w:rPr>
        <w:lastRenderedPageBreak/>
        <w:t>inflammatory benefits of bitter kola could be especially valuable for maintaining optimal reproductive function (Braide, 1993</w:t>
      </w:r>
      <w:r w:rsidR="00A97A9D" w:rsidRPr="00C46493">
        <w:rPr>
          <w:rFonts w:ascii="Arial" w:eastAsia="Times New Roman" w:hAnsi="Arial" w:cs="Arial"/>
          <w:sz w:val="20"/>
          <w:szCs w:val="20"/>
        </w:rPr>
        <w:t xml:space="preserve">). </w:t>
      </w:r>
    </w:p>
    <w:p w14:paraId="3245F310" w14:textId="77777777" w:rsidR="008E14D9"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While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has been widely studied in animals, there’s a n</w:t>
      </w:r>
      <w:r w:rsidR="00A97A9D" w:rsidRPr="00C46493">
        <w:rPr>
          <w:rFonts w:ascii="Arial" w:eastAsia="Times New Roman" w:hAnsi="Arial" w:cs="Arial"/>
          <w:sz w:val="20"/>
          <w:szCs w:val="20"/>
        </w:rPr>
        <w:t xml:space="preserve">oticeable limited </w:t>
      </w:r>
      <w:r w:rsidRPr="00C46493">
        <w:rPr>
          <w:rFonts w:ascii="Arial" w:eastAsia="Times New Roman" w:hAnsi="Arial" w:cs="Arial"/>
          <w:sz w:val="20"/>
          <w:szCs w:val="20"/>
        </w:rPr>
        <w:t>research focusing on rabbit bucks and the more</w:t>
      </w:r>
      <w:r w:rsidR="00A97A9D" w:rsidRPr="00C46493">
        <w:rPr>
          <w:rFonts w:ascii="Arial" w:eastAsia="Times New Roman" w:hAnsi="Arial" w:cs="Arial"/>
          <w:sz w:val="20"/>
          <w:szCs w:val="20"/>
        </w:rPr>
        <w:t xml:space="preserve"> concentrated ethanolic extract in Nigeria.</w:t>
      </w:r>
      <w:r w:rsidRPr="00C46493">
        <w:rPr>
          <w:rFonts w:ascii="Arial" w:eastAsia="Times New Roman" w:hAnsi="Arial" w:cs="Arial"/>
          <w:sz w:val="20"/>
          <w:szCs w:val="20"/>
        </w:rPr>
        <w:t xml:space="preserve"> This gap highlights the need to explore the reproductive effects and</w:t>
      </w:r>
      <w:r w:rsidR="00A97A9D" w:rsidRPr="00C46493">
        <w:rPr>
          <w:rFonts w:ascii="Arial" w:eastAsia="Times New Roman" w:hAnsi="Arial" w:cs="Arial"/>
          <w:sz w:val="20"/>
          <w:szCs w:val="20"/>
        </w:rPr>
        <w:t xml:space="preserve"> ideal dosing of </w:t>
      </w:r>
      <w:r w:rsidR="00A97A9D"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ethanolic extract in rabbit bucks. Understanding this relationship is crucial to confirming </w:t>
      </w:r>
      <w:r w:rsidRPr="00C46493">
        <w:rPr>
          <w:rFonts w:ascii="Arial" w:eastAsia="Times New Roman" w:hAnsi="Arial" w:cs="Arial"/>
          <w:i/>
          <w:sz w:val="20"/>
          <w:szCs w:val="20"/>
        </w:rPr>
        <w:t>Garcinia kola'</w:t>
      </w:r>
      <w:r w:rsidRPr="00C46493">
        <w:rPr>
          <w:rFonts w:ascii="Arial" w:eastAsia="Times New Roman" w:hAnsi="Arial" w:cs="Arial"/>
          <w:sz w:val="20"/>
          <w:szCs w:val="20"/>
        </w:rPr>
        <w:t>s potential as a fertility booster in rabbit production. The aim of this study was to</w:t>
      </w:r>
      <w:r w:rsidR="008E01C3" w:rsidRPr="00C46493">
        <w:rPr>
          <w:rFonts w:ascii="Arial" w:eastAsia="Times New Roman" w:hAnsi="Arial" w:cs="Arial"/>
          <w:sz w:val="20"/>
          <w:szCs w:val="20"/>
        </w:rPr>
        <w:t xml:space="preserve"> evaluate how bitter kola affect</w:t>
      </w:r>
      <w:r w:rsidRPr="00C46493">
        <w:rPr>
          <w:rFonts w:ascii="Arial" w:eastAsia="Times New Roman" w:hAnsi="Arial" w:cs="Arial"/>
          <w:sz w:val="20"/>
          <w:szCs w:val="20"/>
        </w:rPr>
        <w:t>s the semen quality and hormonal profile of rabbit bucks.</w:t>
      </w:r>
    </w:p>
    <w:p w14:paraId="408A85AE" w14:textId="77777777" w:rsidR="00B624A4" w:rsidRPr="00C46493" w:rsidRDefault="0000410B" w:rsidP="00B624A4">
      <w:pPr>
        <w:pStyle w:val="ListParagraph"/>
        <w:numPr>
          <w:ilvl w:val="0"/>
          <w:numId w:val="2"/>
        </w:numPr>
        <w:spacing w:after="0" w:line="480" w:lineRule="auto"/>
        <w:jc w:val="both"/>
        <w:rPr>
          <w:rFonts w:ascii="Arial" w:eastAsia="Times New Roman" w:hAnsi="Arial" w:cs="Arial"/>
          <w:b/>
        </w:rPr>
      </w:pPr>
      <w:r w:rsidRPr="00C46493">
        <w:rPr>
          <w:rFonts w:ascii="Arial" w:eastAsia="Times New Roman" w:hAnsi="Arial" w:cs="Arial"/>
          <w:b/>
        </w:rPr>
        <w:t>MATERIALS AND METHODS</w:t>
      </w:r>
    </w:p>
    <w:p w14:paraId="1D372806" w14:textId="77777777" w:rsidR="00DC12A8" w:rsidRPr="00C46493" w:rsidRDefault="0000410B" w:rsidP="00B624A4">
      <w:pPr>
        <w:rPr>
          <w:rFonts w:ascii="Arial" w:hAnsi="Arial" w:cs="Arial"/>
          <w:b/>
        </w:rPr>
      </w:pPr>
      <w:r w:rsidRPr="00C46493">
        <w:rPr>
          <w:rFonts w:ascii="Arial" w:hAnsi="Arial" w:cs="Arial"/>
        </w:rPr>
        <w:t>2.1</w:t>
      </w:r>
      <w:r w:rsidRPr="00C46493">
        <w:rPr>
          <w:rFonts w:ascii="Arial" w:hAnsi="Arial" w:cs="Arial"/>
          <w:b/>
        </w:rPr>
        <w:t xml:space="preserve"> </w:t>
      </w:r>
      <w:r w:rsidR="00DC12A8" w:rsidRPr="00C46493">
        <w:rPr>
          <w:rFonts w:ascii="Arial" w:hAnsi="Arial" w:cs="Arial"/>
          <w:b/>
        </w:rPr>
        <w:t>Study Area</w:t>
      </w:r>
    </w:p>
    <w:p w14:paraId="6807306A" w14:textId="77777777" w:rsidR="00B624A4" w:rsidRPr="00C46493" w:rsidRDefault="00B624A4" w:rsidP="00DE3DD9">
      <w:pPr>
        <w:shd w:val="clear" w:color="auto" w:fill="FFFFFF" w:themeFill="background1"/>
        <w:spacing w:line="480" w:lineRule="auto"/>
        <w:jc w:val="both"/>
        <w:rPr>
          <w:rFonts w:ascii="Arial" w:hAnsi="Arial" w:cs="Arial"/>
          <w:b/>
          <w:sz w:val="20"/>
          <w:szCs w:val="20"/>
        </w:rPr>
      </w:pPr>
      <w:r w:rsidRPr="00C46493">
        <w:rPr>
          <w:rFonts w:ascii="Arial" w:hAnsi="Arial" w:cs="Arial"/>
          <w:sz w:val="20"/>
          <w:szCs w:val="20"/>
        </w:rPr>
        <w:t>The research took place at the Rabbit Unit of the Teaching and Research Far</w:t>
      </w:r>
      <w:r w:rsidR="000F654F" w:rsidRPr="00C46493">
        <w:rPr>
          <w:rFonts w:ascii="Arial" w:hAnsi="Arial" w:cs="Arial"/>
          <w:sz w:val="20"/>
          <w:szCs w:val="20"/>
        </w:rPr>
        <w:t>m at Modibbo Adama University</w:t>
      </w:r>
      <w:r w:rsidRPr="00C46493">
        <w:rPr>
          <w:rFonts w:ascii="Arial" w:hAnsi="Arial" w:cs="Arial"/>
          <w:sz w:val="20"/>
          <w:szCs w:val="20"/>
        </w:rPr>
        <w:t xml:space="preserve"> Yola, Adamawa State, Nigeria</w:t>
      </w:r>
      <w:r w:rsidRPr="00C46493">
        <w:rPr>
          <w:rFonts w:ascii="Arial" w:hAnsi="Arial" w:cs="Arial"/>
          <w:b/>
          <w:sz w:val="20"/>
          <w:szCs w:val="20"/>
        </w:rPr>
        <w:t>.</w:t>
      </w:r>
      <w:r w:rsidR="00E05445" w:rsidRPr="00C46493">
        <w:rPr>
          <w:rFonts w:ascii="Arial" w:hAnsi="Arial" w:cs="Arial"/>
          <w:b/>
          <w:sz w:val="20"/>
          <w:szCs w:val="20"/>
        </w:rPr>
        <w:t xml:space="preserve"> </w:t>
      </w:r>
      <w:r w:rsidR="003F3AA2" w:rsidRPr="00C46493">
        <w:rPr>
          <w:rFonts w:ascii="Arial" w:hAnsi="Arial" w:cs="Arial"/>
          <w:sz w:val="20"/>
          <w:szCs w:val="20"/>
        </w:rPr>
        <w:t>Yola is situated between the latitudes of 9˚11'N and 9˚20'N, and the longitudes of 12˚23'E to 12˚33'E, covering an area of approximately 305 square kilometers. This region experiences an average annual rainfall of 919 mm, with monthly temperatures ranging from a minimum of 19˚C to a maximum of 37.9˚C</w:t>
      </w:r>
      <w:r w:rsidR="003F3AA2" w:rsidRPr="00C46493">
        <w:rPr>
          <w:rFonts w:ascii="Arial" w:hAnsi="Arial" w:cs="Arial"/>
          <w:sz w:val="20"/>
          <w:szCs w:val="20"/>
          <w:shd w:val="clear" w:color="auto" w:fill="F4F5F6"/>
        </w:rPr>
        <w:t>.</w:t>
      </w:r>
    </w:p>
    <w:p w14:paraId="76D94239" w14:textId="77777777" w:rsidR="00DC12A8" w:rsidRPr="00C46493" w:rsidRDefault="0000410B" w:rsidP="00DC12A8">
      <w:pPr>
        <w:spacing w:after="0" w:line="480" w:lineRule="auto"/>
        <w:rPr>
          <w:rFonts w:ascii="Arial" w:hAnsi="Arial" w:cs="Arial"/>
          <w:b/>
        </w:rPr>
      </w:pPr>
      <w:r w:rsidRPr="00C46493">
        <w:rPr>
          <w:rFonts w:ascii="Arial" w:hAnsi="Arial" w:cs="Arial"/>
        </w:rPr>
        <w:t>2.2</w:t>
      </w:r>
      <w:r w:rsidRPr="00C46493">
        <w:rPr>
          <w:rFonts w:ascii="Arial" w:hAnsi="Arial" w:cs="Arial"/>
          <w:b/>
        </w:rPr>
        <w:t xml:space="preserve"> </w:t>
      </w:r>
      <w:r w:rsidR="00DC12A8" w:rsidRPr="00C46493">
        <w:rPr>
          <w:rFonts w:ascii="Arial" w:hAnsi="Arial" w:cs="Arial"/>
          <w:b/>
        </w:rPr>
        <w:t>Experimental Animals and Management</w:t>
      </w:r>
    </w:p>
    <w:p w14:paraId="07CE7E3F" w14:textId="77777777" w:rsidR="00B624A4" w:rsidRPr="00C46493" w:rsidRDefault="00B624A4" w:rsidP="00DC12A8">
      <w:pPr>
        <w:spacing w:after="0" w:line="480" w:lineRule="auto"/>
        <w:jc w:val="both"/>
        <w:rPr>
          <w:rFonts w:ascii="Arial" w:hAnsi="Arial" w:cs="Arial"/>
          <w:b/>
          <w:sz w:val="20"/>
          <w:szCs w:val="20"/>
        </w:rPr>
      </w:pPr>
      <w:r w:rsidRPr="00C46493">
        <w:rPr>
          <w:rFonts w:ascii="Arial" w:hAnsi="Arial" w:cs="Arial"/>
          <w:sz w:val="20"/>
          <w:szCs w:val="20"/>
        </w:rPr>
        <w:t xml:space="preserve">In this study, we used twenty-four </w:t>
      </w:r>
      <w:r w:rsidR="00DC12A8" w:rsidRPr="00C46493">
        <w:rPr>
          <w:rFonts w:ascii="Arial" w:hAnsi="Arial" w:cs="Arial"/>
          <w:sz w:val="20"/>
          <w:szCs w:val="20"/>
        </w:rPr>
        <w:t xml:space="preserve">apparently </w:t>
      </w:r>
      <w:r w:rsidRPr="00C46493">
        <w:rPr>
          <w:rFonts w:ascii="Arial" w:hAnsi="Arial" w:cs="Arial"/>
          <w:sz w:val="20"/>
          <w:szCs w:val="20"/>
        </w:rPr>
        <w:t>healthy, sexually mature</w:t>
      </w:r>
      <w:r w:rsidR="00F56BD3" w:rsidRPr="00C46493">
        <w:rPr>
          <w:rFonts w:ascii="Arial" w:hAnsi="Arial" w:cs="Arial"/>
          <w:sz w:val="20"/>
          <w:szCs w:val="20"/>
        </w:rPr>
        <w:t>d</w:t>
      </w:r>
      <w:r w:rsidRPr="00C46493">
        <w:rPr>
          <w:rFonts w:ascii="Arial" w:hAnsi="Arial" w:cs="Arial"/>
          <w:sz w:val="20"/>
          <w:szCs w:val="20"/>
        </w:rPr>
        <w:t xml:space="preserve"> rabbit bucks (</w:t>
      </w:r>
      <w:r w:rsidRPr="00C46493">
        <w:rPr>
          <w:rFonts w:ascii="Arial" w:hAnsi="Arial" w:cs="Arial"/>
          <w:i/>
          <w:sz w:val="20"/>
          <w:szCs w:val="20"/>
        </w:rPr>
        <w:t>Oryctolagus cuniculus</w:t>
      </w:r>
      <w:r w:rsidRPr="00C46493">
        <w:rPr>
          <w:rFonts w:ascii="Arial" w:hAnsi="Arial" w:cs="Arial"/>
          <w:sz w:val="20"/>
          <w:szCs w:val="20"/>
        </w:rPr>
        <w:t>) that were between 6 to 8 months old and weighed between 1.5 to 2.5 kg. These rabbits were obtained from the National V</w:t>
      </w:r>
      <w:r w:rsidR="000F654F" w:rsidRPr="00C46493">
        <w:rPr>
          <w:rFonts w:ascii="Arial" w:hAnsi="Arial" w:cs="Arial"/>
          <w:sz w:val="20"/>
          <w:szCs w:val="20"/>
        </w:rPr>
        <w:t xml:space="preserve">eterinary Research Institute </w:t>
      </w:r>
      <w:proofErr w:type="spellStart"/>
      <w:r w:rsidRPr="00C46493">
        <w:rPr>
          <w:rFonts w:ascii="Arial" w:hAnsi="Arial" w:cs="Arial"/>
          <w:sz w:val="20"/>
          <w:szCs w:val="20"/>
        </w:rPr>
        <w:t>Vom</w:t>
      </w:r>
      <w:proofErr w:type="spellEnd"/>
      <w:r w:rsidRPr="00C46493">
        <w:rPr>
          <w:rFonts w:ascii="Arial" w:hAnsi="Arial" w:cs="Arial"/>
          <w:sz w:val="20"/>
          <w:szCs w:val="20"/>
        </w:rPr>
        <w:t>, Plateau State, Nigeria, and were given two weeks to acclimatize before the experiment began. They were kept in well-ventilated wire mesh cages that maintained hygienic conditions. The rabbits had unlimited access to a standard commercial rabbit diet and were provided with fresh drinking water every day. Throughout the study, we ensured routine veterinary care and adhered to strict biosecurity measures. The local ethics committee approved the study, and we followed the guidelines for the Care and Use of Laboratory Animals as outlined by the US National Institutes of Health (NIH publication no. 83-23, revised 1996).</w:t>
      </w:r>
    </w:p>
    <w:p w14:paraId="17CDDBFB" w14:textId="77777777" w:rsidR="00F87295" w:rsidRPr="00C46493" w:rsidRDefault="00F87295" w:rsidP="00F87295">
      <w:pPr>
        <w:rPr>
          <w:rFonts w:ascii="Arial" w:hAnsi="Arial" w:cs="Arial"/>
          <w:b/>
        </w:rPr>
      </w:pPr>
      <w:r w:rsidRPr="00C46493">
        <w:rPr>
          <w:rFonts w:ascii="Arial" w:hAnsi="Arial" w:cs="Arial"/>
        </w:rPr>
        <w:t xml:space="preserve"> </w:t>
      </w:r>
      <w:r w:rsidR="00A93B15" w:rsidRPr="00C46493">
        <w:rPr>
          <w:rFonts w:ascii="Arial" w:hAnsi="Arial" w:cs="Arial"/>
        </w:rPr>
        <w:t xml:space="preserve">2.3 </w:t>
      </w:r>
      <w:r w:rsidRPr="00C46493">
        <w:rPr>
          <w:rFonts w:ascii="Arial" w:hAnsi="Arial" w:cs="Arial"/>
          <w:b/>
        </w:rPr>
        <w:t xml:space="preserve">Experimental Design  </w:t>
      </w:r>
    </w:p>
    <w:p w14:paraId="4F7CDC49" w14:textId="77777777" w:rsidR="00F87295" w:rsidRPr="00C46493" w:rsidRDefault="00F87295" w:rsidP="00F56BD3">
      <w:pPr>
        <w:spacing w:line="480" w:lineRule="auto"/>
        <w:jc w:val="both"/>
        <w:rPr>
          <w:rFonts w:ascii="Arial" w:hAnsi="Arial" w:cs="Arial"/>
          <w:sz w:val="20"/>
          <w:szCs w:val="20"/>
        </w:rPr>
      </w:pPr>
      <w:r w:rsidRPr="00C46493">
        <w:rPr>
          <w:rFonts w:ascii="Arial" w:hAnsi="Arial" w:cs="Arial"/>
          <w:sz w:val="20"/>
          <w:szCs w:val="20"/>
        </w:rPr>
        <w:t>This study was conducted using a Completely Randomized Design (CRD). We took twenty-four rabbit bucks and randomly divided them into four groups, each containing six a</w:t>
      </w:r>
      <w:r w:rsidR="00F56BD3" w:rsidRPr="00C46493">
        <w:rPr>
          <w:rFonts w:ascii="Arial" w:hAnsi="Arial" w:cs="Arial"/>
          <w:sz w:val="20"/>
          <w:szCs w:val="20"/>
        </w:rPr>
        <w:t>nimals</w:t>
      </w:r>
      <w:r w:rsidRPr="00C46493">
        <w:rPr>
          <w:rFonts w:ascii="Arial" w:hAnsi="Arial" w:cs="Arial"/>
          <w:sz w:val="20"/>
          <w:szCs w:val="20"/>
        </w:rPr>
        <w:t>: Group A received distilled</w:t>
      </w:r>
      <w:r w:rsidR="00083F96" w:rsidRPr="00C46493">
        <w:rPr>
          <w:rFonts w:ascii="Arial" w:hAnsi="Arial" w:cs="Arial"/>
          <w:sz w:val="20"/>
          <w:szCs w:val="20"/>
        </w:rPr>
        <w:t xml:space="preserve"> water as a placebo, Group B received</w:t>
      </w:r>
      <w:r w:rsidRPr="00C46493">
        <w:rPr>
          <w:rFonts w:ascii="Arial" w:hAnsi="Arial" w:cs="Arial"/>
          <w:sz w:val="20"/>
          <w:szCs w:val="20"/>
        </w:rPr>
        <w:t xml:space="preserve"> an ethanolic bitter kola extract at a dosage of 100 mg/kg body weight, Group C received the extract at 200 mg/kg body weight, and Group D was given </w:t>
      </w:r>
      <w:r w:rsidRPr="00C46493">
        <w:rPr>
          <w:rFonts w:ascii="Arial" w:hAnsi="Arial" w:cs="Arial"/>
          <w:sz w:val="20"/>
          <w:szCs w:val="20"/>
        </w:rPr>
        <w:lastRenderedPageBreak/>
        <w:t xml:space="preserve">the extract at 400 mg/kg body weight. The treatments were administered every 12 hours through the oral route for a total of eight weeks.  </w:t>
      </w:r>
    </w:p>
    <w:p w14:paraId="041BCDE4" w14:textId="77777777" w:rsidR="00F87295" w:rsidRPr="00C46493" w:rsidRDefault="00A93B15" w:rsidP="00F87295">
      <w:pPr>
        <w:rPr>
          <w:rFonts w:ascii="Arial" w:hAnsi="Arial" w:cs="Arial"/>
          <w:b/>
        </w:rPr>
      </w:pPr>
      <w:r w:rsidRPr="00C46493">
        <w:rPr>
          <w:rFonts w:ascii="Arial" w:hAnsi="Arial" w:cs="Arial"/>
          <w:sz w:val="20"/>
          <w:szCs w:val="20"/>
        </w:rPr>
        <w:t>2.4</w:t>
      </w:r>
      <w:r w:rsidRPr="00C46493">
        <w:rPr>
          <w:rFonts w:ascii="Arial" w:hAnsi="Arial" w:cs="Arial"/>
          <w:b/>
          <w:sz w:val="20"/>
          <w:szCs w:val="20"/>
        </w:rPr>
        <w:t xml:space="preserve"> </w:t>
      </w:r>
      <w:r w:rsidR="00F87295" w:rsidRPr="00C46493">
        <w:rPr>
          <w:rFonts w:ascii="Arial" w:hAnsi="Arial" w:cs="Arial"/>
          <w:b/>
        </w:rPr>
        <w:t xml:space="preserve">Preparation of Ethanolic Bitter Kola Extract  </w:t>
      </w:r>
    </w:p>
    <w:p w14:paraId="39B6507C" w14:textId="77777777" w:rsidR="00F87295" w:rsidRPr="00C46493" w:rsidRDefault="00F87295" w:rsidP="00083F96">
      <w:pPr>
        <w:spacing w:line="480" w:lineRule="auto"/>
        <w:jc w:val="both"/>
        <w:rPr>
          <w:rFonts w:ascii="Arial" w:hAnsi="Arial" w:cs="Arial"/>
          <w:sz w:val="20"/>
          <w:szCs w:val="20"/>
        </w:rPr>
      </w:pPr>
      <w:r w:rsidRPr="00C46493">
        <w:rPr>
          <w:rFonts w:ascii="Arial" w:hAnsi="Arial" w:cs="Arial"/>
          <w:sz w:val="20"/>
          <w:szCs w:val="20"/>
        </w:rPr>
        <w:t xml:space="preserve">We sourced fresh </w:t>
      </w:r>
      <w:r w:rsidRPr="00C46493">
        <w:rPr>
          <w:rFonts w:ascii="Arial" w:hAnsi="Arial" w:cs="Arial"/>
          <w:i/>
          <w:sz w:val="20"/>
          <w:szCs w:val="20"/>
        </w:rPr>
        <w:t>Garcinia kola</w:t>
      </w:r>
      <w:r w:rsidRPr="00C46493">
        <w:rPr>
          <w:rFonts w:ascii="Arial" w:hAnsi="Arial" w:cs="Arial"/>
          <w:sz w:val="20"/>
          <w:szCs w:val="20"/>
        </w:rPr>
        <w:t xml:space="preserve"> seeds from the Yola modern market in Adamawa State, Nigeria. After thoroughly washing and peeling</w:t>
      </w:r>
      <w:r w:rsidR="00083F96" w:rsidRPr="00C46493">
        <w:rPr>
          <w:rFonts w:ascii="Arial" w:hAnsi="Arial" w:cs="Arial"/>
          <w:sz w:val="20"/>
          <w:szCs w:val="20"/>
        </w:rPr>
        <w:t xml:space="preserve"> them, we let them air-dry. When</w:t>
      </w:r>
      <w:r w:rsidRPr="00C46493">
        <w:rPr>
          <w:rFonts w:ascii="Arial" w:hAnsi="Arial" w:cs="Arial"/>
          <w:sz w:val="20"/>
          <w:szCs w:val="20"/>
        </w:rPr>
        <w:t xml:space="preserve"> dried, the seeds were ground into a fine powder using electric blenders. We then macerated 1300g of this powdered form in a 70% ethanol solution, sealing it airtight for 72 hours. After that, we filtered the mixture using Whatman No.1 filter paper. The resulting filtrate was concentrated under low pressure at 45 degrees Celsius with rotary evaporators, followed by water baths until we achieved a semi-solid form of crude extracts. These extracts were stored in the refrigerator at 4 degrees Celsius until we were ready to use them. When it was time for administration, we</w:t>
      </w:r>
      <w:r w:rsidR="00F96685" w:rsidRPr="00C46493">
        <w:rPr>
          <w:rFonts w:ascii="Arial" w:hAnsi="Arial" w:cs="Arial"/>
          <w:sz w:val="20"/>
          <w:szCs w:val="20"/>
        </w:rPr>
        <w:t xml:space="preserve"> </w:t>
      </w:r>
      <w:r w:rsidRPr="00C46493">
        <w:rPr>
          <w:rFonts w:ascii="Arial" w:hAnsi="Arial" w:cs="Arial"/>
          <w:sz w:val="20"/>
          <w:szCs w:val="20"/>
        </w:rPr>
        <w:t xml:space="preserve">dissolved the appropriate amounts in distilled water.  </w:t>
      </w:r>
    </w:p>
    <w:p w14:paraId="223A88C7" w14:textId="77777777" w:rsidR="00F87295" w:rsidRPr="00C46493" w:rsidRDefault="00A93B15" w:rsidP="00F87295">
      <w:pPr>
        <w:rPr>
          <w:rFonts w:ascii="Arial" w:hAnsi="Arial" w:cs="Arial"/>
          <w:b/>
        </w:rPr>
      </w:pPr>
      <w:r w:rsidRPr="00C46493">
        <w:rPr>
          <w:rFonts w:ascii="Arial" w:hAnsi="Arial" w:cs="Arial"/>
        </w:rPr>
        <w:t>2.5</w:t>
      </w:r>
      <w:r w:rsidRPr="00C46493">
        <w:rPr>
          <w:rFonts w:ascii="Arial" w:hAnsi="Arial" w:cs="Arial"/>
          <w:b/>
        </w:rPr>
        <w:t xml:space="preserve"> </w:t>
      </w:r>
      <w:r w:rsidR="00F87295" w:rsidRPr="00C46493">
        <w:rPr>
          <w:rFonts w:ascii="Arial" w:hAnsi="Arial" w:cs="Arial"/>
          <w:b/>
        </w:rPr>
        <w:t xml:space="preserve">Study Duration and Semen Collection  </w:t>
      </w:r>
    </w:p>
    <w:p w14:paraId="3A9E0B11" w14:textId="77777777" w:rsidR="00F87295" w:rsidRPr="00C46493" w:rsidRDefault="00F87295" w:rsidP="00245CED">
      <w:pPr>
        <w:spacing w:line="480" w:lineRule="auto"/>
        <w:jc w:val="both"/>
        <w:rPr>
          <w:rFonts w:ascii="Arial" w:hAnsi="Arial" w:cs="Arial"/>
          <w:sz w:val="20"/>
          <w:szCs w:val="20"/>
        </w:rPr>
      </w:pPr>
      <w:r w:rsidRPr="00C46493">
        <w:rPr>
          <w:rFonts w:ascii="Arial" w:hAnsi="Arial" w:cs="Arial"/>
          <w:sz w:val="20"/>
          <w:szCs w:val="20"/>
        </w:rPr>
        <w:t xml:space="preserve">The experiment spanned eight weeks, during which we collected semen from all animals at three </w:t>
      </w:r>
      <w:r w:rsidR="005B2F31" w:rsidRPr="00C46493">
        <w:rPr>
          <w:rFonts w:ascii="Arial" w:hAnsi="Arial" w:cs="Arial"/>
          <w:sz w:val="20"/>
          <w:szCs w:val="20"/>
        </w:rPr>
        <w:t xml:space="preserve">different points: at week zero </w:t>
      </w:r>
      <w:r w:rsidRPr="00C46493">
        <w:rPr>
          <w:rFonts w:ascii="Arial" w:hAnsi="Arial" w:cs="Arial"/>
          <w:sz w:val="20"/>
          <w:szCs w:val="20"/>
        </w:rPr>
        <w:t>which served as</w:t>
      </w:r>
      <w:r w:rsidR="00E552E9" w:rsidRPr="00C46493">
        <w:rPr>
          <w:rFonts w:ascii="Arial" w:hAnsi="Arial" w:cs="Arial"/>
          <w:sz w:val="20"/>
          <w:szCs w:val="20"/>
        </w:rPr>
        <w:t xml:space="preserve"> </w:t>
      </w:r>
      <w:r w:rsidRPr="00C46493">
        <w:rPr>
          <w:rFonts w:ascii="Arial" w:hAnsi="Arial" w:cs="Arial"/>
          <w:sz w:val="20"/>
          <w:szCs w:val="20"/>
        </w:rPr>
        <w:t>the baseline with no ex</w:t>
      </w:r>
      <w:r w:rsidR="000F654F" w:rsidRPr="00C46493">
        <w:rPr>
          <w:rFonts w:ascii="Arial" w:hAnsi="Arial" w:cs="Arial"/>
          <w:sz w:val="20"/>
          <w:szCs w:val="20"/>
        </w:rPr>
        <w:t>tract administered; at week 4</w:t>
      </w:r>
      <w:r w:rsidRPr="00C46493">
        <w:rPr>
          <w:rFonts w:ascii="Arial" w:hAnsi="Arial" w:cs="Arial"/>
          <w:sz w:val="20"/>
          <w:szCs w:val="20"/>
        </w:rPr>
        <w:t xml:space="preserve">, marking the halfway point of </w:t>
      </w:r>
      <w:r w:rsidR="000F654F" w:rsidRPr="00C46493">
        <w:rPr>
          <w:rFonts w:ascii="Arial" w:hAnsi="Arial" w:cs="Arial"/>
          <w:sz w:val="20"/>
          <w:szCs w:val="20"/>
        </w:rPr>
        <w:t>the treatment; and at week 8</w:t>
      </w:r>
      <w:r w:rsidRPr="00C46493">
        <w:rPr>
          <w:rFonts w:ascii="Arial" w:hAnsi="Arial" w:cs="Arial"/>
          <w:sz w:val="20"/>
          <w:szCs w:val="20"/>
        </w:rPr>
        <w:t>, after the full treatment period had concluded.</w:t>
      </w:r>
    </w:p>
    <w:p w14:paraId="5C1B5DAC" w14:textId="77777777" w:rsidR="00F87295" w:rsidRPr="00C46493" w:rsidRDefault="00A93B15" w:rsidP="00F87295">
      <w:pPr>
        <w:rPr>
          <w:rFonts w:ascii="Arial" w:hAnsi="Arial" w:cs="Arial"/>
          <w:b/>
        </w:rPr>
      </w:pPr>
      <w:r w:rsidRPr="00C46493">
        <w:rPr>
          <w:rFonts w:ascii="Arial" w:hAnsi="Arial" w:cs="Arial"/>
        </w:rPr>
        <w:t>2.6</w:t>
      </w:r>
      <w:r w:rsidRPr="00C46493">
        <w:rPr>
          <w:rFonts w:ascii="Arial" w:hAnsi="Arial" w:cs="Arial"/>
          <w:b/>
        </w:rPr>
        <w:t xml:space="preserve"> </w:t>
      </w:r>
      <w:r w:rsidR="00F87295" w:rsidRPr="00C46493">
        <w:rPr>
          <w:rFonts w:ascii="Arial" w:hAnsi="Arial" w:cs="Arial"/>
          <w:b/>
        </w:rPr>
        <w:t xml:space="preserve">Semen Collection Procedure  </w:t>
      </w:r>
    </w:p>
    <w:p w14:paraId="20E568CD" w14:textId="77777777" w:rsidR="00F87295" w:rsidRPr="00C46493" w:rsidRDefault="00F87295" w:rsidP="00CA1999">
      <w:pPr>
        <w:spacing w:line="480" w:lineRule="auto"/>
        <w:jc w:val="both"/>
        <w:rPr>
          <w:rFonts w:ascii="Arial" w:hAnsi="Arial" w:cs="Arial"/>
          <w:sz w:val="20"/>
          <w:szCs w:val="20"/>
        </w:rPr>
      </w:pPr>
      <w:r w:rsidRPr="00C46493">
        <w:rPr>
          <w:rFonts w:ascii="Arial" w:hAnsi="Arial" w:cs="Arial"/>
          <w:sz w:val="20"/>
          <w:szCs w:val="20"/>
        </w:rPr>
        <w:t xml:space="preserve">Before each collection, the bucks were trained to mount a teaser doe, as outlined by </w:t>
      </w:r>
      <w:proofErr w:type="spellStart"/>
      <w:r w:rsidRPr="00C46493">
        <w:rPr>
          <w:rFonts w:ascii="Arial" w:hAnsi="Arial" w:cs="Arial"/>
          <w:sz w:val="20"/>
          <w:szCs w:val="20"/>
        </w:rPr>
        <w:t>Munu</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(2024). We used an improvised artificial vagina (AV) for the semen collection. To create the AV, we put together syringes, sample collection containers, and latex condoms. The AV was warmed up to about 40°C in a hot water bath and held by hand under the teaser, w</w:t>
      </w:r>
      <w:r w:rsidR="00CA1999" w:rsidRPr="00C46493">
        <w:rPr>
          <w:rFonts w:ascii="Arial" w:hAnsi="Arial" w:cs="Arial"/>
          <w:sz w:val="20"/>
          <w:szCs w:val="20"/>
        </w:rPr>
        <w:t>ith the open end facing caudal</w:t>
      </w:r>
      <w:r w:rsidRPr="00C46493">
        <w:rPr>
          <w:rFonts w:ascii="Arial" w:hAnsi="Arial" w:cs="Arial"/>
          <w:sz w:val="20"/>
          <w:szCs w:val="20"/>
        </w:rPr>
        <w:t>. As the buck began to mount, we adjusted th</w:t>
      </w:r>
      <w:r w:rsidR="00CA1999" w:rsidRPr="00C46493">
        <w:rPr>
          <w:rFonts w:ascii="Arial" w:hAnsi="Arial" w:cs="Arial"/>
          <w:sz w:val="20"/>
          <w:szCs w:val="20"/>
        </w:rPr>
        <w:t>e artificial vagina further caudally</w:t>
      </w:r>
      <w:r w:rsidRPr="00C46493">
        <w:rPr>
          <w:rFonts w:ascii="Arial" w:hAnsi="Arial" w:cs="Arial"/>
          <w:sz w:val="20"/>
          <w:szCs w:val="20"/>
        </w:rPr>
        <w:t xml:space="preserve"> to allow for penetration and ejaculation, which happened quickly once the buck's penis entered the AV. The ejaculates were collected in sterile, labeled containers and promptly taken to the lab</w:t>
      </w:r>
      <w:r w:rsidR="000F654F" w:rsidRPr="00C46493">
        <w:rPr>
          <w:rFonts w:ascii="Arial" w:hAnsi="Arial" w:cs="Arial"/>
          <w:sz w:val="20"/>
          <w:szCs w:val="20"/>
        </w:rPr>
        <w:t>oratory</w:t>
      </w:r>
      <w:r w:rsidRPr="00C46493">
        <w:rPr>
          <w:rFonts w:ascii="Arial" w:hAnsi="Arial" w:cs="Arial"/>
          <w:sz w:val="20"/>
          <w:szCs w:val="20"/>
        </w:rPr>
        <w:t xml:space="preserve"> for evaluation.</w:t>
      </w:r>
    </w:p>
    <w:p w14:paraId="1BF247BB" w14:textId="77777777" w:rsidR="00C36E31" w:rsidRPr="00C46493" w:rsidRDefault="00C36E31" w:rsidP="00C36E31">
      <w:pPr>
        <w:rPr>
          <w:rFonts w:ascii="Arial" w:hAnsi="Arial" w:cs="Arial"/>
          <w:b/>
        </w:rPr>
      </w:pPr>
      <w:r w:rsidRPr="00C46493">
        <w:rPr>
          <w:rFonts w:ascii="Arial" w:hAnsi="Arial" w:cs="Arial"/>
          <w:sz w:val="20"/>
          <w:szCs w:val="20"/>
        </w:rPr>
        <w:t xml:space="preserve"> </w:t>
      </w:r>
      <w:r w:rsidR="00A93B15" w:rsidRPr="00C46493">
        <w:rPr>
          <w:rFonts w:ascii="Arial" w:hAnsi="Arial" w:cs="Arial"/>
          <w:sz w:val="20"/>
          <w:szCs w:val="20"/>
        </w:rPr>
        <w:t>2.7</w:t>
      </w:r>
      <w:r w:rsidR="00A93B15" w:rsidRPr="00C46493">
        <w:rPr>
          <w:rFonts w:ascii="Arial" w:hAnsi="Arial" w:cs="Arial"/>
          <w:b/>
          <w:sz w:val="20"/>
          <w:szCs w:val="20"/>
        </w:rPr>
        <w:t xml:space="preserve"> </w:t>
      </w:r>
      <w:r w:rsidRPr="00C46493">
        <w:rPr>
          <w:rFonts w:ascii="Arial" w:hAnsi="Arial" w:cs="Arial"/>
          <w:b/>
        </w:rPr>
        <w:t xml:space="preserve">Semen Evaluation  </w:t>
      </w:r>
    </w:p>
    <w:p w14:paraId="38B6A0CF" w14:textId="77777777" w:rsidR="00653E2B" w:rsidRPr="00C46493" w:rsidRDefault="00C36E31" w:rsidP="00304A50">
      <w:pPr>
        <w:spacing w:after="0" w:line="480" w:lineRule="auto"/>
        <w:jc w:val="both"/>
        <w:rPr>
          <w:rFonts w:ascii="Arial" w:eastAsia="Times New Roman" w:hAnsi="Arial" w:cs="Arial"/>
          <w:sz w:val="20"/>
          <w:szCs w:val="20"/>
        </w:rPr>
      </w:pPr>
      <w:r w:rsidRPr="00C46493">
        <w:rPr>
          <w:rFonts w:ascii="Arial" w:hAnsi="Arial" w:cs="Arial"/>
          <w:sz w:val="20"/>
          <w:szCs w:val="20"/>
        </w:rPr>
        <w:t xml:space="preserve">We evaluated each semen sample based on several criteria. The volume (in mL) was directly measured from the graduated collection container. We assessed the color and consistency attributes visually. To measure the pH, we used a digital pH meter. For sperm motility (in %), we took a fresh </w:t>
      </w:r>
      <w:r w:rsidRPr="00C46493">
        <w:rPr>
          <w:rFonts w:ascii="Arial" w:hAnsi="Arial" w:cs="Arial"/>
          <w:sz w:val="20"/>
          <w:szCs w:val="20"/>
        </w:rPr>
        <w:lastRenderedPageBreak/>
        <w:t xml:space="preserve">semen sample, placed it on a pre-warmed glass slide, and covered it with a slip. We then examined motile sperm under a microscope at 100x magnification, reporting motility as a percentage. To determine sperm concentration (in ×10⁶/mL), we used a hemocytometer after diluting the sample with a sodium bicarbonate-formalin solution, following the method outlined by Atiq </w:t>
      </w:r>
      <w:r w:rsidRPr="00C46493">
        <w:rPr>
          <w:rFonts w:ascii="Arial" w:hAnsi="Arial" w:cs="Arial"/>
          <w:i/>
          <w:sz w:val="20"/>
          <w:szCs w:val="20"/>
        </w:rPr>
        <w:t>et al</w:t>
      </w:r>
      <w:r w:rsidRPr="00C46493">
        <w:rPr>
          <w:rFonts w:ascii="Arial" w:hAnsi="Arial" w:cs="Arial"/>
          <w:sz w:val="20"/>
          <w:szCs w:val="20"/>
        </w:rPr>
        <w:t xml:space="preserve">. (2011). The morphological assessment was conducted using the same procedures described by Koziol and Armstrong (2022). This involved preparing a semen smear on a clean glass slide, air-drying it, and fixing it with a mixture of absolute methanol and glacial acetic acid (in a 3:1 ratio). The fixed sample underwent sequential staining: first with hematoxylin for 15 minutes (followed by washing), and then with 1% eosin for 10 minutes (again followed by </w:t>
      </w:r>
      <w:r w:rsidR="00304A50" w:rsidRPr="00C46493">
        <w:rPr>
          <w:rFonts w:ascii="Arial" w:hAnsi="Arial" w:cs="Arial"/>
          <w:sz w:val="20"/>
          <w:szCs w:val="20"/>
        </w:rPr>
        <w:t>washing).</w:t>
      </w:r>
      <w:r w:rsidR="00304A50" w:rsidRPr="00C46493">
        <w:rPr>
          <w:rFonts w:ascii="Arial" w:eastAsia="Times New Roman" w:hAnsi="Arial" w:cs="Arial"/>
          <w:sz w:val="20"/>
          <w:szCs w:val="20"/>
        </w:rPr>
        <w:t xml:space="preserve"> After air-drying at room temperature, the preparation was examined at 100× magnification under light microscopy. Sperm viability (%) was determined using the eosin-nigrosine staining method described by Wells and Awa (1970). One drop of semen was combined with 2-3 drops of pre-warmed eosin-nigrosine stain on a heated slide. A thin smear was created from this mixture and allowed to air-dry. Viable and non-viable sperm were counted separately under microscopy, and the proportion of viable sperm was calculated.</w:t>
      </w:r>
    </w:p>
    <w:p w14:paraId="5143F0CD" w14:textId="77777777" w:rsidR="00511EB9" w:rsidRPr="00C46493" w:rsidRDefault="00A93B15" w:rsidP="00511EB9">
      <w:pPr>
        <w:spacing w:after="0" w:line="480" w:lineRule="auto"/>
        <w:jc w:val="both"/>
        <w:rPr>
          <w:rFonts w:ascii="Arial" w:hAnsi="Arial" w:cs="Arial"/>
          <w:b/>
        </w:rPr>
      </w:pPr>
      <w:r w:rsidRPr="00C46493">
        <w:rPr>
          <w:rFonts w:ascii="Arial" w:hAnsi="Arial" w:cs="Arial"/>
        </w:rPr>
        <w:t>2.8</w:t>
      </w:r>
      <w:r w:rsidRPr="00C46493">
        <w:rPr>
          <w:rFonts w:ascii="Arial" w:hAnsi="Arial" w:cs="Arial"/>
          <w:b/>
        </w:rPr>
        <w:t xml:space="preserve"> </w:t>
      </w:r>
      <w:r w:rsidR="00C36E31" w:rsidRPr="00C46493">
        <w:rPr>
          <w:rFonts w:ascii="Arial" w:hAnsi="Arial" w:cs="Arial"/>
          <w:b/>
        </w:rPr>
        <w:t xml:space="preserve">Blood Collection and Hormonal Assay </w:t>
      </w:r>
    </w:p>
    <w:p w14:paraId="3679CCE1" w14:textId="77777777" w:rsidR="00511EB9" w:rsidRPr="00C46493" w:rsidRDefault="00C36E31" w:rsidP="00511EB9">
      <w:pPr>
        <w:spacing w:after="0" w:line="480" w:lineRule="auto"/>
        <w:jc w:val="both"/>
        <w:rPr>
          <w:rFonts w:ascii="Arial" w:hAnsi="Arial" w:cs="Arial"/>
          <w:sz w:val="20"/>
          <w:szCs w:val="20"/>
        </w:rPr>
      </w:pPr>
      <w:r w:rsidRPr="00C46493">
        <w:rPr>
          <w:rFonts w:ascii="Arial" w:hAnsi="Arial" w:cs="Arial"/>
          <w:sz w:val="20"/>
          <w:szCs w:val="20"/>
        </w:rPr>
        <w:t>At the start of t</w:t>
      </w:r>
      <w:r w:rsidR="00511EB9" w:rsidRPr="00C46493">
        <w:rPr>
          <w:rFonts w:ascii="Arial" w:hAnsi="Arial" w:cs="Arial"/>
          <w:sz w:val="20"/>
          <w:szCs w:val="20"/>
        </w:rPr>
        <w:t xml:space="preserve">he study (week 0), </w:t>
      </w:r>
      <w:r w:rsidRPr="00C46493">
        <w:rPr>
          <w:rFonts w:ascii="Arial" w:hAnsi="Arial" w:cs="Arial"/>
          <w:sz w:val="20"/>
          <w:szCs w:val="20"/>
        </w:rPr>
        <w:t xml:space="preserve">weeks 4 and 8, we collected blood samples. Each morning, we drew five milliliters of blood from the marginal ear vein of each rabbit and placed it in plain collection tubes. After letting the samples sit for 60 minutes, we centrifuged them for 10 minutes at 3000 rpm to separate the serum. </w:t>
      </w:r>
      <w:r w:rsidR="0071005B" w:rsidRPr="00C46493">
        <w:rPr>
          <w:rFonts w:ascii="Arial" w:hAnsi="Arial" w:cs="Arial"/>
          <w:sz w:val="20"/>
          <w:szCs w:val="20"/>
        </w:rPr>
        <w:t>T</w:t>
      </w:r>
      <w:r w:rsidRPr="00C46493">
        <w:rPr>
          <w:rFonts w:ascii="Arial" w:hAnsi="Arial" w:cs="Arial"/>
          <w:sz w:val="20"/>
          <w:szCs w:val="20"/>
        </w:rPr>
        <w:t>he serum</w:t>
      </w:r>
      <w:r w:rsidR="0071005B" w:rsidRPr="00C46493">
        <w:rPr>
          <w:rFonts w:ascii="Arial" w:hAnsi="Arial" w:cs="Arial"/>
          <w:sz w:val="20"/>
          <w:szCs w:val="20"/>
        </w:rPr>
        <w:t xml:space="preserve"> was </w:t>
      </w:r>
      <w:r w:rsidR="00304A50" w:rsidRPr="00C46493">
        <w:rPr>
          <w:rFonts w:ascii="Arial" w:hAnsi="Arial" w:cs="Arial"/>
          <w:sz w:val="20"/>
          <w:szCs w:val="20"/>
        </w:rPr>
        <w:t>transferred</w:t>
      </w:r>
      <w:r w:rsidRPr="00C46493">
        <w:rPr>
          <w:rFonts w:ascii="Arial" w:hAnsi="Arial" w:cs="Arial"/>
          <w:sz w:val="20"/>
          <w:szCs w:val="20"/>
        </w:rPr>
        <w:t xml:space="preserve"> from each tube into sterile storage containers. To measure the levels of FSH, LH, and testosterone in the serum, we used Enzyme Linked Immunosorbent Assay (ELISA) kits from </w:t>
      </w:r>
      <w:proofErr w:type="spellStart"/>
      <w:r w:rsidRPr="00C46493">
        <w:rPr>
          <w:rFonts w:ascii="Arial" w:hAnsi="Arial" w:cs="Arial"/>
          <w:sz w:val="20"/>
          <w:szCs w:val="20"/>
        </w:rPr>
        <w:t>Elabscience</w:t>
      </w:r>
      <w:proofErr w:type="spellEnd"/>
      <w:r w:rsidRPr="00C46493">
        <w:rPr>
          <w:rFonts w:ascii="Arial" w:hAnsi="Arial" w:cs="Arial"/>
          <w:sz w:val="20"/>
          <w:szCs w:val="20"/>
        </w:rPr>
        <w:t xml:space="preserve">® (Texas, USA), following the manufacturer's guidelines. </w:t>
      </w:r>
    </w:p>
    <w:p w14:paraId="79B5967F" w14:textId="77777777" w:rsidR="00304A50" w:rsidRPr="00C46493" w:rsidRDefault="00304A50" w:rsidP="00511EB9">
      <w:pPr>
        <w:spacing w:after="0" w:line="480" w:lineRule="auto"/>
        <w:jc w:val="both"/>
        <w:rPr>
          <w:rFonts w:ascii="Arial" w:hAnsi="Arial" w:cs="Arial"/>
          <w:sz w:val="20"/>
          <w:szCs w:val="20"/>
        </w:rPr>
      </w:pPr>
    </w:p>
    <w:p w14:paraId="465B8045" w14:textId="77777777" w:rsidR="0071005B" w:rsidRPr="00C46493" w:rsidRDefault="00A93B15" w:rsidP="000C2CA0">
      <w:pPr>
        <w:pStyle w:val="css-uoqnqe"/>
        <w:spacing w:before="0" w:beforeAutospacing="0" w:after="0" w:afterAutospacing="0" w:line="420" w:lineRule="atLeast"/>
        <w:rPr>
          <w:rFonts w:ascii="Arial" w:hAnsi="Arial" w:cs="Arial"/>
          <w:b/>
          <w:sz w:val="22"/>
          <w:szCs w:val="22"/>
        </w:rPr>
      </w:pPr>
      <w:r w:rsidRPr="00C46493">
        <w:rPr>
          <w:rFonts w:ascii="Arial" w:hAnsi="Arial" w:cs="Arial"/>
          <w:sz w:val="22"/>
          <w:szCs w:val="22"/>
        </w:rPr>
        <w:t>2.9</w:t>
      </w:r>
      <w:r w:rsidRPr="00C46493">
        <w:rPr>
          <w:rFonts w:ascii="Arial" w:hAnsi="Arial" w:cs="Arial"/>
          <w:b/>
          <w:sz w:val="22"/>
          <w:szCs w:val="22"/>
        </w:rPr>
        <w:t xml:space="preserve"> </w:t>
      </w:r>
      <w:r w:rsidR="00C36E31" w:rsidRPr="00C46493">
        <w:rPr>
          <w:rFonts w:ascii="Arial" w:hAnsi="Arial" w:cs="Arial"/>
          <w:b/>
          <w:sz w:val="22"/>
          <w:szCs w:val="22"/>
        </w:rPr>
        <w:t>Statistical Analysis</w:t>
      </w:r>
    </w:p>
    <w:p w14:paraId="3F54B3E7" w14:textId="77777777" w:rsidR="00C36E31" w:rsidRPr="00C46493" w:rsidRDefault="00C36E31" w:rsidP="000C2CA0">
      <w:pPr>
        <w:pStyle w:val="css-uoqnqe"/>
        <w:spacing w:before="0" w:beforeAutospacing="0" w:after="0" w:afterAutospacing="0" w:line="420" w:lineRule="atLeast"/>
        <w:jc w:val="both"/>
        <w:rPr>
          <w:rFonts w:ascii="Arial" w:hAnsi="Arial" w:cs="Arial"/>
          <w:sz w:val="20"/>
          <w:szCs w:val="20"/>
        </w:rPr>
      </w:pPr>
      <w:r w:rsidRPr="00C46493">
        <w:rPr>
          <w:rFonts w:ascii="Arial" w:hAnsi="Arial" w:cs="Arial"/>
          <w:sz w:val="20"/>
          <w:szCs w:val="20"/>
        </w:rPr>
        <w:t>The data we collected were presented as</w:t>
      </w:r>
      <w:r w:rsidR="00D95129" w:rsidRPr="00C46493">
        <w:rPr>
          <w:rFonts w:ascii="Arial" w:hAnsi="Arial" w:cs="Arial"/>
          <w:sz w:val="20"/>
          <w:szCs w:val="20"/>
        </w:rPr>
        <w:t xml:space="preserve"> mean ± standard deviation (SD)</w:t>
      </w:r>
      <w:r w:rsidRPr="00C46493">
        <w:rPr>
          <w:rFonts w:ascii="Arial" w:hAnsi="Arial" w:cs="Arial"/>
          <w:sz w:val="20"/>
          <w:szCs w:val="20"/>
        </w:rPr>
        <w:t>. We performed a one-way Analysis of Variance (ANOVA) to identify any significant differences among the treatment groups, and followed this up with Tukey's post-hoc test for multiple comparisons. We considered differences to b</w:t>
      </w:r>
      <w:r w:rsidR="0071005B" w:rsidRPr="00C46493">
        <w:rPr>
          <w:rFonts w:ascii="Arial" w:hAnsi="Arial" w:cs="Arial"/>
          <w:sz w:val="20"/>
          <w:szCs w:val="20"/>
        </w:rPr>
        <w:t>e statistically significant at</w:t>
      </w:r>
      <w:r w:rsidRPr="00C46493">
        <w:rPr>
          <w:rFonts w:ascii="Arial" w:hAnsi="Arial" w:cs="Arial"/>
          <w:sz w:val="20"/>
          <w:szCs w:val="20"/>
        </w:rPr>
        <w:t xml:space="preserve"> p &lt; 0.05. For the analysis, we utilized st</w:t>
      </w:r>
      <w:r w:rsidR="0071005B" w:rsidRPr="00C46493">
        <w:rPr>
          <w:rFonts w:ascii="Arial" w:hAnsi="Arial" w:cs="Arial"/>
          <w:sz w:val="20"/>
          <w:szCs w:val="20"/>
        </w:rPr>
        <w:t xml:space="preserve">atistical software </w:t>
      </w:r>
      <w:r w:rsidRPr="00C46493">
        <w:rPr>
          <w:rFonts w:ascii="Arial" w:hAnsi="Arial" w:cs="Arial"/>
          <w:sz w:val="20"/>
          <w:szCs w:val="20"/>
        </w:rPr>
        <w:t>GraphPad Prism.</w:t>
      </w:r>
      <w:r w:rsidR="00D95129" w:rsidRPr="00C46493">
        <w:rPr>
          <w:rFonts w:ascii="Arial" w:hAnsi="Arial" w:cs="Arial"/>
          <w:sz w:val="20"/>
          <w:szCs w:val="20"/>
        </w:rPr>
        <w:t xml:space="preserve"> </w:t>
      </w:r>
    </w:p>
    <w:p w14:paraId="2F8680C8" w14:textId="77777777" w:rsidR="00A93B15" w:rsidRPr="00C46493" w:rsidRDefault="00A93B15" w:rsidP="000C2CA0">
      <w:pPr>
        <w:pStyle w:val="css-uoqnqe"/>
        <w:spacing w:before="0" w:beforeAutospacing="0" w:after="0" w:afterAutospacing="0" w:line="420" w:lineRule="atLeast"/>
        <w:jc w:val="both"/>
        <w:rPr>
          <w:rFonts w:ascii="Arial" w:hAnsi="Arial" w:cs="Arial"/>
          <w:sz w:val="20"/>
          <w:szCs w:val="20"/>
        </w:rPr>
      </w:pPr>
    </w:p>
    <w:p w14:paraId="560746A8" w14:textId="77777777" w:rsidR="00A93B15" w:rsidRPr="00C46493" w:rsidRDefault="00A93B15" w:rsidP="000C2CA0">
      <w:pPr>
        <w:pStyle w:val="css-uoqnqe"/>
        <w:numPr>
          <w:ilvl w:val="0"/>
          <w:numId w:val="2"/>
        </w:numPr>
        <w:spacing w:before="0" w:beforeAutospacing="0" w:after="0" w:afterAutospacing="0" w:line="420" w:lineRule="atLeast"/>
        <w:jc w:val="both"/>
        <w:rPr>
          <w:rFonts w:ascii="Arial" w:hAnsi="Arial" w:cs="Arial"/>
          <w:b/>
          <w:sz w:val="22"/>
          <w:szCs w:val="22"/>
        </w:rPr>
      </w:pPr>
      <w:r w:rsidRPr="00C46493">
        <w:rPr>
          <w:rFonts w:ascii="Arial" w:hAnsi="Arial" w:cs="Arial"/>
          <w:b/>
          <w:sz w:val="22"/>
          <w:szCs w:val="22"/>
        </w:rPr>
        <w:t>RESULTS</w:t>
      </w:r>
    </w:p>
    <w:p w14:paraId="702E783D" w14:textId="77777777" w:rsidR="00A27BA4" w:rsidRPr="00C46493" w:rsidRDefault="00A27BA4" w:rsidP="000C2CA0">
      <w:pPr>
        <w:pStyle w:val="css-uoqnqe"/>
        <w:spacing w:before="0" w:beforeAutospacing="0" w:after="0" w:afterAutospacing="0" w:line="420" w:lineRule="atLeast"/>
        <w:ind w:left="720"/>
        <w:jc w:val="both"/>
        <w:rPr>
          <w:rFonts w:ascii="Arial" w:hAnsi="Arial" w:cs="Arial"/>
          <w:b/>
          <w:sz w:val="20"/>
          <w:szCs w:val="20"/>
        </w:rPr>
      </w:pPr>
    </w:p>
    <w:p w14:paraId="41C7BADD" w14:textId="77777777" w:rsidR="00A27BA4" w:rsidRPr="00C46493" w:rsidRDefault="00A27BA4" w:rsidP="00A27BA4">
      <w:pPr>
        <w:spacing w:line="480" w:lineRule="auto"/>
        <w:jc w:val="both"/>
        <w:rPr>
          <w:rFonts w:ascii="Arial" w:eastAsia="Times New Roman" w:hAnsi="Arial" w:cs="Arial"/>
          <w:sz w:val="20"/>
          <w:szCs w:val="20"/>
        </w:rPr>
      </w:pPr>
      <w:r w:rsidRPr="00C46493">
        <w:rPr>
          <w:rFonts w:ascii="Arial" w:eastAsia="Times New Roman" w:hAnsi="Arial" w:cs="Arial"/>
          <w:b/>
          <w:sz w:val="20"/>
          <w:szCs w:val="20"/>
        </w:rPr>
        <w:t>Table 1</w:t>
      </w:r>
      <w:r w:rsidRPr="00C46493">
        <w:rPr>
          <w:rFonts w:ascii="Arial" w:eastAsia="Times New Roman" w:hAnsi="Arial" w:cs="Arial"/>
          <w:sz w:val="20"/>
          <w:szCs w:val="20"/>
        </w:rPr>
        <w:t xml:space="preserve"> shows preliminary phytochemical analysis showing constituents such as alkaloids, saponins, tannins, carbohydrates, steroids, and flavonoids in the ethanolic</w:t>
      </w:r>
      <w:r w:rsidR="000C2CA0" w:rsidRPr="00C46493">
        <w:rPr>
          <w:rFonts w:ascii="Arial" w:eastAsia="Times New Roman" w:hAnsi="Arial" w:cs="Arial"/>
          <w:sz w:val="20"/>
          <w:szCs w:val="20"/>
        </w:rPr>
        <w:t xml:space="preserve">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seed extract. However, the extract lacked cardiac glycosides </w:t>
      </w:r>
    </w:p>
    <w:p w14:paraId="2658901F" w14:textId="77777777" w:rsidR="00A27BA4" w:rsidRPr="00C46493" w:rsidRDefault="00A27BA4" w:rsidP="00A27BA4">
      <w:pPr>
        <w:autoSpaceDE w:val="0"/>
        <w:autoSpaceDN w:val="0"/>
        <w:adjustRightInd w:val="0"/>
        <w:spacing w:after="0" w:line="240" w:lineRule="auto"/>
        <w:rPr>
          <w:rFonts w:ascii="Arial" w:hAnsi="Arial" w:cs="Arial"/>
          <w:sz w:val="20"/>
          <w:szCs w:val="20"/>
        </w:rPr>
      </w:pPr>
    </w:p>
    <w:p w14:paraId="2E9DB4F4" w14:textId="77777777" w:rsidR="00A27BA4" w:rsidRPr="00C46493" w:rsidRDefault="00A27BA4" w:rsidP="00A27BA4">
      <w:pPr>
        <w:autoSpaceDE w:val="0"/>
        <w:autoSpaceDN w:val="0"/>
        <w:adjustRightInd w:val="0"/>
        <w:spacing w:after="0" w:line="240" w:lineRule="auto"/>
        <w:rPr>
          <w:rFonts w:ascii="Arial" w:hAnsi="Arial" w:cs="Arial"/>
          <w:b/>
          <w:bCs/>
          <w:sz w:val="20"/>
          <w:szCs w:val="20"/>
        </w:rPr>
      </w:pPr>
      <w:r w:rsidRPr="00C46493">
        <w:rPr>
          <w:rFonts w:ascii="Arial" w:hAnsi="Arial" w:cs="Arial"/>
          <w:b/>
          <w:bCs/>
          <w:sz w:val="20"/>
          <w:szCs w:val="20"/>
        </w:rPr>
        <w:t>Table 1: Phytochemical constituents of ethanolic extract of Garcinia kola seed</w:t>
      </w:r>
    </w:p>
    <w:p w14:paraId="7333B740" w14:textId="77777777" w:rsidR="00A27BA4" w:rsidRPr="00C46493" w:rsidRDefault="00A27BA4" w:rsidP="00A27BA4">
      <w:pPr>
        <w:autoSpaceDE w:val="0"/>
        <w:autoSpaceDN w:val="0"/>
        <w:adjustRightInd w:val="0"/>
        <w:spacing w:after="0" w:line="240" w:lineRule="auto"/>
        <w:rPr>
          <w:rFonts w:ascii="Arial" w:hAnsi="Arial" w:cs="Arial"/>
          <w:b/>
          <w:bCs/>
          <w:sz w:val="20"/>
          <w:szCs w:val="20"/>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0"/>
      </w:tblGrid>
      <w:tr w:rsidR="00C46493" w:rsidRPr="00C46493" w14:paraId="74734057" w14:textId="77777777" w:rsidTr="0036030C">
        <w:trPr>
          <w:trHeight w:val="180"/>
        </w:trPr>
        <w:tc>
          <w:tcPr>
            <w:tcW w:w="7950" w:type="dxa"/>
            <w:tcBorders>
              <w:left w:val="nil"/>
              <w:right w:val="nil"/>
            </w:tcBorders>
          </w:tcPr>
          <w:p w14:paraId="2209FE73" w14:textId="77777777" w:rsidR="00A27BA4" w:rsidRPr="00C46493" w:rsidRDefault="00A27BA4" w:rsidP="0036030C">
            <w:pPr>
              <w:autoSpaceDE w:val="0"/>
              <w:autoSpaceDN w:val="0"/>
              <w:adjustRightInd w:val="0"/>
              <w:spacing w:after="0" w:line="240" w:lineRule="auto"/>
              <w:rPr>
                <w:rFonts w:ascii="Arial" w:hAnsi="Arial" w:cs="Arial"/>
                <w:b/>
                <w:bCs/>
                <w:sz w:val="20"/>
                <w:szCs w:val="20"/>
              </w:rPr>
            </w:pPr>
            <w:r w:rsidRPr="00C46493">
              <w:rPr>
                <w:rFonts w:ascii="Arial" w:hAnsi="Arial" w:cs="Arial"/>
                <w:bCs/>
                <w:sz w:val="20"/>
                <w:szCs w:val="20"/>
              </w:rPr>
              <w:t xml:space="preserve">Constituents  </w:t>
            </w:r>
            <w:r w:rsidRPr="00C46493">
              <w:rPr>
                <w:rFonts w:ascii="Arial" w:hAnsi="Arial" w:cs="Arial"/>
                <w:b/>
                <w:bCs/>
                <w:sz w:val="20"/>
                <w:szCs w:val="20"/>
              </w:rPr>
              <w:t xml:space="preserve">                                                                                               </w:t>
            </w:r>
            <w:r w:rsidRPr="00C46493">
              <w:rPr>
                <w:rFonts w:ascii="Arial" w:hAnsi="Arial" w:cs="Arial"/>
                <w:bCs/>
                <w:sz w:val="20"/>
                <w:szCs w:val="20"/>
              </w:rPr>
              <w:t>Inference</w:t>
            </w:r>
          </w:p>
        </w:tc>
      </w:tr>
    </w:tbl>
    <w:p w14:paraId="04783D26" w14:textId="77777777" w:rsidR="00A27BA4" w:rsidRPr="00C46493" w:rsidRDefault="00A27BA4" w:rsidP="00A27BA4">
      <w:pPr>
        <w:autoSpaceDE w:val="0"/>
        <w:autoSpaceDN w:val="0"/>
        <w:adjustRightInd w:val="0"/>
        <w:spacing w:after="0" w:line="240" w:lineRule="auto"/>
        <w:rPr>
          <w:rFonts w:ascii="Arial" w:hAnsi="Arial" w:cs="Arial"/>
          <w:b/>
          <w:bCs/>
          <w:sz w:val="20"/>
          <w:szCs w:val="20"/>
        </w:rPr>
      </w:pPr>
      <w:r w:rsidRPr="00C46493">
        <w:rPr>
          <w:rFonts w:ascii="Arial" w:hAnsi="Arial" w:cs="Arial"/>
          <w:bCs/>
          <w:sz w:val="20"/>
          <w:szCs w:val="20"/>
        </w:rPr>
        <w:t xml:space="preserve">Flavonoid                                                                                                         </w:t>
      </w:r>
      <w:r w:rsidRPr="00C46493">
        <w:rPr>
          <w:rFonts w:ascii="Arial" w:hAnsi="Arial" w:cs="Arial"/>
          <w:sz w:val="20"/>
          <w:szCs w:val="20"/>
        </w:rPr>
        <w:t xml:space="preserve">+++ </w:t>
      </w:r>
      <w:r w:rsidRPr="00C46493">
        <w:rPr>
          <w:rFonts w:ascii="Arial" w:hAnsi="Arial" w:cs="Arial"/>
          <w:bCs/>
          <w:sz w:val="20"/>
          <w:szCs w:val="20"/>
        </w:rPr>
        <w:t xml:space="preserve">                                                                         </w:t>
      </w:r>
    </w:p>
    <w:p w14:paraId="13CE91E1"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 xml:space="preserve">Alkaloids                                                                                                           </w:t>
      </w:r>
      <w:r w:rsidRPr="00C46493">
        <w:rPr>
          <w:rFonts w:ascii="Arial" w:hAnsi="Arial" w:cs="Arial"/>
          <w:sz w:val="20"/>
          <w:szCs w:val="20"/>
        </w:rPr>
        <w:t>++</w:t>
      </w:r>
    </w:p>
    <w:p w14:paraId="76BF2B9E"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 xml:space="preserve">Tannins                                                                                                             </w:t>
      </w:r>
      <w:r w:rsidRPr="00C46493">
        <w:rPr>
          <w:rFonts w:ascii="Arial" w:hAnsi="Arial" w:cs="Arial"/>
          <w:sz w:val="20"/>
          <w:szCs w:val="20"/>
        </w:rPr>
        <w:t>++</w:t>
      </w:r>
    </w:p>
    <w:p w14:paraId="1EF94629"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 xml:space="preserve">Saponins                                                                                                           </w:t>
      </w:r>
      <w:r w:rsidRPr="00C46493">
        <w:rPr>
          <w:rFonts w:ascii="Arial" w:hAnsi="Arial" w:cs="Arial"/>
          <w:sz w:val="20"/>
          <w:szCs w:val="20"/>
        </w:rPr>
        <w:t>++</w:t>
      </w:r>
    </w:p>
    <w:p w14:paraId="5C054CD0" w14:textId="77777777" w:rsidR="00A27BA4" w:rsidRPr="00C46493" w:rsidRDefault="00A27BA4" w:rsidP="00A27BA4">
      <w:pPr>
        <w:autoSpaceDE w:val="0"/>
        <w:autoSpaceDN w:val="0"/>
        <w:adjustRightInd w:val="0"/>
        <w:spacing w:after="0" w:line="240" w:lineRule="auto"/>
        <w:rPr>
          <w:rFonts w:ascii="Arial" w:hAnsi="Arial" w:cs="Arial"/>
          <w:sz w:val="20"/>
          <w:szCs w:val="20"/>
        </w:rPr>
      </w:pPr>
      <w:r w:rsidRPr="00C46493">
        <w:rPr>
          <w:rFonts w:ascii="Arial" w:hAnsi="Arial" w:cs="Arial"/>
          <w:bCs/>
          <w:sz w:val="20"/>
          <w:szCs w:val="20"/>
        </w:rPr>
        <w:t xml:space="preserve">Steroids                                                                                                             </w:t>
      </w:r>
      <w:r w:rsidRPr="00C46493">
        <w:rPr>
          <w:rFonts w:ascii="Arial" w:hAnsi="Arial" w:cs="Arial"/>
          <w:sz w:val="20"/>
          <w:szCs w:val="20"/>
        </w:rPr>
        <w:t>+</w:t>
      </w:r>
    </w:p>
    <w:p w14:paraId="5260B110"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Cardiac glycosides                                                                                            -</w:t>
      </w:r>
    </w:p>
    <w:tbl>
      <w:tblPr>
        <w:tblW w:w="0" w:type="auto"/>
        <w:tblInd w:w="3" w:type="dxa"/>
        <w:tblBorders>
          <w:top w:val="single" w:sz="4" w:space="0" w:color="auto"/>
        </w:tblBorders>
        <w:tblLook w:val="0000" w:firstRow="0" w:lastRow="0" w:firstColumn="0" w:lastColumn="0" w:noHBand="0" w:noVBand="0"/>
      </w:tblPr>
      <w:tblGrid>
        <w:gridCol w:w="7905"/>
      </w:tblGrid>
      <w:tr w:rsidR="00C46493" w:rsidRPr="00C46493" w14:paraId="5131C4E5" w14:textId="77777777" w:rsidTr="0036030C">
        <w:trPr>
          <w:trHeight w:val="100"/>
        </w:trPr>
        <w:tc>
          <w:tcPr>
            <w:tcW w:w="7905" w:type="dxa"/>
          </w:tcPr>
          <w:p w14:paraId="6275830F" w14:textId="77777777" w:rsidR="00A27BA4" w:rsidRPr="00C46493" w:rsidRDefault="00A27BA4" w:rsidP="0036030C">
            <w:pPr>
              <w:autoSpaceDE w:val="0"/>
              <w:autoSpaceDN w:val="0"/>
              <w:adjustRightInd w:val="0"/>
              <w:spacing w:after="0" w:line="240" w:lineRule="auto"/>
              <w:rPr>
                <w:rFonts w:ascii="Arial" w:hAnsi="Arial" w:cs="Arial"/>
                <w:bCs/>
                <w:sz w:val="20"/>
                <w:szCs w:val="20"/>
              </w:rPr>
            </w:pPr>
          </w:p>
        </w:tc>
      </w:tr>
    </w:tbl>
    <w:p w14:paraId="7D5B54FD" w14:textId="77777777" w:rsidR="00C36E31" w:rsidRPr="00C46493" w:rsidRDefault="00C36E31" w:rsidP="00F87295">
      <w:pPr>
        <w:rPr>
          <w:rFonts w:ascii="Arial" w:hAnsi="Arial" w:cs="Arial"/>
          <w:b/>
        </w:rPr>
      </w:pPr>
    </w:p>
    <w:p w14:paraId="33D858E9" w14:textId="77777777" w:rsidR="00A93B15" w:rsidRPr="00C46493" w:rsidRDefault="00C36E31" w:rsidP="000C2CA0">
      <w:pPr>
        <w:spacing w:line="480" w:lineRule="auto"/>
        <w:jc w:val="both"/>
        <w:rPr>
          <w:rFonts w:ascii="Arial" w:hAnsi="Arial" w:cs="Arial"/>
          <w:sz w:val="20"/>
          <w:szCs w:val="20"/>
          <w:shd w:val="clear" w:color="auto" w:fill="F4F5F6"/>
        </w:rPr>
      </w:pPr>
      <w:r w:rsidRPr="00C46493">
        <w:rPr>
          <w:rFonts w:ascii="Arial" w:hAnsi="Arial" w:cs="Arial"/>
          <w:b/>
          <w:sz w:val="20"/>
          <w:szCs w:val="20"/>
        </w:rPr>
        <w:t>Table 2</w:t>
      </w:r>
      <w:r w:rsidRPr="00C46493">
        <w:rPr>
          <w:rFonts w:ascii="Arial" w:hAnsi="Arial" w:cs="Arial"/>
          <w:sz w:val="20"/>
          <w:szCs w:val="20"/>
        </w:rPr>
        <w:t xml:space="preserve"> highlights some interesting changes linked to the ethanolic bitter kola extract and its impact on the semen quality of rabbit bucks. By the eighth week, the 200 mg/kg dose of this extract led to some </w:t>
      </w:r>
      <w:r w:rsidR="00A93B15" w:rsidRPr="00C46493">
        <w:rPr>
          <w:rFonts w:ascii="Arial" w:hAnsi="Arial" w:cs="Arial"/>
          <w:sz w:val="20"/>
          <w:szCs w:val="20"/>
        </w:rPr>
        <w:t>prominent</w:t>
      </w:r>
      <w:r w:rsidRPr="00C46493">
        <w:rPr>
          <w:rFonts w:ascii="Arial" w:hAnsi="Arial" w:cs="Arial"/>
          <w:sz w:val="20"/>
          <w:szCs w:val="20"/>
        </w:rPr>
        <w:t xml:space="preserve"> improvements in various semen quality parameters. Specifically, there were increases in semen volume (0.74±0.21 mL compared to 0.59±0.14 mL in the control), sperm motility (73.6±8.9% versus 63.8±10.1% in the control), sperm concentration (193±35×10⁶/mL against 167±28×10⁶/mL in the control), total sperm count (143±40×10⁶ compared to 99±28×10⁶ in the control), and sperm viability (78.2±8.7% versus 70.3±7.</w:t>
      </w:r>
      <w:r w:rsidR="0075046D" w:rsidRPr="00C46493">
        <w:rPr>
          <w:rFonts w:ascii="Arial" w:hAnsi="Arial" w:cs="Arial"/>
          <w:sz w:val="20"/>
          <w:szCs w:val="20"/>
        </w:rPr>
        <w:t>8% in the control). Also</w:t>
      </w:r>
      <w:r w:rsidRPr="00C46493">
        <w:rPr>
          <w:rFonts w:ascii="Arial" w:hAnsi="Arial" w:cs="Arial"/>
          <w:sz w:val="20"/>
          <w:szCs w:val="20"/>
        </w:rPr>
        <w:t>, there was a slight increase in semen pH (7.23±0.21 compared to 7.09±0.18 in the control). The extract also showed a modest enhancement in sperm structure, with improvements in normal morphology (80.8±6.2% versus 77.9±5.7% in the control) and membrane integrity (76.9±9.0% compared to 73.1±8.2% in the control), although these changes were less pronounced. The 100 mg/kg dose produced minor enhancements in total sperm count (112±34×10⁶ versus 99±28×10⁶ in the control) and sperm viability (76.1±8.2% compared to 70.3±7.8% in the control) by week 8, while the 400 mg/kg dose showed no improvements at all compared to the contro</w:t>
      </w:r>
      <w:r w:rsidRPr="00C46493">
        <w:rPr>
          <w:rFonts w:ascii="Arial" w:hAnsi="Arial" w:cs="Arial"/>
          <w:sz w:val="20"/>
          <w:szCs w:val="20"/>
          <w:shd w:val="clear" w:color="auto" w:fill="F4F5F6"/>
        </w:rPr>
        <w:t xml:space="preserve">l. </w:t>
      </w:r>
    </w:p>
    <w:p w14:paraId="0DD7A4CF" w14:textId="77777777" w:rsidR="00C83B0F" w:rsidRPr="00C46493" w:rsidRDefault="00E314C0" w:rsidP="00C83B0F">
      <w:pPr>
        <w:spacing w:before="100" w:beforeAutospacing="1" w:after="100" w:afterAutospacing="1" w:line="480" w:lineRule="auto"/>
        <w:jc w:val="both"/>
        <w:rPr>
          <w:rFonts w:ascii="Arial" w:hAnsi="Arial" w:cs="Arial"/>
          <w:sz w:val="20"/>
          <w:szCs w:val="20"/>
          <w:shd w:val="clear" w:color="auto" w:fill="FFFFFF"/>
        </w:rPr>
      </w:pPr>
      <w:r w:rsidRPr="00C46493">
        <w:rPr>
          <w:rFonts w:ascii="Arial" w:hAnsi="Arial" w:cs="Arial"/>
          <w:sz w:val="20"/>
          <w:szCs w:val="20"/>
          <w:shd w:val="clear" w:color="auto" w:fill="FFFFFF"/>
        </w:rPr>
        <w:t>The effect</w:t>
      </w:r>
      <w:r w:rsidR="00C83B0F" w:rsidRPr="00C46493">
        <w:rPr>
          <w:rFonts w:ascii="Arial" w:hAnsi="Arial" w:cs="Arial"/>
          <w:sz w:val="20"/>
          <w:szCs w:val="20"/>
          <w:shd w:val="clear" w:color="auto" w:fill="FFFFFF"/>
        </w:rPr>
        <w:t xml:space="preserve"> of the ethanolic extract of bitter kola on the hormonal profile of rabbit bucks is detailed in </w:t>
      </w:r>
      <w:r w:rsidR="00C83B0F" w:rsidRPr="00C46493">
        <w:rPr>
          <w:rFonts w:ascii="Arial" w:hAnsi="Arial" w:cs="Arial"/>
          <w:b/>
          <w:sz w:val="20"/>
          <w:szCs w:val="20"/>
          <w:shd w:val="clear" w:color="auto" w:fill="FFFFFF"/>
        </w:rPr>
        <w:t xml:space="preserve">Table 3. </w:t>
      </w:r>
      <w:r w:rsidR="00C83B0F" w:rsidRPr="00C46493">
        <w:rPr>
          <w:rFonts w:ascii="Arial" w:hAnsi="Arial" w:cs="Arial"/>
          <w:sz w:val="20"/>
          <w:szCs w:val="20"/>
          <w:shd w:val="clear" w:color="auto" w:fill="FFFFFF"/>
        </w:rPr>
        <w:t xml:space="preserve">Among the various doses given, the 200 mg/kg bitter kola extract led to notable increases in testosterone levels (2.46±0.37 ng/mL compared to 1.89±0.30 ng/mL in the control group). It also boosted luteinizing hormone levels (0.91±0.15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vs 0.74±0.12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in the control) and follicle-stimulating hormone levels (0.59±0.10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vs 0.46±0.08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in the control) by the </w:t>
      </w:r>
      <w:r w:rsidR="00C83B0F" w:rsidRPr="00C46493">
        <w:rPr>
          <w:rFonts w:ascii="Arial" w:hAnsi="Arial" w:cs="Arial"/>
          <w:sz w:val="20"/>
          <w:szCs w:val="20"/>
          <w:shd w:val="clear" w:color="auto" w:fill="FFFFFF"/>
        </w:rPr>
        <w:lastRenderedPageBreak/>
        <w:t xml:space="preserve">eighth week. The 100 mg/kg dose showed modest improvements in testosterone (2.09±0.33 ng/mL) and FSH (0.53±0.09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/mL) levels as well. The absence of increases at the 400 mg/kg dose indicates that the 200 mg/kg dose is the most effective for stimulating the reproductive endocrine axis.</w:t>
      </w:r>
    </w:p>
    <w:p w14:paraId="24DA5B96" w14:textId="77777777" w:rsidR="000C2CA0" w:rsidRPr="00C46493" w:rsidRDefault="006E367F" w:rsidP="006E367F">
      <w:pPr>
        <w:tabs>
          <w:tab w:val="left" w:pos="7155"/>
        </w:tabs>
        <w:spacing w:before="100" w:beforeAutospacing="1" w:after="100" w:afterAutospacing="1" w:line="480" w:lineRule="auto"/>
        <w:jc w:val="both"/>
        <w:rPr>
          <w:rFonts w:ascii="Arial" w:hAnsi="Arial" w:cs="Arial"/>
          <w:sz w:val="20"/>
          <w:szCs w:val="20"/>
          <w:shd w:val="clear" w:color="auto" w:fill="FFFFFF"/>
        </w:rPr>
      </w:pPr>
      <w:r w:rsidRPr="00C46493">
        <w:rPr>
          <w:rFonts w:ascii="Arial" w:hAnsi="Arial" w:cs="Arial"/>
          <w:sz w:val="20"/>
          <w:szCs w:val="20"/>
          <w:shd w:val="clear" w:color="auto" w:fill="FFFFFF"/>
        </w:rPr>
        <w:tab/>
      </w:r>
    </w:p>
    <w:p w14:paraId="67F860C8"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3EA5C9F3"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79413B54"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568DED5D"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1DD7FFB3"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0279339F"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7EBE1A13"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5DFB3766"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09893593"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6FD902FE"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7354CC1F" w14:textId="77777777" w:rsidR="00F87295" w:rsidRPr="00C46493" w:rsidRDefault="00F87295" w:rsidP="00F87295">
      <w:pPr>
        <w:rPr>
          <w:rFonts w:ascii="Arial" w:hAnsi="Arial" w:cs="Arial"/>
          <w:b/>
          <w:sz w:val="20"/>
          <w:szCs w:val="20"/>
        </w:rPr>
      </w:pPr>
    </w:p>
    <w:p w14:paraId="1727B93A" w14:textId="77777777" w:rsidR="000C2CA0" w:rsidRPr="00C46493" w:rsidRDefault="000C2CA0" w:rsidP="000C2CA0">
      <w:pPr>
        <w:spacing w:before="100" w:beforeAutospacing="1" w:after="100" w:afterAutospacing="1" w:line="480" w:lineRule="auto"/>
        <w:jc w:val="both"/>
        <w:rPr>
          <w:rFonts w:ascii="Arial" w:eastAsia="Times New Roman" w:hAnsi="Arial" w:cs="Arial"/>
          <w:b/>
          <w:bCs/>
          <w:sz w:val="20"/>
          <w:szCs w:val="20"/>
        </w:rPr>
      </w:pPr>
      <w:r w:rsidRPr="00C46493">
        <w:rPr>
          <w:rFonts w:ascii="Arial" w:eastAsia="Times New Roman" w:hAnsi="Arial" w:cs="Arial"/>
          <w:b/>
          <w:bCs/>
        </w:rPr>
        <w:t>Table 2: Effect of Ethanolic Bitter Kola Extract on Semen Parameters of Rabbit Bucks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gridCol w:w="572"/>
        <w:gridCol w:w="1023"/>
        <w:gridCol w:w="1205"/>
        <w:gridCol w:w="1328"/>
        <w:gridCol w:w="1343"/>
      </w:tblGrid>
      <w:tr w:rsidR="00C46493" w:rsidRPr="00C46493" w14:paraId="09BF37C9" w14:textId="77777777" w:rsidTr="0036030C">
        <w:trPr>
          <w:tblHeader/>
          <w:tblCellSpacing w:w="15" w:type="dxa"/>
        </w:trPr>
        <w:tc>
          <w:tcPr>
            <w:tcW w:w="0" w:type="auto"/>
            <w:tcBorders>
              <w:top w:val="single" w:sz="4" w:space="0" w:color="auto"/>
              <w:bottom w:val="single" w:sz="4" w:space="0" w:color="auto"/>
            </w:tcBorders>
            <w:vAlign w:val="center"/>
            <w:hideMark/>
          </w:tcPr>
          <w:p w14:paraId="69F99233" w14:textId="77777777" w:rsidR="000C2CA0" w:rsidRPr="00C46493" w:rsidRDefault="000C2CA0" w:rsidP="0036030C">
            <w:pPr>
              <w:spacing w:after="0" w:line="240" w:lineRule="auto"/>
              <w:rPr>
                <w:rFonts w:ascii="Arial" w:eastAsia="Times New Roman" w:hAnsi="Arial" w:cs="Arial"/>
                <w:bCs/>
                <w:sz w:val="20"/>
                <w:szCs w:val="20"/>
              </w:rPr>
            </w:pPr>
            <w:r w:rsidRPr="00C46493">
              <w:rPr>
                <w:rFonts w:ascii="Arial" w:eastAsia="Times New Roman" w:hAnsi="Arial" w:cs="Arial"/>
                <w:bCs/>
                <w:sz w:val="20"/>
                <w:szCs w:val="20"/>
              </w:rPr>
              <w:t xml:space="preserve"> Parameter</w:t>
            </w:r>
          </w:p>
        </w:tc>
        <w:tc>
          <w:tcPr>
            <w:tcW w:w="0" w:type="auto"/>
            <w:tcBorders>
              <w:top w:val="single" w:sz="4" w:space="0" w:color="auto"/>
              <w:bottom w:val="single" w:sz="4" w:space="0" w:color="auto"/>
            </w:tcBorders>
            <w:vAlign w:val="center"/>
            <w:hideMark/>
          </w:tcPr>
          <w:p w14:paraId="266AAE35" w14:textId="77777777" w:rsidR="000C2CA0" w:rsidRPr="00C46493" w:rsidRDefault="000C2CA0" w:rsidP="0036030C">
            <w:pPr>
              <w:spacing w:after="0" w:line="240" w:lineRule="auto"/>
              <w:rPr>
                <w:rFonts w:ascii="Arial" w:eastAsia="Times New Roman" w:hAnsi="Arial" w:cs="Arial"/>
                <w:bCs/>
                <w:sz w:val="20"/>
                <w:szCs w:val="20"/>
              </w:rPr>
            </w:pPr>
            <w:r w:rsidRPr="00C46493">
              <w:rPr>
                <w:rFonts w:ascii="Arial" w:eastAsia="Times New Roman" w:hAnsi="Arial" w:cs="Arial"/>
                <w:bCs/>
                <w:sz w:val="20"/>
                <w:szCs w:val="20"/>
              </w:rPr>
              <w:t>Week</w:t>
            </w:r>
          </w:p>
        </w:tc>
        <w:tc>
          <w:tcPr>
            <w:tcW w:w="0" w:type="auto"/>
            <w:tcBorders>
              <w:top w:val="single" w:sz="4" w:space="0" w:color="auto"/>
              <w:bottom w:val="single" w:sz="4" w:space="0" w:color="auto"/>
            </w:tcBorders>
            <w:vAlign w:val="center"/>
            <w:hideMark/>
          </w:tcPr>
          <w:p w14:paraId="65A9EE82"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Control(A)</w:t>
            </w:r>
          </w:p>
        </w:tc>
        <w:tc>
          <w:tcPr>
            <w:tcW w:w="0" w:type="auto"/>
            <w:tcBorders>
              <w:top w:val="single" w:sz="4" w:space="0" w:color="auto"/>
              <w:bottom w:val="single" w:sz="4" w:space="0" w:color="auto"/>
            </w:tcBorders>
            <w:vAlign w:val="center"/>
            <w:hideMark/>
          </w:tcPr>
          <w:p w14:paraId="432FE777"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100mg/kg(B)</w:t>
            </w:r>
          </w:p>
        </w:tc>
        <w:tc>
          <w:tcPr>
            <w:tcW w:w="0" w:type="auto"/>
            <w:tcBorders>
              <w:top w:val="single" w:sz="4" w:space="0" w:color="auto"/>
              <w:bottom w:val="single" w:sz="4" w:space="0" w:color="auto"/>
            </w:tcBorders>
            <w:vAlign w:val="center"/>
            <w:hideMark/>
          </w:tcPr>
          <w:p w14:paraId="1FCF8BD6"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200 mg/kg (C)</w:t>
            </w:r>
          </w:p>
        </w:tc>
        <w:tc>
          <w:tcPr>
            <w:tcW w:w="0" w:type="auto"/>
            <w:tcBorders>
              <w:top w:val="single" w:sz="4" w:space="0" w:color="auto"/>
              <w:bottom w:val="single" w:sz="4" w:space="0" w:color="auto"/>
            </w:tcBorders>
            <w:vAlign w:val="center"/>
            <w:hideMark/>
          </w:tcPr>
          <w:p w14:paraId="78344EC8"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400 mg/kg (D)</w:t>
            </w:r>
          </w:p>
        </w:tc>
      </w:tr>
      <w:tr w:rsidR="00C46493" w:rsidRPr="00C46493" w14:paraId="063048C2" w14:textId="77777777" w:rsidTr="0036030C">
        <w:trPr>
          <w:tblCellSpacing w:w="15" w:type="dxa"/>
        </w:trPr>
        <w:tc>
          <w:tcPr>
            <w:tcW w:w="0" w:type="auto"/>
            <w:vAlign w:val="center"/>
            <w:hideMark/>
          </w:tcPr>
          <w:p w14:paraId="07CBC78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Semen Volume (mL)</w:t>
            </w:r>
          </w:p>
        </w:tc>
        <w:tc>
          <w:tcPr>
            <w:tcW w:w="0" w:type="auto"/>
            <w:vAlign w:val="center"/>
            <w:hideMark/>
          </w:tcPr>
          <w:p w14:paraId="2FB15D2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424F915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0.58±0.13ᵃ</w:t>
            </w:r>
          </w:p>
        </w:tc>
        <w:tc>
          <w:tcPr>
            <w:tcW w:w="0" w:type="auto"/>
            <w:vAlign w:val="center"/>
            <w:hideMark/>
          </w:tcPr>
          <w:p w14:paraId="018766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0.61±0.15ᵃ</w:t>
            </w:r>
          </w:p>
        </w:tc>
        <w:tc>
          <w:tcPr>
            <w:tcW w:w="0" w:type="auto"/>
            <w:vAlign w:val="center"/>
            <w:hideMark/>
          </w:tcPr>
          <w:p w14:paraId="4281DE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0.59±0.12ᵃ</w:t>
            </w:r>
          </w:p>
        </w:tc>
        <w:tc>
          <w:tcPr>
            <w:tcW w:w="0" w:type="auto"/>
            <w:vAlign w:val="center"/>
            <w:hideMark/>
          </w:tcPr>
          <w:p w14:paraId="0B4F8F1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0.62±0.14ᵃ</w:t>
            </w:r>
          </w:p>
        </w:tc>
      </w:tr>
      <w:tr w:rsidR="00C46493" w:rsidRPr="00C46493" w14:paraId="29A2F634" w14:textId="77777777" w:rsidTr="0036030C">
        <w:trPr>
          <w:tblCellSpacing w:w="15" w:type="dxa"/>
        </w:trPr>
        <w:tc>
          <w:tcPr>
            <w:tcW w:w="0" w:type="auto"/>
            <w:vAlign w:val="center"/>
            <w:hideMark/>
          </w:tcPr>
          <w:p w14:paraId="0563FC31"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7CEA2B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7D461CA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0.62±0.16ᵃ</w:t>
            </w:r>
          </w:p>
        </w:tc>
        <w:tc>
          <w:tcPr>
            <w:tcW w:w="0" w:type="auto"/>
            <w:vAlign w:val="center"/>
            <w:hideMark/>
          </w:tcPr>
          <w:p w14:paraId="05C707E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0.66±0.15ᵃᵇ</w:t>
            </w:r>
          </w:p>
        </w:tc>
        <w:tc>
          <w:tcPr>
            <w:tcW w:w="0" w:type="auto"/>
            <w:vAlign w:val="center"/>
            <w:hideMark/>
          </w:tcPr>
          <w:p w14:paraId="3F86972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0.69±0.18ᵇ</w:t>
            </w:r>
          </w:p>
        </w:tc>
        <w:tc>
          <w:tcPr>
            <w:tcW w:w="0" w:type="auto"/>
            <w:vAlign w:val="center"/>
            <w:hideMark/>
          </w:tcPr>
          <w:p w14:paraId="2961D7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0.58±0.15ᵃ</w:t>
            </w:r>
          </w:p>
        </w:tc>
      </w:tr>
      <w:tr w:rsidR="00C46493" w:rsidRPr="00C46493" w14:paraId="2035BA16" w14:textId="77777777" w:rsidTr="0036030C">
        <w:trPr>
          <w:tblCellSpacing w:w="15" w:type="dxa"/>
        </w:trPr>
        <w:tc>
          <w:tcPr>
            <w:tcW w:w="0" w:type="auto"/>
            <w:vAlign w:val="center"/>
            <w:hideMark/>
          </w:tcPr>
          <w:p w14:paraId="6BCBF637"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AB1873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579CAD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0.59±0.14ᵃ</w:t>
            </w:r>
          </w:p>
        </w:tc>
        <w:tc>
          <w:tcPr>
            <w:tcW w:w="0" w:type="auto"/>
            <w:vAlign w:val="center"/>
            <w:hideMark/>
          </w:tcPr>
          <w:p w14:paraId="30A6EF4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0.63±0.17ᵃ</w:t>
            </w:r>
          </w:p>
        </w:tc>
        <w:tc>
          <w:tcPr>
            <w:tcW w:w="0" w:type="auto"/>
            <w:vAlign w:val="center"/>
            <w:hideMark/>
          </w:tcPr>
          <w:p w14:paraId="0F35B1A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0.74±0.21ᶜ</w:t>
            </w:r>
          </w:p>
        </w:tc>
        <w:tc>
          <w:tcPr>
            <w:tcW w:w="0" w:type="auto"/>
            <w:vAlign w:val="center"/>
            <w:hideMark/>
          </w:tcPr>
          <w:p w14:paraId="19EC7AF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0.61±0.18ᵃ</w:t>
            </w:r>
          </w:p>
        </w:tc>
      </w:tr>
      <w:tr w:rsidR="00C46493" w:rsidRPr="00C46493" w14:paraId="220CFB09" w14:textId="77777777" w:rsidTr="0036030C">
        <w:trPr>
          <w:tblCellSpacing w:w="15" w:type="dxa"/>
        </w:trPr>
        <w:tc>
          <w:tcPr>
            <w:tcW w:w="0" w:type="auto"/>
            <w:vAlign w:val="center"/>
            <w:hideMark/>
          </w:tcPr>
          <w:p w14:paraId="4830907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Sperm Motility (%)</w:t>
            </w:r>
          </w:p>
        </w:tc>
        <w:tc>
          <w:tcPr>
            <w:tcW w:w="0" w:type="auto"/>
            <w:vAlign w:val="center"/>
            <w:hideMark/>
          </w:tcPr>
          <w:p w14:paraId="0A241BF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2650FB8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64.2±8.5ᵃ</w:t>
            </w:r>
          </w:p>
        </w:tc>
        <w:tc>
          <w:tcPr>
            <w:tcW w:w="0" w:type="auto"/>
            <w:vAlign w:val="center"/>
            <w:hideMark/>
          </w:tcPr>
          <w:p w14:paraId="0BCDC05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65.8±9.3ᵃ</w:t>
            </w:r>
          </w:p>
        </w:tc>
        <w:tc>
          <w:tcPr>
            <w:tcW w:w="0" w:type="auto"/>
            <w:vAlign w:val="center"/>
            <w:hideMark/>
          </w:tcPr>
          <w:p w14:paraId="6F5769D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63.9±8.8ᵃ</w:t>
            </w:r>
          </w:p>
        </w:tc>
        <w:tc>
          <w:tcPr>
            <w:tcW w:w="0" w:type="auto"/>
            <w:vAlign w:val="center"/>
            <w:hideMark/>
          </w:tcPr>
          <w:p w14:paraId="07855B5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66.1±9.1ᵃ</w:t>
            </w:r>
          </w:p>
        </w:tc>
      </w:tr>
      <w:tr w:rsidR="00C46493" w:rsidRPr="00C46493" w14:paraId="41B5CEAC" w14:textId="77777777" w:rsidTr="0036030C">
        <w:trPr>
          <w:tblCellSpacing w:w="15" w:type="dxa"/>
        </w:trPr>
        <w:tc>
          <w:tcPr>
            <w:tcW w:w="0" w:type="auto"/>
            <w:vAlign w:val="center"/>
            <w:hideMark/>
          </w:tcPr>
          <w:p w14:paraId="67073C1E"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1B9A3F6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077F8A4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66.1±9.7ᵃ</w:t>
            </w:r>
          </w:p>
        </w:tc>
        <w:tc>
          <w:tcPr>
            <w:tcW w:w="0" w:type="auto"/>
            <w:vAlign w:val="center"/>
            <w:hideMark/>
          </w:tcPr>
          <w:p w14:paraId="42E92F5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68.3±10.2ᵃ</w:t>
            </w:r>
          </w:p>
        </w:tc>
        <w:tc>
          <w:tcPr>
            <w:tcW w:w="0" w:type="auto"/>
            <w:vAlign w:val="center"/>
            <w:hideMark/>
          </w:tcPr>
          <w:p w14:paraId="06CA237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71.8±9.1ᵇ</w:t>
            </w:r>
          </w:p>
        </w:tc>
        <w:tc>
          <w:tcPr>
            <w:tcW w:w="0" w:type="auto"/>
            <w:vAlign w:val="center"/>
            <w:hideMark/>
          </w:tcPr>
          <w:p w14:paraId="13BFD75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64.2±10.5ᵃ</w:t>
            </w:r>
          </w:p>
        </w:tc>
      </w:tr>
      <w:tr w:rsidR="00C46493" w:rsidRPr="00C46493" w14:paraId="6678640F" w14:textId="77777777" w:rsidTr="0036030C">
        <w:trPr>
          <w:tblCellSpacing w:w="15" w:type="dxa"/>
        </w:trPr>
        <w:tc>
          <w:tcPr>
            <w:tcW w:w="0" w:type="auto"/>
            <w:vAlign w:val="center"/>
            <w:hideMark/>
          </w:tcPr>
          <w:p w14:paraId="76C665B0"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3437FC8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62DFE75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63.8±10.1ᵃ</w:t>
            </w:r>
          </w:p>
        </w:tc>
        <w:tc>
          <w:tcPr>
            <w:tcW w:w="0" w:type="auto"/>
            <w:vAlign w:val="center"/>
            <w:hideMark/>
          </w:tcPr>
          <w:p w14:paraId="42B9D63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67.9±9.8ᵃ</w:t>
            </w:r>
          </w:p>
        </w:tc>
        <w:tc>
          <w:tcPr>
            <w:tcW w:w="0" w:type="auto"/>
            <w:vAlign w:val="center"/>
            <w:hideMark/>
          </w:tcPr>
          <w:p w14:paraId="6E5B898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73.6±8.9ᶜ</w:t>
            </w:r>
          </w:p>
        </w:tc>
        <w:tc>
          <w:tcPr>
            <w:tcW w:w="0" w:type="auto"/>
            <w:vAlign w:val="center"/>
            <w:hideMark/>
          </w:tcPr>
          <w:p w14:paraId="48B86E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65.1±11.2ᵃ</w:t>
            </w:r>
          </w:p>
        </w:tc>
      </w:tr>
      <w:tr w:rsidR="00C46493" w:rsidRPr="00C46493" w14:paraId="4F65503F" w14:textId="77777777" w:rsidTr="0036030C">
        <w:trPr>
          <w:tblCellSpacing w:w="15" w:type="dxa"/>
        </w:trPr>
        <w:tc>
          <w:tcPr>
            <w:tcW w:w="0" w:type="auto"/>
            <w:vAlign w:val="center"/>
            <w:hideMark/>
          </w:tcPr>
          <w:p w14:paraId="33A38A4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lastRenderedPageBreak/>
              <w:t>Sperm Concentration (×10⁶/mL)</w:t>
            </w:r>
          </w:p>
        </w:tc>
        <w:tc>
          <w:tcPr>
            <w:tcW w:w="0" w:type="auto"/>
            <w:vAlign w:val="center"/>
            <w:hideMark/>
          </w:tcPr>
          <w:p w14:paraId="23FCEF8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397D11A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168±26ᵃ</w:t>
            </w:r>
          </w:p>
        </w:tc>
        <w:tc>
          <w:tcPr>
            <w:tcW w:w="0" w:type="auto"/>
            <w:vAlign w:val="center"/>
            <w:hideMark/>
          </w:tcPr>
          <w:p w14:paraId="0E1B6C8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171±28ᵃ</w:t>
            </w:r>
          </w:p>
        </w:tc>
        <w:tc>
          <w:tcPr>
            <w:tcW w:w="0" w:type="auto"/>
            <w:vAlign w:val="center"/>
            <w:hideMark/>
          </w:tcPr>
          <w:p w14:paraId="4D1EE1E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169±25ᵃ</w:t>
            </w:r>
          </w:p>
        </w:tc>
        <w:tc>
          <w:tcPr>
            <w:tcW w:w="0" w:type="auto"/>
            <w:vAlign w:val="center"/>
            <w:hideMark/>
          </w:tcPr>
          <w:p w14:paraId="34CD9F4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172±29ᵃ</w:t>
            </w:r>
          </w:p>
        </w:tc>
      </w:tr>
      <w:tr w:rsidR="00C46493" w:rsidRPr="00C46493" w14:paraId="7E54C5AE" w14:textId="77777777" w:rsidTr="0036030C">
        <w:trPr>
          <w:tblCellSpacing w:w="15" w:type="dxa"/>
        </w:trPr>
        <w:tc>
          <w:tcPr>
            <w:tcW w:w="0" w:type="auto"/>
            <w:vAlign w:val="center"/>
            <w:hideMark/>
          </w:tcPr>
          <w:p w14:paraId="7CC463B7"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153253B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46C2BDF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172±30ᵃ</w:t>
            </w:r>
          </w:p>
        </w:tc>
        <w:tc>
          <w:tcPr>
            <w:tcW w:w="0" w:type="auto"/>
            <w:vAlign w:val="center"/>
            <w:hideMark/>
          </w:tcPr>
          <w:p w14:paraId="37FDA94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176±27ᵃ</w:t>
            </w:r>
          </w:p>
        </w:tc>
        <w:tc>
          <w:tcPr>
            <w:tcW w:w="0" w:type="auto"/>
            <w:vAlign w:val="center"/>
            <w:hideMark/>
          </w:tcPr>
          <w:p w14:paraId="1954FE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184±33ᵇ</w:t>
            </w:r>
          </w:p>
        </w:tc>
        <w:tc>
          <w:tcPr>
            <w:tcW w:w="0" w:type="auto"/>
            <w:vAlign w:val="center"/>
            <w:hideMark/>
          </w:tcPr>
          <w:p w14:paraId="6CB8886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168±31ᵃ</w:t>
            </w:r>
          </w:p>
        </w:tc>
      </w:tr>
      <w:tr w:rsidR="00C46493" w:rsidRPr="00C46493" w14:paraId="46A262A5" w14:textId="77777777" w:rsidTr="0036030C">
        <w:trPr>
          <w:tblCellSpacing w:w="15" w:type="dxa"/>
        </w:trPr>
        <w:tc>
          <w:tcPr>
            <w:tcW w:w="0" w:type="auto"/>
            <w:vAlign w:val="center"/>
            <w:hideMark/>
          </w:tcPr>
          <w:p w14:paraId="15309954"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476DB6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5ECB8E2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167±28ᵃ</w:t>
            </w:r>
          </w:p>
        </w:tc>
        <w:tc>
          <w:tcPr>
            <w:tcW w:w="0" w:type="auto"/>
            <w:vAlign w:val="center"/>
            <w:hideMark/>
          </w:tcPr>
          <w:p w14:paraId="42194D8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177±32ᵃ</w:t>
            </w:r>
          </w:p>
        </w:tc>
        <w:tc>
          <w:tcPr>
            <w:tcW w:w="0" w:type="auto"/>
            <w:vAlign w:val="center"/>
            <w:hideMark/>
          </w:tcPr>
          <w:p w14:paraId="5FC0FCD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193±35ᶜ</w:t>
            </w:r>
          </w:p>
        </w:tc>
        <w:tc>
          <w:tcPr>
            <w:tcW w:w="0" w:type="auto"/>
            <w:vAlign w:val="center"/>
            <w:hideMark/>
          </w:tcPr>
          <w:p w14:paraId="09B02C5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162±34ᵃ</w:t>
            </w:r>
          </w:p>
        </w:tc>
      </w:tr>
      <w:tr w:rsidR="00C46493" w:rsidRPr="00C46493" w14:paraId="6478BD62" w14:textId="77777777" w:rsidTr="0036030C">
        <w:trPr>
          <w:tblCellSpacing w:w="15" w:type="dxa"/>
        </w:trPr>
        <w:tc>
          <w:tcPr>
            <w:tcW w:w="0" w:type="auto"/>
            <w:vAlign w:val="center"/>
            <w:hideMark/>
          </w:tcPr>
          <w:p w14:paraId="5EAF27A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Total Sperm Count (×10⁶)</w:t>
            </w:r>
          </w:p>
        </w:tc>
        <w:tc>
          <w:tcPr>
            <w:tcW w:w="0" w:type="auto"/>
            <w:vAlign w:val="center"/>
            <w:hideMark/>
          </w:tcPr>
          <w:p w14:paraId="00906DF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3FD63BD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97±26ᵃ</w:t>
            </w:r>
          </w:p>
        </w:tc>
        <w:tc>
          <w:tcPr>
            <w:tcW w:w="0" w:type="auto"/>
            <w:vAlign w:val="center"/>
            <w:hideMark/>
          </w:tcPr>
          <w:p w14:paraId="18C3AFE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104±29ᵃ</w:t>
            </w:r>
          </w:p>
        </w:tc>
        <w:tc>
          <w:tcPr>
            <w:tcW w:w="0" w:type="auto"/>
            <w:vAlign w:val="center"/>
            <w:hideMark/>
          </w:tcPr>
          <w:p w14:paraId="263F363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100±25ᵃ</w:t>
            </w:r>
          </w:p>
        </w:tc>
        <w:tc>
          <w:tcPr>
            <w:tcW w:w="0" w:type="auto"/>
            <w:vAlign w:val="center"/>
            <w:hideMark/>
          </w:tcPr>
          <w:p w14:paraId="620E950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107±30ᵃ</w:t>
            </w:r>
          </w:p>
        </w:tc>
      </w:tr>
      <w:tr w:rsidR="00C46493" w:rsidRPr="00C46493" w14:paraId="38CBC4AA" w14:textId="77777777" w:rsidTr="0036030C">
        <w:trPr>
          <w:tblCellSpacing w:w="15" w:type="dxa"/>
        </w:trPr>
        <w:tc>
          <w:tcPr>
            <w:tcW w:w="0" w:type="auto"/>
            <w:vAlign w:val="center"/>
            <w:hideMark/>
          </w:tcPr>
          <w:p w14:paraId="07063225"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13BE6B3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0B24ED0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107±32ᵃ</w:t>
            </w:r>
          </w:p>
        </w:tc>
        <w:tc>
          <w:tcPr>
            <w:tcW w:w="0" w:type="auto"/>
            <w:vAlign w:val="center"/>
            <w:hideMark/>
          </w:tcPr>
          <w:p w14:paraId="22A63F0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116±30ᵃᵇ</w:t>
            </w:r>
          </w:p>
        </w:tc>
        <w:tc>
          <w:tcPr>
            <w:tcW w:w="0" w:type="auto"/>
            <w:vAlign w:val="center"/>
            <w:hideMark/>
          </w:tcPr>
          <w:p w14:paraId="5ECB967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127±36ᵇ</w:t>
            </w:r>
          </w:p>
        </w:tc>
        <w:tc>
          <w:tcPr>
            <w:tcW w:w="0" w:type="auto"/>
            <w:vAlign w:val="center"/>
            <w:hideMark/>
          </w:tcPr>
          <w:p w14:paraId="435897F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97±31ᵃ</w:t>
            </w:r>
          </w:p>
        </w:tc>
      </w:tr>
      <w:tr w:rsidR="00C46493" w:rsidRPr="00C46493" w14:paraId="5C3E159D" w14:textId="77777777" w:rsidTr="0036030C">
        <w:trPr>
          <w:tblCellSpacing w:w="15" w:type="dxa"/>
        </w:trPr>
        <w:tc>
          <w:tcPr>
            <w:tcW w:w="0" w:type="auto"/>
            <w:vAlign w:val="center"/>
            <w:hideMark/>
          </w:tcPr>
          <w:p w14:paraId="7C447BFB"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A553E4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6343DC0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99±28ᵃ</w:t>
            </w:r>
          </w:p>
        </w:tc>
        <w:tc>
          <w:tcPr>
            <w:tcW w:w="0" w:type="auto"/>
            <w:vAlign w:val="center"/>
            <w:hideMark/>
          </w:tcPr>
          <w:p w14:paraId="3D5CBA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112±34ᵃᵇ</w:t>
            </w:r>
          </w:p>
        </w:tc>
        <w:tc>
          <w:tcPr>
            <w:tcW w:w="0" w:type="auto"/>
            <w:vAlign w:val="center"/>
            <w:hideMark/>
          </w:tcPr>
          <w:p w14:paraId="2959954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143±40ᶜ</w:t>
            </w:r>
          </w:p>
        </w:tc>
        <w:tc>
          <w:tcPr>
            <w:tcW w:w="0" w:type="auto"/>
            <w:vAlign w:val="center"/>
            <w:hideMark/>
          </w:tcPr>
          <w:p w14:paraId="6CC1A75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99±33ᵃ</w:t>
            </w:r>
          </w:p>
        </w:tc>
      </w:tr>
      <w:tr w:rsidR="00C46493" w:rsidRPr="00C46493" w14:paraId="527D5C57" w14:textId="77777777" w:rsidTr="0036030C">
        <w:trPr>
          <w:tblCellSpacing w:w="15" w:type="dxa"/>
        </w:trPr>
        <w:tc>
          <w:tcPr>
            <w:tcW w:w="0" w:type="auto"/>
            <w:vAlign w:val="center"/>
            <w:hideMark/>
          </w:tcPr>
          <w:p w14:paraId="54D013D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Sperm Viability (%)</w:t>
            </w:r>
          </w:p>
        </w:tc>
        <w:tc>
          <w:tcPr>
            <w:tcW w:w="0" w:type="auto"/>
            <w:vAlign w:val="center"/>
            <w:hideMark/>
          </w:tcPr>
          <w:p w14:paraId="4D96A10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26ABAB8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69.8±7.2ᵃ</w:t>
            </w:r>
          </w:p>
        </w:tc>
        <w:tc>
          <w:tcPr>
            <w:tcW w:w="0" w:type="auto"/>
            <w:vAlign w:val="center"/>
            <w:hideMark/>
          </w:tcPr>
          <w:p w14:paraId="22DF75A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71.2±6.9ᵃ</w:t>
            </w:r>
          </w:p>
        </w:tc>
        <w:tc>
          <w:tcPr>
            <w:tcW w:w="0" w:type="auto"/>
            <w:vAlign w:val="center"/>
            <w:hideMark/>
          </w:tcPr>
          <w:p w14:paraId="71B0DF2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70.5±7.5ᵃ</w:t>
            </w:r>
          </w:p>
        </w:tc>
        <w:tc>
          <w:tcPr>
            <w:tcW w:w="0" w:type="auto"/>
            <w:vAlign w:val="center"/>
            <w:hideMark/>
          </w:tcPr>
          <w:p w14:paraId="296CEAE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70.9±7.8ᵃ</w:t>
            </w:r>
          </w:p>
        </w:tc>
      </w:tr>
      <w:tr w:rsidR="00C46493" w:rsidRPr="00C46493" w14:paraId="23E3AFC9" w14:textId="77777777" w:rsidTr="0036030C">
        <w:trPr>
          <w:tblCellSpacing w:w="15" w:type="dxa"/>
        </w:trPr>
        <w:tc>
          <w:tcPr>
            <w:tcW w:w="0" w:type="auto"/>
            <w:vAlign w:val="center"/>
            <w:hideMark/>
          </w:tcPr>
          <w:p w14:paraId="2E4C5212"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40F5358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1A14918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71.2±8.1ᵃ</w:t>
            </w:r>
          </w:p>
        </w:tc>
        <w:tc>
          <w:tcPr>
            <w:tcW w:w="0" w:type="auto"/>
            <w:vAlign w:val="center"/>
            <w:hideMark/>
          </w:tcPr>
          <w:p w14:paraId="2220CFE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72.8±7.6ᵃ</w:t>
            </w:r>
          </w:p>
        </w:tc>
        <w:tc>
          <w:tcPr>
            <w:tcW w:w="0" w:type="auto"/>
            <w:vAlign w:val="center"/>
            <w:hideMark/>
          </w:tcPr>
          <w:p w14:paraId="5FD57AA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76.1±8.4ᵇ</w:t>
            </w:r>
          </w:p>
        </w:tc>
        <w:tc>
          <w:tcPr>
            <w:tcW w:w="0" w:type="auto"/>
            <w:vAlign w:val="center"/>
            <w:hideMark/>
          </w:tcPr>
          <w:p w14:paraId="1BD05F4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69.8±8.3ᵃ</w:t>
            </w:r>
          </w:p>
        </w:tc>
      </w:tr>
      <w:tr w:rsidR="00C46493" w:rsidRPr="00C46493" w14:paraId="19060F68" w14:textId="77777777" w:rsidTr="0036030C">
        <w:trPr>
          <w:tblCellSpacing w:w="15" w:type="dxa"/>
        </w:trPr>
        <w:tc>
          <w:tcPr>
            <w:tcW w:w="0" w:type="auto"/>
            <w:vAlign w:val="center"/>
            <w:hideMark/>
          </w:tcPr>
          <w:p w14:paraId="70DB8410"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3066560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60FFC42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70.3±7.8ᵃ</w:t>
            </w:r>
          </w:p>
        </w:tc>
        <w:tc>
          <w:tcPr>
            <w:tcW w:w="0" w:type="auto"/>
            <w:vAlign w:val="center"/>
            <w:hideMark/>
          </w:tcPr>
          <w:p w14:paraId="4F14018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76.1±8.2ᵇ</w:t>
            </w:r>
          </w:p>
        </w:tc>
        <w:tc>
          <w:tcPr>
            <w:tcW w:w="0" w:type="auto"/>
            <w:vAlign w:val="center"/>
            <w:hideMark/>
          </w:tcPr>
          <w:p w14:paraId="4D8C56B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78.2±8.7ᶜ</w:t>
            </w:r>
          </w:p>
        </w:tc>
        <w:tc>
          <w:tcPr>
            <w:tcW w:w="0" w:type="auto"/>
            <w:vAlign w:val="center"/>
            <w:hideMark/>
          </w:tcPr>
          <w:p w14:paraId="1BE771D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71.4±9.1ᵃ</w:t>
            </w:r>
          </w:p>
        </w:tc>
      </w:tr>
      <w:tr w:rsidR="00C46493" w:rsidRPr="00C46493" w14:paraId="3F2A73EE" w14:textId="77777777" w:rsidTr="0036030C">
        <w:trPr>
          <w:tblCellSpacing w:w="15" w:type="dxa"/>
        </w:trPr>
        <w:tc>
          <w:tcPr>
            <w:tcW w:w="0" w:type="auto"/>
            <w:vAlign w:val="center"/>
            <w:hideMark/>
          </w:tcPr>
          <w:p w14:paraId="1889D04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Normal Morphology (%)</w:t>
            </w:r>
          </w:p>
        </w:tc>
        <w:tc>
          <w:tcPr>
            <w:tcW w:w="0" w:type="auto"/>
            <w:vAlign w:val="center"/>
            <w:hideMark/>
          </w:tcPr>
          <w:p w14:paraId="7A077F1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0CA4878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77.2±5.2ᵃ</w:t>
            </w:r>
          </w:p>
        </w:tc>
        <w:tc>
          <w:tcPr>
            <w:tcW w:w="0" w:type="auto"/>
            <w:vAlign w:val="center"/>
            <w:hideMark/>
          </w:tcPr>
          <w:p w14:paraId="1EEF1F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78.1±5.4ᵃ</w:t>
            </w:r>
          </w:p>
        </w:tc>
        <w:tc>
          <w:tcPr>
            <w:tcW w:w="0" w:type="auto"/>
            <w:vAlign w:val="center"/>
            <w:hideMark/>
          </w:tcPr>
          <w:p w14:paraId="56862E1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77.8±5.3ᵃ</w:t>
            </w:r>
          </w:p>
        </w:tc>
        <w:tc>
          <w:tcPr>
            <w:tcW w:w="0" w:type="auto"/>
            <w:vAlign w:val="center"/>
            <w:hideMark/>
          </w:tcPr>
          <w:p w14:paraId="74A37E1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78.4±5.6ᵃ</w:t>
            </w:r>
          </w:p>
        </w:tc>
      </w:tr>
      <w:tr w:rsidR="00C46493" w:rsidRPr="00C46493" w14:paraId="0F4C72B0" w14:textId="77777777" w:rsidTr="0036030C">
        <w:trPr>
          <w:tblCellSpacing w:w="15" w:type="dxa"/>
        </w:trPr>
        <w:tc>
          <w:tcPr>
            <w:tcW w:w="0" w:type="auto"/>
            <w:vAlign w:val="center"/>
            <w:hideMark/>
          </w:tcPr>
          <w:p w14:paraId="5AAE574A"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D5785F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51BAB3D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76.8±5.5ᵃ</w:t>
            </w:r>
          </w:p>
        </w:tc>
        <w:tc>
          <w:tcPr>
            <w:tcW w:w="0" w:type="auto"/>
            <w:vAlign w:val="center"/>
            <w:hideMark/>
          </w:tcPr>
          <w:p w14:paraId="0291FCA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79.1±5.6ᵃ</w:t>
            </w:r>
          </w:p>
        </w:tc>
        <w:tc>
          <w:tcPr>
            <w:tcW w:w="0" w:type="auto"/>
            <w:vAlign w:val="center"/>
            <w:hideMark/>
          </w:tcPr>
          <w:p w14:paraId="35953E7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79.6±6.1ᵇ</w:t>
            </w:r>
          </w:p>
        </w:tc>
        <w:tc>
          <w:tcPr>
            <w:tcW w:w="0" w:type="auto"/>
            <w:vAlign w:val="center"/>
            <w:hideMark/>
          </w:tcPr>
          <w:p w14:paraId="398A723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77.2±6.3ᵃ</w:t>
            </w:r>
          </w:p>
        </w:tc>
      </w:tr>
      <w:tr w:rsidR="00C46493" w:rsidRPr="00C46493" w14:paraId="7C6F3D48" w14:textId="77777777" w:rsidTr="0036030C">
        <w:trPr>
          <w:tblCellSpacing w:w="15" w:type="dxa"/>
        </w:trPr>
        <w:tc>
          <w:tcPr>
            <w:tcW w:w="0" w:type="auto"/>
            <w:vAlign w:val="center"/>
            <w:hideMark/>
          </w:tcPr>
          <w:p w14:paraId="02D88117"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46DCF6D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25F68BB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77.9±5.7ᵃ</w:t>
            </w:r>
          </w:p>
        </w:tc>
        <w:tc>
          <w:tcPr>
            <w:tcW w:w="0" w:type="auto"/>
            <w:vAlign w:val="center"/>
            <w:hideMark/>
          </w:tcPr>
          <w:p w14:paraId="7E5BEF9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78.4±6.0ᵃ</w:t>
            </w:r>
          </w:p>
        </w:tc>
        <w:tc>
          <w:tcPr>
            <w:tcW w:w="0" w:type="auto"/>
            <w:vAlign w:val="center"/>
            <w:hideMark/>
          </w:tcPr>
          <w:p w14:paraId="2804099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80.8±6.2ᵇ</w:t>
            </w:r>
          </w:p>
        </w:tc>
        <w:tc>
          <w:tcPr>
            <w:tcW w:w="0" w:type="auto"/>
            <w:vAlign w:val="center"/>
            <w:hideMark/>
          </w:tcPr>
          <w:p w14:paraId="3DF1B31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76.1±6.6ᵃ</w:t>
            </w:r>
          </w:p>
        </w:tc>
      </w:tr>
      <w:tr w:rsidR="00C46493" w:rsidRPr="00C46493" w14:paraId="1A23155E" w14:textId="77777777" w:rsidTr="0036030C">
        <w:trPr>
          <w:tblCellSpacing w:w="15" w:type="dxa"/>
        </w:trPr>
        <w:tc>
          <w:tcPr>
            <w:tcW w:w="0" w:type="auto"/>
            <w:vAlign w:val="center"/>
            <w:hideMark/>
          </w:tcPr>
          <w:p w14:paraId="528EF68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Membrane Integrity (%)</w:t>
            </w:r>
          </w:p>
        </w:tc>
        <w:tc>
          <w:tcPr>
            <w:tcW w:w="0" w:type="auto"/>
            <w:vAlign w:val="center"/>
            <w:hideMark/>
          </w:tcPr>
          <w:p w14:paraId="51939CB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26F0CB6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71.5±7.5ᵃ</w:t>
            </w:r>
          </w:p>
        </w:tc>
        <w:tc>
          <w:tcPr>
            <w:tcW w:w="0" w:type="auto"/>
            <w:vAlign w:val="center"/>
            <w:hideMark/>
          </w:tcPr>
          <w:p w14:paraId="7EB76EC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72.8±7.2ᵃ</w:t>
            </w:r>
          </w:p>
        </w:tc>
        <w:tc>
          <w:tcPr>
            <w:tcW w:w="0" w:type="auto"/>
            <w:vAlign w:val="center"/>
            <w:hideMark/>
          </w:tcPr>
          <w:p w14:paraId="5E22A68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71.9±7.6ᵃ</w:t>
            </w:r>
          </w:p>
        </w:tc>
        <w:tc>
          <w:tcPr>
            <w:tcW w:w="0" w:type="auto"/>
            <w:vAlign w:val="center"/>
            <w:hideMark/>
          </w:tcPr>
          <w:p w14:paraId="725AA2C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73.1±7.8ᵃ</w:t>
            </w:r>
          </w:p>
        </w:tc>
      </w:tr>
      <w:tr w:rsidR="00C46493" w:rsidRPr="00C46493" w14:paraId="2740933C" w14:textId="77777777" w:rsidTr="0036030C">
        <w:trPr>
          <w:tblCellSpacing w:w="15" w:type="dxa"/>
        </w:trPr>
        <w:tc>
          <w:tcPr>
            <w:tcW w:w="0" w:type="auto"/>
            <w:vAlign w:val="center"/>
            <w:hideMark/>
          </w:tcPr>
          <w:p w14:paraId="4EF77ACF"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72F31D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3898BCE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71.8±7.9ᵃ</w:t>
            </w:r>
          </w:p>
        </w:tc>
        <w:tc>
          <w:tcPr>
            <w:tcW w:w="0" w:type="auto"/>
            <w:vAlign w:val="center"/>
            <w:hideMark/>
          </w:tcPr>
          <w:p w14:paraId="5692FC8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73.9±8.1ᵃ</w:t>
            </w:r>
          </w:p>
        </w:tc>
        <w:tc>
          <w:tcPr>
            <w:tcW w:w="0" w:type="auto"/>
            <w:vAlign w:val="center"/>
            <w:hideMark/>
          </w:tcPr>
          <w:p w14:paraId="5FEE730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75.2±8.4ᵇ</w:t>
            </w:r>
          </w:p>
        </w:tc>
        <w:tc>
          <w:tcPr>
            <w:tcW w:w="0" w:type="auto"/>
            <w:vAlign w:val="center"/>
            <w:hideMark/>
          </w:tcPr>
          <w:p w14:paraId="59BF9EE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72.6±8.5ᵃ</w:t>
            </w:r>
          </w:p>
        </w:tc>
      </w:tr>
      <w:tr w:rsidR="00C46493" w:rsidRPr="00C46493" w14:paraId="678B1771" w14:textId="77777777" w:rsidTr="0036030C">
        <w:trPr>
          <w:tblCellSpacing w:w="15" w:type="dxa"/>
        </w:trPr>
        <w:tc>
          <w:tcPr>
            <w:tcW w:w="0" w:type="auto"/>
            <w:vAlign w:val="center"/>
            <w:hideMark/>
          </w:tcPr>
          <w:p w14:paraId="735D33EB"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599DB76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1290EB9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73.1±8.2ᵃ</w:t>
            </w:r>
          </w:p>
        </w:tc>
        <w:tc>
          <w:tcPr>
            <w:tcW w:w="0" w:type="auto"/>
            <w:vAlign w:val="center"/>
            <w:hideMark/>
          </w:tcPr>
          <w:p w14:paraId="5CA9DFA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74.3±8.5ᵃ</w:t>
            </w:r>
          </w:p>
        </w:tc>
        <w:tc>
          <w:tcPr>
            <w:tcW w:w="0" w:type="auto"/>
            <w:vAlign w:val="center"/>
            <w:hideMark/>
          </w:tcPr>
          <w:p w14:paraId="7BF622E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76.9±9.0ᵇ</w:t>
            </w:r>
          </w:p>
        </w:tc>
        <w:tc>
          <w:tcPr>
            <w:tcW w:w="0" w:type="auto"/>
            <w:vAlign w:val="center"/>
            <w:hideMark/>
          </w:tcPr>
          <w:p w14:paraId="2CA5967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71.2±8.9ᵃ</w:t>
            </w:r>
          </w:p>
        </w:tc>
      </w:tr>
      <w:tr w:rsidR="00C46493" w:rsidRPr="00C46493" w14:paraId="0EB7555A" w14:textId="77777777" w:rsidTr="0036030C">
        <w:trPr>
          <w:tblCellSpacing w:w="15" w:type="dxa"/>
        </w:trPr>
        <w:tc>
          <w:tcPr>
            <w:tcW w:w="0" w:type="auto"/>
            <w:vAlign w:val="center"/>
            <w:hideMark/>
          </w:tcPr>
          <w:p w14:paraId="5E0F48A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Semen pH</w:t>
            </w:r>
          </w:p>
        </w:tc>
        <w:tc>
          <w:tcPr>
            <w:tcW w:w="0" w:type="auto"/>
            <w:vAlign w:val="center"/>
            <w:hideMark/>
          </w:tcPr>
          <w:p w14:paraId="0B64140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1960273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7.08±0.16ᵃ</w:t>
            </w:r>
          </w:p>
        </w:tc>
        <w:tc>
          <w:tcPr>
            <w:tcW w:w="0" w:type="auto"/>
            <w:vAlign w:val="center"/>
            <w:hideMark/>
          </w:tcPr>
          <w:p w14:paraId="18CCE2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7.11±0.15ᵃ</w:t>
            </w:r>
          </w:p>
        </w:tc>
        <w:tc>
          <w:tcPr>
            <w:tcW w:w="0" w:type="auto"/>
            <w:vAlign w:val="center"/>
            <w:hideMark/>
          </w:tcPr>
          <w:p w14:paraId="071E6A0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7.09±0.14ᵃ</w:t>
            </w:r>
          </w:p>
        </w:tc>
        <w:tc>
          <w:tcPr>
            <w:tcW w:w="0" w:type="auto"/>
            <w:vAlign w:val="center"/>
            <w:hideMark/>
          </w:tcPr>
          <w:p w14:paraId="34D5F22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7.10±0.15ᵃ</w:t>
            </w:r>
          </w:p>
        </w:tc>
      </w:tr>
      <w:tr w:rsidR="00C46493" w:rsidRPr="00C46493" w14:paraId="0C669D16" w14:textId="77777777" w:rsidTr="0036030C">
        <w:trPr>
          <w:tblCellSpacing w:w="15" w:type="dxa"/>
        </w:trPr>
        <w:tc>
          <w:tcPr>
            <w:tcW w:w="0" w:type="auto"/>
            <w:vAlign w:val="center"/>
            <w:hideMark/>
          </w:tcPr>
          <w:p w14:paraId="2A52245B"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2C49758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192F686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7.11±0.17ᵃ</w:t>
            </w:r>
          </w:p>
        </w:tc>
        <w:tc>
          <w:tcPr>
            <w:tcW w:w="0" w:type="auto"/>
            <w:vAlign w:val="center"/>
            <w:hideMark/>
          </w:tcPr>
          <w:p w14:paraId="4AC6255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7.14±0.16ᵃ</w:t>
            </w:r>
          </w:p>
        </w:tc>
        <w:tc>
          <w:tcPr>
            <w:tcW w:w="0" w:type="auto"/>
            <w:vAlign w:val="center"/>
            <w:hideMark/>
          </w:tcPr>
          <w:p w14:paraId="2E94661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7.19±0.19ᵇ</w:t>
            </w:r>
          </w:p>
        </w:tc>
        <w:tc>
          <w:tcPr>
            <w:tcW w:w="0" w:type="auto"/>
            <w:vAlign w:val="center"/>
            <w:hideMark/>
          </w:tcPr>
          <w:p w14:paraId="0E1D12C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7.09±0.18ᵃ</w:t>
            </w:r>
          </w:p>
        </w:tc>
      </w:tr>
      <w:tr w:rsidR="00C46493" w:rsidRPr="00C46493" w14:paraId="50C798AF" w14:textId="77777777" w:rsidTr="0036030C">
        <w:trPr>
          <w:tblCellSpacing w:w="15" w:type="dxa"/>
        </w:trPr>
        <w:tc>
          <w:tcPr>
            <w:tcW w:w="0" w:type="auto"/>
            <w:tcBorders>
              <w:bottom w:val="single" w:sz="4" w:space="0" w:color="auto"/>
            </w:tcBorders>
            <w:vAlign w:val="center"/>
            <w:hideMark/>
          </w:tcPr>
          <w:p w14:paraId="57A51654" w14:textId="77777777" w:rsidR="000C2CA0" w:rsidRPr="00C46493" w:rsidRDefault="000C2CA0" w:rsidP="0036030C">
            <w:pPr>
              <w:spacing w:after="0" w:line="240" w:lineRule="auto"/>
              <w:rPr>
                <w:rFonts w:ascii="Arial" w:eastAsia="Times New Roman" w:hAnsi="Arial" w:cs="Arial"/>
                <w:sz w:val="20"/>
                <w:szCs w:val="20"/>
              </w:rPr>
            </w:pPr>
          </w:p>
        </w:tc>
        <w:tc>
          <w:tcPr>
            <w:tcW w:w="0" w:type="auto"/>
            <w:tcBorders>
              <w:bottom w:val="single" w:sz="4" w:space="0" w:color="auto"/>
            </w:tcBorders>
            <w:vAlign w:val="center"/>
            <w:hideMark/>
          </w:tcPr>
          <w:p w14:paraId="73567D5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tcBorders>
              <w:bottom w:val="single" w:sz="4" w:space="0" w:color="auto"/>
            </w:tcBorders>
            <w:vAlign w:val="center"/>
            <w:hideMark/>
          </w:tcPr>
          <w:p w14:paraId="581350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7.09±0.18ᵃ</w:t>
            </w:r>
          </w:p>
        </w:tc>
        <w:tc>
          <w:tcPr>
            <w:tcW w:w="0" w:type="auto"/>
            <w:tcBorders>
              <w:bottom w:val="single" w:sz="4" w:space="0" w:color="auto"/>
            </w:tcBorders>
            <w:vAlign w:val="center"/>
            <w:hideMark/>
          </w:tcPr>
          <w:p w14:paraId="78121B9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7.16±0.17ᵃ</w:t>
            </w:r>
          </w:p>
        </w:tc>
        <w:tc>
          <w:tcPr>
            <w:tcW w:w="0" w:type="auto"/>
            <w:tcBorders>
              <w:bottom w:val="single" w:sz="4" w:space="0" w:color="auto"/>
            </w:tcBorders>
            <w:vAlign w:val="center"/>
            <w:hideMark/>
          </w:tcPr>
          <w:p w14:paraId="69B9E3A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7.23±0.21ᵇ</w:t>
            </w:r>
          </w:p>
        </w:tc>
        <w:tc>
          <w:tcPr>
            <w:tcW w:w="0" w:type="auto"/>
            <w:tcBorders>
              <w:bottom w:val="single" w:sz="4" w:space="0" w:color="auto"/>
            </w:tcBorders>
            <w:vAlign w:val="center"/>
            <w:hideMark/>
          </w:tcPr>
          <w:p w14:paraId="1B6019B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7.08±0.19ᵃ</w:t>
            </w:r>
          </w:p>
        </w:tc>
      </w:tr>
    </w:tbl>
    <w:p w14:paraId="1439608C" w14:textId="77777777" w:rsidR="008B4946" w:rsidRPr="00C46493" w:rsidRDefault="008B4946" w:rsidP="008B4946">
      <w:pPr>
        <w:spacing w:after="100" w:afterAutospacing="1" w:line="240" w:lineRule="auto"/>
        <w:rPr>
          <w:rFonts w:ascii="Arial" w:eastAsia="Times New Roman" w:hAnsi="Arial" w:cs="Arial"/>
          <w:sz w:val="20"/>
          <w:szCs w:val="20"/>
        </w:rPr>
      </w:pPr>
      <w:r w:rsidRPr="00C46493">
        <w:rPr>
          <w:rFonts w:ascii="Arial" w:eastAsia="Times New Roman" w:hAnsi="Arial" w:cs="Arial"/>
          <w:bCs/>
          <w:sz w:val="20"/>
          <w:szCs w:val="20"/>
        </w:rPr>
        <w:t>Values with different superscripts (ᵃ, ᵇ, ᶜ) within the same row differ significantly (p &lt; 0.05). Values sharing common superscripts are not significantly different.</w:t>
      </w:r>
    </w:p>
    <w:p w14:paraId="78398EB5" w14:textId="77777777" w:rsidR="000C2CA0" w:rsidRPr="00C46493" w:rsidRDefault="000C2CA0" w:rsidP="000C2CA0">
      <w:pPr>
        <w:spacing w:after="0" w:line="240" w:lineRule="auto"/>
        <w:rPr>
          <w:rFonts w:ascii="Arial" w:eastAsia="Times New Roman" w:hAnsi="Arial" w:cs="Arial"/>
          <w:sz w:val="24"/>
          <w:szCs w:val="24"/>
        </w:rPr>
      </w:pPr>
    </w:p>
    <w:p w14:paraId="5324AA44" w14:textId="77777777" w:rsidR="000C2CA0" w:rsidRPr="00C46493" w:rsidRDefault="000C2CA0" w:rsidP="000C2CA0">
      <w:pPr>
        <w:spacing w:after="0" w:line="240" w:lineRule="auto"/>
        <w:rPr>
          <w:rFonts w:ascii="Arial" w:eastAsia="Times New Roman" w:hAnsi="Arial" w:cs="Arial"/>
          <w:sz w:val="24"/>
          <w:szCs w:val="24"/>
        </w:rPr>
      </w:pPr>
    </w:p>
    <w:p w14:paraId="40A4DDED" w14:textId="77777777" w:rsidR="000C2CA0" w:rsidRPr="00C46493" w:rsidRDefault="000C2CA0" w:rsidP="000C2CA0">
      <w:pPr>
        <w:spacing w:after="0" w:line="240" w:lineRule="auto"/>
        <w:rPr>
          <w:rFonts w:ascii="Arial" w:eastAsia="Times New Roman" w:hAnsi="Arial" w:cs="Arial"/>
          <w:sz w:val="24"/>
          <w:szCs w:val="24"/>
        </w:rPr>
      </w:pPr>
    </w:p>
    <w:p w14:paraId="0FE2A42B" w14:textId="77777777" w:rsidR="000C2CA0" w:rsidRPr="00C46493" w:rsidRDefault="000C2CA0" w:rsidP="000C2CA0">
      <w:pPr>
        <w:spacing w:after="0" w:line="240" w:lineRule="auto"/>
        <w:rPr>
          <w:rFonts w:ascii="Arial" w:eastAsia="Times New Roman" w:hAnsi="Arial" w:cs="Arial"/>
          <w:sz w:val="24"/>
          <w:szCs w:val="24"/>
        </w:rPr>
      </w:pPr>
    </w:p>
    <w:p w14:paraId="04C0BBA6" w14:textId="77777777" w:rsidR="000C2CA0" w:rsidRPr="00C46493" w:rsidRDefault="000C2CA0" w:rsidP="000C2CA0">
      <w:pPr>
        <w:spacing w:after="0" w:line="240" w:lineRule="auto"/>
        <w:rPr>
          <w:rFonts w:ascii="Arial" w:eastAsia="Times New Roman" w:hAnsi="Arial" w:cs="Arial"/>
          <w:sz w:val="24"/>
          <w:szCs w:val="24"/>
        </w:rPr>
      </w:pPr>
    </w:p>
    <w:p w14:paraId="70EB815B" w14:textId="77777777" w:rsidR="000C2CA0" w:rsidRPr="00C46493" w:rsidRDefault="000C2CA0" w:rsidP="000C2CA0">
      <w:pPr>
        <w:spacing w:after="0" w:line="240" w:lineRule="auto"/>
        <w:rPr>
          <w:rFonts w:ascii="Arial" w:eastAsia="Times New Roman" w:hAnsi="Arial" w:cs="Arial"/>
          <w:sz w:val="24"/>
          <w:szCs w:val="24"/>
        </w:rPr>
      </w:pPr>
    </w:p>
    <w:p w14:paraId="15CE66CA" w14:textId="77777777" w:rsidR="000C2CA0" w:rsidRPr="00C46493" w:rsidRDefault="000C2CA0" w:rsidP="000C2CA0">
      <w:pPr>
        <w:spacing w:after="0" w:line="240" w:lineRule="auto"/>
        <w:rPr>
          <w:rFonts w:ascii="Arial" w:eastAsia="Times New Roman" w:hAnsi="Arial" w:cs="Arial"/>
          <w:sz w:val="24"/>
          <w:szCs w:val="24"/>
        </w:rPr>
      </w:pPr>
    </w:p>
    <w:p w14:paraId="2A4A080F" w14:textId="77777777" w:rsidR="000C2CA0" w:rsidRPr="00C46493" w:rsidRDefault="000C2CA0" w:rsidP="000C2CA0">
      <w:pPr>
        <w:spacing w:after="0" w:line="240" w:lineRule="auto"/>
        <w:rPr>
          <w:rFonts w:ascii="Arial" w:eastAsia="Times New Roman" w:hAnsi="Arial" w:cs="Arial"/>
          <w:sz w:val="24"/>
          <w:szCs w:val="24"/>
        </w:rPr>
      </w:pPr>
    </w:p>
    <w:p w14:paraId="7523F586" w14:textId="77777777" w:rsidR="000C2CA0" w:rsidRPr="00C46493" w:rsidRDefault="000C2CA0" w:rsidP="000C2CA0">
      <w:pPr>
        <w:spacing w:after="0" w:line="240" w:lineRule="auto"/>
        <w:rPr>
          <w:rFonts w:ascii="Arial" w:eastAsia="Times New Roman" w:hAnsi="Arial" w:cs="Arial"/>
          <w:sz w:val="24"/>
          <w:szCs w:val="24"/>
        </w:rPr>
      </w:pPr>
    </w:p>
    <w:p w14:paraId="7F8EF9DB" w14:textId="77777777" w:rsidR="000C2CA0" w:rsidRPr="00C46493" w:rsidRDefault="000C2CA0" w:rsidP="000C2CA0">
      <w:pPr>
        <w:spacing w:after="0" w:line="240" w:lineRule="auto"/>
        <w:rPr>
          <w:rFonts w:ascii="Arial" w:eastAsia="Times New Roman" w:hAnsi="Arial" w:cs="Arial"/>
          <w:sz w:val="24"/>
          <w:szCs w:val="24"/>
        </w:rPr>
      </w:pPr>
    </w:p>
    <w:p w14:paraId="2B144138" w14:textId="77777777" w:rsidR="000C2CA0" w:rsidRPr="00C46493" w:rsidRDefault="000C2CA0" w:rsidP="000C2CA0">
      <w:pPr>
        <w:spacing w:after="0" w:line="240" w:lineRule="auto"/>
        <w:rPr>
          <w:rFonts w:ascii="Arial" w:eastAsia="Times New Roman" w:hAnsi="Arial" w:cs="Arial"/>
          <w:sz w:val="24"/>
          <w:szCs w:val="24"/>
        </w:rPr>
      </w:pPr>
    </w:p>
    <w:p w14:paraId="4316C228" w14:textId="77777777" w:rsidR="000C2CA0" w:rsidRPr="00C46493" w:rsidRDefault="000C2CA0" w:rsidP="000C2CA0">
      <w:pPr>
        <w:spacing w:after="0" w:line="240" w:lineRule="auto"/>
        <w:rPr>
          <w:rFonts w:ascii="Arial" w:eastAsia="Times New Roman" w:hAnsi="Arial" w:cs="Arial"/>
          <w:sz w:val="24"/>
          <w:szCs w:val="24"/>
        </w:rPr>
      </w:pPr>
    </w:p>
    <w:p w14:paraId="5B2356F1" w14:textId="77777777" w:rsidR="00DD0498" w:rsidRPr="00C46493" w:rsidRDefault="00DD0498" w:rsidP="000C2CA0">
      <w:pPr>
        <w:spacing w:after="0" w:line="240" w:lineRule="auto"/>
        <w:rPr>
          <w:rFonts w:ascii="Arial" w:eastAsia="Times New Roman" w:hAnsi="Arial" w:cs="Arial"/>
          <w:sz w:val="24"/>
          <w:szCs w:val="24"/>
        </w:rPr>
      </w:pPr>
    </w:p>
    <w:p w14:paraId="75CB304B" w14:textId="77777777" w:rsidR="00DD0498" w:rsidRPr="00C46493" w:rsidRDefault="00DD0498" w:rsidP="000C2CA0">
      <w:pPr>
        <w:spacing w:after="0" w:line="240" w:lineRule="auto"/>
        <w:rPr>
          <w:rFonts w:ascii="Arial" w:eastAsia="Times New Roman" w:hAnsi="Arial" w:cs="Arial"/>
          <w:sz w:val="24"/>
          <w:szCs w:val="24"/>
        </w:rPr>
      </w:pPr>
    </w:p>
    <w:p w14:paraId="0F0897CC" w14:textId="77777777" w:rsidR="000C2CA0" w:rsidRPr="00C46493" w:rsidRDefault="000C2CA0" w:rsidP="000C2CA0">
      <w:pPr>
        <w:spacing w:before="100" w:beforeAutospacing="1" w:after="100" w:afterAutospacing="1" w:line="240" w:lineRule="auto"/>
        <w:rPr>
          <w:rFonts w:ascii="Arial" w:eastAsia="Times New Roman" w:hAnsi="Arial" w:cs="Arial"/>
        </w:rPr>
      </w:pPr>
      <w:r w:rsidRPr="00C46493">
        <w:rPr>
          <w:rFonts w:ascii="Arial" w:eastAsia="Times New Roman" w:hAnsi="Arial" w:cs="Arial"/>
          <w:b/>
          <w:bCs/>
        </w:rPr>
        <w:t>Table 3: Effect of Ethanolic Bitter Kola Extract on Hormonal Profile of Rabbit Bucks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572"/>
        <w:gridCol w:w="1027"/>
        <w:gridCol w:w="1317"/>
        <w:gridCol w:w="1328"/>
        <w:gridCol w:w="1343"/>
      </w:tblGrid>
      <w:tr w:rsidR="00C46493" w:rsidRPr="00C46493" w14:paraId="21242E60" w14:textId="77777777" w:rsidTr="0036030C">
        <w:trPr>
          <w:tblHeader/>
          <w:tblCellSpacing w:w="15" w:type="dxa"/>
        </w:trPr>
        <w:tc>
          <w:tcPr>
            <w:tcW w:w="0" w:type="auto"/>
            <w:tcBorders>
              <w:top w:val="single" w:sz="4" w:space="0" w:color="auto"/>
              <w:bottom w:val="single" w:sz="4" w:space="0" w:color="auto"/>
            </w:tcBorders>
            <w:vAlign w:val="center"/>
            <w:hideMark/>
          </w:tcPr>
          <w:p w14:paraId="57B42BF9"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Parameter</w:t>
            </w:r>
          </w:p>
        </w:tc>
        <w:tc>
          <w:tcPr>
            <w:tcW w:w="0" w:type="auto"/>
            <w:tcBorders>
              <w:top w:val="single" w:sz="4" w:space="0" w:color="auto"/>
              <w:bottom w:val="single" w:sz="4" w:space="0" w:color="auto"/>
            </w:tcBorders>
            <w:vAlign w:val="center"/>
            <w:hideMark/>
          </w:tcPr>
          <w:p w14:paraId="3607D882"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Week</w:t>
            </w:r>
          </w:p>
        </w:tc>
        <w:tc>
          <w:tcPr>
            <w:tcW w:w="0" w:type="auto"/>
            <w:tcBorders>
              <w:top w:val="single" w:sz="4" w:space="0" w:color="auto"/>
              <w:bottom w:val="single" w:sz="4" w:space="0" w:color="auto"/>
            </w:tcBorders>
            <w:vAlign w:val="center"/>
            <w:hideMark/>
          </w:tcPr>
          <w:p w14:paraId="6609C007"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Control (A)</w:t>
            </w:r>
          </w:p>
        </w:tc>
        <w:tc>
          <w:tcPr>
            <w:tcW w:w="0" w:type="auto"/>
            <w:tcBorders>
              <w:top w:val="single" w:sz="4" w:space="0" w:color="auto"/>
              <w:bottom w:val="single" w:sz="4" w:space="0" w:color="auto"/>
            </w:tcBorders>
            <w:vAlign w:val="center"/>
            <w:hideMark/>
          </w:tcPr>
          <w:p w14:paraId="1F18AD5A"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100 mg/kg (B)</w:t>
            </w:r>
          </w:p>
        </w:tc>
        <w:tc>
          <w:tcPr>
            <w:tcW w:w="0" w:type="auto"/>
            <w:tcBorders>
              <w:top w:val="single" w:sz="4" w:space="0" w:color="auto"/>
              <w:bottom w:val="single" w:sz="4" w:space="0" w:color="auto"/>
            </w:tcBorders>
            <w:vAlign w:val="center"/>
            <w:hideMark/>
          </w:tcPr>
          <w:p w14:paraId="10BF2340"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200 mg/kg (C)</w:t>
            </w:r>
          </w:p>
        </w:tc>
        <w:tc>
          <w:tcPr>
            <w:tcW w:w="0" w:type="auto"/>
            <w:tcBorders>
              <w:top w:val="single" w:sz="4" w:space="0" w:color="auto"/>
              <w:bottom w:val="single" w:sz="4" w:space="0" w:color="auto"/>
            </w:tcBorders>
            <w:vAlign w:val="center"/>
            <w:hideMark/>
          </w:tcPr>
          <w:p w14:paraId="0FB801A7"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400 mg/kg (D)</w:t>
            </w:r>
          </w:p>
        </w:tc>
      </w:tr>
      <w:tr w:rsidR="00C46493" w:rsidRPr="00C46493" w14:paraId="07CC4E7F" w14:textId="77777777" w:rsidTr="0036030C">
        <w:trPr>
          <w:tblCellSpacing w:w="15" w:type="dxa"/>
        </w:trPr>
        <w:tc>
          <w:tcPr>
            <w:tcW w:w="0" w:type="auto"/>
            <w:vAlign w:val="center"/>
            <w:hideMark/>
          </w:tcPr>
          <w:p w14:paraId="0413D00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Testosterone (ng/mL)</w:t>
            </w:r>
          </w:p>
        </w:tc>
        <w:tc>
          <w:tcPr>
            <w:tcW w:w="0" w:type="auto"/>
            <w:vAlign w:val="center"/>
            <w:hideMark/>
          </w:tcPr>
          <w:p w14:paraId="0720440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7BDEB62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1.85±0.24ᵃ</w:t>
            </w:r>
          </w:p>
        </w:tc>
        <w:tc>
          <w:tcPr>
            <w:tcW w:w="0" w:type="auto"/>
            <w:vAlign w:val="center"/>
            <w:hideMark/>
          </w:tcPr>
          <w:p w14:paraId="29FFE34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1.87±0.26ᵃ</w:t>
            </w:r>
          </w:p>
        </w:tc>
        <w:tc>
          <w:tcPr>
            <w:tcW w:w="0" w:type="auto"/>
            <w:vAlign w:val="center"/>
            <w:hideMark/>
          </w:tcPr>
          <w:p w14:paraId="58BF935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1.86±0.25ᵃ</w:t>
            </w:r>
          </w:p>
        </w:tc>
        <w:tc>
          <w:tcPr>
            <w:tcW w:w="0" w:type="auto"/>
            <w:vAlign w:val="center"/>
            <w:hideMark/>
          </w:tcPr>
          <w:p w14:paraId="4883EA9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1.88±0.27ᵃ</w:t>
            </w:r>
          </w:p>
        </w:tc>
      </w:tr>
      <w:tr w:rsidR="00C46493" w:rsidRPr="00C46493" w14:paraId="1F956E71" w14:textId="77777777" w:rsidTr="0036030C">
        <w:trPr>
          <w:tblCellSpacing w:w="15" w:type="dxa"/>
        </w:trPr>
        <w:tc>
          <w:tcPr>
            <w:tcW w:w="0" w:type="auto"/>
            <w:vAlign w:val="center"/>
            <w:hideMark/>
          </w:tcPr>
          <w:p w14:paraId="43EC2039"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549D0C7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27F4F2D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1.92±0.28ᵃ</w:t>
            </w:r>
          </w:p>
        </w:tc>
        <w:tc>
          <w:tcPr>
            <w:tcW w:w="0" w:type="auto"/>
            <w:vAlign w:val="center"/>
            <w:hideMark/>
          </w:tcPr>
          <w:p w14:paraId="7B14533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2.03±0.31ᵃ</w:t>
            </w:r>
          </w:p>
        </w:tc>
        <w:tc>
          <w:tcPr>
            <w:tcW w:w="0" w:type="auto"/>
            <w:vAlign w:val="center"/>
            <w:hideMark/>
          </w:tcPr>
          <w:p w14:paraId="55C8E7D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2.21±0.34ᵇ</w:t>
            </w:r>
          </w:p>
        </w:tc>
        <w:tc>
          <w:tcPr>
            <w:tcW w:w="0" w:type="auto"/>
            <w:vAlign w:val="center"/>
            <w:hideMark/>
          </w:tcPr>
          <w:p w14:paraId="1772864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1.94±0.29ᵃ</w:t>
            </w:r>
          </w:p>
        </w:tc>
      </w:tr>
      <w:tr w:rsidR="00C46493" w:rsidRPr="00C46493" w14:paraId="321C28DC" w14:textId="77777777" w:rsidTr="0036030C">
        <w:trPr>
          <w:tblCellSpacing w:w="15" w:type="dxa"/>
        </w:trPr>
        <w:tc>
          <w:tcPr>
            <w:tcW w:w="0" w:type="auto"/>
            <w:vAlign w:val="center"/>
            <w:hideMark/>
          </w:tcPr>
          <w:p w14:paraId="42BA9E12"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C4EFB2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4D0595C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1.89±0.30ᵃ</w:t>
            </w:r>
          </w:p>
        </w:tc>
        <w:tc>
          <w:tcPr>
            <w:tcW w:w="0" w:type="auto"/>
            <w:vAlign w:val="center"/>
            <w:hideMark/>
          </w:tcPr>
          <w:p w14:paraId="6A4FDD3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2.09±0.33ᵇ</w:t>
            </w:r>
          </w:p>
        </w:tc>
        <w:tc>
          <w:tcPr>
            <w:tcW w:w="0" w:type="auto"/>
            <w:vAlign w:val="center"/>
            <w:hideMark/>
          </w:tcPr>
          <w:p w14:paraId="14E7673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2.46±0.37ᶜ</w:t>
            </w:r>
          </w:p>
        </w:tc>
        <w:tc>
          <w:tcPr>
            <w:tcW w:w="0" w:type="auto"/>
            <w:vAlign w:val="center"/>
            <w:hideMark/>
          </w:tcPr>
          <w:p w14:paraId="0C6FA51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1.91±0.32ᵃ</w:t>
            </w:r>
          </w:p>
        </w:tc>
      </w:tr>
      <w:tr w:rsidR="00C46493" w:rsidRPr="00C46493" w14:paraId="44064B9F" w14:textId="77777777" w:rsidTr="0036030C">
        <w:trPr>
          <w:tblCellSpacing w:w="15" w:type="dxa"/>
        </w:trPr>
        <w:tc>
          <w:tcPr>
            <w:tcW w:w="0" w:type="auto"/>
            <w:vAlign w:val="center"/>
            <w:hideMark/>
          </w:tcPr>
          <w:p w14:paraId="7D5855C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LH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/mL)</w:t>
            </w:r>
          </w:p>
        </w:tc>
        <w:tc>
          <w:tcPr>
            <w:tcW w:w="0" w:type="auto"/>
            <w:vAlign w:val="center"/>
            <w:hideMark/>
          </w:tcPr>
          <w:p w14:paraId="40E0065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6D6111D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0.72±0.09ᵃ</w:t>
            </w:r>
          </w:p>
        </w:tc>
        <w:tc>
          <w:tcPr>
            <w:tcW w:w="0" w:type="auto"/>
            <w:vAlign w:val="center"/>
            <w:hideMark/>
          </w:tcPr>
          <w:p w14:paraId="3FF6998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0.74±0.10ᵃ</w:t>
            </w:r>
          </w:p>
        </w:tc>
        <w:tc>
          <w:tcPr>
            <w:tcW w:w="0" w:type="auto"/>
            <w:vAlign w:val="center"/>
            <w:hideMark/>
          </w:tcPr>
          <w:p w14:paraId="726CDF3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0.73±0.09ᵃ</w:t>
            </w:r>
          </w:p>
        </w:tc>
        <w:tc>
          <w:tcPr>
            <w:tcW w:w="0" w:type="auto"/>
            <w:vAlign w:val="center"/>
            <w:hideMark/>
          </w:tcPr>
          <w:p w14:paraId="55BCB8B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0.75±0.10ᵃ</w:t>
            </w:r>
          </w:p>
        </w:tc>
      </w:tr>
      <w:tr w:rsidR="00C46493" w:rsidRPr="00C46493" w14:paraId="6BB1845D" w14:textId="77777777" w:rsidTr="0036030C">
        <w:trPr>
          <w:tblCellSpacing w:w="15" w:type="dxa"/>
        </w:trPr>
        <w:tc>
          <w:tcPr>
            <w:tcW w:w="0" w:type="auto"/>
            <w:vAlign w:val="center"/>
            <w:hideMark/>
          </w:tcPr>
          <w:p w14:paraId="408FED20"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C88C0B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5555E90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0.76±0.11ᵃ</w:t>
            </w:r>
          </w:p>
        </w:tc>
        <w:tc>
          <w:tcPr>
            <w:tcW w:w="0" w:type="auto"/>
            <w:vAlign w:val="center"/>
            <w:hideMark/>
          </w:tcPr>
          <w:p w14:paraId="5BD95C0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0.79±0.12ᵃ</w:t>
            </w:r>
          </w:p>
        </w:tc>
        <w:tc>
          <w:tcPr>
            <w:tcW w:w="0" w:type="auto"/>
            <w:vAlign w:val="center"/>
            <w:hideMark/>
          </w:tcPr>
          <w:p w14:paraId="3CAC520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0.84±0.13ᵇ</w:t>
            </w:r>
          </w:p>
        </w:tc>
        <w:tc>
          <w:tcPr>
            <w:tcW w:w="0" w:type="auto"/>
            <w:vAlign w:val="center"/>
            <w:hideMark/>
          </w:tcPr>
          <w:p w14:paraId="39D2EBE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0.73±0.11ᵃ</w:t>
            </w:r>
          </w:p>
        </w:tc>
      </w:tr>
      <w:tr w:rsidR="00C46493" w:rsidRPr="00C46493" w14:paraId="59FE0321" w14:textId="77777777" w:rsidTr="0036030C">
        <w:trPr>
          <w:tblCellSpacing w:w="15" w:type="dxa"/>
        </w:trPr>
        <w:tc>
          <w:tcPr>
            <w:tcW w:w="0" w:type="auto"/>
            <w:vAlign w:val="center"/>
            <w:hideMark/>
          </w:tcPr>
          <w:p w14:paraId="142FD681"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A44C9F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0C03C31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0.74±0.12ᵃ</w:t>
            </w:r>
          </w:p>
        </w:tc>
        <w:tc>
          <w:tcPr>
            <w:tcW w:w="0" w:type="auto"/>
            <w:vAlign w:val="center"/>
            <w:hideMark/>
          </w:tcPr>
          <w:p w14:paraId="075F5CF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0.82±0.13ᵃ</w:t>
            </w:r>
          </w:p>
        </w:tc>
        <w:tc>
          <w:tcPr>
            <w:tcW w:w="0" w:type="auto"/>
            <w:vAlign w:val="center"/>
            <w:hideMark/>
          </w:tcPr>
          <w:p w14:paraId="707D1D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0.91±0.15ᶜ</w:t>
            </w:r>
          </w:p>
        </w:tc>
        <w:tc>
          <w:tcPr>
            <w:tcW w:w="0" w:type="auto"/>
            <w:vAlign w:val="center"/>
            <w:hideMark/>
          </w:tcPr>
          <w:p w14:paraId="0ACF9E7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0.76±0.12ᵃ</w:t>
            </w:r>
          </w:p>
        </w:tc>
      </w:tr>
      <w:tr w:rsidR="00C46493" w:rsidRPr="00C46493" w14:paraId="494C840E" w14:textId="77777777" w:rsidTr="0036030C">
        <w:trPr>
          <w:tblCellSpacing w:w="15" w:type="dxa"/>
        </w:trPr>
        <w:tc>
          <w:tcPr>
            <w:tcW w:w="0" w:type="auto"/>
            <w:vAlign w:val="center"/>
            <w:hideMark/>
          </w:tcPr>
          <w:p w14:paraId="00CAFE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FSH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/mL)</w:t>
            </w:r>
          </w:p>
        </w:tc>
        <w:tc>
          <w:tcPr>
            <w:tcW w:w="0" w:type="auto"/>
            <w:vAlign w:val="center"/>
            <w:hideMark/>
          </w:tcPr>
          <w:p w14:paraId="068021B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7C9B4FA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0.45±0.06ᵃ</w:t>
            </w:r>
          </w:p>
        </w:tc>
        <w:tc>
          <w:tcPr>
            <w:tcW w:w="0" w:type="auto"/>
            <w:vAlign w:val="center"/>
            <w:hideMark/>
          </w:tcPr>
          <w:p w14:paraId="6D4B0ED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0.46±0.07ᵃ</w:t>
            </w:r>
          </w:p>
        </w:tc>
        <w:tc>
          <w:tcPr>
            <w:tcW w:w="0" w:type="auto"/>
            <w:vAlign w:val="center"/>
            <w:hideMark/>
          </w:tcPr>
          <w:p w14:paraId="73853AF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0.45±0.06ᵃ</w:t>
            </w:r>
          </w:p>
        </w:tc>
        <w:tc>
          <w:tcPr>
            <w:tcW w:w="0" w:type="auto"/>
            <w:vAlign w:val="center"/>
            <w:hideMark/>
          </w:tcPr>
          <w:p w14:paraId="59345FD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0.47±0.07ᵃ</w:t>
            </w:r>
          </w:p>
        </w:tc>
      </w:tr>
      <w:tr w:rsidR="00C46493" w:rsidRPr="00C46493" w14:paraId="2C41F951" w14:textId="77777777" w:rsidTr="0036030C">
        <w:trPr>
          <w:tblCellSpacing w:w="15" w:type="dxa"/>
        </w:trPr>
        <w:tc>
          <w:tcPr>
            <w:tcW w:w="0" w:type="auto"/>
            <w:vAlign w:val="center"/>
            <w:hideMark/>
          </w:tcPr>
          <w:p w14:paraId="1772F098"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2F84B31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10D731D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0.47±0.07ᵃ</w:t>
            </w:r>
          </w:p>
        </w:tc>
        <w:tc>
          <w:tcPr>
            <w:tcW w:w="0" w:type="auto"/>
            <w:vAlign w:val="center"/>
            <w:hideMark/>
          </w:tcPr>
          <w:p w14:paraId="2AA0506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0.48±0.08ᵃ</w:t>
            </w:r>
          </w:p>
        </w:tc>
        <w:tc>
          <w:tcPr>
            <w:tcW w:w="0" w:type="auto"/>
            <w:vAlign w:val="center"/>
            <w:hideMark/>
          </w:tcPr>
          <w:p w14:paraId="6338B7C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0.52±0.09ᵇ</w:t>
            </w:r>
          </w:p>
        </w:tc>
        <w:tc>
          <w:tcPr>
            <w:tcW w:w="0" w:type="auto"/>
            <w:vAlign w:val="center"/>
            <w:hideMark/>
          </w:tcPr>
          <w:p w14:paraId="11EF815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0.44±0.08ᵃ</w:t>
            </w:r>
          </w:p>
        </w:tc>
      </w:tr>
      <w:tr w:rsidR="00C46493" w:rsidRPr="00C46493" w14:paraId="4C31D564" w14:textId="77777777" w:rsidTr="0036030C">
        <w:trPr>
          <w:tblCellSpacing w:w="15" w:type="dxa"/>
        </w:trPr>
        <w:tc>
          <w:tcPr>
            <w:tcW w:w="0" w:type="auto"/>
            <w:tcBorders>
              <w:bottom w:val="single" w:sz="4" w:space="0" w:color="auto"/>
            </w:tcBorders>
            <w:vAlign w:val="center"/>
            <w:hideMark/>
          </w:tcPr>
          <w:p w14:paraId="7A0664ED" w14:textId="77777777" w:rsidR="000C2CA0" w:rsidRPr="00C46493" w:rsidRDefault="000C2CA0" w:rsidP="0036030C">
            <w:pPr>
              <w:spacing w:after="0" w:line="240" w:lineRule="auto"/>
              <w:rPr>
                <w:rFonts w:ascii="Arial" w:eastAsia="Times New Roman" w:hAnsi="Arial" w:cs="Arial"/>
                <w:sz w:val="20"/>
                <w:szCs w:val="20"/>
              </w:rPr>
            </w:pPr>
          </w:p>
        </w:tc>
        <w:tc>
          <w:tcPr>
            <w:tcW w:w="0" w:type="auto"/>
            <w:tcBorders>
              <w:bottom w:val="single" w:sz="4" w:space="0" w:color="auto"/>
            </w:tcBorders>
            <w:vAlign w:val="center"/>
            <w:hideMark/>
          </w:tcPr>
          <w:p w14:paraId="625AC36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tcBorders>
              <w:bottom w:val="single" w:sz="4" w:space="0" w:color="auto"/>
            </w:tcBorders>
            <w:vAlign w:val="center"/>
            <w:hideMark/>
          </w:tcPr>
          <w:p w14:paraId="4F06D7B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0.46±0.08ᵃ</w:t>
            </w:r>
          </w:p>
        </w:tc>
        <w:tc>
          <w:tcPr>
            <w:tcW w:w="0" w:type="auto"/>
            <w:tcBorders>
              <w:bottom w:val="single" w:sz="4" w:space="0" w:color="auto"/>
            </w:tcBorders>
            <w:vAlign w:val="center"/>
            <w:hideMark/>
          </w:tcPr>
          <w:p w14:paraId="548ED2D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0.53±0.09ᵇ</w:t>
            </w:r>
          </w:p>
        </w:tc>
        <w:tc>
          <w:tcPr>
            <w:tcW w:w="0" w:type="auto"/>
            <w:tcBorders>
              <w:bottom w:val="single" w:sz="4" w:space="0" w:color="auto"/>
            </w:tcBorders>
            <w:vAlign w:val="center"/>
            <w:hideMark/>
          </w:tcPr>
          <w:p w14:paraId="063B348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0.59±0.10ᶜ</w:t>
            </w:r>
          </w:p>
        </w:tc>
        <w:tc>
          <w:tcPr>
            <w:tcW w:w="0" w:type="auto"/>
            <w:tcBorders>
              <w:bottom w:val="single" w:sz="4" w:space="0" w:color="auto"/>
            </w:tcBorders>
            <w:vAlign w:val="center"/>
            <w:hideMark/>
          </w:tcPr>
          <w:p w14:paraId="285B28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0.47±0.09ᵃ</w:t>
            </w:r>
          </w:p>
        </w:tc>
      </w:tr>
    </w:tbl>
    <w:p w14:paraId="2ED44CAC" w14:textId="77777777" w:rsidR="008B4946" w:rsidRPr="00C46493" w:rsidRDefault="008B4946" w:rsidP="008B4946">
      <w:pPr>
        <w:spacing w:after="100" w:afterAutospacing="1" w:line="240" w:lineRule="auto"/>
        <w:rPr>
          <w:rFonts w:ascii="Arial" w:eastAsia="Times New Roman" w:hAnsi="Arial" w:cs="Arial"/>
          <w:sz w:val="20"/>
          <w:szCs w:val="20"/>
        </w:rPr>
      </w:pPr>
      <w:r w:rsidRPr="00C46493">
        <w:rPr>
          <w:rFonts w:ascii="Arial" w:eastAsia="Times New Roman" w:hAnsi="Arial" w:cs="Arial"/>
          <w:bCs/>
          <w:sz w:val="20"/>
          <w:szCs w:val="20"/>
        </w:rPr>
        <w:t>Values with different superscripts (ᵃ, ᵇ, ᶜ) within the same row differ significantly (p &lt; 0.05). Values sharing common superscripts are not significantly different.</w:t>
      </w:r>
    </w:p>
    <w:p w14:paraId="218E392E" w14:textId="77777777" w:rsidR="000C2CA0" w:rsidRPr="00C46493" w:rsidRDefault="000C2CA0" w:rsidP="000C2CA0">
      <w:pPr>
        <w:spacing w:after="0" w:line="240" w:lineRule="auto"/>
        <w:rPr>
          <w:rFonts w:ascii="Arial" w:eastAsia="Times New Roman" w:hAnsi="Arial" w:cs="Arial"/>
          <w:sz w:val="20"/>
          <w:szCs w:val="20"/>
        </w:rPr>
      </w:pPr>
    </w:p>
    <w:p w14:paraId="68345341" w14:textId="77777777" w:rsidR="000C2CA0" w:rsidRPr="00C46493" w:rsidRDefault="000C2CA0" w:rsidP="000C2CA0">
      <w:pPr>
        <w:spacing w:after="0" w:line="240" w:lineRule="auto"/>
        <w:rPr>
          <w:rFonts w:ascii="Arial" w:eastAsia="Times New Roman" w:hAnsi="Arial" w:cs="Arial"/>
          <w:sz w:val="20"/>
          <w:szCs w:val="20"/>
        </w:rPr>
      </w:pPr>
    </w:p>
    <w:p w14:paraId="3A6AD1A2" w14:textId="77777777" w:rsidR="008E14D9" w:rsidRPr="00C46493" w:rsidRDefault="008E14D9" w:rsidP="000C2CA0">
      <w:pPr>
        <w:pStyle w:val="ListParagraph"/>
        <w:numPr>
          <w:ilvl w:val="0"/>
          <w:numId w:val="2"/>
        </w:numPr>
        <w:rPr>
          <w:rFonts w:ascii="Arial" w:hAnsi="Arial" w:cs="Arial"/>
          <w:b/>
        </w:rPr>
      </w:pPr>
      <w:r w:rsidRPr="00C46493">
        <w:rPr>
          <w:rFonts w:ascii="Arial" w:hAnsi="Arial" w:cs="Arial"/>
          <w:b/>
        </w:rPr>
        <w:t>Discussion</w:t>
      </w:r>
    </w:p>
    <w:p w14:paraId="2EF918B5" w14:textId="77777777" w:rsidR="000C2CA0" w:rsidRPr="00C46493" w:rsidRDefault="00BE29BA" w:rsidP="000C2CA0">
      <w:pPr>
        <w:spacing w:after="0" w:line="480" w:lineRule="auto"/>
        <w:jc w:val="both"/>
        <w:rPr>
          <w:rFonts w:ascii="Arial" w:hAnsi="Arial" w:cs="Arial"/>
          <w:sz w:val="20"/>
          <w:szCs w:val="20"/>
        </w:rPr>
      </w:pPr>
      <w:r w:rsidRPr="00C46493">
        <w:rPr>
          <w:rFonts w:ascii="Arial" w:hAnsi="Arial" w:cs="Arial"/>
          <w:sz w:val="20"/>
          <w:szCs w:val="20"/>
        </w:rPr>
        <w:t>The results of this study revealed that giving 200 mg/kg of ethanolic bitter kola extract led to better semen parameters by week 8. Im</w:t>
      </w:r>
      <w:r w:rsidR="00C81250" w:rsidRPr="00C46493">
        <w:rPr>
          <w:rFonts w:ascii="Arial" w:hAnsi="Arial" w:cs="Arial"/>
          <w:sz w:val="20"/>
          <w:szCs w:val="20"/>
        </w:rPr>
        <w:t>provements were seen in parameters</w:t>
      </w:r>
      <w:r w:rsidRPr="00C46493">
        <w:rPr>
          <w:rFonts w:ascii="Arial" w:hAnsi="Arial" w:cs="Arial"/>
          <w:sz w:val="20"/>
          <w:szCs w:val="20"/>
        </w:rPr>
        <w:t xml:space="preserve"> like volume, sperm motility, concentration, total count, viability, normal morphology, membrane integrity, and semen </w:t>
      </w:r>
      <w:proofErr w:type="spellStart"/>
      <w:r w:rsidRPr="00C46493">
        <w:rPr>
          <w:rFonts w:ascii="Arial" w:hAnsi="Arial" w:cs="Arial"/>
          <w:sz w:val="20"/>
          <w:szCs w:val="20"/>
        </w:rPr>
        <w:t>pH.</w:t>
      </w:r>
      <w:proofErr w:type="spellEnd"/>
      <w:r w:rsidRPr="00C46493">
        <w:rPr>
          <w:rFonts w:ascii="Arial" w:hAnsi="Arial" w:cs="Arial"/>
          <w:sz w:val="20"/>
          <w:szCs w:val="20"/>
        </w:rPr>
        <w:t xml:space="preserve"> This enhancement could be attributed t</w:t>
      </w:r>
      <w:r w:rsidR="00C81250" w:rsidRPr="00C46493">
        <w:rPr>
          <w:rFonts w:ascii="Arial" w:hAnsi="Arial" w:cs="Arial"/>
          <w:sz w:val="20"/>
          <w:szCs w:val="20"/>
        </w:rPr>
        <w:t>o the rich phytochemical constituents</w:t>
      </w:r>
      <w:r w:rsidRPr="00C46493">
        <w:rPr>
          <w:rFonts w:ascii="Arial" w:hAnsi="Arial" w:cs="Arial"/>
          <w:sz w:val="20"/>
          <w:szCs w:val="20"/>
        </w:rPr>
        <w:t xml:space="preserve"> found in </w:t>
      </w:r>
      <w:r w:rsidRPr="00C46493">
        <w:rPr>
          <w:rFonts w:ascii="Arial" w:hAnsi="Arial" w:cs="Arial"/>
          <w:i/>
          <w:sz w:val="20"/>
          <w:szCs w:val="20"/>
        </w:rPr>
        <w:t>Garcinia kola</w:t>
      </w:r>
      <w:r w:rsidRPr="00C46493">
        <w:rPr>
          <w:rFonts w:ascii="Arial" w:hAnsi="Arial" w:cs="Arial"/>
          <w:sz w:val="20"/>
          <w:szCs w:val="20"/>
        </w:rPr>
        <w:t xml:space="preserve"> seeds, which includes flavonoids and phenolic compounds. These phytochemicals act as powerful antioxidants, helping to eliminate reactive oxygen species (ROS) and shielding sperm from oxidative damage, ultimately boosting semen quality. The increase in semen pH at the 200 mg/kg dosage might also play a role in enhancing sperm motility, as a slightly alkaline environment is beneficial for sperm survival and capacitation. While the improvements in sperm morphology and membrane integrity at this dosage were modest, they were still significant. Supporting our findings, </w:t>
      </w:r>
      <w:proofErr w:type="spellStart"/>
      <w:r w:rsidRPr="00C46493">
        <w:rPr>
          <w:rFonts w:ascii="Arial" w:hAnsi="Arial" w:cs="Arial"/>
          <w:sz w:val="20"/>
          <w:szCs w:val="20"/>
        </w:rPr>
        <w:t>Atsukwei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(2015) noted a marked reduction in the percentage of abnormal sperm cells across all treated groups compared to controls after both 3 and 6 weeks of treatment, reinforcing our observations of enhanced sperm morphology. This indicates that the reproductive advantages of </w:t>
      </w:r>
      <w:r w:rsidRPr="00C46493">
        <w:rPr>
          <w:rFonts w:ascii="Arial" w:hAnsi="Arial" w:cs="Arial"/>
          <w:i/>
          <w:sz w:val="20"/>
          <w:szCs w:val="20"/>
        </w:rPr>
        <w:t>Garcinia kola</w:t>
      </w:r>
      <w:r w:rsidRPr="00C46493">
        <w:rPr>
          <w:rFonts w:ascii="Arial" w:hAnsi="Arial" w:cs="Arial"/>
          <w:sz w:val="20"/>
          <w:szCs w:val="20"/>
        </w:rPr>
        <w:t xml:space="preserve"> include both functional and structural enhancements in sperm quality.</w:t>
      </w:r>
    </w:p>
    <w:p w14:paraId="25359DF7" w14:textId="77777777" w:rsidR="00BE29BA" w:rsidRPr="00C46493" w:rsidRDefault="00C81250" w:rsidP="000C2CA0">
      <w:pPr>
        <w:spacing w:after="0" w:line="480" w:lineRule="auto"/>
        <w:jc w:val="both"/>
        <w:rPr>
          <w:rFonts w:ascii="Arial" w:hAnsi="Arial" w:cs="Arial"/>
          <w:sz w:val="20"/>
          <w:szCs w:val="20"/>
        </w:rPr>
      </w:pPr>
      <w:r w:rsidRPr="00C46493">
        <w:rPr>
          <w:rFonts w:ascii="Arial" w:hAnsi="Arial" w:cs="Arial"/>
          <w:sz w:val="20"/>
          <w:szCs w:val="20"/>
        </w:rPr>
        <w:t>T</w:t>
      </w:r>
      <w:r w:rsidR="00BE29BA" w:rsidRPr="00C46493">
        <w:rPr>
          <w:rFonts w:ascii="Arial" w:hAnsi="Arial" w:cs="Arial"/>
          <w:sz w:val="20"/>
          <w:szCs w:val="20"/>
        </w:rPr>
        <w:t xml:space="preserve">he administration of </w:t>
      </w:r>
      <w:r w:rsidR="00BE29BA" w:rsidRPr="00C46493">
        <w:rPr>
          <w:rFonts w:ascii="Arial" w:hAnsi="Arial" w:cs="Arial"/>
          <w:i/>
          <w:sz w:val="20"/>
          <w:szCs w:val="20"/>
        </w:rPr>
        <w:t>Garcinia kola</w:t>
      </w:r>
      <w:r w:rsidR="00BE29BA" w:rsidRPr="00C46493">
        <w:rPr>
          <w:rFonts w:ascii="Arial" w:hAnsi="Arial" w:cs="Arial"/>
          <w:sz w:val="20"/>
          <w:szCs w:val="20"/>
        </w:rPr>
        <w:t xml:space="preserve"> at a dose of 100 mg/kg showed some modest improvements in various parameters, including total sperm count, sperm viability, testosterone, and FSH. However, the higher dose of 400 mg/kg didn’t really lead to any significant enhancements, highlighting a dose-dependent effect with 200 mg/kg being the sweet spot. The fact that 100 mg/kg didn’t </w:t>
      </w:r>
      <w:r w:rsidRPr="00C46493">
        <w:rPr>
          <w:rFonts w:ascii="Arial" w:hAnsi="Arial" w:cs="Arial"/>
          <w:sz w:val="20"/>
          <w:szCs w:val="20"/>
        </w:rPr>
        <w:t>show major effects in most parameters</w:t>
      </w:r>
      <w:r w:rsidR="00BE29BA" w:rsidRPr="00C46493">
        <w:rPr>
          <w:rFonts w:ascii="Arial" w:hAnsi="Arial" w:cs="Arial"/>
          <w:sz w:val="20"/>
          <w:szCs w:val="20"/>
        </w:rPr>
        <w:t xml:space="preserve"> suggests that this phytochemical dose wasn’t enough to bring about noticeable changes in semen quality. On the other hand, the decline observed at 400 mg/kg might indicate potential toxic or suppressive effects from too much phytochemical on testicular or pituitary function. High doses of these compounds could have pro-oxidant effects, throw off endocrine balance, or disrupt the structure of the testicles, </w:t>
      </w:r>
      <w:r w:rsidRPr="00C46493">
        <w:rPr>
          <w:rFonts w:ascii="Arial" w:hAnsi="Arial" w:cs="Arial"/>
          <w:sz w:val="20"/>
          <w:szCs w:val="20"/>
        </w:rPr>
        <w:t>eventually</w:t>
      </w:r>
      <w:r w:rsidR="00BE29BA" w:rsidRPr="00C46493">
        <w:rPr>
          <w:rFonts w:ascii="Arial" w:hAnsi="Arial" w:cs="Arial"/>
          <w:sz w:val="20"/>
          <w:szCs w:val="20"/>
        </w:rPr>
        <w:t xml:space="preserve"> counteracting the fertility-boosting benefits seen at more moderate doses</w:t>
      </w:r>
      <w:r w:rsidR="00BE29BA" w:rsidRPr="00C46493">
        <w:rPr>
          <w:rFonts w:ascii="Arial" w:hAnsi="Arial" w:cs="Arial"/>
          <w:sz w:val="20"/>
          <w:szCs w:val="20"/>
          <w:shd w:val="clear" w:color="auto" w:fill="F4F5F6"/>
        </w:rPr>
        <w:t>.</w:t>
      </w:r>
    </w:p>
    <w:p w14:paraId="14F9C7C7" w14:textId="77777777" w:rsidR="003C38EE" w:rsidRPr="00C46493" w:rsidRDefault="00BE29BA" w:rsidP="00A40CE8">
      <w:pPr>
        <w:spacing w:after="0" w:line="480" w:lineRule="auto"/>
        <w:jc w:val="both"/>
        <w:rPr>
          <w:rFonts w:ascii="Arial" w:hAnsi="Arial" w:cs="Arial"/>
          <w:sz w:val="20"/>
          <w:szCs w:val="20"/>
          <w:shd w:val="clear" w:color="auto" w:fill="F4F5F6"/>
        </w:rPr>
      </w:pPr>
      <w:r w:rsidRPr="00C46493">
        <w:rPr>
          <w:rFonts w:ascii="Arial" w:hAnsi="Arial" w:cs="Arial"/>
          <w:sz w:val="20"/>
          <w:szCs w:val="20"/>
        </w:rPr>
        <w:lastRenderedPageBreak/>
        <w:t xml:space="preserve">The improvements in semen quality noted in this study stand in contrast to a similar investigation conducted by Chia </w:t>
      </w:r>
      <w:r w:rsidRPr="00C46493">
        <w:rPr>
          <w:rFonts w:ascii="Arial" w:hAnsi="Arial" w:cs="Arial"/>
          <w:i/>
          <w:sz w:val="20"/>
          <w:szCs w:val="20"/>
        </w:rPr>
        <w:t>et al</w:t>
      </w:r>
      <w:r w:rsidRPr="00C46493">
        <w:rPr>
          <w:rFonts w:ascii="Arial" w:hAnsi="Arial" w:cs="Arial"/>
          <w:sz w:val="20"/>
          <w:szCs w:val="20"/>
        </w:rPr>
        <w:t xml:space="preserve">. (2025), which found no significant changes in the semen parameters of male rabbits, including counts, pH, semen volume, mass mobility, sperm concentration, morphology, and viability. They attributed their results to a small sample size. On the other hand, Iwuji and Herbert (2012) reported an increase in sperm motility among rabbit bucks that were fed a diet containing </w:t>
      </w:r>
      <w:r w:rsidRPr="00C46493">
        <w:rPr>
          <w:rFonts w:ascii="Arial" w:hAnsi="Arial" w:cs="Arial"/>
          <w:i/>
          <w:sz w:val="20"/>
          <w:szCs w:val="20"/>
        </w:rPr>
        <w:t>G</w:t>
      </w:r>
      <w:r w:rsidR="00DD0498" w:rsidRPr="00C46493">
        <w:rPr>
          <w:rFonts w:ascii="Arial" w:hAnsi="Arial" w:cs="Arial"/>
          <w:i/>
          <w:sz w:val="20"/>
          <w:szCs w:val="20"/>
        </w:rPr>
        <w:t xml:space="preserve">arcinia </w:t>
      </w:r>
      <w:r w:rsidRPr="00C46493">
        <w:rPr>
          <w:rFonts w:ascii="Arial" w:hAnsi="Arial" w:cs="Arial"/>
          <w:i/>
          <w:sz w:val="20"/>
          <w:szCs w:val="20"/>
        </w:rPr>
        <w:t>kola</w:t>
      </w:r>
      <w:r w:rsidR="00DD0498" w:rsidRPr="00C46493">
        <w:rPr>
          <w:rFonts w:ascii="Arial" w:hAnsi="Arial" w:cs="Arial"/>
          <w:i/>
          <w:sz w:val="20"/>
          <w:szCs w:val="20"/>
        </w:rPr>
        <w:t xml:space="preserve"> (</w:t>
      </w:r>
      <w:proofErr w:type="spellStart"/>
      <w:r w:rsidR="00DD0498" w:rsidRPr="00C46493">
        <w:rPr>
          <w:rFonts w:ascii="Arial" w:hAnsi="Arial" w:cs="Arial"/>
          <w:sz w:val="20"/>
          <w:szCs w:val="20"/>
        </w:rPr>
        <w:t>G.kola</w:t>
      </w:r>
      <w:proofErr w:type="spellEnd"/>
      <w:r w:rsidR="00DD0498" w:rsidRPr="00C46493">
        <w:rPr>
          <w:rFonts w:ascii="Arial" w:hAnsi="Arial" w:cs="Arial"/>
          <w:i/>
          <w:sz w:val="20"/>
          <w:szCs w:val="20"/>
        </w:rPr>
        <w:t>)</w:t>
      </w:r>
      <w:r w:rsidRPr="00C46493">
        <w:rPr>
          <w:rFonts w:ascii="Arial" w:hAnsi="Arial" w:cs="Arial"/>
          <w:sz w:val="20"/>
          <w:szCs w:val="20"/>
        </w:rPr>
        <w:t xml:space="preserve"> seed meal, which aligns with our findings. Additionally, several earlier studies on different animal models support our results; for instance, Chikere </w:t>
      </w:r>
      <w:r w:rsidRPr="00C46493">
        <w:rPr>
          <w:rFonts w:ascii="Arial" w:hAnsi="Arial" w:cs="Arial"/>
          <w:i/>
          <w:sz w:val="20"/>
          <w:szCs w:val="20"/>
        </w:rPr>
        <w:t>et al</w:t>
      </w:r>
      <w:r w:rsidRPr="00C46493">
        <w:rPr>
          <w:rFonts w:ascii="Arial" w:hAnsi="Arial" w:cs="Arial"/>
          <w:sz w:val="20"/>
          <w:szCs w:val="20"/>
        </w:rPr>
        <w:t xml:space="preserve">. (2015) observed significant increases in sperm counts, motility, and morphology in male Wistar rats treated with ethanolic extract of </w:t>
      </w:r>
      <w:r w:rsidRPr="00C46493">
        <w:rPr>
          <w:rFonts w:ascii="Arial" w:hAnsi="Arial" w:cs="Arial"/>
          <w:i/>
          <w:sz w:val="20"/>
          <w:szCs w:val="20"/>
        </w:rPr>
        <w:t>G. kola</w:t>
      </w:r>
      <w:r w:rsidRPr="00C46493">
        <w:rPr>
          <w:rFonts w:ascii="Arial" w:hAnsi="Arial" w:cs="Arial"/>
          <w:sz w:val="20"/>
          <w:szCs w:val="20"/>
        </w:rPr>
        <w:t xml:space="preserve">. Similarly, </w:t>
      </w:r>
      <w:proofErr w:type="spellStart"/>
      <w:r w:rsidRPr="00C46493">
        <w:rPr>
          <w:rFonts w:ascii="Arial" w:hAnsi="Arial" w:cs="Arial"/>
          <w:sz w:val="20"/>
          <w:szCs w:val="20"/>
        </w:rPr>
        <w:t>Atsukwei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(2015) and Adesanya </w:t>
      </w:r>
      <w:r w:rsidRPr="00C46493">
        <w:rPr>
          <w:rFonts w:ascii="Arial" w:hAnsi="Arial" w:cs="Arial"/>
          <w:i/>
          <w:sz w:val="20"/>
          <w:szCs w:val="20"/>
        </w:rPr>
        <w:t>et al</w:t>
      </w:r>
      <w:r w:rsidRPr="00C46493">
        <w:rPr>
          <w:rFonts w:ascii="Arial" w:hAnsi="Arial" w:cs="Arial"/>
          <w:sz w:val="20"/>
          <w:szCs w:val="20"/>
        </w:rPr>
        <w:t xml:space="preserve">. (2007) documented a dose-dependent rise in sperm counts in Wistar rats after administering 100mg/kg and 200mg/kg of ethanolic extract of </w:t>
      </w:r>
      <w:r w:rsidRPr="00C46493">
        <w:rPr>
          <w:rFonts w:ascii="Arial" w:hAnsi="Arial" w:cs="Arial"/>
          <w:i/>
          <w:sz w:val="20"/>
          <w:szCs w:val="20"/>
        </w:rPr>
        <w:t>G. kola</w:t>
      </w:r>
      <w:r w:rsidRPr="00C46493">
        <w:rPr>
          <w:rFonts w:ascii="Arial" w:hAnsi="Arial" w:cs="Arial"/>
          <w:sz w:val="20"/>
          <w:szCs w:val="20"/>
        </w:rPr>
        <w:t xml:space="preserve"> over six weeks. However, our results contrast with those of Abu </w:t>
      </w:r>
      <w:r w:rsidRPr="00C46493">
        <w:rPr>
          <w:rFonts w:ascii="Arial" w:hAnsi="Arial" w:cs="Arial"/>
          <w:i/>
          <w:sz w:val="20"/>
          <w:szCs w:val="20"/>
        </w:rPr>
        <w:t>et al</w:t>
      </w:r>
      <w:r w:rsidRPr="00C46493">
        <w:rPr>
          <w:rFonts w:ascii="Arial" w:hAnsi="Arial" w:cs="Arial"/>
          <w:sz w:val="20"/>
          <w:szCs w:val="20"/>
        </w:rPr>
        <w:t xml:space="preserve">. (2013), who reported a notable decrease in sperm concentration, motility, viability, and morphology in albino rats treated with aqueous extracts of </w:t>
      </w:r>
      <w:r w:rsidRPr="00C46493">
        <w:rPr>
          <w:rFonts w:ascii="Arial" w:hAnsi="Arial" w:cs="Arial"/>
          <w:i/>
          <w:sz w:val="20"/>
          <w:szCs w:val="20"/>
        </w:rPr>
        <w:t>G. kola</w:t>
      </w:r>
      <w:r w:rsidRPr="00C46493">
        <w:rPr>
          <w:rFonts w:ascii="Arial" w:hAnsi="Arial" w:cs="Arial"/>
          <w:sz w:val="20"/>
          <w:szCs w:val="20"/>
        </w:rPr>
        <w:t xml:space="preserve"> seeds. These differences could be due to variations in species sensitivity, dosage, duration of treatment, and extraction methods. The ethanolic extract used in our study is known to concentrate bioactive flavonoids and saponins that possess strong antioxidant and androgenic properties. Additionally, the environmental and nutritional conditions of the experimental</w:t>
      </w:r>
      <w:r w:rsidRPr="00C46493">
        <w:rPr>
          <w:rFonts w:ascii="Arial" w:hAnsi="Arial" w:cs="Arial"/>
          <w:sz w:val="20"/>
          <w:szCs w:val="20"/>
          <w:shd w:val="clear" w:color="auto" w:fill="F4F5F6"/>
        </w:rPr>
        <w:t xml:space="preserve"> animals might also help explain the differing outcomes.</w:t>
      </w:r>
    </w:p>
    <w:p w14:paraId="4D71D5DD" w14:textId="77777777" w:rsidR="00BE29BA" w:rsidRPr="00C46493" w:rsidRDefault="003C38EE" w:rsidP="00A40CE8">
      <w:pPr>
        <w:spacing w:after="0" w:line="480" w:lineRule="auto"/>
        <w:jc w:val="both"/>
        <w:rPr>
          <w:rFonts w:ascii="Arial" w:hAnsi="Arial" w:cs="Arial"/>
          <w:sz w:val="20"/>
          <w:szCs w:val="20"/>
          <w:shd w:val="clear" w:color="auto" w:fill="F4F5F6"/>
        </w:rPr>
      </w:pPr>
      <w:r w:rsidRPr="00C46493">
        <w:rPr>
          <w:rFonts w:ascii="Arial" w:hAnsi="Arial" w:cs="Arial"/>
          <w:sz w:val="20"/>
          <w:szCs w:val="20"/>
        </w:rPr>
        <w:t>I</w:t>
      </w:r>
      <w:r w:rsidR="00BE29BA" w:rsidRPr="00C46493">
        <w:rPr>
          <w:rFonts w:ascii="Arial" w:hAnsi="Arial" w:cs="Arial"/>
          <w:sz w:val="20"/>
          <w:szCs w:val="20"/>
        </w:rPr>
        <w:t xml:space="preserve">n our study, we noticed a notable rise in testosterone, luteinizing hormone (LH), and follicle-stimulating hormone (FSH) at the 200 mg/kg dosage, with some moderate improvements in testosterone and FSH also seen at the 100 mg/kg level. This hormonal increase, especially the boosts in LH and FSH, likely plays a key role in the significant enhancements we observed in semen quality. Since LH is responsible for regulating testosterone production in Leydig cells and FSH aids in spermatogenesis by stimulating Sertoli cells, the simultaneous rise in these hormones suggests that the hypothalamic-pituitary-gonadal (HPG) axis is being activated. The bioactive compounds found in </w:t>
      </w:r>
      <w:r w:rsidR="00BE29BA" w:rsidRPr="00C46493">
        <w:rPr>
          <w:rFonts w:ascii="Arial" w:hAnsi="Arial" w:cs="Arial"/>
          <w:i/>
          <w:sz w:val="20"/>
          <w:szCs w:val="20"/>
        </w:rPr>
        <w:t>Garcinia kola</w:t>
      </w:r>
      <w:r w:rsidR="00BE29BA" w:rsidRPr="00C46493">
        <w:rPr>
          <w:rFonts w:ascii="Arial" w:hAnsi="Arial" w:cs="Arial"/>
          <w:sz w:val="20"/>
          <w:szCs w:val="20"/>
        </w:rPr>
        <w:t>, particularly saponins and alkaloids, might be enhancing testosterone production by stimulating the steroidogenic enzymes in Leydig cells, which in turn raises circulating testosterone levels.</w:t>
      </w:r>
    </w:p>
    <w:p w14:paraId="23265E72" w14:textId="77777777" w:rsidR="00A40CE8" w:rsidRPr="00C46493" w:rsidRDefault="00BE29BA" w:rsidP="00A40CE8">
      <w:pPr>
        <w:spacing w:after="0" w:line="480" w:lineRule="auto"/>
        <w:jc w:val="both"/>
        <w:rPr>
          <w:rFonts w:ascii="Arial" w:hAnsi="Arial" w:cs="Arial"/>
          <w:sz w:val="20"/>
          <w:szCs w:val="20"/>
        </w:rPr>
      </w:pPr>
      <w:r w:rsidRPr="00C46493">
        <w:rPr>
          <w:rFonts w:ascii="Arial" w:hAnsi="Arial" w:cs="Arial"/>
          <w:sz w:val="20"/>
          <w:szCs w:val="20"/>
        </w:rPr>
        <w:t xml:space="preserve">The increase in testosterone at the 200 mg/kg dose aligns with findings from several earlier studies; for instance, </w:t>
      </w:r>
      <w:proofErr w:type="spellStart"/>
      <w:r w:rsidRPr="00C46493">
        <w:rPr>
          <w:rFonts w:ascii="Arial" w:hAnsi="Arial" w:cs="Arial"/>
          <w:sz w:val="20"/>
          <w:szCs w:val="20"/>
        </w:rPr>
        <w:t>Ralebona</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(2012) and </w:t>
      </w:r>
      <w:proofErr w:type="spellStart"/>
      <w:r w:rsidRPr="00C46493">
        <w:rPr>
          <w:rFonts w:ascii="Arial" w:hAnsi="Arial" w:cs="Arial"/>
          <w:sz w:val="20"/>
          <w:szCs w:val="20"/>
        </w:rPr>
        <w:t>Atsukwei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(2015) both reported elevated testosterone levels in Wistar rats treated with ethanolic extracts of </w:t>
      </w:r>
      <w:r w:rsidRPr="00C46493">
        <w:rPr>
          <w:rFonts w:ascii="Arial" w:hAnsi="Arial" w:cs="Arial"/>
          <w:i/>
          <w:sz w:val="20"/>
          <w:szCs w:val="20"/>
        </w:rPr>
        <w:t>G. kola</w:t>
      </w:r>
      <w:r w:rsidRPr="00C46493">
        <w:rPr>
          <w:rFonts w:ascii="Arial" w:hAnsi="Arial" w:cs="Arial"/>
          <w:sz w:val="20"/>
          <w:szCs w:val="20"/>
        </w:rPr>
        <w:t xml:space="preserve">. Similarly, </w:t>
      </w:r>
      <w:proofErr w:type="spellStart"/>
      <w:r w:rsidRPr="00C46493">
        <w:rPr>
          <w:rFonts w:ascii="Arial" w:hAnsi="Arial" w:cs="Arial"/>
          <w:sz w:val="20"/>
          <w:szCs w:val="20"/>
        </w:rPr>
        <w:t>Akpantah</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(2003) noted </w:t>
      </w:r>
      <w:r w:rsidRPr="00C46493">
        <w:rPr>
          <w:rFonts w:ascii="Arial" w:hAnsi="Arial" w:cs="Arial"/>
          <w:sz w:val="20"/>
          <w:szCs w:val="20"/>
        </w:rPr>
        <w:lastRenderedPageBreak/>
        <w:t xml:space="preserve">an increase in peripheral testosterone production in male Sprague-Dawley rats. These results collectively support the androgenic effects of </w:t>
      </w:r>
      <w:r w:rsidRPr="00C46493">
        <w:rPr>
          <w:rFonts w:ascii="Arial" w:hAnsi="Arial" w:cs="Arial"/>
          <w:i/>
          <w:sz w:val="20"/>
          <w:szCs w:val="20"/>
        </w:rPr>
        <w:t>Garcinia kola</w:t>
      </w:r>
      <w:r w:rsidRPr="00C46493">
        <w:rPr>
          <w:rFonts w:ascii="Arial" w:hAnsi="Arial" w:cs="Arial"/>
          <w:sz w:val="20"/>
          <w:szCs w:val="20"/>
        </w:rPr>
        <w:t xml:space="preserve">, especially when given as ethanolic extracts. However, it's interesting to note that Braide </w:t>
      </w:r>
      <w:r w:rsidRPr="00C46493">
        <w:rPr>
          <w:rFonts w:ascii="Arial" w:hAnsi="Arial" w:cs="Arial"/>
          <w:i/>
          <w:sz w:val="20"/>
          <w:szCs w:val="20"/>
        </w:rPr>
        <w:t>et al.</w:t>
      </w:r>
      <w:r w:rsidRPr="00C46493">
        <w:rPr>
          <w:rFonts w:ascii="Arial" w:hAnsi="Arial" w:cs="Arial"/>
          <w:sz w:val="20"/>
          <w:szCs w:val="20"/>
        </w:rPr>
        <w:t xml:space="preserve"> (2003) found a significant drop in serum testosterone levels in rats given methanolic extracts of </w:t>
      </w:r>
      <w:r w:rsidRPr="00C46493">
        <w:rPr>
          <w:rFonts w:ascii="Arial" w:hAnsi="Arial" w:cs="Arial"/>
          <w:i/>
          <w:sz w:val="20"/>
          <w:szCs w:val="20"/>
        </w:rPr>
        <w:t>Garcinia kola</w:t>
      </w:r>
      <w:r w:rsidRPr="00C46493">
        <w:rPr>
          <w:rFonts w:ascii="Arial" w:hAnsi="Arial" w:cs="Arial"/>
          <w:sz w:val="20"/>
          <w:szCs w:val="20"/>
        </w:rPr>
        <w:t xml:space="preserve">, while Abu </w:t>
      </w:r>
      <w:r w:rsidRPr="00C46493">
        <w:rPr>
          <w:rFonts w:ascii="Arial" w:hAnsi="Arial" w:cs="Arial"/>
          <w:i/>
          <w:sz w:val="20"/>
          <w:szCs w:val="20"/>
        </w:rPr>
        <w:t>et al</w:t>
      </w:r>
      <w:r w:rsidRPr="00C46493">
        <w:rPr>
          <w:rFonts w:ascii="Arial" w:hAnsi="Arial" w:cs="Arial"/>
          <w:sz w:val="20"/>
          <w:szCs w:val="20"/>
        </w:rPr>
        <w:t xml:space="preserve">. (2013) reported notable decreases in FSH, LH, and testosterone levels in albino rats. These conflicting results could stem from variations in extraction methods (methanolic vs. ethanolic vs. aqueous), dosage levels, treatment durations, and differences between species. Specifically regarding FSH levels, </w:t>
      </w:r>
      <w:proofErr w:type="spellStart"/>
      <w:r w:rsidRPr="00C46493">
        <w:rPr>
          <w:rFonts w:ascii="Arial" w:hAnsi="Arial" w:cs="Arial"/>
          <w:sz w:val="20"/>
          <w:szCs w:val="20"/>
        </w:rPr>
        <w:t>Airaodion</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(2020) and Yakubu and </w:t>
      </w:r>
      <w:proofErr w:type="spellStart"/>
      <w:r w:rsidRPr="00C46493">
        <w:rPr>
          <w:rFonts w:ascii="Arial" w:hAnsi="Arial" w:cs="Arial"/>
          <w:sz w:val="20"/>
          <w:szCs w:val="20"/>
        </w:rPr>
        <w:t>Quandri</w:t>
      </w:r>
      <w:proofErr w:type="spellEnd"/>
      <w:r w:rsidRPr="00C46493">
        <w:rPr>
          <w:rFonts w:ascii="Arial" w:hAnsi="Arial" w:cs="Arial"/>
          <w:sz w:val="20"/>
          <w:szCs w:val="20"/>
        </w:rPr>
        <w:t xml:space="preserve"> (2012) reported no significant effects on FSH levels in Wistar rats, which </w:t>
      </w:r>
      <w:r w:rsidR="005D23C2" w:rsidRPr="00C46493">
        <w:rPr>
          <w:rFonts w:ascii="Arial" w:hAnsi="Arial" w:cs="Arial"/>
          <w:sz w:val="20"/>
          <w:szCs w:val="20"/>
        </w:rPr>
        <w:t>contrast</w:t>
      </w:r>
      <w:r w:rsidRPr="00C46493">
        <w:rPr>
          <w:rFonts w:ascii="Arial" w:hAnsi="Arial" w:cs="Arial"/>
          <w:sz w:val="20"/>
          <w:szCs w:val="20"/>
        </w:rPr>
        <w:t xml:space="preserve"> with our finding of a significant increase in FSH at the 200 mg/kg dosage.</w:t>
      </w:r>
    </w:p>
    <w:p w14:paraId="1202091E" w14:textId="77777777" w:rsidR="00C81250" w:rsidRPr="00C46493" w:rsidRDefault="00C81250" w:rsidP="00A40CE8">
      <w:pPr>
        <w:spacing w:after="0" w:line="480" w:lineRule="auto"/>
        <w:jc w:val="both"/>
        <w:rPr>
          <w:rFonts w:ascii="Arial" w:hAnsi="Arial" w:cs="Arial"/>
          <w:sz w:val="20"/>
          <w:szCs w:val="20"/>
        </w:rPr>
      </w:pPr>
      <w:r w:rsidRPr="00C46493">
        <w:rPr>
          <w:rFonts w:ascii="Arial" w:hAnsi="Arial" w:cs="Arial"/>
          <w:sz w:val="20"/>
          <w:szCs w:val="20"/>
        </w:rPr>
        <w:t>The improvement in semen quality observed at 200 mg/kg indicates that Garcinia kola extract might be a useful tool for enhancing buck fertility, whether in natural mating or artificial insemination programs. These findings could also be relevant for other livestock species and even human fertility management, although specific trials for each species would be essential.</w:t>
      </w:r>
    </w:p>
    <w:p w14:paraId="7324853C" w14:textId="77777777" w:rsidR="00E314C0" w:rsidRPr="00C46493" w:rsidRDefault="00E314C0" w:rsidP="00E314C0">
      <w:pPr>
        <w:pStyle w:val="ListParagraph"/>
        <w:numPr>
          <w:ilvl w:val="0"/>
          <w:numId w:val="2"/>
        </w:numPr>
        <w:spacing w:after="0" w:line="480" w:lineRule="auto"/>
        <w:jc w:val="both"/>
        <w:rPr>
          <w:rFonts w:ascii="Arial" w:hAnsi="Arial" w:cs="Arial"/>
          <w:b/>
        </w:rPr>
      </w:pPr>
      <w:r w:rsidRPr="00C46493">
        <w:rPr>
          <w:rFonts w:ascii="Arial" w:hAnsi="Arial" w:cs="Arial"/>
          <w:b/>
        </w:rPr>
        <w:t>CONCLUSION</w:t>
      </w:r>
    </w:p>
    <w:p w14:paraId="5B18379F" w14:textId="77777777" w:rsidR="00E314C0" w:rsidRPr="00C46493" w:rsidRDefault="00E314C0" w:rsidP="00E314C0">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This study has shown that the ethanolic extract of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can significantly boost fertility in rabbit bucks, and it does so in a dose-dependent way. When administered at an optimal dose of 200 mg/kg body 12 hourly for eight weeks, there were notable improvements in various reproductive parameters. These included increases in semen volume, sperm motility, concentration, total count, viability, morphology, and membrane integrity. Alongside these enhancements in semen quality, there were also rises in key reproductive hormones—testosterone, luteinizing hormone, and </w:t>
      </w:r>
      <w:r w:rsidR="005D23C2" w:rsidRPr="00C46493">
        <w:rPr>
          <w:rFonts w:ascii="Arial" w:eastAsia="Times New Roman" w:hAnsi="Arial" w:cs="Arial"/>
          <w:sz w:val="20"/>
          <w:szCs w:val="20"/>
        </w:rPr>
        <w:t xml:space="preserve">follicle-stimulating hormone </w:t>
      </w:r>
      <w:r w:rsidRPr="00C46493">
        <w:rPr>
          <w:rFonts w:ascii="Arial" w:eastAsia="Times New Roman" w:hAnsi="Arial" w:cs="Arial"/>
          <w:sz w:val="20"/>
          <w:szCs w:val="20"/>
        </w:rPr>
        <w:t>indicating that bitter kola may work its magic by stimulating the hypothalamic-pituitary-gonadal axis.</w:t>
      </w:r>
    </w:p>
    <w:p w14:paraId="4B1AAD19" w14:textId="77777777" w:rsidR="00E314C0" w:rsidRPr="00C46493" w:rsidRDefault="00E314C0" w:rsidP="00E314C0">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The rich phytochemical profile of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especially its rich content of flavonoids, alkaloids, saponins, and tannins, contributes to its strong antioxidant and androgenic effects. These bioactive compounds help fight oxidative stress, shield sperm from cellular damage, and boost the activity of steroidogenic enzymes in testicular cells. The study highlighted a dose-dependent </w:t>
      </w:r>
      <w:r w:rsidR="005D23C2" w:rsidRPr="00C46493">
        <w:rPr>
          <w:rFonts w:ascii="Arial" w:eastAsia="Times New Roman" w:hAnsi="Arial" w:cs="Arial"/>
          <w:sz w:val="20"/>
          <w:szCs w:val="20"/>
        </w:rPr>
        <w:t>response, with less effective and</w:t>
      </w:r>
      <w:r w:rsidRPr="00C46493">
        <w:rPr>
          <w:rFonts w:ascii="Arial" w:eastAsia="Times New Roman" w:hAnsi="Arial" w:cs="Arial"/>
          <w:sz w:val="20"/>
          <w:szCs w:val="20"/>
        </w:rPr>
        <w:t xml:space="preserve"> no results at 100 mg/kg and 400 mg/kg</w:t>
      </w:r>
      <w:r w:rsidR="005D23C2" w:rsidRPr="00C46493">
        <w:rPr>
          <w:rFonts w:ascii="Arial" w:eastAsia="Times New Roman" w:hAnsi="Arial" w:cs="Arial"/>
          <w:sz w:val="20"/>
          <w:szCs w:val="20"/>
        </w:rPr>
        <w:t xml:space="preserve"> respectively</w:t>
      </w:r>
      <w:r w:rsidRPr="00C46493">
        <w:rPr>
          <w:rFonts w:ascii="Arial" w:eastAsia="Times New Roman" w:hAnsi="Arial" w:cs="Arial"/>
          <w:sz w:val="20"/>
          <w:szCs w:val="20"/>
        </w:rPr>
        <w:t>, underscoring the need for precise dosing to maximize reproductive benefits while steering clear of potential toxicity from too much phytochemical intake.</w:t>
      </w:r>
    </w:p>
    <w:p w14:paraId="596F65DB" w14:textId="77777777" w:rsidR="00E314C0" w:rsidRPr="00C46493" w:rsidRDefault="00E314C0" w:rsidP="00E314C0">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lastRenderedPageBreak/>
        <w:t xml:space="preserve">These findings could have real-world applications in rabbit production systems, suggesting that using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extract at 200 mg/kg might be a cost-effective, natural alternative to synthetic fertility enhancers in breeding programs. This extract could be especially beneficial in natural mating systems and artificial insemination protocols, where the fertility of bucks is crucial for reproductive success. Future research should delve into the long-term safety, the molecular mechanisms at play, and potential uses in other livestock species, as well as in human fertility management. Overall, this study opens up exciting avenues for enhancing reproductive health in various contexts.</w:t>
      </w:r>
    </w:p>
    <w:p w14:paraId="21A3713B" w14:textId="77777777" w:rsidR="00307EC8" w:rsidRPr="00C46493" w:rsidRDefault="00307EC8" w:rsidP="00307EC8">
      <w:pPr>
        <w:spacing w:after="0" w:line="480" w:lineRule="auto"/>
        <w:jc w:val="both"/>
        <w:rPr>
          <w:rFonts w:ascii="Arial" w:hAnsi="Arial" w:cs="Arial"/>
          <w:b/>
        </w:rPr>
      </w:pPr>
      <w:r w:rsidRPr="00C46493">
        <w:rPr>
          <w:rFonts w:ascii="Arial" w:hAnsi="Arial" w:cs="Arial"/>
          <w:b/>
        </w:rPr>
        <w:t xml:space="preserve">ETHICAL APPROVAL  </w:t>
      </w:r>
    </w:p>
    <w:p w14:paraId="163BA2C7" w14:textId="77777777" w:rsidR="00307EC8" w:rsidRPr="00C46493" w:rsidRDefault="00307EC8" w:rsidP="00307EC8">
      <w:pPr>
        <w:spacing w:after="0" w:line="480" w:lineRule="auto"/>
        <w:jc w:val="both"/>
        <w:rPr>
          <w:rFonts w:ascii="Arial" w:hAnsi="Arial" w:cs="Arial"/>
          <w:sz w:val="20"/>
          <w:szCs w:val="20"/>
        </w:rPr>
      </w:pPr>
      <w:r w:rsidRPr="00C46493">
        <w:rPr>
          <w:rFonts w:ascii="Arial" w:hAnsi="Arial" w:cs="Arial"/>
          <w:sz w:val="20"/>
          <w:szCs w:val="20"/>
        </w:rPr>
        <w:t>The authors affirm that they adhere to the "Principles of Laboratory Animal Care" (NIH publication No. 85-23, revised 1985) and all relevant national regulations. The appropriate ethics committee has thoroughly reviewed and approved all experimental procedures.</w:t>
      </w:r>
    </w:p>
    <w:p w14:paraId="08E06491" w14:textId="77777777" w:rsidR="00307EC8" w:rsidRPr="00C46493" w:rsidRDefault="00307EC8" w:rsidP="00307EC8">
      <w:pPr>
        <w:spacing w:after="0" w:line="480" w:lineRule="auto"/>
        <w:jc w:val="both"/>
        <w:rPr>
          <w:rFonts w:ascii="Arial" w:hAnsi="Arial" w:cs="Arial"/>
          <w:b/>
        </w:rPr>
      </w:pPr>
      <w:r w:rsidRPr="00C46493">
        <w:rPr>
          <w:rFonts w:ascii="Arial" w:hAnsi="Arial" w:cs="Arial"/>
          <w:b/>
        </w:rPr>
        <w:t xml:space="preserve">DISCLAIMER (ARTIFICIAL INTELLIGENCE)  </w:t>
      </w:r>
    </w:p>
    <w:p w14:paraId="237ED1F7" w14:textId="77777777" w:rsidR="00307EC8" w:rsidRPr="00C46493" w:rsidRDefault="005D23C2" w:rsidP="00307EC8">
      <w:pPr>
        <w:spacing w:after="0" w:line="480" w:lineRule="auto"/>
        <w:jc w:val="both"/>
        <w:rPr>
          <w:rFonts w:ascii="Arial" w:hAnsi="Arial" w:cs="Arial"/>
          <w:sz w:val="20"/>
          <w:szCs w:val="20"/>
        </w:rPr>
      </w:pPr>
      <w:r w:rsidRPr="00C46493">
        <w:rPr>
          <w:rFonts w:ascii="Arial" w:hAnsi="Arial" w:cs="Arial"/>
          <w:sz w:val="20"/>
          <w:szCs w:val="20"/>
        </w:rPr>
        <w:t>The authors</w:t>
      </w:r>
      <w:r w:rsidR="00307EC8" w:rsidRPr="00C46493">
        <w:rPr>
          <w:rFonts w:ascii="Arial" w:hAnsi="Arial" w:cs="Arial"/>
          <w:sz w:val="20"/>
          <w:szCs w:val="20"/>
        </w:rPr>
        <w:t xml:space="preserve"> assure that no generative artificial intelligence tools, including Large Language Models (like ChatGPT, COPILOT, and similar platforms) or text-to-image generation software, were used in the creation or editing of this manuscript.</w:t>
      </w:r>
    </w:p>
    <w:p w14:paraId="01B42E4C" w14:textId="77777777" w:rsidR="00205BD6" w:rsidRPr="00C46493" w:rsidRDefault="00205BD6" w:rsidP="00307EC8">
      <w:pPr>
        <w:spacing w:after="0" w:line="480" w:lineRule="auto"/>
        <w:jc w:val="both"/>
        <w:rPr>
          <w:rFonts w:ascii="Arial" w:eastAsiaTheme="minorEastAsia" w:hAnsi="Arial" w:cs="Arial"/>
          <w:sz w:val="20"/>
          <w:szCs w:val="20"/>
        </w:rPr>
      </w:pPr>
    </w:p>
    <w:p w14:paraId="7860D207" w14:textId="77777777" w:rsidR="00467910" w:rsidRPr="00C46493" w:rsidRDefault="00467910" w:rsidP="00467910">
      <w:pPr>
        <w:spacing w:after="0" w:line="480" w:lineRule="auto"/>
        <w:jc w:val="both"/>
        <w:rPr>
          <w:rFonts w:ascii="Arial" w:eastAsia="Times New Roman" w:hAnsi="Arial" w:cs="Arial"/>
          <w:b/>
        </w:rPr>
      </w:pPr>
      <w:r w:rsidRPr="00C46493">
        <w:rPr>
          <w:rFonts w:ascii="Arial" w:eastAsia="Times New Roman" w:hAnsi="Arial" w:cs="Arial"/>
          <w:b/>
        </w:rPr>
        <w:t>REFERENCES</w:t>
      </w:r>
    </w:p>
    <w:p w14:paraId="35664E22" w14:textId="77777777" w:rsidR="00467910" w:rsidRPr="00C46493" w:rsidRDefault="00467910" w:rsidP="00467910">
      <w:pPr>
        <w:pStyle w:val="whitespace-normal"/>
        <w:spacing w:before="0" w:beforeAutospacing="0" w:after="0" w:afterAutospacing="0"/>
        <w:rPr>
          <w:rFonts w:ascii="Arial" w:hAnsi="Arial" w:cs="Arial"/>
          <w:sz w:val="20"/>
          <w:szCs w:val="20"/>
        </w:rPr>
      </w:pPr>
      <w:r w:rsidRPr="00C46493">
        <w:rPr>
          <w:rFonts w:ascii="Arial" w:hAnsi="Arial" w:cs="Arial"/>
          <w:sz w:val="20"/>
          <w:szCs w:val="20"/>
        </w:rPr>
        <w:t xml:space="preserve">Abu, A. H., </w:t>
      </w:r>
      <w:proofErr w:type="spellStart"/>
      <w:r w:rsidRPr="00C46493">
        <w:rPr>
          <w:rFonts w:ascii="Arial" w:hAnsi="Arial" w:cs="Arial"/>
          <w:sz w:val="20"/>
          <w:szCs w:val="20"/>
        </w:rPr>
        <w:t>Amuta</w:t>
      </w:r>
      <w:proofErr w:type="spellEnd"/>
      <w:r w:rsidRPr="00C46493">
        <w:rPr>
          <w:rFonts w:ascii="Arial" w:hAnsi="Arial" w:cs="Arial"/>
          <w:sz w:val="20"/>
          <w:szCs w:val="20"/>
        </w:rPr>
        <w:t xml:space="preserve">, P. O., Buba, E., &amp; Inusa, T. R. (2013). Evaluation of </w:t>
      </w:r>
      <w:proofErr w:type="spellStart"/>
      <w:r w:rsidRPr="00C46493">
        <w:rPr>
          <w:rFonts w:ascii="Arial" w:hAnsi="Arial" w:cs="Arial"/>
          <w:sz w:val="20"/>
          <w:szCs w:val="20"/>
        </w:rPr>
        <w:t>antispermatogenic</w:t>
      </w:r>
      <w:proofErr w:type="spellEnd"/>
      <w:r w:rsidRPr="00C46493">
        <w:rPr>
          <w:rFonts w:ascii="Arial" w:hAnsi="Arial" w:cs="Arial"/>
          <w:sz w:val="20"/>
          <w:szCs w:val="20"/>
        </w:rPr>
        <w:t xml:space="preserve"> effect of  </w:t>
      </w:r>
    </w:p>
    <w:p w14:paraId="30D03503" w14:textId="77777777" w:rsidR="00467910" w:rsidRPr="00C46493" w:rsidRDefault="00467910" w:rsidP="00467910">
      <w:pPr>
        <w:pStyle w:val="whitespace-normal"/>
        <w:spacing w:before="0" w:beforeAutospacing="0" w:after="0" w:afterAutospacing="0"/>
        <w:rPr>
          <w:rFonts w:ascii="Arial" w:hAnsi="Arial" w:cs="Arial"/>
          <w:sz w:val="20"/>
          <w:szCs w:val="20"/>
        </w:rPr>
      </w:pPr>
      <w:r w:rsidRPr="00C46493">
        <w:rPr>
          <w:rFonts w:ascii="Arial" w:hAnsi="Arial" w:cs="Arial"/>
          <w:sz w:val="20"/>
          <w:szCs w:val="20"/>
        </w:rPr>
        <w:t xml:space="preserve">            Garcinia kola seed extract in albino rats. </w:t>
      </w:r>
      <w:r w:rsidRPr="00C46493">
        <w:rPr>
          <w:rStyle w:val="Emphasis"/>
          <w:rFonts w:ascii="Arial" w:eastAsiaTheme="majorEastAsia" w:hAnsi="Arial" w:cs="Arial"/>
          <w:sz w:val="20"/>
          <w:szCs w:val="20"/>
        </w:rPr>
        <w:t>Asian Pacific Journal of Reproduction</w:t>
      </w:r>
      <w:r w:rsidRPr="00C46493">
        <w:rPr>
          <w:rFonts w:ascii="Arial" w:hAnsi="Arial" w:cs="Arial"/>
          <w:sz w:val="20"/>
          <w:szCs w:val="20"/>
        </w:rPr>
        <w:t xml:space="preserve">, </w:t>
      </w:r>
      <w:r w:rsidRPr="00C46493">
        <w:rPr>
          <w:rStyle w:val="Emphasis"/>
          <w:rFonts w:ascii="Arial" w:eastAsiaTheme="majorEastAsia" w:hAnsi="Arial" w:cs="Arial"/>
          <w:sz w:val="20"/>
          <w:szCs w:val="20"/>
        </w:rPr>
        <w:t>2</w:t>
      </w:r>
      <w:r w:rsidRPr="00C46493">
        <w:rPr>
          <w:rFonts w:ascii="Arial" w:hAnsi="Arial" w:cs="Arial"/>
          <w:sz w:val="20"/>
          <w:szCs w:val="20"/>
        </w:rPr>
        <w:t>(1), 15–18.</w:t>
      </w:r>
    </w:p>
    <w:p w14:paraId="3E8E729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Adesanya, O. A., Oluyemi, K. A., </w:t>
      </w:r>
      <w:proofErr w:type="spellStart"/>
      <w:r w:rsidRPr="00C46493">
        <w:rPr>
          <w:rFonts w:ascii="Arial" w:hAnsi="Arial" w:cs="Arial"/>
          <w:sz w:val="20"/>
          <w:szCs w:val="20"/>
        </w:rPr>
        <w:t>Olusori</w:t>
      </w:r>
      <w:proofErr w:type="spellEnd"/>
      <w:r w:rsidRPr="00C46493">
        <w:rPr>
          <w:rFonts w:ascii="Arial" w:hAnsi="Arial" w:cs="Arial"/>
          <w:sz w:val="20"/>
          <w:szCs w:val="20"/>
        </w:rPr>
        <w:t xml:space="preserve">, D. A., </w:t>
      </w:r>
      <w:proofErr w:type="spellStart"/>
      <w:r w:rsidRPr="00C46493">
        <w:rPr>
          <w:rFonts w:ascii="Arial" w:hAnsi="Arial" w:cs="Arial"/>
          <w:sz w:val="20"/>
          <w:szCs w:val="20"/>
        </w:rPr>
        <w:t>Omotuyi</w:t>
      </w:r>
      <w:proofErr w:type="spellEnd"/>
      <w:r w:rsidRPr="00C46493">
        <w:rPr>
          <w:rFonts w:ascii="Arial" w:hAnsi="Arial" w:cs="Arial"/>
          <w:sz w:val="20"/>
          <w:szCs w:val="20"/>
        </w:rPr>
        <w:t xml:space="preserve">, I. O., </w:t>
      </w:r>
      <w:proofErr w:type="spellStart"/>
      <w:r w:rsidRPr="00C46493">
        <w:rPr>
          <w:rFonts w:ascii="Arial" w:hAnsi="Arial" w:cs="Arial"/>
          <w:sz w:val="20"/>
          <w:szCs w:val="20"/>
        </w:rPr>
        <w:t>Okwuonu</w:t>
      </w:r>
      <w:proofErr w:type="spellEnd"/>
      <w:r w:rsidRPr="00C46493">
        <w:rPr>
          <w:rFonts w:ascii="Arial" w:hAnsi="Arial" w:cs="Arial"/>
          <w:sz w:val="20"/>
          <w:szCs w:val="20"/>
        </w:rPr>
        <w:t xml:space="preserve">, C. U., </w:t>
      </w:r>
      <w:proofErr w:type="spellStart"/>
      <w:r w:rsidRPr="00C46493">
        <w:rPr>
          <w:rFonts w:ascii="Arial" w:hAnsi="Arial" w:cs="Arial"/>
          <w:sz w:val="20"/>
          <w:szCs w:val="20"/>
        </w:rPr>
        <w:t>Ukwenya</w:t>
      </w:r>
      <w:proofErr w:type="spellEnd"/>
      <w:r w:rsidRPr="00C46493">
        <w:rPr>
          <w:rFonts w:ascii="Arial" w:hAnsi="Arial" w:cs="Arial"/>
          <w:sz w:val="20"/>
          <w:szCs w:val="20"/>
        </w:rPr>
        <w:t xml:space="preserve">, O. V., &amp; Adesanya, A. A. (2007). </w:t>
      </w:r>
      <w:proofErr w:type="spellStart"/>
      <w:r w:rsidRPr="00C46493">
        <w:rPr>
          <w:rFonts w:ascii="Arial" w:hAnsi="Arial" w:cs="Arial"/>
          <w:sz w:val="20"/>
          <w:szCs w:val="20"/>
        </w:rPr>
        <w:t>Micromorphometric</w:t>
      </w:r>
      <w:proofErr w:type="spellEnd"/>
      <w:r w:rsidRPr="00C46493">
        <w:rPr>
          <w:rFonts w:ascii="Arial" w:hAnsi="Arial" w:cs="Arial"/>
          <w:sz w:val="20"/>
          <w:szCs w:val="20"/>
        </w:rPr>
        <w:t xml:space="preserve"> and stereological effects of ethanolic extracts of Garcinia cambogia seeds on the testes and </w:t>
      </w:r>
      <w:proofErr w:type="spellStart"/>
      <w:r w:rsidRPr="00C46493">
        <w:rPr>
          <w:rFonts w:ascii="Arial" w:hAnsi="Arial" w:cs="Arial"/>
          <w:sz w:val="20"/>
          <w:szCs w:val="20"/>
        </w:rPr>
        <w:t>epididymides</w:t>
      </w:r>
      <w:proofErr w:type="spellEnd"/>
      <w:r w:rsidRPr="00C46493">
        <w:rPr>
          <w:rFonts w:ascii="Arial" w:hAnsi="Arial" w:cs="Arial"/>
          <w:sz w:val="20"/>
          <w:szCs w:val="20"/>
        </w:rPr>
        <w:t xml:space="preserve"> of adult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Emphasis"/>
          <w:rFonts w:ascii="Arial" w:eastAsiaTheme="majorEastAsia" w:hAnsi="Arial" w:cs="Arial"/>
          <w:sz w:val="20"/>
          <w:szCs w:val="20"/>
        </w:rPr>
        <w:t>International Journal of Alternate Medicine</w:t>
      </w:r>
      <w:r w:rsidRPr="00C46493">
        <w:rPr>
          <w:rFonts w:ascii="Arial" w:hAnsi="Arial" w:cs="Arial"/>
          <w:sz w:val="20"/>
          <w:szCs w:val="20"/>
        </w:rPr>
        <w:t xml:space="preserve">, </w:t>
      </w:r>
      <w:r w:rsidRPr="00C46493">
        <w:rPr>
          <w:rStyle w:val="Emphasis"/>
          <w:rFonts w:ascii="Arial" w:eastAsiaTheme="majorEastAsia" w:hAnsi="Arial" w:cs="Arial"/>
          <w:sz w:val="20"/>
          <w:szCs w:val="20"/>
        </w:rPr>
        <w:t>5</w:t>
      </w:r>
      <w:r w:rsidRPr="00C46493">
        <w:rPr>
          <w:rFonts w:ascii="Arial" w:hAnsi="Arial" w:cs="Arial"/>
          <w:sz w:val="20"/>
          <w:szCs w:val="20"/>
        </w:rPr>
        <w:t>(1), 1–9.</w:t>
      </w:r>
    </w:p>
    <w:p w14:paraId="79CE845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Agarwal, A. (2003). Significance of oxidative stress and sperm chromatin damage in male infertility. </w:t>
      </w:r>
      <w:r w:rsidRPr="00C46493">
        <w:rPr>
          <w:rStyle w:val="Emphasis"/>
          <w:rFonts w:ascii="Arial" w:eastAsiaTheme="majorEastAsia" w:hAnsi="Arial" w:cs="Arial"/>
          <w:sz w:val="20"/>
          <w:szCs w:val="20"/>
        </w:rPr>
        <w:t>Male Fertility and Lipid Metabolism</w:t>
      </w:r>
      <w:r w:rsidRPr="00C46493">
        <w:rPr>
          <w:rFonts w:ascii="Arial" w:hAnsi="Arial" w:cs="Arial"/>
          <w:sz w:val="20"/>
          <w:szCs w:val="20"/>
        </w:rPr>
        <w:t xml:space="preserve">, </w:t>
      </w:r>
      <w:r w:rsidRPr="00C46493">
        <w:rPr>
          <w:rStyle w:val="Emphasis"/>
          <w:rFonts w:ascii="Arial" w:eastAsiaTheme="majorEastAsia" w:hAnsi="Arial" w:cs="Arial"/>
          <w:sz w:val="20"/>
          <w:szCs w:val="20"/>
        </w:rPr>
        <w:t>13</w:t>
      </w:r>
      <w:r w:rsidRPr="00C46493">
        <w:rPr>
          <w:rFonts w:ascii="Arial" w:hAnsi="Arial" w:cs="Arial"/>
          <w:sz w:val="20"/>
          <w:szCs w:val="20"/>
        </w:rPr>
        <w:t>, 157–183.</w:t>
      </w:r>
    </w:p>
    <w:p w14:paraId="02B7B8A7"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Airaodion</w:t>
      </w:r>
      <w:proofErr w:type="spellEnd"/>
      <w:r w:rsidRPr="00C46493">
        <w:rPr>
          <w:rFonts w:ascii="Arial" w:hAnsi="Arial" w:cs="Arial"/>
          <w:sz w:val="20"/>
          <w:szCs w:val="20"/>
        </w:rPr>
        <w:t xml:space="preserve">, A. I., </w:t>
      </w:r>
      <w:proofErr w:type="spellStart"/>
      <w:r w:rsidRPr="00C46493">
        <w:rPr>
          <w:rFonts w:ascii="Arial" w:hAnsi="Arial" w:cs="Arial"/>
          <w:sz w:val="20"/>
          <w:szCs w:val="20"/>
        </w:rPr>
        <w:t>Ekenjoku</w:t>
      </w:r>
      <w:proofErr w:type="spellEnd"/>
      <w:r w:rsidRPr="00C46493">
        <w:rPr>
          <w:rFonts w:ascii="Arial" w:hAnsi="Arial" w:cs="Arial"/>
          <w:sz w:val="20"/>
          <w:szCs w:val="20"/>
        </w:rPr>
        <w:t xml:space="preserve">, J. A., </w:t>
      </w:r>
      <w:proofErr w:type="spellStart"/>
      <w:r w:rsidRPr="00C46493">
        <w:rPr>
          <w:rFonts w:ascii="Arial" w:hAnsi="Arial" w:cs="Arial"/>
          <w:sz w:val="20"/>
          <w:szCs w:val="20"/>
        </w:rPr>
        <w:t>Ngwuogu</w:t>
      </w:r>
      <w:proofErr w:type="spellEnd"/>
      <w:r w:rsidRPr="00C46493">
        <w:rPr>
          <w:rFonts w:ascii="Arial" w:hAnsi="Arial" w:cs="Arial"/>
          <w:sz w:val="20"/>
          <w:szCs w:val="20"/>
        </w:rPr>
        <w:t xml:space="preserve">, A. C., Ngwuogu, K. O., </w:t>
      </w:r>
      <w:proofErr w:type="spellStart"/>
      <w:r w:rsidRPr="00C46493">
        <w:rPr>
          <w:rFonts w:ascii="Arial" w:hAnsi="Arial" w:cs="Arial"/>
          <w:sz w:val="20"/>
          <w:szCs w:val="20"/>
        </w:rPr>
        <w:t>Megwas</w:t>
      </w:r>
      <w:proofErr w:type="spellEnd"/>
      <w:r w:rsidRPr="00C46493">
        <w:rPr>
          <w:rFonts w:ascii="Arial" w:hAnsi="Arial" w:cs="Arial"/>
          <w:sz w:val="20"/>
          <w:szCs w:val="20"/>
        </w:rPr>
        <w:t xml:space="preserve">, A. U., &amp; Ime, A. U. (2020). </w:t>
      </w:r>
      <w:proofErr w:type="spellStart"/>
      <w:r w:rsidRPr="00C46493">
        <w:rPr>
          <w:rFonts w:ascii="Arial" w:hAnsi="Arial" w:cs="Arial"/>
          <w:sz w:val="20"/>
          <w:szCs w:val="20"/>
        </w:rPr>
        <w:t>Antaphrodisiac</w:t>
      </w:r>
      <w:proofErr w:type="spellEnd"/>
      <w:r w:rsidRPr="00C46493">
        <w:rPr>
          <w:rFonts w:ascii="Arial" w:hAnsi="Arial" w:cs="Arial"/>
          <w:sz w:val="20"/>
          <w:szCs w:val="20"/>
        </w:rPr>
        <w:t xml:space="preserve"> potential of bitter kola (Garcinia kola) seeds in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Emphasis"/>
          <w:rFonts w:ascii="Arial" w:eastAsiaTheme="majorEastAsia" w:hAnsi="Arial" w:cs="Arial"/>
          <w:sz w:val="20"/>
          <w:szCs w:val="20"/>
        </w:rPr>
        <w:t>International Journal of Bio-Science and Biotechnology</w:t>
      </w:r>
      <w:r w:rsidRPr="00C46493">
        <w:rPr>
          <w:rFonts w:ascii="Arial" w:hAnsi="Arial" w:cs="Arial"/>
          <w:sz w:val="20"/>
          <w:szCs w:val="20"/>
        </w:rPr>
        <w:t xml:space="preserve">, </w:t>
      </w:r>
      <w:r w:rsidRPr="00C46493">
        <w:rPr>
          <w:rStyle w:val="Emphasis"/>
          <w:rFonts w:ascii="Arial" w:eastAsiaTheme="majorEastAsia" w:hAnsi="Arial" w:cs="Arial"/>
          <w:sz w:val="20"/>
          <w:szCs w:val="20"/>
        </w:rPr>
        <w:t>12</w:t>
      </w:r>
      <w:r w:rsidRPr="00C46493">
        <w:rPr>
          <w:rFonts w:ascii="Arial" w:hAnsi="Arial" w:cs="Arial"/>
          <w:sz w:val="20"/>
          <w:szCs w:val="20"/>
        </w:rPr>
        <w:t>, 36–43.</w:t>
      </w:r>
    </w:p>
    <w:p w14:paraId="5D33973D"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Akpantah</w:t>
      </w:r>
      <w:proofErr w:type="spellEnd"/>
      <w:r w:rsidRPr="00C46493">
        <w:rPr>
          <w:rFonts w:ascii="Arial" w:hAnsi="Arial" w:cs="Arial"/>
          <w:sz w:val="20"/>
          <w:szCs w:val="20"/>
        </w:rPr>
        <w:t xml:space="preserve">, A. O., </w:t>
      </w:r>
      <w:proofErr w:type="spellStart"/>
      <w:r w:rsidRPr="00C46493">
        <w:rPr>
          <w:rFonts w:ascii="Arial" w:hAnsi="Arial" w:cs="Arial"/>
          <w:sz w:val="20"/>
          <w:szCs w:val="20"/>
        </w:rPr>
        <w:t>Oremosu</w:t>
      </w:r>
      <w:proofErr w:type="spellEnd"/>
      <w:r w:rsidRPr="00C46493">
        <w:rPr>
          <w:rFonts w:ascii="Arial" w:hAnsi="Arial" w:cs="Arial"/>
          <w:sz w:val="20"/>
          <w:szCs w:val="20"/>
        </w:rPr>
        <w:t xml:space="preserve">, A. A., Ajala, M. O., Noronha, C. C., &amp; Okanlawon, A. O. (2003). The effect of crude extract of Garcinia kola seed on the histology and hormonal milieu of male </w:t>
      </w:r>
      <w:proofErr w:type="spellStart"/>
      <w:r w:rsidRPr="00C46493">
        <w:rPr>
          <w:rFonts w:ascii="Arial" w:hAnsi="Arial" w:cs="Arial"/>
          <w:sz w:val="20"/>
          <w:szCs w:val="20"/>
        </w:rPr>
        <w:t>sprague-dawley</w:t>
      </w:r>
      <w:proofErr w:type="spellEnd"/>
      <w:r w:rsidRPr="00C46493">
        <w:rPr>
          <w:rFonts w:ascii="Arial" w:hAnsi="Arial" w:cs="Arial"/>
          <w:sz w:val="20"/>
          <w:szCs w:val="20"/>
        </w:rPr>
        <w:t xml:space="preserve"> rats reproductive organs. </w:t>
      </w:r>
      <w:r w:rsidRPr="00C46493">
        <w:rPr>
          <w:rStyle w:val="Emphasis"/>
          <w:rFonts w:ascii="Arial" w:eastAsiaTheme="majorEastAsia" w:hAnsi="Arial" w:cs="Arial"/>
          <w:sz w:val="20"/>
          <w:szCs w:val="20"/>
        </w:rPr>
        <w:t>Nigerian Journal of Health and Biomedical Sciences</w:t>
      </w:r>
      <w:r w:rsidRPr="00C46493">
        <w:rPr>
          <w:rFonts w:ascii="Arial" w:hAnsi="Arial" w:cs="Arial"/>
          <w:sz w:val="20"/>
          <w:szCs w:val="20"/>
        </w:rPr>
        <w:t xml:space="preserve">, </w:t>
      </w:r>
      <w:r w:rsidRPr="00C46493">
        <w:rPr>
          <w:rStyle w:val="Emphasis"/>
          <w:rFonts w:ascii="Arial" w:eastAsiaTheme="majorEastAsia" w:hAnsi="Arial" w:cs="Arial"/>
          <w:sz w:val="20"/>
          <w:szCs w:val="20"/>
        </w:rPr>
        <w:t>2</w:t>
      </w:r>
      <w:r w:rsidRPr="00C46493">
        <w:rPr>
          <w:rFonts w:ascii="Arial" w:hAnsi="Arial" w:cs="Arial"/>
          <w:sz w:val="20"/>
          <w:szCs w:val="20"/>
        </w:rPr>
        <w:t>(1), 40–46.</w:t>
      </w:r>
    </w:p>
    <w:p w14:paraId="1F3DDE53"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Atiq, N., Ullah, N., Andrabi, S. M. H., &amp; Akhter, S. (2011). Comparison of photometer with improved Neubauer hemocytometer and Makler counting chamber for sperm concentration measurement in cattle. </w:t>
      </w:r>
      <w:r w:rsidRPr="00C46493">
        <w:rPr>
          <w:rFonts w:ascii="Arial" w:hAnsi="Arial" w:cs="Arial"/>
          <w:i/>
          <w:iCs/>
          <w:sz w:val="20"/>
          <w:szCs w:val="20"/>
        </w:rPr>
        <w:t>Pakistan Veterinary Journal</w:t>
      </w:r>
      <w:r w:rsidRPr="00C46493">
        <w:rPr>
          <w:rFonts w:ascii="Arial" w:hAnsi="Arial" w:cs="Arial"/>
          <w:sz w:val="20"/>
          <w:szCs w:val="20"/>
        </w:rPr>
        <w:t xml:space="preserve">, </w:t>
      </w:r>
      <w:r w:rsidRPr="00C46493">
        <w:rPr>
          <w:rFonts w:ascii="Arial" w:hAnsi="Arial" w:cs="Arial"/>
          <w:i/>
          <w:iCs/>
          <w:sz w:val="20"/>
          <w:szCs w:val="20"/>
        </w:rPr>
        <w:t>31</w:t>
      </w:r>
      <w:r w:rsidRPr="00C46493">
        <w:rPr>
          <w:rFonts w:ascii="Arial" w:hAnsi="Arial" w:cs="Arial"/>
          <w:sz w:val="20"/>
          <w:szCs w:val="20"/>
        </w:rPr>
        <w:t>(1), 83–84.</w:t>
      </w:r>
    </w:p>
    <w:p w14:paraId="2386D47F"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Atsukwei</w:t>
      </w:r>
      <w:proofErr w:type="spellEnd"/>
      <w:r w:rsidRPr="00C46493">
        <w:rPr>
          <w:rFonts w:ascii="Arial" w:hAnsi="Arial" w:cs="Arial"/>
          <w:sz w:val="20"/>
          <w:szCs w:val="20"/>
        </w:rPr>
        <w:t xml:space="preserve">, D., Odeh, S., &amp; </w:t>
      </w:r>
      <w:proofErr w:type="spellStart"/>
      <w:r w:rsidRPr="00C46493">
        <w:rPr>
          <w:rFonts w:ascii="Arial" w:hAnsi="Arial" w:cs="Arial"/>
          <w:sz w:val="20"/>
          <w:szCs w:val="20"/>
        </w:rPr>
        <w:t>Toryila</w:t>
      </w:r>
      <w:proofErr w:type="spellEnd"/>
      <w:r w:rsidRPr="00C46493">
        <w:rPr>
          <w:rFonts w:ascii="Arial" w:hAnsi="Arial" w:cs="Arial"/>
          <w:sz w:val="20"/>
          <w:szCs w:val="20"/>
        </w:rPr>
        <w:t xml:space="preserve">, J. (2015). Effect of ethanolic extract of Garcinia kola seed on some reproductive parameters of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Emphasis"/>
          <w:rFonts w:ascii="Arial" w:eastAsiaTheme="majorEastAsia" w:hAnsi="Arial" w:cs="Arial"/>
          <w:sz w:val="20"/>
          <w:szCs w:val="20"/>
        </w:rPr>
        <w:t>Medicine, Biology</w:t>
      </w:r>
      <w:r w:rsidRPr="00C46493">
        <w:rPr>
          <w:rFonts w:ascii="Arial" w:hAnsi="Arial" w:cs="Arial"/>
          <w:sz w:val="20"/>
          <w:szCs w:val="20"/>
        </w:rPr>
        <w:t xml:space="preserve">, </w:t>
      </w:r>
      <w:r w:rsidRPr="00C46493">
        <w:rPr>
          <w:rStyle w:val="Emphasis"/>
          <w:rFonts w:ascii="Arial" w:eastAsiaTheme="majorEastAsia" w:hAnsi="Arial" w:cs="Arial"/>
          <w:sz w:val="20"/>
          <w:szCs w:val="20"/>
        </w:rPr>
        <w:t>3</w:t>
      </w:r>
      <w:r w:rsidRPr="00C46493">
        <w:rPr>
          <w:rFonts w:ascii="Arial" w:hAnsi="Arial" w:cs="Arial"/>
          <w:sz w:val="20"/>
          <w:szCs w:val="20"/>
        </w:rPr>
        <w:t>(2), 25–27.</w:t>
      </w:r>
    </w:p>
    <w:p w14:paraId="0692C469"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Bitto, I. I., &amp; </w:t>
      </w:r>
      <w:proofErr w:type="spellStart"/>
      <w:r w:rsidRPr="00C46493">
        <w:rPr>
          <w:rFonts w:ascii="Arial" w:hAnsi="Arial" w:cs="Arial"/>
          <w:sz w:val="20"/>
          <w:szCs w:val="20"/>
        </w:rPr>
        <w:t>Egbunike</w:t>
      </w:r>
      <w:proofErr w:type="spellEnd"/>
      <w:r w:rsidRPr="00C46493">
        <w:rPr>
          <w:rFonts w:ascii="Arial" w:hAnsi="Arial" w:cs="Arial"/>
          <w:sz w:val="20"/>
          <w:szCs w:val="20"/>
        </w:rPr>
        <w:t xml:space="preserve">, G. N. (2012). The semen characteristics of pubertal west African dwarf bucks. </w:t>
      </w:r>
      <w:proofErr w:type="spellStart"/>
      <w:r w:rsidRPr="00C46493">
        <w:rPr>
          <w:rStyle w:val="Emphasis"/>
          <w:rFonts w:ascii="Arial" w:eastAsiaTheme="majorEastAsia" w:hAnsi="Arial" w:cs="Arial"/>
          <w:sz w:val="20"/>
          <w:szCs w:val="20"/>
        </w:rPr>
        <w:t>Pertanika</w:t>
      </w:r>
      <w:proofErr w:type="spellEnd"/>
      <w:r w:rsidRPr="00C46493">
        <w:rPr>
          <w:rStyle w:val="Emphasis"/>
          <w:rFonts w:ascii="Arial" w:eastAsiaTheme="majorEastAsia" w:hAnsi="Arial" w:cs="Arial"/>
          <w:sz w:val="20"/>
          <w:szCs w:val="20"/>
        </w:rPr>
        <w:t xml:space="preserve"> Journal of Tropical Agricultural Science</w:t>
      </w:r>
      <w:r w:rsidRPr="00C46493">
        <w:rPr>
          <w:rFonts w:ascii="Arial" w:hAnsi="Arial" w:cs="Arial"/>
          <w:sz w:val="20"/>
          <w:szCs w:val="20"/>
        </w:rPr>
        <w:t xml:space="preserve">, </w:t>
      </w:r>
      <w:r w:rsidRPr="00C46493">
        <w:rPr>
          <w:rStyle w:val="Emphasis"/>
          <w:rFonts w:ascii="Arial" w:eastAsiaTheme="majorEastAsia" w:hAnsi="Arial" w:cs="Arial"/>
          <w:sz w:val="20"/>
          <w:szCs w:val="20"/>
        </w:rPr>
        <w:t>35</w:t>
      </w:r>
      <w:r w:rsidRPr="00C46493">
        <w:rPr>
          <w:rFonts w:ascii="Arial" w:hAnsi="Arial" w:cs="Arial"/>
          <w:sz w:val="20"/>
          <w:szCs w:val="20"/>
        </w:rPr>
        <w:t>(2), 191–197.</w:t>
      </w:r>
    </w:p>
    <w:p w14:paraId="4785B36E"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Bnouham</w:t>
      </w:r>
      <w:proofErr w:type="spellEnd"/>
      <w:r w:rsidRPr="00C46493">
        <w:rPr>
          <w:rFonts w:ascii="Arial" w:hAnsi="Arial" w:cs="Arial"/>
          <w:sz w:val="20"/>
          <w:szCs w:val="20"/>
        </w:rPr>
        <w:t xml:space="preserve">, M., Abderrahim, Z., Hassane, M., Abdelhafid, T., &amp; Abdelkhaleq, L. (2006). Medicinal plants with potential antidiabetic activity – A review of ten years of herbal medicine research (1990-2000). </w:t>
      </w:r>
      <w:r w:rsidRPr="00C46493">
        <w:rPr>
          <w:rStyle w:val="Emphasis"/>
          <w:rFonts w:ascii="Arial" w:eastAsiaTheme="majorEastAsia" w:hAnsi="Arial" w:cs="Arial"/>
          <w:sz w:val="20"/>
          <w:szCs w:val="20"/>
        </w:rPr>
        <w:t>International Journal of Diabetes &amp; Metabolism</w:t>
      </w:r>
      <w:r w:rsidRPr="00C46493">
        <w:rPr>
          <w:rFonts w:ascii="Arial" w:hAnsi="Arial" w:cs="Arial"/>
          <w:sz w:val="20"/>
          <w:szCs w:val="20"/>
        </w:rPr>
        <w:t xml:space="preserve">, </w:t>
      </w:r>
      <w:r w:rsidRPr="00C46493">
        <w:rPr>
          <w:rStyle w:val="Emphasis"/>
          <w:rFonts w:ascii="Arial" w:eastAsiaTheme="majorEastAsia" w:hAnsi="Arial" w:cs="Arial"/>
          <w:sz w:val="20"/>
          <w:szCs w:val="20"/>
        </w:rPr>
        <w:t>12</w:t>
      </w:r>
      <w:r w:rsidRPr="00C46493">
        <w:rPr>
          <w:rFonts w:ascii="Arial" w:hAnsi="Arial" w:cs="Arial"/>
          <w:sz w:val="20"/>
          <w:szCs w:val="20"/>
        </w:rPr>
        <w:t>(14), 1–25.</w:t>
      </w:r>
    </w:p>
    <w:p w14:paraId="6F41612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lastRenderedPageBreak/>
        <w:t xml:space="preserve">Braide, V. B. (1993). Anti-inflammatory effect of </w:t>
      </w:r>
      <w:proofErr w:type="spellStart"/>
      <w:r w:rsidRPr="00C46493">
        <w:rPr>
          <w:rFonts w:ascii="Arial" w:hAnsi="Arial" w:cs="Arial"/>
          <w:sz w:val="20"/>
          <w:szCs w:val="20"/>
        </w:rPr>
        <w:t>kolaviron</w:t>
      </w:r>
      <w:proofErr w:type="spellEnd"/>
      <w:r w:rsidRPr="00C46493">
        <w:rPr>
          <w:rFonts w:ascii="Arial" w:hAnsi="Arial" w:cs="Arial"/>
          <w:sz w:val="20"/>
          <w:szCs w:val="20"/>
        </w:rPr>
        <w:t xml:space="preserve">, a </w:t>
      </w:r>
      <w:proofErr w:type="spellStart"/>
      <w:r w:rsidRPr="00C46493">
        <w:rPr>
          <w:rFonts w:ascii="Arial" w:hAnsi="Arial" w:cs="Arial"/>
          <w:sz w:val="20"/>
          <w:szCs w:val="20"/>
        </w:rPr>
        <w:t>biflavonoid</w:t>
      </w:r>
      <w:proofErr w:type="spellEnd"/>
      <w:r w:rsidRPr="00C46493">
        <w:rPr>
          <w:rFonts w:ascii="Arial" w:hAnsi="Arial" w:cs="Arial"/>
          <w:sz w:val="20"/>
          <w:szCs w:val="20"/>
        </w:rPr>
        <w:t xml:space="preserve"> extract of Garcinia kola. </w:t>
      </w:r>
      <w:proofErr w:type="spellStart"/>
      <w:r w:rsidRPr="00C46493">
        <w:rPr>
          <w:rStyle w:val="Emphasis"/>
          <w:rFonts w:ascii="Arial" w:eastAsiaTheme="majorEastAsia" w:hAnsi="Arial" w:cs="Arial"/>
          <w:sz w:val="20"/>
          <w:szCs w:val="20"/>
        </w:rPr>
        <w:t>Fitotropics</w:t>
      </w:r>
      <w:proofErr w:type="spellEnd"/>
      <w:r w:rsidRPr="00C46493">
        <w:rPr>
          <w:rFonts w:ascii="Arial" w:hAnsi="Arial" w:cs="Arial"/>
          <w:sz w:val="20"/>
          <w:szCs w:val="20"/>
        </w:rPr>
        <w:t xml:space="preserve">, </w:t>
      </w:r>
      <w:r w:rsidRPr="00C46493">
        <w:rPr>
          <w:rStyle w:val="Emphasis"/>
          <w:rFonts w:ascii="Arial" w:eastAsiaTheme="majorEastAsia" w:hAnsi="Arial" w:cs="Arial"/>
          <w:sz w:val="20"/>
          <w:szCs w:val="20"/>
        </w:rPr>
        <w:t>64</w:t>
      </w:r>
      <w:r w:rsidRPr="00C46493">
        <w:rPr>
          <w:rFonts w:ascii="Arial" w:hAnsi="Arial" w:cs="Arial"/>
          <w:sz w:val="20"/>
          <w:szCs w:val="20"/>
        </w:rPr>
        <w:t>, 433.</w:t>
      </w:r>
    </w:p>
    <w:p w14:paraId="3A38AEA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Braide, V. B., </w:t>
      </w:r>
      <w:proofErr w:type="spellStart"/>
      <w:r w:rsidRPr="00C46493">
        <w:rPr>
          <w:rFonts w:ascii="Arial" w:hAnsi="Arial" w:cs="Arial"/>
          <w:sz w:val="20"/>
          <w:szCs w:val="20"/>
        </w:rPr>
        <w:t>Agube</w:t>
      </w:r>
      <w:proofErr w:type="spellEnd"/>
      <w:r w:rsidRPr="00C46493">
        <w:rPr>
          <w:rFonts w:ascii="Arial" w:hAnsi="Arial" w:cs="Arial"/>
          <w:sz w:val="20"/>
          <w:szCs w:val="20"/>
        </w:rPr>
        <w:t xml:space="preserve">, C. A., Essien, G. E., &amp; Udoh, F. V. (2003). Effects of Garcinia kola seed alkaloid on levels of gonadal hormones and pituitary gonadotrophins in rat serum. </w:t>
      </w:r>
      <w:r w:rsidRPr="00C46493">
        <w:rPr>
          <w:rStyle w:val="Emphasis"/>
          <w:rFonts w:ascii="Arial" w:eastAsiaTheme="majorEastAsia" w:hAnsi="Arial" w:cs="Arial"/>
          <w:sz w:val="20"/>
          <w:szCs w:val="20"/>
        </w:rPr>
        <w:t>Nigerian Journal of Physiological Sciences</w:t>
      </w:r>
      <w:r w:rsidRPr="00C46493">
        <w:rPr>
          <w:rFonts w:ascii="Arial" w:hAnsi="Arial" w:cs="Arial"/>
          <w:sz w:val="20"/>
          <w:szCs w:val="20"/>
        </w:rPr>
        <w:t xml:space="preserve">, </w:t>
      </w:r>
      <w:r w:rsidRPr="00C46493">
        <w:rPr>
          <w:rStyle w:val="Emphasis"/>
          <w:rFonts w:ascii="Arial" w:eastAsiaTheme="majorEastAsia" w:hAnsi="Arial" w:cs="Arial"/>
          <w:sz w:val="20"/>
          <w:szCs w:val="20"/>
        </w:rPr>
        <w:t>18</w:t>
      </w:r>
      <w:r w:rsidRPr="00C46493">
        <w:rPr>
          <w:rFonts w:ascii="Arial" w:hAnsi="Arial" w:cs="Arial"/>
          <w:sz w:val="20"/>
          <w:szCs w:val="20"/>
        </w:rPr>
        <w:t>(1-2), 59–64.</w:t>
      </w:r>
    </w:p>
    <w:p w14:paraId="2B90C07E"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Chia, S. S., &amp; </w:t>
      </w:r>
      <w:proofErr w:type="spellStart"/>
      <w:r w:rsidRPr="00C46493">
        <w:rPr>
          <w:rFonts w:ascii="Arial" w:hAnsi="Arial" w:cs="Arial"/>
          <w:sz w:val="20"/>
          <w:szCs w:val="20"/>
        </w:rPr>
        <w:t>Machebe</w:t>
      </w:r>
      <w:proofErr w:type="spellEnd"/>
      <w:r w:rsidRPr="00C46493">
        <w:rPr>
          <w:rFonts w:ascii="Arial" w:hAnsi="Arial" w:cs="Arial"/>
          <w:sz w:val="20"/>
          <w:szCs w:val="20"/>
        </w:rPr>
        <w:t xml:space="preserve">, N. S. (2025). Semen characteristics of rabbit bucks supplemented with bitter kola (Garcinia kola) seed crude extraction in water. </w:t>
      </w:r>
      <w:r w:rsidRPr="00C46493">
        <w:rPr>
          <w:rStyle w:val="Emphasis"/>
          <w:rFonts w:ascii="Arial" w:eastAsiaTheme="majorEastAsia" w:hAnsi="Arial" w:cs="Arial"/>
          <w:sz w:val="20"/>
          <w:szCs w:val="20"/>
        </w:rPr>
        <w:t>Proceedings of the 50th Conference, Nigeria Society for Animal Production, March 16-20, 2025, Federal University Lafiya, Nigeria</w:t>
      </w:r>
      <w:r w:rsidRPr="00C46493">
        <w:rPr>
          <w:rFonts w:ascii="Arial" w:hAnsi="Arial" w:cs="Arial"/>
          <w:sz w:val="20"/>
          <w:szCs w:val="20"/>
        </w:rPr>
        <w:t>.</w:t>
      </w:r>
    </w:p>
    <w:p w14:paraId="6B355F5D"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Chikere, O. U., </w:t>
      </w:r>
      <w:proofErr w:type="spellStart"/>
      <w:r w:rsidRPr="00C46493">
        <w:rPr>
          <w:rFonts w:ascii="Arial" w:hAnsi="Arial" w:cs="Arial"/>
          <w:sz w:val="20"/>
          <w:szCs w:val="20"/>
        </w:rPr>
        <w:t>Olewuike</w:t>
      </w:r>
      <w:proofErr w:type="spellEnd"/>
      <w:r w:rsidRPr="00C46493">
        <w:rPr>
          <w:rFonts w:ascii="Arial" w:hAnsi="Arial" w:cs="Arial"/>
          <w:sz w:val="20"/>
          <w:szCs w:val="20"/>
        </w:rPr>
        <w:t xml:space="preserve">, C. G., </w:t>
      </w:r>
      <w:proofErr w:type="spellStart"/>
      <w:r w:rsidRPr="00C46493">
        <w:rPr>
          <w:rFonts w:ascii="Arial" w:hAnsi="Arial" w:cs="Arial"/>
          <w:sz w:val="20"/>
          <w:szCs w:val="20"/>
        </w:rPr>
        <w:t>Ezejindu</w:t>
      </w:r>
      <w:proofErr w:type="spellEnd"/>
      <w:r w:rsidRPr="00C46493">
        <w:rPr>
          <w:rFonts w:ascii="Arial" w:hAnsi="Arial" w:cs="Arial"/>
          <w:sz w:val="20"/>
          <w:szCs w:val="20"/>
        </w:rPr>
        <w:t xml:space="preserve">, D. N., </w:t>
      </w:r>
      <w:proofErr w:type="spellStart"/>
      <w:r w:rsidRPr="00C46493">
        <w:rPr>
          <w:rFonts w:ascii="Arial" w:hAnsi="Arial" w:cs="Arial"/>
          <w:sz w:val="20"/>
          <w:szCs w:val="20"/>
        </w:rPr>
        <w:t>Ekwujuru</w:t>
      </w:r>
      <w:proofErr w:type="spellEnd"/>
      <w:r w:rsidRPr="00C46493">
        <w:rPr>
          <w:rFonts w:ascii="Arial" w:hAnsi="Arial" w:cs="Arial"/>
          <w:sz w:val="20"/>
          <w:szCs w:val="20"/>
        </w:rPr>
        <w:t xml:space="preserve">, E. U., &amp; </w:t>
      </w:r>
      <w:proofErr w:type="spellStart"/>
      <w:r w:rsidRPr="00C46493">
        <w:rPr>
          <w:rFonts w:ascii="Arial" w:hAnsi="Arial" w:cs="Arial"/>
          <w:sz w:val="20"/>
          <w:szCs w:val="20"/>
        </w:rPr>
        <w:t>Akundike</w:t>
      </w:r>
      <w:proofErr w:type="spellEnd"/>
      <w:r w:rsidRPr="00C46493">
        <w:rPr>
          <w:rFonts w:ascii="Arial" w:hAnsi="Arial" w:cs="Arial"/>
          <w:sz w:val="20"/>
          <w:szCs w:val="20"/>
        </w:rPr>
        <w:t xml:space="preserve">, C. J. (2015). The effect of ethanolic extract of Garcinia kola on the sperm parameters and histology of the testes of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Emphasis"/>
          <w:rFonts w:ascii="Arial" w:eastAsiaTheme="majorEastAsia" w:hAnsi="Arial" w:cs="Arial"/>
          <w:sz w:val="20"/>
          <w:szCs w:val="20"/>
        </w:rPr>
        <w:t>Advances in Life Sciences and Technology</w:t>
      </w:r>
      <w:r w:rsidRPr="00C46493">
        <w:rPr>
          <w:rFonts w:ascii="Arial" w:hAnsi="Arial" w:cs="Arial"/>
          <w:sz w:val="20"/>
          <w:szCs w:val="20"/>
        </w:rPr>
        <w:t xml:space="preserve">, </w:t>
      </w:r>
      <w:r w:rsidRPr="00C46493">
        <w:rPr>
          <w:rStyle w:val="Emphasis"/>
          <w:rFonts w:ascii="Arial" w:eastAsiaTheme="majorEastAsia" w:hAnsi="Arial" w:cs="Arial"/>
          <w:sz w:val="20"/>
          <w:szCs w:val="20"/>
        </w:rPr>
        <w:t>33</w:t>
      </w:r>
      <w:r w:rsidRPr="00C46493">
        <w:rPr>
          <w:rFonts w:ascii="Arial" w:hAnsi="Arial" w:cs="Arial"/>
          <w:sz w:val="20"/>
          <w:szCs w:val="20"/>
        </w:rPr>
        <w:t>, 2225–062.</w:t>
      </w:r>
    </w:p>
    <w:p w14:paraId="79985876"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Farombi</w:t>
      </w:r>
      <w:proofErr w:type="spellEnd"/>
      <w:r w:rsidRPr="00C46493">
        <w:rPr>
          <w:rFonts w:ascii="Arial" w:hAnsi="Arial" w:cs="Arial"/>
          <w:sz w:val="20"/>
          <w:szCs w:val="20"/>
        </w:rPr>
        <w:t xml:space="preserve">, E., Akanni, O., &amp; </w:t>
      </w:r>
      <w:proofErr w:type="spellStart"/>
      <w:r w:rsidRPr="00C46493">
        <w:rPr>
          <w:rFonts w:ascii="Arial" w:hAnsi="Arial" w:cs="Arial"/>
          <w:sz w:val="20"/>
          <w:szCs w:val="20"/>
        </w:rPr>
        <w:t>Emerole</w:t>
      </w:r>
      <w:proofErr w:type="spellEnd"/>
      <w:r w:rsidRPr="00C46493">
        <w:rPr>
          <w:rFonts w:ascii="Arial" w:hAnsi="Arial" w:cs="Arial"/>
          <w:sz w:val="20"/>
          <w:szCs w:val="20"/>
        </w:rPr>
        <w:t xml:space="preserve">, G. (2002). Antioxidant and scavenging activities of </w:t>
      </w:r>
      <w:proofErr w:type="spellStart"/>
      <w:r w:rsidRPr="00C46493">
        <w:rPr>
          <w:rFonts w:ascii="Arial" w:hAnsi="Arial" w:cs="Arial"/>
          <w:sz w:val="20"/>
          <w:szCs w:val="20"/>
        </w:rPr>
        <w:t>kolavirons</w:t>
      </w:r>
      <w:proofErr w:type="spellEnd"/>
      <w:r w:rsidRPr="00C46493">
        <w:rPr>
          <w:rFonts w:ascii="Arial" w:hAnsi="Arial" w:cs="Arial"/>
          <w:sz w:val="20"/>
          <w:szCs w:val="20"/>
        </w:rPr>
        <w:t xml:space="preserve"> in vitro. </w:t>
      </w:r>
      <w:r w:rsidRPr="00C46493">
        <w:rPr>
          <w:rStyle w:val="Emphasis"/>
          <w:rFonts w:ascii="Arial" w:eastAsiaTheme="majorEastAsia" w:hAnsi="Arial" w:cs="Arial"/>
          <w:sz w:val="20"/>
          <w:szCs w:val="20"/>
        </w:rPr>
        <w:t>Pharm Biol</w:t>
      </w:r>
      <w:r w:rsidRPr="00C46493">
        <w:rPr>
          <w:rFonts w:ascii="Arial" w:hAnsi="Arial" w:cs="Arial"/>
          <w:sz w:val="20"/>
          <w:szCs w:val="20"/>
        </w:rPr>
        <w:t xml:space="preserve">, </w:t>
      </w:r>
      <w:r w:rsidRPr="00C46493">
        <w:rPr>
          <w:rStyle w:val="Emphasis"/>
          <w:rFonts w:ascii="Arial" w:eastAsiaTheme="majorEastAsia" w:hAnsi="Arial" w:cs="Arial"/>
          <w:sz w:val="20"/>
          <w:szCs w:val="20"/>
        </w:rPr>
        <w:t>40</w:t>
      </w:r>
      <w:r w:rsidRPr="00C46493">
        <w:rPr>
          <w:rFonts w:ascii="Arial" w:hAnsi="Arial" w:cs="Arial"/>
          <w:sz w:val="20"/>
          <w:szCs w:val="20"/>
        </w:rPr>
        <w:t>, 109–116.</w:t>
      </w:r>
    </w:p>
    <w:p w14:paraId="64869370"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Igboko</w:t>
      </w:r>
      <w:proofErr w:type="spellEnd"/>
      <w:r w:rsidRPr="00C46493">
        <w:rPr>
          <w:rFonts w:ascii="Arial" w:hAnsi="Arial" w:cs="Arial"/>
          <w:sz w:val="20"/>
          <w:szCs w:val="20"/>
        </w:rPr>
        <w:t xml:space="preserve">, A. O. (1983). </w:t>
      </w:r>
      <w:r w:rsidRPr="00C46493">
        <w:rPr>
          <w:rStyle w:val="Emphasis"/>
          <w:rFonts w:ascii="Arial" w:eastAsiaTheme="majorEastAsia" w:hAnsi="Arial" w:cs="Arial"/>
          <w:sz w:val="20"/>
          <w:szCs w:val="20"/>
        </w:rPr>
        <w:t>Phytochemical studies in Garcinia kola</w:t>
      </w:r>
      <w:r w:rsidRPr="00C46493">
        <w:rPr>
          <w:rFonts w:ascii="Arial" w:hAnsi="Arial" w:cs="Arial"/>
          <w:sz w:val="20"/>
          <w:szCs w:val="20"/>
        </w:rPr>
        <w:t xml:space="preserve"> [Unpublished master's thesis]. University of Nigeria Nsukka.</w:t>
      </w:r>
    </w:p>
    <w:p w14:paraId="19D3112C"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Iwu, M. M. (1993). </w:t>
      </w:r>
      <w:proofErr w:type="spellStart"/>
      <w:r w:rsidRPr="00C46493">
        <w:rPr>
          <w:rFonts w:ascii="Arial" w:hAnsi="Arial" w:cs="Arial"/>
          <w:sz w:val="20"/>
          <w:szCs w:val="20"/>
        </w:rPr>
        <w:t>Pharmacognotical</w:t>
      </w:r>
      <w:proofErr w:type="spellEnd"/>
      <w:r w:rsidRPr="00C46493">
        <w:rPr>
          <w:rFonts w:ascii="Arial" w:hAnsi="Arial" w:cs="Arial"/>
          <w:sz w:val="20"/>
          <w:szCs w:val="20"/>
        </w:rPr>
        <w:t xml:space="preserve"> profile of selected medicinal plants. In </w:t>
      </w:r>
      <w:r w:rsidRPr="00C46493">
        <w:rPr>
          <w:rStyle w:val="Emphasis"/>
          <w:rFonts w:ascii="Arial" w:eastAsiaTheme="majorEastAsia" w:hAnsi="Arial" w:cs="Arial"/>
          <w:sz w:val="20"/>
          <w:szCs w:val="20"/>
        </w:rPr>
        <w:t>Handbook of African medicinal plants</w:t>
      </w:r>
      <w:r w:rsidRPr="00C46493">
        <w:rPr>
          <w:rFonts w:ascii="Arial" w:hAnsi="Arial" w:cs="Arial"/>
          <w:sz w:val="20"/>
          <w:szCs w:val="20"/>
        </w:rPr>
        <w:t xml:space="preserve"> (p. 183). CRC Press.</w:t>
      </w:r>
    </w:p>
    <w:p w14:paraId="51468486"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Iwuji, T. C., &amp; Herbert, U. (2012). Semen characteristics and libido of rabbit bucks fed diets containing Garcinia kola seed meal. </w:t>
      </w:r>
      <w:r w:rsidRPr="00C46493">
        <w:rPr>
          <w:rStyle w:val="Emphasis"/>
          <w:rFonts w:ascii="Arial" w:eastAsiaTheme="majorEastAsia" w:hAnsi="Arial" w:cs="Arial"/>
          <w:sz w:val="20"/>
          <w:szCs w:val="20"/>
        </w:rPr>
        <w:t xml:space="preserve">International Journal of the </w:t>
      </w:r>
      <w:proofErr w:type="spellStart"/>
      <w:r w:rsidRPr="00C46493">
        <w:rPr>
          <w:rStyle w:val="Emphasis"/>
          <w:rFonts w:ascii="Arial" w:eastAsiaTheme="majorEastAsia" w:hAnsi="Arial" w:cs="Arial"/>
          <w:sz w:val="20"/>
          <w:szCs w:val="20"/>
        </w:rPr>
        <w:t>Bioflux</w:t>
      </w:r>
      <w:proofErr w:type="spellEnd"/>
      <w:r w:rsidRPr="00C46493">
        <w:rPr>
          <w:rStyle w:val="Emphasis"/>
          <w:rFonts w:ascii="Arial" w:eastAsiaTheme="majorEastAsia" w:hAnsi="Arial" w:cs="Arial"/>
          <w:sz w:val="20"/>
          <w:szCs w:val="20"/>
        </w:rPr>
        <w:t xml:space="preserve"> Society</w:t>
      </w:r>
      <w:r w:rsidRPr="00C46493">
        <w:rPr>
          <w:rFonts w:ascii="Arial" w:hAnsi="Arial" w:cs="Arial"/>
          <w:sz w:val="20"/>
          <w:szCs w:val="20"/>
        </w:rPr>
        <w:t xml:space="preserve">, </w:t>
      </w:r>
      <w:r w:rsidRPr="00C46493">
        <w:rPr>
          <w:rStyle w:val="Emphasis"/>
          <w:rFonts w:ascii="Arial" w:eastAsiaTheme="majorEastAsia" w:hAnsi="Arial" w:cs="Arial"/>
          <w:sz w:val="20"/>
          <w:szCs w:val="20"/>
        </w:rPr>
        <w:t>2</w:t>
      </w:r>
      <w:r w:rsidRPr="00C46493">
        <w:rPr>
          <w:rFonts w:ascii="Arial" w:hAnsi="Arial" w:cs="Arial"/>
          <w:sz w:val="20"/>
          <w:szCs w:val="20"/>
        </w:rPr>
        <w:t>(1), 10–14.</w:t>
      </w:r>
    </w:p>
    <w:p w14:paraId="1956E3B8"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Kehinde, A., </w:t>
      </w:r>
      <w:proofErr w:type="spellStart"/>
      <w:r w:rsidRPr="00C46493">
        <w:rPr>
          <w:rFonts w:ascii="Arial" w:hAnsi="Arial" w:cs="Arial"/>
          <w:sz w:val="20"/>
          <w:szCs w:val="20"/>
        </w:rPr>
        <w:t>Adefisan</w:t>
      </w:r>
      <w:proofErr w:type="spellEnd"/>
      <w:r w:rsidRPr="00C46493">
        <w:rPr>
          <w:rFonts w:ascii="Arial" w:hAnsi="Arial" w:cs="Arial"/>
          <w:sz w:val="20"/>
          <w:szCs w:val="20"/>
        </w:rPr>
        <w:t xml:space="preserve">, A., Adebayo, O., &amp; </w:t>
      </w:r>
      <w:proofErr w:type="spellStart"/>
      <w:r w:rsidRPr="00C46493">
        <w:rPr>
          <w:rFonts w:ascii="Arial" w:hAnsi="Arial" w:cs="Arial"/>
          <w:sz w:val="20"/>
          <w:szCs w:val="20"/>
        </w:rPr>
        <w:t>Adaramoye</w:t>
      </w:r>
      <w:proofErr w:type="spellEnd"/>
      <w:r w:rsidRPr="00C46493">
        <w:rPr>
          <w:rFonts w:ascii="Arial" w:hAnsi="Arial" w:cs="Arial"/>
          <w:sz w:val="20"/>
          <w:szCs w:val="20"/>
        </w:rPr>
        <w:t xml:space="preserve">, O. (2016). </w:t>
      </w:r>
      <w:proofErr w:type="spellStart"/>
      <w:r w:rsidRPr="00C46493">
        <w:rPr>
          <w:rFonts w:ascii="Arial" w:hAnsi="Arial" w:cs="Arial"/>
          <w:sz w:val="20"/>
          <w:szCs w:val="20"/>
        </w:rPr>
        <w:t>Biflavonoid</w:t>
      </w:r>
      <w:proofErr w:type="spellEnd"/>
      <w:r w:rsidRPr="00C46493">
        <w:rPr>
          <w:rFonts w:ascii="Arial" w:hAnsi="Arial" w:cs="Arial"/>
          <w:sz w:val="20"/>
          <w:szCs w:val="20"/>
        </w:rPr>
        <w:t xml:space="preserve"> fraction from garcinia kola seed ameliorates hormonal imbalance and testicular oxidative damage by anti-tuberculosis drugs in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Emphasis"/>
          <w:rFonts w:ascii="Arial" w:eastAsiaTheme="majorEastAsia" w:hAnsi="Arial" w:cs="Arial"/>
          <w:sz w:val="20"/>
          <w:szCs w:val="20"/>
        </w:rPr>
        <w:t>Journal of Basic and Clinical Physiology and Pharmacology</w:t>
      </w:r>
      <w:r w:rsidRPr="00C46493">
        <w:rPr>
          <w:rFonts w:ascii="Arial" w:hAnsi="Arial" w:cs="Arial"/>
          <w:sz w:val="20"/>
          <w:szCs w:val="20"/>
        </w:rPr>
        <w:t xml:space="preserve">, </w:t>
      </w:r>
      <w:r w:rsidRPr="00C46493">
        <w:rPr>
          <w:rStyle w:val="Emphasis"/>
          <w:rFonts w:ascii="Arial" w:eastAsiaTheme="majorEastAsia" w:hAnsi="Arial" w:cs="Arial"/>
          <w:sz w:val="20"/>
          <w:szCs w:val="20"/>
        </w:rPr>
        <w:t>27</w:t>
      </w:r>
      <w:r w:rsidRPr="00C46493">
        <w:rPr>
          <w:rFonts w:ascii="Arial" w:hAnsi="Arial" w:cs="Arial"/>
          <w:sz w:val="20"/>
          <w:szCs w:val="20"/>
        </w:rPr>
        <w:t>(4), 393–401.</w:t>
      </w:r>
    </w:p>
    <w:p w14:paraId="356AD7EC"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Koziol, J. H., &amp; Armstrong, C. L. (2022). </w:t>
      </w:r>
      <w:r w:rsidRPr="00C46493">
        <w:rPr>
          <w:rFonts w:ascii="Arial" w:hAnsi="Arial" w:cs="Arial"/>
          <w:i/>
          <w:iCs/>
          <w:sz w:val="20"/>
          <w:szCs w:val="20"/>
        </w:rPr>
        <w:t>Sperm morphology of domestic animals</w:t>
      </w:r>
      <w:r w:rsidRPr="00C46493">
        <w:rPr>
          <w:rFonts w:ascii="Arial" w:hAnsi="Arial" w:cs="Arial"/>
          <w:sz w:val="20"/>
          <w:szCs w:val="20"/>
        </w:rPr>
        <w:t>. John Wiley &amp; Sons</w:t>
      </w:r>
    </w:p>
    <w:p w14:paraId="5EEA368C"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Munu, I., </w:t>
      </w:r>
      <w:proofErr w:type="spellStart"/>
      <w:r w:rsidRPr="00C46493">
        <w:rPr>
          <w:rFonts w:ascii="Arial" w:hAnsi="Arial" w:cs="Arial"/>
          <w:sz w:val="20"/>
          <w:szCs w:val="20"/>
        </w:rPr>
        <w:t>Omoyakhi</w:t>
      </w:r>
      <w:proofErr w:type="spellEnd"/>
      <w:r w:rsidRPr="00C46493">
        <w:rPr>
          <w:rFonts w:ascii="Arial" w:hAnsi="Arial" w:cs="Arial"/>
          <w:sz w:val="20"/>
          <w:szCs w:val="20"/>
        </w:rPr>
        <w:t xml:space="preserve">, J. M., </w:t>
      </w:r>
      <w:proofErr w:type="spellStart"/>
      <w:r w:rsidRPr="00C46493">
        <w:rPr>
          <w:rFonts w:ascii="Arial" w:hAnsi="Arial" w:cs="Arial"/>
          <w:sz w:val="20"/>
          <w:szCs w:val="20"/>
        </w:rPr>
        <w:t>Orhueruata</w:t>
      </w:r>
      <w:proofErr w:type="spellEnd"/>
      <w:r w:rsidRPr="00C46493">
        <w:rPr>
          <w:rFonts w:ascii="Arial" w:hAnsi="Arial" w:cs="Arial"/>
          <w:sz w:val="20"/>
          <w:szCs w:val="20"/>
        </w:rPr>
        <w:t xml:space="preserve">, A. M., &amp; </w:t>
      </w:r>
      <w:proofErr w:type="spellStart"/>
      <w:r w:rsidRPr="00C46493">
        <w:rPr>
          <w:rFonts w:ascii="Arial" w:hAnsi="Arial" w:cs="Arial"/>
          <w:sz w:val="20"/>
          <w:szCs w:val="20"/>
        </w:rPr>
        <w:t>Imasuen</w:t>
      </w:r>
      <w:proofErr w:type="spellEnd"/>
      <w:r w:rsidRPr="00C46493">
        <w:rPr>
          <w:rFonts w:ascii="Arial" w:hAnsi="Arial" w:cs="Arial"/>
          <w:sz w:val="20"/>
          <w:szCs w:val="20"/>
        </w:rPr>
        <w:t>, J. A. (2024). Development of a dummy for semen collection in rabbits.</w:t>
      </w:r>
      <w:r w:rsidRPr="00C46493">
        <w:rPr>
          <w:rFonts w:ascii="Arial" w:hAnsi="Arial" w:cs="Arial"/>
          <w:i/>
          <w:iCs/>
          <w:sz w:val="20"/>
          <w:szCs w:val="20"/>
        </w:rPr>
        <w:t xml:space="preserve"> Nigerian Journal of Animal Production</w:t>
      </w:r>
      <w:r w:rsidRPr="00C46493">
        <w:rPr>
          <w:rFonts w:ascii="Arial" w:hAnsi="Arial" w:cs="Arial"/>
          <w:sz w:val="20"/>
          <w:szCs w:val="20"/>
        </w:rPr>
        <w:t>, 584-587. https://doi.org/10.51791/njap.vi.5192</w:t>
      </w:r>
    </w:p>
    <w:p w14:paraId="5A3B9371"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Nisar, B., Sultan, A., &amp; Rubab, S. L. (2018). Comparison of medicinally important natural products vs synthetic drugs: A short communication. </w:t>
      </w:r>
      <w:r w:rsidRPr="00C46493">
        <w:rPr>
          <w:rStyle w:val="Emphasis"/>
          <w:rFonts w:ascii="Arial" w:eastAsiaTheme="majorEastAsia" w:hAnsi="Arial" w:cs="Arial"/>
          <w:sz w:val="20"/>
          <w:szCs w:val="20"/>
        </w:rPr>
        <w:t>Nat. Prod. Chem. Res.</w:t>
      </w:r>
      <w:r w:rsidRPr="00C46493">
        <w:rPr>
          <w:rFonts w:ascii="Arial" w:hAnsi="Arial" w:cs="Arial"/>
          <w:sz w:val="20"/>
          <w:szCs w:val="20"/>
        </w:rPr>
        <w:t xml:space="preserve">, </w:t>
      </w:r>
      <w:r w:rsidRPr="00C46493">
        <w:rPr>
          <w:rStyle w:val="Emphasis"/>
          <w:rFonts w:ascii="Arial" w:eastAsiaTheme="majorEastAsia" w:hAnsi="Arial" w:cs="Arial"/>
          <w:sz w:val="20"/>
          <w:szCs w:val="20"/>
        </w:rPr>
        <w:t>6</w:t>
      </w:r>
      <w:r w:rsidRPr="00C46493">
        <w:rPr>
          <w:rFonts w:ascii="Arial" w:hAnsi="Arial" w:cs="Arial"/>
          <w:sz w:val="20"/>
          <w:szCs w:val="20"/>
        </w:rPr>
        <w:t>(2), 308.</w:t>
      </w:r>
    </w:p>
    <w:p w14:paraId="3A94362F"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Okezie, E., Uche, M. E., </w:t>
      </w:r>
      <w:proofErr w:type="spellStart"/>
      <w:r w:rsidRPr="00C46493">
        <w:rPr>
          <w:rFonts w:ascii="Arial" w:hAnsi="Arial" w:cs="Arial"/>
          <w:sz w:val="20"/>
          <w:szCs w:val="20"/>
        </w:rPr>
        <w:t>Odike</w:t>
      </w:r>
      <w:proofErr w:type="spellEnd"/>
      <w:r w:rsidRPr="00C46493">
        <w:rPr>
          <w:rFonts w:ascii="Arial" w:hAnsi="Arial" w:cs="Arial"/>
          <w:sz w:val="20"/>
          <w:szCs w:val="20"/>
        </w:rPr>
        <w:t xml:space="preserve">, E. D., </w:t>
      </w:r>
      <w:proofErr w:type="spellStart"/>
      <w:r w:rsidRPr="00C46493">
        <w:rPr>
          <w:rFonts w:ascii="Arial" w:hAnsi="Arial" w:cs="Arial"/>
          <w:sz w:val="20"/>
          <w:szCs w:val="20"/>
        </w:rPr>
        <w:t>Etumnu</w:t>
      </w:r>
      <w:proofErr w:type="spellEnd"/>
      <w:r w:rsidRPr="00C46493">
        <w:rPr>
          <w:rFonts w:ascii="Arial" w:hAnsi="Arial" w:cs="Arial"/>
          <w:sz w:val="20"/>
          <w:szCs w:val="20"/>
        </w:rPr>
        <w:t xml:space="preserve">, L. R., &amp; </w:t>
      </w:r>
      <w:proofErr w:type="spellStart"/>
      <w:r w:rsidRPr="00C46493">
        <w:rPr>
          <w:rFonts w:ascii="Arial" w:hAnsi="Arial" w:cs="Arial"/>
          <w:sz w:val="20"/>
          <w:szCs w:val="20"/>
        </w:rPr>
        <w:t>Ositadinma</w:t>
      </w:r>
      <w:proofErr w:type="spellEnd"/>
      <w:r w:rsidRPr="00C46493">
        <w:rPr>
          <w:rFonts w:ascii="Arial" w:hAnsi="Arial" w:cs="Arial"/>
          <w:sz w:val="20"/>
          <w:szCs w:val="20"/>
        </w:rPr>
        <w:t xml:space="preserve">, C. (2022). </w:t>
      </w:r>
      <w:r w:rsidRPr="00C46493">
        <w:rPr>
          <w:rStyle w:val="Emphasis"/>
          <w:rFonts w:ascii="Arial" w:eastAsiaTheme="majorEastAsia" w:hAnsi="Arial" w:cs="Arial"/>
          <w:sz w:val="20"/>
          <w:szCs w:val="20"/>
        </w:rPr>
        <w:t>Biomarkers</w:t>
      </w:r>
      <w:r w:rsidRPr="00C46493">
        <w:rPr>
          <w:rFonts w:ascii="Arial" w:hAnsi="Arial" w:cs="Arial"/>
          <w:sz w:val="20"/>
          <w:szCs w:val="20"/>
        </w:rPr>
        <w:t xml:space="preserve">, </w:t>
      </w:r>
      <w:r w:rsidRPr="00C46493">
        <w:rPr>
          <w:rStyle w:val="Emphasis"/>
          <w:rFonts w:ascii="Arial" w:eastAsiaTheme="majorEastAsia" w:hAnsi="Arial" w:cs="Arial"/>
          <w:sz w:val="20"/>
          <w:szCs w:val="20"/>
        </w:rPr>
        <w:t>27</w:t>
      </w:r>
      <w:r w:rsidRPr="00C46493">
        <w:rPr>
          <w:rFonts w:ascii="Arial" w:hAnsi="Arial" w:cs="Arial"/>
          <w:sz w:val="20"/>
          <w:szCs w:val="20"/>
        </w:rPr>
        <w:t>(2), 101–117.</w:t>
      </w:r>
    </w:p>
    <w:p w14:paraId="62EF84A3"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Okunji</w:t>
      </w:r>
      <w:proofErr w:type="spellEnd"/>
      <w:r w:rsidRPr="00C46493">
        <w:rPr>
          <w:rFonts w:ascii="Arial" w:hAnsi="Arial" w:cs="Arial"/>
          <w:sz w:val="20"/>
          <w:szCs w:val="20"/>
        </w:rPr>
        <w:t xml:space="preserve">, C. O., </w:t>
      </w:r>
      <w:proofErr w:type="spellStart"/>
      <w:r w:rsidRPr="00C46493">
        <w:rPr>
          <w:rFonts w:ascii="Arial" w:hAnsi="Arial" w:cs="Arial"/>
          <w:sz w:val="20"/>
          <w:szCs w:val="20"/>
        </w:rPr>
        <w:t>Tantalia</w:t>
      </w:r>
      <w:proofErr w:type="spellEnd"/>
      <w:r w:rsidRPr="00C46493">
        <w:rPr>
          <w:rFonts w:ascii="Arial" w:hAnsi="Arial" w:cs="Arial"/>
          <w:sz w:val="20"/>
          <w:szCs w:val="20"/>
        </w:rPr>
        <w:t xml:space="preserve">, A. W., Hicks, R. P., Iwu, M. M., &amp; Skanchy, D. J. (2002). Capillary electrophoresis determination of </w:t>
      </w:r>
      <w:proofErr w:type="spellStart"/>
      <w:r w:rsidRPr="00C46493">
        <w:rPr>
          <w:rFonts w:ascii="Arial" w:hAnsi="Arial" w:cs="Arial"/>
          <w:sz w:val="20"/>
          <w:szCs w:val="20"/>
        </w:rPr>
        <w:t>biflavonones</w:t>
      </w:r>
      <w:proofErr w:type="spellEnd"/>
      <w:r w:rsidRPr="00C46493">
        <w:rPr>
          <w:rFonts w:ascii="Arial" w:hAnsi="Arial" w:cs="Arial"/>
          <w:sz w:val="20"/>
          <w:szCs w:val="20"/>
        </w:rPr>
        <w:t xml:space="preserve"> from Garcinia kola in three traditional African medicinal formulations. </w:t>
      </w:r>
      <w:r w:rsidRPr="00C46493">
        <w:rPr>
          <w:rStyle w:val="Emphasis"/>
          <w:rFonts w:ascii="Arial" w:eastAsiaTheme="majorEastAsia" w:hAnsi="Arial" w:cs="Arial"/>
          <w:sz w:val="20"/>
          <w:szCs w:val="20"/>
        </w:rPr>
        <w:t>Journal of Plant Medicine</w:t>
      </w:r>
      <w:r w:rsidRPr="00C46493">
        <w:rPr>
          <w:rFonts w:ascii="Arial" w:hAnsi="Arial" w:cs="Arial"/>
          <w:sz w:val="20"/>
          <w:szCs w:val="20"/>
        </w:rPr>
        <w:t xml:space="preserve">, </w:t>
      </w:r>
      <w:r w:rsidRPr="00C46493">
        <w:rPr>
          <w:rStyle w:val="Emphasis"/>
          <w:rFonts w:ascii="Arial" w:eastAsiaTheme="majorEastAsia" w:hAnsi="Arial" w:cs="Arial"/>
          <w:sz w:val="20"/>
          <w:szCs w:val="20"/>
        </w:rPr>
        <w:t>68</w:t>
      </w:r>
      <w:r w:rsidRPr="00C46493">
        <w:rPr>
          <w:rFonts w:ascii="Arial" w:hAnsi="Arial" w:cs="Arial"/>
          <w:sz w:val="20"/>
          <w:szCs w:val="20"/>
        </w:rPr>
        <w:t>, 440–444.</w:t>
      </w:r>
    </w:p>
    <w:p w14:paraId="19C039B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Ralebona</w:t>
      </w:r>
      <w:proofErr w:type="spellEnd"/>
      <w:r w:rsidRPr="00C46493">
        <w:rPr>
          <w:rFonts w:ascii="Arial" w:hAnsi="Arial" w:cs="Arial"/>
          <w:sz w:val="20"/>
          <w:szCs w:val="20"/>
        </w:rPr>
        <w:t xml:space="preserve">, N., Sewani-Rusike, C. R., &amp; </w:t>
      </w:r>
      <w:proofErr w:type="spellStart"/>
      <w:r w:rsidRPr="00C46493">
        <w:rPr>
          <w:rFonts w:ascii="Arial" w:hAnsi="Arial" w:cs="Arial"/>
          <w:sz w:val="20"/>
          <w:szCs w:val="20"/>
        </w:rPr>
        <w:t>Nkeh-Chungag</w:t>
      </w:r>
      <w:proofErr w:type="spellEnd"/>
      <w:r w:rsidRPr="00C46493">
        <w:rPr>
          <w:rFonts w:ascii="Arial" w:hAnsi="Arial" w:cs="Arial"/>
          <w:sz w:val="20"/>
          <w:szCs w:val="20"/>
        </w:rPr>
        <w:t xml:space="preserve">, B. N. (2012). Effects of ethanolic extract of Garcinia kola on sexual </w:t>
      </w:r>
      <w:proofErr w:type="spellStart"/>
      <w:r w:rsidRPr="00C46493">
        <w:rPr>
          <w:rFonts w:ascii="Arial" w:hAnsi="Arial" w:cs="Arial"/>
          <w:sz w:val="20"/>
          <w:szCs w:val="20"/>
        </w:rPr>
        <w:t>behaviour</w:t>
      </w:r>
      <w:proofErr w:type="spellEnd"/>
      <w:r w:rsidRPr="00C46493">
        <w:rPr>
          <w:rFonts w:ascii="Arial" w:hAnsi="Arial" w:cs="Arial"/>
          <w:sz w:val="20"/>
          <w:szCs w:val="20"/>
        </w:rPr>
        <w:t xml:space="preserve"> and sperm parameters in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Emphasis"/>
          <w:rFonts w:ascii="Arial" w:eastAsiaTheme="majorEastAsia" w:hAnsi="Arial" w:cs="Arial"/>
          <w:sz w:val="20"/>
          <w:szCs w:val="20"/>
        </w:rPr>
        <w:t>African Journal of Pharmacy and Pharmacology</w:t>
      </w:r>
      <w:r w:rsidRPr="00C46493">
        <w:rPr>
          <w:rFonts w:ascii="Arial" w:hAnsi="Arial" w:cs="Arial"/>
          <w:sz w:val="20"/>
          <w:szCs w:val="20"/>
        </w:rPr>
        <w:t xml:space="preserve">, </w:t>
      </w:r>
      <w:r w:rsidRPr="00C46493">
        <w:rPr>
          <w:rStyle w:val="Emphasis"/>
          <w:rFonts w:ascii="Arial" w:eastAsiaTheme="majorEastAsia" w:hAnsi="Arial" w:cs="Arial"/>
          <w:sz w:val="20"/>
          <w:szCs w:val="20"/>
        </w:rPr>
        <w:t>6</w:t>
      </w:r>
      <w:r w:rsidRPr="00C46493">
        <w:rPr>
          <w:rFonts w:ascii="Arial" w:hAnsi="Arial" w:cs="Arial"/>
          <w:sz w:val="20"/>
          <w:szCs w:val="20"/>
        </w:rPr>
        <w:t>(14), 1077–1082.</w:t>
      </w:r>
    </w:p>
    <w:p w14:paraId="7E729C1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Swellum</w:t>
      </w:r>
      <w:proofErr w:type="spellEnd"/>
      <w:r w:rsidRPr="00C46493">
        <w:rPr>
          <w:rFonts w:ascii="Arial" w:hAnsi="Arial" w:cs="Arial"/>
          <w:sz w:val="20"/>
          <w:szCs w:val="20"/>
        </w:rPr>
        <w:t xml:space="preserve">, A. A., Hashem, N. M., Abdelnour, S. A., Taha, A. E., </w:t>
      </w:r>
      <w:proofErr w:type="spellStart"/>
      <w:r w:rsidRPr="00C46493">
        <w:rPr>
          <w:rFonts w:ascii="Arial" w:hAnsi="Arial" w:cs="Arial"/>
          <w:sz w:val="20"/>
          <w:szCs w:val="20"/>
        </w:rPr>
        <w:t>Ohran</w:t>
      </w:r>
      <w:proofErr w:type="spellEnd"/>
      <w:r w:rsidRPr="00C46493">
        <w:rPr>
          <w:rFonts w:ascii="Arial" w:hAnsi="Arial" w:cs="Arial"/>
          <w:sz w:val="20"/>
          <w:szCs w:val="20"/>
        </w:rPr>
        <w:t xml:space="preserve">, H., </w:t>
      </w:r>
      <w:proofErr w:type="spellStart"/>
      <w:r w:rsidRPr="00C46493">
        <w:rPr>
          <w:rFonts w:ascii="Arial" w:hAnsi="Arial" w:cs="Arial"/>
          <w:sz w:val="20"/>
          <w:szCs w:val="20"/>
        </w:rPr>
        <w:t>Khafaja</w:t>
      </w:r>
      <w:proofErr w:type="spellEnd"/>
      <w:r w:rsidRPr="00C46493">
        <w:rPr>
          <w:rFonts w:ascii="Arial" w:hAnsi="Arial" w:cs="Arial"/>
          <w:sz w:val="20"/>
          <w:szCs w:val="20"/>
        </w:rPr>
        <w:t xml:space="preserve">, A. F., &amp; </w:t>
      </w:r>
      <w:proofErr w:type="spellStart"/>
      <w:r w:rsidRPr="00C46493">
        <w:rPr>
          <w:rFonts w:ascii="Arial" w:hAnsi="Arial" w:cs="Arial"/>
          <w:sz w:val="20"/>
          <w:szCs w:val="20"/>
        </w:rPr>
        <w:t>Elgammal</w:t>
      </w:r>
      <w:proofErr w:type="spellEnd"/>
      <w:r w:rsidRPr="00C46493">
        <w:rPr>
          <w:rFonts w:ascii="Arial" w:hAnsi="Arial" w:cs="Arial"/>
          <w:sz w:val="20"/>
          <w:szCs w:val="20"/>
        </w:rPr>
        <w:t xml:space="preserve">. (2021). Effect of phytogenic feed additives on reproductive performance of animals. </w:t>
      </w:r>
      <w:r w:rsidRPr="00C46493">
        <w:rPr>
          <w:rStyle w:val="Emphasis"/>
          <w:rFonts w:ascii="Arial" w:eastAsiaTheme="majorEastAsia" w:hAnsi="Arial" w:cs="Arial"/>
          <w:sz w:val="20"/>
          <w:szCs w:val="20"/>
        </w:rPr>
        <w:t>Saudi Journal of Biological Sciences</w:t>
      </w:r>
      <w:r w:rsidRPr="00C46493">
        <w:rPr>
          <w:rFonts w:ascii="Arial" w:hAnsi="Arial" w:cs="Arial"/>
          <w:sz w:val="20"/>
          <w:szCs w:val="20"/>
        </w:rPr>
        <w:t>, 5816–5822.</w:t>
      </w:r>
    </w:p>
    <w:p w14:paraId="0DDACED6"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Theau-Clement, M., Eliot, A., Amelie, S., Georges, S., &amp; Brain, J. (2016). Relationship between </w:t>
      </w:r>
      <w:proofErr w:type="gramStart"/>
      <w:r w:rsidRPr="00C46493">
        <w:rPr>
          <w:rFonts w:ascii="Arial" w:hAnsi="Arial" w:cs="Arial"/>
          <w:sz w:val="20"/>
          <w:szCs w:val="20"/>
        </w:rPr>
        <w:t>rabbits</w:t>
      </w:r>
      <w:proofErr w:type="gramEnd"/>
      <w:r w:rsidRPr="00C46493">
        <w:rPr>
          <w:rFonts w:ascii="Arial" w:hAnsi="Arial" w:cs="Arial"/>
          <w:sz w:val="20"/>
          <w:szCs w:val="20"/>
        </w:rPr>
        <w:t xml:space="preserve"> semen characteristics and fertilizing ability after insemination. </w:t>
      </w:r>
      <w:r w:rsidRPr="00C46493">
        <w:rPr>
          <w:rStyle w:val="Emphasis"/>
          <w:rFonts w:ascii="Arial" w:eastAsiaTheme="majorEastAsia" w:hAnsi="Arial" w:cs="Arial"/>
          <w:sz w:val="20"/>
          <w:szCs w:val="20"/>
        </w:rPr>
        <w:t>Animals</w:t>
      </w:r>
      <w:r w:rsidRPr="00C46493">
        <w:rPr>
          <w:rFonts w:ascii="Arial" w:hAnsi="Arial" w:cs="Arial"/>
          <w:sz w:val="20"/>
          <w:szCs w:val="20"/>
        </w:rPr>
        <w:t xml:space="preserve">, </w:t>
      </w:r>
      <w:r w:rsidRPr="00C46493">
        <w:rPr>
          <w:rStyle w:val="Emphasis"/>
          <w:rFonts w:ascii="Arial" w:eastAsiaTheme="majorEastAsia" w:hAnsi="Arial" w:cs="Arial"/>
          <w:sz w:val="20"/>
          <w:szCs w:val="20"/>
        </w:rPr>
        <w:t>10</w:t>
      </w:r>
      <w:r w:rsidRPr="00C46493">
        <w:rPr>
          <w:rFonts w:ascii="Arial" w:hAnsi="Arial" w:cs="Arial"/>
          <w:sz w:val="20"/>
          <w:szCs w:val="20"/>
        </w:rPr>
        <w:t>(3), 426–431.</w:t>
      </w:r>
    </w:p>
    <w:p w14:paraId="1E3DAF4D"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Semet</w:t>
      </w:r>
      <w:proofErr w:type="spellEnd"/>
      <w:r w:rsidRPr="00C46493">
        <w:rPr>
          <w:rFonts w:ascii="Arial" w:hAnsi="Arial" w:cs="Arial"/>
          <w:sz w:val="20"/>
          <w:szCs w:val="20"/>
        </w:rPr>
        <w:t xml:space="preserve">, M, </w:t>
      </w:r>
      <w:proofErr w:type="spellStart"/>
      <w:r w:rsidRPr="00C46493">
        <w:rPr>
          <w:rFonts w:ascii="Arial" w:hAnsi="Arial" w:cs="Arial"/>
          <w:sz w:val="20"/>
          <w:szCs w:val="20"/>
        </w:rPr>
        <w:t>Paci</w:t>
      </w:r>
      <w:proofErr w:type="spellEnd"/>
      <w:r w:rsidRPr="00C46493">
        <w:rPr>
          <w:rFonts w:ascii="Arial" w:hAnsi="Arial" w:cs="Arial"/>
          <w:sz w:val="20"/>
          <w:szCs w:val="20"/>
        </w:rPr>
        <w:t xml:space="preserve">, M, </w:t>
      </w:r>
      <w:proofErr w:type="spellStart"/>
      <w:r w:rsidRPr="00C46493">
        <w:rPr>
          <w:rFonts w:ascii="Arial" w:hAnsi="Arial" w:cs="Arial"/>
          <w:sz w:val="20"/>
          <w:szCs w:val="20"/>
        </w:rPr>
        <w:t>Saias-Magnan</w:t>
      </w:r>
      <w:proofErr w:type="spellEnd"/>
      <w:r w:rsidRPr="00C46493">
        <w:rPr>
          <w:rFonts w:ascii="Arial" w:hAnsi="Arial" w:cs="Arial"/>
          <w:sz w:val="20"/>
          <w:szCs w:val="20"/>
        </w:rPr>
        <w:t>, J, Metzler-</w:t>
      </w:r>
      <w:proofErr w:type="spellStart"/>
      <w:r w:rsidRPr="00C46493">
        <w:rPr>
          <w:rFonts w:ascii="Arial" w:hAnsi="Arial" w:cs="Arial"/>
          <w:sz w:val="20"/>
          <w:szCs w:val="20"/>
        </w:rPr>
        <w:t>Guillemain</w:t>
      </w:r>
      <w:proofErr w:type="spellEnd"/>
      <w:r w:rsidRPr="00C46493">
        <w:rPr>
          <w:rFonts w:ascii="Arial" w:hAnsi="Arial" w:cs="Arial"/>
          <w:sz w:val="20"/>
          <w:szCs w:val="20"/>
        </w:rPr>
        <w:t xml:space="preserve">, </w:t>
      </w:r>
      <w:proofErr w:type="spellStart"/>
      <w:r w:rsidRPr="00C46493">
        <w:rPr>
          <w:rFonts w:ascii="Arial" w:hAnsi="Arial" w:cs="Arial"/>
          <w:sz w:val="20"/>
          <w:szCs w:val="20"/>
        </w:rPr>
        <w:t>Boissier</w:t>
      </w:r>
      <w:proofErr w:type="spellEnd"/>
      <w:r w:rsidRPr="00C46493">
        <w:rPr>
          <w:rFonts w:ascii="Arial" w:hAnsi="Arial" w:cs="Arial"/>
          <w:sz w:val="20"/>
          <w:szCs w:val="20"/>
        </w:rPr>
        <w:t>, R, Lejeune, H and Perrin, J (2017</w:t>
      </w:r>
      <w:proofErr w:type="gramStart"/>
      <w:r w:rsidRPr="00C46493">
        <w:rPr>
          <w:rFonts w:ascii="Arial" w:hAnsi="Arial" w:cs="Arial"/>
          <w:sz w:val="20"/>
          <w:szCs w:val="20"/>
        </w:rPr>
        <w:t>).Impact</w:t>
      </w:r>
      <w:proofErr w:type="gramEnd"/>
      <w:r w:rsidRPr="00C46493">
        <w:rPr>
          <w:rFonts w:ascii="Arial" w:hAnsi="Arial" w:cs="Arial"/>
          <w:sz w:val="20"/>
          <w:szCs w:val="20"/>
        </w:rPr>
        <w:t xml:space="preserve"> of drugs on male fertility: a review.Andrology,5(4),640-663</w:t>
      </w:r>
    </w:p>
    <w:p w14:paraId="3F7AE25B"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Yakubu, M. T., &amp; Quadri, A. L. (2012). Garcinia kola seeds: Is the aqueous extract a true aphrodisiac in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Emphasis"/>
          <w:rFonts w:ascii="Arial" w:eastAsiaTheme="majorEastAsia" w:hAnsi="Arial" w:cs="Arial"/>
          <w:sz w:val="20"/>
          <w:szCs w:val="20"/>
        </w:rPr>
        <w:t>African Journal of Traditional, Complementary and Alternative Medicine</w:t>
      </w:r>
      <w:r w:rsidRPr="00C46493">
        <w:rPr>
          <w:rFonts w:ascii="Arial" w:hAnsi="Arial" w:cs="Arial"/>
          <w:sz w:val="20"/>
          <w:szCs w:val="20"/>
        </w:rPr>
        <w:t xml:space="preserve">, </w:t>
      </w:r>
      <w:r w:rsidRPr="00C46493">
        <w:rPr>
          <w:rStyle w:val="Emphasis"/>
          <w:rFonts w:ascii="Arial" w:eastAsiaTheme="majorEastAsia" w:hAnsi="Arial" w:cs="Arial"/>
          <w:sz w:val="20"/>
          <w:szCs w:val="20"/>
        </w:rPr>
        <w:t>9</w:t>
      </w:r>
      <w:r w:rsidRPr="00C46493">
        <w:rPr>
          <w:rFonts w:ascii="Arial" w:hAnsi="Arial" w:cs="Arial"/>
          <w:sz w:val="20"/>
          <w:szCs w:val="20"/>
        </w:rPr>
        <w:t>(4), 530–535.</w:t>
      </w:r>
    </w:p>
    <w:p w14:paraId="684A9E8A"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Wells, M. E., &amp; Awa, O. A. (1970). New technique for assessing acrosomal characteristics of spermatozoa. </w:t>
      </w:r>
      <w:r w:rsidRPr="00C46493">
        <w:rPr>
          <w:rFonts w:ascii="Arial" w:hAnsi="Arial" w:cs="Arial"/>
          <w:i/>
          <w:iCs/>
          <w:sz w:val="20"/>
          <w:szCs w:val="20"/>
        </w:rPr>
        <w:t>Journal of Dairy Science</w:t>
      </w:r>
      <w:r w:rsidRPr="00C46493">
        <w:rPr>
          <w:rFonts w:ascii="Arial" w:hAnsi="Arial" w:cs="Arial"/>
          <w:sz w:val="20"/>
          <w:szCs w:val="20"/>
        </w:rPr>
        <w:t xml:space="preserve">, </w:t>
      </w:r>
      <w:r w:rsidRPr="00C46493">
        <w:rPr>
          <w:rFonts w:ascii="Arial" w:hAnsi="Arial" w:cs="Arial"/>
          <w:i/>
          <w:iCs/>
          <w:sz w:val="20"/>
          <w:szCs w:val="20"/>
        </w:rPr>
        <w:t>53</w:t>
      </w:r>
      <w:r w:rsidRPr="00C46493">
        <w:rPr>
          <w:rFonts w:ascii="Arial" w:hAnsi="Arial" w:cs="Arial"/>
          <w:sz w:val="20"/>
          <w:szCs w:val="20"/>
        </w:rPr>
        <w:t>(2), 227-232. https://doi.org/10.3168/jds.S0022-0302(70)86184-7</w:t>
      </w:r>
    </w:p>
    <w:p w14:paraId="11B0FA0A" w14:textId="77777777" w:rsidR="00467910" w:rsidRPr="00C46493" w:rsidRDefault="00467910" w:rsidP="00467910">
      <w:pPr>
        <w:autoSpaceDE w:val="0"/>
        <w:autoSpaceDN w:val="0"/>
        <w:adjustRightInd w:val="0"/>
        <w:spacing w:after="0" w:line="240" w:lineRule="auto"/>
        <w:rPr>
          <w:rFonts w:ascii="Arial" w:hAnsi="Arial" w:cs="Arial"/>
          <w:sz w:val="20"/>
          <w:szCs w:val="20"/>
        </w:rPr>
      </w:pPr>
    </w:p>
    <w:p w14:paraId="4D75064F" w14:textId="77777777" w:rsidR="00E314C0" w:rsidRPr="00C46493" w:rsidRDefault="00E314C0" w:rsidP="00A40CE8">
      <w:pPr>
        <w:spacing w:after="0" w:line="480" w:lineRule="auto"/>
        <w:jc w:val="both"/>
        <w:rPr>
          <w:rFonts w:ascii="Arial" w:hAnsi="Arial" w:cs="Arial"/>
          <w:sz w:val="20"/>
          <w:szCs w:val="20"/>
        </w:rPr>
      </w:pPr>
    </w:p>
    <w:p w14:paraId="1D7FD2C7" w14:textId="77777777" w:rsidR="00E314C0" w:rsidRPr="00C46493" w:rsidRDefault="00E314C0" w:rsidP="00A40CE8">
      <w:pPr>
        <w:spacing w:after="0" w:line="480" w:lineRule="auto"/>
        <w:jc w:val="both"/>
        <w:rPr>
          <w:rFonts w:ascii="Arial" w:hAnsi="Arial" w:cs="Arial"/>
          <w:sz w:val="20"/>
          <w:szCs w:val="20"/>
        </w:rPr>
      </w:pPr>
    </w:p>
    <w:sectPr w:rsidR="00E314C0" w:rsidRPr="00C46493" w:rsidSect="00FC613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2D822" w14:textId="77777777" w:rsidR="00EE757E" w:rsidRDefault="00EE757E" w:rsidP="00467341">
      <w:pPr>
        <w:spacing w:after="0" w:line="240" w:lineRule="auto"/>
      </w:pPr>
      <w:r>
        <w:separator/>
      </w:r>
    </w:p>
  </w:endnote>
  <w:endnote w:type="continuationSeparator" w:id="0">
    <w:p w14:paraId="4E3A7BF5" w14:textId="77777777" w:rsidR="00EE757E" w:rsidRDefault="00EE757E" w:rsidP="0046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55F3" w14:textId="77777777" w:rsidR="00467341" w:rsidRDefault="00467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CCD01" w14:textId="77777777" w:rsidR="00467341" w:rsidRDefault="00467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E7E7" w14:textId="77777777" w:rsidR="00467341" w:rsidRDefault="00467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98270" w14:textId="77777777" w:rsidR="00EE757E" w:rsidRDefault="00EE757E" w:rsidP="00467341">
      <w:pPr>
        <w:spacing w:after="0" w:line="240" w:lineRule="auto"/>
      </w:pPr>
      <w:r>
        <w:separator/>
      </w:r>
    </w:p>
  </w:footnote>
  <w:footnote w:type="continuationSeparator" w:id="0">
    <w:p w14:paraId="69386ABF" w14:textId="77777777" w:rsidR="00EE757E" w:rsidRDefault="00EE757E" w:rsidP="0046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9C09" w14:textId="262004F5" w:rsidR="00467341" w:rsidRDefault="00467341">
    <w:pPr>
      <w:pStyle w:val="Header"/>
    </w:pPr>
    <w:r>
      <w:rPr>
        <w:noProof/>
      </w:rPr>
      <w:pict w14:anchorId="1123D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2F22" w14:textId="3C90D28B" w:rsidR="00467341" w:rsidRDefault="00467341">
    <w:pPr>
      <w:pStyle w:val="Header"/>
    </w:pPr>
    <w:r>
      <w:rPr>
        <w:noProof/>
      </w:rPr>
      <w:pict w14:anchorId="5C6C2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356D" w14:textId="75BF825B" w:rsidR="00467341" w:rsidRDefault="00467341">
    <w:pPr>
      <w:pStyle w:val="Header"/>
    </w:pPr>
    <w:r>
      <w:rPr>
        <w:noProof/>
      </w:rPr>
      <w:pict w14:anchorId="12E85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76CAF"/>
    <w:multiLevelType w:val="hybridMultilevel"/>
    <w:tmpl w:val="26307606"/>
    <w:lvl w:ilvl="0" w:tplc="5268C6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E06A1"/>
    <w:multiLevelType w:val="hybridMultilevel"/>
    <w:tmpl w:val="0FAE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B03"/>
    <w:rsid w:val="0000410B"/>
    <w:rsid w:val="00011986"/>
    <w:rsid w:val="0007141D"/>
    <w:rsid w:val="00083F96"/>
    <w:rsid w:val="000B12A1"/>
    <w:rsid w:val="000B2346"/>
    <w:rsid w:val="000C2CA0"/>
    <w:rsid w:val="000E1C5F"/>
    <w:rsid w:val="000F4332"/>
    <w:rsid w:val="000F654F"/>
    <w:rsid w:val="00101F56"/>
    <w:rsid w:val="00193CE0"/>
    <w:rsid w:val="0020560D"/>
    <w:rsid w:val="00205BD6"/>
    <w:rsid w:val="002222F1"/>
    <w:rsid w:val="00223D14"/>
    <w:rsid w:val="00245CED"/>
    <w:rsid w:val="00255BC7"/>
    <w:rsid w:val="00261A41"/>
    <w:rsid w:val="002F7031"/>
    <w:rsid w:val="00304A50"/>
    <w:rsid w:val="00307EC8"/>
    <w:rsid w:val="003166CD"/>
    <w:rsid w:val="00337FBA"/>
    <w:rsid w:val="003B61DE"/>
    <w:rsid w:val="003C38EE"/>
    <w:rsid w:val="003F3AA2"/>
    <w:rsid w:val="004171FA"/>
    <w:rsid w:val="00443A0B"/>
    <w:rsid w:val="0044777A"/>
    <w:rsid w:val="00467341"/>
    <w:rsid w:val="00467910"/>
    <w:rsid w:val="00511EB9"/>
    <w:rsid w:val="005B2F31"/>
    <w:rsid w:val="005C6B5E"/>
    <w:rsid w:val="005D23C2"/>
    <w:rsid w:val="00652D9C"/>
    <w:rsid w:val="00653E2B"/>
    <w:rsid w:val="00661513"/>
    <w:rsid w:val="0067603D"/>
    <w:rsid w:val="006D2654"/>
    <w:rsid w:val="006E367F"/>
    <w:rsid w:val="006F4D64"/>
    <w:rsid w:val="0071005B"/>
    <w:rsid w:val="0075046D"/>
    <w:rsid w:val="00781448"/>
    <w:rsid w:val="00795E3C"/>
    <w:rsid w:val="007E5BBE"/>
    <w:rsid w:val="007E6FB3"/>
    <w:rsid w:val="007F1C5C"/>
    <w:rsid w:val="00834135"/>
    <w:rsid w:val="00846598"/>
    <w:rsid w:val="008A76AA"/>
    <w:rsid w:val="008B4946"/>
    <w:rsid w:val="008E01C3"/>
    <w:rsid w:val="008E14D9"/>
    <w:rsid w:val="008E3195"/>
    <w:rsid w:val="00910B03"/>
    <w:rsid w:val="0091571C"/>
    <w:rsid w:val="009F62E2"/>
    <w:rsid w:val="00A046C3"/>
    <w:rsid w:val="00A2486B"/>
    <w:rsid w:val="00A27BA4"/>
    <w:rsid w:val="00A40CE8"/>
    <w:rsid w:val="00A93B15"/>
    <w:rsid w:val="00A97A9D"/>
    <w:rsid w:val="00AA089A"/>
    <w:rsid w:val="00AA26A7"/>
    <w:rsid w:val="00AB1327"/>
    <w:rsid w:val="00AB4588"/>
    <w:rsid w:val="00B01312"/>
    <w:rsid w:val="00B624A4"/>
    <w:rsid w:val="00BE29BA"/>
    <w:rsid w:val="00BF0BFC"/>
    <w:rsid w:val="00C27279"/>
    <w:rsid w:val="00C36E31"/>
    <w:rsid w:val="00C46493"/>
    <w:rsid w:val="00C81250"/>
    <w:rsid w:val="00C83B0F"/>
    <w:rsid w:val="00CA1999"/>
    <w:rsid w:val="00CD5ADC"/>
    <w:rsid w:val="00D02BE2"/>
    <w:rsid w:val="00D13F79"/>
    <w:rsid w:val="00D33F82"/>
    <w:rsid w:val="00D95129"/>
    <w:rsid w:val="00DB31AA"/>
    <w:rsid w:val="00DC12A8"/>
    <w:rsid w:val="00DD0498"/>
    <w:rsid w:val="00DD46BE"/>
    <w:rsid w:val="00DE3533"/>
    <w:rsid w:val="00DE3DD9"/>
    <w:rsid w:val="00E05445"/>
    <w:rsid w:val="00E314C0"/>
    <w:rsid w:val="00E552E9"/>
    <w:rsid w:val="00E80421"/>
    <w:rsid w:val="00E97585"/>
    <w:rsid w:val="00EC150A"/>
    <w:rsid w:val="00EC24E3"/>
    <w:rsid w:val="00EE757E"/>
    <w:rsid w:val="00F56BD3"/>
    <w:rsid w:val="00F6179A"/>
    <w:rsid w:val="00F87295"/>
    <w:rsid w:val="00F96685"/>
    <w:rsid w:val="00FA24DD"/>
    <w:rsid w:val="00FA34F2"/>
    <w:rsid w:val="00FA48A0"/>
    <w:rsid w:val="00FA6F85"/>
    <w:rsid w:val="00FC613E"/>
    <w:rsid w:val="00FF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DE6E6F"/>
  <w15:docId w15:val="{37D48B23-CA5F-4CFE-B10D-192CC69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B03"/>
    <w:pPr>
      <w:ind w:left="720"/>
      <w:contextualSpacing/>
    </w:pPr>
  </w:style>
  <w:style w:type="paragraph" w:customStyle="1" w:styleId="css-uoqnqe">
    <w:name w:val="css-uoqnqe"/>
    <w:basedOn w:val="Normal"/>
    <w:rsid w:val="00C36E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7910"/>
    <w:rPr>
      <w:i/>
      <w:iCs/>
    </w:rPr>
  </w:style>
  <w:style w:type="paragraph" w:customStyle="1" w:styleId="whitespace-normal">
    <w:name w:val="whitespace-normal"/>
    <w:basedOn w:val="Normal"/>
    <w:rsid w:val="00467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4135"/>
    <w:rPr>
      <w:color w:val="0000FF" w:themeColor="hyperlink"/>
      <w:u w:val="single"/>
    </w:rPr>
  </w:style>
  <w:style w:type="character" w:styleId="UnresolvedMention">
    <w:name w:val="Unresolved Mention"/>
    <w:basedOn w:val="DefaultParagraphFont"/>
    <w:uiPriority w:val="99"/>
    <w:semiHidden/>
    <w:unhideWhenUsed/>
    <w:rsid w:val="00652D9C"/>
    <w:rPr>
      <w:color w:val="605E5C"/>
      <w:shd w:val="clear" w:color="auto" w:fill="E1DFDD"/>
    </w:rPr>
  </w:style>
  <w:style w:type="paragraph" w:styleId="Header">
    <w:name w:val="header"/>
    <w:basedOn w:val="Normal"/>
    <w:link w:val="HeaderChar"/>
    <w:uiPriority w:val="99"/>
    <w:unhideWhenUsed/>
    <w:rsid w:val="0046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341"/>
  </w:style>
  <w:style w:type="paragraph" w:styleId="Footer">
    <w:name w:val="footer"/>
    <w:basedOn w:val="Normal"/>
    <w:link w:val="FooterChar"/>
    <w:uiPriority w:val="99"/>
    <w:unhideWhenUsed/>
    <w:rsid w:val="0046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971">
      <w:bodyDiv w:val="1"/>
      <w:marLeft w:val="0"/>
      <w:marRight w:val="0"/>
      <w:marTop w:val="0"/>
      <w:marBottom w:val="0"/>
      <w:divBdr>
        <w:top w:val="none" w:sz="0" w:space="0" w:color="auto"/>
        <w:left w:val="none" w:sz="0" w:space="0" w:color="auto"/>
        <w:bottom w:val="none" w:sz="0" w:space="0" w:color="auto"/>
        <w:right w:val="none" w:sz="0" w:space="0" w:color="auto"/>
      </w:divBdr>
    </w:div>
    <w:div w:id="1232470136">
      <w:bodyDiv w:val="1"/>
      <w:marLeft w:val="0"/>
      <w:marRight w:val="0"/>
      <w:marTop w:val="0"/>
      <w:marBottom w:val="0"/>
      <w:divBdr>
        <w:top w:val="none" w:sz="0" w:space="0" w:color="auto"/>
        <w:left w:val="none" w:sz="0" w:space="0" w:color="auto"/>
        <w:bottom w:val="none" w:sz="0" w:space="0" w:color="auto"/>
        <w:right w:val="none" w:sz="0" w:space="0" w:color="auto"/>
      </w:divBdr>
    </w:div>
    <w:div w:id="1361591350">
      <w:bodyDiv w:val="1"/>
      <w:marLeft w:val="0"/>
      <w:marRight w:val="0"/>
      <w:marTop w:val="0"/>
      <w:marBottom w:val="0"/>
      <w:divBdr>
        <w:top w:val="none" w:sz="0" w:space="0" w:color="auto"/>
        <w:left w:val="none" w:sz="0" w:space="0" w:color="auto"/>
        <w:bottom w:val="none" w:sz="0" w:space="0" w:color="auto"/>
        <w:right w:val="none" w:sz="0" w:space="0" w:color="auto"/>
      </w:divBdr>
    </w:div>
    <w:div w:id="1555584730">
      <w:bodyDiv w:val="1"/>
      <w:marLeft w:val="0"/>
      <w:marRight w:val="0"/>
      <w:marTop w:val="0"/>
      <w:marBottom w:val="0"/>
      <w:divBdr>
        <w:top w:val="none" w:sz="0" w:space="0" w:color="auto"/>
        <w:left w:val="none" w:sz="0" w:space="0" w:color="auto"/>
        <w:bottom w:val="none" w:sz="0" w:space="0" w:color="auto"/>
        <w:right w:val="none" w:sz="0" w:space="0" w:color="auto"/>
      </w:divBdr>
    </w:div>
    <w:div w:id="1562251194">
      <w:bodyDiv w:val="1"/>
      <w:marLeft w:val="0"/>
      <w:marRight w:val="0"/>
      <w:marTop w:val="0"/>
      <w:marBottom w:val="0"/>
      <w:divBdr>
        <w:top w:val="none" w:sz="0" w:space="0" w:color="auto"/>
        <w:left w:val="none" w:sz="0" w:space="0" w:color="auto"/>
        <w:bottom w:val="none" w:sz="0" w:space="0" w:color="auto"/>
        <w:right w:val="none" w:sz="0" w:space="0" w:color="auto"/>
      </w:divBdr>
      <w:divsChild>
        <w:div w:id="168450183">
          <w:marLeft w:val="0"/>
          <w:marRight w:val="0"/>
          <w:marTop w:val="0"/>
          <w:marBottom w:val="0"/>
          <w:divBdr>
            <w:top w:val="none" w:sz="0" w:space="0" w:color="auto"/>
            <w:left w:val="none" w:sz="0" w:space="0" w:color="auto"/>
            <w:bottom w:val="none" w:sz="0" w:space="0" w:color="auto"/>
            <w:right w:val="none" w:sz="0" w:space="0" w:color="auto"/>
          </w:divBdr>
          <w:divsChild>
            <w:div w:id="11586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13</Pages>
  <Words>4978</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SDI 1180</cp:lastModifiedBy>
  <cp:revision>89</cp:revision>
  <dcterms:created xsi:type="dcterms:W3CDTF">2025-10-01T08:19:00Z</dcterms:created>
  <dcterms:modified xsi:type="dcterms:W3CDTF">2025-10-08T08:23:00Z</dcterms:modified>
</cp:coreProperties>
</file>