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5B718" w14:textId="2CF69D87" w:rsidR="007A48D9" w:rsidRDefault="00350345" w:rsidP="00055D83">
      <w:pPr>
        <w:spacing w:before="0" w:line="240" w:lineRule="auto"/>
        <w:jc w:val="center"/>
        <w:rPr>
          <w:rFonts w:cs="Times New Roman"/>
          <w:b/>
          <w:bCs/>
          <w:color w:val="000000" w:themeColor="text1"/>
          <w:sz w:val="36"/>
          <w:szCs w:val="36"/>
        </w:rPr>
      </w:pPr>
      <w:r w:rsidRPr="00350345">
        <w:rPr>
          <w:rFonts w:cs="Times New Roman"/>
          <w:b/>
          <w:bCs/>
          <w:color w:val="000000" w:themeColor="text1"/>
          <w:sz w:val="36"/>
          <w:szCs w:val="36"/>
        </w:rPr>
        <w:t>The Impact of Debt Financing on the Financial Performance of Construction and Allied Firms Listed on the Nairobi Securities Exchange, Kenya</w:t>
      </w:r>
    </w:p>
    <w:p w14:paraId="4A4BA08F" w14:textId="2329D9F8" w:rsidR="003607E2" w:rsidRDefault="003607E2" w:rsidP="00055D83">
      <w:pPr>
        <w:spacing w:before="0" w:line="240" w:lineRule="auto"/>
        <w:jc w:val="center"/>
        <w:rPr>
          <w:rFonts w:cs="Times New Roman"/>
          <w:b/>
          <w:bCs/>
          <w:color w:val="000000" w:themeColor="text1"/>
          <w:sz w:val="36"/>
          <w:szCs w:val="36"/>
        </w:rPr>
      </w:pPr>
    </w:p>
    <w:p w14:paraId="179BCF32" w14:textId="01413038" w:rsidR="003607E2" w:rsidRDefault="003607E2" w:rsidP="00055D83">
      <w:pPr>
        <w:spacing w:before="0" w:line="240" w:lineRule="auto"/>
        <w:jc w:val="center"/>
        <w:rPr>
          <w:rFonts w:cs="Times New Roman"/>
          <w:b/>
          <w:bCs/>
          <w:color w:val="000000" w:themeColor="text1"/>
          <w:sz w:val="36"/>
          <w:szCs w:val="36"/>
        </w:rPr>
      </w:pPr>
    </w:p>
    <w:p w14:paraId="3CE387F8" w14:textId="7FE63F1F" w:rsidR="003607E2" w:rsidRDefault="003607E2" w:rsidP="00055D83">
      <w:pPr>
        <w:spacing w:before="0" w:line="240" w:lineRule="auto"/>
        <w:jc w:val="center"/>
        <w:rPr>
          <w:rFonts w:cs="Times New Roman"/>
          <w:b/>
          <w:bCs/>
          <w:color w:val="000000" w:themeColor="text1"/>
          <w:sz w:val="36"/>
          <w:szCs w:val="36"/>
        </w:rPr>
      </w:pPr>
    </w:p>
    <w:p w14:paraId="3F108D69" w14:textId="77777777" w:rsidR="003607E2" w:rsidRPr="00FB2E0F" w:rsidRDefault="003607E2" w:rsidP="00055D83">
      <w:pPr>
        <w:spacing w:before="0" w:line="240" w:lineRule="auto"/>
        <w:jc w:val="center"/>
        <w:rPr>
          <w:rFonts w:cs="Times New Roman"/>
          <w:b/>
          <w:color w:val="000000" w:themeColor="text1"/>
          <w:szCs w:val="24"/>
        </w:rPr>
      </w:pPr>
    </w:p>
    <w:p w14:paraId="420C5B92" w14:textId="77777777" w:rsidR="00DD21C0" w:rsidRDefault="00DD21C0" w:rsidP="00055D83">
      <w:pPr>
        <w:spacing w:before="0" w:line="240" w:lineRule="auto"/>
        <w:jc w:val="center"/>
        <w:rPr>
          <w:rFonts w:cs="Times New Roman"/>
          <w:color w:val="000000" w:themeColor="text1"/>
          <w:szCs w:val="24"/>
        </w:rPr>
      </w:pPr>
    </w:p>
    <w:p w14:paraId="26A1F76F" w14:textId="77777777" w:rsidR="00DD21C0" w:rsidRDefault="00DD21C0" w:rsidP="00055D83">
      <w:pPr>
        <w:spacing w:before="0" w:line="240" w:lineRule="auto"/>
        <w:jc w:val="center"/>
        <w:rPr>
          <w:rFonts w:cs="Times New Roman"/>
          <w:color w:val="000000" w:themeColor="text1"/>
          <w:szCs w:val="24"/>
        </w:rPr>
      </w:pPr>
    </w:p>
    <w:p w14:paraId="43D2AA90" w14:textId="77777777" w:rsidR="007C3182" w:rsidRPr="00FB2E0F" w:rsidRDefault="007C3182" w:rsidP="00055D83">
      <w:pPr>
        <w:spacing w:before="0" w:line="240" w:lineRule="auto"/>
        <w:jc w:val="center"/>
        <w:rPr>
          <w:rFonts w:cs="Times New Roman"/>
          <w:color w:val="000000" w:themeColor="text1"/>
          <w:szCs w:val="24"/>
        </w:rPr>
      </w:pPr>
    </w:p>
    <w:p w14:paraId="42946DD8" w14:textId="77777777" w:rsidR="00055D83" w:rsidRPr="004737A8" w:rsidRDefault="00055D83" w:rsidP="004737A8">
      <w:pPr>
        <w:spacing w:before="0" w:line="240" w:lineRule="auto"/>
        <w:jc w:val="center"/>
        <w:rPr>
          <w:b/>
          <w:sz w:val="28"/>
        </w:rPr>
      </w:pPr>
      <w:bookmarkStart w:id="0" w:name="_Toc488404692"/>
      <w:bookmarkStart w:id="1" w:name="_Toc102409737"/>
      <w:r w:rsidRPr="004737A8">
        <w:rPr>
          <w:b/>
          <w:sz w:val="28"/>
        </w:rPr>
        <w:t>ABSTRACT</w:t>
      </w:r>
      <w:bookmarkEnd w:id="0"/>
      <w:bookmarkEnd w:id="1"/>
    </w:p>
    <w:p w14:paraId="6744D85A" w14:textId="59551B9E" w:rsidR="00350345" w:rsidRPr="00350345" w:rsidRDefault="00350345" w:rsidP="00350345">
      <w:pPr>
        <w:spacing w:line="240" w:lineRule="auto"/>
        <w:rPr>
          <w:rFonts w:cs="Times New Roman"/>
          <w:color w:val="000000" w:themeColor="text1"/>
          <w:szCs w:val="24"/>
        </w:rPr>
      </w:pPr>
      <w:r w:rsidRPr="00350345">
        <w:rPr>
          <w:rFonts w:cs="Times New Roman"/>
          <w:color w:val="000000" w:themeColor="text1"/>
          <w:szCs w:val="24"/>
        </w:rPr>
        <w:t>The construction and allied firms listed on the Nairobi Securities Exchange (NSE) have largely faced challenges in achieving profitability, with many reporting consistent losses over the years. A key factor contributing to these losses is the inefficient use of debt financing, which undermines overall productivity. This study investigates the impact of debt financing on the financial performance of construction and allied firms listed at the NSE. The specific objectives of the research include examining the effects of short-term debt, long-term debt, and total debt on financial performance, as well as exploring the moderating role of firm size in the debt-performance relationship.</w:t>
      </w:r>
      <w:r>
        <w:rPr>
          <w:rFonts w:cs="Times New Roman"/>
          <w:color w:val="000000" w:themeColor="text1"/>
          <w:szCs w:val="24"/>
        </w:rPr>
        <w:t xml:space="preserve"> </w:t>
      </w:r>
      <w:r w:rsidRPr="00350345">
        <w:rPr>
          <w:rFonts w:cs="Times New Roman"/>
          <w:color w:val="000000" w:themeColor="text1"/>
          <w:szCs w:val="24"/>
        </w:rPr>
        <w:t>The study is anchored on five key theories: Pecking Order Theory, Modigliani and Miller Theory, Trade-off Theory, Profit Maximization Theory, and the Growth of the Firm Theory. A positivist research philosophy underpins the study, which employs a quantitative approach. Panel regression analysis was used to assess the relationship between debt financing and financial performance, with data collected from four construction and allied companies listed on the NSE over the period 2015-2021. A census was conducted, and secondary data was gathered to examine the variables of financial performance, short-term debt, long-term debt, and total debt.</w:t>
      </w:r>
      <w:r>
        <w:rPr>
          <w:rFonts w:cs="Times New Roman"/>
          <w:color w:val="000000" w:themeColor="text1"/>
          <w:szCs w:val="24"/>
        </w:rPr>
        <w:t xml:space="preserve"> </w:t>
      </w:r>
      <w:r w:rsidRPr="00350345">
        <w:rPr>
          <w:rFonts w:cs="Times New Roman"/>
          <w:color w:val="000000" w:themeColor="text1"/>
          <w:szCs w:val="24"/>
        </w:rPr>
        <w:t>Findings revealed that both short-term and long-term debt had negative and significant effects on the financial performance of these firms, while total debt showed a negative but insignificant impact. Based on these results, it is recommended that construction firms reduce reliance on short-term debt and instead explore internal financing options to mitigate risks associated with high-interest debt obligations.</w:t>
      </w:r>
    </w:p>
    <w:p w14:paraId="6D5F1AAB" w14:textId="659C51DB" w:rsidR="003607E2" w:rsidRPr="003607E2" w:rsidRDefault="00350345" w:rsidP="00350345">
      <w:pPr>
        <w:spacing w:line="240" w:lineRule="auto"/>
        <w:rPr>
          <w:rFonts w:cs="Times New Roman"/>
          <w:color w:val="000000" w:themeColor="text1"/>
          <w:szCs w:val="24"/>
        </w:rPr>
      </w:pPr>
      <w:r w:rsidRPr="00350345">
        <w:rPr>
          <w:rFonts w:cs="Times New Roman"/>
          <w:b/>
          <w:color w:val="000000" w:themeColor="text1"/>
          <w:szCs w:val="24"/>
        </w:rPr>
        <w:t>Keywords:</w:t>
      </w:r>
      <w:r w:rsidRPr="00350345">
        <w:rPr>
          <w:rFonts w:cs="Times New Roman"/>
          <w:color w:val="000000" w:themeColor="text1"/>
          <w:szCs w:val="24"/>
        </w:rPr>
        <w:t xml:space="preserve"> </w:t>
      </w:r>
      <w:r w:rsidRPr="00350345">
        <w:rPr>
          <w:rFonts w:cs="Times New Roman"/>
          <w:i/>
          <w:color w:val="000000" w:themeColor="text1"/>
          <w:szCs w:val="24"/>
        </w:rPr>
        <w:t>Debt Financing, Financial P</w:t>
      </w:r>
      <w:r>
        <w:rPr>
          <w:rFonts w:cs="Times New Roman"/>
          <w:i/>
          <w:color w:val="000000" w:themeColor="text1"/>
          <w:szCs w:val="24"/>
        </w:rPr>
        <w:t>erformance, Construction Firms</w:t>
      </w:r>
      <w:r w:rsidRPr="00350345">
        <w:rPr>
          <w:rFonts w:cs="Times New Roman"/>
          <w:i/>
          <w:color w:val="000000" w:themeColor="text1"/>
          <w:szCs w:val="24"/>
        </w:rPr>
        <w:t>, Short-term Debt, Long-term Debt</w:t>
      </w:r>
      <w:r w:rsidR="003607E2" w:rsidRPr="003607E2">
        <w:rPr>
          <w:rFonts w:cs="Times New Roman"/>
          <w:color w:val="000000" w:themeColor="text1"/>
          <w:szCs w:val="24"/>
        </w:rPr>
        <w:t>.</w:t>
      </w:r>
    </w:p>
    <w:p w14:paraId="60C890DF" w14:textId="7777777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1.0 INTRODUCTION</w:t>
      </w:r>
    </w:p>
    <w:p w14:paraId="72F55392" w14:textId="77777777" w:rsidR="00350345" w:rsidRPr="00350345"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The construction industry is widely recognized for its significant contribution to national economies, particularly in developing countries where it generates employment and supports poverty alleviation. Governments often include construction in their strategic development plans and provide financial support such as subsidized loans to enhance firms’ performance (Karuma, Ndambiri, &amp; Oluoch, 2018). However, whether such financing mechanisms improve the financial sustainability of firms remains a key concern (Matarirano, 2007). Debt financing, in particular, has emerged as a major external source of capital for firms that require additional resources beyond their internal capacity (Baltaci &amp; Ayaydin, 2014). While it helps firms bridge financial gaps, debt also introduces risks such as bankruptcy if repayment obligations are unmet, creating tension between shareholders and debt holders (Jensen &amp; Meckling, 1976).</w:t>
      </w:r>
    </w:p>
    <w:p w14:paraId="73043925" w14:textId="77777777" w:rsidR="00350345" w:rsidRPr="00350345"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 xml:space="preserve">Empirical findings on the relationship between debt and financial performance remain mixed across contexts. Nur, Anita, and Saiyidi (2017) reported that total debt negatively affects return on assets (ROA) among Malaysian construction firms, while Bhardwaj (2018) found a positive association between debt and profitability in Indian manufacturing firms. Similarly, Tauseef, Lohano, and Khan (2015) observed a non-linear relationship, where return </w:t>
      </w:r>
      <w:r w:rsidRPr="00350345">
        <w:rPr>
          <w:rFonts w:cs="Times New Roman"/>
          <w:color w:val="000000" w:themeColor="text1"/>
          <w:szCs w:val="24"/>
        </w:rPr>
        <w:lastRenderedPageBreak/>
        <w:t>on equity (ROE) rises with moderate debt levels but declines when debt-to-asset ratios become excessive. Firm size has also been investigated, with some studies suggesting it positively influences profitability (Velnampy &amp; Nimalathasan, 2010), while others find no significant impact (Gabriel, Kilika, &amp; Muchemi, 2020).</w:t>
      </w:r>
    </w:p>
    <w:p w14:paraId="24853024" w14:textId="77777777" w:rsidR="00350345" w:rsidRPr="00350345"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Regional studies further highlight these variations. Philip and Olanrewa (2020) found that short-term and medium-term debt negatively affect ROE, whereas long-term debt shows a positive relationship. In Nigeria, Egwurube, Lateef, and Onipe (2020) established that short-term debt significantly undermines financial health, while long-term debt-to-equity ratios exert little effect. Aziz and Abbas (2019) emphasized that excessive debt burdens financial performance due to high costs, suggesting reliance on internal financing as a more reliable strategy. In Kenya, Makanga (2015) argued that construction firms benefit from long-term debt provided borrowing costs remain below the rate of return, while Albert (2018) confirmed a significant link between capital structure and ROA.</w:t>
      </w:r>
    </w:p>
    <w:p w14:paraId="408A58F9" w14:textId="7596245F" w:rsidR="00416E73"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Debt financing, therefore, represents a critical dimension of firm performance and sustainability. It entails acquiring funds from financial institutions to support current and future operations (Ng’ang’a, 2017). This study adopts short-term debt (STD), long-term debt (LTD), and total debt (TD) as indicators of debt financing. Short-term debt, repayable within a year, is less costly due to lower interest charges and flexible repayment terms, making it attractive for firms with immediate liquidity needs (Becker, Hege, &amp; Mella-Barral, 2020). However, it may also expose firms to refinancing risks. By contrast, long-term debt extends beyond one year and, though more expensive, provides stability in financing long-term projects. Evidence suggests that construction firms in contexts of economic growth tend to rely more on LTD for expansion (Akeem, Kiyanjui, &amp; Kayode, 2014). Total debt, representing the aggregate of a firm’s liabilities, is adopted when internal financing is insufficient to cover operational and i</w:t>
      </w:r>
      <w:r>
        <w:rPr>
          <w:rFonts w:cs="Times New Roman"/>
          <w:color w:val="000000" w:themeColor="text1"/>
          <w:szCs w:val="24"/>
        </w:rPr>
        <w:t>nvestment demands (Lambe, 2014)</w:t>
      </w:r>
      <w:r w:rsidRPr="00350345">
        <w:rPr>
          <w:rFonts w:cs="Times New Roman"/>
          <w:color w:val="000000" w:themeColor="text1"/>
          <w:szCs w:val="24"/>
        </w:rPr>
        <w:t>, debt financing is both a strategic enabler and a potential constraint for construction firms. Its effectiveness depends on the balance between short-term and long-term borrowing, economic conditions, firm-specific characteristics, and the cost of capital. Given its critical role in enhancing financial performance and sustaining competitiveness, examining debt financing in construction firms provides valuable insights into capital structure decisions and their implications for profitability and growth</w:t>
      </w:r>
      <w:r>
        <w:rPr>
          <w:rFonts w:cs="Times New Roman"/>
          <w:color w:val="000000" w:themeColor="text1"/>
          <w:szCs w:val="24"/>
        </w:rPr>
        <w:t>.</w:t>
      </w:r>
    </w:p>
    <w:p w14:paraId="7476D8EC" w14:textId="77777777" w:rsidR="007723B6" w:rsidRPr="007723B6" w:rsidRDefault="007723B6" w:rsidP="007723B6">
      <w:pPr>
        <w:shd w:val="clear" w:color="auto" w:fill="FFFFFF"/>
        <w:spacing w:line="240" w:lineRule="auto"/>
        <w:rPr>
          <w:rFonts w:cs="Times New Roman"/>
          <w:color w:val="000000" w:themeColor="text1"/>
          <w:szCs w:val="24"/>
        </w:rPr>
      </w:pPr>
      <w:r w:rsidRPr="007723B6">
        <w:rPr>
          <w:rFonts w:cs="Times New Roman"/>
          <w:color w:val="000000" w:themeColor="text1"/>
          <w:szCs w:val="24"/>
        </w:rPr>
        <w:t>Financial performance reflects how effectively a company utilizes its resources to generate revenue and achieve its objectives. It is typically assessed through profits or losses over a specific period, alongside financial ratios that measure value and performance (Prahalathan &amp; Ranjany, 2011). A firm’s financial performance is closely linked to its ability to meet financial goals and depends largely on the efficient use of resources in revenue-generating activities (Yahaya &amp; Lamidi, 2015; Kajirwa, 2015). Financial performance also represents the overall financial health of a firm, encompassing the generation and sustainability of funds over time. Analysts often employ financial performance as a tool to compare firms within or across industries, making it vital for informed investment decisions.</w:t>
      </w:r>
    </w:p>
    <w:p w14:paraId="3BEF96AD" w14:textId="18C50510" w:rsidR="007723B6" w:rsidRDefault="007723B6" w:rsidP="007723B6">
      <w:pPr>
        <w:shd w:val="clear" w:color="auto" w:fill="FFFFFF"/>
        <w:spacing w:line="240" w:lineRule="auto"/>
        <w:rPr>
          <w:rFonts w:cs="Times New Roman"/>
          <w:color w:val="000000" w:themeColor="text1"/>
          <w:szCs w:val="24"/>
        </w:rPr>
      </w:pPr>
      <w:r w:rsidRPr="007723B6">
        <w:rPr>
          <w:rFonts w:cs="Times New Roman"/>
          <w:color w:val="000000" w:themeColor="text1"/>
          <w:szCs w:val="24"/>
        </w:rPr>
        <w:t>For organizations, particularly for-profit firms, achieving strong financial performance is a central goal. This requires effective use of finances, guided by measurable and accurate performance indicators (Oakland, 1989). Financial statements provide essential information for this evaluation, with key performance measures including solvency, debt financing, activity ratios, profitability, and firm value (Pandey, 2009). Widely applied indicators include Return on Assets (ROA), Return on Capital Employed (ROCE), Return on Equity (ROE), profitability ratios, and interest margins. ROE calculates profit relative to shareholders’ equity, while ROCE accounts for both equity and debt to show returns on total capital employed, offering a comprehensive measure of performance (Rutivi, 2009). ROA, on the other hand, evaluates profitability relative to total assets, showing how effectively assets generate revenue.</w:t>
      </w:r>
      <w:r>
        <w:rPr>
          <w:rFonts w:cs="Times New Roman"/>
          <w:color w:val="000000" w:themeColor="text1"/>
          <w:szCs w:val="24"/>
        </w:rPr>
        <w:t xml:space="preserve"> </w:t>
      </w:r>
      <w:r w:rsidRPr="007723B6">
        <w:rPr>
          <w:rFonts w:cs="Times New Roman"/>
          <w:color w:val="000000" w:themeColor="text1"/>
          <w:szCs w:val="24"/>
        </w:rPr>
        <w:t>Profitability growth, reflected in rising profits after expenses, is a critical determinant of performance, signifying progress and firm advancement. Similarly, sales growth strongly influences financial performance, as increases in sales enhance both ROA and ROCE (Amos, 2016). Thus, financial performance broadly represents the extent to which firms achieve their financial objectives, serving as a benchmark for stakeholders in assessing competitiveness and sustainability.</w:t>
      </w:r>
    </w:p>
    <w:p w14:paraId="79619FC2" w14:textId="77777777" w:rsidR="009A4835" w:rsidRDefault="009A4835" w:rsidP="007723B6">
      <w:pPr>
        <w:shd w:val="clear" w:color="auto" w:fill="FFFFFF"/>
        <w:spacing w:line="240" w:lineRule="auto"/>
        <w:rPr>
          <w:rFonts w:cs="Times New Roman"/>
          <w:color w:val="000000" w:themeColor="text1"/>
          <w:szCs w:val="24"/>
        </w:rPr>
      </w:pPr>
    </w:p>
    <w:p w14:paraId="58F6F013" w14:textId="0688A9C7" w:rsidR="009A4835" w:rsidRPr="009A4835" w:rsidRDefault="009A4835" w:rsidP="009A4835">
      <w:pPr>
        <w:spacing w:before="0" w:line="240" w:lineRule="auto"/>
        <w:rPr>
          <w:b/>
        </w:rPr>
      </w:pPr>
      <w:bookmarkStart w:id="2" w:name="_Toc142297178"/>
      <w:r>
        <w:rPr>
          <w:b/>
        </w:rPr>
        <w:lastRenderedPageBreak/>
        <w:t>Table 1</w:t>
      </w:r>
      <w:r w:rsidRPr="009A4835">
        <w:rPr>
          <w:b/>
        </w:rPr>
        <w:t>: Reported ROA for</w:t>
      </w:r>
      <w:r>
        <w:rPr>
          <w:b/>
        </w:rPr>
        <w:t xml:space="preserve"> the Period (</w:t>
      </w:r>
      <w:r w:rsidRPr="009A4835">
        <w:rPr>
          <w:b/>
        </w:rPr>
        <w:t>2015 to 2021</w:t>
      </w:r>
      <w:bookmarkEnd w:id="2"/>
      <w:r>
        <w:rPr>
          <w:b/>
        </w:rPr>
        <w:t>)</w:t>
      </w:r>
    </w:p>
    <w:tbl>
      <w:tblPr>
        <w:tblStyle w:val="PlainTable21"/>
        <w:tblW w:w="5000" w:type="pct"/>
        <w:tblLook w:val="04A0" w:firstRow="1" w:lastRow="0" w:firstColumn="1" w:lastColumn="0" w:noHBand="0" w:noVBand="1"/>
      </w:tblPr>
      <w:tblGrid>
        <w:gridCol w:w="2564"/>
        <w:gridCol w:w="1168"/>
        <w:gridCol w:w="1071"/>
        <w:gridCol w:w="1167"/>
        <w:gridCol w:w="1264"/>
        <w:gridCol w:w="1363"/>
        <w:gridCol w:w="1363"/>
        <w:gridCol w:w="1070"/>
      </w:tblGrid>
      <w:tr w:rsidR="009A4835" w:rsidRPr="00F74C15" w14:paraId="67463145" w14:textId="77777777" w:rsidTr="00D939BB">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62" w:type="pct"/>
          </w:tcPr>
          <w:p w14:paraId="1464E119" w14:textId="77777777" w:rsidR="009A4835" w:rsidRPr="00F74C15" w:rsidRDefault="009A4835" w:rsidP="009A4835">
            <w:pPr>
              <w:spacing w:before="0" w:line="240" w:lineRule="auto"/>
              <w:rPr>
                <w:rFonts w:cs="Times New Roman"/>
              </w:rPr>
            </w:pPr>
          </w:p>
        </w:tc>
        <w:tc>
          <w:tcPr>
            <w:tcW w:w="529" w:type="pct"/>
          </w:tcPr>
          <w:p w14:paraId="7D1C2789"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485" w:type="pct"/>
          </w:tcPr>
          <w:p w14:paraId="3C25C076"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529" w:type="pct"/>
          </w:tcPr>
          <w:p w14:paraId="0F5534EE"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573" w:type="pct"/>
          </w:tcPr>
          <w:p w14:paraId="52DC3B91"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618" w:type="pct"/>
          </w:tcPr>
          <w:p w14:paraId="65E610DA"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r w:rsidRPr="00F74C15">
              <w:rPr>
                <w:rFonts w:cs="Times New Roman"/>
              </w:rPr>
              <w:t>Year</w:t>
            </w:r>
          </w:p>
        </w:tc>
        <w:tc>
          <w:tcPr>
            <w:tcW w:w="618" w:type="pct"/>
          </w:tcPr>
          <w:p w14:paraId="4621599B"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485" w:type="pct"/>
          </w:tcPr>
          <w:p w14:paraId="0877640E"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r>
      <w:tr w:rsidR="009A4835" w:rsidRPr="00F74C15" w14:paraId="5D58D901" w14:textId="77777777" w:rsidTr="00D939B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62" w:type="pct"/>
          </w:tcPr>
          <w:p w14:paraId="0ADD0926" w14:textId="77777777" w:rsidR="009A4835" w:rsidRPr="00F74C15" w:rsidRDefault="009A4835" w:rsidP="009A4835">
            <w:pPr>
              <w:spacing w:before="0" w:line="240" w:lineRule="auto"/>
              <w:rPr>
                <w:rFonts w:cs="Times New Roman"/>
              </w:rPr>
            </w:pPr>
            <w:r w:rsidRPr="00F74C15">
              <w:rPr>
                <w:rFonts w:cs="Times New Roman"/>
              </w:rPr>
              <w:t>Firm</w:t>
            </w:r>
          </w:p>
        </w:tc>
        <w:tc>
          <w:tcPr>
            <w:tcW w:w="529" w:type="pct"/>
          </w:tcPr>
          <w:p w14:paraId="5CB4AB8E"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2015</w:t>
            </w:r>
          </w:p>
        </w:tc>
        <w:tc>
          <w:tcPr>
            <w:tcW w:w="485" w:type="pct"/>
          </w:tcPr>
          <w:p w14:paraId="1A263BA2"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2016</w:t>
            </w:r>
          </w:p>
        </w:tc>
        <w:tc>
          <w:tcPr>
            <w:tcW w:w="529" w:type="pct"/>
          </w:tcPr>
          <w:p w14:paraId="47CA6F8C"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2017</w:t>
            </w:r>
          </w:p>
        </w:tc>
        <w:tc>
          <w:tcPr>
            <w:tcW w:w="573" w:type="pct"/>
          </w:tcPr>
          <w:p w14:paraId="3C262274"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2018</w:t>
            </w:r>
          </w:p>
        </w:tc>
        <w:tc>
          <w:tcPr>
            <w:tcW w:w="618" w:type="pct"/>
          </w:tcPr>
          <w:p w14:paraId="1E0498C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2019</w:t>
            </w:r>
          </w:p>
        </w:tc>
        <w:tc>
          <w:tcPr>
            <w:tcW w:w="618" w:type="pct"/>
          </w:tcPr>
          <w:p w14:paraId="3164EB12"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2020</w:t>
            </w:r>
          </w:p>
        </w:tc>
        <w:tc>
          <w:tcPr>
            <w:tcW w:w="485" w:type="pct"/>
          </w:tcPr>
          <w:p w14:paraId="079AEBE8"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2021</w:t>
            </w:r>
          </w:p>
        </w:tc>
      </w:tr>
      <w:tr w:rsidR="009A4835" w:rsidRPr="00F74C15" w14:paraId="339A57AA" w14:textId="77777777" w:rsidTr="00D939BB">
        <w:trPr>
          <w:trHeight w:val="278"/>
        </w:trPr>
        <w:tc>
          <w:tcPr>
            <w:cnfStyle w:val="001000000000" w:firstRow="0" w:lastRow="0" w:firstColumn="1" w:lastColumn="0" w:oddVBand="0" w:evenVBand="0" w:oddHBand="0" w:evenHBand="0" w:firstRowFirstColumn="0" w:firstRowLastColumn="0" w:lastRowFirstColumn="0" w:lastRowLastColumn="0"/>
            <w:tcW w:w="1162" w:type="pct"/>
          </w:tcPr>
          <w:p w14:paraId="3489DE45" w14:textId="77777777" w:rsidR="009A4835" w:rsidRPr="00F74C15" w:rsidRDefault="009A4835" w:rsidP="009A4835">
            <w:pPr>
              <w:spacing w:before="0" w:line="240" w:lineRule="auto"/>
              <w:rPr>
                <w:rFonts w:cs="Times New Roman"/>
              </w:rPr>
            </w:pPr>
            <w:r w:rsidRPr="00F74C15">
              <w:rPr>
                <w:rFonts w:cs="Times New Roman"/>
              </w:rPr>
              <w:t>Crown Paints</w:t>
            </w:r>
          </w:p>
        </w:tc>
        <w:tc>
          <w:tcPr>
            <w:tcW w:w="529" w:type="pct"/>
          </w:tcPr>
          <w:p w14:paraId="2820CDEA"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0.7%</w:t>
            </w:r>
          </w:p>
        </w:tc>
        <w:tc>
          <w:tcPr>
            <w:tcW w:w="485" w:type="pct"/>
          </w:tcPr>
          <w:p w14:paraId="0D88637A"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2.6%</w:t>
            </w:r>
          </w:p>
        </w:tc>
        <w:tc>
          <w:tcPr>
            <w:tcW w:w="529" w:type="pct"/>
          </w:tcPr>
          <w:p w14:paraId="445CEE27"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5.2%</w:t>
            </w:r>
          </w:p>
        </w:tc>
        <w:tc>
          <w:tcPr>
            <w:tcW w:w="573" w:type="pct"/>
          </w:tcPr>
          <w:p w14:paraId="3C2915CD"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3.4%</w:t>
            </w:r>
          </w:p>
        </w:tc>
        <w:tc>
          <w:tcPr>
            <w:tcW w:w="618" w:type="pct"/>
          </w:tcPr>
          <w:p w14:paraId="0F3625D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5.7%</w:t>
            </w:r>
          </w:p>
        </w:tc>
        <w:tc>
          <w:tcPr>
            <w:tcW w:w="618" w:type="pct"/>
          </w:tcPr>
          <w:p w14:paraId="2B55ED0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7.6%</w:t>
            </w:r>
          </w:p>
        </w:tc>
        <w:tc>
          <w:tcPr>
            <w:tcW w:w="485" w:type="pct"/>
          </w:tcPr>
          <w:p w14:paraId="1A72725F"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9.4%</w:t>
            </w:r>
          </w:p>
        </w:tc>
      </w:tr>
      <w:tr w:rsidR="009A4835" w:rsidRPr="00F74C15" w14:paraId="5EEBBA79" w14:textId="77777777" w:rsidTr="00D939B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62" w:type="pct"/>
          </w:tcPr>
          <w:p w14:paraId="4321F497" w14:textId="77777777" w:rsidR="009A4835" w:rsidRPr="00F74C15" w:rsidRDefault="009A4835" w:rsidP="009A4835">
            <w:pPr>
              <w:spacing w:before="0" w:line="240" w:lineRule="auto"/>
              <w:rPr>
                <w:rFonts w:cs="Times New Roman"/>
              </w:rPr>
            </w:pPr>
            <w:r w:rsidRPr="00F74C15">
              <w:rPr>
                <w:rFonts w:cs="Times New Roman"/>
              </w:rPr>
              <w:t>Bamburi Cement</w:t>
            </w:r>
          </w:p>
        </w:tc>
        <w:tc>
          <w:tcPr>
            <w:tcW w:w="529" w:type="pct"/>
          </w:tcPr>
          <w:p w14:paraId="08B12AE9"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17.1%</w:t>
            </w:r>
          </w:p>
        </w:tc>
        <w:tc>
          <w:tcPr>
            <w:tcW w:w="485" w:type="pct"/>
          </w:tcPr>
          <w:p w14:paraId="0FC7EF42"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14.4%</w:t>
            </w:r>
          </w:p>
        </w:tc>
        <w:tc>
          <w:tcPr>
            <w:tcW w:w="529" w:type="pct"/>
          </w:tcPr>
          <w:p w14:paraId="04327CD0"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5%</w:t>
            </w:r>
          </w:p>
        </w:tc>
        <w:tc>
          <w:tcPr>
            <w:tcW w:w="573" w:type="pct"/>
          </w:tcPr>
          <w:p w14:paraId="1FEAF62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1.5%</w:t>
            </w:r>
          </w:p>
        </w:tc>
        <w:tc>
          <w:tcPr>
            <w:tcW w:w="618" w:type="pct"/>
          </w:tcPr>
          <w:p w14:paraId="13F11D2B"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0.9%</w:t>
            </w:r>
          </w:p>
        </w:tc>
        <w:tc>
          <w:tcPr>
            <w:tcW w:w="618" w:type="pct"/>
          </w:tcPr>
          <w:p w14:paraId="23F8B18C"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2.3%</w:t>
            </w:r>
          </w:p>
        </w:tc>
        <w:tc>
          <w:tcPr>
            <w:tcW w:w="485" w:type="pct"/>
          </w:tcPr>
          <w:p w14:paraId="16C000CF"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2.7%</w:t>
            </w:r>
          </w:p>
        </w:tc>
      </w:tr>
      <w:tr w:rsidR="009A4835" w:rsidRPr="00F74C15" w14:paraId="56493BED" w14:textId="77777777" w:rsidTr="00D939BB">
        <w:trPr>
          <w:trHeight w:val="233"/>
        </w:trPr>
        <w:tc>
          <w:tcPr>
            <w:cnfStyle w:val="001000000000" w:firstRow="0" w:lastRow="0" w:firstColumn="1" w:lastColumn="0" w:oddVBand="0" w:evenVBand="0" w:oddHBand="0" w:evenHBand="0" w:firstRowFirstColumn="0" w:firstRowLastColumn="0" w:lastRowFirstColumn="0" w:lastRowLastColumn="0"/>
            <w:tcW w:w="1162" w:type="pct"/>
          </w:tcPr>
          <w:p w14:paraId="145D936B" w14:textId="77777777" w:rsidR="009A4835" w:rsidRPr="00F74C15" w:rsidRDefault="009A4835" w:rsidP="009A4835">
            <w:pPr>
              <w:spacing w:before="0" w:line="240" w:lineRule="auto"/>
              <w:rPr>
                <w:rFonts w:cs="Times New Roman"/>
              </w:rPr>
            </w:pPr>
            <w:r w:rsidRPr="00F74C15">
              <w:rPr>
                <w:rFonts w:cs="Times New Roman"/>
              </w:rPr>
              <w:t>E.A Cables</w:t>
            </w:r>
          </w:p>
        </w:tc>
        <w:tc>
          <w:tcPr>
            <w:tcW w:w="529" w:type="pct"/>
          </w:tcPr>
          <w:p w14:paraId="64ED331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31%</w:t>
            </w:r>
          </w:p>
        </w:tc>
        <w:tc>
          <w:tcPr>
            <w:tcW w:w="485" w:type="pct"/>
          </w:tcPr>
          <w:p w14:paraId="7ACD83D8"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-7.7%</w:t>
            </w:r>
          </w:p>
        </w:tc>
        <w:tc>
          <w:tcPr>
            <w:tcW w:w="529" w:type="pct"/>
          </w:tcPr>
          <w:p w14:paraId="3947DFCB"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-5.4%</w:t>
            </w:r>
          </w:p>
        </w:tc>
        <w:tc>
          <w:tcPr>
            <w:tcW w:w="573" w:type="pct"/>
          </w:tcPr>
          <w:p w14:paraId="15613EFF"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-8.6%</w:t>
            </w:r>
          </w:p>
        </w:tc>
        <w:tc>
          <w:tcPr>
            <w:tcW w:w="618" w:type="pct"/>
          </w:tcPr>
          <w:p w14:paraId="4EBA84B8"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-9.2%</w:t>
            </w:r>
          </w:p>
        </w:tc>
        <w:tc>
          <w:tcPr>
            <w:tcW w:w="618" w:type="pct"/>
          </w:tcPr>
          <w:p w14:paraId="648256A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-12.7%</w:t>
            </w:r>
          </w:p>
        </w:tc>
        <w:tc>
          <w:tcPr>
            <w:tcW w:w="485" w:type="pct"/>
          </w:tcPr>
          <w:p w14:paraId="7742BC93"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-5.4%</w:t>
            </w:r>
          </w:p>
        </w:tc>
      </w:tr>
      <w:tr w:rsidR="009A4835" w:rsidRPr="00F74C15" w14:paraId="61EFB038" w14:textId="77777777" w:rsidTr="00D939B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62" w:type="pct"/>
          </w:tcPr>
          <w:p w14:paraId="528CDBEC" w14:textId="77777777" w:rsidR="009A4835" w:rsidRPr="00F74C15" w:rsidRDefault="009A4835" w:rsidP="009A4835">
            <w:pPr>
              <w:spacing w:before="0" w:line="240" w:lineRule="auto"/>
              <w:rPr>
                <w:rFonts w:cs="Times New Roman"/>
              </w:rPr>
            </w:pPr>
            <w:r w:rsidRPr="00F74C15">
              <w:rPr>
                <w:rFonts w:cs="Times New Roman"/>
              </w:rPr>
              <w:t>E.A Portland Cement</w:t>
            </w:r>
          </w:p>
        </w:tc>
        <w:tc>
          <w:tcPr>
            <w:tcW w:w="529" w:type="pct"/>
          </w:tcPr>
          <w:p w14:paraId="00DDCB00"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31%</w:t>
            </w:r>
          </w:p>
        </w:tc>
        <w:tc>
          <w:tcPr>
            <w:tcW w:w="485" w:type="pct"/>
          </w:tcPr>
          <w:p w14:paraId="57C15F7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14.9%</w:t>
            </w:r>
          </w:p>
        </w:tc>
        <w:tc>
          <w:tcPr>
            <w:tcW w:w="529" w:type="pct"/>
          </w:tcPr>
          <w:p w14:paraId="307764D8"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-5.4%</w:t>
            </w:r>
          </w:p>
        </w:tc>
        <w:tc>
          <w:tcPr>
            <w:tcW w:w="573" w:type="pct"/>
          </w:tcPr>
          <w:p w14:paraId="6F647BE5"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20.5%</w:t>
            </w:r>
          </w:p>
        </w:tc>
        <w:tc>
          <w:tcPr>
            <w:tcW w:w="618" w:type="pct"/>
          </w:tcPr>
          <w:p w14:paraId="7CF200B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-9.2%</w:t>
            </w:r>
          </w:p>
        </w:tc>
        <w:tc>
          <w:tcPr>
            <w:tcW w:w="618" w:type="pct"/>
          </w:tcPr>
          <w:p w14:paraId="6B1173EB"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-7.9%</w:t>
            </w:r>
          </w:p>
        </w:tc>
        <w:tc>
          <w:tcPr>
            <w:tcW w:w="485" w:type="pct"/>
          </w:tcPr>
          <w:p w14:paraId="1798F4B0"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5.5%</w:t>
            </w:r>
          </w:p>
        </w:tc>
      </w:tr>
    </w:tbl>
    <w:p w14:paraId="43483B98" w14:textId="77777777" w:rsidR="009A4835" w:rsidRPr="00F74C15" w:rsidRDefault="009A4835" w:rsidP="009A4835">
      <w:pPr>
        <w:spacing w:before="0" w:line="240" w:lineRule="auto"/>
        <w:rPr>
          <w:rFonts w:cs="Times New Roman"/>
          <w:b/>
          <w:bCs/>
          <w:i/>
          <w:iCs/>
        </w:rPr>
      </w:pPr>
      <w:r w:rsidRPr="00F74C15">
        <w:rPr>
          <w:rFonts w:cs="Times New Roman"/>
          <w:b/>
          <w:bCs/>
          <w:i/>
          <w:iCs/>
        </w:rPr>
        <w:t>Source: Capital Markets Authority (2022)</w:t>
      </w:r>
    </w:p>
    <w:p w14:paraId="0651A92B" w14:textId="77777777" w:rsidR="00241BF3" w:rsidRPr="00241BF3" w:rsidRDefault="00241BF3" w:rsidP="00241BF3">
      <w:pPr>
        <w:shd w:val="clear" w:color="auto" w:fill="FFFFFF"/>
        <w:spacing w:line="240" w:lineRule="auto"/>
        <w:rPr>
          <w:rFonts w:cs="Times New Roman"/>
          <w:color w:val="000000" w:themeColor="text1"/>
          <w:szCs w:val="24"/>
        </w:rPr>
      </w:pPr>
      <w:r w:rsidRPr="00241BF3">
        <w:rPr>
          <w:rFonts w:cs="Times New Roman"/>
          <w:color w:val="000000" w:themeColor="text1"/>
          <w:szCs w:val="24"/>
        </w:rPr>
        <w:t>Debt financing plays a critical role in determining a firm’s financial structure and overall performance. Firms often rely on external funding, primarily through issuing bonds, preferred stock, or loans, to finance operations and investments. The proportion of debt in a company’s capital structure has significant implications for both risk and return, requiring management to carefully evaluate target debt levels. Although debt financing entails additional costs through interest payments, it can enhance profitability by enabling firms to invest in revenue-generating assets. The tax deductibility of interest payments further strengthens the appeal of debt financing. However, when operating profits fall below sustainable levels or taxable income is insufficient, excessive debt may erode shareholder value, reduce stock worthiness, and strain financial stability. Thus, management must balance debt and equity carefully, considering both market conditions and long-term strategic objectives.</w:t>
      </w:r>
    </w:p>
    <w:p w14:paraId="20BBDA5C" w14:textId="77777777" w:rsidR="00241BF3" w:rsidRPr="00241BF3" w:rsidRDefault="00241BF3" w:rsidP="00241BF3">
      <w:pPr>
        <w:shd w:val="clear" w:color="auto" w:fill="FFFFFF"/>
        <w:spacing w:line="240" w:lineRule="auto"/>
        <w:rPr>
          <w:rFonts w:cs="Times New Roman"/>
          <w:color w:val="000000" w:themeColor="text1"/>
          <w:szCs w:val="24"/>
        </w:rPr>
      </w:pPr>
      <w:r w:rsidRPr="00241BF3">
        <w:rPr>
          <w:rFonts w:cs="Times New Roman"/>
          <w:color w:val="000000" w:themeColor="text1"/>
          <w:szCs w:val="24"/>
        </w:rPr>
        <w:t>The financing process begins with determining the amount of external capital needed, followed by assessing market conditions to identify viable funding opportunities. Market environments can constrain a firm’s ability to issue debt or equity at favorable terms, making it essential to align funding strategies with growth objectives. Industry-specific dynamics also influence capital structures. For instance, sectors such as retail, airlines, utilities, and banking often operate with high debt levels due to their reliance on steady cash flows. Debt financing, when appropriately structured, enables firms to capitalize on profitable investments, but lenders typically demand collateral and impose restrictions on fund usage to mitigate risks (Denis, 2013; Obuya, 2017).</w:t>
      </w:r>
    </w:p>
    <w:p w14:paraId="595FE903" w14:textId="6EEEED6C" w:rsidR="007723B6" w:rsidRDefault="00241BF3" w:rsidP="00241BF3">
      <w:pPr>
        <w:shd w:val="clear" w:color="auto" w:fill="FFFFFF"/>
        <w:spacing w:line="240" w:lineRule="auto"/>
        <w:rPr>
          <w:rFonts w:cs="Times New Roman"/>
          <w:color w:val="000000" w:themeColor="text1"/>
          <w:szCs w:val="24"/>
        </w:rPr>
      </w:pPr>
      <w:r w:rsidRPr="00241BF3">
        <w:rPr>
          <w:rFonts w:cs="Times New Roman"/>
          <w:color w:val="000000" w:themeColor="text1"/>
          <w:szCs w:val="24"/>
        </w:rPr>
        <w:t>Within Kenya, the Nairobi Securities Exchange (NSE), established in 1954 and regulated by the Capital Markets Authority, provides a platform for listed firms to raise capital. Construction and allied firms at the NSE have increasingly turned to debt financing to support large-scale investment projects, largely facilitated by commercial banks and financial institutions offering structured loan products. Debt is widely preferred in the sector due to its relatively lower cost compared to equity and the existence of well-developed local financing systems (Museiga, 2013). Despite the benefits, the choice between debt and equity ultimately rests with firm management, who must weigh profitability, growth potential, and financial risks. Evidence suggests that while debt financing is an accessible and cost-effective option for construction firms, its impact on financial performance remains firm-specific, necessitating further evaluation (Anyanzwa, 2015).</w:t>
      </w:r>
    </w:p>
    <w:p w14:paraId="48C38FDC" w14:textId="4C473802" w:rsidR="00055D83" w:rsidRPr="00FB2E0F" w:rsidRDefault="00055D83" w:rsidP="00CE4C91">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1.1 Research Problem</w:t>
      </w:r>
    </w:p>
    <w:p w14:paraId="27FDC211" w14:textId="358128AA" w:rsidR="00BD15A0" w:rsidRPr="003F0065" w:rsidRDefault="00241BF3" w:rsidP="004737A8">
      <w:pPr>
        <w:spacing w:after="240" w:line="240" w:lineRule="auto"/>
        <w:rPr>
          <w:rFonts w:cs="Times New Roman"/>
          <w:b/>
          <w:szCs w:val="24"/>
        </w:rPr>
      </w:pPr>
      <w:r w:rsidRPr="00241BF3">
        <w:rPr>
          <w:rFonts w:cs="Times New Roman"/>
          <w:color w:val="000000" w:themeColor="text1"/>
          <w:szCs w:val="24"/>
        </w:rPr>
        <w:t xml:space="preserve">The financial well-being of firms, often measured by profitability and financial ratios, is a primary concern for shareholders, with managers obligated to align corporate performance with shareholder goals. Sound financial decision-making is therefore essential, particularly in selecting appropriate financing methods. Debt financing, while common, is often associated with financial distress, which arises when firms are unable to meet creditor obligations. Excessive or unsuitable debt accumulation exposes firms to heightened risks, including interest burdens and potential insolvency. The COVID-19 pandemic further exacerbated these challenges, significantly slowing growth across sectors such as construction, manufacturing, transport, and retail (CMA, 2020). Notably, listed construction firms have reported declining performance, with reduced Return on Assets (ROA). For instance, E.A. Cables reported a negative ROA of 5.4% in 2021, while Crown Paints, E.A. Portland Cement, and Bamburi Cement recorded positive but modest ROAs of 9.4%, 5.5%, and 2.7%, respectively. Such trends indicate declining </w:t>
      </w:r>
      <w:r w:rsidRPr="00241BF3">
        <w:rPr>
          <w:rFonts w:cs="Times New Roman"/>
          <w:color w:val="000000" w:themeColor="text1"/>
          <w:szCs w:val="24"/>
        </w:rPr>
        <w:lastRenderedPageBreak/>
        <w:t>productivity and financial strain in the construction sector. However, existing research provides limited evidence on how debt financing influences the financial health of construction firms. Previous studies reveal contextual, conceptual, and methodological gaps, underscoring the need to examine debt financing’s impact on the performance of construction and allied companies listed on the securities exchange.</w:t>
      </w:r>
      <w:r w:rsidR="00BD15A0" w:rsidRPr="003F0065">
        <w:rPr>
          <w:rFonts w:cs="Times New Roman"/>
          <w:b/>
          <w:szCs w:val="24"/>
        </w:rPr>
        <w:t xml:space="preserve"> </w:t>
      </w:r>
    </w:p>
    <w:p w14:paraId="7860FC20" w14:textId="564AFDA6" w:rsidR="00055D83" w:rsidRPr="00FB2E0F" w:rsidRDefault="00055D83" w:rsidP="00E5141C">
      <w:pPr>
        <w:spacing w:line="240" w:lineRule="auto"/>
        <w:rPr>
          <w:rFonts w:cs="Times New Roman"/>
          <w:b/>
          <w:bCs/>
          <w:color w:val="000000" w:themeColor="text1"/>
          <w:sz w:val="28"/>
          <w:szCs w:val="28"/>
        </w:rPr>
      </w:pPr>
      <w:r w:rsidRPr="00FB2E0F">
        <w:rPr>
          <w:rFonts w:cs="Times New Roman"/>
          <w:b/>
          <w:bCs/>
          <w:color w:val="000000" w:themeColor="text1"/>
          <w:sz w:val="28"/>
          <w:szCs w:val="28"/>
        </w:rPr>
        <w:t>1.2 Research Objective</w:t>
      </w:r>
    </w:p>
    <w:p w14:paraId="3A006523" w14:textId="5B6543F5" w:rsidR="0054398C" w:rsidRPr="00FB2E0F" w:rsidRDefault="00055D83" w:rsidP="0054398C">
      <w:pPr>
        <w:spacing w:line="240" w:lineRule="auto"/>
        <w:rPr>
          <w:rFonts w:cs="Times New Roman"/>
          <w:color w:val="000000" w:themeColor="text1"/>
          <w:szCs w:val="24"/>
        </w:rPr>
      </w:pPr>
      <w:r w:rsidRPr="00FB2E0F">
        <w:rPr>
          <w:rFonts w:cs="Times New Roman"/>
          <w:color w:val="000000" w:themeColor="text1"/>
          <w:szCs w:val="24"/>
        </w:rPr>
        <w:t>This study was guided by the following general objective to:</w:t>
      </w:r>
      <w:r w:rsidR="00784B96" w:rsidRPr="00FB2E0F">
        <w:rPr>
          <w:rFonts w:cs="Times New Roman"/>
          <w:color w:val="000000" w:themeColor="text1"/>
          <w:szCs w:val="24"/>
        </w:rPr>
        <w:t xml:space="preserve"> </w:t>
      </w:r>
      <w:r w:rsidR="00275DB3" w:rsidRPr="00275DB3">
        <w:rPr>
          <w:rFonts w:cs="Times New Roman"/>
          <w:color w:val="000000" w:themeColor="text1"/>
          <w:szCs w:val="24"/>
        </w:rPr>
        <w:t>investigate effects debt financing has on the financial performance of construction and allied companies listed at the NSE</w:t>
      </w:r>
      <w:r w:rsidR="00D54CAA" w:rsidRPr="00D54CAA">
        <w:rPr>
          <w:rFonts w:cs="Times New Roman"/>
          <w:color w:val="000000" w:themeColor="text1"/>
          <w:szCs w:val="24"/>
        </w:rPr>
        <w:t>.</w:t>
      </w:r>
    </w:p>
    <w:p w14:paraId="6B071E8F" w14:textId="77777777" w:rsidR="00E448DE" w:rsidRPr="00FB2E0F" w:rsidRDefault="0054398C" w:rsidP="00F42A52">
      <w:pPr>
        <w:spacing w:line="240" w:lineRule="auto"/>
        <w:rPr>
          <w:rFonts w:cs="Times New Roman"/>
          <w:color w:val="000000" w:themeColor="text1"/>
          <w:szCs w:val="24"/>
        </w:rPr>
      </w:pPr>
      <w:r w:rsidRPr="00FB2E0F">
        <w:rPr>
          <w:rFonts w:cs="Times New Roman"/>
          <w:color w:val="000000" w:themeColor="text1"/>
          <w:szCs w:val="24"/>
        </w:rPr>
        <w:t>Specific Objectives were to;</w:t>
      </w:r>
      <w:r w:rsidR="00784B96" w:rsidRPr="00FB2E0F">
        <w:rPr>
          <w:rFonts w:cs="Times New Roman"/>
          <w:color w:val="000000" w:themeColor="text1"/>
          <w:szCs w:val="24"/>
        </w:rPr>
        <w:t xml:space="preserve"> </w:t>
      </w:r>
    </w:p>
    <w:p w14:paraId="2555E84D"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determine the impact short-term financing has on financial performance of construction and allied firms listed at the NSE.</w:t>
      </w:r>
    </w:p>
    <w:p w14:paraId="6BBD92A2"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establish the impact long-term financing has on financial performance of construction and allied firms listed at the NSE.</w:t>
      </w:r>
    </w:p>
    <w:p w14:paraId="62AF47B0"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assess the impact total debt has on the financial performance of construction and allied firms listed at the NSE.</w:t>
      </w:r>
    </w:p>
    <w:p w14:paraId="795E0812"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determine the moderating impact of firm size on the relationship between debt financing and financial performance of construction and allied firms listed at the NSE.</w:t>
      </w:r>
    </w:p>
    <w:p w14:paraId="06BA9B23" w14:textId="6ACA2F1A" w:rsidR="001450C8" w:rsidRPr="00FB2E0F" w:rsidRDefault="00055D83" w:rsidP="001450C8">
      <w:pPr>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1.3 </w:t>
      </w:r>
      <w:r w:rsidR="00F00D01" w:rsidRPr="00FB2E0F">
        <w:rPr>
          <w:rFonts w:eastAsia="Times New Roman" w:cs="Times New Roman"/>
          <w:b/>
          <w:bCs/>
          <w:color w:val="000000" w:themeColor="text1"/>
          <w:sz w:val="28"/>
          <w:szCs w:val="28"/>
        </w:rPr>
        <w:t xml:space="preserve">Research </w:t>
      </w:r>
      <w:r w:rsidR="00750F50">
        <w:rPr>
          <w:rFonts w:eastAsia="Times New Roman" w:cs="Times New Roman"/>
          <w:b/>
          <w:bCs/>
          <w:color w:val="000000" w:themeColor="text1"/>
          <w:sz w:val="28"/>
          <w:szCs w:val="28"/>
        </w:rPr>
        <w:t>Hypothesis</w:t>
      </w:r>
    </w:p>
    <w:p w14:paraId="0E3A51F1"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The study tested the following Hypothesis:</w:t>
      </w:r>
    </w:p>
    <w:p w14:paraId="5EF659A7" w14:textId="5324728B"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Short-term debt has no significant impact on financial performance of construction and allied firms listed at the NSE.</w:t>
      </w:r>
    </w:p>
    <w:p w14:paraId="2BDA49AA" w14:textId="384B23BA"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Long-term debt has no significant impact on the financial performance of construction and allied firms listed at the NSE.</w:t>
      </w:r>
    </w:p>
    <w:p w14:paraId="7048CB1B" w14:textId="35A65942"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Total debt has no significant impact on the financial performance of construction and allied firms listed at the NSE.</w:t>
      </w:r>
    </w:p>
    <w:p w14:paraId="54941DD5" w14:textId="49BB05C7"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Firm size has no moderating effect on the relationship between debt financing and financial performance of construction and allied firms quoted listed at the NSE.</w:t>
      </w:r>
    </w:p>
    <w:p w14:paraId="35FF4706" w14:textId="514959D5" w:rsidR="00055D83" w:rsidRPr="00FB2E0F" w:rsidRDefault="00055D83" w:rsidP="00275DB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1.4 Justification of the Study</w:t>
      </w:r>
    </w:p>
    <w:p w14:paraId="2F66289A" w14:textId="35FDD5DD" w:rsidR="003E0D69" w:rsidRPr="00FB2E0F" w:rsidRDefault="005E540E" w:rsidP="007A7BFC">
      <w:pPr>
        <w:autoSpaceDE w:val="0"/>
        <w:autoSpaceDN w:val="0"/>
        <w:adjustRightInd w:val="0"/>
        <w:spacing w:before="0" w:after="240" w:line="240" w:lineRule="auto"/>
        <w:rPr>
          <w:color w:val="000000" w:themeColor="text1"/>
          <w:szCs w:val="24"/>
        </w:rPr>
      </w:pPr>
      <w:r w:rsidRPr="005E540E">
        <w:rPr>
          <w:color w:val="000000" w:themeColor="text1"/>
          <w:szCs w:val="24"/>
        </w:rPr>
        <w:t>This study holds significance for practitioners, policymakers, and scholars by providing insights into optimal financing decisions that enhance firm performance and shareholder wealth. The findings equip managers with guidance on structuring financing strategies that improve profitability, while offering regulatory bodies, such as the CMA, useful information for formulating policies that stimulate investment and resource mobilization. Financial experts and entrepreneurs gain deeper understanding of debt financing, including the choice between short- and long-term options. Moreover, the study contributes to academic discourse by expanding literature on debt financing and firm performance, serving as a foundation for further research</w:t>
      </w:r>
      <w:r w:rsidR="007A7BFC" w:rsidRPr="007A7BFC">
        <w:rPr>
          <w:color w:val="000000" w:themeColor="text1"/>
          <w:szCs w:val="24"/>
        </w:rPr>
        <w:t>.</w:t>
      </w:r>
    </w:p>
    <w:p w14:paraId="0B892AC5" w14:textId="29BE698D" w:rsidR="00AE4AA5" w:rsidRPr="00FB2E0F" w:rsidRDefault="00AE4AA5" w:rsidP="00AE4AA5">
      <w:pPr>
        <w:rPr>
          <w:rFonts w:cs="Times New Roman"/>
          <w:b/>
          <w:bCs/>
          <w:color w:val="000000" w:themeColor="text1"/>
          <w:sz w:val="28"/>
          <w:szCs w:val="24"/>
        </w:rPr>
      </w:pPr>
      <w:r w:rsidRPr="00FB2E0F">
        <w:rPr>
          <w:rFonts w:cs="Times New Roman"/>
          <w:b/>
          <w:bCs/>
          <w:color w:val="000000" w:themeColor="text1"/>
          <w:sz w:val="28"/>
          <w:szCs w:val="24"/>
        </w:rPr>
        <w:t xml:space="preserve">1.5 </w:t>
      </w:r>
      <w:r w:rsidR="00D54CAA" w:rsidRPr="00D54CAA">
        <w:rPr>
          <w:rFonts w:cs="Times New Roman"/>
          <w:b/>
          <w:bCs/>
          <w:color w:val="000000" w:themeColor="text1"/>
          <w:sz w:val="28"/>
          <w:szCs w:val="24"/>
        </w:rPr>
        <w:t>Limitations of the Study</w:t>
      </w:r>
    </w:p>
    <w:p w14:paraId="01448711" w14:textId="722D656B" w:rsidR="001E21F0" w:rsidRPr="00FB2E0F" w:rsidRDefault="005E540E" w:rsidP="005E540E">
      <w:pPr>
        <w:spacing w:before="0" w:line="240" w:lineRule="auto"/>
        <w:rPr>
          <w:rFonts w:cs="Times New Roman"/>
          <w:color w:val="000000" w:themeColor="text1"/>
        </w:rPr>
      </w:pPr>
      <w:r w:rsidRPr="005E540E">
        <w:rPr>
          <w:rFonts w:cs="Times New Roman"/>
          <w:color w:val="000000" w:themeColor="text1"/>
          <w:lang w:val="en-GB"/>
        </w:rPr>
        <w:t>Mugenda and Mugenda (2012), limitations of a research refer to the characteristics of design or</w:t>
      </w:r>
      <w:r>
        <w:rPr>
          <w:rFonts w:cs="Times New Roman"/>
          <w:color w:val="000000" w:themeColor="text1"/>
          <w:lang w:val="en-GB"/>
        </w:rPr>
        <w:t xml:space="preserve"> </w:t>
      </w:r>
      <w:r w:rsidRPr="005E540E">
        <w:rPr>
          <w:rFonts w:cs="Times New Roman"/>
          <w:color w:val="000000" w:themeColor="text1"/>
          <w:lang w:val="en-GB"/>
        </w:rPr>
        <w:t>methodology that constraint the level to which results can be generalized. Secondary data utilized was extracted from financial statements that were published by the construction entities. This study overcame the usual constraint that may arise when dealing with secondary data by guaranteeing that official data collected is from firm certified financial statements</w:t>
      </w:r>
      <w:r w:rsidR="003E0D69" w:rsidRPr="00FB2E0F">
        <w:rPr>
          <w:rFonts w:cs="Times New Roman"/>
          <w:color w:val="000000" w:themeColor="text1"/>
          <w:lang w:val="en-GB"/>
        </w:rPr>
        <w:t>.</w:t>
      </w:r>
      <w:r w:rsidR="001E21F0" w:rsidRPr="00FB2E0F">
        <w:rPr>
          <w:rFonts w:cs="Times New Roman"/>
          <w:color w:val="000000" w:themeColor="text1"/>
        </w:rPr>
        <w:br w:type="page"/>
      </w:r>
    </w:p>
    <w:p w14:paraId="60555E06" w14:textId="2D326474" w:rsidR="00055D83" w:rsidRPr="00FB2E0F"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FB2E0F">
        <w:rPr>
          <w:rFonts w:ascii="Times New Roman" w:hAnsi="Times New Roman"/>
          <w:b/>
          <w:color w:val="000000" w:themeColor="text1"/>
          <w:sz w:val="28"/>
          <w:szCs w:val="28"/>
          <w:lang w:val="en-GB"/>
        </w:rPr>
        <w:lastRenderedPageBreak/>
        <w:t xml:space="preserve">2.0 LITERATURE REVIEW  </w:t>
      </w:r>
    </w:p>
    <w:p w14:paraId="56FCEE52" w14:textId="77777777" w:rsidR="000D1B44" w:rsidRPr="000D1B44" w:rsidRDefault="000D1B44" w:rsidP="000D1B44">
      <w:pPr>
        <w:spacing w:before="0" w:after="160" w:line="259" w:lineRule="auto"/>
        <w:rPr>
          <w:rFonts w:cs="Times New Roman"/>
          <w:b/>
          <w:i/>
          <w:iCs/>
          <w:color w:val="000000" w:themeColor="text1"/>
          <w:kern w:val="2"/>
          <w:szCs w:val="24"/>
          <w:lang w:val="en-GB"/>
        </w:rPr>
      </w:pPr>
      <w:r w:rsidRPr="000D1B44">
        <w:rPr>
          <w:rFonts w:cs="Times New Roman"/>
          <w:b/>
          <w:i/>
          <w:iCs/>
          <w:color w:val="000000" w:themeColor="text1"/>
          <w:kern w:val="2"/>
          <w:szCs w:val="24"/>
          <w:lang w:val="en-GB"/>
        </w:rPr>
        <w:t>Theoretical Review</w:t>
      </w:r>
    </w:p>
    <w:p w14:paraId="2D10CC3E"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The relationship between debt financing and financial performance has been widely examined through various theoretical perspectives. This study draws upon five key theories that provide conceptual foundations for understanding how financing choices influence firm performance: the Pecking Order Theory, Modigliani and Miller Proposition, Trade-off Theory, Profit Maximization Theory, and Growth of the Firm Theory. Each of these theoretical frameworks explains the rationale behind firms’ financing structures, their prioritization of funding sources, and the subsequent implications for profitability, growth, and sustainability.</w:t>
      </w:r>
    </w:p>
    <w:p w14:paraId="793A4065"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The Pecking Order Theory, advanced by Myers and Majluf (1984), emphasizes the hierarchical preferences firms adopt when choosing sources of finance. It suggests that firms prioritize internal financing before seeking external debt and, as a last resort, equity. This hierarchy is primarily driven by information asymmetry, where managers possess superior information about the firm compared to external investors. The theory assumes that internal funds incur the least cost since they avoid adverse selection problems, while debt introduces moderate costs, and equity issuance is the most expensive due to the dilution of ownership and heightened information asymmetry.</w:t>
      </w:r>
    </w:p>
    <w:p w14:paraId="108F8707"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Scholars such as Chen and Chen (2011) note that firms often prefer short-term debt (STD) over long-term debt (LTD), given its lower information asymmetry costs. Shahar et al. (2015) further conclude that firms maximize their value when they select the least expensive financing option available. Myers and Majluf (1984) argue that retained earnings eliminate information asymmetry problems altogether, while short-term debt becomes the preferred alternative when internal funds are insufficient. This implies that debt structure decisions are not arbitrary but shaped by the degree of informational gaps between the firm and external financiers. The theory is particularly relevant for industries such as construction, where managers often rely heavily on short-term debt to manage working capital needs while minimizing the costs associated with external financing. In essence, the Pecking Order Theory underscores the prioritization of financing methods and provides insight into the use of debt as a strategic tool influenced by information asymmetry.</w:t>
      </w:r>
    </w:p>
    <w:p w14:paraId="5EDA038B" w14:textId="517599E4"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Modigliani and Miller (1958; 1963) introduced a contrasting perspective by arguing that a firm’s value is determined by the present value of its future earnings and assets, irrespective of its capital structure. This proposition, often referred to as the capital structure irrelevance principle, maintains that financing decisions</w:t>
      </w:r>
      <w:r w:rsidR="00001648">
        <w:rPr>
          <w:rFonts w:cs="Times New Roman"/>
          <w:bCs/>
          <w:color w:val="000000" w:themeColor="text1"/>
          <w:kern w:val="2"/>
          <w:szCs w:val="24"/>
          <w:lang w:val="en-GB"/>
        </w:rPr>
        <w:t xml:space="preserve"> </w:t>
      </w:r>
      <w:r w:rsidRPr="008A066F">
        <w:rPr>
          <w:rFonts w:cs="Times New Roman"/>
          <w:bCs/>
          <w:color w:val="000000" w:themeColor="text1"/>
          <w:kern w:val="2"/>
          <w:szCs w:val="24"/>
          <w:lang w:val="en-GB"/>
        </w:rPr>
        <w:t>whether through retained earnings, debt, or equity</w:t>
      </w:r>
      <w:r w:rsidR="00001648">
        <w:rPr>
          <w:rFonts w:cs="Times New Roman"/>
          <w:bCs/>
          <w:color w:val="000000" w:themeColor="text1"/>
          <w:kern w:val="2"/>
          <w:szCs w:val="24"/>
          <w:lang w:val="en-GB"/>
        </w:rPr>
        <w:t xml:space="preserve"> </w:t>
      </w:r>
      <w:r w:rsidRPr="008A066F">
        <w:rPr>
          <w:rFonts w:cs="Times New Roman"/>
          <w:bCs/>
          <w:color w:val="000000" w:themeColor="text1"/>
          <w:kern w:val="2"/>
          <w:szCs w:val="24"/>
          <w:lang w:val="en-GB"/>
        </w:rPr>
        <w:t>do not affect the overall market value of the firm under conditions of perfect capital markets and in the absence of taxes. In this framework, firms with higher debt levels are not inherently more valuable than those with lower debt levels.</w:t>
      </w:r>
    </w:p>
    <w:p w14:paraId="24C0558C"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However, Modigliani and Miller (1963) later recognized the role of taxes, particularly the interest tax shield, which gives debt financing an advantage by reducing taxable income. Yet, they also acknowledge that excessive debt may expose firms to financial distress costs, thereby offsetting the benefits of tax deductions. Miller (1977) further observed that while investment risk may not directly affect firm value, growth expectations significantly influence market perception and investor confidence. High-growth firms often attract higher valuations and stock prices, regardless of their financing choices. This theory, therefore, highlights the trade-off between tax advantages and the risks of financial distress associated with debt, offering critical insights into the long-term debt variable in capital structure decisions.</w:t>
      </w:r>
    </w:p>
    <w:p w14:paraId="46259818"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 xml:space="preserve">Building upon Modigliani and Miller’s insights, Myers (1984) developed the Trade-off Theory, which posits that firms balance the tax benefits of debt against the costs of potential bankruptcy and financial distress. The theory asserts that while debt provides an interest tax shield, it simultaneously increases the probability of insolvency and </w:t>
      </w:r>
      <w:r w:rsidRPr="008A066F">
        <w:rPr>
          <w:rFonts w:cs="Times New Roman"/>
          <w:bCs/>
          <w:color w:val="000000" w:themeColor="text1"/>
          <w:kern w:val="2"/>
          <w:szCs w:val="24"/>
          <w:lang w:val="en-GB"/>
        </w:rPr>
        <w:lastRenderedPageBreak/>
        <w:t>agency costs. The optimal capital structure, therefore, lies at a point where the marginal benefit of the tax shield is equal to the marginal cost of financial distress.</w:t>
      </w:r>
    </w:p>
    <w:p w14:paraId="1F22B1D8"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Baxter (1967) emphasized that excessive reliance on debt raises bankruptcy risk, while Persson and Ridderstrom (2014) showed that firms achieve maximization when tax benefits are balanced against distress costs. Kodongo (2013) argued that additional debt eventually leads to diminishing returns as the marginal gain from interest deductions declines. Accordingly, the Trade-off Theory provides a sophisticated framework for determining the ideal level of debt usage, making it particularly relevant for examining the total debt variable in this study. By highlighting the equilibrium between benefits and costs, the theory offers a rational basis for assessing whether firms should prefer debt or equity when financing new investments.</w:t>
      </w:r>
    </w:p>
    <w:p w14:paraId="09D0C1FB"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The Profit Maximization Theory, rooted in the works of Alfred Marshall (1890), is one of the earliest propositions explaining firm behavior. It assumes that firms operate as rational entities with the primary objective of maximizing profits, either in competitive or imperfect markets. According to this theory, firms strive to equate marginal revenue with marginal cost to ensure optimal profitability. Shareholders, in turn, expect management to act in ways that maximize returns, while managers aim to minimize inputs and maximize outputs to achieve higher profit levels (Young &amp; Makhija, 2014).</w:t>
      </w:r>
    </w:p>
    <w:p w14:paraId="4780B4C1"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Although this theory provides a straightforward explanation of firm objectives, it has notable limitations. Keen and Standish (2006) argue that the assumption of perfect knowledge regarding costs, revenues, and market conditions rarely holds true in practice. Uncertainty in future revenues and costs complicates firms’ ability to compute precise marginal values, undermining the accuracy of profit maximization as a guiding principle. Nevertheless, the theory remains useful in understanding financial performance, as it emphasizes the role of profitability in sustaining firm operations and guiding managerial decision-making. High profitability not only ensures survival but also provides opportunities for expansion, thereby enhancing shareholder value. In this regard, the Profit Maximization Theory contributes significantly to this research by linking debt financing decisions with the ultimate objective of maximizing financial performance.</w:t>
      </w:r>
    </w:p>
    <w:p w14:paraId="6E0067B9"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Edith Penrose (1959) proposed the Growth of the Firm Theory, which examines how resources and capabilities influence a firm’s expansion. Penrose conceptualizes the firm as more than an administrative unit, describing it instead as a collection of productive resources whose deployment determines growth opportunities. The theory stresses that the services derived from resources, rather than the resources themselves, drive firm development. By leveraging their resources effectively, firms can achieve sustained growth and profitability.</w:t>
      </w:r>
    </w:p>
    <w:p w14:paraId="05FEF5D0"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Penrose further argues that firms with abundant resources enjoy greater growth opportunities compared to resource-constrained firms, since they can exploit economies of scale, attract financing, and adapt to market demands more efficiently. Conflicts, however, may arise between managerial capacity and the firm’s growth ambitions, leading to constraints on expansion. The theory highlights the importance of firm size as a determinant of financing decisions, noting that larger firms with extensive resource bases are more likely to secure external financing, including debt, due to the security they provide lenders. Consequently, the Growth of the Firm Theory informs this study by emphasizing how firm size moderates the relationship between debt financing and financial performance.</w:t>
      </w:r>
    </w:p>
    <w:p w14:paraId="6C213BBC" w14:textId="266D5DFE" w:rsidR="00B449E1" w:rsidRPr="000D1B44" w:rsidRDefault="008A066F" w:rsidP="008A066F">
      <w:pPr>
        <w:spacing w:before="0" w:after="160" w:line="259" w:lineRule="auto"/>
        <w:rPr>
          <w:rFonts w:cs="Times New Roman"/>
          <w:bCs/>
          <w:color w:val="000000" w:themeColor="text1"/>
          <w:szCs w:val="24"/>
        </w:rPr>
      </w:pPr>
      <w:r w:rsidRPr="008A066F">
        <w:rPr>
          <w:rFonts w:cs="Times New Roman"/>
          <w:bCs/>
          <w:color w:val="000000" w:themeColor="text1"/>
          <w:kern w:val="2"/>
          <w:szCs w:val="24"/>
          <w:lang w:val="en-GB"/>
        </w:rPr>
        <w:t xml:space="preserve">Taken together, these five theories provide a multidimensional framework for analyzing the effects of debt financing on financial performance. The Pecking Order Theory emphasizes the role of information asymmetry and financing hierarchies, while the Modigliani and Miller Proposition underscores the neutrality of capital structure under certain assumptions, later nuanced by tax considerations. The Trade-off Theory advances this by integrating the costs of financial distress, establishing the concept of an optimal debt level. Profit Maximization Theory links financing strategies directly to the fundamental objective of maximizing returns, and the Growth of the Firm Theory situates financing decisions within the broader context of firm resources and expansion potential. By integrating these </w:t>
      </w:r>
      <w:r w:rsidRPr="008A066F">
        <w:rPr>
          <w:rFonts w:cs="Times New Roman"/>
          <w:bCs/>
          <w:color w:val="000000" w:themeColor="text1"/>
          <w:kern w:val="2"/>
          <w:szCs w:val="24"/>
          <w:lang w:val="en-GB"/>
        </w:rPr>
        <w:lastRenderedPageBreak/>
        <w:t>theoretical perspectives, this study develops a robust conceptual foundation for examining how debt financing influences the financial outcomes of firms, particularly in industries characterized by resource constraints and competitive pressures</w:t>
      </w:r>
      <w:r w:rsidR="0038103F" w:rsidRPr="0038103F">
        <w:rPr>
          <w:rFonts w:cs="Times New Roman"/>
          <w:bCs/>
          <w:color w:val="000000" w:themeColor="text1"/>
          <w:kern w:val="2"/>
          <w:szCs w:val="24"/>
          <w:lang w:val="en-GB"/>
        </w:rPr>
        <w:t>.</w:t>
      </w:r>
    </w:p>
    <w:p w14:paraId="0236764D" w14:textId="19E3A4FA" w:rsidR="0025635B" w:rsidRPr="00FB2E0F" w:rsidRDefault="00E0554F" w:rsidP="0025635B">
      <w:pPr>
        <w:spacing w:before="0" w:after="160" w:line="259" w:lineRule="auto"/>
        <w:rPr>
          <w:rFonts w:cs="Times New Roman"/>
          <w:b/>
          <w:bCs/>
          <w:color w:val="000000" w:themeColor="text1"/>
          <w:sz w:val="28"/>
          <w:szCs w:val="28"/>
        </w:rPr>
      </w:pPr>
      <w:r w:rsidRPr="00FB2E0F">
        <w:rPr>
          <w:rFonts w:cs="Times New Roman"/>
          <w:b/>
          <w:bCs/>
          <w:color w:val="000000" w:themeColor="text1"/>
          <w:sz w:val="28"/>
          <w:szCs w:val="28"/>
        </w:rPr>
        <w:t xml:space="preserve">2.1 </w:t>
      </w:r>
      <w:r w:rsidR="00CB6E82" w:rsidRPr="00FB2E0F">
        <w:rPr>
          <w:rFonts w:cs="Times New Roman"/>
          <w:b/>
          <w:bCs/>
          <w:color w:val="000000" w:themeColor="text1"/>
          <w:sz w:val="28"/>
          <w:szCs w:val="28"/>
        </w:rPr>
        <w:t>Empirical Review</w:t>
      </w:r>
    </w:p>
    <w:p w14:paraId="02F3C95F"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The empirical literature on debt financing and financial performance has yielded mixed findings across contexts, industries, and methodological approaches. Scholars have investigated short-term, long-term, and total debt as well as firm size to assess their respective contributions to financial performance, often measured by indicators such as Return on Assets (ROA) and Return on Equity (ROE). While international evidence provides broad insights, local studies highlight unique contextual dynamics, particularly within Kenyan markets. The review underscores both convergences and inconsistencies, while identifying methodological, conceptual, and contextual gaps that justify further inquiry.</w:t>
      </w:r>
    </w:p>
    <w:p w14:paraId="196E3367"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Several studies demonstrate that short-term debt (STD) exerts varying effects on firm performance. Philip and Olanrewa (2020) examined short-, medium-, and long-term debt in relation to ROE and found a negative but insignificant association between STD and financial performance, with medium-term debt showing a significant negative link. Similarly, Iorpev and Kwanum (2012) established that STD to total assets negatively correlated with ROA among Nigerian manufacturing firms, although its relationship with profit margin was insignificant. This suggests that reliance on short-term financing may strain profitability.</w:t>
      </w:r>
    </w:p>
    <w:p w14:paraId="04C84387"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However, contrasting findings emerge in SME contexts. Oando (2017), studying small and medium enterprises in Bondo Sub-County, Kenya, reported a moderately positive association between STD (including accounts payable and short-term loans) and financial performance. This divergence underscores the importance of firm type and operating environment, since SMEs may rely on short-term credit as a flexible financing mechanism. Nur, Anita, and Saiyidi (2017), focusing on Malaysian construction firms, similarly found that overall debt negatively influenced ROA, while STD and LTD showed no significant effects. Collectively, these studies reveal both methodological and contextual gaps, particularly given their restriction to manufacturing or construction firms and their varied geographical scopes.</w:t>
      </w:r>
    </w:p>
    <w:p w14:paraId="7920DAB7"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The role of long-term debt (LTD) is equally contested. Kibunja and Fatoki (2020) found that among listed non-financial firms in Kenya, LTD positively influenced ROE, whereas STD and medium-term debt reduced it. Makanga (2015) similarly revealed a slight negative correlation between both STD and LTD with financial performance, but argued that LTD is less harmful than STD, provided its cost remains below the firm’s acceptable return threshold. Gupta and Gupta (2014), studying Indian construction companies, reported no significant negative relationship between LTD and performance indicators, suggesting contextual variability.</w:t>
      </w:r>
    </w:p>
    <w:p w14:paraId="7A0E97BB"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In contrast, Aziz and Abbas (2019), analyzing Pakistani non-financial firms, observed that both STD and LTD negatively affected corporate performance, recommending internal funding as a cheaper alternative. Comparable findings were reported by Abubakar (2017) in Nigerian service firms, where higher debt levels eroded overall financial health. These studies highlight the costly nature of long-term financing in some contexts, while raising methodological concerns given their reliance on secondary data and focus on non-financial sectors.</w:t>
      </w:r>
    </w:p>
    <w:p w14:paraId="6A21FB6E"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 xml:space="preserve">When considering total debt (TD), empirical results generally converge on a negative association with firm performance. Abubakar (2017) demonstrated that increased leverage undermined financial stability among Nigerian service providers, findings echoed by Chuke et al. (2016), who revealed that STD, LTD, and overall debt significantly reduced firm performance. Nonetheless, firm characteristics such as size and age moderated these effects positively, suggesting that structural attributes may buffer the adverse consequences of heavy indebtedness. </w:t>
      </w:r>
      <w:r w:rsidRPr="008A066F">
        <w:rPr>
          <w:rFonts w:cs="Times New Roman"/>
          <w:color w:val="000000" w:themeColor="text1"/>
          <w:szCs w:val="24"/>
        </w:rPr>
        <w:lastRenderedPageBreak/>
        <w:t>This strand of evidence reinforces the notion that optimal debt management remains context-specific and contingent on firm-level attributes.</w:t>
      </w:r>
    </w:p>
    <w:p w14:paraId="7E5BCD81"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Firm size has emerged as a critical variable moderating debt-performance dynamics, though findings remain inconclusive. Gabriel, Kilika, and Muchemi (2020), examining Kenyan manufacturing enterprises, found that firm size exerted no significant effect on performance or dynamic capabilities. Conversely, Wahome, Memba, and Muturi (2015) demonstrated that in Kenya’s securities industry, larger firms enjoyed greater access to financing and lower borrowing costs, thereby achieving superior profitability relative to smaller firms. Similarly, Abiodum (2017), analyzing Nigerian firms, reported that firm size, whether measured by assets or sales, directly influenced profitability and leverage ratios.</w:t>
      </w:r>
    </w:p>
    <w:p w14:paraId="2E63DBC2"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Other studies provide nuanced perspectives. Manzano (2019) revealed that while debt financing negatively affected ROA among NSE-listed firms in Kenya, liquidity positively enhanced ROA, whereas firm size had a negative but insignificant relationship with performance. Albert (2018) further demonstrated that for Kenyan construction firms, asset tangibility and liquidity significantly improved performance, while firm size was inversely related to ROA, suggesting that efficient resource utilization mattered more than scale. Collectively, these studies present conceptual gaps by highlighting inconsistencies in whether firm size enhances or diminishes performance outcomes.</w:t>
      </w:r>
    </w:p>
    <w:p w14:paraId="35708EEE"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Across empirical contexts, the relationship between debt financing and financial performance remains inconclusive. Short-term debt tends to strain profitability in large industrial firms, but may serve as a useful financing tool for SMEs, highlighting the role of firm context. Long-term debt exhibits mixed effects, with some studies underscoring its relative safety compared to short-term borrowing, while others stress its detrimental impact due to high costs. Total debt is generally associated with declining financial health, though firm attributes such as size and age may mitigate these adverse outcomes. Finally, the role of firm size is contested, with evidence ranging from positive, negative, to insignificant associations with financial performance.</w:t>
      </w:r>
    </w:p>
    <w:p w14:paraId="1211445F" w14:textId="21665E8B" w:rsidR="00CB6E82"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Several methodological and contextual gaps emerge. First, many studies rely heavily on secondary data and regression models without adequately addressing industry-specific dynamics. Second, much of the evidence stems from international contexts such as Malaysia, Nigeria, India, and Pakistan, limiting its applicability to Kenyan firms given differing market structures. Third, sectoral focus is often narrow</w:t>
      </w:r>
      <w:r w:rsidR="00001648">
        <w:rPr>
          <w:rFonts w:cs="Times New Roman"/>
          <w:color w:val="000000" w:themeColor="text1"/>
          <w:szCs w:val="24"/>
        </w:rPr>
        <w:t xml:space="preserve"> </w:t>
      </w:r>
      <w:r w:rsidRPr="008A066F">
        <w:rPr>
          <w:rFonts w:cs="Times New Roman"/>
          <w:color w:val="000000" w:themeColor="text1"/>
          <w:szCs w:val="24"/>
        </w:rPr>
        <w:t>targeting manufacturing, construction, or non-financial firms</w:t>
      </w:r>
      <w:r w:rsidR="00001648">
        <w:rPr>
          <w:rFonts w:cs="Times New Roman"/>
          <w:color w:val="000000" w:themeColor="text1"/>
          <w:szCs w:val="24"/>
        </w:rPr>
        <w:t xml:space="preserve"> </w:t>
      </w:r>
      <w:r w:rsidRPr="008A066F">
        <w:rPr>
          <w:rFonts w:cs="Times New Roman"/>
          <w:color w:val="000000" w:themeColor="text1"/>
          <w:szCs w:val="24"/>
        </w:rPr>
        <w:t>leaving gaps in understanding SMEs and other industries. Finally, conceptual inconsistencies regarding the moderating role of firm size underscore the need for deeper inquiry into how structural characteristics condition the debt-performance relationship.</w:t>
      </w:r>
      <w:r>
        <w:rPr>
          <w:rFonts w:cs="Times New Roman"/>
          <w:color w:val="000000" w:themeColor="text1"/>
          <w:szCs w:val="24"/>
        </w:rPr>
        <w:t xml:space="preserve"> </w:t>
      </w:r>
      <w:r w:rsidRPr="008A066F">
        <w:rPr>
          <w:rFonts w:cs="Times New Roman"/>
          <w:color w:val="000000" w:themeColor="text1"/>
          <w:szCs w:val="24"/>
        </w:rPr>
        <w:t>Overall, the reviewed literature indicates that while debt financing remains a critical determinant of financial performance, its effects are far from uniform. The inconsistencies across contexts, industries, and firm characteristics call for more nuanced, locally grounded research, particularly within Kenya, to establish clearer empirical patterns and inform evidence-based financial strategies</w:t>
      </w:r>
      <w:r w:rsidR="00C237CE" w:rsidRPr="00C237CE">
        <w:rPr>
          <w:rFonts w:cs="Times New Roman"/>
          <w:color w:val="000000" w:themeColor="text1"/>
          <w:szCs w:val="24"/>
        </w:rPr>
        <w:t>.</w:t>
      </w:r>
    </w:p>
    <w:p w14:paraId="35BCEF5F" w14:textId="1EFB8069" w:rsidR="00055D83" w:rsidRPr="00FB2E0F" w:rsidRDefault="00055D83" w:rsidP="002C6F25">
      <w:pPr>
        <w:spacing w:line="240" w:lineRule="auto"/>
        <w:rPr>
          <w:rFonts w:cs="Times New Roman"/>
          <w:b/>
          <w:bCs/>
          <w:color w:val="000000" w:themeColor="text1"/>
          <w:sz w:val="28"/>
          <w:szCs w:val="28"/>
        </w:rPr>
      </w:pPr>
      <w:r w:rsidRPr="00FB2E0F">
        <w:rPr>
          <w:rFonts w:cs="Times New Roman"/>
          <w:b/>
          <w:bCs/>
          <w:color w:val="000000" w:themeColor="text1"/>
          <w:sz w:val="28"/>
          <w:szCs w:val="28"/>
        </w:rPr>
        <w:t>3.0 RESEARCH METHODOLOGY</w:t>
      </w:r>
    </w:p>
    <w:p w14:paraId="3D6897D1"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 xml:space="preserve">A study philosophy provides the underlying framework guiding how data on a given phenomenon is collected, analyzed, and interpreted. It rests on assumptions about the nature of reality (ontology) and the relationship between the researcher and that reality (epistemology) (Hudson &amp; Ozane, 1988). Within social sciences, two dominant paradigms are positivism and interpretivism. Positivism assumes the existence of a single, objective reality that can be studied independently of the researcher’s views. Under this paradigm, the researcher adopts structured designs, formulates hypotheses, and applies statistical and mathematical techniques to identify relationships and make generalizations. Positivist research emphasizes neutrality, logical reasoning, and quantifiable methods to derive objective conclusions. In contrast, interpretivism posits that reality is complex, socially constructed, and context-dependent. Here, the researcher interacts closely with participants to interpret meanings and behaviors, focusing less </w:t>
      </w:r>
      <w:r w:rsidRPr="00091281">
        <w:rPr>
          <w:rFonts w:cs="Times New Roman"/>
          <w:color w:val="000000" w:themeColor="text1"/>
          <w:szCs w:val="24"/>
        </w:rPr>
        <w:lastRenderedPageBreak/>
        <w:t>on generalization and more on understanding (Hopkins, 2000). Given the study’s objectives, this research adopted a positivist philosophy, which allowed structured analysis of quantitative data to explain causal relationships.</w:t>
      </w:r>
    </w:p>
    <w:p w14:paraId="0D13BF6D"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A research design connects study variables with research objectives, offering a systematic plan for data collection and analysis. By clarifying the framework, it minimizes ambiguity and ensures that research questions are addressed effectively. This study adopted a quantitative research design, specifically a causal research design, which is appropriate when investigating variations between variables and predicting potential outcomes. Causal design enables the researcher to not only describe phenomena but also test hypotheses regarding cause–effect relationships. This choice was particularly relevant as the study examined the influence of debt financing on financial performance in construction firms, thus requiring a robust design to draw predictive and explanatory insights.</w:t>
      </w:r>
    </w:p>
    <w:p w14:paraId="2C0599E5"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Population refers to the complete set of elements from which data relevant to a study is drawn. The population for this study consisted of four construction and allied firms listed on the Nairobi Securities Exchange (NSE). The target population, which provided the actual basis for analysis, was therefore limited to these four listed construction companies. By focusing on this specific population, the study ensured direct relevance and contextual applicability of its findings.</w:t>
      </w:r>
    </w:p>
    <w:p w14:paraId="3FD685CD"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Sampling is the process of selecting elements from a population to make inferences about the whole (Malterud, Siersma, &amp; Guassora, 2016). Given the small and manageable population of four construction firms, a census was conducted. A census involves collecting data from every member of the population, thereby eliminating sampling error and increasing confidence in the results. In cases where the target population is fewer than 30 units, census methods are recommended. For this study, the census approach ensured comprehensive coverage, enhanced statistical confidence, and yielded highly accurate results.</w:t>
      </w:r>
    </w:p>
    <w:p w14:paraId="292C25CD"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The study relied on secondary data comprising panel data that integrated both cross-sectional and time series dimensions. Data were collected from annual reports and financial statements of the four construction firms for the period 2015–2021. This timeframe was chosen because of its recency, accessibility, and adequacy for capturing performance trends. The data were drawn from financial statements of comprehensive income, financial position, and accompanying notes, using a structured data collection form to ensure completeness and accuracy. Variables considered included financial performance, debt structure (short-term, long-term, and total debt), and firm size as a moderating variable. Financial performance was measured using Return on Assets (ROA), while debt ratios such as current liabilities to total assets, non-current liabilities to total assets, and total liabilities to total assets were employed. These ratios enabled comparative analysis of firms’ leverage levels, with higher ratios indicating greater reliance on debt financing.</w:t>
      </w:r>
    </w:p>
    <w:p w14:paraId="38B29D2C"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Data analysis involved descriptive and inferential statistics. Descriptive statistics, including means and standard deviations, summarized the characteristics of variables, while inferential statistics tested hypotheses and relationships among variables. Panel regression analysis was employed to establish associations between debt structure and financial performance. STATA software was used for statistical computations, offering reliability in handling panel data. The analysis considered both static and dynamic models. Where firms experienced adjustment delays in debt structures, static models were deemed unsuitable, aligning with prior studies (Antoniou, Yilmaz, &amp; Krishna, 2006; Ozkan, 2000).</w:t>
      </w:r>
    </w:p>
    <w:p w14:paraId="448F30E4"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 xml:space="preserve">Several diagnostic tests were conducted to validate the regression model. Multicollinearity was assessed using Variance Inflation Factors (VIF), with values above 10 signaling problematic correlation among independent variables (Gujarati, 2003). Heteroscedasticity, which occurs when error variance is inconsistent, was tested using the Breusch-Pagan Cook-Weisberg test; failure to correct heteroscedasticity could bias standard errors (Wooldridge, </w:t>
      </w:r>
      <w:r w:rsidRPr="00091281">
        <w:rPr>
          <w:rFonts w:cs="Times New Roman"/>
          <w:color w:val="000000" w:themeColor="text1"/>
          <w:szCs w:val="24"/>
        </w:rPr>
        <w:lastRenderedPageBreak/>
        <w:t>2003). The Hausman specification test determined whether fixed or random effects models were more appropriate by testing for correlation between regressors and error terms. Additionally, panel unit root tests (Fisher-Type) checked for variable stationarity, ensuring avoidance of spurious regression results. Non-stationary variables were differenced before analysis. Autocorrelation, a common challenge in panel data, was tested using the Breusch-Godfrey LM test. Where sequential correlation was detected, feasible generalized least squares (FGLS) were applied to correct biases and inefficiencies.</w:t>
      </w:r>
    </w:p>
    <w:p w14:paraId="68ECED9B" w14:textId="45E5A3CF" w:rsidR="009B3203" w:rsidRPr="00C237CE"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Research ethics ensures integrity in the collection, analysis, and dissemination of data (Greenwood, 2016). This study adhered strictly to ethical standards by obtaining research approvals from Kenyatta University and the National Commission for Science, Technology and Innovation (NACOSTI). Ethical safeguards included accurate citation of scholarly sources, avoidance of bias in data handling, and maintaining objectivity in interpretation. The use of secondary financial data minimized risks to human participants, further ensuring compliance with ethical requirements for academic research</w:t>
      </w:r>
      <w:r w:rsidR="00FE6B26" w:rsidRPr="00C237CE">
        <w:rPr>
          <w:rFonts w:cs="Times New Roman"/>
          <w:color w:val="000000" w:themeColor="text1"/>
          <w:szCs w:val="24"/>
        </w:rPr>
        <w:t>.</w:t>
      </w:r>
    </w:p>
    <w:p w14:paraId="7C961926" w14:textId="77777777" w:rsidR="00B55CEF" w:rsidRDefault="00B55CEF">
      <w:pPr>
        <w:spacing w:before="0" w:after="160" w:line="259" w:lineRule="auto"/>
        <w:jc w:val="left"/>
        <w:rPr>
          <w:b/>
          <w:bCs/>
          <w:color w:val="000000" w:themeColor="text1"/>
          <w:sz w:val="28"/>
          <w:szCs w:val="24"/>
        </w:rPr>
      </w:pPr>
      <w:r>
        <w:rPr>
          <w:b/>
          <w:bCs/>
          <w:color w:val="000000" w:themeColor="text1"/>
          <w:sz w:val="28"/>
          <w:szCs w:val="24"/>
        </w:rPr>
        <w:br w:type="page"/>
      </w:r>
    </w:p>
    <w:p w14:paraId="14C2E9C9" w14:textId="41B94B9A" w:rsidR="00055D83" w:rsidRPr="00FB2E0F" w:rsidRDefault="002B2D3C" w:rsidP="002B2D3C">
      <w:pPr>
        <w:rPr>
          <w:b/>
          <w:bCs/>
          <w:color w:val="000000" w:themeColor="text1"/>
          <w:sz w:val="28"/>
          <w:szCs w:val="24"/>
        </w:rPr>
      </w:pPr>
      <w:r w:rsidRPr="00FB2E0F">
        <w:rPr>
          <w:b/>
          <w:bCs/>
          <w:color w:val="000000" w:themeColor="text1"/>
          <w:sz w:val="28"/>
          <w:szCs w:val="24"/>
        </w:rPr>
        <w:lastRenderedPageBreak/>
        <w:t xml:space="preserve">4.0 </w:t>
      </w:r>
      <w:r w:rsidR="00055D83" w:rsidRPr="00FB2E0F">
        <w:rPr>
          <w:b/>
          <w:bCs/>
          <w:color w:val="000000" w:themeColor="text1"/>
          <w:sz w:val="28"/>
          <w:szCs w:val="24"/>
        </w:rPr>
        <w:t>RESULTS AND DISCUSSION</w:t>
      </w:r>
    </w:p>
    <w:p w14:paraId="4C0BC1AC" w14:textId="0C3F3B4E" w:rsidR="00615B2D" w:rsidRPr="004D7E05" w:rsidRDefault="00615B2D" w:rsidP="00615B2D">
      <w:pPr>
        <w:spacing w:before="0"/>
        <w:rPr>
          <w:b/>
          <w:bCs/>
          <w:i/>
          <w:color w:val="000000" w:themeColor="text1"/>
          <w:sz w:val="28"/>
          <w:szCs w:val="24"/>
        </w:rPr>
      </w:pPr>
      <w:r w:rsidRPr="004D7E05">
        <w:rPr>
          <w:b/>
          <w:bCs/>
          <w:i/>
          <w:color w:val="000000" w:themeColor="text1"/>
          <w:sz w:val="28"/>
          <w:szCs w:val="24"/>
        </w:rPr>
        <w:t xml:space="preserve">4.1 </w:t>
      </w:r>
      <w:r w:rsidR="004D7E05" w:rsidRPr="004D7E05">
        <w:rPr>
          <w:b/>
          <w:bCs/>
          <w:i/>
          <w:color w:val="000000" w:themeColor="text1"/>
          <w:sz w:val="28"/>
          <w:szCs w:val="24"/>
        </w:rPr>
        <w:t>Descriptive Statistics</w:t>
      </w:r>
    </w:p>
    <w:p w14:paraId="36C332A1" w14:textId="73CC15B4" w:rsidR="00615B2D" w:rsidRDefault="004D7E05" w:rsidP="00615B2D">
      <w:pPr>
        <w:spacing w:before="0" w:line="240" w:lineRule="auto"/>
        <w:rPr>
          <w:color w:val="000000" w:themeColor="text1"/>
        </w:rPr>
      </w:pPr>
      <w:r w:rsidRPr="004D7E05">
        <w:rPr>
          <w:color w:val="000000" w:themeColor="text1"/>
        </w:rPr>
        <w:t>Descriptive statistical analysis was conducted to examine the study variables using means, standard deviations, minimum, and maximum values. The results indicated that the financial performance of construction and allied companies listed at the securities exchange, measured by return on assets (ROA), had a mean of 0.0559, with a minimum of -0.1269 and a maximum of 0.3097. The standard deviation of 0.1124 reflected fluctuations in performance during the study period. Short-term debt recorded a mean of 0.3483, ranging from 0.1419 to 0.7020, with a standard deviation of 0.1996, indicating moderate variability. Long-term debt exhibited a mean of 0.1595, a minimum of 0.0051, and a maximum of 0.5081, with a standard deviation of 0.1265, suggesting notable variation. Total debt had a mean of 0.4888, with extreme values between 0.0007 and 0.9339, and a standard deviation of 0.2114, further highlighting variability. Firm size reported a mean of 4.2283, a minimum of 3.6570, and a maximum of 4.7137, with a standard deviation of 0.3912. These findings align with Abiodun (2017), who emphasized firm size as a significant determinant of organizational performance</w:t>
      </w:r>
      <w:r w:rsidR="00A31119" w:rsidRPr="00A31119">
        <w:rPr>
          <w:color w:val="000000" w:themeColor="text1"/>
        </w:rPr>
        <w:t>.</w:t>
      </w:r>
    </w:p>
    <w:p w14:paraId="642C887E" w14:textId="77777777" w:rsidR="00E730D7" w:rsidRDefault="00E730D7" w:rsidP="00615B2D">
      <w:pPr>
        <w:spacing w:before="0" w:line="240" w:lineRule="auto"/>
        <w:rPr>
          <w:color w:val="000000" w:themeColor="text1"/>
        </w:rPr>
      </w:pPr>
    </w:p>
    <w:p w14:paraId="62C1D27B" w14:textId="34728848" w:rsidR="004D7E05" w:rsidRDefault="004D7E05" w:rsidP="004D7E05">
      <w:pPr>
        <w:spacing w:before="0" w:line="240" w:lineRule="auto"/>
        <w:rPr>
          <w:b/>
          <w:bCs/>
          <w:szCs w:val="24"/>
        </w:rPr>
      </w:pPr>
      <w:r>
        <w:rPr>
          <w:b/>
          <w:bCs/>
          <w:szCs w:val="24"/>
        </w:rPr>
        <w:t>Table 2</w:t>
      </w:r>
      <w:r w:rsidRPr="00F74C15">
        <w:rPr>
          <w:b/>
          <w:bCs/>
          <w:szCs w:val="24"/>
        </w:rPr>
        <w:t>: Descriptive Statistics</w:t>
      </w:r>
    </w:p>
    <w:tbl>
      <w:tblPr>
        <w:tblStyle w:val="Style2"/>
        <w:tblW w:w="9470" w:type="dxa"/>
        <w:tblLook w:val="04A0" w:firstRow="1" w:lastRow="0" w:firstColumn="1" w:lastColumn="0" w:noHBand="0" w:noVBand="1"/>
      </w:tblPr>
      <w:tblGrid>
        <w:gridCol w:w="1894"/>
        <w:gridCol w:w="1894"/>
        <w:gridCol w:w="1894"/>
        <w:gridCol w:w="1894"/>
        <w:gridCol w:w="1894"/>
      </w:tblGrid>
      <w:tr w:rsidR="004D7E05" w14:paraId="50049D46" w14:textId="77777777" w:rsidTr="004D7E05">
        <w:trPr>
          <w:cnfStyle w:val="100000000000" w:firstRow="1" w:lastRow="0" w:firstColumn="0" w:lastColumn="0" w:oddVBand="0" w:evenVBand="0" w:oddHBand="0" w:evenHBand="0" w:firstRowFirstColumn="0" w:firstRowLastColumn="0" w:lastRowFirstColumn="0" w:lastRowLastColumn="0"/>
          <w:trHeight w:val="633"/>
        </w:trPr>
        <w:tc>
          <w:tcPr>
            <w:tcW w:w="1894" w:type="dxa"/>
          </w:tcPr>
          <w:p w14:paraId="40B4918D" w14:textId="77777777" w:rsidR="004D7E05" w:rsidRPr="00D1741D" w:rsidRDefault="004D7E05" w:rsidP="004D7E05">
            <w:pPr>
              <w:spacing w:before="0" w:line="240" w:lineRule="auto"/>
              <w:rPr>
                <w:b/>
                <w:bCs/>
                <w:szCs w:val="24"/>
              </w:rPr>
            </w:pPr>
            <w:r w:rsidRPr="00D1741D">
              <w:rPr>
                <w:b/>
                <w:bCs/>
                <w:szCs w:val="24"/>
              </w:rPr>
              <w:t>Variable</w:t>
            </w:r>
          </w:p>
        </w:tc>
        <w:tc>
          <w:tcPr>
            <w:tcW w:w="1894" w:type="dxa"/>
          </w:tcPr>
          <w:p w14:paraId="6A409208" w14:textId="77777777" w:rsidR="004D7E05" w:rsidRPr="00D1741D" w:rsidRDefault="004D7E05" w:rsidP="004D7E05">
            <w:pPr>
              <w:spacing w:before="0" w:line="240" w:lineRule="auto"/>
              <w:rPr>
                <w:b/>
                <w:bCs/>
                <w:szCs w:val="24"/>
              </w:rPr>
            </w:pPr>
            <w:r w:rsidRPr="00D1741D">
              <w:rPr>
                <w:b/>
                <w:bCs/>
                <w:szCs w:val="24"/>
              </w:rPr>
              <w:t>Mean</w:t>
            </w:r>
          </w:p>
        </w:tc>
        <w:tc>
          <w:tcPr>
            <w:tcW w:w="1894" w:type="dxa"/>
          </w:tcPr>
          <w:p w14:paraId="4A2F2581" w14:textId="77777777" w:rsidR="004D7E05" w:rsidRPr="00D1741D" w:rsidRDefault="004D7E05" w:rsidP="004D7E05">
            <w:pPr>
              <w:spacing w:before="0" w:line="240" w:lineRule="auto"/>
              <w:rPr>
                <w:b/>
                <w:bCs/>
                <w:szCs w:val="24"/>
              </w:rPr>
            </w:pPr>
            <w:r w:rsidRPr="00D1741D">
              <w:rPr>
                <w:b/>
                <w:bCs/>
                <w:szCs w:val="24"/>
              </w:rPr>
              <w:t>Standard Deviation</w:t>
            </w:r>
          </w:p>
        </w:tc>
        <w:tc>
          <w:tcPr>
            <w:tcW w:w="1894" w:type="dxa"/>
          </w:tcPr>
          <w:p w14:paraId="0DBEB596" w14:textId="77777777" w:rsidR="004D7E05" w:rsidRPr="00D1741D" w:rsidRDefault="004D7E05" w:rsidP="004D7E05">
            <w:pPr>
              <w:spacing w:before="0" w:line="240" w:lineRule="auto"/>
              <w:rPr>
                <w:b/>
                <w:bCs/>
                <w:szCs w:val="24"/>
              </w:rPr>
            </w:pPr>
            <w:r w:rsidRPr="00D1741D">
              <w:rPr>
                <w:b/>
                <w:bCs/>
                <w:szCs w:val="24"/>
              </w:rPr>
              <w:t>Minimum</w:t>
            </w:r>
          </w:p>
        </w:tc>
        <w:tc>
          <w:tcPr>
            <w:tcW w:w="1894" w:type="dxa"/>
          </w:tcPr>
          <w:p w14:paraId="6848E84C" w14:textId="77777777" w:rsidR="004D7E05" w:rsidRPr="00D1741D" w:rsidRDefault="004D7E05" w:rsidP="004D7E05">
            <w:pPr>
              <w:spacing w:before="0" w:line="240" w:lineRule="auto"/>
              <w:rPr>
                <w:b/>
                <w:bCs/>
                <w:szCs w:val="24"/>
              </w:rPr>
            </w:pPr>
            <w:r w:rsidRPr="00D1741D">
              <w:rPr>
                <w:b/>
                <w:bCs/>
                <w:szCs w:val="24"/>
              </w:rPr>
              <w:t>Maximum</w:t>
            </w:r>
          </w:p>
        </w:tc>
      </w:tr>
      <w:tr w:rsidR="004D7E05" w14:paraId="05373199" w14:textId="77777777" w:rsidTr="00D939BB">
        <w:trPr>
          <w:trHeight w:val="644"/>
        </w:trPr>
        <w:tc>
          <w:tcPr>
            <w:tcW w:w="1894" w:type="dxa"/>
          </w:tcPr>
          <w:p w14:paraId="5C127552" w14:textId="77777777" w:rsidR="004D7E05" w:rsidRDefault="004D7E05" w:rsidP="004D7E05">
            <w:pPr>
              <w:spacing w:before="0" w:line="240" w:lineRule="auto"/>
              <w:rPr>
                <w:szCs w:val="24"/>
              </w:rPr>
            </w:pPr>
            <w:r>
              <w:rPr>
                <w:szCs w:val="24"/>
              </w:rPr>
              <w:t>ROA</w:t>
            </w:r>
          </w:p>
        </w:tc>
        <w:tc>
          <w:tcPr>
            <w:tcW w:w="1894" w:type="dxa"/>
          </w:tcPr>
          <w:p w14:paraId="4B2BC466" w14:textId="77777777" w:rsidR="004D7E05" w:rsidRDefault="004D7E05" w:rsidP="004D7E05">
            <w:pPr>
              <w:spacing w:before="0" w:line="240" w:lineRule="auto"/>
              <w:rPr>
                <w:szCs w:val="24"/>
              </w:rPr>
            </w:pPr>
            <w:r>
              <w:rPr>
                <w:szCs w:val="24"/>
              </w:rPr>
              <w:t>0.5585</w:t>
            </w:r>
          </w:p>
        </w:tc>
        <w:tc>
          <w:tcPr>
            <w:tcW w:w="1894" w:type="dxa"/>
          </w:tcPr>
          <w:p w14:paraId="691A4F53" w14:textId="77777777" w:rsidR="004D7E05" w:rsidRDefault="004D7E05" w:rsidP="004D7E05">
            <w:pPr>
              <w:spacing w:before="0" w:line="240" w:lineRule="auto"/>
              <w:rPr>
                <w:szCs w:val="24"/>
              </w:rPr>
            </w:pPr>
            <w:r>
              <w:rPr>
                <w:szCs w:val="24"/>
              </w:rPr>
              <w:t>0.1124299</w:t>
            </w:r>
          </w:p>
        </w:tc>
        <w:tc>
          <w:tcPr>
            <w:tcW w:w="1894" w:type="dxa"/>
          </w:tcPr>
          <w:p w14:paraId="31620DED" w14:textId="77777777" w:rsidR="004D7E05" w:rsidRDefault="004D7E05" w:rsidP="004D7E05">
            <w:pPr>
              <w:spacing w:before="0" w:line="240" w:lineRule="auto"/>
              <w:rPr>
                <w:szCs w:val="24"/>
              </w:rPr>
            </w:pPr>
            <w:r>
              <w:rPr>
                <w:szCs w:val="24"/>
              </w:rPr>
              <w:t>-0.1269</w:t>
            </w:r>
          </w:p>
        </w:tc>
        <w:tc>
          <w:tcPr>
            <w:tcW w:w="1894" w:type="dxa"/>
          </w:tcPr>
          <w:p w14:paraId="19BD10B8" w14:textId="77777777" w:rsidR="004D7E05" w:rsidRDefault="004D7E05" w:rsidP="004D7E05">
            <w:pPr>
              <w:spacing w:before="0" w:line="240" w:lineRule="auto"/>
              <w:rPr>
                <w:szCs w:val="24"/>
              </w:rPr>
            </w:pPr>
            <w:r>
              <w:rPr>
                <w:szCs w:val="24"/>
              </w:rPr>
              <w:t>0.3097</w:t>
            </w:r>
          </w:p>
        </w:tc>
      </w:tr>
      <w:tr w:rsidR="004D7E05" w14:paraId="62720E79" w14:textId="77777777" w:rsidTr="00D939BB">
        <w:trPr>
          <w:trHeight w:val="644"/>
        </w:trPr>
        <w:tc>
          <w:tcPr>
            <w:tcW w:w="1894" w:type="dxa"/>
          </w:tcPr>
          <w:p w14:paraId="31766A63" w14:textId="77777777" w:rsidR="004D7E05" w:rsidRDefault="004D7E05" w:rsidP="004D7E05">
            <w:pPr>
              <w:spacing w:before="0" w:line="240" w:lineRule="auto"/>
              <w:rPr>
                <w:szCs w:val="24"/>
              </w:rPr>
            </w:pPr>
            <w:r>
              <w:rPr>
                <w:szCs w:val="24"/>
              </w:rPr>
              <w:t>Short term debt</w:t>
            </w:r>
          </w:p>
        </w:tc>
        <w:tc>
          <w:tcPr>
            <w:tcW w:w="1894" w:type="dxa"/>
          </w:tcPr>
          <w:p w14:paraId="26DC2D76" w14:textId="77777777" w:rsidR="004D7E05" w:rsidRDefault="004D7E05" w:rsidP="004D7E05">
            <w:pPr>
              <w:spacing w:before="0" w:line="240" w:lineRule="auto"/>
              <w:rPr>
                <w:szCs w:val="24"/>
              </w:rPr>
            </w:pPr>
            <w:r>
              <w:rPr>
                <w:szCs w:val="24"/>
              </w:rPr>
              <w:t>0.3482736</w:t>
            </w:r>
          </w:p>
        </w:tc>
        <w:tc>
          <w:tcPr>
            <w:tcW w:w="1894" w:type="dxa"/>
          </w:tcPr>
          <w:p w14:paraId="67C8C502" w14:textId="77777777" w:rsidR="004D7E05" w:rsidRDefault="004D7E05" w:rsidP="004D7E05">
            <w:pPr>
              <w:spacing w:before="0" w:line="240" w:lineRule="auto"/>
              <w:rPr>
                <w:szCs w:val="24"/>
              </w:rPr>
            </w:pPr>
            <w:r>
              <w:rPr>
                <w:szCs w:val="24"/>
              </w:rPr>
              <w:t>0.199642</w:t>
            </w:r>
          </w:p>
        </w:tc>
        <w:tc>
          <w:tcPr>
            <w:tcW w:w="1894" w:type="dxa"/>
          </w:tcPr>
          <w:p w14:paraId="1C3ABFF6" w14:textId="77777777" w:rsidR="004D7E05" w:rsidRDefault="004D7E05" w:rsidP="004D7E05">
            <w:pPr>
              <w:spacing w:before="0" w:line="240" w:lineRule="auto"/>
              <w:rPr>
                <w:szCs w:val="24"/>
              </w:rPr>
            </w:pPr>
            <w:r>
              <w:rPr>
                <w:szCs w:val="24"/>
              </w:rPr>
              <w:t>0.1419124</w:t>
            </w:r>
          </w:p>
        </w:tc>
        <w:tc>
          <w:tcPr>
            <w:tcW w:w="1894" w:type="dxa"/>
          </w:tcPr>
          <w:p w14:paraId="14E2F8DE" w14:textId="77777777" w:rsidR="004D7E05" w:rsidRDefault="004D7E05" w:rsidP="004D7E05">
            <w:pPr>
              <w:spacing w:before="0" w:line="240" w:lineRule="auto"/>
              <w:rPr>
                <w:szCs w:val="24"/>
              </w:rPr>
            </w:pPr>
            <w:r>
              <w:rPr>
                <w:szCs w:val="24"/>
              </w:rPr>
              <w:t>0.7019722</w:t>
            </w:r>
          </w:p>
        </w:tc>
      </w:tr>
      <w:tr w:rsidR="004D7E05" w14:paraId="42E817F9" w14:textId="77777777" w:rsidTr="00D939BB">
        <w:trPr>
          <w:trHeight w:val="644"/>
        </w:trPr>
        <w:tc>
          <w:tcPr>
            <w:tcW w:w="1894" w:type="dxa"/>
          </w:tcPr>
          <w:p w14:paraId="4CA23024" w14:textId="77777777" w:rsidR="004D7E05" w:rsidRDefault="004D7E05" w:rsidP="004D7E05">
            <w:pPr>
              <w:spacing w:before="0" w:line="240" w:lineRule="auto"/>
              <w:rPr>
                <w:szCs w:val="24"/>
              </w:rPr>
            </w:pPr>
            <w:r>
              <w:rPr>
                <w:szCs w:val="24"/>
              </w:rPr>
              <w:t>Long term debt</w:t>
            </w:r>
          </w:p>
        </w:tc>
        <w:tc>
          <w:tcPr>
            <w:tcW w:w="1894" w:type="dxa"/>
          </w:tcPr>
          <w:p w14:paraId="051DBC68" w14:textId="77777777" w:rsidR="004D7E05" w:rsidRDefault="004D7E05" w:rsidP="004D7E05">
            <w:pPr>
              <w:spacing w:before="0" w:line="240" w:lineRule="auto"/>
              <w:rPr>
                <w:szCs w:val="24"/>
              </w:rPr>
            </w:pPr>
            <w:r>
              <w:rPr>
                <w:szCs w:val="24"/>
              </w:rPr>
              <w:t>0.1595035</w:t>
            </w:r>
          </w:p>
        </w:tc>
        <w:tc>
          <w:tcPr>
            <w:tcW w:w="1894" w:type="dxa"/>
          </w:tcPr>
          <w:p w14:paraId="60D1A7C3" w14:textId="77777777" w:rsidR="004D7E05" w:rsidRDefault="004D7E05" w:rsidP="004D7E05">
            <w:pPr>
              <w:spacing w:before="0" w:line="240" w:lineRule="auto"/>
              <w:rPr>
                <w:szCs w:val="24"/>
              </w:rPr>
            </w:pPr>
            <w:r>
              <w:rPr>
                <w:szCs w:val="24"/>
              </w:rPr>
              <w:t>0.1264695</w:t>
            </w:r>
          </w:p>
        </w:tc>
        <w:tc>
          <w:tcPr>
            <w:tcW w:w="1894" w:type="dxa"/>
          </w:tcPr>
          <w:p w14:paraId="661DD6B4" w14:textId="77777777" w:rsidR="004D7E05" w:rsidRDefault="004D7E05" w:rsidP="004D7E05">
            <w:pPr>
              <w:spacing w:before="0" w:line="240" w:lineRule="auto"/>
              <w:rPr>
                <w:szCs w:val="24"/>
              </w:rPr>
            </w:pPr>
            <w:r>
              <w:rPr>
                <w:szCs w:val="24"/>
              </w:rPr>
              <w:t>0.005117</w:t>
            </w:r>
          </w:p>
        </w:tc>
        <w:tc>
          <w:tcPr>
            <w:tcW w:w="1894" w:type="dxa"/>
          </w:tcPr>
          <w:p w14:paraId="21C2A2B1" w14:textId="77777777" w:rsidR="004D7E05" w:rsidRDefault="004D7E05" w:rsidP="004D7E05">
            <w:pPr>
              <w:spacing w:before="0" w:line="240" w:lineRule="auto"/>
              <w:rPr>
                <w:szCs w:val="24"/>
              </w:rPr>
            </w:pPr>
            <w:r>
              <w:rPr>
                <w:szCs w:val="24"/>
              </w:rPr>
              <w:t>0.5080917</w:t>
            </w:r>
          </w:p>
        </w:tc>
      </w:tr>
      <w:tr w:rsidR="004D7E05" w14:paraId="0B7BAF55" w14:textId="77777777" w:rsidTr="00D939BB">
        <w:trPr>
          <w:trHeight w:val="627"/>
        </w:trPr>
        <w:tc>
          <w:tcPr>
            <w:tcW w:w="1894" w:type="dxa"/>
          </w:tcPr>
          <w:p w14:paraId="5CEC83B9" w14:textId="77777777" w:rsidR="004D7E05" w:rsidRDefault="004D7E05" w:rsidP="004D7E05">
            <w:pPr>
              <w:spacing w:before="0" w:line="240" w:lineRule="auto"/>
              <w:rPr>
                <w:szCs w:val="24"/>
              </w:rPr>
            </w:pPr>
            <w:r>
              <w:rPr>
                <w:szCs w:val="24"/>
              </w:rPr>
              <w:t>Total debt</w:t>
            </w:r>
          </w:p>
        </w:tc>
        <w:tc>
          <w:tcPr>
            <w:tcW w:w="1894" w:type="dxa"/>
          </w:tcPr>
          <w:p w14:paraId="788628FE" w14:textId="77777777" w:rsidR="004D7E05" w:rsidRDefault="004D7E05" w:rsidP="004D7E05">
            <w:pPr>
              <w:spacing w:before="0" w:line="240" w:lineRule="auto"/>
              <w:rPr>
                <w:szCs w:val="24"/>
              </w:rPr>
            </w:pPr>
            <w:r>
              <w:rPr>
                <w:szCs w:val="24"/>
              </w:rPr>
              <w:t>0.4888008</w:t>
            </w:r>
          </w:p>
        </w:tc>
        <w:tc>
          <w:tcPr>
            <w:tcW w:w="1894" w:type="dxa"/>
          </w:tcPr>
          <w:p w14:paraId="4DDFA1D7" w14:textId="77777777" w:rsidR="004D7E05" w:rsidRDefault="004D7E05" w:rsidP="004D7E05">
            <w:pPr>
              <w:spacing w:before="0" w:line="240" w:lineRule="auto"/>
              <w:rPr>
                <w:szCs w:val="24"/>
              </w:rPr>
            </w:pPr>
            <w:r>
              <w:rPr>
                <w:szCs w:val="24"/>
              </w:rPr>
              <w:t>0.2114015</w:t>
            </w:r>
          </w:p>
        </w:tc>
        <w:tc>
          <w:tcPr>
            <w:tcW w:w="1894" w:type="dxa"/>
          </w:tcPr>
          <w:p w14:paraId="1750A1D4" w14:textId="77777777" w:rsidR="004D7E05" w:rsidRDefault="004D7E05" w:rsidP="004D7E05">
            <w:pPr>
              <w:spacing w:before="0" w:line="240" w:lineRule="auto"/>
              <w:rPr>
                <w:szCs w:val="24"/>
              </w:rPr>
            </w:pPr>
            <w:r>
              <w:rPr>
                <w:szCs w:val="24"/>
              </w:rPr>
              <w:t>0.0007006</w:t>
            </w:r>
          </w:p>
        </w:tc>
        <w:tc>
          <w:tcPr>
            <w:tcW w:w="1894" w:type="dxa"/>
          </w:tcPr>
          <w:p w14:paraId="0B5D0B00" w14:textId="77777777" w:rsidR="004D7E05" w:rsidRDefault="004D7E05" w:rsidP="004D7E05">
            <w:pPr>
              <w:spacing w:before="0" w:line="240" w:lineRule="auto"/>
              <w:rPr>
                <w:szCs w:val="24"/>
              </w:rPr>
            </w:pPr>
            <w:r>
              <w:rPr>
                <w:szCs w:val="24"/>
              </w:rPr>
              <w:t>0.9339177</w:t>
            </w:r>
          </w:p>
        </w:tc>
      </w:tr>
      <w:tr w:rsidR="004D7E05" w14:paraId="0BE7EF8C" w14:textId="77777777" w:rsidTr="00D939BB">
        <w:trPr>
          <w:trHeight w:val="644"/>
        </w:trPr>
        <w:tc>
          <w:tcPr>
            <w:tcW w:w="1894" w:type="dxa"/>
          </w:tcPr>
          <w:p w14:paraId="2302096D" w14:textId="77777777" w:rsidR="004D7E05" w:rsidRDefault="004D7E05" w:rsidP="004D7E05">
            <w:pPr>
              <w:spacing w:before="0" w:line="240" w:lineRule="auto"/>
              <w:rPr>
                <w:szCs w:val="24"/>
              </w:rPr>
            </w:pPr>
            <w:r>
              <w:rPr>
                <w:szCs w:val="24"/>
              </w:rPr>
              <w:t>Firm size</w:t>
            </w:r>
          </w:p>
        </w:tc>
        <w:tc>
          <w:tcPr>
            <w:tcW w:w="1894" w:type="dxa"/>
          </w:tcPr>
          <w:p w14:paraId="20306142" w14:textId="77777777" w:rsidR="004D7E05" w:rsidRDefault="004D7E05" w:rsidP="004D7E05">
            <w:pPr>
              <w:spacing w:before="0" w:line="240" w:lineRule="auto"/>
              <w:rPr>
                <w:szCs w:val="24"/>
              </w:rPr>
            </w:pPr>
            <w:r>
              <w:rPr>
                <w:szCs w:val="24"/>
              </w:rPr>
              <w:t>4.228307</w:t>
            </w:r>
          </w:p>
        </w:tc>
        <w:tc>
          <w:tcPr>
            <w:tcW w:w="1894" w:type="dxa"/>
          </w:tcPr>
          <w:p w14:paraId="7B0FDF77" w14:textId="77777777" w:rsidR="004D7E05" w:rsidRDefault="004D7E05" w:rsidP="004D7E05">
            <w:pPr>
              <w:spacing w:before="0" w:line="240" w:lineRule="auto"/>
              <w:rPr>
                <w:szCs w:val="24"/>
              </w:rPr>
            </w:pPr>
            <w:r>
              <w:rPr>
                <w:szCs w:val="24"/>
              </w:rPr>
              <w:t>0.3911737</w:t>
            </w:r>
          </w:p>
        </w:tc>
        <w:tc>
          <w:tcPr>
            <w:tcW w:w="1894" w:type="dxa"/>
          </w:tcPr>
          <w:p w14:paraId="2AFCC4CE" w14:textId="77777777" w:rsidR="004D7E05" w:rsidRDefault="004D7E05" w:rsidP="004D7E05">
            <w:pPr>
              <w:spacing w:before="0" w:line="240" w:lineRule="auto"/>
              <w:rPr>
                <w:szCs w:val="24"/>
              </w:rPr>
            </w:pPr>
            <w:r>
              <w:rPr>
                <w:szCs w:val="24"/>
              </w:rPr>
              <w:t>3.657</w:t>
            </w:r>
          </w:p>
        </w:tc>
        <w:tc>
          <w:tcPr>
            <w:tcW w:w="1894" w:type="dxa"/>
          </w:tcPr>
          <w:p w14:paraId="3E16CDF4" w14:textId="77777777" w:rsidR="004D7E05" w:rsidRDefault="004D7E05" w:rsidP="004D7E05">
            <w:pPr>
              <w:spacing w:before="0" w:line="240" w:lineRule="auto"/>
              <w:rPr>
                <w:szCs w:val="24"/>
              </w:rPr>
            </w:pPr>
            <w:r>
              <w:rPr>
                <w:szCs w:val="24"/>
              </w:rPr>
              <w:t>4.7137</w:t>
            </w:r>
          </w:p>
        </w:tc>
      </w:tr>
    </w:tbl>
    <w:p w14:paraId="189EEBA5" w14:textId="77777777" w:rsidR="00C62CC9" w:rsidRDefault="00C62CC9" w:rsidP="00615B2D">
      <w:pPr>
        <w:spacing w:before="0" w:line="240" w:lineRule="auto"/>
        <w:rPr>
          <w:b/>
          <w:sz w:val="28"/>
        </w:rPr>
      </w:pPr>
    </w:p>
    <w:p w14:paraId="2E8664C6" w14:textId="210A662D" w:rsidR="00E730D7" w:rsidRPr="00B067EB" w:rsidRDefault="004737A8" w:rsidP="00615B2D">
      <w:pPr>
        <w:spacing w:before="0" w:line="240" w:lineRule="auto"/>
        <w:rPr>
          <w:b/>
          <w:i/>
          <w:sz w:val="28"/>
        </w:rPr>
      </w:pPr>
      <w:r w:rsidRPr="00B067EB">
        <w:rPr>
          <w:b/>
          <w:i/>
          <w:sz w:val="28"/>
        </w:rPr>
        <w:t xml:space="preserve">4.2 </w:t>
      </w:r>
      <w:r w:rsidR="00B67158" w:rsidRPr="00B067EB">
        <w:rPr>
          <w:b/>
          <w:i/>
          <w:sz w:val="28"/>
        </w:rPr>
        <w:t>Correlations of Analysis</w:t>
      </w:r>
    </w:p>
    <w:p w14:paraId="6694CEDC" w14:textId="40FFECE0" w:rsidR="00615B2D" w:rsidRDefault="00B067EB" w:rsidP="00615B2D">
      <w:pPr>
        <w:spacing w:before="0" w:line="240" w:lineRule="auto"/>
        <w:rPr>
          <w:color w:val="000000" w:themeColor="text1"/>
        </w:rPr>
      </w:pPr>
      <w:r w:rsidRPr="00B067EB">
        <w:rPr>
          <w:color w:val="000000" w:themeColor="text1"/>
        </w:rPr>
        <w:t>Correlation analysis was conducted using the Pearson correlation coefficient to examine the relationships among the study variables. The results revealed a weak, negative, and insignificant association between return on assets (ROA) and short-term debt (-0.3231). Similarly, long-term debt exhibited a negative but negligible relationship with financial performance (-0.0117). The total debt ratio also showed a weak negative association with ROA (-0.3412). Conversely, firm size demonstrated a very weak positive linear relationship with ROA (0.1929). These findings suggest that financial performance, as measured by ROA, declines with increases in short-term, long-term, and total debt, while larger firm size is marginally associated with improved performance. The results are consistent with prior studies: Abiodum (2017) established that firm size positively influences profitability, while Abubakar (2017) reported that higher debt levels undermine financial health. Similarly, Aziz and Abbas (2019) found adverse correlations between both short- and long-term debt and corporate performance</w:t>
      </w:r>
      <w:r>
        <w:rPr>
          <w:color w:val="000000" w:themeColor="text1"/>
        </w:rPr>
        <w:t>.</w:t>
      </w:r>
    </w:p>
    <w:p w14:paraId="69BADEBD" w14:textId="77777777" w:rsidR="00B067EB" w:rsidRPr="00FB2E0F" w:rsidRDefault="00B067EB" w:rsidP="00615B2D">
      <w:pPr>
        <w:spacing w:before="0" w:line="240" w:lineRule="auto"/>
        <w:rPr>
          <w:color w:val="000000" w:themeColor="text1"/>
        </w:rPr>
      </w:pPr>
    </w:p>
    <w:p w14:paraId="23C2E705" w14:textId="22C0FCED" w:rsidR="00C62CC9" w:rsidRPr="00F74C15" w:rsidRDefault="00C62CC9" w:rsidP="00C62CC9">
      <w:pPr>
        <w:spacing w:before="0" w:line="240" w:lineRule="auto"/>
        <w:rPr>
          <w:b/>
          <w:bCs/>
        </w:rPr>
      </w:pPr>
      <w:bookmarkStart w:id="3" w:name="_Toc180395353"/>
      <w:r>
        <w:rPr>
          <w:b/>
          <w:bCs/>
        </w:rPr>
        <w:t>Table 3</w:t>
      </w:r>
      <w:r w:rsidRPr="00F74C15">
        <w:rPr>
          <w:b/>
          <w:bCs/>
        </w:rPr>
        <w:t>: Correlation analysis</w:t>
      </w:r>
    </w:p>
    <w:tbl>
      <w:tblPr>
        <w:tblStyle w:val="Style2"/>
        <w:tblW w:w="11070" w:type="dxa"/>
        <w:tblLook w:val="04A0" w:firstRow="1" w:lastRow="0" w:firstColumn="1" w:lastColumn="0" w:noHBand="0" w:noVBand="1"/>
      </w:tblPr>
      <w:tblGrid>
        <w:gridCol w:w="2520"/>
        <w:gridCol w:w="1980"/>
        <w:gridCol w:w="2070"/>
        <w:gridCol w:w="1862"/>
        <w:gridCol w:w="1744"/>
        <w:gridCol w:w="894"/>
      </w:tblGrid>
      <w:tr w:rsidR="00C62CC9" w14:paraId="553CC2E2" w14:textId="77777777" w:rsidTr="00001648">
        <w:trPr>
          <w:cnfStyle w:val="100000000000" w:firstRow="1" w:lastRow="0" w:firstColumn="0" w:lastColumn="0" w:oddVBand="0" w:evenVBand="0" w:oddHBand="0" w:evenHBand="0" w:firstRowFirstColumn="0" w:firstRowLastColumn="0" w:lastRowFirstColumn="0" w:lastRowLastColumn="0"/>
        </w:trPr>
        <w:tc>
          <w:tcPr>
            <w:tcW w:w="2520" w:type="dxa"/>
            <w:tcBorders>
              <w:bottom w:val="single" w:sz="4" w:space="0" w:color="auto"/>
            </w:tcBorders>
          </w:tcPr>
          <w:p w14:paraId="072568A3" w14:textId="77777777" w:rsidR="00C62CC9" w:rsidRDefault="00C62CC9" w:rsidP="00C62CC9">
            <w:pPr>
              <w:spacing w:before="0" w:line="240" w:lineRule="auto"/>
              <w:rPr>
                <w:rFonts w:cs="Times New Roman"/>
                <w:szCs w:val="24"/>
              </w:rPr>
            </w:pPr>
          </w:p>
        </w:tc>
        <w:tc>
          <w:tcPr>
            <w:tcW w:w="1980" w:type="dxa"/>
            <w:tcBorders>
              <w:top w:val="single" w:sz="4" w:space="0" w:color="auto"/>
            </w:tcBorders>
          </w:tcPr>
          <w:p w14:paraId="412BE312"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R</w:t>
            </w:r>
            <w:r>
              <w:rPr>
                <w:rFonts w:cs="Times New Roman"/>
                <w:b/>
                <w:bCs/>
                <w:szCs w:val="24"/>
              </w:rPr>
              <w:t xml:space="preserve">eturn </w:t>
            </w:r>
            <w:r w:rsidRPr="00E135BE">
              <w:rPr>
                <w:rFonts w:cs="Times New Roman"/>
                <w:b/>
                <w:bCs/>
                <w:szCs w:val="24"/>
              </w:rPr>
              <w:t>O</w:t>
            </w:r>
            <w:r>
              <w:rPr>
                <w:rFonts w:cs="Times New Roman"/>
                <w:b/>
                <w:bCs/>
                <w:szCs w:val="24"/>
              </w:rPr>
              <w:t xml:space="preserve">n </w:t>
            </w:r>
            <w:r w:rsidRPr="00E135BE">
              <w:rPr>
                <w:rFonts w:cs="Times New Roman"/>
                <w:b/>
                <w:bCs/>
                <w:szCs w:val="24"/>
              </w:rPr>
              <w:t>A</w:t>
            </w:r>
            <w:r>
              <w:rPr>
                <w:rFonts w:cs="Times New Roman"/>
                <w:b/>
                <w:bCs/>
                <w:szCs w:val="24"/>
              </w:rPr>
              <w:t>sset</w:t>
            </w:r>
          </w:p>
        </w:tc>
        <w:tc>
          <w:tcPr>
            <w:tcW w:w="2070" w:type="dxa"/>
            <w:tcBorders>
              <w:bottom w:val="single" w:sz="4" w:space="0" w:color="auto"/>
            </w:tcBorders>
          </w:tcPr>
          <w:p w14:paraId="4BB309AC" w14:textId="77777777" w:rsidR="00C62CC9" w:rsidRPr="00E135BE" w:rsidRDefault="00C62CC9" w:rsidP="00C62CC9">
            <w:pPr>
              <w:spacing w:before="0" w:line="240" w:lineRule="auto"/>
              <w:rPr>
                <w:rFonts w:cs="Times New Roman"/>
                <w:b/>
                <w:bCs/>
                <w:szCs w:val="24"/>
              </w:rPr>
            </w:pPr>
            <w:r w:rsidRPr="00E135BE">
              <w:rPr>
                <w:rFonts w:cs="Times New Roman"/>
                <w:b/>
                <w:bCs/>
                <w:szCs w:val="24"/>
              </w:rPr>
              <w:t>S</w:t>
            </w:r>
            <w:r>
              <w:rPr>
                <w:rFonts w:cs="Times New Roman"/>
                <w:b/>
                <w:bCs/>
                <w:szCs w:val="24"/>
              </w:rPr>
              <w:t>hort-</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862" w:type="dxa"/>
            <w:tcBorders>
              <w:bottom w:val="single" w:sz="4" w:space="0" w:color="auto"/>
            </w:tcBorders>
          </w:tcPr>
          <w:p w14:paraId="2E86E70C" w14:textId="77777777" w:rsidR="00C62CC9" w:rsidRPr="00E135BE" w:rsidRDefault="00C62CC9" w:rsidP="00C62CC9">
            <w:pPr>
              <w:spacing w:before="0" w:line="240" w:lineRule="auto"/>
              <w:rPr>
                <w:rFonts w:cs="Times New Roman"/>
                <w:b/>
                <w:bCs/>
                <w:szCs w:val="24"/>
              </w:rPr>
            </w:pPr>
            <w:r w:rsidRPr="00E135BE">
              <w:rPr>
                <w:rFonts w:cs="Times New Roman"/>
                <w:b/>
                <w:bCs/>
                <w:szCs w:val="24"/>
              </w:rPr>
              <w:t>L</w:t>
            </w:r>
            <w:r>
              <w:rPr>
                <w:rFonts w:cs="Times New Roman"/>
                <w:b/>
                <w:bCs/>
                <w:szCs w:val="24"/>
              </w:rPr>
              <w:t>ong-</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744" w:type="dxa"/>
            <w:tcBorders>
              <w:bottom w:val="single" w:sz="4" w:space="0" w:color="auto"/>
            </w:tcBorders>
          </w:tcPr>
          <w:p w14:paraId="085A8FDA" w14:textId="77777777" w:rsidR="00C62CC9" w:rsidRPr="00E135BE" w:rsidRDefault="00C62CC9" w:rsidP="00C62CC9">
            <w:pPr>
              <w:spacing w:before="0" w:line="240" w:lineRule="auto"/>
              <w:rPr>
                <w:rFonts w:cs="Times New Roman"/>
                <w:b/>
                <w:bCs/>
                <w:szCs w:val="24"/>
              </w:rPr>
            </w:pPr>
            <w:r w:rsidRPr="00E135BE">
              <w:rPr>
                <w:rFonts w:cs="Times New Roman"/>
                <w:b/>
                <w:bCs/>
                <w:szCs w:val="24"/>
              </w:rPr>
              <w:t>T</w:t>
            </w:r>
            <w:r>
              <w:rPr>
                <w:rFonts w:cs="Times New Roman"/>
                <w:b/>
                <w:bCs/>
                <w:szCs w:val="24"/>
              </w:rPr>
              <w:t xml:space="preserve">otal </w:t>
            </w:r>
            <w:r w:rsidRPr="00E135BE">
              <w:rPr>
                <w:rFonts w:cs="Times New Roman"/>
                <w:b/>
                <w:bCs/>
                <w:szCs w:val="24"/>
              </w:rPr>
              <w:t>D</w:t>
            </w:r>
            <w:r>
              <w:rPr>
                <w:rFonts w:cs="Times New Roman"/>
                <w:b/>
                <w:bCs/>
                <w:szCs w:val="24"/>
              </w:rPr>
              <w:t>ebt</w:t>
            </w:r>
          </w:p>
        </w:tc>
        <w:tc>
          <w:tcPr>
            <w:tcW w:w="894" w:type="dxa"/>
            <w:tcBorders>
              <w:bottom w:val="single" w:sz="4" w:space="0" w:color="auto"/>
            </w:tcBorders>
          </w:tcPr>
          <w:p w14:paraId="154D6588" w14:textId="77777777" w:rsidR="00C62CC9" w:rsidRPr="00E135BE" w:rsidRDefault="00C62CC9" w:rsidP="00C62CC9">
            <w:pPr>
              <w:spacing w:before="0" w:line="240" w:lineRule="auto"/>
              <w:rPr>
                <w:rFonts w:cs="Times New Roman"/>
                <w:b/>
                <w:bCs/>
                <w:szCs w:val="24"/>
              </w:rPr>
            </w:pPr>
            <w:r w:rsidRPr="00E135BE">
              <w:rPr>
                <w:rFonts w:cs="Times New Roman"/>
                <w:b/>
                <w:bCs/>
                <w:szCs w:val="24"/>
              </w:rPr>
              <w:t>F</w:t>
            </w:r>
            <w:r>
              <w:rPr>
                <w:rFonts w:cs="Times New Roman"/>
                <w:b/>
                <w:bCs/>
                <w:szCs w:val="24"/>
              </w:rPr>
              <w:t xml:space="preserve">irm </w:t>
            </w:r>
            <w:r w:rsidRPr="00E135BE">
              <w:rPr>
                <w:rFonts w:cs="Times New Roman"/>
                <w:b/>
                <w:bCs/>
                <w:szCs w:val="24"/>
              </w:rPr>
              <w:t>S</w:t>
            </w:r>
            <w:r>
              <w:rPr>
                <w:rFonts w:cs="Times New Roman"/>
                <w:b/>
                <w:bCs/>
                <w:szCs w:val="24"/>
              </w:rPr>
              <w:t>ize</w:t>
            </w:r>
          </w:p>
        </w:tc>
      </w:tr>
      <w:tr w:rsidR="00C62CC9" w14:paraId="018FE1D7" w14:textId="77777777" w:rsidTr="00001648">
        <w:tc>
          <w:tcPr>
            <w:tcW w:w="2520" w:type="dxa"/>
            <w:tcBorders>
              <w:top w:val="single" w:sz="4" w:space="0" w:color="auto"/>
            </w:tcBorders>
          </w:tcPr>
          <w:p w14:paraId="170D45F3"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R</w:t>
            </w:r>
            <w:r>
              <w:rPr>
                <w:rFonts w:cs="Times New Roman"/>
                <w:b/>
                <w:bCs/>
                <w:szCs w:val="24"/>
              </w:rPr>
              <w:t xml:space="preserve">eturn </w:t>
            </w:r>
            <w:r w:rsidRPr="00E135BE">
              <w:rPr>
                <w:rFonts w:cs="Times New Roman"/>
                <w:b/>
                <w:bCs/>
                <w:szCs w:val="24"/>
              </w:rPr>
              <w:t>O</w:t>
            </w:r>
            <w:r>
              <w:rPr>
                <w:rFonts w:cs="Times New Roman"/>
                <w:b/>
                <w:bCs/>
                <w:szCs w:val="24"/>
              </w:rPr>
              <w:t xml:space="preserve">n </w:t>
            </w:r>
            <w:r w:rsidRPr="00E135BE">
              <w:rPr>
                <w:rFonts w:cs="Times New Roman"/>
                <w:b/>
                <w:bCs/>
                <w:szCs w:val="24"/>
              </w:rPr>
              <w:t>A</w:t>
            </w:r>
            <w:r>
              <w:rPr>
                <w:rFonts w:cs="Times New Roman"/>
                <w:b/>
                <w:bCs/>
                <w:szCs w:val="24"/>
              </w:rPr>
              <w:t>sset</w:t>
            </w:r>
          </w:p>
        </w:tc>
        <w:tc>
          <w:tcPr>
            <w:tcW w:w="1980" w:type="dxa"/>
          </w:tcPr>
          <w:p w14:paraId="734139B1" w14:textId="77777777" w:rsidR="00C62CC9" w:rsidRDefault="00C62CC9" w:rsidP="00C62CC9">
            <w:pPr>
              <w:spacing w:before="0" w:line="240" w:lineRule="auto"/>
              <w:rPr>
                <w:rFonts w:cs="Times New Roman"/>
                <w:szCs w:val="24"/>
              </w:rPr>
            </w:pPr>
            <w:r>
              <w:rPr>
                <w:rFonts w:cs="Times New Roman"/>
                <w:szCs w:val="24"/>
              </w:rPr>
              <w:t>1.0000</w:t>
            </w:r>
          </w:p>
        </w:tc>
        <w:tc>
          <w:tcPr>
            <w:tcW w:w="2070" w:type="dxa"/>
            <w:tcBorders>
              <w:top w:val="single" w:sz="4" w:space="0" w:color="auto"/>
            </w:tcBorders>
          </w:tcPr>
          <w:p w14:paraId="284F20E8" w14:textId="77777777" w:rsidR="00C62CC9" w:rsidRDefault="00C62CC9" w:rsidP="00C62CC9">
            <w:pPr>
              <w:spacing w:before="0" w:line="240" w:lineRule="auto"/>
              <w:rPr>
                <w:rFonts w:cs="Times New Roman"/>
                <w:szCs w:val="24"/>
              </w:rPr>
            </w:pPr>
          </w:p>
        </w:tc>
        <w:tc>
          <w:tcPr>
            <w:tcW w:w="1862" w:type="dxa"/>
            <w:tcBorders>
              <w:top w:val="single" w:sz="4" w:space="0" w:color="auto"/>
            </w:tcBorders>
          </w:tcPr>
          <w:p w14:paraId="7EAE2371" w14:textId="77777777" w:rsidR="00C62CC9" w:rsidRDefault="00C62CC9" w:rsidP="00C62CC9">
            <w:pPr>
              <w:spacing w:before="0" w:line="240" w:lineRule="auto"/>
              <w:rPr>
                <w:rFonts w:cs="Times New Roman"/>
                <w:szCs w:val="24"/>
              </w:rPr>
            </w:pPr>
          </w:p>
        </w:tc>
        <w:tc>
          <w:tcPr>
            <w:tcW w:w="1744" w:type="dxa"/>
            <w:tcBorders>
              <w:top w:val="single" w:sz="4" w:space="0" w:color="auto"/>
            </w:tcBorders>
          </w:tcPr>
          <w:p w14:paraId="7992AAF8" w14:textId="77777777" w:rsidR="00C62CC9" w:rsidRDefault="00C62CC9" w:rsidP="00C62CC9">
            <w:pPr>
              <w:spacing w:before="0" w:line="240" w:lineRule="auto"/>
              <w:rPr>
                <w:rFonts w:cs="Times New Roman"/>
                <w:szCs w:val="24"/>
              </w:rPr>
            </w:pPr>
          </w:p>
        </w:tc>
        <w:tc>
          <w:tcPr>
            <w:tcW w:w="894" w:type="dxa"/>
            <w:tcBorders>
              <w:top w:val="single" w:sz="4" w:space="0" w:color="auto"/>
            </w:tcBorders>
          </w:tcPr>
          <w:p w14:paraId="0AB5F54B" w14:textId="77777777" w:rsidR="00C62CC9" w:rsidRDefault="00C62CC9" w:rsidP="00C62CC9">
            <w:pPr>
              <w:spacing w:before="0" w:line="240" w:lineRule="auto"/>
              <w:rPr>
                <w:rFonts w:cs="Times New Roman"/>
                <w:szCs w:val="24"/>
              </w:rPr>
            </w:pPr>
          </w:p>
        </w:tc>
      </w:tr>
      <w:tr w:rsidR="00C62CC9" w14:paraId="10DC2E67" w14:textId="77777777" w:rsidTr="00001648">
        <w:tc>
          <w:tcPr>
            <w:tcW w:w="2520" w:type="dxa"/>
          </w:tcPr>
          <w:p w14:paraId="07D7B34D"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lastRenderedPageBreak/>
              <w:t>S</w:t>
            </w:r>
            <w:r>
              <w:rPr>
                <w:rFonts w:cs="Times New Roman"/>
                <w:b/>
                <w:bCs/>
                <w:szCs w:val="24"/>
              </w:rPr>
              <w:t>hort-</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980" w:type="dxa"/>
          </w:tcPr>
          <w:p w14:paraId="79063B4E" w14:textId="77777777" w:rsidR="00C62CC9" w:rsidRDefault="00C62CC9" w:rsidP="00C62CC9">
            <w:pPr>
              <w:spacing w:before="0" w:line="240" w:lineRule="auto"/>
              <w:rPr>
                <w:rFonts w:cs="Times New Roman"/>
                <w:szCs w:val="24"/>
              </w:rPr>
            </w:pPr>
            <w:r>
              <w:rPr>
                <w:rFonts w:cs="Times New Roman"/>
                <w:szCs w:val="24"/>
              </w:rPr>
              <w:t>-0.3231</w:t>
            </w:r>
          </w:p>
          <w:p w14:paraId="7F1E1CBA" w14:textId="77777777" w:rsidR="00C62CC9" w:rsidRDefault="00C62CC9" w:rsidP="00C62CC9">
            <w:pPr>
              <w:spacing w:before="0" w:line="240" w:lineRule="auto"/>
              <w:rPr>
                <w:rFonts w:cs="Times New Roman"/>
                <w:szCs w:val="24"/>
              </w:rPr>
            </w:pPr>
            <w:r>
              <w:rPr>
                <w:rFonts w:cs="Times New Roman"/>
                <w:szCs w:val="24"/>
              </w:rPr>
              <w:t>0.0936</w:t>
            </w:r>
          </w:p>
        </w:tc>
        <w:tc>
          <w:tcPr>
            <w:tcW w:w="2070" w:type="dxa"/>
          </w:tcPr>
          <w:p w14:paraId="4140F7B1" w14:textId="77777777" w:rsidR="00C62CC9" w:rsidRDefault="00C62CC9" w:rsidP="00C62CC9">
            <w:pPr>
              <w:spacing w:before="0" w:line="240" w:lineRule="auto"/>
              <w:rPr>
                <w:rFonts w:cs="Times New Roman"/>
                <w:szCs w:val="24"/>
              </w:rPr>
            </w:pPr>
            <w:r>
              <w:rPr>
                <w:rFonts w:cs="Times New Roman"/>
                <w:szCs w:val="24"/>
              </w:rPr>
              <w:t>1.0000</w:t>
            </w:r>
          </w:p>
        </w:tc>
        <w:tc>
          <w:tcPr>
            <w:tcW w:w="1862" w:type="dxa"/>
          </w:tcPr>
          <w:p w14:paraId="746B1F55" w14:textId="77777777" w:rsidR="00C62CC9" w:rsidRDefault="00C62CC9" w:rsidP="00C62CC9">
            <w:pPr>
              <w:spacing w:before="0" w:line="240" w:lineRule="auto"/>
              <w:rPr>
                <w:rFonts w:cs="Times New Roman"/>
                <w:szCs w:val="24"/>
              </w:rPr>
            </w:pPr>
          </w:p>
        </w:tc>
        <w:tc>
          <w:tcPr>
            <w:tcW w:w="1744" w:type="dxa"/>
          </w:tcPr>
          <w:p w14:paraId="4C9DFE82" w14:textId="77777777" w:rsidR="00C62CC9" w:rsidRDefault="00C62CC9" w:rsidP="00C62CC9">
            <w:pPr>
              <w:spacing w:before="0" w:line="240" w:lineRule="auto"/>
              <w:rPr>
                <w:rFonts w:cs="Times New Roman"/>
                <w:szCs w:val="24"/>
              </w:rPr>
            </w:pPr>
          </w:p>
        </w:tc>
        <w:tc>
          <w:tcPr>
            <w:tcW w:w="894" w:type="dxa"/>
          </w:tcPr>
          <w:p w14:paraId="64399A2A" w14:textId="77777777" w:rsidR="00C62CC9" w:rsidRDefault="00C62CC9" w:rsidP="00C62CC9">
            <w:pPr>
              <w:spacing w:before="0" w:line="240" w:lineRule="auto"/>
              <w:rPr>
                <w:rFonts w:cs="Times New Roman"/>
                <w:szCs w:val="24"/>
              </w:rPr>
            </w:pPr>
          </w:p>
        </w:tc>
      </w:tr>
      <w:tr w:rsidR="00C62CC9" w14:paraId="0924DBBD" w14:textId="77777777" w:rsidTr="00001648">
        <w:tc>
          <w:tcPr>
            <w:tcW w:w="2520" w:type="dxa"/>
          </w:tcPr>
          <w:p w14:paraId="69ECE388"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L</w:t>
            </w:r>
            <w:r>
              <w:rPr>
                <w:rFonts w:cs="Times New Roman"/>
                <w:b/>
                <w:bCs/>
                <w:szCs w:val="24"/>
              </w:rPr>
              <w:t>ong-</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980" w:type="dxa"/>
          </w:tcPr>
          <w:p w14:paraId="3FE1C880" w14:textId="77777777" w:rsidR="00C62CC9" w:rsidRDefault="00C62CC9" w:rsidP="00C62CC9">
            <w:pPr>
              <w:spacing w:before="0" w:line="240" w:lineRule="auto"/>
              <w:rPr>
                <w:rFonts w:cs="Times New Roman"/>
                <w:szCs w:val="24"/>
              </w:rPr>
            </w:pPr>
            <w:r>
              <w:rPr>
                <w:rFonts w:cs="Times New Roman"/>
                <w:szCs w:val="24"/>
              </w:rPr>
              <w:t>-0.0117</w:t>
            </w:r>
          </w:p>
          <w:p w14:paraId="53D5A626" w14:textId="77777777" w:rsidR="00C62CC9" w:rsidRDefault="00C62CC9" w:rsidP="00C62CC9">
            <w:pPr>
              <w:spacing w:before="0" w:line="240" w:lineRule="auto"/>
              <w:rPr>
                <w:rFonts w:cs="Times New Roman"/>
                <w:szCs w:val="24"/>
              </w:rPr>
            </w:pPr>
            <w:r>
              <w:rPr>
                <w:rFonts w:cs="Times New Roman"/>
                <w:szCs w:val="24"/>
              </w:rPr>
              <w:t>0.9527</w:t>
            </w:r>
          </w:p>
        </w:tc>
        <w:tc>
          <w:tcPr>
            <w:tcW w:w="2070" w:type="dxa"/>
          </w:tcPr>
          <w:p w14:paraId="4653DCDE" w14:textId="77777777" w:rsidR="00C62CC9" w:rsidRDefault="00C62CC9" w:rsidP="00C62CC9">
            <w:pPr>
              <w:spacing w:before="0" w:line="240" w:lineRule="auto"/>
              <w:rPr>
                <w:rFonts w:cs="Times New Roman"/>
                <w:szCs w:val="24"/>
              </w:rPr>
            </w:pPr>
            <w:r>
              <w:rPr>
                <w:rFonts w:cs="Times New Roman"/>
                <w:szCs w:val="24"/>
              </w:rPr>
              <w:t>-0.4599</w:t>
            </w:r>
          </w:p>
          <w:p w14:paraId="1A4CFB0E" w14:textId="77777777" w:rsidR="00C62CC9" w:rsidRDefault="00C62CC9" w:rsidP="00C62CC9">
            <w:pPr>
              <w:spacing w:before="0" w:line="240" w:lineRule="auto"/>
              <w:rPr>
                <w:rFonts w:cs="Times New Roman"/>
                <w:szCs w:val="24"/>
              </w:rPr>
            </w:pPr>
            <w:r>
              <w:rPr>
                <w:rFonts w:cs="Times New Roman"/>
                <w:szCs w:val="24"/>
              </w:rPr>
              <w:t>0.0138</w:t>
            </w:r>
          </w:p>
        </w:tc>
        <w:tc>
          <w:tcPr>
            <w:tcW w:w="1862" w:type="dxa"/>
          </w:tcPr>
          <w:p w14:paraId="164809BA" w14:textId="77777777" w:rsidR="00C62CC9" w:rsidRDefault="00C62CC9" w:rsidP="00C62CC9">
            <w:pPr>
              <w:spacing w:before="0" w:line="240" w:lineRule="auto"/>
              <w:rPr>
                <w:rFonts w:cs="Times New Roman"/>
                <w:szCs w:val="24"/>
              </w:rPr>
            </w:pPr>
            <w:r>
              <w:rPr>
                <w:rFonts w:cs="Times New Roman"/>
                <w:szCs w:val="24"/>
              </w:rPr>
              <w:t>1.0000</w:t>
            </w:r>
          </w:p>
        </w:tc>
        <w:tc>
          <w:tcPr>
            <w:tcW w:w="1744" w:type="dxa"/>
          </w:tcPr>
          <w:p w14:paraId="64A9DC8A" w14:textId="77777777" w:rsidR="00C62CC9" w:rsidRDefault="00C62CC9" w:rsidP="00C62CC9">
            <w:pPr>
              <w:spacing w:before="0" w:line="240" w:lineRule="auto"/>
              <w:rPr>
                <w:rFonts w:cs="Times New Roman"/>
                <w:szCs w:val="24"/>
              </w:rPr>
            </w:pPr>
          </w:p>
        </w:tc>
        <w:tc>
          <w:tcPr>
            <w:tcW w:w="894" w:type="dxa"/>
          </w:tcPr>
          <w:p w14:paraId="637E8E45" w14:textId="77777777" w:rsidR="00C62CC9" w:rsidRDefault="00C62CC9" w:rsidP="00C62CC9">
            <w:pPr>
              <w:spacing w:before="0" w:line="240" w:lineRule="auto"/>
              <w:rPr>
                <w:rFonts w:cs="Times New Roman"/>
                <w:szCs w:val="24"/>
              </w:rPr>
            </w:pPr>
          </w:p>
        </w:tc>
      </w:tr>
      <w:tr w:rsidR="00C62CC9" w14:paraId="0909BFB4" w14:textId="77777777" w:rsidTr="00001648">
        <w:tc>
          <w:tcPr>
            <w:tcW w:w="2520" w:type="dxa"/>
          </w:tcPr>
          <w:p w14:paraId="660EA000"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T</w:t>
            </w:r>
            <w:r>
              <w:rPr>
                <w:rFonts w:cs="Times New Roman"/>
                <w:b/>
                <w:bCs/>
                <w:szCs w:val="24"/>
              </w:rPr>
              <w:t xml:space="preserve">otal </w:t>
            </w:r>
            <w:r w:rsidRPr="00E135BE">
              <w:rPr>
                <w:rFonts w:cs="Times New Roman"/>
                <w:b/>
                <w:bCs/>
                <w:szCs w:val="24"/>
              </w:rPr>
              <w:t>D</w:t>
            </w:r>
            <w:r>
              <w:rPr>
                <w:rFonts w:cs="Times New Roman"/>
                <w:b/>
                <w:bCs/>
                <w:szCs w:val="24"/>
              </w:rPr>
              <w:t>ebt</w:t>
            </w:r>
          </w:p>
        </w:tc>
        <w:tc>
          <w:tcPr>
            <w:tcW w:w="1980" w:type="dxa"/>
          </w:tcPr>
          <w:p w14:paraId="5A1CFEA2" w14:textId="77777777" w:rsidR="00C62CC9" w:rsidRDefault="00C62CC9" w:rsidP="00C62CC9">
            <w:pPr>
              <w:spacing w:before="0" w:line="240" w:lineRule="auto"/>
              <w:rPr>
                <w:rFonts w:cs="Times New Roman"/>
                <w:szCs w:val="24"/>
              </w:rPr>
            </w:pPr>
            <w:r>
              <w:rPr>
                <w:rFonts w:cs="Times New Roman"/>
                <w:szCs w:val="24"/>
              </w:rPr>
              <w:t>-0.3412</w:t>
            </w:r>
          </w:p>
          <w:p w14:paraId="25617681" w14:textId="77777777" w:rsidR="00C62CC9" w:rsidRDefault="00C62CC9" w:rsidP="00C62CC9">
            <w:pPr>
              <w:spacing w:before="0" w:line="240" w:lineRule="auto"/>
              <w:rPr>
                <w:rFonts w:cs="Times New Roman"/>
                <w:szCs w:val="24"/>
              </w:rPr>
            </w:pPr>
            <w:r>
              <w:rPr>
                <w:rFonts w:cs="Times New Roman"/>
                <w:szCs w:val="24"/>
              </w:rPr>
              <w:t>0.0756</w:t>
            </w:r>
          </w:p>
        </w:tc>
        <w:tc>
          <w:tcPr>
            <w:tcW w:w="2070" w:type="dxa"/>
          </w:tcPr>
          <w:p w14:paraId="270BEAB0" w14:textId="77777777" w:rsidR="00C62CC9" w:rsidRDefault="00C62CC9" w:rsidP="00C62CC9">
            <w:pPr>
              <w:spacing w:before="0" w:line="240" w:lineRule="auto"/>
              <w:rPr>
                <w:rFonts w:cs="Times New Roman"/>
                <w:szCs w:val="24"/>
              </w:rPr>
            </w:pPr>
            <w:r>
              <w:rPr>
                <w:rFonts w:cs="Times New Roman"/>
                <w:szCs w:val="24"/>
              </w:rPr>
              <w:t>0.4707</w:t>
            </w:r>
          </w:p>
          <w:p w14:paraId="0F3721C8" w14:textId="77777777" w:rsidR="00C62CC9" w:rsidRDefault="00C62CC9" w:rsidP="00C62CC9">
            <w:pPr>
              <w:spacing w:before="0" w:line="240" w:lineRule="auto"/>
              <w:rPr>
                <w:rFonts w:cs="Times New Roman"/>
                <w:szCs w:val="24"/>
              </w:rPr>
            </w:pPr>
            <w:r>
              <w:rPr>
                <w:rFonts w:cs="Times New Roman"/>
                <w:szCs w:val="24"/>
              </w:rPr>
              <w:t>0.0115</w:t>
            </w:r>
          </w:p>
        </w:tc>
        <w:tc>
          <w:tcPr>
            <w:tcW w:w="1862" w:type="dxa"/>
          </w:tcPr>
          <w:p w14:paraId="51179FD7" w14:textId="77777777" w:rsidR="00C62CC9" w:rsidRDefault="00C62CC9" w:rsidP="00C62CC9">
            <w:pPr>
              <w:spacing w:before="0" w:line="240" w:lineRule="auto"/>
              <w:rPr>
                <w:rFonts w:cs="Times New Roman"/>
                <w:szCs w:val="24"/>
              </w:rPr>
            </w:pPr>
            <w:r>
              <w:rPr>
                <w:rFonts w:cs="Times New Roman"/>
                <w:szCs w:val="24"/>
              </w:rPr>
              <w:t>0.3516</w:t>
            </w:r>
          </w:p>
          <w:p w14:paraId="125BDF10" w14:textId="77777777" w:rsidR="00C62CC9" w:rsidRDefault="00C62CC9" w:rsidP="00C62CC9">
            <w:pPr>
              <w:spacing w:before="0" w:line="240" w:lineRule="auto"/>
              <w:rPr>
                <w:rFonts w:cs="Times New Roman"/>
                <w:szCs w:val="24"/>
              </w:rPr>
            </w:pPr>
            <w:r>
              <w:rPr>
                <w:rFonts w:cs="Times New Roman"/>
                <w:szCs w:val="24"/>
              </w:rPr>
              <w:t>0.0665</w:t>
            </w:r>
          </w:p>
        </w:tc>
        <w:tc>
          <w:tcPr>
            <w:tcW w:w="1744" w:type="dxa"/>
          </w:tcPr>
          <w:p w14:paraId="69892820" w14:textId="77777777" w:rsidR="00C62CC9" w:rsidRDefault="00C62CC9" w:rsidP="00C62CC9">
            <w:pPr>
              <w:spacing w:before="0" w:line="240" w:lineRule="auto"/>
              <w:rPr>
                <w:rFonts w:cs="Times New Roman"/>
                <w:szCs w:val="24"/>
              </w:rPr>
            </w:pPr>
            <w:r>
              <w:rPr>
                <w:rFonts w:cs="Times New Roman"/>
                <w:szCs w:val="24"/>
              </w:rPr>
              <w:t>1.0000</w:t>
            </w:r>
          </w:p>
        </w:tc>
        <w:tc>
          <w:tcPr>
            <w:tcW w:w="894" w:type="dxa"/>
          </w:tcPr>
          <w:p w14:paraId="4DD5401F" w14:textId="77777777" w:rsidR="00C62CC9" w:rsidRDefault="00C62CC9" w:rsidP="00C62CC9">
            <w:pPr>
              <w:spacing w:before="0" w:line="240" w:lineRule="auto"/>
              <w:rPr>
                <w:rFonts w:cs="Times New Roman"/>
                <w:szCs w:val="24"/>
              </w:rPr>
            </w:pPr>
          </w:p>
        </w:tc>
      </w:tr>
      <w:tr w:rsidR="00C62CC9" w14:paraId="7C185114" w14:textId="77777777" w:rsidTr="00001648">
        <w:tc>
          <w:tcPr>
            <w:tcW w:w="2520" w:type="dxa"/>
          </w:tcPr>
          <w:p w14:paraId="560C1915" w14:textId="77777777" w:rsidR="00C62CC9" w:rsidRPr="00E135BE" w:rsidRDefault="00C62CC9" w:rsidP="00C62CC9">
            <w:pPr>
              <w:spacing w:before="0" w:line="240" w:lineRule="auto"/>
              <w:rPr>
                <w:rFonts w:cs="Times New Roman"/>
                <w:b/>
                <w:bCs/>
                <w:szCs w:val="24"/>
              </w:rPr>
            </w:pPr>
            <w:r w:rsidRPr="00E135BE">
              <w:rPr>
                <w:rFonts w:cs="Times New Roman"/>
                <w:b/>
                <w:bCs/>
                <w:szCs w:val="24"/>
              </w:rPr>
              <w:t>F</w:t>
            </w:r>
            <w:r>
              <w:rPr>
                <w:rFonts w:cs="Times New Roman"/>
                <w:b/>
                <w:bCs/>
                <w:szCs w:val="24"/>
              </w:rPr>
              <w:t xml:space="preserve">irm </w:t>
            </w:r>
            <w:r w:rsidRPr="00E135BE">
              <w:rPr>
                <w:rFonts w:cs="Times New Roman"/>
                <w:b/>
                <w:bCs/>
                <w:szCs w:val="24"/>
              </w:rPr>
              <w:t>S</w:t>
            </w:r>
            <w:r>
              <w:rPr>
                <w:rFonts w:cs="Times New Roman"/>
                <w:b/>
                <w:bCs/>
                <w:szCs w:val="24"/>
              </w:rPr>
              <w:t>ize</w:t>
            </w:r>
          </w:p>
        </w:tc>
        <w:tc>
          <w:tcPr>
            <w:tcW w:w="1980" w:type="dxa"/>
          </w:tcPr>
          <w:p w14:paraId="292B196A" w14:textId="77777777" w:rsidR="00C62CC9" w:rsidRDefault="00C62CC9" w:rsidP="00C62CC9">
            <w:pPr>
              <w:spacing w:before="0" w:line="240" w:lineRule="auto"/>
              <w:rPr>
                <w:rFonts w:cs="Times New Roman"/>
                <w:szCs w:val="24"/>
              </w:rPr>
            </w:pPr>
            <w:r>
              <w:rPr>
                <w:rFonts w:cs="Times New Roman"/>
                <w:szCs w:val="24"/>
              </w:rPr>
              <w:t>0.1929</w:t>
            </w:r>
          </w:p>
          <w:p w14:paraId="757AC8BA" w14:textId="77777777" w:rsidR="00C62CC9" w:rsidRDefault="00C62CC9" w:rsidP="00C62CC9">
            <w:pPr>
              <w:spacing w:before="0" w:line="240" w:lineRule="auto"/>
              <w:rPr>
                <w:rFonts w:cs="Times New Roman"/>
                <w:szCs w:val="24"/>
              </w:rPr>
            </w:pPr>
            <w:r>
              <w:rPr>
                <w:rFonts w:cs="Times New Roman"/>
                <w:szCs w:val="24"/>
              </w:rPr>
              <w:t>0.3253</w:t>
            </w:r>
          </w:p>
        </w:tc>
        <w:tc>
          <w:tcPr>
            <w:tcW w:w="2070" w:type="dxa"/>
          </w:tcPr>
          <w:p w14:paraId="027383E1" w14:textId="77777777" w:rsidR="00C62CC9" w:rsidRDefault="00C62CC9" w:rsidP="00C62CC9">
            <w:pPr>
              <w:spacing w:before="0" w:line="240" w:lineRule="auto"/>
              <w:rPr>
                <w:rFonts w:cs="Times New Roman"/>
                <w:szCs w:val="24"/>
              </w:rPr>
            </w:pPr>
            <w:r>
              <w:rPr>
                <w:rFonts w:cs="Times New Roman"/>
                <w:szCs w:val="24"/>
              </w:rPr>
              <w:t>-0.7643</w:t>
            </w:r>
          </w:p>
          <w:p w14:paraId="24970F67" w14:textId="77777777" w:rsidR="00C62CC9" w:rsidRDefault="00C62CC9" w:rsidP="00C62CC9">
            <w:pPr>
              <w:spacing w:before="0" w:line="240" w:lineRule="auto"/>
              <w:rPr>
                <w:rFonts w:cs="Times New Roman"/>
                <w:szCs w:val="24"/>
              </w:rPr>
            </w:pPr>
            <w:r>
              <w:rPr>
                <w:rFonts w:cs="Times New Roman"/>
                <w:szCs w:val="24"/>
              </w:rPr>
              <w:t>0.0000</w:t>
            </w:r>
          </w:p>
        </w:tc>
        <w:tc>
          <w:tcPr>
            <w:tcW w:w="1862" w:type="dxa"/>
          </w:tcPr>
          <w:p w14:paraId="5236B2E4" w14:textId="77777777" w:rsidR="00C62CC9" w:rsidRDefault="00C62CC9" w:rsidP="00C62CC9">
            <w:pPr>
              <w:spacing w:before="0" w:line="240" w:lineRule="auto"/>
              <w:rPr>
                <w:rFonts w:cs="Times New Roman"/>
                <w:szCs w:val="24"/>
              </w:rPr>
            </w:pPr>
            <w:r>
              <w:rPr>
                <w:rFonts w:cs="Times New Roman"/>
                <w:szCs w:val="24"/>
              </w:rPr>
              <w:t>-0.1516</w:t>
            </w:r>
          </w:p>
          <w:p w14:paraId="1779C8D2" w14:textId="77777777" w:rsidR="00C62CC9" w:rsidRDefault="00C62CC9" w:rsidP="00C62CC9">
            <w:pPr>
              <w:spacing w:before="0" w:line="240" w:lineRule="auto"/>
              <w:rPr>
                <w:rFonts w:cs="Times New Roman"/>
                <w:szCs w:val="24"/>
              </w:rPr>
            </w:pPr>
            <w:r>
              <w:rPr>
                <w:rFonts w:cs="Times New Roman"/>
                <w:szCs w:val="24"/>
              </w:rPr>
              <w:t>0.4413</w:t>
            </w:r>
          </w:p>
        </w:tc>
        <w:tc>
          <w:tcPr>
            <w:tcW w:w="1744" w:type="dxa"/>
          </w:tcPr>
          <w:p w14:paraId="3619DAA9" w14:textId="77777777" w:rsidR="00C62CC9" w:rsidRDefault="00C62CC9" w:rsidP="00C62CC9">
            <w:pPr>
              <w:spacing w:before="0" w:line="240" w:lineRule="auto"/>
              <w:rPr>
                <w:rFonts w:cs="Times New Roman"/>
                <w:szCs w:val="24"/>
              </w:rPr>
            </w:pPr>
            <w:r>
              <w:rPr>
                <w:rFonts w:cs="Times New Roman"/>
                <w:szCs w:val="24"/>
              </w:rPr>
              <w:t>-0.7033</w:t>
            </w:r>
          </w:p>
          <w:p w14:paraId="18E64BFB" w14:textId="77777777" w:rsidR="00C62CC9" w:rsidRDefault="00C62CC9" w:rsidP="00C62CC9">
            <w:pPr>
              <w:spacing w:before="0" w:line="240" w:lineRule="auto"/>
              <w:rPr>
                <w:rFonts w:cs="Times New Roman"/>
                <w:szCs w:val="24"/>
              </w:rPr>
            </w:pPr>
            <w:r>
              <w:rPr>
                <w:rFonts w:cs="Times New Roman"/>
                <w:szCs w:val="24"/>
              </w:rPr>
              <w:t>0.0000</w:t>
            </w:r>
          </w:p>
        </w:tc>
        <w:tc>
          <w:tcPr>
            <w:tcW w:w="894" w:type="dxa"/>
          </w:tcPr>
          <w:p w14:paraId="55FD93B4" w14:textId="77777777" w:rsidR="00C62CC9" w:rsidRDefault="00C62CC9" w:rsidP="00C62CC9">
            <w:pPr>
              <w:spacing w:before="0" w:line="240" w:lineRule="auto"/>
              <w:rPr>
                <w:rFonts w:cs="Times New Roman"/>
                <w:szCs w:val="24"/>
              </w:rPr>
            </w:pPr>
            <w:r>
              <w:rPr>
                <w:rFonts w:cs="Times New Roman"/>
                <w:szCs w:val="24"/>
              </w:rPr>
              <w:t>1.0000</w:t>
            </w:r>
          </w:p>
        </w:tc>
      </w:tr>
    </w:tbl>
    <w:p w14:paraId="352F1CA6" w14:textId="77777777" w:rsidR="00B067EB" w:rsidRDefault="00B067EB" w:rsidP="001F51C1">
      <w:pPr>
        <w:spacing w:before="0" w:line="240" w:lineRule="auto"/>
        <w:rPr>
          <w:b/>
          <w:sz w:val="28"/>
        </w:rPr>
      </w:pPr>
    </w:p>
    <w:p w14:paraId="7C1B0F32" w14:textId="5B91F4E6" w:rsidR="001F51C1" w:rsidRPr="00B067EB" w:rsidRDefault="004737A8" w:rsidP="001F51C1">
      <w:pPr>
        <w:spacing w:before="0" w:line="240" w:lineRule="auto"/>
        <w:rPr>
          <w:b/>
          <w:i/>
          <w:sz w:val="28"/>
        </w:rPr>
      </w:pPr>
      <w:r w:rsidRPr="00B067EB">
        <w:rPr>
          <w:b/>
          <w:i/>
          <w:sz w:val="28"/>
        </w:rPr>
        <w:t>4.3</w:t>
      </w:r>
      <w:r w:rsidR="00B067EB" w:rsidRPr="00B067EB">
        <w:rPr>
          <w:i/>
        </w:rPr>
        <w:t xml:space="preserve"> </w:t>
      </w:r>
      <w:r w:rsidR="00B067EB" w:rsidRPr="00B067EB">
        <w:rPr>
          <w:b/>
          <w:i/>
          <w:sz w:val="28"/>
        </w:rPr>
        <w:t>Diagnostic Tests</w:t>
      </w:r>
    </w:p>
    <w:p w14:paraId="2F603AC8"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To ensure the robustness and reliability of the adopted model, several diagnostic tests were conducted. These included multicollinearity, heteroscedasticity, autocorrelation, panel unit root, and Hausman tests. Each of these diagnostics was applied systematically to assess whether the dataset satisfied key econometric assumptions, thereby validating the model for further analysis.</w:t>
      </w:r>
    </w:p>
    <w:p w14:paraId="66C8AFE6" w14:textId="77777777" w:rsidR="00B067EB" w:rsidRPr="004A178A" w:rsidRDefault="00B067EB" w:rsidP="00B067EB">
      <w:pPr>
        <w:spacing w:before="0" w:line="240" w:lineRule="auto"/>
        <w:rPr>
          <w:rFonts w:eastAsia="Times New Roman" w:cs="Times New Roman"/>
          <w:szCs w:val="24"/>
        </w:rPr>
      </w:pPr>
    </w:p>
    <w:p w14:paraId="19BBE47F"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Multicollinearity Test</w:t>
      </w:r>
    </w:p>
    <w:p w14:paraId="5839ADCF"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Multicollinearity was assessed using the Variance Inflation Factor (VIF). A VIF value of 1 denotes no correlation among independent variables, whereas values above 10 indicate high multicollinearity.</w:t>
      </w:r>
    </w:p>
    <w:p w14:paraId="3BE12DDC" w14:textId="77777777" w:rsidR="00B067EB" w:rsidRPr="004A178A" w:rsidRDefault="00B067EB" w:rsidP="00B067EB">
      <w:pPr>
        <w:spacing w:before="0" w:line="240" w:lineRule="auto"/>
        <w:rPr>
          <w:rFonts w:eastAsia="Times New Roman" w:cs="Times New Roman"/>
          <w:szCs w:val="24"/>
        </w:rPr>
      </w:pPr>
    </w:p>
    <w:p w14:paraId="37CDB797" w14:textId="1C72D12B" w:rsidR="00B067EB" w:rsidRPr="00B067EB" w:rsidRDefault="00B067EB" w:rsidP="00B067EB">
      <w:pPr>
        <w:spacing w:before="0" w:line="240" w:lineRule="auto"/>
        <w:rPr>
          <w:b/>
        </w:rPr>
      </w:pPr>
      <w:r>
        <w:rPr>
          <w:b/>
        </w:rPr>
        <w:t>Table 4</w:t>
      </w:r>
      <w:r w:rsidRPr="00B067EB">
        <w:rPr>
          <w:b/>
        </w:rPr>
        <w:t>: Multicollinearity Test</w:t>
      </w:r>
    </w:p>
    <w:tbl>
      <w:tblPr>
        <w:tblStyle w:val="Style2"/>
        <w:tblW w:w="0" w:type="auto"/>
        <w:tblLook w:val="04A0" w:firstRow="1" w:lastRow="0" w:firstColumn="1" w:lastColumn="0" w:noHBand="0" w:noVBand="1"/>
      </w:tblPr>
      <w:tblGrid>
        <w:gridCol w:w="3116"/>
        <w:gridCol w:w="3117"/>
        <w:gridCol w:w="3117"/>
      </w:tblGrid>
      <w:tr w:rsidR="00B067EB" w:rsidRPr="00F74C15" w14:paraId="42CE88CC" w14:textId="77777777" w:rsidTr="00D939BB">
        <w:trPr>
          <w:cnfStyle w:val="100000000000" w:firstRow="1" w:lastRow="0" w:firstColumn="0" w:lastColumn="0" w:oddVBand="0" w:evenVBand="0" w:oddHBand="0" w:evenHBand="0" w:firstRowFirstColumn="0" w:firstRowLastColumn="0" w:lastRowFirstColumn="0" w:lastRowLastColumn="0"/>
        </w:trPr>
        <w:tc>
          <w:tcPr>
            <w:tcW w:w="3116" w:type="dxa"/>
            <w:tcBorders>
              <w:bottom w:val="single" w:sz="4" w:space="0" w:color="auto"/>
            </w:tcBorders>
          </w:tcPr>
          <w:p w14:paraId="6A08EA14" w14:textId="77777777" w:rsidR="00B067EB" w:rsidRPr="00F74C15" w:rsidRDefault="00B067EB" w:rsidP="00B067EB">
            <w:pPr>
              <w:spacing w:before="0" w:line="240" w:lineRule="auto"/>
              <w:rPr>
                <w:b/>
                <w:bCs/>
                <w:szCs w:val="24"/>
              </w:rPr>
            </w:pPr>
            <w:r w:rsidRPr="00F74C15">
              <w:rPr>
                <w:b/>
                <w:bCs/>
                <w:szCs w:val="24"/>
              </w:rPr>
              <w:t>Variable</w:t>
            </w:r>
          </w:p>
        </w:tc>
        <w:tc>
          <w:tcPr>
            <w:tcW w:w="3117" w:type="dxa"/>
            <w:tcBorders>
              <w:bottom w:val="single" w:sz="4" w:space="0" w:color="auto"/>
            </w:tcBorders>
          </w:tcPr>
          <w:p w14:paraId="7308F361" w14:textId="77777777" w:rsidR="00B067EB" w:rsidRPr="00F74C15" w:rsidRDefault="00B067EB" w:rsidP="00B067EB">
            <w:pPr>
              <w:spacing w:before="0" w:line="240" w:lineRule="auto"/>
              <w:rPr>
                <w:b/>
                <w:bCs/>
                <w:szCs w:val="24"/>
              </w:rPr>
            </w:pPr>
            <w:r w:rsidRPr="00F74C15">
              <w:rPr>
                <w:b/>
                <w:bCs/>
                <w:szCs w:val="24"/>
              </w:rPr>
              <w:t>VIF</w:t>
            </w:r>
          </w:p>
        </w:tc>
        <w:tc>
          <w:tcPr>
            <w:tcW w:w="3117" w:type="dxa"/>
            <w:tcBorders>
              <w:bottom w:val="single" w:sz="4" w:space="0" w:color="auto"/>
            </w:tcBorders>
          </w:tcPr>
          <w:p w14:paraId="396DC294" w14:textId="77777777" w:rsidR="00B067EB" w:rsidRPr="00F74C15" w:rsidRDefault="00B067EB" w:rsidP="00B067EB">
            <w:pPr>
              <w:spacing w:before="0" w:line="240" w:lineRule="auto"/>
              <w:rPr>
                <w:b/>
                <w:bCs/>
                <w:szCs w:val="24"/>
              </w:rPr>
            </w:pPr>
            <w:r w:rsidRPr="00F74C15">
              <w:rPr>
                <w:b/>
                <w:bCs/>
                <w:szCs w:val="24"/>
              </w:rPr>
              <w:t>1/VIF</w:t>
            </w:r>
          </w:p>
        </w:tc>
      </w:tr>
      <w:tr w:rsidR="00B067EB" w:rsidRPr="00F74C15" w14:paraId="46423EAA" w14:textId="77777777" w:rsidTr="00D939BB">
        <w:tc>
          <w:tcPr>
            <w:tcW w:w="3116" w:type="dxa"/>
            <w:tcBorders>
              <w:top w:val="single" w:sz="4" w:space="0" w:color="auto"/>
            </w:tcBorders>
          </w:tcPr>
          <w:p w14:paraId="0862DC92" w14:textId="77777777" w:rsidR="00B067EB" w:rsidRPr="00F74C15" w:rsidRDefault="00B067EB" w:rsidP="00B067EB">
            <w:pPr>
              <w:spacing w:before="0" w:line="240" w:lineRule="auto"/>
              <w:rPr>
                <w:szCs w:val="24"/>
              </w:rPr>
            </w:pPr>
            <w:r w:rsidRPr="00F74C15">
              <w:rPr>
                <w:szCs w:val="24"/>
              </w:rPr>
              <w:t>Short term debt</w:t>
            </w:r>
          </w:p>
        </w:tc>
        <w:tc>
          <w:tcPr>
            <w:tcW w:w="3117" w:type="dxa"/>
            <w:tcBorders>
              <w:top w:val="single" w:sz="4" w:space="0" w:color="auto"/>
            </w:tcBorders>
          </w:tcPr>
          <w:p w14:paraId="53B47413" w14:textId="77777777" w:rsidR="00B067EB" w:rsidRPr="00F74C15" w:rsidRDefault="00B067EB" w:rsidP="00B067EB">
            <w:pPr>
              <w:spacing w:before="0" w:line="240" w:lineRule="auto"/>
              <w:rPr>
                <w:szCs w:val="24"/>
              </w:rPr>
            </w:pPr>
            <w:r w:rsidRPr="00F74C15">
              <w:rPr>
                <w:szCs w:val="24"/>
              </w:rPr>
              <w:t>15.81</w:t>
            </w:r>
          </w:p>
        </w:tc>
        <w:tc>
          <w:tcPr>
            <w:tcW w:w="3117" w:type="dxa"/>
            <w:tcBorders>
              <w:top w:val="single" w:sz="4" w:space="0" w:color="auto"/>
            </w:tcBorders>
          </w:tcPr>
          <w:p w14:paraId="4CD5EF18" w14:textId="77777777" w:rsidR="00B067EB" w:rsidRPr="00F74C15" w:rsidRDefault="00B067EB" w:rsidP="00B067EB">
            <w:pPr>
              <w:spacing w:before="0" w:line="240" w:lineRule="auto"/>
              <w:rPr>
                <w:szCs w:val="24"/>
              </w:rPr>
            </w:pPr>
            <w:r w:rsidRPr="00F74C15">
              <w:rPr>
                <w:szCs w:val="24"/>
              </w:rPr>
              <w:t>0.063269</w:t>
            </w:r>
          </w:p>
        </w:tc>
      </w:tr>
      <w:tr w:rsidR="00B067EB" w:rsidRPr="00F74C15" w14:paraId="26011B72" w14:textId="77777777" w:rsidTr="00D939BB">
        <w:tc>
          <w:tcPr>
            <w:tcW w:w="3116" w:type="dxa"/>
          </w:tcPr>
          <w:p w14:paraId="766ADC84" w14:textId="77777777" w:rsidR="00B067EB" w:rsidRPr="00F74C15" w:rsidRDefault="00B067EB" w:rsidP="00B067EB">
            <w:pPr>
              <w:spacing w:before="0" w:line="240" w:lineRule="auto"/>
              <w:rPr>
                <w:szCs w:val="24"/>
              </w:rPr>
            </w:pPr>
            <w:r w:rsidRPr="00F74C15">
              <w:rPr>
                <w:szCs w:val="24"/>
              </w:rPr>
              <w:t>Long term debt</w:t>
            </w:r>
          </w:p>
        </w:tc>
        <w:tc>
          <w:tcPr>
            <w:tcW w:w="3117" w:type="dxa"/>
          </w:tcPr>
          <w:p w14:paraId="7C9AAF35" w14:textId="77777777" w:rsidR="00B067EB" w:rsidRPr="00F74C15" w:rsidRDefault="00B067EB" w:rsidP="00B067EB">
            <w:pPr>
              <w:spacing w:before="0" w:line="240" w:lineRule="auto"/>
              <w:rPr>
                <w:szCs w:val="24"/>
              </w:rPr>
            </w:pPr>
            <w:r w:rsidRPr="00F74C15">
              <w:rPr>
                <w:szCs w:val="24"/>
              </w:rPr>
              <w:t>7.49</w:t>
            </w:r>
          </w:p>
        </w:tc>
        <w:tc>
          <w:tcPr>
            <w:tcW w:w="3117" w:type="dxa"/>
          </w:tcPr>
          <w:p w14:paraId="55407CD0" w14:textId="77777777" w:rsidR="00B067EB" w:rsidRPr="00F74C15" w:rsidRDefault="00B067EB" w:rsidP="00B067EB">
            <w:pPr>
              <w:spacing w:before="0" w:line="240" w:lineRule="auto"/>
              <w:rPr>
                <w:szCs w:val="24"/>
              </w:rPr>
            </w:pPr>
            <w:r w:rsidRPr="00F74C15">
              <w:rPr>
                <w:szCs w:val="24"/>
              </w:rPr>
              <w:t>00.133437</w:t>
            </w:r>
          </w:p>
        </w:tc>
      </w:tr>
      <w:tr w:rsidR="00B067EB" w:rsidRPr="00F74C15" w14:paraId="15C4B03C" w14:textId="77777777" w:rsidTr="00D939BB">
        <w:tc>
          <w:tcPr>
            <w:tcW w:w="3116" w:type="dxa"/>
          </w:tcPr>
          <w:p w14:paraId="13869CC3" w14:textId="77777777" w:rsidR="00B067EB" w:rsidRPr="00F74C15" w:rsidRDefault="00B067EB" w:rsidP="00B067EB">
            <w:pPr>
              <w:spacing w:before="0" w:line="240" w:lineRule="auto"/>
              <w:rPr>
                <w:szCs w:val="24"/>
              </w:rPr>
            </w:pPr>
            <w:r w:rsidRPr="00F74C15">
              <w:rPr>
                <w:szCs w:val="24"/>
              </w:rPr>
              <w:t>Total debt</w:t>
            </w:r>
          </w:p>
        </w:tc>
        <w:tc>
          <w:tcPr>
            <w:tcW w:w="3117" w:type="dxa"/>
          </w:tcPr>
          <w:p w14:paraId="2E38AF18" w14:textId="77777777" w:rsidR="00B067EB" w:rsidRPr="00F74C15" w:rsidRDefault="00B067EB" w:rsidP="00B067EB">
            <w:pPr>
              <w:spacing w:before="0" w:line="240" w:lineRule="auto"/>
              <w:rPr>
                <w:szCs w:val="24"/>
              </w:rPr>
            </w:pPr>
            <w:r w:rsidRPr="00F74C15">
              <w:rPr>
                <w:szCs w:val="24"/>
              </w:rPr>
              <w:t>2.73</w:t>
            </w:r>
          </w:p>
        </w:tc>
        <w:tc>
          <w:tcPr>
            <w:tcW w:w="3117" w:type="dxa"/>
          </w:tcPr>
          <w:p w14:paraId="4FA205C8" w14:textId="77777777" w:rsidR="00B067EB" w:rsidRPr="00F74C15" w:rsidRDefault="00B067EB" w:rsidP="00B067EB">
            <w:pPr>
              <w:spacing w:before="0" w:line="240" w:lineRule="auto"/>
              <w:rPr>
                <w:szCs w:val="24"/>
              </w:rPr>
            </w:pPr>
            <w:r w:rsidRPr="00F74C15">
              <w:rPr>
                <w:szCs w:val="24"/>
              </w:rPr>
              <w:t>0.366291</w:t>
            </w:r>
          </w:p>
        </w:tc>
      </w:tr>
      <w:tr w:rsidR="00B067EB" w:rsidRPr="00F74C15" w14:paraId="01D4E71D" w14:textId="77777777" w:rsidTr="00D939BB">
        <w:tc>
          <w:tcPr>
            <w:tcW w:w="3116" w:type="dxa"/>
          </w:tcPr>
          <w:p w14:paraId="35A9BAD3" w14:textId="77777777" w:rsidR="00B067EB" w:rsidRPr="00F74C15" w:rsidRDefault="00B067EB" w:rsidP="00B067EB">
            <w:pPr>
              <w:spacing w:before="0" w:line="240" w:lineRule="auto"/>
              <w:rPr>
                <w:szCs w:val="24"/>
              </w:rPr>
            </w:pPr>
            <w:r w:rsidRPr="00F74C15">
              <w:rPr>
                <w:szCs w:val="24"/>
              </w:rPr>
              <w:t>Firm size</w:t>
            </w:r>
          </w:p>
        </w:tc>
        <w:tc>
          <w:tcPr>
            <w:tcW w:w="3117" w:type="dxa"/>
          </w:tcPr>
          <w:p w14:paraId="4B710000" w14:textId="77777777" w:rsidR="00B067EB" w:rsidRPr="00F74C15" w:rsidRDefault="00B067EB" w:rsidP="00B067EB">
            <w:pPr>
              <w:spacing w:before="0" w:line="240" w:lineRule="auto"/>
              <w:rPr>
                <w:szCs w:val="24"/>
              </w:rPr>
            </w:pPr>
            <w:r w:rsidRPr="00F74C15">
              <w:rPr>
                <w:szCs w:val="24"/>
              </w:rPr>
              <w:t>10.62</w:t>
            </w:r>
          </w:p>
        </w:tc>
        <w:tc>
          <w:tcPr>
            <w:tcW w:w="3117" w:type="dxa"/>
          </w:tcPr>
          <w:p w14:paraId="4919E78D" w14:textId="77777777" w:rsidR="00B067EB" w:rsidRPr="00F74C15" w:rsidRDefault="00B067EB" w:rsidP="00B067EB">
            <w:pPr>
              <w:spacing w:before="0" w:line="240" w:lineRule="auto"/>
              <w:rPr>
                <w:szCs w:val="24"/>
              </w:rPr>
            </w:pPr>
            <w:r w:rsidRPr="00F74C15">
              <w:rPr>
                <w:szCs w:val="24"/>
              </w:rPr>
              <w:t>0.094140</w:t>
            </w:r>
          </w:p>
        </w:tc>
      </w:tr>
      <w:tr w:rsidR="00B067EB" w:rsidRPr="00F74C15" w14:paraId="71F2D14C" w14:textId="77777777" w:rsidTr="00D939BB">
        <w:tc>
          <w:tcPr>
            <w:tcW w:w="3116" w:type="dxa"/>
          </w:tcPr>
          <w:p w14:paraId="5FB303AC" w14:textId="77777777" w:rsidR="00B067EB" w:rsidRPr="00F74C15" w:rsidRDefault="00B067EB" w:rsidP="00B067EB">
            <w:pPr>
              <w:spacing w:before="0" w:line="240" w:lineRule="auto"/>
              <w:rPr>
                <w:szCs w:val="24"/>
              </w:rPr>
            </w:pPr>
            <w:r w:rsidRPr="00F74C15">
              <w:rPr>
                <w:szCs w:val="24"/>
              </w:rPr>
              <w:t>Mean VIF</w:t>
            </w:r>
          </w:p>
        </w:tc>
        <w:tc>
          <w:tcPr>
            <w:tcW w:w="3117" w:type="dxa"/>
          </w:tcPr>
          <w:p w14:paraId="71A0C9E8" w14:textId="77777777" w:rsidR="00B067EB" w:rsidRPr="00F74C15" w:rsidRDefault="00B067EB" w:rsidP="00B067EB">
            <w:pPr>
              <w:spacing w:before="0" w:line="240" w:lineRule="auto"/>
              <w:rPr>
                <w:szCs w:val="24"/>
              </w:rPr>
            </w:pPr>
            <w:r w:rsidRPr="00F74C15">
              <w:rPr>
                <w:szCs w:val="24"/>
              </w:rPr>
              <w:t>9.16</w:t>
            </w:r>
          </w:p>
        </w:tc>
        <w:tc>
          <w:tcPr>
            <w:tcW w:w="3117" w:type="dxa"/>
          </w:tcPr>
          <w:p w14:paraId="406EB3C1" w14:textId="77777777" w:rsidR="00B067EB" w:rsidRPr="00F74C15" w:rsidRDefault="00B067EB" w:rsidP="00B067EB">
            <w:pPr>
              <w:spacing w:before="0" w:line="240" w:lineRule="auto"/>
              <w:rPr>
                <w:szCs w:val="24"/>
              </w:rPr>
            </w:pPr>
          </w:p>
        </w:tc>
      </w:tr>
    </w:tbl>
    <w:p w14:paraId="0B5436D1"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The results indicate that short-term debt and firm size had VIF values above 10, suggesting strong multicollinearity, while total debt and long-term debt were moderately correlated.</w:t>
      </w:r>
    </w:p>
    <w:p w14:paraId="7BCF32E9" w14:textId="77777777" w:rsidR="00B067EB" w:rsidRPr="004A178A" w:rsidRDefault="00B067EB" w:rsidP="00B067EB">
      <w:pPr>
        <w:spacing w:before="0" w:line="240" w:lineRule="auto"/>
        <w:rPr>
          <w:rFonts w:eastAsia="Times New Roman" w:cs="Times New Roman"/>
          <w:szCs w:val="24"/>
        </w:rPr>
      </w:pPr>
    </w:p>
    <w:p w14:paraId="38C79A1C"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Heteroscedasticity Test</w:t>
      </w:r>
    </w:p>
    <w:p w14:paraId="5C700820"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The Breusch-Pagan/Cook-Weisberg test was employed to examine heteroscedasticity.</w:t>
      </w:r>
    </w:p>
    <w:p w14:paraId="50F4994D" w14:textId="15E6639E" w:rsidR="00B067EB" w:rsidRDefault="00B067EB" w:rsidP="00B067EB">
      <w:pPr>
        <w:spacing w:before="0" w:line="240" w:lineRule="auto"/>
        <w:rPr>
          <w:rFonts w:eastAsia="Times New Roman" w:cs="Times New Roman"/>
          <w:b/>
          <w:bCs/>
          <w:szCs w:val="24"/>
        </w:rPr>
      </w:pPr>
      <w:r>
        <w:rPr>
          <w:rFonts w:eastAsia="Times New Roman" w:cs="Times New Roman"/>
          <w:b/>
          <w:bCs/>
          <w:szCs w:val="24"/>
        </w:rPr>
        <w:t>Table 5</w:t>
      </w:r>
      <w:r w:rsidRPr="004A178A">
        <w:rPr>
          <w:rFonts w:eastAsia="Times New Roman" w:cs="Times New Roman"/>
          <w:b/>
          <w:bCs/>
          <w:szCs w:val="24"/>
        </w:rPr>
        <w:t>: Heteroscedasticity Test</w:t>
      </w:r>
    </w:p>
    <w:tbl>
      <w:tblPr>
        <w:tblStyle w:val="Style2"/>
        <w:tblW w:w="0" w:type="auto"/>
        <w:tblLook w:val="04A0" w:firstRow="1" w:lastRow="0" w:firstColumn="1" w:lastColumn="0" w:noHBand="0" w:noVBand="1"/>
      </w:tblPr>
      <w:tblGrid>
        <w:gridCol w:w="4675"/>
      </w:tblGrid>
      <w:tr w:rsidR="00B067EB" w:rsidRPr="00F74C15" w14:paraId="6086D508" w14:textId="77777777" w:rsidTr="00D939BB">
        <w:trPr>
          <w:cnfStyle w:val="100000000000" w:firstRow="1" w:lastRow="0" w:firstColumn="0" w:lastColumn="0" w:oddVBand="0" w:evenVBand="0" w:oddHBand="0" w:evenHBand="0" w:firstRowFirstColumn="0" w:firstRowLastColumn="0" w:lastRowFirstColumn="0" w:lastRowLastColumn="0"/>
        </w:trPr>
        <w:tc>
          <w:tcPr>
            <w:tcW w:w="4675" w:type="dxa"/>
            <w:tcBorders>
              <w:bottom w:val="single" w:sz="4" w:space="0" w:color="auto"/>
            </w:tcBorders>
          </w:tcPr>
          <w:p w14:paraId="52AA0B78" w14:textId="77777777" w:rsidR="00B067EB" w:rsidRPr="00F74C15" w:rsidRDefault="00B067EB" w:rsidP="00B067EB">
            <w:pPr>
              <w:spacing w:before="0" w:line="240" w:lineRule="auto"/>
            </w:pPr>
            <w:r w:rsidRPr="00F74C15">
              <w:t>F (4   ,   23)                  =             0.59</w:t>
            </w:r>
          </w:p>
        </w:tc>
      </w:tr>
      <w:tr w:rsidR="00B067EB" w:rsidRPr="00F74C15" w14:paraId="468B9A27" w14:textId="77777777" w:rsidTr="00D939BB">
        <w:tc>
          <w:tcPr>
            <w:tcW w:w="4675" w:type="dxa"/>
            <w:tcBorders>
              <w:top w:val="single" w:sz="4" w:space="0" w:color="auto"/>
            </w:tcBorders>
          </w:tcPr>
          <w:p w14:paraId="2FA776F6" w14:textId="77777777" w:rsidR="00B067EB" w:rsidRPr="00F74C15" w:rsidRDefault="00B067EB" w:rsidP="00B067EB">
            <w:pPr>
              <w:spacing w:before="0" w:line="240" w:lineRule="auto"/>
            </w:pPr>
            <w:r w:rsidRPr="00F74C15">
              <w:t xml:space="preserve">Prob    </w:t>
            </w:r>
            <w:r w:rsidRPr="00F74C15">
              <w:rPr>
                <w:rFonts w:cs="Times New Roman"/>
                <w:szCs w:val="24"/>
              </w:rPr>
              <w:t>&gt;    F                 =           0.6732</w:t>
            </w:r>
          </w:p>
        </w:tc>
      </w:tr>
    </w:tbl>
    <w:p w14:paraId="428856E6" w14:textId="77777777" w:rsidR="00B067EB" w:rsidRDefault="00B067EB" w:rsidP="00B067EB">
      <w:pPr>
        <w:spacing w:before="0" w:line="240" w:lineRule="auto"/>
        <w:rPr>
          <w:rFonts w:eastAsia="Times New Roman" w:cs="Times New Roman"/>
          <w:szCs w:val="24"/>
        </w:rPr>
      </w:pPr>
    </w:p>
    <w:p w14:paraId="74A59B63"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Since the p-value exceeded 0.05, the null hypothesis of homoscedasticity was accepted, indicating no heteroscedasticity in the dataset.</w:t>
      </w:r>
    </w:p>
    <w:p w14:paraId="10472146" w14:textId="77777777" w:rsidR="00B067EB" w:rsidRPr="004A178A" w:rsidRDefault="00B067EB" w:rsidP="00B067EB">
      <w:pPr>
        <w:spacing w:before="0" w:line="240" w:lineRule="auto"/>
        <w:rPr>
          <w:rFonts w:eastAsia="Times New Roman" w:cs="Times New Roman"/>
          <w:szCs w:val="24"/>
        </w:rPr>
      </w:pPr>
    </w:p>
    <w:p w14:paraId="13D43B19"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Autocorrelation Test</w:t>
      </w:r>
    </w:p>
    <w:p w14:paraId="4FEBD831"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The Wooldridge F-test was conducted to detect autocorrelation.</w:t>
      </w:r>
    </w:p>
    <w:p w14:paraId="25D1ACCA" w14:textId="124E8B2C" w:rsidR="00B067EB" w:rsidRDefault="00B067EB" w:rsidP="00B067EB">
      <w:pPr>
        <w:spacing w:before="0" w:line="240" w:lineRule="auto"/>
        <w:rPr>
          <w:rFonts w:eastAsia="Times New Roman" w:cs="Times New Roman"/>
          <w:b/>
          <w:bCs/>
          <w:szCs w:val="24"/>
        </w:rPr>
      </w:pPr>
      <w:r>
        <w:rPr>
          <w:rFonts w:eastAsia="Times New Roman" w:cs="Times New Roman"/>
          <w:b/>
          <w:bCs/>
          <w:szCs w:val="24"/>
        </w:rPr>
        <w:t>Table 6</w:t>
      </w:r>
      <w:r w:rsidRPr="004A178A">
        <w:rPr>
          <w:rFonts w:eastAsia="Times New Roman" w:cs="Times New Roman"/>
          <w:b/>
          <w:bCs/>
          <w:szCs w:val="24"/>
        </w:rPr>
        <w:t>: Autocorrelation Test</w:t>
      </w:r>
    </w:p>
    <w:tbl>
      <w:tblPr>
        <w:tblStyle w:val="Style2"/>
        <w:tblW w:w="0" w:type="auto"/>
        <w:tblLook w:val="04A0" w:firstRow="1" w:lastRow="0" w:firstColumn="1" w:lastColumn="0" w:noHBand="0" w:noVBand="1"/>
      </w:tblPr>
      <w:tblGrid>
        <w:gridCol w:w="2337"/>
        <w:gridCol w:w="2337"/>
        <w:gridCol w:w="2338"/>
        <w:gridCol w:w="2338"/>
      </w:tblGrid>
      <w:tr w:rsidR="00B067EB" w:rsidRPr="00F74C15" w14:paraId="198FD5F2" w14:textId="77777777" w:rsidTr="00D939BB">
        <w:trPr>
          <w:cnfStyle w:val="100000000000" w:firstRow="1" w:lastRow="0" w:firstColumn="0" w:lastColumn="0" w:oddVBand="0" w:evenVBand="0" w:oddHBand="0" w:evenHBand="0" w:firstRowFirstColumn="0" w:firstRowLastColumn="0" w:lastRowFirstColumn="0" w:lastRowLastColumn="0"/>
        </w:trPr>
        <w:tc>
          <w:tcPr>
            <w:tcW w:w="2337" w:type="dxa"/>
            <w:tcBorders>
              <w:bottom w:val="single" w:sz="4" w:space="0" w:color="000000"/>
            </w:tcBorders>
          </w:tcPr>
          <w:p w14:paraId="77DE84D1" w14:textId="77777777" w:rsidR="00B067EB" w:rsidRPr="00F74C15" w:rsidRDefault="00B067EB" w:rsidP="00B067EB">
            <w:pPr>
              <w:spacing w:before="0" w:line="240" w:lineRule="auto"/>
              <w:rPr>
                <w:rFonts w:cs="Times New Roman"/>
                <w:b/>
                <w:bCs/>
                <w:szCs w:val="24"/>
              </w:rPr>
            </w:pPr>
            <w:r w:rsidRPr="00F74C15">
              <w:rPr>
                <w:rFonts w:cs="Times New Roman"/>
                <w:b/>
                <w:bCs/>
                <w:szCs w:val="24"/>
              </w:rPr>
              <w:t>lags (p)</w:t>
            </w:r>
          </w:p>
        </w:tc>
        <w:tc>
          <w:tcPr>
            <w:tcW w:w="2337" w:type="dxa"/>
            <w:tcBorders>
              <w:bottom w:val="single" w:sz="4" w:space="0" w:color="000000"/>
            </w:tcBorders>
          </w:tcPr>
          <w:p w14:paraId="2E9A320C" w14:textId="77777777" w:rsidR="00B067EB" w:rsidRPr="00F74C15" w:rsidRDefault="00B067EB" w:rsidP="00B067EB">
            <w:pPr>
              <w:spacing w:before="0" w:line="240" w:lineRule="auto"/>
              <w:rPr>
                <w:rFonts w:cs="Times New Roman"/>
                <w:b/>
                <w:bCs/>
                <w:szCs w:val="24"/>
              </w:rPr>
            </w:pPr>
            <w:r w:rsidRPr="00F74C15">
              <w:rPr>
                <w:rFonts w:cs="Times New Roman"/>
                <w:b/>
                <w:bCs/>
                <w:szCs w:val="24"/>
              </w:rPr>
              <w:t>chi2</w:t>
            </w:r>
          </w:p>
        </w:tc>
        <w:tc>
          <w:tcPr>
            <w:tcW w:w="2338" w:type="dxa"/>
            <w:tcBorders>
              <w:bottom w:val="single" w:sz="4" w:space="0" w:color="000000"/>
            </w:tcBorders>
          </w:tcPr>
          <w:p w14:paraId="6C7ED464" w14:textId="77777777" w:rsidR="00B067EB" w:rsidRPr="00F74C15" w:rsidRDefault="00B067EB" w:rsidP="00B067EB">
            <w:pPr>
              <w:spacing w:before="0" w:line="240" w:lineRule="auto"/>
              <w:rPr>
                <w:rFonts w:cs="Times New Roman"/>
                <w:b/>
                <w:bCs/>
                <w:szCs w:val="24"/>
              </w:rPr>
            </w:pPr>
            <w:r w:rsidRPr="00F74C15">
              <w:rPr>
                <w:rFonts w:cs="Times New Roman"/>
                <w:b/>
                <w:bCs/>
                <w:szCs w:val="24"/>
              </w:rPr>
              <w:t>df</w:t>
            </w:r>
          </w:p>
        </w:tc>
        <w:tc>
          <w:tcPr>
            <w:tcW w:w="2338" w:type="dxa"/>
            <w:tcBorders>
              <w:bottom w:val="single" w:sz="4" w:space="0" w:color="000000"/>
            </w:tcBorders>
          </w:tcPr>
          <w:p w14:paraId="58A6FEF5" w14:textId="77777777" w:rsidR="00B067EB" w:rsidRPr="00F74C15" w:rsidRDefault="00B067EB" w:rsidP="00B067EB">
            <w:pPr>
              <w:spacing w:before="0" w:line="240" w:lineRule="auto"/>
              <w:rPr>
                <w:rFonts w:cs="Times New Roman"/>
                <w:b/>
                <w:bCs/>
                <w:szCs w:val="24"/>
              </w:rPr>
            </w:pPr>
            <w:r w:rsidRPr="00F74C15">
              <w:rPr>
                <w:rFonts w:cs="Times New Roman"/>
                <w:b/>
                <w:bCs/>
                <w:szCs w:val="24"/>
              </w:rPr>
              <w:t>Prob &gt; chi2</w:t>
            </w:r>
          </w:p>
        </w:tc>
      </w:tr>
      <w:tr w:rsidR="00B067EB" w:rsidRPr="00F74C15" w14:paraId="23515819" w14:textId="77777777" w:rsidTr="00D939BB">
        <w:tc>
          <w:tcPr>
            <w:tcW w:w="2337" w:type="dxa"/>
            <w:tcBorders>
              <w:top w:val="single" w:sz="4" w:space="0" w:color="000000"/>
            </w:tcBorders>
          </w:tcPr>
          <w:p w14:paraId="3E0F6FB1" w14:textId="77777777" w:rsidR="00B067EB" w:rsidRPr="00F74C15" w:rsidRDefault="00B067EB" w:rsidP="00B067EB">
            <w:pPr>
              <w:spacing w:before="0" w:line="240" w:lineRule="auto"/>
              <w:rPr>
                <w:rFonts w:cs="Times New Roman"/>
                <w:szCs w:val="24"/>
              </w:rPr>
            </w:pPr>
            <w:r w:rsidRPr="00F74C15">
              <w:rPr>
                <w:rFonts w:cs="Times New Roman"/>
                <w:szCs w:val="24"/>
              </w:rPr>
              <w:t>1</w:t>
            </w:r>
          </w:p>
        </w:tc>
        <w:tc>
          <w:tcPr>
            <w:tcW w:w="2337" w:type="dxa"/>
            <w:tcBorders>
              <w:top w:val="single" w:sz="4" w:space="0" w:color="000000"/>
            </w:tcBorders>
          </w:tcPr>
          <w:p w14:paraId="713CBDC7" w14:textId="77777777" w:rsidR="00B067EB" w:rsidRPr="00F74C15" w:rsidRDefault="00B067EB" w:rsidP="00B067EB">
            <w:pPr>
              <w:spacing w:before="0" w:line="240" w:lineRule="auto"/>
              <w:rPr>
                <w:rFonts w:cs="Times New Roman"/>
                <w:szCs w:val="24"/>
              </w:rPr>
            </w:pPr>
            <w:r w:rsidRPr="00F74C15">
              <w:rPr>
                <w:rFonts w:cs="Times New Roman"/>
                <w:szCs w:val="24"/>
              </w:rPr>
              <w:t>0.548</w:t>
            </w:r>
          </w:p>
        </w:tc>
        <w:tc>
          <w:tcPr>
            <w:tcW w:w="2338" w:type="dxa"/>
            <w:tcBorders>
              <w:top w:val="single" w:sz="4" w:space="0" w:color="000000"/>
            </w:tcBorders>
          </w:tcPr>
          <w:p w14:paraId="42496B63" w14:textId="77777777" w:rsidR="00B067EB" w:rsidRPr="00F74C15" w:rsidRDefault="00B067EB" w:rsidP="00B067EB">
            <w:pPr>
              <w:spacing w:before="0" w:line="240" w:lineRule="auto"/>
              <w:rPr>
                <w:rFonts w:cs="Times New Roman"/>
                <w:szCs w:val="24"/>
              </w:rPr>
            </w:pPr>
            <w:r w:rsidRPr="00F74C15">
              <w:rPr>
                <w:rFonts w:cs="Times New Roman"/>
                <w:szCs w:val="24"/>
              </w:rPr>
              <w:t>1</w:t>
            </w:r>
          </w:p>
        </w:tc>
        <w:tc>
          <w:tcPr>
            <w:tcW w:w="2338" w:type="dxa"/>
            <w:tcBorders>
              <w:top w:val="single" w:sz="4" w:space="0" w:color="000000"/>
            </w:tcBorders>
          </w:tcPr>
          <w:p w14:paraId="15A9849E" w14:textId="77777777" w:rsidR="00B067EB" w:rsidRPr="00F74C15" w:rsidRDefault="00B067EB" w:rsidP="00B067EB">
            <w:pPr>
              <w:spacing w:before="0" w:line="240" w:lineRule="auto"/>
              <w:rPr>
                <w:rFonts w:cs="Times New Roman"/>
                <w:szCs w:val="24"/>
              </w:rPr>
            </w:pPr>
            <w:r w:rsidRPr="00F74C15">
              <w:rPr>
                <w:rFonts w:cs="Times New Roman"/>
                <w:szCs w:val="24"/>
              </w:rPr>
              <w:t>0.4591</w:t>
            </w:r>
          </w:p>
        </w:tc>
      </w:tr>
    </w:tbl>
    <w:p w14:paraId="02AD817D"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With p &gt; 0.05, the null hypothesis was accepted, implying no serial correlation in the data.</w:t>
      </w:r>
    </w:p>
    <w:p w14:paraId="6A3DE056" w14:textId="77777777" w:rsidR="00B067EB" w:rsidRPr="004A178A" w:rsidRDefault="00B067EB" w:rsidP="00B067EB">
      <w:pPr>
        <w:spacing w:before="0" w:line="240" w:lineRule="auto"/>
        <w:rPr>
          <w:rFonts w:eastAsia="Times New Roman" w:cs="Times New Roman"/>
          <w:szCs w:val="24"/>
        </w:rPr>
      </w:pPr>
    </w:p>
    <w:p w14:paraId="554D5A0C"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Panel Unit Root Test</w:t>
      </w:r>
    </w:p>
    <w:p w14:paraId="13845CB3"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Stationarity of variables was examined using the Fisher-type panel unit root test. Results for all variables (ROA, short-term debt, long-term debt, total debt, and firm size) showed insignificant p-values across multiple statistics (P, Z, L*, and Pm).</w:t>
      </w:r>
    </w:p>
    <w:p w14:paraId="57E4FD71"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lastRenderedPageBreak/>
        <w:t>All tests failed to reject the null hypothesis of a unit root at the 5% significance level, confirming that the data series were non-stationary.</w:t>
      </w:r>
    </w:p>
    <w:p w14:paraId="62D43CC6" w14:textId="77777777" w:rsidR="00B067EB" w:rsidRPr="004A178A" w:rsidRDefault="00B067EB" w:rsidP="00B067EB">
      <w:pPr>
        <w:spacing w:before="0" w:line="240" w:lineRule="auto"/>
        <w:rPr>
          <w:rFonts w:eastAsia="Times New Roman" w:cs="Times New Roman"/>
          <w:szCs w:val="24"/>
        </w:rPr>
      </w:pPr>
    </w:p>
    <w:p w14:paraId="06DBBDA8"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Hausman Test</w:t>
      </w:r>
    </w:p>
    <w:p w14:paraId="37079532"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Finally, the Hausman test was conducted to determine whether the random or fixed effects model was most appropriate.</w:t>
      </w:r>
    </w:p>
    <w:p w14:paraId="38F37DB9" w14:textId="59DBDB1D" w:rsidR="00B067EB" w:rsidRDefault="00B067EB" w:rsidP="00B067EB">
      <w:pPr>
        <w:spacing w:before="0" w:line="240" w:lineRule="auto"/>
        <w:rPr>
          <w:rFonts w:eastAsia="Times New Roman" w:cs="Times New Roman"/>
          <w:b/>
          <w:bCs/>
          <w:szCs w:val="24"/>
        </w:rPr>
      </w:pPr>
      <w:r>
        <w:rPr>
          <w:rFonts w:eastAsia="Times New Roman" w:cs="Times New Roman"/>
          <w:b/>
          <w:bCs/>
          <w:szCs w:val="24"/>
        </w:rPr>
        <w:t>Table 7</w:t>
      </w:r>
      <w:r w:rsidRPr="004A178A">
        <w:rPr>
          <w:rFonts w:eastAsia="Times New Roman" w:cs="Times New Roman"/>
          <w:b/>
          <w:bCs/>
          <w:szCs w:val="24"/>
        </w:rPr>
        <w:t>: Hausman Test</w:t>
      </w:r>
    </w:p>
    <w:tbl>
      <w:tblPr>
        <w:tblStyle w:val="Style2"/>
        <w:tblW w:w="0" w:type="auto"/>
        <w:tblLook w:val="04A0" w:firstRow="1" w:lastRow="0" w:firstColumn="1" w:lastColumn="0" w:noHBand="0" w:noVBand="1"/>
      </w:tblPr>
      <w:tblGrid>
        <w:gridCol w:w="2337"/>
        <w:gridCol w:w="2337"/>
        <w:gridCol w:w="2338"/>
        <w:gridCol w:w="2338"/>
      </w:tblGrid>
      <w:tr w:rsidR="00B067EB" w:rsidRPr="00F74C15" w14:paraId="4ABEAD35" w14:textId="77777777" w:rsidTr="00D939BB">
        <w:trPr>
          <w:cnfStyle w:val="100000000000" w:firstRow="1" w:lastRow="0" w:firstColumn="0" w:lastColumn="0" w:oddVBand="0" w:evenVBand="0" w:oddHBand="0" w:evenHBand="0" w:firstRowFirstColumn="0" w:firstRowLastColumn="0" w:lastRowFirstColumn="0" w:lastRowLastColumn="0"/>
        </w:trPr>
        <w:tc>
          <w:tcPr>
            <w:tcW w:w="2337" w:type="dxa"/>
          </w:tcPr>
          <w:p w14:paraId="702B04E3" w14:textId="77777777" w:rsidR="00B067EB" w:rsidRPr="00F74C15" w:rsidRDefault="00B067EB" w:rsidP="00B067EB">
            <w:pPr>
              <w:spacing w:before="0" w:line="240" w:lineRule="auto"/>
              <w:rPr>
                <w:rFonts w:cs="Times New Roman"/>
                <w:b/>
                <w:bCs/>
                <w:szCs w:val="24"/>
              </w:rPr>
            </w:pPr>
          </w:p>
        </w:tc>
        <w:tc>
          <w:tcPr>
            <w:tcW w:w="2337" w:type="dxa"/>
          </w:tcPr>
          <w:p w14:paraId="3D675AC5" w14:textId="77777777" w:rsidR="00B067EB" w:rsidRPr="00F74C15" w:rsidRDefault="00B067EB" w:rsidP="00B067EB">
            <w:pPr>
              <w:spacing w:before="0" w:line="240" w:lineRule="auto"/>
              <w:rPr>
                <w:rFonts w:cs="Times New Roman"/>
                <w:b/>
                <w:bCs/>
                <w:szCs w:val="24"/>
              </w:rPr>
            </w:pPr>
            <w:r w:rsidRPr="00F74C15">
              <w:rPr>
                <w:rFonts w:cs="Times New Roman"/>
                <w:b/>
                <w:bCs/>
                <w:szCs w:val="24"/>
              </w:rPr>
              <w:t>(b)</w:t>
            </w:r>
          </w:p>
          <w:p w14:paraId="41121D65" w14:textId="77777777" w:rsidR="00B067EB" w:rsidRPr="00F74C15" w:rsidRDefault="00B067EB" w:rsidP="00B067EB">
            <w:pPr>
              <w:spacing w:before="0" w:line="240" w:lineRule="auto"/>
              <w:rPr>
                <w:rFonts w:cs="Times New Roman"/>
                <w:b/>
                <w:bCs/>
                <w:szCs w:val="24"/>
              </w:rPr>
            </w:pPr>
            <w:r w:rsidRPr="00F74C15">
              <w:rPr>
                <w:rFonts w:cs="Times New Roman"/>
                <w:b/>
                <w:bCs/>
                <w:szCs w:val="24"/>
              </w:rPr>
              <w:t>Fixed</w:t>
            </w:r>
          </w:p>
        </w:tc>
        <w:tc>
          <w:tcPr>
            <w:tcW w:w="2338" w:type="dxa"/>
          </w:tcPr>
          <w:p w14:paraId="6EFE7FC2" w14:textId="77777777" w:rsidR="00B067EB" w:rsidRPr="00F74C15" w:rsidRDefault="00B067EB" w:rsidP="00B067EB">
            <w:pPr>
              <w:spacing w:before="0" w:line="240" w:lineRule="auto"/>
              <w:rPr>
                <w:rFonts w:cs="Times New Roman"/>
                <w:b/>
                <w:bCs/>
                <w:szCs w:val="24"/>
              </w:rPr>
            </w:pPr>
            <w:r w:rsidRPr="00F74C15">
              <w:rPr>
                <w:rFonts w:cs="Times New Roman"/>
                <w:b/>
                <w:bCs/>
                <w:szCs w:val="24"/>
              </w:rPr>
              <w:t>(B)</w:t>
            </w:r>
          </w:p>
          <w:p w14:paraId="34782E0A" w14:textId="77777777" w:rsidR="00B067EB" w:rsidRPr="00F74C15" w:rsidRDefault="00B067EB" w:rsidP="00B067EB">
            <w:pPr>
              <w:spacing w:before="0" w:line="240" w:lineRule="auto"/>
              <w:rPr>
                <w:rFonts w:cs="Times New Roman"/>
                <w:b/>
                <w:bCs/>
                <w:szCs w:val="24"/>
              </w:rPr>
            </w:pPr>
            <w:r w:rsidRPr="00F74C15">
              <w:rPr>
                <w:rFonts w:cs="Times New Roman"/>
                <w:b/>
                <w:bCs/>
                <w:szCs w:val="24"/>
              </w:rPr>
              <w:t>Random</w:t>
            </w:r>
          </w:p>
        </w:tc>
        <w:tc>
          <w:tcPr>
            <w:tcW w:w="2338" w:type="dxa"/>
          </w:tcPr>
          <w:p w14:paraId="018AF327" w14:textId="77777777" w:rsidR="00B067EB" w:rsidRPr="00F74C15" w:rsidRDefault="00B067EB" w:rsidP="00B067EB">
            <w:pPr>
              <w:spacing w:before="0" w:line="240" w:lineRule="auto"/>
              <w:rPr>
                <w:rFonts w:cs="Times New Roman"/>
                <w:b/>
                <w:bCs/>
                <w:szCs w:val="24"/>
              </w:rPr>
            </w:pPr>
            <w:r w:rsidRPr="00F74C15">
              <w:rPr>
                <w:rFonts w:cs="Times New Roman"/>
                <w:b/>
                <w:bCs/>
                <w:szCs w:val="24"/>
              </w:rPr>
              <w:t>(b-B)</w:t>
            </w:r>
          </w:p>
          <w:p w14:paraId="4A9ED784" w14:textId="77777777" w:rsidR="00B067EB" w:rsidRPr="00F74C15" w:rsidRDefault="00B067EB" w:rsidP="00B067EB">
            <w:pPr>
              <w:spacing w:before="0" w:line="240" w:lineRule="auto"/>
              <w:rPr>
                <w:rFonts w:cs="Times New Roman"/>
                <w:b/>
                <w:bCs/>
                <w:szCs w:val="24"/>
              </w:rPr>
            </w:pPr>
            <w:r w:rsidRPr="00F74C15">
              <w:rPr>
                <w:rFonts w:cs="Times New Roman"/>
                <w:b/>
                <w:bCs/>
                <w:szCs w:val="24"/>
              </w:rPr>
              <w:t>Difference</w:t>
            </w:r>
          </w:p>
        </w:tc>
      </w:tr>
      <w:tr w:rsidR="00B067EB" w:rsidRPr="00F74C15" w14:paraId="229A2BDB" w14:textId="77777777" w:rsidTr="00D939BB">
        <w:tc>
          <w:tcPr>
            <w:tcW w:w="2337" w:type="dxa"/>
          </w:tcPr>
          <w:p w14:paraId="1007AFC9" w14:textId="77777777" w:rsidR="00B067EB" w:rsidRPr="00F74C15" w:rsidRDefault="00B067EB" w:rsidP="00B067EB">
            <w:pPr>
              <w:spacing w:before="0" w:line="240" w:lineRule="auto"/>
              <w:rPr>
                <w:rFonts w:cs="Times New Roman"/>
                <w:szCs w:val="24"/>
              </w:rPr>
            </w:pPr>
            <w:r w:rsidRPr="00F74C15">
              <w:rPr>
                <w:rFonts w:cs="Times New Roman"/>
                <w:szCs w:val="24"/>
              </w:rPr>
              <w:t>Short term debt</w:t>
            </w:r>
          </w:p>
        </w:tc>
        <w:tc>
          <w:tcPr>
            <w:tcW w:w="2337" w:type="dxa"/>
          </w:tcPr>
          <w:p w14:paraId="11EF6A38" w14:textId="77777777" w:rsidR="00B067EB" w:rsidRPr="00F74C15" w:rsidRDefault="00B067EB" w:rsidP="00B067EB">
            <w:pPr>
              <w:spacing w:before="0" w:line="240" w:lineRule="auto"/>
              <w:rPr>
                <w:rFonts w:cs="Times New Roman"/>
                <w:szCs w:val="24"/>
              </w:rPr>
            </w:pPr>
            <w:r w:rsidRPr="00F74C15">
              <w:rPr>
                <w:rFonts w:cs="Times New Roman"/>
                <w:szCs w:val="24"/>
              </w:rPr>
              <w:t>-1.152619</w:t>
            </w:r>
          </w:p>
        </w:tc>
        <w:tc>
          <w:tcPr>
            <w:tcW w:w="2338" w:type="dxa"/>
          </w:tcPr>
          <w:p w14:paraId="28CAA2AA" w14:textId="77777777" w:rsidR="00B067EB" w:rsidRPr="00F74C15" w:rsidRDefault="00B067EB" w:rsidP="00B067EB">
            <w:pPr>
              <w:spacing w:before="0" w:line="240" w:lineRule="auto"/>
              <w:rPr>
                <w:rFonts w:cs="Times New Roman"/>
                <w:szCs w:val="24"/>
              </w:rPr>
            </w:pPr>
            <w:r w:rsidRPr="00F74C15">
              <w:rPr>
                <w:rFonts w:cs="Times New Roman"/>
                <w:szCs w:val="24"/>
              </w:rPr>
              <w:t>-1.152619</w:t>
            </w:r>
          </w:p>
        </w:tc>
        <w:tc>
          <w:tcPr>
            <w:tcW w:w="2338" w:type="dxa"/>
          </w:tcPr>
          <w:p w14:paraId="00CF0FB4" w14:textId="77777777" w:rsidR="00B067EB" w:rsidRPr="00F74C15" w:rsidRDefault="00B067EB" w:rsidP="00B067EB">
            <w:pPr>
              <w:spacing w:before="0" w:line="240" w:lineRule="auto"/>
              <w:rPr>
                <w:rFonts w:cs="Times New Roman"/>
                <w:szCs w:val="24"/>
              </w:rPr>
            </w:pPr>
            <w:r w:rsidRPr="00F74C15">
              <w:rPr>
                <w:rFonts w:cs="Times New Roman"/>
                <w:szCs w:val="24"/>
              </w:rPr>
              <w:t>4.65e-13</w:t>
            </w:r>
          </w:p>
        </w:tc>
      </w:tr>
      <w:tr w:rsidR="00B067EB" w:rsidRPr="00F74C15" w14:paraId="1680F5C0" w14:textId="77777777" w:rsidTr="00D939BB">
        <w:tc>
          <w:tcPr>
            <w:tcW w:w="2337" w:type="dxa"/>
          </w:tcPr>
          <w:p w14:paraId="0F9144A2" w14:textId="77777777" w:rsidR="00B067EB" w:rsidRPr="00F74C15" w:rsidRDefault="00B067EB" w:rsidP="00B067EB">
            <w:pPr>
              <w:spacing w:before="0" w:line="240" w:lineRule="auto"/>
              <w:rPr>
                <w:rFonts w:cs="Times New Roman"/>
                <w:szCs w:val="24"/>
              </w:rPr>
            </w:pPr>
            <w:r w:rsidRPr="00F74C15">
              <w:rPr>
                <w:rFonts w:cs="Times New Roman"/>
                <w:szCs w:val="24"/>
              </w:rPr>
              <w:t>Long term debt</w:t>
            </w:r>
          </w:p>
        </w:tc>
        <w:tc>
          <w:tcPr>
            <w:tcW w:w="2337" w:type="dxa"/>
          </w:tcPr>
          <w:p w14:paraId="5302B22F" w14:textId="77777777" w:rsidR="00B067EB" w:rsidRPr="00F74C15" w:rsidRDefault="00B067EB" w:rsidP="00B067EB">
            <w:pPr>
              <w:spacing w:before="0" w:line="240" w:lineRule="auto"/>
              <w:rPr>
                <w:rFonts w:cs="Times New Roman"/>
                <w:szCs w:val="24"/>
              </w:rPr>
            </w:pPr>
            <w:r w:rsidRPr="00F74C15">
              <w:rPr>
                <w:rFonts w:cs="Times New Roman"/>
                <w:szCs w:val="24"/>
              </w:rPr>
              <w:t>-1.030685</w:t>
            </w:r>
          </w:p>
        </w:tc>
        <w:tc>
          <w:tcPr>
            <w:tcW w:w="2338" w:type="dxa"/>
          </w:tcPr>
          <w:p w14:paraId="297AA787" w14:textId="77777777" w:rsidR="00B067EB" w:rsidRPr="00F74C15" w:rsidRDefault="00B067EB" w:rsidP="00B067EB">
            <w:pPr>
              <w:spacing w:before="0" w:line="240" w:lineRule="auto"/>
              <w:rPr>
                <w:rFonts w:cs="Times New Roman"/>
                <w:szCs w:val="24"/>
              </w:rPr>
            </w:pPr>
            <w:r w:rsidRPr="00F74C15">
              <w:rPr>
                <w:rFonts w:cs="Times New Roman"/>
                <w:szCs w:val="24"/>
              </w:rPr>
              <w:t>-1.030685</w:t>
            </w:r>
          </w:p>
        </w:tc>
        <w:tc>
          <w:tcPr>
            <w:tcW w:w="2338" w:type="dxa"/>
          </w:tcPr>
          <w:p w14:paraId="6179BE28" w14:textId="77777777" w:rsidR="00B067EB" w:rsidRPr="00F74C15" w:rsidRDefault="00B067EB" w:rsidP="00B067EB">
            <w:pPr>
              <w:spacing w:before="0" w:line="240" w:lineRule="auto"/>
              <w:rPr>
                <w:rFonts w:cs="Times New Roman"/>
                <w:szCs w:val="24"/>
              </w:rPr>
            </w:pPr>
            <w:r w:rsidRPr="00F74C15">
              <w:rPr>
                <w:rFonts w:cs="Times New Roman"/>
                <w:szCs w:val="24"/>
              </w:rPr>
              <w:t>4.44e-13</w:t>
            </w:r>
          </w:p>
        </w:tc>
      </w:tr>
      <w:tr w:rsidR="00B067EB" w:rsidRPr="00F74C15" w14:paraId="44718BA7" w14:textId="77777777" w:rsidTr="00D939BB">
        <w:tc>
          <w:tcPr>
            <w:tcW w:w="2337" w:type="dxa"/>
          </w:tcPr>
          <w:p w14:paraId="6C608BD5" w14:textId="77777777" w:rsidR="00B067EB" w:rsidRPr="00F74C15" w:rsidRDefault="00B067EB" w:rsidP="00B067EB">
            <w:pPr>
              <w:spacing w:before="0" w:line="240" w:lineRule="auto"/>
              <w:rPr>
                <w:rFonts w:cs="Times New Roman"/>
                <w:szCs w:val="24"/>
              </w:rPr>
            </w:pPr>
            <w:r w:rsidRPr="00F74C15">
              <w:rPr>
                <w:rFonts w:cs="Times New Roman"/>
                <w:szCs w:val="24"/>
              </w:rPr>
              <w:t>Total debt</w:t>
            </w:r>
          </w:p>
        </w:tc>
        <w:tc>
          <w:tcPr>
            <w:tcW w:w="2337" w:type="dxa"/>
          </w:tcPr>
          <w:p w14:paraId="4EE1565A" w14:textId="77777777" w:rsidR="00B067EB" w:rsidRPr="00F74C15" w:rsidRDefault="00B067EB" w:rsidP="00B067EB">
            <w:pPr>
              <w:spacing w:before="0" w:line="240" w:lineRule="auto"/>
              <w:rPr>
                <w:rFonts w:cs="Times New Roman"/>
                <w:szCs w:val="24"/>
              </w:rPr>
            </w:pPr>
            <w:r w:rsidRPr="00F74C15">
              <w:rPr>
                <w:rFonts w:cs="Times New Roman"/>
                <w:szCs w:val="24"/>
              </w:rPr>
              <w:t>-0.0615786</w:t>
            </w:r>
          </w:p>
        </w:tc>
        <w:tc>
          <w:tcPr>
            <w:tcW w:w="2338" w:type="dxa"/>
          </w:tcPr>
          <w:p w14:paraId="35BA8ACB" w14:textId="77777777" w:rsidR="00B067EB" w:rsidRPr="00F74C15" w:rsidRDefault="00B067EB" w:rsidP="00B067EB">
            <w:pPr>
              <w:spacing w:before="0" w:line="240" w:lineRule="auto"/>
              <w:rPr>
                <w:rFonts w:cs="Times New Roman"/>
                <w:szCs w:val="24"/>
              </w:rPr>
            </w:pPr>
            <w:r w:rsidRPr="00F74C15">
              <w:rPr>
                <w:rFonts w:cs="Times New Roman"/>
                <w:szCs w:val="24"/>
              </w:rPr>
              <w:t>-0.0615786</w:t>
            </w:r>
          </w:p>
        </w:tc>
        <w:tc>
          <w:tcPr>
            <w:tcW w:w="2338" w:type="dxa"/>
          </w:tcPr>
          <w:p w14:paraId="506B6E41" w14:textId="77777777" w:rsidR="00B067EB" w:rsidRPr="00F74C15" w:rsidRDefault="00B067EB" w:rsidP="00B067EB">
            <w:pPr>
              <w:spacing w:before="0" w:line="240" w:lineRule="auto"/>
              <w:rPr>
                <w:rFonts w:cs="Times New Roman"/>
                <w:szCs w:val="24"/>
              </w:rPr>
            </w:pPr>
            <w:r w:rsidRPr="00F74C15">
              <w:rPr>
                <w:rFonts w:cs="Times New Roman"/>
                <w:szCs w:val="24"/>
              </w:rPr>
              <w:t>-5.88e-15</w:t>
            </w:r>
          </w:p>
        </w:tc>
      </w:tr>
      <w:tr w:rsidR="00B067EB" w:rsidRPr="00F74C15" w14:paraId="6D9ED3A3" w14:textId="77777777" w:rsidTr="00D939BB">
        <w:tc>
          <w:tcPr>
            <w:tcW w:w="2337" w:type="dxa"/>
          </w:tcPr>
          <w:p w14:paraId="53076FEA" w14:textId="77777777" w:rsidR="00B067EB" w:rsidRPr="00F74C15" w:rsidRDefault="00B067EB" w:rsidP="00B067EB">
            <w:pPr>
              <w:spacing w:before="0" w:line="240" w:lineRule="auto"/>
              <w:rPr>
                <w:rFonts w:cs="Times New Roman"/>
                <w:szCs w:val="24"/>
              </w:rPr>
            </w:pPr>
            <w:r w:rsidRPr="00F74C15">
              <w:rPr>
                <w:rFonts w:cs="Times New Roman"/>
                <w:szCs w:val="24"/>
              </w:rPr>
              <w:t>Firm size</w:t>
            </w:r>
          </w:p>
        </w:tc>
        <w:tc>
          <w:tcPr>
            <w:tcW w:w="2337" w:type="dxa"/>
          </w:tcPr>
          <w:p w14:paraId="5F5D5393" w14:textId="77777777" w:rsidR="00B067EB" w:rsidRPr="00F74C15" w:rsidRDefault="00B067EB" w:rsidP="00B067EB">
            <w:pPr>
              <w:spacing w:before="0" w:line="240" w:lineRule="auto"/>
              <w:rPr>
                <w:rFonts w:cs="Times New Roman"/>
                <w:szCs w:val="24"/>
              </w:rPr>
            </w:pPr>
            <w:r w:rsidRPr="00F74C15">
              <w:rPr>
                <w:rFonts w:cs="Times New Roman"/>
                <w:szCs w:val="24"/>
              </w:rPr>
              <w:t>-0.4681752</w:t>
            </w:r>
          </w:p>
        </w:tc>
        <w:tc>
          <w:tcPr>
            <w:tcW w:w="2338" w:type="dxa"/>
          </w:tcPr>
          <w:p w14:paraId="1A5C1A01" w14:textId="77777777" w:rsidR="00B067EB" w:rsidRPr="00F74C15" w:rsidRDefault="00B067EB" w:rsidP="00B067EB">
            <w:pPr>
              <w:spacing w:before="0" w:line="240" w:lineRule="auto"/>
              <w:rPr>
                <w:rFonts w:cs="Times New Roman"/>
                <w:szCs w:val="24"/>
              </w:rPr>
            </w:pPr>
            <w:r w:rsidRPr="00F74C15">
              <w:rPr>
                <w:rFonts w:cs="Times New Roman"/>
                <w:szCs w:val="24"/>
              </w:rPr>
              <w:t>-0.4681752</w:t>
            </w:r>
          </w:p>
        </w:tc>
        <w:tc>
          <w:tcPr>
            <w:tcW w:w="2338" w:type="dxa"/>
          </w:tcPr>
          <w:p w14:paraId="5A5E458B" w14:textId="77777777" w:rsidR="00B067EB" w:rsidRPr="00F74C15" w:rsidRDefault="00B067EB" w:rsidP="00B067EB">
            <w:pPr>
              <w:spacing w:before="0" w:line="240" w:lineRule="auto"/>
              <w:rPr>
                <w:rFonts w:cs="Times New Roman"/>
                <w:szCs w:val="24"/>
              </w:rPr>
            </w:pPr>
            <w:r w:rsidRPr="00F74C15">
              <w:rPr>
                <w:rFonts w:cs="Times New Roman"/>
                <w:szCs w:val="24"/>
              </w:rPr>
              <w:t>2.20e-13</w:t>
            </w:r>
          </w:p>
        </w:tc>
      </w:tr>
    </w:tbl>
    <w:p w14:paraId="012A14DF" w14:textId="77777777" w:rsidR="00B067EB" w:rsidRPr="004A178A" w:rsidRDefault="00B067EB" w:rsidP="00B067EB">
      <w:pPr>
        <w:spacing w:before="0" w:line="240" w:lineRule="auto"/>
        <w:rPr>
          <w:rFonts w:eastAsia="Times New Roman" w:cs="Times New Roman"/>
          <w:szCs w:val="24"/>
        </w:rPr>
      </w:pPr>
    </w:p>
    <w:p w14:paraId="466F5DD8"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Chi2 (4) = 0.0000; Prob &gt; chi2 = 1.0000</w:t>
      </w:r>
    </w:p>
    <w:p w14:paraId="7F9063AC" w14:textId="65740AA5" w:rsidR="001F51C1" w:rsidRPr="00B067EB" w:rsidRDefault="00B067EB" w:rsidP="00E730D7">
      <w:pPr>
        <w:spacing w:before="0" w:line="240" w:lineRule="auto"/>
        <w:rPr>
          <w:rFonts w:eastAsia="Times New Roman" w:cs="Times New Roman"/>
          <w:szCs w:val="24"/>
        </w:rPr>
      </w:pPr>
      <w:r w:rsidRPr="004A178A">
        <w:rPr>
          <w:rFonts w:eastAsia="Times New Roman" w:cs="Times New Roman"/>
          <w:szCs w:val="24"/>
        </w:rPr>
        <w:t>The test confirmed that the random effects model was preferable, as no significant differences were observed between fixed and random coefficients.</w:t>
      </w:r>
    </w:p>
    <w:p w14:paraId="5D2DB93E" w14:textId="77777777" w:rsidR="00B067EB" w:rsidRDefault="00B067EB" w:rsidP="00E730D7">
      <w:pPr>
        <w:spacing w:before="0" w:line="240" w:lineRule="auto"/>
        <w:rPr>
          <w:b/>
          <w:bCs/>
          <w:color w:val="000000" w:themeColor="text1"/>
          <w:sz w:val="28"/>
          <w:szCs w:val="24"/>
        </w:rPr>
      </w:pPr>
    </w:p>
    <w:p w14:paraId="52F0338C" w14:textId="074C2C60" w:rsidR="001F51C1" w:rsidRPr="00B067EB" w:rsidRDefault="004737A8" w:rsidP="001F51C1">
      <w:pPr>
        <w:tabs>
          <w:tab w:val="left" w:pos="9000"/>
        </w:tabs>
        <w:adjustRightInd w:val="0"/>
        <w:spacing w:before="0" w:line="240" w:lineRule="auto"/>
        <w:rPr>
          <w:b/>
          <w:i/>
          <w:sz w:val="28"/>
          <w:szCs w:val="28"/>
          <w:vertAlign w:val="superscript"/>
        </w:rPr>
      </w:pPr>
      <w:r w:rsidRPr="00B067EB">
        <w:rPr>
          <w:b/>
          <w:i/>
          <w:sz w:val="28"/>
          <w:szCs w:val="28"/>
        </w:rPr>
        <w:t xml:space="preserve">4.4 </w:t>
      </w:r>
      <w:r w:rsidR="00B067EB" w:rsidRPr="00B067EB">
        <w:rPr>
          <w:b/>
          <w:bCs/>
          <w:i/>
          <w:sz w:val="28"/>
          <w:szCs w:val="28"/>
        </w:rPr>
        <w:t>Regression Analysis</w:t>
      </w:r>
    </w:p>
    <w:p w14:paraId="46F63374" w14:textId="23087DE8" w:rsidR="00B067EB" w:rsidRDefault="00B067EB" w:rsidP="00B067EB">
      <w:pPr>
        <w:spacing w:before="0" w:line="240" w:lineRule="auto"/>
      </w:pPr>
      <w:r w:rsidRPr="00B067EB">
        <w:t>The regression analysis examined the relationship between short-term debt (STD), long-term debt (LTD), total debt (TD), and firm size (FS) on financial performance, measured by return on assets (ROA). The initial model yielded an R-squared of 0.4018, indicating that 40.2% of the variation in financial performance of listed construction and allied companies was explained by the independent variables. Results showed that STD, LTD, and FS had a negative and significant effect on ROA, whereas TD exhibited a negative but insignificant relationship. The empirical model was expressed as ROA = 2.6314 – 1.1526STD – 1.0307LTD – 0.0616TD – 0.4682FS. Incorporating FS as a moderating variable increased the explanatory power of the model to 47.15% (R-squared), confirming its moderating role. Specifically, the interaction of STDFS and LTDFS had negative and significant associations with ROA, while TD*FS demonstrated a positive and significant influence on financial performance</w:t>
      </w:r>
      <w:r>
        <w:t>.</w:t>
      </w:r>
    </w:p>
    <w:p w14:paraId="61142ADA" w14:textId="7AB6AD27" w:rsidR="00980239" w:rsidRPr="00B067EB" w:rsidRDefault="00980239" w:rsidP="00B067EB">
      <w:pPr>
        <w:spacing w:before="0" w:line="240" w:lineRule="auto"/>
      </w:pPr>
      <w:r>
        <w:t>Table 8-</w:t>
      </w:r>
      <w:r w:rsidR="0013573C">
        <w:t xml:space="preserve"> </w:t>
      </w:r>
      <w:r w:rsidR="0013573C" w:rsidRPr="0013573C">
        <w:t>Regression Analysis</w:t>
      </w:r>
    </w:p>
    <w:p w14:paraId="3351085E" w14:textId="77777777" w:rsidR="00B067EB" w:rsidRDefault="00B067EB" w:rsidP="001F51C1">
      <w:pPr>
        <w:tabs>
          <w:tab w:val="left" w:pos="9000"/>
        </w:tabs>
        <w:adjustRightInd w:val="0"/>
        <w:spacing w:before="0" w:line="240" w:lineRule="auto"/>
        <w:rPr>
          <w:b/>
          <w:sz w:val="28"/>
          <w:szCs w:val="24"/>
        </w:rPr>
      </w:pPr>
    </w:p>
    <w:tbl>
      <w:tblPr>
        <w:tblStyle w:val="Style2"/>
        <w:tblW w:w="9445" w:type="dxa"/>
        <w:tblLook w:val="04A0" w:firstRow="1" w:lastRow="0" w:firstColumn="1" w:lastColumn="0" w:noHBand="0" w:noVBand="1"/>
      </w:tblPr>
      <w:tblGrid>
        <w:gridCol w:w="3145"/>
        <w:gridCol w:w="1710"/>
        <w:gridCol w:w="1710"/>
        <w:gridCol w:w="1440"/>
        <w:gridCol w:w="1440"/>
      </w:tblGrid>
      <w:tr w:rsidR="00B067EB" w14:paraId="75F3F342" w14:textId="77777777" w:rsidTr="00D939BB">
        <w:trPr>
          <w:cnfStyle w:val="100000000000" w:firstRow="1" w:lastRow="0" w:firstColumn="0" w:lastColumn="0" w:oddVBand="0" w:evenVBand="0" w:oddHBand="0" w:evenHBand="0" w:firstRowFirstColumn="0" w:firstRowLastColumn="0" w:lastRowFirstColumn="0" w:lastRowLastColumn="0"/>
        </w:trPr>
        <w:tc>
          <w:tcPr>
            <w:tcW w:w="3145" w:type="dxa"/>
          </w:tcPr>
          <w:p w14:paraId="7A8CEAE0" w14:textId="77777777" w:rsidR="00B067EB" w:rsidRPr="007468A3" w:rsidRDefault="00B067EB" w:rsidP="00B067EB">
            <w:pPr>
              <w:spacing w:before="0" w:line="240" w:lineRule="auto"/>
              <w:rPr>
                <w:rFonts w:eastAsia="Times New Roman"/>
                <w:b/>
                <w:bCs/>
              </w:rPr>
            </w:pPr>
            <w:r w:rsidRPr="007468A3">
              <w:rPr>
                <w:rFonts w:eastAsia="Times New Roman"/>
                <w:b/>
                <w:bCs/>
              </w:rPr>
              <w:t>Variable</w:t>
            </w:r>
          </w:p>
        </w:tc>
        <w:tc>
          <w:tcPr>
            <w:tcW w:w="1710" w:type="dxa"/>
          </w:tcPr>
          <w:p w14:paraId="0B1B86B1" w14:textId="77777777" w:rsidR="00B067EB" w:rsidRPr="007468A3" w:rsidRDefault="00B067EB" w:rsidP="00B067EB">
            <w:pPr>
              <w:spacing w:before="0" w:line="240" w:lineRule="auto"/>
              <w:rPr>
                <w:rFonts w:eastAsia="Times New Roman"/>
                <w:b/>
                <w:bCs/>
              </w:rPr>
            </w:pPr>
            <w:r w:rsidRPr="007468A3">
              <w:rPr>
                <w:rFonts w:eastAsia="Times New Roman"/>
                <w:b/>
                <w:bCs/>
              </w:rPr>
              <w:t>Coefficient</w:t>
            </w:r>
          </w:p>
        </w:tc>
        <w:tc>
          <w:tcPr>
            <w:tcW w:w="1710" w:type="dxa"/>
          </w:tcPr>
          <w:p w14:paraId="3A0AFCC2" w14:textId="77777777" w:rsidR="00B067EB" w:rsidRPr="007468A3" w:rsidRDefault="00B067EB" w:rsidP="00B067EB">
            <w:pPr>
              <w:spacing w:before="0" w:line="240" w:lineRule="auto"/>
              <w:rPr>
                <w:rFonts w:eastAsia="Times New Roman"/>
                <w:b/>
                <w:bCs/>
              </w:rPr>
            </w:pPr>
            <w:r w:rsidRPr="007468A3">
              <w:rPr>
                <w:rFonts w:eastAsia="Times New Roman"/>
                <w:b/>
                <w:bCs/>
              </w:rPr>
              <w:t>Std. Error</w:t>
            </w:r>
          </w:p>
        </w:tc>
        <w:tc>
          <w:tcPr>
            <w:tcW w:w="1440" w:type="dxa"/>
          </w:tcPr>
          <w:p w14:paraId="528F6AC1" w14:textId="77777777" w:rsidR="00B067EB" w:rsidRPr="007468A3" w:rsidRDefault="00B067EB" w:rsidP="00B067EB">
            <w:pPr>
              <w:spacing w:before="0" w:line="240" w:lineRule="auto"/>
              <w:rPr>
                <w:rFonts w:eastAsia="Times New Roman"/>
                <w:b/>
                <w:bCs/>
              </w:rPr>
            </w:pPr>
            <w:r w:rsidRPr="007468A3">
              <w:rPr>
                <w:rFonts w:eastAsia="Times New Roman"/>
                <w:b/>
                <w:bCs/>
              </w:rPr>
              <w:t>t- statistic</w:t>
            </w:r>
          </w:p>
        </w:tc>
        <w:tc>
          <w:tcPr>
            <w:tcW w:w="1440" w:type="dxa"/>
          </w:tcPr>
          <w:p w14:paraId="62FF4481" w14:textId="77777777" w:rsidR="00B067EB" w:rsidRPr="007468A3" w:rsidRDefault="00B067EB" w:rsidP="00B067EB">
            <w:pPr>
              <w:spacing w:before="0" w:line="240" w:lineRule="auto"/>
              <w:rPr>
                <w:rFonts w:eastAsia="Times New Roman"/>
                <w:b/>
                <w:bCs/>
              </w:rPr>
            </w:pPr>
            <w:r w:rsidRPr="00D4096D">
              <w:rPr>
                <w:rFonts w:eastAsia="Times New Roman" w:cs="Times New Roman"/>
                <w:b/>
                <w:bCs/>
                <w:szCs w:val="24"/>
              </w:rPr>
              <w:t xml:space="preserve">P </w:t>
            </w:r>
            <w:r w:rsidRPr="00D4096D">
              <w:rPr>
                <w:rFonts w:eastAsia="Times New Roman" w:cs="Times New Roman"/>
                <w:szCs w:val="24"/>
              </w:rPr>
              <w:t>&gt;</w:t>
            </w:r>
            <w:r>
              <w:rPr>
                <w:rFonts w:eastAsia="Times New Roman"/>
                <w:b/>
                <w:bCs/>
              </w:rPr>
              <w:t xml:space="preserve"> (t)</w:t>
            </w:r>
          </w:p>
        </w:tc>
      </w:tr>
      <w:tr w:rsidR="00B067EB" w14:paraId="57E52554" w14:textId="77777777" w:rsidTr="00D939BB">
        <w:tc>
          <w:tcPr>
            <w:tcW w:w="3145" w:type="dxa"/>
          </w:tcPr>
          <w:p w14:paraId="2AC8287C" w14:textId="77777777" w:rsidR="00B067EB" w:rsidRDefault="00B067EB" w:rsidP="00B067EB">
            <w:pPr>
              <w:spacing w:before="0" w:line="240" w:lineRule="auto"/>
              <w:rPr>
                <w:rFonts w:eastAsia="Times New Roman"/>
              </w:rPr>
            </w:pPr>
            <w:r>
              <w:rPr>
                <w:rFonts w:eastAsia="Times New Roman"/>
              </w:rPr>
              <w:t>Short Term Debt</w:t>
            </w:r>
          </w:p>
        </w:tc>
        <w:tc>
          <w:tcPr>
            <w:tcW w:w="1710" w:type="dxa"/>
          </w:tcPr>
          <w:p w14:paraId="5BC5DA1D" w14:textId="77777777" w:rsidR="00B067EB" w:rsidRDefault="00B067EB" w:rsidP="00B067EB">
            <w:pPr>
              <w:spacing w:before="0" w:line="240" w:lineRule="auto"/>
              <w:rPr>
                <w:rFonts w:eastAsia="Times New Roman"/>
              </w:rPr>
            </w:pPr>
            <w:r>
              <w:rPr>
                <w:rFonts w:eastAsia="Times New Roman"/>
              </w:rPr>
              <w:t>-1.152619</w:t>
            </w:r>
          </w:p>
        </w:tc>
        <w:tc>
          <w:tcPr>
            <w:tcW w:w="1710" w:type="dxa"/>
          </w:tcPr>
          <w:p w14:paraId="504D65CC" w14:textId="77777777" w:rsidR="00B067EB" w:rsidRDefault="00B067EB" w:rsidP="00B067EB">
            <w:pPr>
              <w:spacing w:before="0" w:line="240" w:lineRule="auto"/>
              <w:rPr>
                <w:rFonts w:eastAsia="Times New Roman"/>
              </w:rPr>
            </w:pPr>
            <w:r>
              <w:rPr>
                <w:rFonts w:eastAsia="Times New Roman"/>
              </w:rPr>
              <w:t>0.361063</w:t>
            </w:r>
          </w:p>
        </w:tc>
        <w:tc>
          <w:tcPr>
            <w:tcW w:w="1440" w:type="dxa"/>
          </w:tcPr>
          <w:p w14:paraId="44472617" w14:textId="77777777" w:rsidR="00B067EB" w:rsidRDefault="00B067EB" w:rsidP="00B067EB">
            <w:pPr>
              <w:spacing w:before="0" w:line="240" w:lineRule="auto"/>
              <w:rPr>
                <w:rFonts w:eastAsia="Times New Roman"/>
              </w:rPr>
            </w:pPr>
            <w:r>
              <w:rPr>
                <w:rFonts w:eastAsia="Times New Roman"/>
              </w:rPr>
              <w:t>-3.19</w:t>
            </w:r>
          </w:p>
        </w:tc>
        <w:tc>
          <w:tcPr>
            <w:tcW w:w="1440" w:type="dxa"/>
          </w:tcPr>
          <w:p w14:paraId="788D182B" w14:textId="77777777" w:rsidR="00B067EB" w:rsidRDefault="00B067EB" w:rsidP="00B067EB">
            <w:pPr>
              <w:spacing w:before="0" w:line="240" w:lineRule="auto"/>
              <w:rPr>
                <w:rFonts w:eastAsia="Times New Roman"/>
              </w:rPr>
            </w:pPr>
            <w:r>
              <w:rPr>
                <w:rFonts w:eastAsia="Times New Roman"/>
              </w:rPr>
              <w:t>0.004</w:t>
            </w:r>
          </w:p>
        </w:tc>
      </w:tr>
      <w:tr w:rsidR="00B067EB" w14:paraId="4157C791" w14:textId="77777777" w:rsidTr="00D939BB">
        <w:tc>
          <w:tcPr>
            <w:tcW w:w="3145" w:type="dxa"/>
          </w:tcPr>
          <w:p w14:paraId="0CD5DD2A" w14:textId="77777777" w:rsidR="00B067EB" w:rsidRDefault="00B067EB" w:rsidP="00B067EB">
            <w:pPr>
              <w:spacing w:before="0" w:line="240" w:lineRule="auto"/>
              <w:rPr>
                <w:rFonts w:eastAsia="Times New Roman"/>
              </w:rPr>
            </w:pPr>
            <w:r>
              <w:rPr>
                <w:rFonts w:eastAsia="Times New Roman"/>
              </w:rPr>
              <w:t>Long Term Debt</w:t>
            </w:r>
          </w:p>
        </w:tc>
        <w:tc>
          <w:tcPr>
            <w:tcW w:w="1710" w:type="dxa"/>
          </w:tcPr>
          <w:p w14:paraId="039238FA" w14:textId="77777777" w:rsidR="00B067EB" w:rsidRDefault="00B067EB" w:rsidP="00B067EB">
            <w:pPr>
              <w:spacing w:before="0" w:line="240" w:lineRule="auto"/>
              <w:rPr>
                <w:rFonts w:eastAsia="Times New Roman"/>
              </w:rPr>
            </w:pPr>
            <w:r>
              <w:rPr>
                <w:rFonts w:eastAsia="Times New Roman"/>
              </w:rPr>
              <w:t>-1.030685</w:t>
            </w:r>
          </w:p>
        </w:tc>
        <w:tc>
          <w:tcPr>
            <w:tcW w:w="1710" w:type="dxa"/>
          </w:tcPr>
          <w:p w14:paraId="1BA08273" w14:textId="77777777" w:rsidR="00B067EB" w:rsidRDefault="00B067EB" w:rsidP="00B067EB">
            <w:pPr>
              <w:spacing w:before="0" w:line="240" w:lineRule="auto"/>
              <w:rPr>
                <w:rFonts w:eastAsia="Times New Roman"/>
              </w:rPr>
            </w:pPr>
            <w:r>
              <w:rPr>
                <w:rFonts w:eastAsia="Times New Roman"/>
              </w:rPr>
              <w:t>0.3924691</w:t>
            </w:r>
          </w:p>
        </w:tc>
        <w:tc>
          <w:tcPr>
            <w:tcW w:w="1440" w:type="dxa"/>
          </w:tcPr>
          <w:p w14:paraId="77B92F05" w14:textId="77777777" w:rsidR="00B067EB" w:rsidRDefault="00B067EB" w:rsidP="00B067EB">
            <w:pPr>
              <w:spacing w:before="0" w:line="240" w:lineRule="auto"/>
              <w:rPr>
                <w:rFonts w:eastAsia="Times New Roman"/>
              </w:rPr>
            </w:pPr>
            <w:r>
              <w:rPr>
                <w:rFonts w:eastAsia="Times New Roman"/>
              </w:rPr>
              <w:t>-2.63</w:t>
            </w:r>
          </w:p>
        </w:tc>
        <w:tc>
          <w:tcPr>
            <w:tcW w:w="1440" w:type="dxa"/>
          </w:tcPr>
          <w:p w14:paraId="164DCA54" w14:textId="77777777" w:rsidR="00B067EB" w:rsidRDefault="00B067EB" w:rsidP="00B067EB">
            <w:pPr>
              <w:spacing w:before="0" w:line="240" w:lineRule="auto"/>
              <w:rPr>
                <w:rFonts w:eastAsia="Times New Roman"/>
              </w:rPr>
            </w:pPr>
            <w:r>
              <w:rPr>
                <w:rFonts w:eastAsia="Times New Roman"/>
              </w:rPr>
              <w:t>0.015</w:t>
            </w:r>
          </w:p>
        </w:tc>
      </w:tr>
      <w:tr w:rsidR="00B067EB" w14:paraId="79EB83E4" w14:textId="77777777" w:rsidTr="00D939BB">
        <w:tc>
          <w:tcPr>
            <w:tcW w:w="3145" w:type="dxa"/>
          </w:tcPr>
          <w:p w14:paraId="5F8FD15A" w14:textId="77777777" w:rsidR="00B067EB" w:rsidRDefault="00B067EB" w:rsidP="00B067EB">
            <w:pPr>
              <w:spacing w:before="0" w:line="240" w:lineRule="auto"/>
              <w:rPr>
                <w:rFonts w:eastAsia="Times New Roman"/>
              </w:rPr>
            </w:pPr>
            <w:r>
              <w:rPr>
                <w:rFonts w:eastAsia="Times New Roman"/>
              </w:rPr>
              <w:t>Total Debt</w:t>
            </w:r>
          </w:p>
        </w:tc>
        <w:tc>
          <w:tcPr>
            <w:tcW w:w="1710" w:type="dxa"/>
          </w:tcPr>
          <w:p w14:paraId="2B5F5512" w14:textId="77777777" w:rsidR="00B067EB" w:rsidRDefault="00B067EB" w:rsidP="00B067EB">
            <w:pPr>
              <w:spacing w:before="0" w:line="240" w:lineRule="auto"/>
              <w:rPr>
                <w:rFonts w:eastAsia="Times New Roman"/>
              </w:rPr>
            </w:pPr>
            <w:r>
              <w:rPr>
                <w:rFonts w:eastAsia="Times New Roman"/>
              </w:rPr>
              <w:t>-0.0615786</w:t>
            </w:r>
          </w:p>
        </w:tc>
        <w:tc>
          <w:tcPr>
            <w:tcW w:w="1710" w:type="dxa"/>
          </w:tcPr>
          <w:p w14:paraId="034F522F" w14:textId="77777777" w:rsidR="00B067EB" w:rsidRDefault="00B067EB" w:rsidP="00B067EB">
            <w:pPr>
              <w:spacing w:before="0" w:line="240" w:lineRule="auto"/>
              <w:rPr>
                <w:rFonts w:eastAsia="Times New Roman"/>
              </w:rPr>
            </w:pPr>
            <w:r>
              <w:rPr>
                <w:rFonts w:eastAsia="Times New Roman"/>
              </w:rPr>
              <w:t>0.1417124</w:t>
            </w:r>
          </w:p>
        </w:tc>
        <w:tc>
          <w:tcPr>
            <w:tcW w:w="1440" w:type="dxa"/>
          </w:tcPr>
          <w:p w14:paraId="151082DC" w14:textId="77777777" w:rsidR="00B067EB" w:rsidRDefault="00B067EB" w:rsidP="00B067EB">
            <w:pPr>
              <w:spacing w:before="0" w:line="240" w:lineRule="auto"/>
              <w:rPr>
                <w:rFonts w:eastAsia="Times New Roman"/>
              </w:rPr>
            </w:pPr>
            <w:r>
              <w:rPr>
                <w:rFonts w:eastAsia="Times New Roman"/>
              </w:rPr>
              <w:t>-0.43</w:t>
            </w:r>
          </w:p>
        </w:tc>
        <w:tc>
          <w:tcPr>
            <w:tcW w:w="1440" w:type="dxa"/>
          </w:tcPr>
          <w:p w14:paraId="3578E4BA" w14:textId="77777777" w:rsidR="00B067EB" w:rsidRDefault="00B067EB" w:rsidP="00B067EB">
            <w:pPr>
              <w:spacing w:before="0" w:line="240" w:lineRule="auto"/>
              <w:rPr>
                <w:rFonts w:eastAsia="Times New Roman"/>
              </w:rPr>
            </w:pPr>
            <w:r>
              <w:rPr>
                <w:rFonts w:eastAsia="Times New Roman"/>
              </w:rPr>
              <w:t>0.668</w:t>
            </w:r>
          </w:p>
        </w:tc>
      </w:tr>
      <w:tr w:rsidR="00B067EB" w14:paraId="119BAB41" w14:textId="77777777" w:rsidTr="00D939BB">
        <w:tc>
          <w:tcPr>
            <w:tcW w:w="3145" w:type="dxa"/>
          </w:tcPr>
          <w:p w14:paraId="5B2FB73D" w14:textId="77777777" w:rsidR="00B067EB" w:rsidRDefault="00B067EB" w:rsidP="00B067EB">
            <w:pPr>
              <w:spacing w:before="0" w:line="240" w:lineRule="auto"/>
              <w:rPr>
                <w:rFonts w:eastAsia="Times New Roman"/>
              </w:rPr>
            </w:pPr>
            <w:r>
              <w:rPr>
                <w:rFonts w:eastAsia="Times New Roman"/>
              </w:rPr>
              <w:t>Firm Size</w:t>
            </w:r>
          </w:p>
        </w:tc>
        <w:tc>
          <w:tcPr>
            <w:tcW w:w="1710" w:type="dxa"/>
          </w:tcPr>
          <w:p w14:paraId="50959146" w14:textId="77777777" w:rsidR="00B067EB" w:rsidRDefault="00B067EB" w:rsidP="00B067EB">
            <w:pPr>
              <w:spacing w:before="0" w:line="240" w:lineRule="auto"/>
              <w:rPr>
                <w:rFonts w:eastAsia="Times New Roman"/>
              </w:rPr>
            </w:pPr>
            <w:r>
              <w:rPr>
                <w:rFonts w:eastAsia="Times New Roman"/>
              </w:rPr>
              <w:t>-0.4681752</w:t>
            </w:r>
          </w:p>
        </w:tc>
        <w:tc>
          <w:tcPr>
            <w:tcW w:w="1710" w:type="dxa"/>
          </w:tcPr>
          <w:p w14:paraId="14F31CC6" w14:textId="77777777" w:rsidR="00B067EB" w:rsidRDefault="00B067EB" w:rsidP="00B067EB">
            <w:pPr>
              <w:spacing w:before="0" w:line="240" w:lineRule="auto"/>
              <w:rPr>
                <w:rFonts w:eastAsia="Times New Roman"/>
              </w:rPr>
            </w:pPr>
            <w:r>
              <w:rPr>
                <w:rFonts w:eastAsia="Times New Roman"/>
              </w:rPr>
              <w:t>0.1510677</w:t>
            </w:r>
          </w:p>
        </w:tc>
        <w:tc>
          <w:tcPr>
            <w:tcW w:w="1440" w:type="dxa"/>
          </w:tcPr>
          <w:p w14:paraId="4DA39273" w14:textId="77777777" w:rsidR="00B067EB" w:rsidRDefault="00B067EB" w:rsidP="00B067EB">
            <w:pPr>
              <w:spacing w:before="0" w:line="240" w:lineRule="auto"/>
              <w:rPr>
                <w:rFonts w:eastAsia="Times New Roman"/>
              </w:rPr>
            </w:pPr>
            <w:r>
              <w:rPr>
                <w:rFonts w:eastAsia="Times New Roman"/>
              </w:rPr>
              <w:t>-3.10</w:t>
            </w:r>
          </w:p>
        </w:tc>
        <w:tc>
          <w:tcPr>
            <w:tcW w:w="1440" w:type="dxa"/>
          </w:tcPr>
          <w:p w14:paraId="17361A4D" w14:textId="77777777" w:rsidR="00B067EB" w:rsidRDefault="00B067EB" w:rsidP="00B067EB">
            <w:pPr>
              <w:spacing w:before="0" w:line="240" w:lineRule="auto"/>
              <w:rPr>
                <w:rFonts w:eastAsia="Times New Roman"/>
              </w:rPr>
            </w:pPr>
            <w:r>
              <w:rPr>
                <w:rFonts w:eastAsia="Times New Roman"/>
              </w:rPr>
              <w:t>0.005</w:t>
            </w:r>
          </w:p>
        </w:tc>
      </w:tr>
      <w:tr w:rsidR="00B067EB" w14:paraId="40C991D4" w14:textId="77777777" w:rsidTr="00D939BB">
        <w:tc>
          <w:tcPr>
            <w:tcW w:w="3145" w:type="dxa"/>
          </w:tcPr>
          <w:p w14:paraId="1C05A7B2" w14:textId="77777777" w:rsidR="00B067EB" w:rsidRDefault="00B067EB" w:rsidP="00B067EB">
            <w:pPr>
              <w:spacing w:before="0" w:line="240" w:lineRule="auto"/>
              <w:rPr>
                <w:rFonts w:eastAsia="Times New Roman"/>
              </w:rPr>
            </w:pPr>
            <w:r>
              <w:rPr>
                <w:rFonts w:eastAsia="Times New Roman"/>
              </w:rPr>
              <w:t>Constant</w:t>
            </w:r>
          </w:p>
        </w:tc>
        <w:tc>
          <w:tcPr>
            <w:tcW w:w="1710" w:type="dxa"/>
          </w:tcPr>
          <w:p w14:paraId="1FFF0B4B" w14:textId="77777777" w:rsidR="00B067EB" w:rsidRDefault="00B067EB" w:rsidP="00B067EB">
            <w:pPr>
              <w:spacing w:before="0" w:line="240" w:lineRule="auto"/>
              <w:rPr>
                <w:rFonts w:eastAsia="Times New Roman"/>
              </w:rPr>
            </w:pPr>
            <w:r>
              <w:rPr>
                <w:rFonts w:eastAsia="Times New Roman"/>
              </w:rPr>
              <w:t>2.631363</w:t>
            </w:r>
          </w:p>
        </w:tc>
        <w:tc>
          <w:tcPr>
            <w:tcW w:w="1710" w:type="dxa"/>
          </w:tcPr>
          <w:p w14:paraId="1660F57F" w14:textId="77777777" w:rsidR="00B067EB" w:rsidRDefault="00B067EB" w:rsidP="00B067EB">
            <w:pPr>
              <w:spacing w:before="0" w:line="240" w:lineRule="auto"/>
              <w:rPr>
                <w:rFonts w:eastAsia="Times New Roman"/>
              </w:rPr>
            </w:pPr>
            <w:r>
              <w:rPr>
                <w:rFonts w:eastAsia="Times New Roman"/>
              </w:rPr>
              <w:t>0.7971982</w:t>
            </w:r>
          </w:p>
        </w:tc>
        <w:tc>
          <w:tcPr>
            <w:tcW w:w="1440" w:type="dxa"/>
          </w:tcPr>
          <w:p w14:paraId="20B6B3EC" w14:textId="77777777" w:rsidR="00B067EB" w:rsidRDefault="00B067EB" w:rsidP="00B067EB">
            <w:pPr>
              <w:spacing w:before="0" w:line="240" w:lineRule="auto"/>
              <w:rPr>
                <w:rFonts w:eastAsia="Times New Roman"/>
              </w:rPr>
            </w:pPr>
            <w:r>
              <w:rPr>
                <w:rFonts w:eastAsia="Times New Roman"/>
              </w:rPr>
              <w:t>3.30</w:t>
            </w:r>
          </w:p>
        </w:tc>
        <w:tc>
          <w:tcPr>
            <w:tcW w:w="1440" w:type="dxa"/>
          </w:tcPr>
          <w:p w14:paraId="1C2133B6" w14:textId="77777777" w:rsidR="00B067EB" w:rsidRDefault="00B067EB" w:rsidP="00B067EB">
            <w:pPr>
              <w:spacing w:before="0" w:line="240" w:lineRule="auto"/>
              <w:rPr>
                <w:rFonts w:eastAsia="Times New Roman"/>
              </w:rPr>
            </w:pPr>
            <w:r>
              <w:rPr>
                <w:rFonts w:eastAsia="Times New Roman"/>
              </w:rPr>
              <w:t>0.003</w:t>
            </w:r>
          </w:p>
        </w:tc>
      </w:tr>
      <w:tr w:rsidR="00B067EB" w14:paraId="0DAA9A21" w14:textId="77777777" w:rsidTr="00D939BB">
        <w:tc>
          <w:tcPr>
            <w:tcW w:w="3145" w:type="dxa"/>
          </w:tcPr>
          <w:p w14:paraId="0FEC3B26" w14:textId="77777777" w:rsidR="00B067EB" w:rsidRDefault="00B067EB" w:rsidP="00B067EB">
            <w:pPr>
              <w:spacing w:before="0" w:line="240" w:lineRule="auto"/>
              <w:rPr>
                <w:rFonts w:eastAsia="Times New Roman"/>
              </w:rPr>
            </w:pPr>
            <w:r>
              <w:rPr>
                <w:rFonts w:eastAsia="Times New Roman"/>
              </w:rPr>
              <w:t>F, (4, 23) = 3.86</w:t>
            </w:r>
          </w:p>
          <w:p w14:paraId="74A5DF11" w14:textId="77777777" w:rsidR="00B067EB" w:rsidRDefault="00B067EB" w:rsidP="00B067EB">
            <w:pPr>
              <w:spacing w:before="0" w:line="240" w:lineRule="auto"/>
              <w:rPr>
                <w:rFonts w:eastAsia="Times New Roman" w:cs="Times New Roman"/>
                <w:szCs w:val="24"/>
              </w:rPr>
            </w:pPr>
            <w:r w:rsidRPr="00D4096D">
              <w:rPr>
                <w:rFonts w:eastAsia="Times New Roman" w:cs="Times New Roman"/>
                <w:szCs w:val="24"/>
              </w:rPr>
              <w:t>Prob &gt;</w:t>
            </w:r>
            <w:r>
              <w:rPr>
                <w:rFonts w:eastAsia="Times New Roman" w:cs="Times New Roman"/>
                <w:szCs w:val="24"/>
              </w:rPr>
              <w:t xml:space="preserve"> F = 0.0153</w:t>
            </w:r>
          </w:p>
          <w:p w14:paraId="1A6B8D35" w14:textId="77777777" w:rsidR="00B067EB" w:rsidRDefault="00B067EB" w:rsidP="00B067EB">
            <w:pPr>
              <w:spacing w:before="0" w:line="240" w:lineRule="auto"/>
              <w:rPr>
                <w:rFonts w:eastAsia="Times New Roman" w:cs="Times New Roman"/>
                <w:szCs w:val="24"/>
              </w:rPr>
            </w:pPr>
            <w:r>
              <w:rPr>
                <w:rFonts w:eastAsia="Times New Roman" w:cs="Times New Roman"/>
                <w:szCs w:val="24"/>
              </w:rPr>
              <w:t>R-Squared = 0.4018</w:t>
            </w:r>
          </w:p>
          <w:p w14:paraId="2B14F1D0" w14:textId="77777777" w:rsidR="00B067EB" w:rsidRPr="00D4096D" w:rsidRDefault="00B067EB" w:rsidP="00B067EB">
            <w:pPr>
              <w:spacing w:before="0" w:line="240" w:lineRule="auto"/>
              <w:rPr>
                <w:rFonts w:eastAsia="Times New Roman" w:cs="Times New Roman"/>
                <w:szCs w:val="24"/>
              </w:rPr>
            </w:pPr>
            <w:r>
              <w:rPr>
                <w:rFonts w:eastAsia="Times New Roman" w:cs="Times New Roman"/>
                <w:szCs w:val="24"/>
              </w:rPr>
              <w:t>Adj. R-Squared =0.2978</w:t>
            </w:r>
          </w:p>
        </w:tc>
        <w:tc>
          <w:tcPr>
            <w:tcW w:w="1710" w:type="dxa"/>
          </w:tcPr>
          <w:p w14:paraId="5D8D7DF2" w14:textId="77777777" w:rsidR="00B067EB" w:rsidRDefault="00B067EB" w:rsidP="00B067EB">
            <w:pPr>
              <w:spacing w:before="0" w:line="240" w:lineRule="auto"/>
              <w:rPr>
                <w:rFonts w:eastAsia="Times New Roman"/>
              </w:rPr>
            </w:pPr>
          </w:p>
        </w:tc>
        <w:tc>
          <w:tcPr>
            <w:tcW w:w="1710" w:type="dxa"/>
          </w:tcPr>
          <w:p w14:paraId="18258E66" w14:textId="77777777" w:rsidR="00B067EB" w:rsidRDefault="00B067EB" w:rsidP="00B067EB">
            <w:pPr>
              <w:spacing w:before="0" w:line="240" w:lineRule="auto"/>
              <w:rPr>
                <w:rFonts w:eastAsia="Times New Roman"/>
              </w:rPr>
            </w:pPr>
          </w:p>
        </w:tc>
        <w:tc>
          <w:tcPr>
            <w:tcW w:w="1440" w:type="dxa"/>
          </w:tcPr>
          <w:p w14:paraId="73D49E97" w14:textId="77777777" w:rsidR="00B067EB" w:rsidRDefault="00B067EB" w:rsidP="00B067EB">
            <w:pPr>
              <w:spacing w:before="0" w:line="240" w:lineRule="auto"/>
              <w:rPr>
                <w:rFonts w:eastAsia="Times New Roman"/>
              </w:rPr>
            </w:pPr>
          </w:p>
        </w:tc>
        <w:tc>
          <w:tcPr>
            <w:tcW w:w="1440" w:type="dxa"/>
          </w:tcPr>
          <w:p w14:paraId="3ED50842" w14:textId="77777777" w:rsidR="00B067EB" w:rsidRDefault="00B067EB" w:rsidP="00B067EB">
            <w:pPr>
              <w:spacing w:before="0" w:line="240" w:lineRule="auto"/>
              <w:rPr>
                <w:rFonts w:eastAsia="Times New Roman"/>
              </w:rPr>
            </w:pPr>
          </w:p>
        </w:tc>
      </w:tr>
    </w:tbl>
    <w:p w14:paraId="46BAC601" w14:textId="77777777" w:rsidR="00B067EB" w:rsidRDefault="00B067EB" w:rsidP="001F51C1">
      <w:pPr>
        <w:tabs>
          <w:tab w:val="left" w:pos="9000"/>
        </w:tabs>
        <w:adjustRightInd w:val="0"/>
        <w:spacing w:before="0" w:line="240" w:lineRule="auto"/>
        <w:rPr>
          <w:b/>
          <w:sz w:val="28"/>
          <w:szCs w:val="24"/>
        </w:rPr>
      </w:pPr>
    </w:p>
    <w:p w14:paraId="064AF5A0" w14:textId="77777777" w:rsidR="00B067EB" w:rsidRDefault="00B067EB" w:rsidP="001F51C1">
      <w:pPr>
        <w:tabs>
          <w:tab w:val="left" w:pos="9000"/>
        </w:tabs>
        <w:adjustRightInd w:val="0"/>
        <w:spacing w:before="0" w:line="240" w:lineRule="auto"/>
        <w:rPr>
          <w:b/>
          <w:sz w:val="28"/>
          <w:szCs w:val="24"/>
        </w:rPr>
      </w:pPr>
    </w:p>
    <w:p w14:paraId="04BDA5C3" w14:textId="13A3AC70" w:rsidR="00B067EB" w:rsidRPr="00B067EB" w:rsidRDefault="00B067EB" w:rsidP="001F51C1">
      <w:pPr>
        <w:tabs>
          <w:tab w:val="left" w:pos="9000"/>
        </w:tabs>
        <w:adjustRightInd w:val="0"/>
        <w:spacing w:before="0" w:line="240" w:lineRule="auto"/>
        <w:rPr>
          <w:b/>
          <w:i/>
          <w:sz w:val="28"/>
          <w:szCs w:val="24"/>
        </w:rPr>
      </w:pPr>
      <w:r w:rsidRPr="00B067EB">
        <w:rPr>
          <w:b/>
          <w:i/>
          <w:sz w:val="28"/>
          <w:szCs w:val="24"/>
        </w:rPr>
        <w:t>4.5 Hypothesis Testing</w:t>
      </w:r>
    </w:p>
    <w:p w14:paraId="06CC451E" w14:textId="52DC7B9F" w:rsidR="00B067EB" w:rsidRPr="00B067EB" w:rsidRDefault="00B067EB" w:rsidP="00B067EB">
      <w:pPr>
        <w:spacing w:before="0" w:line="240" w:lineRule="auto"/>
      </w:pPr>
      <w:bookmarkStart w:id="4" w:name="_Toc142297205"/>
      <w:r w:rsidRPr="00B067EB">
        <w:t xml:space="preserve">The study conducted hypothesis testing to examine the relationship between debt financing and financial performance of construction and allied firms listed at the Nairobi Securities Exchange (NSE). Findings revealed that short-term debt (STD) had a significant effect on financial performance, leading to rejection of the null hypothesis (H01). These results align with Nur et al. (2017) and Oando (2017), who found positive associations between short-term liabilities and firm performance, though they contrast with Philip and Olanrewa (2020), who </w:t>
      </w:r>
      <w:r w:rsidRPr="00B067EB">
        <w:lastRenderedPageBreak/>
        <w:t>reported negative and insignificant effects. Long-term debt (LTD) was also found to significantly influence financial performance, rejecting the second null hypothesis (H02). This outcome supports Kibunja and Fatoki (2020) and Gupta and Gupta (2014), who highlighted the positive role of LTD in enhancing returns, though it diverges from Aziz and Abbas (2019) and Makanga (2015), who reported negative correlations. Total debt (TD) similarly demonstrated a substantial effect on financial performance, leading to rejection of the third null hypothesis (H03). These results support the trade-off theory, affirming the importance of optimal debt levels, though they contrast with Abubakar (2017) and Chuke et al. (2016), who observed negative impacts of debt on firm outcomes. Finally, the fourth hypothesis (H04) was rejected, as firm size was found to significantly moderate the relationship between debt financing and performance. This supports Abiodum (2017) and Wahome et al. (2015), who emphasized the role of firm size in profitability and access to capital, although it contradicts Gabriel et al. (2020) and Albert (2018), who found firm size to be insignificant or negatively related to performance.</w:t>
      </w:r>
    </w:p>
    <w:p w14:paraId="56DED1EF" w14:textId="05CFE1FC" w:rsidR="00B067EB" w:rsidRDefault="00B067EB" w:rsidP="00B067EB">
      <w:pPr>
        <w:rPr>
          <w:b/>
          <w:bCs/>
          <w:szCs w:val="24"/>
        </w:rPr>
      </w:pPr>
      <w:r>
        <w:rPr>
          <w:b/>
          <w:bCs/>
          <w:szCs w:val="24"/>
        </w:rPr>
        <w:t xml:space="preserve">Table </w:t>
      </w:r>
      <w:r w:rsidR="00980239">
        <w:rPr>
          <w:b/>
          <w:bCs/>
          <w:szCs w:val="24"/>
        </w:rPr>
        <w:t>9</w:t>
      </w:r>
      <w:r w:rsidRPr="00F74C15">
        <w:rPr>
          <w:b/>
          <w:bCs/>
          <w:szCs w:val="24"/>
        </w:rPr>
        <w:t>: Summary of Resea</w:t>
      </w:r>
      <w:bookmarkEnd w:id="4"/>
      <w:r>
        <w:rPr>
          <w:b/>
          <w:bCs/>
          <w:szCs w:val="24"/>
        </w:rPr>
        <w:t>rch Hypothesis</w:t>
      </w:r>
    </w:p>
    <w:tbl>
      <w:tblPr>
        <w:tblW w:w="5000" w:type="pct"/>
        <w:tblLook w:val="04A0" w:firstRow="1" w:lastRow="0" w:firstColumn="1" w:lastColumn="0" w:noHBand="0" w:noVBand="1"/>
      </w:tblPr>
      <w:tblGrid>
        <w:gridCol w:w="4159"/>
        <w:gridCol w:w="2195"/>
        <w:gridCol w:w="2821"/>
        <w:gridCol w:w="1855"/>
      </w:tblGrid>
      <w:tr w:rsidR="00B067EB" w:rsidRPr="00230C6C" w14:paraId="43728EB6" w14:textId="77777777" w:rsidTr="00D939BB">
        <w:trPr>
          <w:trHeight w:val="900"/>
        </w:trPr>
        <w:tc>
          <w:tcPr>
            <w:tcW w:w="1885" w:type="pct"/>
            <w:tcBorders>
              <w:top w:val="single" w:sz="4" w:space="0" w:color="auto"/>
              <w:left w:val="nil"/>
              <w:bottom w:val="single" w:sz="4" w:space="0" w:color="auto"/>
              <w:right w:val="nil"/>
            </w:tcBorders>
            <w:noWrap/>
            <w:vAlign w:val="bottom"/>
            <w:hideMark/>
          </w:tcPr>
          <w:p w14:paraId="3D289989" w14:textId="77777777" w:rsidR="00B067EB" w:rsidRPr="00230C6C" w:rsidRDefault="00B067EB" w:rsidP="00B067EB">
            <w:pPr>
              <w:spacing w:before="0" w:line="240" w:lineRule="auto"/>
              <w:rPr>
                <w:rFonts w:eastAsia="Times New Roman" w:cs="Times New Roman"/>
                <w:b/>
                <w:bCs/>
                <w:szCs w:val="24"/>
                <w:lang w:eastAsia="en-GB"/>
              </w:rPr>
            </w:pPr>
            <w:r w:rsidRPr="00230C6C">
              <w:rPr>
                <w:rFonts w:eastAsia="Times New Roman" w:cs="Times New Roman"/>
                <w:b/>
                <w:bCs/>
                <w:szCs w:val="24"/>
                <w:lang w:eastAsia="en-GB"/>
              </w:rPr>
              <w:t>Hypothesis</w:t>
            </w:r>
          </w:p>
        </w:tc>
        <w:tc>
          <w:tcPr>
            <w:tcW w:w="995" w:type="pct"/>
            <w:tcBorders>
              <w:top w:val="single" w:sz="4" w:space="0" w:color="auto"/>
              <w:left w:val="nil"/>
              <w:bottom w:val="single" w:sz="4" w:space="0" w:color="auto"/>
              <w:right w:val="nil"/>
            </w:tcBorders>
            <w:noWrap/>
            <w:vAlign w:val="bottom"/>
            <w:hideMark/>
          </w:tcPr>
          <w:p w14:paraId="59970332" w14:textId="77777777" w:rsidR="00B067EB" w:rsidRPr="00230C6C" w:rsidRDefault="00B067EB" w:rsidP="00B067EB">
            <w:pPr>
              <w:spacing w:before="0" w:line="240" w:lineRule="auto"/>
              <w:jc w:val="center"/>
              <w:rPr>
                <w:rFonts w:eastAsia="Times New Roman" w:cs="Times New Roman"/>
                <w:b/>
                <w:bCs/>
                <w:szCs w:val="24"/>
                <w:lang w:eastAsia="en-GB"/>
              </w:rPr>
            </w:pPr>
            <w:r w:rsidRPr="00230C6C">
              <w:rPr>
                <w:rFonts w:eastAsia="Times New Roman" w:cs="Times New Roman"/>
                <w:b/>
                <w:bCs/>
                <w:szCs w:val="24"/>
                <w:lang w:eastAsia="en-GB"/>
              </w:rPr>
              <w:t>Analysis Model</w:t>
            </w:r>
          </w:p>
        </w:tc>
        <w:tc>
          <w:tcPr>
            <w:tcW w:w="1279" w:type="pct"/>
            <w:tcBorders>
              <w:top w:val="single" w:sz="4" w:space="0" w:color="auto"/>
              <w:left w:val="nil"/>
              <w:bottom w:val="single" w:sz="4" w:space="0" w:color="auto"/>
              <w:right w:val="nil"/>
            </w:tcBorders>
            <w:noWrap/>
            <w:vAlign w:val="bottom"/>
            <w:hideMark/>
          </w:tcPr>
          <w:p w14:paraId="11627A9F" w14:textId="77777777" w:rsidR="00B067EB" w:rsidRPr="00230C6C" w:rsidRDefault="00B067EB" w:rsidP="00B067EB">
            <w:pPr>
              <w:spacing w:before="0" w:line="240" w:lineRule="auto"/>
              <w:jc w:val="center"/>
              <w:rPr>
                <w:rFonts w:eastAsia="Times New Roman" w:cs="Times New Roman"/>
                <w:b/>
                <w:bCs/>
                <w:szCs w:val="24"/>
                <w:lang w:eastAsia="en-GB"/>
              </w:rPr>
            </w:pPr>
            <w:r w:rsidRPr="00230C6C">
              <w:rPr>
                <w:rFonts w:eastAsia="Times New Roman" w:cs="Times New Roman"/>
                <w:b/>
                <w:bCs/>
                <w:szCs w:val="24"/>
                <w:lang w:eastAsia="en-GB"/>
              </w:rPr>
              <w:t>Findings</w:t>
            </w:r>
          </w:p>
        </w:tc>
        <w:tc>
          <w:tcPr>
            <w:tcW w:w="841" w:type="pct"/>
            <w:tcBorders>
              <w:top w:val="single" w:sz="4" w:space="0" w:color="auto"/>
              <w:left w:val="nil"/>
              <w:bottom w:val="single" w:sz="4" w:space="0" w:color="auto"/>
              <w:right w:val="nil"/>
            </w:tcBorders>
            <w:vAlign w:val="bottom"/>
            <w:hideMark/>
          </w:tcPr>
          <w:p w14:paraId="0A06D6FE" w14:textId="77777777" w:rsidR="00B067EB" w:rsidRPr="00230C6C" w:rsidRDefault="00B067EB" w:rsidP="00B067EB">
            <w:pPr>
              <w:spacing w:before="0" w:line="240" w:lineRule="auto"/>
              <w:jc w:val="center"/>
              <w:rPr>
                <w:rFonts w:eastAsia="Times New Roman" w:cs="Times New Roman"/>
                <w:b/>
                <w:bCs/>
                <w:szCs w:val="24"/>
                <w:lang w:eastAsia="en-GB"/>
              </w:rPr>
            </w:pPr>
            <w:r w:rsidRPr="00230C6C">
              <w:rPr>
                <w:rFonts w:eastAsia="Times New Roman" w:cs="Times New Roman"/>
                <w:b/>
                <w:bCs/>
                <w:szCs w:val="24"/>
                <w:lang w:eastAsia="en-GB"/>
              </w:rPr>
              <w:t>Reject H0 or Accept Alternative</w:t>
            </w:r>
          </w:p>
        </w:tc>
      </w:tr>
      <w:tr w:rsidR="00B067EB" w:rsidRPr="00230C6C" w14:paraId="43424A92" w14:textId="77777777" w:rsidTr="00D939BB">
        <w:trPr>
          <w:trHeight w:val="1200"/>
        </w:trPr>
        <w:tc>
          <w:tcPr>
            <w:tcW w:w="1885" w:type="pct"/>
            <w:tcBorders>
              <w:top w:val="single" w:sz="4" w:space="0" w:color="auto"/>
              <w:left w:val="nil"/>
              <w:bottom w:val="nil"/>
              <w:right w:val="nil"/>
            </w:tcBorders>
            <w:vAlign w:val="bottom"/>
            <w:hideMark/>
          </w:tcPr>
          <w:p w14:paraId="1CD9BE0D" w14:textId="77777777" w:rsidR="00B067EB" w:rsidRPr="00230C6C" w:rsidRDefault="00B067EB" w:rsidP="00B067EB">
            <w:pPr>
              <w:spacing w:before="0" w:line="240" w:lineRule="auto"/>
              <w:rPr>
                <w:rFonts w:eastAsia="Times New Roman" w:cs="Times New Roman"/>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01</w:t>
            </w:r>
            <w:r w:rsidRPr="00230C6C">
              <w:rPr>
                <w:rFonts w:eastAsia="Times New Roman" w:cs="Times New Roman"/>
                <w:szCs w:val="24"/>
                <w:lang w:eastAsia="en-GB"/>
              </w:rPr>
              <w:t xml:space="preserve">: Short-term debt has no significant impact </w:t>
            </w:r>
            <w:bookmarkStart w:id="5" w:name="_Hlk142289006"/>
            <w:r w:rsidRPr="00230C6C">
              <w:rPr>
                <w:rFonts w:eastAsia="Times New Roman" w:cs="Times New Roman"/>
                <w:szCs w:val="24"/>
                <w:lang w:eastAsia="en-GB"/>
              </w:rPr>
              <w:t>on financial performance of construction and allied firms quoted at the NSE</w:t>
            </w:r>
            <w:bookmarkEnd w:id="5"/>
          </w:p>
        </w:tc>
        <w:tc>
          <w:tcPr>
            <w:tcW w:w="995" w:type="pct"/>
            <w:tcBorders>
              <w:top w:val="single" w:sz="4" w:space="0" w:color="auto"/>
              <w:left w:val="nil"/>
              <w:bottom w:val="nil"/>
              <w:right w:val="nil"/>
            </w:tcBorders>
            <w:vAlign w:val="bottom"/>
            <w:hideMark/>
          </w:tcPr>
          <w:p w14:paraId="685CBBB5"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single" w:sz="4" w:space="0" w:color="auto"/>
              <w:left w:val="nil"/>
              <w:bottom w:val="nil"/>
              <w:right w:val="nil"/>
            </w:tcBorders>
            <w:noWrap/>
            <w:vAlign w:val="bottom"/>
            <w:hideMark/>
          </w:tcPr>
          <w:p w14:paraId="4899F76E"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3.559, P&lt;0.05</w:t>
            </w:r>
          </w:p>
        </w:tc>
        <w:tc>
          <w:tcPr>
            <w:tcW w:w="841" w:type="pct"/>
            <w:tcBorders>
              <w:top w:val="single" w:sz="4" w:space="0" w:color="auto"/>
              <w:left w:val="nil"/>
              <w:bottom w:val="nil"/>
              <w:right w:val="nil"/>
            </w:tcBorders>
            <w:noWrap/>
            <w:vAlign w:val="bottom"/>
            <w:hideMark/>
          </w:tcPr>
          <w:p w14:paraId="55B60748"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01</w:t>
            </w:r>
          </w:p>
        </w:tc>
      </w:tr>
      <w:tr w:rsidR="00B067EB" w:rsidRPr="00230C6C" w14:paraId="7F76E8A5" w14:textId="77777777" w:rsidTr="00D939BB">
        <w:trPr>
          <w:trHeight w:val="1260"/>
        </w:trPr>
        <w:tc>
          <w:tcPr>
            <w:tcW w:w="1885" w:type="pct"/>
            <w:tcBorders>
              <w:top w:val="nil"/>
              <w:left w:val="nil"/>
              <w:right w:val="nil"/>
            </w:tcBorders>
            <w:vAlign w:val="bottom"/>
            <w:hideMark/>
          </w:tcPr>
          <w:p w14:paraId="61338EB7" w14:textId="77777777" w:rsidR="00B067EB" w:rsidRPr="00230C6C" w:rsidRDefault="00B067EB" w:rsidP="00B067EB">
            <w:pPr>
              <w:spacing w:before="0" w:line="240" w:lineRule="auto"/>
              <w:rPr>
                <w:rFonts w:eastAsia="Times New Roman" w:cs="Times New Roman"/>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02</w:t>
            </w:r>
            <w:r w:rsidRPr="00230C6C">
              <w:rPr>
                <w:rFonts w:eastAsia="Times New Roman" w:cs="Times New Roman"/>
                <w:b/>
                <w:bCs/>
                <w:szCs w:val="24"/>
                <w:lang w:eastAsia="en-GB"/>
              </w:rPr>
              <w:t xml:space="preserve">: </w:t>
            </w:r>
            <w:r w:rsidRPr="00230C6C">
              <w:rPr>
                <w:rFonts w:eastAsia="Times New Roman" w:cs="Times New Roman"/>
                <w:szCs w:val="24"/>
                <w:lang w:eastAsia="en-GB"/>
              </w:rPr>
              <w:t>Long-term debt has no significant impact on the financial performance of construction and allied firms quoted at the NSE.</w:t>
            </w:r>
          </w:p>
        </w:tc>
        <w:tc>
          <w:tcPr>
            <w:tcW w:w="995" w:type="pct"/>
            <w:tcBorders>
              <w:top w:val="nil"/>
              <w:left w:val="nil"/>
              <w:right w:val="nil"/>
            </w:tcBorders>
            <w:vAlign w:val="bottom"/>
            <w:hideMark/>
          </w:tcPr>
          <w:p w14:paraId="11F6EDDB"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nil"/>
              <w:left w:val="nil"/>
              <w:right w:val="nil"/>
            </w:tcBorders>
            <w:noWrap/>
            <w:vAlign w:val="bottom"/>
            <w:hideMark/>
          </w:tcPr>
          <w:p w14:paraId="490FA933"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0.486, P&lt;0.05</w:t>
            </w:r>
          </w:p>
        </w:tc>
        <w:tc>
          <w:tcPr>
            <w:tcW w:w="841" w:type="pct"/>
            <w:tcBorders>
              <w:top w:val="nil"/>
              <w:left w:val="nil"/>
              <w:right w:val="nil"/>
            </w:tcBorders>
            <w:noWrap/>
            <w:vAlign w:val="bottom"/>
            <w:hideMark/>
          </w:tcPr>
          <w:p w14:paraId="78DADDAB"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02</w:t>
            </w:r>
          </w:p>
        </w:tc>
      </w:tr>
      <w:tr w:rsidR="00B067EB" w:rsidRPr="00230C6C" w14:paraId="602A8FA0" w14:textId="77777777" w:rsidTr="00D939BB">
        <w:trPr>
          <w:trHeight w:val="1260"/>
        </w:trPr>
        <w:tc>
          <w:tcPr>
            <w:tcW w:w="1885" w:type="pct"/>
            <w:tcBorders>
              <w:top w:val="nil"/>
              <w:left w:val="nil"/>
              <w:bottom w:val="nil"/>
              <w:right w:val="nil"/>
            </w:tcBorders>
            <w:vAlign w:val="bottom"/>
            <w:hideMark/>
          </w:tcPr>
          <w:p w14:paraId="0FC80824" w14:textId="77777777" w:rsidR="00B067EB" w:rsidRPr="00230C6C" w:rsidRDefault="00B067EB" w:rsidP="00B067EB">
            <w:pPr>
              <w:spacing w:before="0" w:line="240" w:lineRule="auto"/>
              <w:rPr>
                <w:rFonts w:eastAsia="Times New Roman" w:cs="Times New Roman"/>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03</w:t>
            </w:r>
            <w:r w:rsidRPr="00230C6C">
              <w:rPr>
                <w:rFonts w:eastAsia="Times New Roman" w:cs="Times New Roman"/>
                <w:b/>
                <w:bCs/>
                <w:szCs w:val="24"/>
                <w:lang w:eastAsia="en-GB"/>
              </w:rPr>
              <w:t>:</w:t>
            </w:r>
            <w:r w:rsidRPr="00230C6C">
              <w:rPr>
                <w:rFonts w:eastAsia="Times New Roman" w:cs="Times New Roman"/>
                <w:szCs w:val="24"/>
                <w:lang w:eastAsia="en-GB"/>
              </w:rPr>
              <w:t xml:space="preserve"> Total debt has a significant impact on the financial performance of construction and allied firms quoted at the NSE.</w:t>
            </w:r>
          </w:p>
        </w:tc>
        <w:tc>
          <w:tcPr>
            <w:tcW w:w="995" w:type="pct"/>
            <w:tcBorders>
              <w:top w:val="nil"/>
              <w:left w:val="nil"/>
              <w:bottom w:val="nil"/>
              <w:right w:val="nil"/>
            </w:tcBorders>
            <w:vAlign w:val="bottom"/>
            <w:hideMark/>
          </w:tcPr>
          <w:p w14:paraId="07ED0CD9"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nil"/>
              <w:left w:val="nil"/>
              <w:bottom w:val="nil"/>
              <w:right w:val="nil"/>
            </w:tcBorders>
            <w:noWrap/>
            <w:vAlign w:val="bottom"/>
            <w:hideMark/>
          </w:tcPr>
          <w:p w14:paraId="2C12840D"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0.124, P&lt;0.05</w:t>
            </w:r>
          </w:p>
        </w:tc>
        <w:tc>
          <w:tcPr>
            <w:tcW w:w="841" w:type="pct"/>
            <w:tcBorders>
              <w:top w:val="nil"/>
              <w:left w:val="nil"/>
              <w:bottom w:val="nil"/>
              <w:right w:val="nil"/>
            </w:tcBorders>
            <w:noWrap/>
            <w:vAlign w:val="bottom"/>
            <w:hideMark/>
          </w:tcPr>
          <w:p w14:paraId="5D60A86F"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03</w:t>
            </w:r>
          </w:p>
        </w:tc>
      </w:tr>
      <w:tr w:rsidR="00B067EB" w:rsidRPr="00230C6C" w14:paraId="61712492" w14:textId="77777777" w:rsidTr="00D939BB">
        <w:trPr>
          <w:trHeight w:val="1260"/>
        </w:trPr>
        <w:tc>
          <w:tcPr>
            <w:tcW w:w="1885" w:type="pct"/>
            <w:tcBorders>
              <w:top w:val="nil"/>
              <w:left w:val="nil"/>
              <w:bottom w:val="single" w:sz="4" w:space="0" w:color="auto"/>
              <w:right w:val="nil"/>
            </w:tcBorders>
            <w:vAlign w:val="bottom"/>
          </w:tcPr>
          <w:p w14:paraId="5BD4DD24" w14:textId="77777777" w:rsidR="00B067EB" w:rsidRPr="00230C6C" w:rsidRDefault="00B067EB" w:rsidP="00B067EB">
            <w:pPr>
              <w:spacing w:before="0" w:line="240" w:lineRule="auto"/>
              <w:rPr>
                <w:rFonts w:eastAsia="Times New Roman" w:cs="Times New Roman"/>
                <w:b/>
                <w:bCs/>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04</w:t>
            </w:r>
            <w:r w:rsidRPr="00230C6C">
              <w:rPr>
                <w:rFonts w:eastAsia="Times New Roman" w:cs="Times New Roman"/>
                <w:b/>
                <w:bCs/>
                <w:szCs w:val="24"/>
                <w:lang w:eastAsia="en-GB"/>
              </w:rPr>
              <w:t>:</w:t>
            </w:r>
            <w:r w:rsidRPr="00230C6C">
              <w:rPr>
                <w:rFonts w:eastAsia="Times New Roman" w:cs="Times New Roman"/>
                <w:szCs w:val="24"/>
                <w:lang w:eastAsia="en-GB"/>
              </w:rPr>
              <w:t xml:space="preserve"> Firm size has no significant impact on the relationship between debt financing and financial performance of construction and allied firms quoted at the NSE.</w:t>
            </w:r>
          </w:p>
        </w:tc>
        <w:tc>
          <w:tcPr>
            <w:tcW w:w="995" w:type="pct"/>
            <w:tcBorders>
              <w:top w:val="nil"/>
              <w:left w:val="nil"/>
              <w:bottom w:val="single" w:sz="4" w:space="0" w:color="auto"/>
              <w:right w:val="nil"/>
            </w:tcBorders>
            <w:vAlign w:val="bottom"/>
          </w:tcPr>
          <w:p w14:paraId="10349D20"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nil"/>
              <w:left w:val="nil"/>
              <w:bottom w:val="single" w:sz="4" w:space="0" w:color="auto"/>
              <w:right w:val="nil"/>
            </w:tcBorders>
            <w:noWrap/>
            <w:vAlign w:val="bottom"/>
          </w:tcPr>
          <w:p w14:paraId="4D7C8F71" w14:textId="77777777" w:rsidR="00B067EB" w:rsidRPr="00230C6C" w:rsidRDefault="00B067EB" w:rsidP="00B067EB">
            <w:pPr>
              <w:spacing w:before="0" w:line="240" w:lineRule="auto"/>
              <w:jc w:val="center"/>
              <w:rPr>
                <w:rFonts w:eastAsia="Times New Roman" w:cs="Times New Roman"/>
                <w:szCs w:val="24"/>
                <w:lang w:eastAsia="en-GB"/>
              </w:rPr>
            </w:pPr>
            <w:r w:rsidRPr="00230C6C">
              <w:t>0.679</w:t>
            </w:r>
            <w:r w:rsidRPr="00230C6C">
              <w:rPr>
                <w:rFonts w:eastAsia="Times New Roman" w:cs="Times New Roman"/>
                <w:szCs w:val="24"/>
                <w:lang w:eastAsia="en-GB"/>
              </w:rPr>
              <w:t>, P&lt;0.05</w:t>
            </w:r>
          </w:p>
        </w:tc>
        <w:tc>
          <w:tcPr>
            <w:tcW w:w="841" w:type="pct"/>
            <w:tcBorders>
              <w:top w:val="nil"/>
              <w:left w:val="nil"/>
              <w:bottom w:val="single" w:sz="4" w:space="0" w:color="auto"/>
              <w:right w:val="nil"/>
            </w:tcBorders>
            <w:noWrap/>
            <w:vAlign w:val="bottom"/>
          </w:tcPr>
          <w:p w14:paraId="3E97D272"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04</w:t>
            </w:r>
          </w:p>
        </w:tc>
      </w:tr>
    </w:tbl>
    <w:p w14:paraId="56321EF5" w14:textId="77777777" w:rsidR="001F51C1" w:rsidRPr="001F51C1" w:rsidRDefault="001F51C1" w:rsidP="001F51C1">
      <w:pPr>
        <w:spacing w:before="0" w:line="240" w:lineRule="auto"/>
        <w:rPr>
          <w:b/>
          <w:bCs/>
          <w:color w:val="000000" w:themeColor="text1"/>
          <w:sz w:val="32"/>
          <w:szCs w:val="24"/>
        </w:rPr>
      </w:pPr>
    </w:p>
    <w:bookmarkEnd w:id="3"/>
    <w:p w14:paraId="359E84B3" w14:textId="73A378CB"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5.0 CONCLUSIONS </w:t>
      </w:r>
    </w:p>
    <w:p w14:paraId="50F0BC2F" w14:textId="1B8C5FE9" w:rsidR="00A27439" w:rsidRDefault="00615E54" w:rsidP="002E784F">
      <w:pPr>
        <w:spacing w:line="240" w:lineRule="auto"/>
        <w:rPr>
          <w:rFonts w:cs="Times New Roman"/>
          <w:color w:val="000000" w:themeColor="text1"/>
          <w:szCs w:val="24"/>
        </w:rPr>
      </w:pPr>
      <w:r w:rsidRPr="00615E54">
        <w:rPr>
          <w:rFonts w:cs="Times New Roman"/>
          <w:color w:val="000000" w:themeColor="text1"/>
          <w:szCs w:val="24"/>
        </w:rPr>
        <w:t>The study examined the relationship between debt financing and financial performance of construction and allied firms listed at the NSE. Findings revealed that short-term debt negatively influenced performance, as firms’ reliance on easily accessible short-term financing weakened their financial outcomes. Long-term debt also exhibited a negative and significant effect, since the burden of regular installment repayments strained firms, risking bankruptcy and poor credit ratings, which further limited access to external financing. Consequently, firms are advised to prioritize internal financing over long-term borrowing. Additionally, firm size was found to significantly and negatively moderate the relationship between debt financing and financial performance, suggesting that larger firms are not necessarily better positioned to absorb the negative effects of debt</w:t>
      </w:r>
      <w:r w:rsidR="002645C1" w:rsidRPr="002645C1">
        <w:rPr>
          <w:rFonts w:cs="Times New Roman"/>
          <w:color w:val="000000" w:themeColor="text1"/>
          <w:szCs w:val="24"/>
        </w:rPr>
        <w:t>.</w:t>
      </w:r>
    </w:p>
    <w:p w14:paraId="6F7F722D" w14:textId="77777777" w:rsidR="00B067EB" w:rsidRPr="00FB2E0F" w:rsidRDefault="00B067EB" w:rsidP="002E784F">
      <w:pPr>
        <w:spacing w:line="240" w:lineRule="auto"/>
        <w:rPr>
          <w:rFonts w:cs="Times New Roman"/>
          <w:color w:val="000000" w:themeColor="text1"/>
          <w:szCs w:val="24"/>
        </w:rPr>
      </w:pPr>
    </w:p>
    <w:p w14:paraId="750144BF" w14:textId="7E52FE3F" w:rsidR="00055D83" w:rsidRPr="00FB2E0F" w:rsidRDefault="00055D83" w:rsidP="00D26C8B">
      <w:pPr>
        <w:spacing w:line="240" w:lineRule="auto"/>
        <w:rPr>
          <w:rFonts w:cs="Times New Roman"/>
          <w:b/>
          <w:bCs/>
          <w:color w:val="000000" w:themeColor="text1"/>
          <w:sz w:val="28"/>
          <w:szCs w:val="28"/>
        </w:rPr>
      </w:pPr>
      <w:r w:rsidRPr="00FB2E0F">
        <w:rPr>
          <w:rFonts w:cs="Times New Roman"/>
          <w:b/>
          <w:bCs/>
          <w:color w:val="000000" w:themeColor="text1"/>
          <w:sz w:val="28"/>
          <w:szCs w:val="28"/>
        </w:rPr>
        <w:lastRenderedPageBreak/>
        <w:t>6.0 RECOMMENDATIONS</w:t>
      </w:r>
    </w:p>
    <w:p w14:paraId="648B633B" w14:textId="6ED33CA6" w:rsidR="00D16476" w:rsidRPr="00795B86" w:rsidRDefault="00615E54" w:rsidP="00795B86">
      <w:pPr>
        <w:spacing w:before="0" w:line="240" w:lineRule="auto"/>
      </w:pPr>
      <w:r w:rsidRPr="00615E54">
        <w:t>The study revealed that short-term debt (STD) exerted a negative and significant effect on the financial wellbeing of construction firms listed at the securities exchange. It was therefore recommended that construction and allied companies minimize reliance on short-term borrowing, as its high interest costs erode revenues and weaken performance. Similarly, long-term debt was also found to negatively and significantly influence firm performance, largely due to the burden of regular installment payments, which may strain liquidity and increase bankruptcy risk. Consequently, firms were advised to prioritize internal financing over debt financing to sustain financial stability. Additionally, firm size demonstrated a negative effect, yet expansion was recommended as a strategy to attract potential investors who value growth and wealth maximization prospects. For future research, it was suggested that broader financing options be examined, incorporating both Return on Assets (ROA) and Return on Equity (ROE) to provide more comprehensive insights into firm performance</w:t>
      </w:r>
      <w:r w:rsidR="00795B86" w:rsidRPr="00795B86">
        <w:t>.</w:t>
      </w:r>
    </w:p>
    <w:p w14:paraId="526AC9EA" w14:textId="77777777" w:rsidR="00D16476" w:rsidRPr="00FB2E0F" w:rsidRDefault="00D16476" w:rsidP="00D16476">
      <w:pPr>
        <w:spacing w:before="0" w:after="160" w:line="240" w:lineRule="auto"/>
        <w:rPr>
          <w:rFonts w:cs="Times New Roman"/>
          <w:color w:val="000000" w:themeColor="text1"/>
          <w:szCs w:val="24"/>
        </w:rPr>
      </w:pPr>
    </w:p>
    <w:p w14:paraId="0843E003" w14:textId="77777777" w:rsidR="00D16476" w:rsidRPr="00FB2E0F" w:rsidRDefault="00D16476" w:rsidP="00055D83">
      <w:pPr>
        <w:shd w:val="clear" w:color="auto" w:fill="FFFFFF"/>
        <w:spacing w:line="240" w:lineRule="auto"/>
        <w:rPr>
          <w:rFonts w:eastAsia="Times New Roman" w:cs="Times New Roman"/>
          <w:b/>
          <w:bCs/>
          <w:color w:val="000000" w:themeColor="text1"/>
          <w:sz w:val="28"/>
          <w:szCs w:val="28"/>
        </w:rPr>
      </w:pPr>
    </w:p>
    <w:p w14:paraId="1E9C7ECE" w14:textId="77777777" w:rsidR="00D16476" w:rsidRPr="00FB2E0F" w:rsidRDefault="00D16476">
      <w:pPr>
        <w:spacing w:before="0" w:after="160" w:line="259" w:lineRule="auto"/>
        <w:jc w:val="left"/>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br w:type="page"/>
      </w:r>
    </w:p>
    <w:p w14:paraId="03B946E2" w14:textId="2EF5968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lastRenderedPageBreak/>
        <w:t>REFERENCES</w:t>
      </w:r>
    </w:p>
    <w:p w14:paraId="6CAB4FBC" w14:textId="77777777" w:rsidR="00D636C8" w:rsidRPr="00D636C8" w:rsidRDefault="00D636C8" w:rsidP="00D636C8">
      <w:pPr>
        <w:pStyle w:val="NormalWeb"/>
        <w:spacing w:before="0"/>
        <w:ind w:left="720" w:hanging="720"/>
        <w:rPr>
          <w:color w:val="000000" w:themeColor="text1"/>
        </w:rPr>
      </w:pPr>
      <w:r w:rsidRPr="00D636C8">
        <w:rPr>
          <w:color w:val="000000" w:themeColor="text1"/>
        </w:rPr>
        <w:t>Abbasali, P. E., Vida, L., &amp; Bagheri, M. M. (2012). The Relationship Between Capital Structure and Firm Performance Evaluation Measures: Evidence from the Tehran Stock Exchange. International Journal of Business and Commerce.</w:t>
      </w:r>
    </w:p>
    <w:p w14:paraId="031EC74D" w14:textId="77777777" w:rsidR="00D636C8" w:rsidRPr="00D636C8" w:rsidRDefault="00D636C8" w:rsidP="00D636C8">
      <w:pPr>
        <w:pStyle w:val="NormalWeb"/>
        <w:spacing w:before="0"/>
        <w:ind w:left="720" w:hanging="720"/>
        <w:rPr>
          <w:color w:val="000000" w:themeColor="text1"/>
        </w:rPr>
      </w:pPr>
      <w:r w:rsidRPr="00D636C8">
        <w:rPr>
          <w:color w:val="000000" w:themeColor="text1"/>
        </w:rPr>
        <w:t>Abdel, S. (2003). Does Ownership Structure Affect Firm Value? Evidence from the Egyptian Stock Market, Cairo and Alexandria Stock Exchange (CASE) Working Paper.</w:t>
      </w:r>
    </w:p>
    <w:p w14:paraId="4ED08CF2" w14:textId="77777777" w:rsidR="00D636C8" w:rsidRPr="00D636C8" w:rsidRDefault="00D636C8" w:rsidP="00D636C8">
      <w:pPr>
        <w:pStyle w:val="NormalWeb"/>
        <w:spacing w:before="0"/>
        <w:ind w:left="720" w:hanging="720"/>
        <w:rPr>
          <w:color w:val="000000" w:themeColor="text1"/>
        </w:rPr>
      </w:pPr>
      <w:r w:rsidRPr="00D636C8">
        <w:rPr>
          <w:color w:val="000000" w:themeColor="text1"/>
        </w:rPr>
        <w:t>Abdul, G. K. (2012). The Relationship of Capital Structure Decisios with Firm Performance: A Study of the Engineering Sector of Pakistan. International Journal of Accounting and Financial Reporting.</w:t>
      </w:r>
    </w:p>
    <w:p w14:paraId="31BBEDB1" w14:textId="77777777" w:rsidR="00D636C8" w:rsidRPr="00D636C8" w:rsidRDefault="00D636C8" w:rsidP="00D636C8">
      <w:pPr>
        <w:pStyle w:val="NormalWeb"/>
        <w:spacing w:before="0"/>
        <w:ind w:left="720" w:hanging="720"/>
        <w:rPr>
          <w:color w:val="000000" w:themeColor="text1"/>
        </w:rPr>
      </w:pPr>
      <w:r w:rsidRPr="00D636C8">
        <w:rPr>
          <w:color w:val="000000" w:themeColor="text1"/>
        </w:rPr>
        <w:t>Abiodum, B. Y. (2017). The effect of firm size on firms profitablity of commercial banks in Nigeria. Journal of Economics and Sustainable Development 4(5), 102-126.</w:t>
      </w:r>
    </w:p>
    <w:p w14:paraId="119A7E9D" w14:textId="77777777" w:rsidR="00D636C8" w:rsidRPr="00D636C8" w:rsidRDefault="00D636C8" w:rsidP="00D636C8">
      <w:pPr>
        <w:pStyle w:val="NormalWeb"/>
        <w:spacing w:before="0"/>
        <w:ind w:left="720" w:hanging="720"/>
        <w:rPr>
          <w:color w:val="000000" w:themeColor="text1"/>
        </w:rPr>
      </w:pPr>
      <w:r w:rsidRPr="00D636C8">
        <w:rPr>
          <w:color w:val="000000" w:themeColor="text1"/>
        </w:rPr>
        <w:t>Abubakar, A. (2015). Relationship Between Financial Leverage and Financial Performance of Deposit Money Banks in Nigeria. International Journal of Economics, Commerce and Management, 4(5),759-778.</w:t>
      </w:r>
    </w:p>
    <w:p w14:paraId="6EF8024E" w14:textId="77777777" w:rsidR="00D636C8" w:rsidRPr="00D636C8" w:rsidRDefault="00D636C8" w:rsidP="00D636C8">
      <w:pPr>
        <w:pStyle w:val="NormalWeb"/>
        <w:spacing w:before="0"/>
        <w:ind w:left="720" w:hanging="720"/>
        <w:rPr>
          <w:color w:val="000000" w:themeColor="text1"/>
        </w:rPr>
      </w:pPr>
      <w:r w:rsidRPr="00D636C8">
        <w:rPr>
          <w:color w:val="000000" w:themeColor="text1"/>
        </w:rPr>
        <w:t>Abubakar, A. (2017). Financial leverage and financial performance of quoted industrial goods firms in Nigeria. KASU Journal of management science, 8(2), 89-108.</w:t>
      </w:r>
    </w:p>
    <w:p w14:paraId="3B7D7029" w14:textId="77777777" w:rsidR="00D636C8" w:rsidRPr="00D636C8" w:rsidRDefault="00D636C8" w:rsidP="00D636C8">
      <w:pPr>
        <w:pStyle w:val="NormalWeb"/>
        <w:spacing w:before="0"/>
        <w:ind w:left="720" w:hanging="720"/>
        <w:rPr>
          <w:color w:val="000000" w:themeColor="text1"/>
        </w:rPr>
      </w:pPr>
      <w:r w:rsidRPr="00D636C8">
        <w:rPr>
          <w:color w:val="000000" w:themeColor="text1"/>
        </w:rPr>
        <w:t>Acharya, V., Almeida, H., &amp; Campello, M. (2007). Is Cash Negative Debt? A Hedging Perspective on Corporate Financial Policies. Journal of Financial Intermediation, 16(4), 515-554.</w:t>
      </w:r>
    </w:p>
    <w:p w14:paraId="56449841" w14:textId="77777777" w:rsidR="00D636C8" w:rsidRPr="00D636C8" w:rsidRDefault="00D636C8" w:rsidP="00D636C8">
      <w:pPr>
        <w:pStyle w:val="NormalWeb"/>
        <w:spacing w:before="0"/>
        <w:ind w:left="720" w:hanging="720"/>
        <w:rPr>
          <w:color w:val="000000" w:themeColor="text1"/>
        </w:rPr>
      </w:pPr>
      <w:r w:rsidRPr="00D636C8">
        <w:rPr>
          <w:color w:val="000000" w:themeColor="text1"/>
        </w:rPr>
        <w:t>Albert, B. D. (2018). Effect of capital structure on financial performance of construction an allied firms listed at the Nairobi Securities Exchange. University of Nairobi.</w:t>
      </w:r>
    </w:p>
    <w:p w14:paraId="2091DAC5" w14:textId="77777777" w:rsidR="00D636C8" w:rsidRPr="00D636C8" w:rsidRDefault="00D636C8" w:rsidP="00D636C8">
      <w:pPr>
        <w:pStyle w:val="NormalWeb"/>
        <w:spacing w:before="0"/>
        <w:ind w:left="720" w:hanging="720"/>
        <w:rPr>
          <w:color w:val="000000" w:themeColor="text1"/>
        </w:rPr>
      </w:pPr>
      <w:r w:rsidRPr="00D636C8">
        <w:rPr>
          <w:color w:val="000000" w:themeColor="text1"/>
        </w:rPr>
        <w:t>Alchian, A., &amp; Demsetz, H. (1972). Production, Information costs and Economic Organisation. The American Economic Review. 62 pp.777-795.</w:t>
      </w:r>
    </w:p>
    <w:p w14:paraId="1682734A" w14:textId="77777777" w:rsidR="00D636C8" w:rsidRPr="00D636C8" w:rsidRDefault="00D636C8" w:rsidP="00D636C8">
      <w:pPr>
        <w:pStyle w:val="NormalWeb"/>
        <w:spacing w:before="0"/>
        <w:ind w:left="720" w:hanging="720"/>
        <w:rPr>
          <w:color w:val="000000" w:themeColor="text1"/>
        </w:rPr>
      </w:pPr>
      <w:r w:rsidRPr="00D636C8">
        <w:rPr>
          <w:color w:val="000000" w:themeColor="text1"/>
        </w:rPr>
        <w:t>Al-Tally, H. (2014). An investigation of the effect of financial leverage on firm financial performance in Saudi Arabia's Public listed companies. Doctoral dissertation, Victoria University Melbourne, Australia.</w:t>
      </w:r>
    </w:p>
    <w:p w14:paraId="258D8872" w14:textId="77777777" w:rsidR="00D636C8" w:rsidRPr="00D636C8" w:rsidRDefault="00D636C8" w:rsidP="00D636C8">
      <w:pPr>
        <w:pStyle w:val="NormalWeb"/>
        <w:spacing w:before="0"/>
        <w:ind w:left="720" w:hanging="720"/>
        <w:rPr>
          <w:color w:val="000000" w:themeColor="text1"/>
        </w:rPr>
      </w:pPr>
      <w:r w:rsidRPr="00D636C8">
        <w:rPr>
          <w:color w:val="000000" w:themeColor="text1"/>
        </w:rPr>
        <w:t>Anachoni, D. C., &amp; Jagongo, A. (2020). Short-term financing decisions and financial performance of commercial banks in Kenya. International Academic Journal of Economics and Finance, 3(5), 62-74.</w:t>
      </w:r>
    </w:p>
    <w:p w14:paraId="41B8377C" w14:textId="77777777" w:rsidR="00D636C8" w:rsidRPr="00D636C8" w:rsidRDefault="00D636C8" w:rsidP="00D636C8">
      <w:pPr>
        <w:pStyle w:val="NormalWeb"/>
        <w:spacing w:before="0"/>
        <w:ind w:left="720" w:hanging="720"/>
        <w:rPr>
          <w:color w:val="000000" w:themeColor="text1"/>
        </w:rPr>
      </w:pPr>
      <w:r w:rsidRPr="00D636C8">
        <w:rPr>
          <w:color w:val="000000" w:themeColor="text1"/>
        </w:rPr>
        <w:t>Anthony, M. M. (2015). The effect of debt financing on the financial performance of companies listed at the NSE. University of Nairobi.</w:t>
      </w:r>
    </w:p>
    <w:p w14:paraId="5335611E" w14:textId="77777777" w:rsidR="00D636C8" w:rsidRPr="00D636C8" w:rsidRDefault="00D636C8" w:rsidP="00D636C8">
      <w:pPr>
        <w:pStyle w:val="NormalWeb"/>
        <w:spacing w:before="0"/>
        <w:ind w:left="720" w:hanging="720"/>
        <w:rPr>
          <w:color w:val="000000" w:themeColor="text1"/>
        </w:rPr>
      </w:pPr>
      <w:r w:rsidRPr="00D636C8">
        <w:rPr>
          <w:color w:val="000000" w:themeColor="text1"/>
        </w:rPr>
        <w:t>Antoniou, A., Yilmaz, G., &amp; Krishna, P. (2006). The determinants of debt maturity structure: Evidence from France, Germany and the UK. European financial management 12.2, 161-194.</w:t>
      </w:r>
    </w:p>
    <w:p w14:paraId="41DBAA45" w14:textId="77777777" w:rsidR="00D636C8" w:rsidRPr="00D636C8" w:rsidRDefault="00D636C8" w:rsidP="00D636C8">
      <w:pPr>
        <w:pStyle w:val="NormalWeb"/>
        <w:spacing w:before="0"/>
        <w:ind w:left="720" w:hanging="720"/>
        <w:rPr>
          <w:color w:val="000000" w:themeColor="text1"/>
        </w:rPr>
      </w:pPr>
      <w:r w:rsidRPr="00D636C8">
        <w:rPr>
          <w:color w:val="000000" w:themeColor="text1"/>
        </w:rPr>
        <w:t>Anyanzwa, J. (2015). Listed firms turn to debt financing to raise capital. East African Business Daily, 2.11-12.</w:t>
      </w:r>
    </w:p>
    <w:p w14:paraId="231FE1E6" w14:textId="77777777" w:rsidR="00D636C8" w:rsidRPr="00D636C8" w:rsidRDefault="00D636C8" w:rsidP="00D636C8">
      <w:pPr>
        <w:pStyle w:val="NormalWeb"/>
        <w:spacing w:before="0"/>
        <w:ind w:left="720" w:hanging="720"/>
        <w:rPr>
          <w:color w:val="000000" w:themeColor="text1"/>
        </w:rPr>
      </w:pPr>
      <w:r w:rsidRPr="00D636C8">
        <w:rPr>
          <w:color w:val="000000" w:themeColor="text1"/>
        </w:rPr>
        <w:t>Aziz, S., &amp; Abbas, U. (2019). Effect of Debt Financing on Firm Performance: A Study on Non-Financial Sector of Pakistan. Open Journal of Economics and Commerce, Vol.2(1), 8-15.</w:t>
      </w:r>
    </w:p>
    <w:p w14:paraId="1929FD50" w14:textId="77777777" w:rsidR="00D636C8" w:rsidRPr="00D636C8" w:rsidRDefault="00D636C8" w:rsidP="00D636C8">
      <w:pPr>
        <w:pStyle w:val="NormalWeb"/>
        <w:spacing w:before="0"/>
        <w:ind w:left="720" w:hanging="720"/>
        <w:rPr>
          <w:color w:val="000000" w:themeColor="text1"/>
        </w:rPr>
      </w:pPr>
      <w:r w:rsidRPr="00D636C8">
        <w:rPr>
          <w:color w:val="000000" w:themeColor="text1"/>
        </w:rPr>
        <w:t>Baltaci, N., &amp; Ayaydin, H. (2014). Firm, Country and Macroeconomic Determinants of Capital Structure: Evidence from Turkish Banking Sector. EMAJ: Emerging Markets Journal, 3(3), pp.47-58.</w:t>
      </w:r>
    </w:p>
    <w:p w14:paraId="7AE7A7D9"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Bashir, A., &amp; Asad, M. (2018). Moderating effect of leverage on the relationship between board size, board meetings and performance. A study on the textile sector in Pakistan. American Scientific Research Journal for Engineering Technology and Science (ASRJETS) 31(1), 19-29.</w:t>
      </w:r>
    </w:p>
    <w:p w14:paraId="241F1C1B" w14:textId="77777777" w:rsidR="00D636C8" w:rsidRPr="00D636C8" w:rsidRDefault="00D636C8" w:rsidP="00D636C8">
      <w:pPr>
        <w:pStyle w:val="NormalWeb"/>
        <w:spacing w:before="0"/>
        <w:ind w:left="720" w:hanging="720"/>
        <w:rPr>
          <w:color w:val="000000" w:themeColor="text1"/>
        </w:rPr>
      </w:pPr>
      <w:r w:rsidRPr="00D636C8">
        <w:rPr>
          <w:color w:val="000000" w:themeColor="text1"/>
        </w:rPr>
        <w:t>Baxter, N. D. (1967). Leverage risk of ruin and the cost of capital. Journal of Finance, 22(3), 395-403.</w:t>
      </w:r>
    </w:p>
    <w:p w14:paraId="5885FD6A" w14:textId="77777777" w:rsidR="00D636C8" w:rsidRPr="00D636C8" w:rsidRDefault="00D636C8" w:rsidP="00D636C8">
      <w:pPr>
        <w:pStyle w:val="NormalWeb"/>
        <w:spacing w:before="0"/>
        <w:ind w:left="720" w:hanging="720"/>
        <w:rPr>
          <w:color w:val="000000" w:themeColor="text1"/>
        </w:rPr>
      </w:pPr>
      <w:r w:rsidRPr="00D636C8">
        <w:rPr>
          <w:color w:val="000000" w:themeColor="text1"/>
        </w:rPr>
        <w:t>Becker, B., Hege, U., &amp; Mella-Barral, P. (2020). Corporate debt burdens threaten economic recovery after COVID-19: Planning for debt restructuring should start now. Europe in the time of COVID-19, 35.</w:t>
      </w:r>
    </w:p>
    <w:p w14:paraId="2757C1E5" w14:textId="77777777" w:rsidR="00D636C8" w:rsidRPr="00D636C8" w:rsidRDefault="00D636C8" w:rsidP="00D636C8">
      <w:pPr>
        <w:pStyle w:val="NormalWeb"/>
        <w:spacing w:before="0"/>
        <w:ind w:left="720" w:hanging="720"/>
        <w:rPr>
          <w:color w:val="000000" w:themeColor="text1"/>
        </w:rPr>
      </w:pPr>
      <w:r w:rsidRPr="00D636C8">
        <w:rPr>
          <w:color w:val="000000" w:themeColor="text1"/>
        </w:rPr>
        <w:t>Berger, A. N., &amp; Bonaccorsi, d. P. (2006). Capital Structure and Firm Performance: A new approach to testing agency theory and an application to the banking industry. Journal of banking and finance. Vol. 30.</w:t>
      </w:r>
    </w:p>
    <w:p w14:paraId="6CB647BA" w14:textId="77777777" w:rsidR="00D636C8" w:rsidRPr="00D636C8" w:rsidRDefault="00D636C8" w:rsidP="00D636C8">
      <w:pPr>
        <w:pStyle w:val="NormalWeb"/>
        <w:spacing w:before="0"/>
        <w:ind w:left="720" w:hanging="720"/>
        <w:rPr>
          <w:color w:val="000000" w:themeColor="text1"/>
        </w:rPr>
      </w:pPr>
      <w:r w:rsidRPr="00D636C8">
        <w:rPr>
          <w:color w:val="000000" w:themeColor="text1"/>
        </w:rPr>
        <w:t>Bhardwaj, A. (2018). Financial Leverage and Firm's value. A study of capital structure of selected manufacturing sector firms in India. Journal of Financial Management, 44(9), 166-184.</w:t>
      </w:r>
    </w:p>
    <w:p w14:paraId="27EAAD19" w14:textId="77777777" w:rsidR="00D636C8" w:rsidRPr="00D636C8" w:rsidRDefault="00D636C8" w:rsidP="00D636C8">
      <w:pPr>
        <w:pStyle w:val="NormalWeb"/>
        <w:spacing w:before="0"/>
        <w:ind w:left="720" w:hanging="720"/>
        <w:rPr>
          <w:color w:val="000000" w:themeColor="text1"/>
        </w:rPr>
      </w:pPr>
      <w:r w:rsidRPr="00D636C8">
        <w:rPr>
          <w:color w:val="000000" w:themeColor="text1"/>
        </w:rPr>
        <w:t>Brealey, R., Myers, S., &amp; Allen, F. (2008). Principals of Corporate Finance, International Edition. New York; McGraw-Hill Education.</w:t>
      </w:r>
    </w:p>
    <w:p w14:paraId="70FF5BBD" w14:textId="77777777" w:rsidR="00D636C8" w:rsidRPr="00D636C8" w:rsidRDefault="00D636C8" w:rsidP="00D636C8">
      <w:pPr>
        <w:pStyle w:val="NormalWeb"/>
        <w:spacing w:before="0"/>
        <w:ind w:left="720" w:hanging="720"/>
        <w:rPr>
          <w:color w:val="000000" w:themeColor="text1"/>
        </w:rPr>
      </w:pPr>
      <w:r w:rsidRPr="00D636C8">
        <w:rPr>
          <w:color w:val="000000" w:themeColor="text1"/>
        </w:rPr>
        <w:t>Brigham, E. F., &amp; Ehrhardt, M. C. (2005). Financial Management: Theory and Practice 11th Edition. New York, South-Western College Publishers.</w:t>
      </w:r>
    </w:p>
    <w:p w14:paraId="0F6F62B1" w14:textId="77777777" w:rsidR="00D636C8" w:rsidRPr="00D636C8" w:rsidRDefault="00D636C8" w:rsidP="00D636C8">
      <w:pPr>
        <w:pStyle w:val="NormalWeb"/>
        <w:spacing w:before="0"/>
        <w:ind w:left="720" w:hanging="720"/>
        <w:rPr>
          <w:color w:val="000000" w:themeColor="text1"/>
        </w:rPr>
      </w:pPr>
      <w:r w:rsidRPr="00D636C8">
        <w:rPr>
          <w:color w:val="000000" w:themeColor="text1"/>
        </w:rPr>
        <w:t>Bryman, A., &amp; Bell, E. (2003). Business Research Methods, Oxford, UK: Oxford University Press.</w:t>
      </w:r>
    </w:p>
    <w:p w14:paraId="3F29CBAF" w14:textId="77777777" w:rsidR="00D636C8" w:rsidRPr="00D636C8" w:rsidRDefault="00D636C8" w:rsidP="00D636C8">
      <w:pPr>
        <w:pStyle w:val="NormalWeb"/>
        <w:spacing w:before="0"/>
        <w:ind w:left="720" w:hanging="720"/>
        <w:rPr>
          <w:color w:val="000000" w:themeColor="text1"/>
        </w:rPr>
      </w:pPr>
      <w:r w:rsidRPr="00D636C8">
        <w:rPr>
          <w:color w:val="000000" w:themeColor="text1"/>
        </w:rPr>
        <w:t>Chen, L. J., &amp; Chen, S. Y. (2011). How the Pecking Order Theory Explain Capitakl Structure. . Journal of International Management Studies, 6(2),1-9.</w:t>
      </w:r>
    </w:p>
    <w:p w14:paraId="4177D8EF" w14:textId="77777777" w:rsidR="00D636C8" w:rsidRPr="00D636C8" w:rsidRDefault="00D636C8" w:rsidP="00D636C8">
      <w:pPr>
        <w:pStyle w:val="NormalWeb"/>
        <w:spacing w:before="0"/>
        <w:ind w:left="720" w:hanging="720"/>
        <w:rPr>
          <w:color w:val="000000" w:themeColor="text1"/>
        </w:rPr>
      </w:pPr>
      <w:r w:rsidRPr="00D636C8">
        <w:rPr>
          <w:color w:val="000000" w:themeColor="text1"/>
        </w:rPr>
        <w:t>Chepkwony, P. (2018). Effects of Capital Structure on Financial Performance of Commercial and Services Firms Quoted at Nairobi Securities Exchange. Unpublished Masters of Science Project, University of Nairobi.</w:t>
      </w:r>
    </w:p>
    <w:p w14:paraId="2DCA12EE" w14:textId="77777777" w:rsidR="00D636C8" w:rsidRPr="00D636C8" w:rsidRDefault="00D636C8" w:rsidP="00D636C8">
      <w:pPr>
        <w:pStyle w:val="NormalWeb"/>
        <w:spacing w:before="0"/>
        <w:ind w:left="720" w:hanging="720"/>
        <w:rPr>
          <w:color w:val="000000" w:themeColor="text1"/>
        </w:rPr>
      </w:pPr>
      <w:r w:rsidRPr="00D636C8">
        <w:rPr>
          <w:color w:val="000000" w:themeColor="text1"/>
        </w:rPr>
        <w:t>Cherono, K. (2017). The relationship between capital structure and financial performance of firms listed under manufacturing, construction and allied sector at the NSE.</w:t>
      </w:r>
    </w:p>
    <w:p w14:paraId="3C450097" w14:textId="77777777" w:rsidR="00D636C8" w:rsidRPr="00D636C8" w:rsidRDefault="00D636C8" w:rsidP="00D636C8">
      <w:pPr>
        <w:pStyle w:val="NormalWeb"/>
        <w:spacing w:before="0"/>
        <w:ind w:left="720" w:hanging="720"/>
        <w:rPr>
          <w:color w:val="000000" w:themeColor="text1"/>
        </w:rPr>
      </w:pPr>
      <w:r w:rsidRPr="00D636C8">
        <w:rPr>
          <w:color w:val="000000" w:themeColor="text1"/>
        </w:rPr>
        <w:t>Chipeta, C. (2012). Financial Liberalisation and the Capital Structure of Firms listed on the Johannesburg Stock Exchange(PhD Thesis, University of Pretoria, South Africa).</w:t>
      </w:r>
    </w:p>
    <w:p w14:paraId="3E346950" w14:textId="77777777" w:rsidR="00D636C8" w:rsidRPr="00D636C8" w:rsidRDefault="00D636C8" w:rsidP="00D636C8">
      <w:pPr>
        <w:pStyle w:val="NormalWeb"/>
        <w:spacing w:before="0"/>
        <w:ind w:left="720" w:hanging="720"/>
        <w:rPr>
          <w:color w:val="000000" w:themeColor="text1"/>
        </w:rPr>
      </w:pPr>
      <w:r w:rsidRPr="00D636C8">
        <w:rPr>
          <w:color w:val="000000" w:themeColor="text1"/>
        </w:rPr>
        <w:t>Chuke, N., Idam, O. I., Bamidele, O. A., &amp; Sergius, N. U. (2016). The Impact of Debt Structure on Firm Performance: Empirical Evidencefrom Nigerian Quoted Firms. Asian Economic and Financial Review, 2016,6(11):647-660.</w:t>
      </w:r>
    </w:p>
    <w:p w14:paraId="7BB8EE56" w14:textId="77777777" w:rsidR="00D636C8" w:rsidRPr="00D636C8" w:rsidRDefault="00D636C8" w:rsidP="00D636C8">
      <w:pPr>
        <w:pStyle w:val="NormalWeb"/>
        <w:spacing w:before="0"/>
        <w:ind w:left="720" w:hanging="720"/>
        <w:rPr>
          <w:color w:val="000000" w:themeColor="text1"/>
        </w:rPr>
      </w:pPr>
      <w:r w:rsidRPr="00D636C8">
        <w:rPr>
          <w:color w:val="000000" w:themeColor="text1"/>
        </w:rPr>
        <w:t>Cooper, D. R., &amp;&amp; Schindler, P. S. (2006). Business Research Methods (9 ed.). New York:McGraw-Hill Irwin.</w:t>
      </w:r>
    </w:p>
    <w:p w14:paraId="009C5601" w14:textId="77777777" w:rsidR="00D636C8" w:rsidRPr="00D636C8" w:rsidRDefault="00D636C8" w:rsidP="00D636C8">
      <w:pPr>
        <w:pStyle w:val="NormalWeb"/>
        <w:spacing w:before="0"/>
        <w:ind w:left="720" w:hanging="720"/>
        <w:rPr>
          <w:color w:val="000000" w:themeColor="text1"/>
        </w:rPr>
      </w:pPr>
      <w:r w:rsidRPr="00D636C8">
        <w:rPr>
          <w:color w:val="000000" w:themeColor="text1"/>
        </w:rPr>
        <w:t>Cooper, D. R., &amp; Scindler, P. S. (2014). In BusinessResearch Methods (12th edition). New York, NY: McGraw-Hill/Irwin.</w:t>
      </w:r>
    </w:p>
    <w:p w14:paraId="089C021D" w14:textId="77777777" w:rsidR="00D636C8" w:rsidRPr="00D636C8" w:rsidRDefault="00D636C8" w:rsidP="00D636C8">
      <w:pPr>
        <w:pStyle w:val="NormalWeb"/>
        <w:spacing w:before="0"/>
        <w:ind w:left="720" w:hanging="720"/>
        <w:rPr>
          <w:color w:val="000000" w:themeColor="text1"/>
        </w:rPr>
      </w:pPr>
      <w:r w:rsidRPr="00D636C8">
        <w:rPr>
          <w:color w:val="000000" w:themeColor="text1"/>
        </w:rPr>
        <w:t>Davydov, D. (2014). Essays on debt financing, firm performance and banking in emerging markets. Unpublished thesis. Acta Wasaensia.</w:t>
      </w:r>
    </w:p>
    <w:p w14:paraId="6409CA48" w14:textId="77777777" w:rsidR="00D636C8" w:rsidRPr="00D636C8" w:rsidRDefault="00D636C8" w:rsidP="00D636C8">
      <w:pPr>
        <w:pStyle w:val="NormalWeb"/>
        <w:spacing w:before="0"/>
        <w:ind w:left="720" w:hanging="720"/>
        <w:rPr>
          <w:color w:val="000000" w:themeColor="text1"/>
        </w:rPr>
      </w:pPr>
      <w:r w:rsidRPr="00D636C8">
        <w:rPr>
          <w:color w:val="000000" w:themeColor="text1"/>
        </w:rPr>
        <w:t>Denis, W. N. (2013). The Effect of Debt Financing on Financial Performance of Private Secondary Schools in Kajiado County.</w:t>
      </w:r>
    </w:p>
    <w:p w14:paraId="66A216E4"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Dube, H. (2013). The impact of debt financing on productivity of small and medium entreprises (SMEs). A case study of SMEs in Masvingo urban. International journal of economics, business and finance, Vol. 1, No. 10, PP-371-381, ISSN:2327-8188.</w:t>
      </w:r>
    </w:p>
    <w:p w14:paraId="73550C2E" w14:textId="77777777" w:rsidR="00D636C8" w:rsidRPr="00D636C8" w:rsidRDefault="00D636C8" w:rsidP="00D636C8">
      <w:pPr>
        <w:pStyle w:val="NormalWeb"/>
        <w:spacing w:before="0"/>
        <w:ind w:left="720" w:hanging="720"/>
        <w:rPr>
          <w:color w:val="000000" w:themeColor="text1"/>
        </w:rPr>
      </w:pPr>
      <w:r w:rsidRPr="00D636C8">
        <w:rPr>
          <w:color w:val="000000" w:themeColor="text1"/>
        </w:rPr>
        <w:t>Edaid, I. (2009). The impact of capital structure choice on firm performance. Empirical evidence from Egypt. The journal of risk finance,10(50,477-487.</w:t>
      </w:r>
    </w:p>
    <w:p w14:paraId="20C13B5F" w14:textId="77777777" w:rsidR="00D636C8" w:rsidRPr="00D636C8" w:rsidRDefault="00D636C8" w:rsidP="00D636C8">
      <w:pPr>
        <w:pStyle w:val="NormalWeb"/>
        <w:spacing w:before="0"/>
        <w:ind w:left="720" w:hanging="720"/>
        <w:rPr>
          <w:color w:val="000000" w:themeColor="text1"/>
        </w:rPr>
      </w:pPr>
      <w:r w:rsidRPr="00D636C8">
        <w:rPr>
          <w:color w:val="000000" w:themeColor="text1"/>
        </w:rPr>
        <w:t>Egwurube, D. O., Lateef, O. M., &amp; Onipe, A. Y. (2020). Financial Structure and Financial Performance of Listed Firms in Nigeria. Resaerch Journal of Finance and Accounting Vol.11,No. 14,2020.</w:t>
      </w:r>
    </w:p>
    <w:p w14:paraId="300F6C53" w14:textId="77777777" w:rsidR="00D636C8" w:rsidRPr="00D636C8" w:rsidRDefault="00D636C8" w:rsidP="00D636C8">
      <w:pPr>
        <w:pStyle w:val="NormalWeb"/>
        <w:spacing w:before="0"/>
        <w:ind w:left="720" w:hanging="720"/>
        <w:rPr>
          <w:color w:val="000000" w:themeColor="text1"/>
        </w:rPr>
      </w:pPr>
      <w:r w:rsidRPr="00D636C8">
        <w:rPr>
          <w:color w:val="000000" w:themeColor="text1"/>
        </w:rPr>
        <w:t>Fama, E. (1980). Agency problems and the theory of the firm. Journal of political economy, 88 pp. 288-307.</w:t>
      </w:r>
    </w:p>
    <w:p w14:paraId="5ABB8A90" w14:textId="77777777" w:rsidR="00D636C8" w:rsidRPr="00D636C8" w:rsidRDefault="00D636C8" w:rsidP="00D636C8">
      <w:pPr>
        <w:pStyle w:val="NormalWeb"/>
        <w:spacing w:before="0"/>
        <w:ind w:left="720" w:hanging="720"/>
        <w:rPr>
          <w:color w:val="000000" w:themeColor="text1"/>
        </w:rPr>
      </w:pPr>
      <w:r w:rsidRPr="00D636C8">
        <w:rPr>
          <w:color w:val="000000" w:themeColor="text1"/>
        </w:rPr>
        <w:t>Fama, E. F., &amp; French, K. R. (2002). Testing trade off and pecking order predictions about dividends and debt. Review of financial studies 15(1),pp1-33.</w:t>
      </w:r>
    </w:p>
    <w:p w14:paraId="67BF8B0E" w14:textId="77777777" w:rsidR="00D636C8" w:rsidRPr="00D636C8" w:rsidRDefault="00D636C8" w:rsidP="00D636C8">
      <w:pPr>
        <w:pStyle w:val="NormalWeb"/>
        <w:spacing w:before="0"/>
        <w:ind w:left="720" w:hanging="720"/>
        <w:rPr>
          <w:color w:val="000000" w:themeColor="text1"/>
        </w:rPr>
      </w:pPr>
      <w:r w:rsidRPr="00D636C8">
        <w:rPr>
          <w:color w:val="000000" w:themeColor="text1"/>
        </w:rPr>
        <w:t>Fama, E., &amp; Jensen, M. (1983). Separation of Ownership and control. Journal of law and economics, 2 pp.301-324.</w:t>
      </w:r>
    </w:p>
    <w:p w14:paraId="3A4682A2" w14:textId="77777777" w:rsidR="00D636C8" w:rsidRPr="00D636C8" w:rsidRDefault="00D636C8" w:rsidP="00D636C8">
      <w:pPr>
        <w:pStyle w:val="NormalWeb"/>
        <w:spacing w:before="0"/>
        <w:ind w:left="720" w:hanging="720"/>
        <w:rPr>
          <w:color w:val="000000" w:themeColor="text1"/>
        </w:rPr>
      </w:pPr>
      <w:r w:rsidRPr="00D636C8">
        <w:rPr>
          <w:color w:val="000000" w:themeColor="text1"/>
        </w:rPr>
        <w:t>Gabriel, K., Kilika, J. M., &amp; Muchemi, A. W. (2020). The moderatinf effect of firm size on the impact of dynamic capabilities on sustainable performance of food manufacturing firms in Kenya. Technium social sciences journal, vol 7, 149-182.</w:t>
      </w:r>
    </w:p>
    <w:p w14:paraId="3E0E65EE" w14:textId="77777777" w:rsidR="00D636C8" w:rsidRPr="00D636C8" w:rsidRDefault="00D636C8" w:rsidP="00D636C8">
      <w:pPr>
        <w:pStyle w:val="NormalWeb"/>
        <w:spacing w:before="0"/>
        <w:ind w:left="720" w:hanging="720"/>
        <w:rPr>
          <w:color w:val="000000" w:themeColor="text1"/>
        </w:rPr>
      </w:pPr>
      <w:r w:rsidRPr="00D636C8">
        <w:rPr>
          <w:color w:val="000000" w:themeColor="text1"/>
        </w:rPr>
        <w:t>Githaiga, P. N., &amp; Kabiru, C. G. (2015). Debt Financing and Financial Performance of Small and Medium Size Enterprises: Evidence from Kenya. Journal of Economics, Finance and Accounting,2(3).</w:t>
      </w:r>
    </w:p>
    <w:p w14:paraId="49693693" w14:textId="77777777" w:rsidR="00D636C8" w:rsidRPr="00D636C8" w:rsidRDefault="00D636C8" w:rsidP="00D636C8">
      <w:pPr>
        <w:pStyle w:val="NormalWeb"/>
        <w:spacing w:before="0"/>
        <w:ind w:left="720" w:hanging="720"/>
        <w:rPr>
          <w:color w:val="000000" w:themeColor="text1"/>
        </w:rPr>
      </w:pPr>
      <w:r w:rsidRPr="00D636C8">
        <w:rPr>
          <w:color w:val="000000" w:themeColor="text1"/>
        </w:rPr>
        <w:t>Githaigo, P. N., &amp; Kabiru, C. (2015). Debt financing and financial performance of small and medium size enterprises: Evidence of Kenya. Journal of economics finance and accounting 2(3), 471-473.</w:t>
      </w:r>
    </w:p>
    <w:p w14:paraId="645F7A72" w14:textId="77777777" w:rsidR="00D636C8" w:rsidRPr="00D636C8" w:rsidRDefault="00D636C8" w:rsidP="00D636C8">
      <w:pPr>
        <w:pStyle w:val="NormalWeb"/>
        <w:spacing w:before="0"/>
        <w:ind w:left="720" w:hanging="720"/>
        <w:rPr>
          <w:color w:val="000000" w:themeColor="text1"/>
        </w:rPr>
      </w:pPr>
      <w:r w:rsidRPr="00D636C8">
        <w:rPr>
          <w:color w:val="000000" w:themeColor="text1"/>
        </w:rPr>
        <w:t>Graham, J. R. (2000). How big are the tax benefits of debt? Journal of finance, 55, 1901-1941.</w:t>
      </w:r>
    </w:p>
    <w:p w14:paraId="3DE94779" w14:textId="77777777" w:rsidR="00D636C8" w:rsidRPr="00D636C8" w:rsidRDefault="00D636C8" w:rsidP="00D636C8">
      <w:pPr>
        <w:pStyle w:val="NormalWeb"/>
        <w:spacing w:before="0"/>
        <w:ind w:left="720" w:hanging="720"/>
        <w:rPr>
          <w:color w:val="000000" w:themeColor="text1"/>
        </w:rPr>
      </w:pPr>
      <w:r w:rsidRPr="00D636C8">
        <w:rPr>
          <w:color w:val="000000" w:themeColor="text1"/>
        </w:rPr>
        <w:t>Greenwood, M. (2016). Approving or improving research ethics in management journals. Journal of business ethics, 137(3), 507-520.</w:t>
      </w:r>
    </w:p>
    <w:p w14:paraId="3967C18D" w14:textId="77777777" w:rsidR="00D636C8" w:rsidRPr="00D636C8" w:rsidRDefault="00D636C8" w:rsidP="00D636C8">
      <w:pPr>
        <w:pStyle w:val="NormalWeb"/>
        <w:spacing w:before="0"/>
        <w:ind w:left="720" w:hanging="720"/>
        <w:rPr>
          <w:color w:val="000000" w:themeColor="text1"/>
        </w:rPr>
      </w:pPr>
      <w:r w:rsidRPr="00D636C8">
        <w:rPr>
          <w:color w:val="000000" w:themeColor="text1"/>
        </w:rPr>
        <w:t>Gujarati, D. N. (2003). Basic Econometrics (4th edition). Boston McGraw Hill.</w:t>
      </w:r>
    </w:p>
    <w:p w14:paraId="5C791AD5" w14:textId="77777777" w:rsidR="00D636C8" w:rsidRPr="00D636C8" w:rsidRDefault="00D636C8" w:rsidP="00D636C8">
      <w:pPr>
        <w:pStyle w:val="NormalWeb"/>
        <w:spacing w:before="0"/>
        <w:ind w:left="720" w:hanging="720"/>
        <w:rPr>
          <w:color w:val="000000" w:themeColor="text1"/>
        </w:rPr>
      </w:pPr>
      <w:r w:rsidRPr="00D636C8">
        <w:rPr>
          <w:color w:val="000000" w:themeColor="text1"/>
        </w:rPr>
        <w:t>Gupta, N. K., &amp; Gupta, H. (2014). Impact of Capital Structure on Financial Performance in Indian Construction Companies. International Journal of Economics, Commerce and Management. Vol.II, Issue 5, 2014.</w:t>
      </w:r>
    </w:p>
    <w:p w14:paraId="2D074AB3" w14:textId="77777777" w:rsidR="00D636C8" w:rsidRPr="00D636C8" w:rsidRDefault="00D636C8" w:rsidP="00D636C8">
      <w:pPr>
        <w:pStyle w:val="NormalWeb"/>
        <w:spacing w:before="0"/>
        <w:ind w:left="720" w:hanging="720"/>
        <w:rPr>
          <w:color w:val="000000" w:themeColor="text1"/>
        </w:rPr>
      </w:pPr>
      <w:r w:rsidRPr="00D636C8">
        <w:rPr>
          <w:color w:val="000000" w:themeColor="text1"/>
        </w:rPr>
        <w:t>Harelimana, J. (2017). Effect of debt financing on business performance: A comparative study between I&amp;M Bank and Bank of Kigali, Rwanda. Global Journal of Management and Business Research, 17(2), 37-45.</w:t>
      </w:r>
    </w:p>
    <w:p w14:paraId="0BC98F65" w14:textId="77777777" w:rsidR="00D636C8" w:rsidRPr="00D636C8" w:rsidRDefault="00D636C8" w:rsidP="00D636C8">
      <w:pPr>
        <w:pStyle w:val="NormalWeb"/>
        <w:spacing w:before="0"/>
        <w:ind w:left="720" w:hanging="720"/>
        <w:rPr>
          <w:color w:val="000000" w:themeColor="text1"/>
        </w:rPr>
      </w:pPr>
      <w:r w:rsidRPr="00D636C8">
        <w:rPr>
          <w:color w:val="000000" w:themeColor="text1"/>
        </w:rPr>
        <w:t>Hopkins, W. G. (2000). Quantitative research design. Retrived 16th July 2021, from http://www.sportsci.org/jour/0001/wghdesign.html.</w:t>
      </w:r>
    </w:p>
    <w:p w14:paraId="4E8ECB6A" w14:textId="77777777" w:rsidR="00D636C8" w:rsidRPr="00D636C8" w:rsidRDefault="00D636C8" w:rsidP="00D636C8">
      <w:pPr>
        <w:pStyle w:val="NormalWeb"/>
        <w:spacing w:before="0"/>
        <w:ind w:left="720" w:hanging="720"/>
        <w:rPr>
          <w:color w:val="000000" w:themeColor="text1"/>
        </w:rPr>
      </w:pPr>
      <w:r w:rsidRPr="00D636C8">
        <w:rPr>
          <w:color w:val="000000" w:themeColor="text1"/>
        </w:rPr>
        <w:t>Hudson, L. A., &amp; Ozane, J. L. (1988). Alternative ways of seeking knowledge in consumer research. The journal of consumer research, 508-521.</w:t>
      </w:r>
    </w:p>
    <w:p w14:paraId="571E8469" w14:textId="77777777" w:rsidR="00D636C8" w:rsidRPr="00D636C8" w:rsidRDefault="00D636C8" w:rsidP="00D636C8">
      <w:pPr>
        <w:pStyle w:val="NormalWeb"/>
        <w:spacing w:before="0"/>
        <w:ind w:left="720" w:hanging="720"/>
        <w:rPr>
          <w:color w:val="000000" w:themeColor="text1"/>
        </w:rPr>
      </w:pPr>
      <w:r w:rsidRPr="00D636C8">
        <w:rPr>
          <w:color w:val="000000" w:themeColor="text1"/>
        </w:rPr>
        <w:t>Ikapel, O. F., &amp; Kajirwa, I. (2017). Analysis of Long Term Debt and Financial Performance of State Owned Sugar Firms in Kenya. International Journal of Commerce and Management Research, 3(2), 108-111.</w:t>
      </w:r>
    </w:p>
    <w:p w14:paraId="48CAA75B"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Iorpev, L., &amp; Kwanum, I. M. (2012). Capital Structure and Firm Performance: Evidence from Manufacturing in Nigeria. International Journal of Business and Management Tomorrow, Vol. 85, No.2 pp 220-227.</w:t>
      </w:r>
    </w:p>
    <w:p w14:paraId="21832786" w14:textId="77777777" w:rsidR="00D636C8" w:rsidRPr="00D636C8" w:rsidRDefault="00D636C8" w:rsidP="00D636C8">
      <w:pPr>
        <w:pStyle w:val="NormalWeb"/>
        <w:spacing w:before="0"/>
        <w:ind w:left="720" w:hanging="720"/>
        <w:rPr>
          <w:color w:val="000000" w:themeColor="text1"/>
        </w:rPr>
      </w:pPr>
      <w:r w:rsidRPr="00D636C8">
        <w:rPr>
          <w:color w:val="000000" w:themeColor="text1"/>
        </w:rPr>
        <w:t>Iraya, C., &amp; Musyoki, L. N. (2013). Performance of socially screened prtfolio at the Nairobi Securities Exchange. International Journal of Humanities and Social Sciences, Vol. 3(6).</w:t>
      </w:r>
    </w:p>
    <w:p w14:paraId="3F9014E0" w14:textId="77777777" w:rsidR="00D636C8" w:rsidRPr="00D636C8" w:rsidRDefault="00D636C8" w:rsidP="00D636C8">
      <w:pPr>
        <w:pStyle w:val="NormalWeb"/>
        <w:spacing w:before="0"/>
        <w:ind w:left="720" w:hanging="720"/>
        <w:rPr>
          <w:color w:val="000000" w:themeColor="text1"/>
        </w:rPr>
      </w:pPr>
      <w:r w:rsidRPr="00D636C8">
        <w:rPr>
          <w:color w:val="000000" w:themeColor="text1"/>
        </w:rPr>
        <w:t>Jaramillo, F., &amp; Schiantarelli, F. (2002). Access to long term debt and effects on firms performance: Lessons from Ecuador IADB. Research Network Working Paper R-460.</w:t>
      </w:r>
    </w:p>
    <w:p w14:paraId="157D9D02" w14:textId="77777777" w:rsidR="00D636C8" w:rsidRPr="00D636C8" w:rsidRDefault="00D636C8" w:rsidP="00D636C8">
      <w:pPr>
        <w:pStyle w:val="NormalWeb"/>
        <w:spacing w:before="0"/>
        <w:ind w:left="720" w:hanging="720"/>
        <w:rPr>
          <w:color w:val="000000" w:themeColor="text1"/>
        </w:rPr>
      </w:pPr>
      <w:r w:rsidRPr="00D636C8">
        <w:rPr>
          <w:color w:val="000000" w:themeColor="text1"/>
        </w:rPr>
        <w:t>Jensen, M. (1986). Agency cost of free cashflow, corporate finance and takeovers. Corporate finance and takeovers. American Economic Review, 76(20,pp 323-329.</w:t>
      </w:r>
    </w:p>
    <w:p w14:paraId="0EFD2215" w14:textId="77777777" w:rsidR="00D636C8" w:rsidRPr="00D636C8" w:rsidRDefault="00D636C8" w:rsidP="00D636C8">
      <w:pPr>
        <w:pStyle w:val="NormalWeb"/>
        <w:spacing w:before="0"/>
        <w:ind w:left="720" w:hanging="720"/>
        <w:rPr>
          <w:color w:val="000000" w:themeColor="text1"/>
        </w:rPr>
      </w:pPr>
      <w:r w:rsidRPr="00D636C8">
        <w:rPr>
          <w:color w:val="000000" w:themeColor="text1"/>
        </w:rPr>
        <w:t>Jensen, M. C., &amp; Meckling, W. H. (1976). Theory of the firm: Managerial behaviour, agency costs and ownership structure. Journal of Financial Economics. 3(4), 305-360.</w:t>
      </w:r>
    </w:p>
    <w:p w14:paraId="201136A1" w14:textId="77777777" w:rsidR="00D636C8" w:rsidRPr="00D636C8" w:rsidRDefault="00D636C8" w:rsidP="00D636C8">
      <w:pPr>
        <w:pStyle w:val="NormalWeb"/>
        <w:spacing w:before="0"/>
        <w:ind w:left="720" w:hanging="720"/>
        <w:rPr>
          <w:color w:val="000000" w:themeColor="text1"/>
        </w:rPr>
      </w:pPr>
      <w:r w:rsidRPr="00D636C8">
        <w:rPr>
          <w:color w:val="000000" w:themeColor="text1"/>
        </w:rPr>
        <w:t>Jensen, M., &amp; Meckling, W. (1976). Theory of the firm: Managerial Behavior, Agency Costs and Ownership Structure. Journal of financial economics,3 pp.305-360.</w:t>
      </w:r>
    </w:p>
    <w:p w14:paraId="4F697E67" w14:textId="77777777" w:rsidR="00D636C8" w:rsidRPr="00D636C8" w:rsidRDefault="00D636C8" w:rsidP="00D636C8">
      <w:pPr>
        <w:pStyle w:val="NormalWeb"/>
        <w:spacing w:before="0"/>
        <w:ind w:left="720" w:hanging="720"/>
        <w:rPr>
          <w:color w:val="000000" w:themeColor="text1"/>
        </w:rPr>
      </w:pPr>
      <w:r w:rsidRPr="00D636C8">
        <w:rPr>
          <w:color w:val="000000" w:themeColor="text1"/>
        </w:rPr>
        <w:t>Jerzemowska, M. (2006). The main agency problems and thier consequences. Acta Oeconomica Pragensia, 2006(3), 9-17.</w:t>
      </w:r>
    </w:p>
    <w:p w14:paraId="1D230CF0" w14:textId="77777777" w:rsidR="00D636C8" w:rsidRPr="00D636C8" w:rsidRDefault="00D636C8" w:rsidP="00D636C8">
      <w:pPr>
        <w:pStyle w:val="NormalWeb"/>
        <w:spacing w:before="0"/>
        <w:ind w:left="720" w:hanging="720"/>
        <w:rPr>
          <w:color w:val="000000" w:themeColor="text1"/>
        </w:rPr>
      </w:pPr>
      <w:r w:rsidRPr="00D636C8">
        <w:rPr>
          <w:color w:val="000000" w:themeColor="text1"/>
        </w:rPr>
        <w:t>Jibran, S., Wajid, S., Waheed, I., &amp; Massood, T. (2012). Pecking at Pecking Order Theory: Evidence fro Pakistan's Non-Financial. International Journal of Finance, 4(4), 86-95.</w:t>
      </w:r>
    </w:p>
    <w:p w14:paraId="64B40CA8" w14:textId="77777777" w:rsidR="00D636C8" w:rsidRPr="00D636C8" w:rsidRDefault="00D636C8" w:rsidP="00D636C8">
      <w:pPr>
        <w:pStyle w:val="NormalWeb"/>
        <w:spacing w:before="0"/>
        <w:ind w:left="720" w:hanging="720"/>
        <w:rPr>
          <w:color w:val="000000" w:themeColor="text1"/>
        </w:rPr>
      </w:pPr>
      <w:r w:rsidRPr="00D636C8">
        <w:rPr>
          <w:color w:val="000000" w:themeColor="text1"/>
        </w:rPr>
        <w:t>Kalcheva, D. (2017). Access to Debt Financing-opportunities for improvement of the investment capacity of Bulgarian Municipalities (for the period 2003-2015). Economic Alternatives, 3, 390-404.</w:t>
      </w:r>
    </w:p>
    <w:p w14:paraId="6A566F15" w14:textId="77777777" w:rsidR="00D636C8" w:rsidRPr="00D636C8" w:rsidRDefault="00D636C8" w:rsidP="00D636C8">
      <w:pPr>
        <w:pStyle w:val="NormalWeb"/>
        <w:spacing w:before="0"/>
        <w:ind w:left="720" w:hanging="720"/>
        <w:rPr>
          <w:color w:val="000000" w:themeColor="text1"/>
        </w:rPr>
      </w:pPr>
      <w:r w:rsidRPr="00D636C8">
        <w:rPr>
          <w:color w:val="000000" w:themeColor="text1"/>
        </w:rPr>
        <w:t>Karuma, M., Ndambiri, A., &amp; Oluoch, J. (2018). Effect of debt financing on financial performance of manufacturing firms in Nairobi Securities Exchange. The strategic Journal of Business and Change Management, pp 1674 - 1691.</w:t>
      </w:r>
    </w:p>
    <w:p w14:paraId="10F0619B" w14:textId="77777777" w:rsidR="00D636C8" w:rsidRPr="00D636C8" w:rsidRDefault="00D636C8" w:rsidP="00D636C8">
      <w:pPr>
        <w:pStyle w:val="NormalWeb"/>
        <w:spacing w:before="0"/>
        <w:ind w:left="720" w:hanging="720"/>
        <w:rPr>
          <w:color w:val="000000" w:themeColor="text1"/>
        </w:rPr>
      </w:pPr>
      <w:r w:rsidRPr="00D636C8">
        <w:rPr>
          <w:color w:val="000000" w:themeColor="text1"/>
        </w:rPr>
        <w:t>Kaumbuthu, A. J. (2011). The relationship between capital structure and financial performance: A study of firms listed under industrial and allied sector at the NSE.Unpulished MBA Project, University of Nairobi.</w:t>
      </w:r>
    </w:p>
    <w:p w14:paraId="70DD3D24" w14:textId="77777777" w:rsidR="00D636C8" w:rsidRPr="00D636C8" w:rsidRDefault="00D636C8" w:rsidP="00D636C8">
      <w:pPr>
        <w:pStyle w:val="NormalWeb"/>
        <w:spacing w:before="0"/>
        <w:ind w:left="720" w:hanging="720"/>
        <w:rPr>
          <w:color w:val="000000" w:themeColor="text1"/>
        </w:rPr>
      </w:pPr>
      <w:r w:rsidRPr="00D636C8">
        <w:rPr>
          <w:color w:val="000000" w:themeColor="text1"/>
        </w:rPr>
        <w:t>Keen, S., &amp; Standish, R. (2006). Profit maximization, industry structure and competition. A critique of neoclassical theory physica A: Statistical mechanics and its applications 370(1), 81-85.</w:t>
      </w:r>
    </w:p>
    <w:p w14:paraId="727F7301" w14:textId="77777777" w:rsidR="00D636C8" w:rsidRPr="00D636C8" w:rsidRDefault="00D636C8" w:rsidP="00D636C8">
      <w:pPr>
        <w:pStyle w:val="NormalWeb"/>
        <w:spacing w:before="0"/>
        <w:ind w:left="720" w:hanging="720"/>
        <w:rPr>
          <w:color w:val="000000" w:themeColor="text1"/>
        </w:rPr>
      </w:pPr>
      <w:r w:rsidRPr="00D636C8">
        <w:rPr>
          <w:color w:val="000000" w:themeColor="text1"/>
        </w:rPr>
        <w:t>Kibunja, P. N., &amp; Fatoki, O. I. (2020). Effect of Debt Financing on Financial Performance of Listed Non-Financial Firms in Kenya. Archives of Business Research, 8(7), 485-496.</w:t>
      </w:r>
    </w:p>
    <w:p w14:paraId="1E6BE0FB" w14:textId="77777777" w:rsidR="00D636C8" w:rsidRPr="00D636C8" w:rsidRDefault="00D636C8" w:rsidP="00D636C8">
      <w:pPr>
        <w:pStyle w:val="NormalWeb"/>
        <w:spacing w:before="0"/>
        <w:ind w:left="720" w:hanging="720"/>
        <w:rPr>
          <w:color w:val="000000" w:themeColor="text1"/>
        </w:rPr>
      </w:pPr>
      <w:r w:rsidRPr="00D636C8">
        <w:rPr>
          <w:color w:val="000000" w:themeColor="text1"/>
        </w:rPr>
        <w:t>Kim, E. H. (1978). A Mean-Variance Theory of Optimal Capital Structure and Corporate Debt Capacity. The Journal of Finance, 33(1),45.</w:t>
      </w:r>
    </w:p>
    <w:p w14:paraId="2BA2BB27" w14:textId="77777777" w:rsidR="00D636C8" w:rsidRPr="00D636C8" w:rsidRDefault="00D636C8" w:rsidP="00D636C8">
      <w:pPr>
        <w:pStyle w:val="NormalWeb"/>
        <w:spacing w:before="0"/>
        <w:ind w:left="720" w:hanging="720"/>
        <w:rPr>
          <w:color w:val="000000" w:themeColor="text1"/>
        </w:rPr>
      </w:pPr>
      <w:r w:rsidRPr="00D636C8">
        <w:rPr>
          <w:color w:val="000000" w:themeColor="text1"/>
        </w:rPr>
        <w:t>Kim, H. D., Kim, Y., &amp; Mantecon, T. (2019). Short-term institutional investors and agency costs of debt. Journal of Business Research, 95, 195-210.</w:t>
      </w:r>
    </w:p>
    <w:p w14:paraId="1CF282F7" w14:textId="77777777" w:rsidR="00D636C8" w:rsidRPr="00D636C8" w:rsidRDefault="00D636C8" w:rsidP="00D636C8">
      <w:pPr>
        <w:pStyle w:val="NormalWeb"/>
        <w:spacing w:before="0"/>
        <w:ind w:left="720" w:hanging="720"/>
        <w:rPr>
          <w:color w:val="000000" w:themeColor="text1"/>
        </w:rPr>
      </w:pPr>
      <w:r w:rsidRPr="00D636C8">
        <w:rPr>
          <w:color w:val="000000" w:themeColor="text1"/>
        </w:rPr>
        <w:t>Kothari, C. R. (2004). Research Methodology: Methods and techniques (2nd revised edition). New Delhi, India: New Age International Publishers Ltd.</w:t>
      </w:r>
      <w:bookmarkStart w:id="6" w:name="_GoBack"/>
      <w:bookmarkEnd w:id="6"/>
    </w:p>
    <w:p w14:paraId="1E96EF43"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Kraus, A., &amp; Litzenberger, R. H. (1973). A state-preference model of optimal financial leverage. The Journal of Finance, 28(4). pp. 911-922.</w:t>
      </w:r>
    </w:p>
    <w:p w14:paraId="1F65934A" w14:textId="77777777" w:rsidR="00D636C8" w:rsidRPr="00D636C8" w:rsidRDefault="00D636C8" w:rsidP="00D636C8">
      <w:pPr>
        <w:pStyle w:val="NormalWeb"/>
        <w:spacing w:before="0"/>
        <w:ind w:left="720" w:hanging="720"/>
        <w:rPr>
          <w:color w:val="000000" w:themeColor="text1"/>
        </w:rPr>
      </w:pPr>
      <w:r w:rsidRPr="00D636C8">
        <w:rPr>
          <w:color w:val="000000" w:themeColor="text1"/>
        </w:rPr>
        <w:t>Kraus, A., &amp; Litzenberger, R. H. (1973). A state-preference model of optimal financial leverage. The Journal of Fionance, 28(4), pp.911-922.</w:t>
      </w:r>
    </w:p>
    <w:p w14:paraId="16D04F55" w14:textId="77777777" w:rsidR="00D636C8" w:rsidRPr="00D636C8" w:rsidRDefault="00D636C8" w:rsidP="00D636C8">
      <w:pPr>
        <w:pStyle w:val="NormalWeb"/>
        <w:spacing w:before="0"/>
        <w:ind w:left="720" w:hanging="720"/>
        <w:rPr>
          <w:color w:val="000000" w:themeColor="text1"/>
        </w:rPr>
      </w:pPr>
      <w:r w:rsidRPr="00D636C8">
        <w:rPr>
          <w:color w:val="000000" w:themeColor="text1"/>
        </w:rPr>
        <w:t>Lambe, I. (2014). Corporate capital structure and firms market value in Nigeria. Research Journal of Finance and Accounting, 5, 12-16.</w:t>
      </w:r>
    </w:p>
    <w:p w14:paraId="5080345D" w14:textId="77777777" w:rsidR="00D636C8" w:rsidRPr="00D636C8" w:rsidRDefault="00D636C8" w:rsidP="00D636C8">
      <w:pPr>
        <w:pStyle w:val="NormalWeb"/>
        <w:spacing w:before="0"/>
        <w:ind w:left="720" w:hanging="720"/>
        <w:rPr>
          <w:color w:val="000000" w:themeColor="text1"/>
        </w:rPr>
      </w:pPr>
      <w:r w:rsidRPr="00D636C8">
        <w:rPr>
          <w:color w:val="000000" w:themeColor="text1"/>
        </w:rPr>
        <w:t>Langat, C. P., Chepkoech, L., Shavulimo, M. P., Wachira, M., &amp; Thuo, D. (2014). The effect of debt financing on profitability of Kenya Tea Development Authority.</w:t>
      </w:r>
    </w:p>
    <w:p w14:paraId="6165AE5F" w14:textId="77777777" w:rsidR="00D636C8" w:rsidRPr="00D636C8" w:rsidRDefault="00D636C8" w:rsidP="00D636C8">
      <w:pPr>
        <w:pStyle w:val="NormalWeb"/>
        <w:spacing w:before="0"/>
        <w:ind w:left="720" w:hanging="720"/>
        <w:rPr>
          <w:color w:val="000000" w:themeColor="text1"/>
        </w:rPr>
      </w:pPr>
      <w:r w:rsidRPr="00D636C8">
        <w:rPr>
          <w:color w:val="000000" w:themeColor="text1"/>
        </w:rPr>
        <w:t>Levin, S., Pastor, P., Krizhevsky, A., Ibarz, J., &amp; Quillen, D. (2018). Learning hand-eye coordination for robotic grasping with deep learning and large-scale data collection. The international journal of robotics research, 37(4-5), 421-436.</w:t>
      </w:r>
    </w:p>
    <w:p w14:paraId="14DF6382" w14:textId="77777777" w:rsidR="00D636C8" w:rsidRPr="00D636C8" w:rsidRDefault="00D636C8" w:rsidP="00D636C8">
      <w:pPr>
        <w:pStyle w:val="NormalWeb"/>
        <w:spacing w:before="0"/>
        <w:ind w:left="720" w:hanging="720"/>
        <w:rPr>
          <w:color w:val="000000" w:themeColor="text1"/>
        </w:rPr>
      </w:pPr>
      <w:r w:rsidRPr="00D636C8">
        <w:rPr>
          <w:color w:val="000000" w:themeColor="text1"/>
        </w:rPr>
        <w:t>Lishenga, L. (2003). The Determinants of Corporate Debt Maturity Structure for Companies Quoted at the Nairobi Securities Exchange, University of Nairobi.</w:t>
      </w:r>
    </w:p>
    <w:p w14:paraId="58F92267" w14:textId="77777777" w:rsidR="00D636C8" w:rsidRPr="00D636C8" w:rsidRDefault="00D636C8" w:rsidP="00D636C8">
      <w:pPr>
        <w:pStyle w:val="NormalWeb"/>
        <w:spacing w:before="0"/>
        <w:ind w:left="720" w:hanging="720"/>
        <w:rPr>
          <w:color w:val="000000" w:themeColor="text1"/>
        </w:rPr>
      </w:pPr>
      <w:r w:rsidRPr="00D636C8">
        <w:rPr>
          <w:color w:val="000000" w:themeColor="text1"/>
        </w:rPr>
        <w:t>Long, W. F., &amp; Ravenscarf, D. J. (1984). The Misuse of Accounting Rates of Return: Comment, American Economic Review, June 1984, 74, 495-500.</w:t>
      </w:r>
    </w:p>
    <w:p w14:paraId="68A9C1C0" w14:textId="77777777" w:rsidR="00D636C8" w:rsidRPr="00D636C8" w:rsidRDefault="00D636C8" w:rsidP="00D636C8">
      <w:pPr>
        <w:pStyle w:val="NormalWeb"/>
        <w:spacing w:before="0"/>
        <w:ind w:left="720" w:hanging="720"/>
        <w:rPr>
          <w:color w:val="000000" w:themeColor="text1"/>
        </w:rPr>
      </w:pPr>
      <w:r w:rsidRPr="00D636C8">
        <w:rPr>
          <w:color w:val="000000" w:themeColor="text1"/>
        </w:rPr>
        <w:t>Maghanga, E., &amp; Kalio, M. (2012). Effects of Leverage on Financial Performance of Parastatals. A Case of Kenya Power. International Journal of Science and Research, 3(10), 990-994.</w:t>
      </w:r>
    </w:p>
    <w:p w14:paraId="537AD803" w14:textId="77777777" w:rsidR="00D636C8" w:rsidRPr="00D636C8" w:rsidRDefault="00D636C8" w:rsidP="00D636C8">
      <w:pPr>
        <w:pStyle w:val="NormalWeb"/>
        <w:spacing w:before="0"/>
        <w:ind w:left="720" w:hanging="720"/>
        <w:rPr>
          <w:color w:val="000000" w:themeColor="text1"/>
        </w:rPr>
      </w:pPr>
      <w:r w:rsidRPr="00D636C8">
        <w:rPr>
          <w:color w:val="000000" w:themeColor="text1"/>
        </w:rPr>
        <w:t>Makanga, A. M. (2015). The Effect of Debt Financing on the Financial Performance of Companies Listed at the Nairobi Securities Exchange, University of Nairobi.</w:t>
      </w:r>
    </w:p>
    <w:p w14:paraId="2ABDCF32" w14:textId="77777777" w:rsidR="00D636C8" w:rsidRPr="00D636C8" w:rsidRDefault="00D636C8" w:rsidP="00D636C8">
      <w:pPr>
        <w:pStyle w:val="NormalWeb"/>
        <w:spacing w:before="0"/>
        <w:ind w:left="720" w:hanging="720"/>
        <w:rPr>
          <w:color w:val="000000" w:themeColor="text1"/>
        </w:rPr>
      </w:pPr>
      <w:r w:rsidRPr="00D636C8">
        <w:rPr>
          <w:color w:val="000000" w:themeColor="text1"/>
        </w:rPr>
        <w:t>Makanga, A. M. (2015). The Effect of Debt Financing on the Financial Performance of Companies Listed at the NSE. University of Nairobi.</w:t>
      </w:r>
    </w:p>
    <w:p w14:paraId="4EC27E6A" w14:textId="77777777" w:rsidR="00D636C8" w:rsidRPr="00D636C8" w:rsidRDefault="00D636C8" w:rsidP="00D636C8">
      <w:pPr>
        <w:pStyle w:val="NormalWeb"/>
        <w:spacing w:before="0"/>
        <w:ind w:left="720" w:hanging="720"/>
        <w:rPr>
          <w:color w:val="000000" w:themeColor="text1"/>
        </w:rPr>
      </w:pPr>
      <w:r w:rsidRPr="00D636C8">
        <w:rPr>
          <w:color w:val="000000" w:themeColor="text1"/>
        </w:rPr>
        <w:t>Malterud, K., Siersma, V. D., &amp; Guassora, A. D. (2016). Sample size in qualitative interview studies:guided by information power. Qualitative health research, 26(13), 1753-1760.</w:t>
      </w:r>
    </w:p>
    <w:p w14:paraId="16788CC4" w14:textId="77777777" w:rsidR="00D636C8" w:rsidRPr="00D636C8" w:rsidRDefault="00D636C8" w:rsidP="00D636C8">
      <w:pPr>
        <w:pStyle w:val="NormalWeb"/>
        <w:spacing w:before="0"/>
        <w:ind w:left="720" w:hanging="720"/>
        <w:rPr>
          <w:color w:val="000000" w:themeColor="text1"/>
        </w:rPr>
      </w:pPr>
      <w:r w:rsidRPr="00D636C8">
        <w:rPr>
          <w:color w:val="000000" w:themeColor="text1"/>
        </w:rPr>
        <w:t>Manzano, F. W. (2019). Effect of Debt Financing on Financial Performance Among Firms Listed at Nairobi Securities Exchange, University of Nairobi.</w:t>
      </w:r>
    </w:p>
    <w:p w14:paraId="29BCF007" w14:textId="77777777" w:rsidR="00D636C8" w:rsidRPr="00D636C8" w:rsidRDefault="00D636C8" w:rsidP="00D636C8">
      <w:pPr>
        <w:pStyle w:val="NormalWeb"/>
        <w:spacing w:before="0"/>
        <w:ind w:left="720" w:hanging="720"/>
        <w:rPr>
          <w:color w:val="000000" w:themeColor="text1"/>
        </w:rPr>
      </w:pPr>
      <w:r w:rsidRPr="00D636C8">
        <w:rPr>
          <w:color w:val="000000" w:themeColor="text1"/>
        </w:rPr>
        <w:t>Matarirano, O. (2007). An Investigation into the Impact of Debt Financing on the Profitability of Small Manufacturing Firms in Bulawayo, Zimbabwe. Sub-Saharan Africa:International Business Conference Pretoria, September 2007.</w:t>
      </w:r>
    </w:p>
    <w:p w14:paraId="5051188E" w14:textId="77777777" w:rsidR="00D636C8" w:rsidRPr="00D636C8" w:rsidRDefault="00D636C8" w:rsidP="00D636C8">
      <w:pPr>
        <w:pStyle w:val="NormalWeb"/>
        <w:spacing w:before="0"/>
        <w:ind w:left="720" w:hanging="720"/>
        <w:rPr>
          <w:color w:val="000000" w:themeColor="text1"/>
        </w:rPr>
      </w:pPr>
      <w:r w:rsidRPr="00D636C8">
        <w:rPr>
          <w:color w:val="000000" w:themeColor="text1"/>
        </w:rPr>
        <w:t>McColgan, P. (2001). Agency Theory and Corporate governance: A Review of the Literature from a UK perspective. Depertment of Accounting and Finance Working Paper, 6, 0203.</w:t>
      </w:r>
    </w:p>
    <w:p w14:paraId="5227DB86" w14:textId="77777777" w:rsidR="00D636C8" w:rsidRPr="00D636C8" w:rsidRDefault="00D636C8" w:rsidP="00D636C8">
      <w:pPr>
        <w:pStyle w:val="NormalWeb"/>
        <w:spacing w:before="0"/>
        <w:ind w:left="720" w:hanging="720"/>
        <w:rPr>
          <w:color w:val="000000" w:themeColor="text1"/>
        </w:rPr>
      </w:pPr>
      <w:r w:rsidRPr="00D636C8">
        <w:rPr>
          <w:color w:val="000000" w:themeColor="text1"/>
        </w:rPr>
        <w:t>McDaniel, I., &amp; Gates, R. (2001). Marketing Research Essentials, Third Edtion. United States: South-Western College Publishing.</w:t>
      </w:r>
    </w:p>
    <w:p w14:paraId="5E1D78A6" w14:textId="77777777" w:rsidR="00D636C8" w:rsidRPr="00D636C8" w:rsidRDefault="00D636C8" w:rsidP="00D636C8">
      <w:pPr>
        <w:pStyle w:val="NormalWeb"/>
        <w:spacing w:before="0"/>
        <w:ind w:left="720" w:hanging="720"/>
        <w:rPr>
          <w:color w:val="000000" w:themeColor="text1"/>
        </w:rPr>
      </w:pPr>
      <w:r w:rsidRPr="00D636C8">
        <w:rPr>
          <w:color w:val="000000" w:themeColor="text1"/>
        </w:rPr>
        <w:t>Miller, M. H. (1977). Debt andTaxes. The Journal of Finance 32(2), 261.</w:t>
      </w:r>
    </w:p>
    <w:p w14:paraId="2BAA5165"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Modigliani, F., &amp; Miller, M. H. (1958). The cost of capital, corporate finance and the theory of investment, American Economic REview (48), pp. 261-297.</w:t>
      </w:r>
    </w:p>
    <w:p w14:paraId="40016868" w14:textId="77777777" w:rsidR="00D636C8" w:rsidRPr="00D636C8" w:rsidRDefault="00D636C8" w:rsidP="00D636C8">
      <w:pPr>
        <w:pStyle w:val="NormalWeb"/>
        <w:spacing w:before="0"/>
        <w:ind w:left="720" w:hanging="720"/>
        <w:rPr>
          <w:color w:val="000000" w:themeColor="text1"/>
        </w:rPr>
      </w:pPr>
      <w:r w:rsidRPr="00D636C8">
        <w:rPr>
          <w:color w:val="000000" w:themeColor="text1"/>
        </w:rPr>
        <w:t>Modigliani, F., &amp; Miller, M. H. (1963). Corporate income taxes and the cost of capital: a correction. The American Economic Review, 433-443.</w:t>
      </w:r>
    </w:p>
    <w:p w14:paraId="110F3A05" w14:textId="77777777" w:rsidR="00D636C8" w:rsidRPr="00D636C8" w:rsidRDefault="00D636C8" w:rsidP="00D636C8">
      <w:pPr>
        <w:pStyle w:val="NormalWeb"/>
        <w:spacing w:before="0"/>
        <w:ind w:left="720" w:hanging="720"/>
        <w:rPr>
          <w:color w:val="000000" w:themeColor="text1"/>
        </w:rPr>
      </w:pPr>
      <w:r w:rsidRPr="00D636C8">
        <w:rPr>
          <w:color w:val="000000" w:themeColor="text1"/>
        </w:rPr>
        <w:t>Momanyi, A. O. (2018). Effect of debt financing on financial performance of commercial and services firms listed in Nairobi Securities Exchange.University of Nairobi.</w:t>
      </w:r>
    </w:p>
    <w:p w14:paraId="10319C4C" w14:textId="77777777" w:rsidR="00D636C8" w:rsidRPr="00D636C8" w:rsidRDefault="00D636C8" w:rsidP="00D636C8">
      <w:pPr>
        <w:pStyle w:val="NormalWeb"/>
        <w:spacing w:before="0"/>
        <w:ind w:left="720" w:hanging="720"/>
        <w:rPr>
          <w:color w:val="000000" w:themeColor="text1"/>
        </w:rPr>
      </w:pPr>
      <w:r w:rsidRPr="00D636C8">
        <w:rPr>
          <w:color w:val="000000" w:themeColor="text1"/>
        </w:rPr>
        <w:t>Mostafa, H. T., &amp; Boregowda, S. (2014). A Brief Review of Capital Structure Theories. Research Journal of Recent Sciences, 3(10), 113-118.</w:t>
      </w:r>
    </w:p>
    <w:p w14:paraId="5A45D837" w14:textId="77777777" w:rsidR="00D636C8" w:rsidRPr="00D636C8" w:rsidRDefault="00D636C8" w:rsidP="00D636C8">
      <w:pPr>
        <w:pStyle w:val="NormalWeb"/>
        <w:spacing w:before="0"/>
        <w:ind w:left="720" w:hanging="720"/>
        <w:rPr>
          <w:color w:val="000000" w:themeColor="text1"/>
        </w:rPr>
      </w:pPr>
      <w:r w:rsidRPr="00D636C8">
        <w:rPr>
          <w:color w:val="000000" w:themeColor="text1"/>
        </w:rPr>
        <w:t>Muchagia, L. (2013). The effect of debt financing on firm profitability of Commercial Banks in Kenya, University of Nairobi.</w:t>
      </w:r>
    </w:p>
    <w:p w14:paraId="44849032" w14:textId="77777777" w:rsidR="00D636C8" w:rsidRPr="00D636C8" w:rsidRDefault="00D636C8" w:rsidP="00D636C8">
      <w:pPr>
        <w:pStyle w:val="NormalWeb"/>
        <w:spacing w:before="0"/>
        <w:ind w:left="720" w:hanging="720"/>
        <w:rPr>
          <w:color w:val="000000" w:themeColor="text1"/>
        </w:rPr>
      </w:pPr>
      <w:r w:rsidRPr="00D636C8">
        <w:rPr>
          <w:color w:val="000000" w:themeColor="text1"/>
        </w:rPr>
        <w:t>Muchugia, L. (2013). The effect of debt financing on firm profitability of commercial banks in Kenya. University of Nairobi.</w:t>
      </w:r>
    </w:p>
    <w:p w14:paraId="2C9C9C51" w14:textId="77777777" w:rsidR="00D636C8" w:rsidRPr="00D636C8" w:rsidRDefault="00D636C8" w:rsidP="00D636C8">
      <w:pPr>
        <w:pStyle w:val="NormalWeb"/>
        <w:spacing w:before="0"/>
        <w:ind w:left="720" w:hanging="720"/>
        <w:rPr>
          <w:color w:val="000000" w:themeColor="text1"/>
        </w:rPr>
      </w:pPr>
      <w:r w:rsidRPr="00D636C8">
        <w:rPr>
          <w:color w:val="000000" w:themeColor="text1"/>
        </w:rPr>
        <w:t>Mugenda, O. M., &amp; Mugenda, A. G. (2003). Research Methods,Quantitative and Qualitative Approaches. Press Africa Center for Technology Studies. Nairobi.</w:t>
      </w:r>
    </w:p>
    <w:p w14:paraId="0F259437" w14:textId="77777777" w:rsidR="00D636C8" w:rsidRPr="00D636C8" w:rsidRDefault="00D636C8" w:rsidP="00D636C8">
      <w:pPr>
        <w:pStyle w:val="NormalWeb"/>
        <w:spacing w:before="0"/>
        <w:ind w:left="720" w:hanging="720"/>
        <w:rPr>
          <w:color w:val="000000" w:themeColor="text1"/>
        </w:rPr>
      </w:pPr>
      <w:r w:rsidRPr="00D636C8">
        <w:rPr>
          <w:color w:val="000000" w:themeColor="text1"/>
        </w:rPr>
        <w:t>Mugenda, O. M., &amp; Mugenda, A. G. (2012). Research methods, Quantitative and qualitative approaches.</w:t>
      </w:r>
    </w:p>
    <w:p w14:paraId="2FB3ABB8" w14:textId="77777777" w:rsidR="00D636C8" w:rsidRPr="00D636C8" w:rsidRDefault="00D636C8" w:rsidP="00D636C8">
      <w:pPr>
        <w:pStyle w:val="NormalWeb"/>
        <w:spacing w:before="0"/>
        <w:ind w:left="720" w:hanging="720"/>
        <w:rPr>
          <w:color w:val="000000" w:themeColor="text1"/>
        </w:rPr>
      </w:pPr>
      <w:r w:rsidRPr="00D636C8">
        <w:rPr>
          <w:color w:val="000000" w:themeColor="text1"/>
        </w:rPr>
        <w:t>Murphy, K. (1985). Corporate Performance and Managerial Remuneration: An empirical analysis,. Journal of Accounting and Economics, &amp;, pp.11-42.</w:t>
      </w:r>
    </w:p>
    <w:p w14:paraId="1ACF6BFE" w14:textId="77777777" w:rsidR="00D636C8" w:rsidRPr="00D636C8" w:rsidRDefault="00D636C8" w:rsidP="00D636C8">
      <w:pPr>
        <w:pStyle w:val="NormalWeb"/>
        <w:spacing w:before="0"/>
        <w:ind w:left="720" w:hanging="720"/>
        <w:rPr>
          <w:color w:val="000000" w:themeColor="text1"/>
        </w:rPr>
      </w:pPr>
      <w:r w:rsidRPr="00D636C8">
        <w:rPr>
          <w:color w:val="000000" w:themeColor="text1"/>
        </w:rPr>
        <w:t>Museiga, M. G. (2013). Capital Structure and Performance: Evidence from listed non-financial firms on Nairobi Securities Exchange, Kenya. International Journal for Management Science and Technology.</w:t>
      </w:r>
    </w:p>
    <w:p w14:paraId="226EA0F4" w14:textId="77777777" w:rsidR="00D636C8" w:rsidRPr="00D636C8" w:rsidRDefault="00D636C8" w:rsidP="00D636C8">
      <w:pPr>
        <w:pStyle w:val="NormalWeb"/>
        <w:spacing w:before="0"/>
        <w:ind w:left="720" w:hanging="720"/>
        <w:rPr>
          <w:color w:val="000000" w:themeColor="text1"/>
        </w:rPr>
      </w:pPr>
      <w:r w:rsidRPr="00D636C8">
        <w:rPr>
          <w:color w:val="000000" w:themeColor="text1"/>
        </w:rPr>
        <w:t>Myers. (1984). Capital Structure Puzzle. The Journal of Finance, 39(3), 575-592.</w:t>
      </w:r>
    </w:p>
    <w:p w14:paraId="09217488" w14:textId="77777777" w:rsidR="00D636C8" w:rsidRPr="00D636C8" w:rsidRDefault="00D636C8" w:rsidP="00D636C8">
      <w:pPr>
        <w:pStyle w:val="NormalWeb"/>
        <w:spacing w:before="0"/>
        <w:ind w:left="720" w:hanging="720"/>
        <w:rPr>
          <w:color w:val="000000" w:themeColor="text1"/>
        </w:rPr>
      </w:pPr>
      <w:r w:rsidRPr="00D636C8">
        <w:rPr>
          <w:color w:val="000000" w:themeColor="text1"/>
        </w:rPr>
        <w:t>Myers, S. C. (1977). Determinants of Corporate Borrowing . Journal of Financial Economics 5, 147-175.</w:t>
      </w:r>
    </w:p>
    <w:p w14:paraId="6380283F" w14:textId="77777777" w:rsidR="00D636C8" w:rsidRPr="00D636C8" w:rsidRDefault="00D636C8" w:rsidP="00D636C8">
      <w:pPr>
        <w:pStyle w:val="NormalWeb"/>
        <w:spacing w:before="0"/>
        <w:ind w:left="720" w:hanging="720"/>
        <w:rPr>
          <w:color w:val="000000" w:themeColor="text1"/>
        </w:rPr>
      </w:pPr>
      <w:r w:rsidRPr="00D636C8">
        <w:rPr>
          <w:color w:val="000000" w:themeColor="text1"/>
        </w:rPr>
        <w:t>Myers, S. C., &amp; Majluf, N. S. (1984). Corporate financing and investment decisions when firms have information investors do not have. Journal of Financial Economics, 13(2), 187-221.</w:t>
      </w:r>
    </w:p>
    <w:p w14:paraId="4694E47C" w14:textId="77777777" w:rsidR="00D636C8" w:rsidRPr="00D636C8" w:rsidRDefault="00D636C8" w:rsidP="00D636C8">
      <w:pPr>
        <w:pStyle w:val="NormalWeb"/>
        <w:spacing w:before="0"/>
        <w:ind w:left="720" w:hanging="720"/>
        <w:rPr>
          <w:color w:val="000000" w:themeColor="text1"/>
        </w:rPr>
      </w:pPr>
      <w:r w:rsidRPr="00D636C8">
        <w:rPr>
          <w:color w:val="000000" w:themeColor="text1"/>
        </w:rPr>
        <w:t>Ng'ang'a, D. W. (2017). The effect of debt financing on financial performance of private secondary schools in Kajiado County.</w:t>
      </w:r>
    </w:p>
    <w:p w14:paraId="22A005A7" w14:textId="590E3C97" w:rsidR="00B55CEF" w:rsidRPr="00B55CEF" w:rsidRDefault="00D636C8" w:rsidP="00D636C8">
      <w:pPr>
        <w:pStyle w:val="NormalWeb"/>
        <w:spacing w:before="0" w:after="0" w:afterAutospacing="0"/>
        <w:ind w:left="720" w:hanging="720"/>
        <w:rPr>
          <w:color w:val="000000" w:themeColor="text1"/>
        </w:rPr>
      </w:pPr>
      <w:r w:rsidRPr="00D636C8">
        <w:rPr>
          <w:color w:val="000000" w:themeColor="text1"/>
        </w:rPr>
        <w:t>Njoroge, F. K. (2013). The Relationship Between Interest Rates and Financial Performance of Firms Listed at the Nairobi Securities Exchange. University of Nairobi.</w:t>
      </w:r>
    </w:p>
    <w:sectPr w:rsidR="00B55CEF" w:rsidRPr="00B55CEF"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3F15" w14:textId="77777777" w:rsidR="007267AF" w:rsidRDefault="007267AF">
      <w:pPr>
        <w:spacing w:before="0" w:line="240" w:lineRule="auto"/>
      </w:pPr>
      <w:r>
        <w:separator/>
      </w:r>
    </w:p>
  </w:endnote>
  <w:endnote w:type="continuationSeparator" w:id="0">
    <w:p w14:paraId="30CCD9C3" w14:textId="77777777" w:rsidR="007267AF" w:rsidRDefault="007267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3FCB" w14:textId="77777777" w:rsidR="001A5896" w:rsidRDefault="001A5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3C881C5E"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F80DFD">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4057" w14:textId="77777777" w:rsidR="001A5896" w:rsidRDefault="001A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64A6A" w14:textId="77777777" w:rsidR="007267AF" w:rsidRDefault="007267AF">
      <w:pPr>
        <w:spacing w:before="0" w:line="240" w:lineRule="auto"/>
      </w:pPr>
      <w:r>
        <w:separator/>
      </w:r>
    </w:p>
  </w:footnote>
  <w:footnote w:type="continuationSeparator" w:id="0">
    <w:p w14:paraId="41F7B898" w14:textId="77777777" w:rsidR="007267AF" w:rsidRDefault="007267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CC27" w14:textId="21068784" w:rsidR="001A5896" w:rsidRDefault="001A5896">
    <w:pPr>
      <w:pStyle w:val="Header"/>
    </w:pPr>
    <w:r>
      <w:rPr>
        <w:noProof/>
      </w:rPr>
      <w:pict w14:anchorId="6FA82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10797"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FFC8" w14:textId="2170A670" w:rsidR="001A5896" w:rsidRDefault="001A5896">
    <w:pPr>
      <w:pStyle w:val="Header"/>
    </w:pPr>
    <w:r>
      <w:rPr>
        <w:noProof/>
      </w:rPr>
      <w:pict w14:anchorId="387CA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10798"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2518" w14:textId="4E691284" w:rsidR="001A5896" w:rsidRDefault="001A5896">
    <w:pPr>
      <w:pStyle w:val="Header"/>
    </w:pPr>
    <w:r>
      <w:rPr>
        <w:noProof/>
      </w:rPr>
      <w:pict w14:anchorId="5544E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10796"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4" w15:restartNumberingAfterBreak="0">
    <w:nsid w:val="761138A9"/>
    <w:multiLevelType w:val="hybridMultilevel"/>
    <w:tmpl w:val="D610D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0"/>
  </w:num>
  <w:num w:numId="3">
    <w:abstractNumId w:val="16"/>
  </w:num>
  <w:num w:numId="4">
    <w:abstractNumId w:val="15"/>
  </w:num>
  <w:num w:numId="5">
    <w:abstractNumId w:val="11"/>
  </w:num>
  <w:num w:numId="6">
    <w:abstractNumId w:val="13"/>
  </w:num>
  <w:num w:numId="7">
    <w:abstractNumId w:val="3"/>
  </w:num>
  <w:num w:numId="8">
    <w:abstractNumId w:val="0"/>
  </w:num>
  <w:num w:numId="9">
    <w:abstractNumId w:val="8"/>
  </w:num>
  <w:num w:numId="10">
    <w:abstractNumId w:val="5"/>
  </w:num>
  <w:num w:numId="11">
    <w:abstractNumId w:val="1"/>
  </w:num>
  <w:num w:numId="12">
    <w:abstractNumId w:val="7"/>
  </w:num>
  <w:num w:numId="13">
    <w:abstractNumId w:val="9"/>
  </w:num>
  <w:num w:numId="14">
    <w:abstractNumId w:val="12"/>
  </w:num>
  <w:num w:numId="15">
    <w:abstractNumId w:val="2"/>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DG0MDMDMo2MDJV0lIJTi4sz8/NACgxrARBL4oIsAAAA"/>
  </w:docVars>
  <w:rsids>
    <w:rsidRoot w:val="00055D83"/>
    <w:rsid w:val="00001648"/>
    <w:rsid w:val="00005286"/>
    <w:rsid w:val="00014726"/>
    <w:rsid w:val="0001490C"/>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1281"/>
    <w:rsid w:val="0009733F"/>
    <w:rsid w:val="000A3BD7"/>
    <w:rsid w:val="000A57EC"/>
    <w:rsid w:val="000A6884"/>
    <w:rsid w:val="000B496D"/>
    <w:rsid w:val="000C037E"/>
    <w:rsid w:val="000D075E"/>
    <w:rsid w:val="000D0F56"/>
    <w:rsid w:val="000D1B44"/>
    <w:rsid w:val="000D7152"/>
    <w:rsid w:val="000D7DAA"/>
    <w:rsid w:val="000E2349"/>
    <w:rsid w:val="00111B62"/>
    <w:rsid w:val="001163C7"/>
    <w:rsid w:val="00130874"/>
    <w:rsid w:val="0013573C"/>
    <w:rsid w:val="001403AD"/>
    <w:rsid w:val="00142F60"/>
    <w:rsid w:val="001450C8"/>
    <w:rsid w:val="001452A3"/>
    <w:rsid w:val="00154669"/>
    <w:rsid w:val="00162029"/>
    <w:rsid w:val="00167C75"/>
    <w:rsid w:val="0017796D"/>
    <w:rsid w:val="0018163F"/>
    <w:rsid w:val="001938DE"/>
    <w:rsid w:val="001A5880"/>
    <w:rsid w:val="001A5896"/>
    <w:rsid w:val="001C0412"/>
    <w:rsid w:val="001C4B7D"/>
    <w:rsid w:val="001D23A9"/>
    <w:rsid w:val="001D4A55"/>
    <w:rsid w:val="001D6A60"/>
    <w:rsid w:val="001E0043"/>
    <w:rsid w:val="001E21F0"/>
    <w:rsid w:val="001E5289"/>
    <w:rsid w:val="001E649F"/>
    <w:rsid w:val="001F024F"/>
    <w:rsid w:val="001F1573"/>
    <w:rsid w:val="001F27A6"/>
    <w:rsid w:val="001F2B0E"/>
    <w:rsid w:val="001F51C1"/>
    <w:rsid w:val="001F7468"/>
    <w:rsid w:val="00204AAD"/>
    <w:rsid w:val="0021142D"/>
    <w:rsid w:val="0022048F"/>
    <w:rsid w:val="0022156B"/>
    <w:rsid w:val="00223099"/>
    <w:rsid w:val="00223A1A"/>
    <w:rsid w:val="0022500A"/>
    <w:rsid w:val="00241BF3"/>
    <w:rsid w:val="00243673"/>
    <w:rsid w:val="00243C69"/>
    <w:rsid w:val="0024737A"/>
    <w:rsid w:val="0025635B"/>
    <w:rsid w:val="00260B2D"/>
    <w:rsid w:val="002645C1"/>
    <w:rsid w:val="00270AED"/>
    <w:rsid w:val="00271CF6"/>
    <w:rsid w:val="00274AC6"/>
    <w:rsid w:val="00275DB3"/>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DFA"/>
    <w:rsid w:val="003131D7"/>
    <w:rsid w:val="003140FD"/>
    <w:rsid w:val="00323D68"/>
    <w:rsid w:val="00324548"/>
    <w:rsid w:val="0033028F"/>
    <w:rsid w:val="0033151D"/>
    <w:rsid w:val="00336C6D"/>
    <w:rsid w:val="00337145"/>
    <w:rsid w:val="00342FD9"/>
    <w:rsid w:val="00343363"/>
    <w:rsid w:val="00344733"/>
    <w:rsid w:val="00350345"/>
    <w:rsid w:val="003607E2"/>
    <w:rsid w:val="0036344E"/>
    <w:rsid w:val="00370F8B"/>
    <w:rsid w:val="00372DCB"/>
    <w:rsid w:val="00376BF4"/>
    <w:rsid w:val="0038103F"/>
    <w:rsid w:val="003A2387"/>
    <w:rsid w:val="003C4227"/>
    <w:rsid w:val="003C581F"/>
    <w:rsid w:val="003C59BB"/>
    <w:rsid w:val="003C7107"/>
    <w:rsid w:val="003D2541"/>
    <w:rsid w:val="003D39AB"/>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916BB"/>
    <w:rsid w:val="004963A4"/>
    <w:rsid w:val="00496991"/>
    <w:rsid w:val="004A12F4"/>
    <w:rsid w:val="004A3F7C"/>
    <w:rsid w:val="004A5357"/>
    <w:rsid w:val="004B7C71"/>
    <w:rsid w:val="004C3121"/>
    <w:rsid w:val="004C41F7"/>
    <w:rsid w:val="004C4596"/>
    <w:rsid w:val="004D081D"/>
    <w:rsid w:val="004D5CCD"/>
    <w:rsid w:val="004D7E05"/>
    <w:rsid w:val="004E3D2D"/>
    <w:rsid w:val="004E4A2C"/>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D3FE1"/>
    <w:rsid w:val="005D72F4"/>
    <w:rsid w:val="005E3D2C"/>
    <w:rsid w:val="005E540E"/>
    <w:rsid w:val="005F1DA5"/>
    <w:rsid w:val="005F2F50"/>
    <w:rsid w:val="0060683F"/>
    <w:rsid w:val="00610BEF"/>
    <w:rsid w:val="0061111A"/>
    <w:rsid w:val="00615B2D"/>
    <w:rsid w:val="00615E54"/>
    <w:rsid w:val="006166A0"/>
    <w:rsid w:val="00616E93"/>
    <w:rsid w:val="006177C4"/>
    <w:rsid w:val="006211E5"/>
    <w:rsid w:val="00622E5D"/>
    <w:rsid w:val="00623C02"/>
    <w:rsid w:val="00632E53"/>
    <w:rsid w:val="006351E7"/>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267AF"/>
    <w:rsid w:val="007313ED"/>
    <w:rsid w:val="00750F50"/>
    <w:rsid w:val="0076188C"/>
    <w:rsid w:val="00762807"/>
    <w:rsid w:val="007656A9"/>
    <w:rsid w:val="0077042C"/>
    <w:rsid w:val="007723B6"/>
    <w:rsid w:val="00774F84"/>
    <w:rsid w:val="007769D0"/>
    <w:rsid w:val="00777615"/>
    <w:rsid w:val="00784B96"/>
    <w:rsid w:val="00785F6F"/>
    <w:rsid w:val="00786D5A"/>
    <w:rsid w:val="00790BF9"/>
    <w:rsid w:val="00795B86"/>
    <w:rsid w:val="00797B58"/>
    <w:rsid w:val="007A0442"/>
    <w:rsid w:val="007A2567"/>
    <w:rsid w:val="007A48D9"/>
    <w:rsid w:val="007A602B"/>
    <w:rsid w:val="007A6B64"/>
    <w:rsid w:val="007A7328"/>
    <w:rsid w:val="007A784F"/>
    <w:rsid w:val="007A7BFC"/>
    <w:rsid w:val="007B75C6"/>
    <w:rsid w:val="007C3182"/>
    <w:rsid w:val="007C6929"/>
    <w:rsid w:val="007D08AC"/>
    <w:rsid w:val="007D4F35"/>
    <w:rsid w:val="007E5A6C"/>
    <w:rsid w:val="007F1318"/>
    <w:rsid w:val="007F4F3C"/>
    <w:rsid w:val="008003E7"/>
    <w:rsid w:val="0081762C"/>
    <w:rsid w:val="008209F0"/>
    <w:rsid w:val="00822A7E"/>
    <w:rsid w:val="008241C5"/>
    <w:rsid w:val="008263C5"/>
    <w:rsid w:val="008456FF"/>
    <w:rsid w:val="00854FF7"/>
    <w:rsid w:val="00857BF9"/>
    <w:rsid w:val="00860F17"/>
    <w:rsid w:val="00870B4E"/>
    <w:rsid w:val="008718EE"/>
    <w:rsid w:val="00872612"/>
    <w:rsid w:val="00876071"/>
    <w:rsid w:val="00876501"/>
    <w:rsid w:val="00880213"/>
    <w:rsid w:val="00895281"/>
    <w:rsid w:val="008A066F"/>
    <w:rsid w:val="008A5E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0239"/>
    <w:rsid w:val="009841F2"/>
    <w:rsid w:val="00993BED"/>
    <w:rsid w:val="009963FB"/>
    <w:rsid w:val="009A067C"/>
    <w:rsid w:val="009A1D5D"/>
    <w:rsid w:val="009A4835"/>
    <w:rsid w:val="009B17C5"/>
    <w:rsid w:val="009B2CE5"/>
    <w:rsid w:val="009B3203"/>
    <w:rsid w:val="009B38E7"/>
    <w:rsid w:val="009B7DE4"/>
    <w:rsid w:val="009C0C7F"/>
    <w:rsid w:val="009C11BB"/>
    <w:rsid w:val="009D5CE2"/>
    <w:rsid w:val="009E0B92"/>
    <w:rsid w:val="009E0CF9"/>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A1E"/>
    <w:rsid w:val="00AC0D69"/>
    <w:rsid w:val="00AD0959"/>
    <w:rsid w:val="00AD6429"/>
    <w:rsid w:val="00AE3DAD"/>
    <w:rsid w:val="00AE4AA5"/>
    <w:rsid w:val="00AF253B"/>
    <w:rsid w:val="00B00FCB"/>
    <w:rsid w:val="00B03327"/>
    <w:rsid w:val="00B04E6C"/>
    <w:rsid w:val="00B067EB"/>
    <w:rsid w:val="00B108BB"/>
    <w:rsid w:val="00B22173"/>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6A0A"/>
    <w:rsid w:val="00BC7830"/>
    <w:rsid w:val="00BD0E33"/>
    <w:rsid w:val="00BD15A0"/>
    <w:rsid w:val="00BD64EB"/>
    <w:rsid w:val="00BD7BE1"/>
    <w:rsid w:val="00BE1869"/>
    <w:rsid w:val="00BE24E1"/>
    <w:rsid w:val="00BF6F97"/>
    <w:rsid w:val="00C01423"/>
    <w:rsid w:val="00C03297"/>
    <w:rsid w:val="00C053F5"/>
    <w:rsid w:val="00C06731"/>
    <w:rsid w:val="00C10FCA"/>
    <w:rsid w:val="00C1335A"/>
    <w:rsid w:val="00C237CE"/>
    <w:rsid w:val="00C25488"/>
    <w:rsid w:val="00C32AB8"/>
    <w:rsid w:val="00C4118B"/>
    <w:rsid w:val="00C529EB"/>
    <w:rsid w:val="00C54577"/>
    <w:rsid w:val="00C62CC9"/>
    <w:rsid w:val="00C64A93"/>
    <w:rsid w:val="00C67694"/>
    <w:rsid w:val="00C864EE"/>
    <w:rsid w:val="00C9348C"/>
    <w:rsid w:val="00C95979"/>
    <w:rsid w:val="00CA2418"/>
    <w:rsid w:val="00CA6BD4"/>
    <w:rsid w:val="00CB6E82"/>
    <w:rsid w:val="00CD55B9"/>
    <w:rsid w:val="00CE4C91"/>
    <w:rsid w:val="00CF18A2"/>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36C8"/>
    <w:rsid w:val="00D656A4"/>
    <w:rsid w:val="00D665A0"/>
    <w:rsid w:val="00D73F27"/>
    <w:rsid w:val="00D74259"/>
    <w:rsid w:val="00D7477F"/>
    <w:rsid w:val="00D94638"/>
    <w:rsid w:val="00DA0813"/>
    <w:rsid w:val="00DB266B"/>
    <w:rsid w:val="00DB408B"/>
    <w:rsid w:val="00DC406B"/>
    <w:rsid w:val="00DC4076"/>
    <w:rsid w:val="00DC411F"/>
    <w:rsid w:val="00DD21C0"/>
    <w:rsid w:val="00DE2430"/>
    <w:rsid w:val="00DE5974"/>
    <w:rsid w:val="00DF126E"/>
    <w:rsid w:val="00E0554F"/>
    <w:rsid w:val="00E07021"/>
    <w:rsid w:val="00E1065F"/>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60AE6"/>
    <w:rsid w:val="00E63DD0"/>
    <w:rsid w:val="00E70601"/>
    <w:rsid w:val="00E728DB"/>
    <w:rsid w:val="00E730D7"/>
    <w:rsid w:val="00E737F5"/>
    <w:rsid w:val="00E73E17"/>
    <w:rsid w:val="00E77E87"/>
    <w:rsid w:val="00E819C7"/>
    <w:rsid w:val="00E85394"/>
    <w:rsid w:val="00E85589"/>
    <w:rsid w:val="00E87A78"/>
    <w:rsid w:val="00EA355D"/>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655B"/>
    <w:rsid w:val="00F74A68"/>
    <w:rsid w:val="00F74BD5"/>
    <w:rsid w:val="00F80DFD"/>
    <w:rsid w:val="00F857CA"/>
    <w:rsid w:val="00F926C6"/>
    <w:rsid w:val="00F93EB9"/>
    <w:rsid w:val="00FA3A0A"/>
    <w:rsid w:val="00FA74EF"/>
    <w:rsid w:val="00FB029C"/>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PlainTable21">
    <w:name w:val="Plain Table 21"/>
    <w:basedOn w:val="TableNormal"/>
    <w:uiPriority w:val="42"/>
    <w:rsid w:val="009A483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2">
    <w:name w:val="Style2"/>
    <w:basedOn w:val="TableSimple1"/>
    <w:uiPriority w:val="99"/>
    <w:rsid w:val="004D7E05"/>
    <w:pPr>
      <w:spacing w:before="0" w:line="240" w:lineRule="auto"/>
    </w:pPr>
    <w:rPr>
      <w:kern w:val="0"/>
      <w:sz w:val="20"/>
      <w:szCs w:val="20"/>
      <w:lang w:val="en-GB" w:eastAsia="en-GB"/>
      <w14:ligatures w14:val="none"/>
    </w:rPr>
    <w:tblPr>
      <w:tblBorders>
        <w:top w:val="single" w:sz="4" w:space="0" w:color="auto"/>
        <w:bottom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4D7E05"/>
    <w:pPr>
      <w:spacing w:before="240" w:after="0" w:line="48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876071"/>
    <w:rPr>
      <w:color w:val="605E5C"/>
      <w:shd w:val="clear" w:color="auto" w:fill="E1DFDD"/>
    </w:rPr>
  </w:style>
  <w:style w:type="paragraph" w:styleId="Header">
    <w:name w:val="header"/>
    <w:basedOn w:val="Normal"/>
    <w:link w:val="HeaderChar"/>
    <w:uiPriority w:val="99"/>
    <w:unhideWhenUsed/>
    <w:rsid w:val="001A589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A5896"/>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9810</Words>
  <Characters>55920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9</cp:revision>
  <dcterms:created xsi:type="dcterms:W3CDTF">2025-09-24T08:13:00Z</dcterms:created>
  <dcterms:modified xsi:type="dcterms:W3CDTF">2025-09-24T14:03:00Z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618a3852-bcc2-4793-b78c-e6873a6a463a</vt:lpwstr>
  </property>
</Properties>
</file>