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B5045" w14:textId="7BC2C26D" w:rsidR="000C0213" w:rsidRPr="00D60BD2" w:rsidRDefault="00444D35" w:rsidP="009C2866">
      <w:pPr>
        <w:spacing w:line="360" w:lineRule="auto"/>
        <w:jc w:val="center"/>
        <w:rPr>
          <w:rFonts w:ascii="Times New Roman" w:hAnsi="Times New Roman" w:cs="Times New Roman"/>
          <w:b/>
          <w:bCs/>
          <w:sz w:val="24"/>
          <w:szCs w:val="24"/>
        </w:rPr>
      </w:pPr>
      <w:bookmarkStart w:id="0" w:name="_Hlk207631636"/>
      <w:bookmarkStart w:id="1" w:name="_Hlk207626216"/>
      <w:r w:rsidRPr="00444D35">
        <w:rPr>
          <w:rFonts w:ascii="Times New Roman" w:eastAsia="Times New Roman" w:hAnsi="Times New Roman" w:cs="Times New Roman"/>
          <w:b/>
          <w:bCs/>
          <w:sz w:val="24"/>
          <w:szCs w:val="24"/>
          <w:lang w:eastAsia="ja-JP"/>
        </w:rPr>
        <w:t xml:space="preserve">Entrepreneurship Management </w:t>
      </w:r>
      <w:bookmarkEnd w:id="0"/>
      <w:r w:rsidRPr="00444D35">
        <w:rPr>
          <w:rFonts w:ascii="Times New Roman" w:eastAsia="Times New Roman" w:hAnsi="Times New Roman" w:cs="Times New Roman"/>
          <w:b/>
          <w:bCs/>
          <w:sz w:val="24"/>
          <w:szCs w:val="24"/>
          <w:lang w:eastAsia="ja-JP"/>
        </w:rPr>
        <w:t>and Youth Empowerment</w:t>
      </w:r>
      <w:r w:rsidR="009C2866">
        <w:rPr>
          <w:rFonts w:ascii="Times New Roman" w:eastAsia="Times New Roman" w:hAnsi="Times New Roman" w:cs="Times New Roman"/>
          <w:b/>
          <w:bCs/>
          <w:sz w:val="24"/>
          <w:szCs w:val="24"/>
          <w:lang w:eastAsia="ja-JP"/>
        </w:rPr>
        <w:t>:</w:t>
      </w:r>
      <w:r w:rsidRPr="00444D35">
        <w:rPr>
          <w:rFonts w:ascii="Times New Roman" w:eastAsia="Times New Roman" w:hAnsi="Times New Roman" w:cs="Times New Roman"/>
          <w:b/>
          <w:bCs/>
          <w:sz w:val="24"/>
          <w:szCs w:val="24"/>
          <w:lang w:eastAsia="ja-JP"/>
        </w:rPr>
        <w:t xml:space="preserve"> </w:t>
      </w:r>
      <w:bookmarkEnd w:id="1"/>
      <w:r w:rsidR="009C2866" w:rsidRPr="009C2866">
        <w:rPr>
          <w:rFonts w:ascii="Times New Roman" w:eastAsia="Times New Roman" w:hAnsi="Times New Roman" w:cs="Times New Roman"/>
          <w:b/>
          <w:bCs/>
          <w:sz w:val="24"/>
          <w:szCs w:val="24"/>
          <w:lang w:eastAsia="ja-JP"/>
        </w:rPr>
        <w:t xml:space="preserve">An </w:t>
      </w:r>
      <w:r w:rsidR="009C2866">
        <w:rPr>
          <w:rFonts w:ascii="Times New Roman" w:eastAsia="Times New Roman" w:hAnsi="Times New Roman" w:cs="Times New Roman"/>
          <w:b/>
          <w:bCs/>
          <w:sz w:val="24"/>
          <w:szCs w:val="24"/>
          <w:lang w:eastAsia="ja-JP"/>
        </w:rPr>
        <w:t>E</w:t>
      </w:r>
      <w:r w:rsidR="009C2866" w:rsidRPr="009C2866">
        <w:rPr>
          <w:rFonts w:ascii="Times New Roman" w:eastAsia="Times New Roman" w:hAnsi="Times New Roman" w:cs="Times New Roman"/>
          <w:b/>
          <w:bCs/>
          <w:sz w:val="24"/>
          <w:szCs w:val="24"/>
          <w:lang w:eastAsia="ja-JP"/>
        </w:rPr>
        <w:t xml:space="preserve">ssential </w:t>
      </w:r>
      <w:r w:rsidR="009C2866">
        <w:rPr>
          <w:rFonts w:ascii="Times New Roman" w:eastAsia="Times New Roman" w:hAnsi="Times New Roman" w:cs="Times New Roman"/>
          <w:b/>
          <w:bCs/>
          <w:sz w:val="24"/>
          <w:szCs w:val="24"/>
          <w:lang w:eastAsia="ja-JP"/>
        </w:rPr>
        <w:t>N</w:t>
      </w:r>
      <w:r w:rsidR="009C2866" w:rsidRPr="009C2866">
        <w:rPr>
          <w:rFonts w:ascii="Times New Roman" w:eastAsia="Times New Roman" w:hAnsi="Times New Roman" w:cs="Times New Roman"/>
          <w:b/>
          <w:bCs/>
          <w:sz w:val="24"/>
          <w:szCs w:val="24"/>
          <w:lang w:eastAsia="ja-JP"/>
        </w:rPr>
        <w:t xml:space="preserve">exus in </w:t>
      </w:r>
      <w:r w:rsidR="009C2866">
        <w:rPr>
          <w:rFonts w:ascii="Times New Roman" w:eastAsia="Times New Roman" w:hAnsi="Times New Roman" w:cs="Times New Roman"/>
          <w:b/>
          <w:bCs/>
          <w:sz w:val="24"/>
          <w:szCs w:val="24"/>
          <w:lang w:eastAsia="ja-JP"/>
        </w:rPr>
        <w:t xml:space="preserve">Job Creation </w:t>
      </w:r>
      <w:r w:rsidRPr="00444D35">
        <w:rPr>
          <w:rFonts w:ascii="Times New Roman" w:eastAsia="Times New Roman" w:hAnsi="Times New Roman" w:cs="Times New Roman"/>
          <w:b/>
          <w:bCs/>
          <w:sz w:val="24"/>
          <w:szCs w:val="24"/>
          <w:lang w:eastAsia="ja-JP"/>
        </w:rPr>
        <w:t xml:space="preserve">in </w:t>
      </w:r>
      <w:r>
        <w:rPr>
          <w:rFonts w:ascii="Times New Roman" w:eastAsia="Times New Roman" w:hAnsi="Times New Roman" w:cs="Times New Roman"/>
          <w:b/>
          <w:bCs/>
          <w:sz w:val="24"/>
          <w:szCs w:val="24"/>
          <w:lang w:eastAsia="ja-JP"/>
        </w:rPr>
        <w:t>Kenya</w:t>
      </w:r>
    </w:p>
    <w:p w14:paraId="75AC0002" w14:textId="77777777" w:rsidR="003B75B0" w:rsidRDefault="003B75B0" w:rsidP="003B75B0">
      <w:pPr>
        <w:pStyle w:val="Heading1"/>
        <w:rPr>
          <w:rFonts w:ascii="Times New Roman" w:hAnsi="Times New Roman" w:cs="Times New Roman"/>
          <w:color w:val="auto"/>
          <w:sz w:val="24"/>
          <w:szCs w:val="24"/>
        </w:rPr>
      </w:pPr>
      <w:bookmarkStart w:id="2" w:name="_Toc98459684"/>
      <w:bookmarkStart w:id="3" w:name="_Toc98465873"/>
      <w:bookmarkStart w:id="4" w:name="_Toc252005422"/>
      <w:bookmarkStart w:id="5" w:name="_Toc252005650"/>
      <w:bookmarkStart w:id="6" w:name="_Toc231058606"/>
      <w:bookmarkStart w:id="7" w:name="_Toc231058710"/>
      <w:bookmarkStart w:id="8" w:name="_Toc231059635"/>
      <w:bookmarkStart w:id="9" w:name="_Toc231059845"/>
      <w:bookmarkStart w:id="10" w:name="_Toc231059996"/>
      <w:bookmarkStart w:id="11" w:name="_Toc231060121"/>
      <w:bookmarkStart w:id="12" w:name="_GoBack"/>
      <w:bookmarkEnd w:id="12"/>
      <w:r w:rsidRPr="00782808">
        <w:rPr>
          <w:rFonts w:ascii="Times New Roman" w:hAnsi="Times New Roman" w:cs="Times New Roman"/>
          <w:color w:val="auto"/>
          <w:sz w:val="24"/>
          <w:szCs w:val="24"/>
        </w:rPr>
        <w:t>Abstract</w:t>
      </w:r>
      <w:bookmarkEnd w:id="2"/>
      <w:bookmarkEnd w:id="3"/>
      <w:bookmarkEnd w:id="4"/>
      <w:bookmarkEnd w:id="5"/>
    </w:p>
    <w:p w14:paraId="5F3253CA" w14:textId="6D23C924" w:rsidR="005D4E20" w:rsidRPr="00C87E16" w:rsidRDefault="00FE65D9" w:rsidP="005D4E20">
      <w:pPr>
        <w:spacing w:line="240" w:lineRule="auto"/>
        <w:jc w:val="both"/>
      </w:pPr>
      <w:r w:rsidRPr="00FE65D9">
        <w:rPr>
          <w:rFonts w:ascii="Times New Roman" w:eastAsia="Aptos" w:hAnsi="Times New Roman" w:cs="Times New Roman"/>
          <w:kern w:val="2"/>
          <w:sz w:val="24"/>
          <w:szCs w:val="24"/>
          <w14:ligatures w14:val="standardContextual"/>
        </w:rPr>
        <w:t xml:space="preserve">Youth unemployment is a growing global issue, exacerbating poverty and dependency cycles that hinder development. In response, governments and development partners have introduced national policies, programs, and funding to furnish young people with the essential knowledge and skills to overcome these challenges. Despite the initiatives by the various stakeholders to improve youth empowerment, it has remained below the threshold. </w:t>
      </w:r>
      <w:r>
        <w:rPr>
          <w:rFonts w:ascii="Times New Roman" w:eastAsia="Aptos" w:hAnsi="Times New Roman" w:cs="Times New Roman"/>
          <w:kern w:val="2"/>
          <w:sz w:val="24"/>
          <w:szCs w:val="24"/>
          <w14:ligatures w14:val="standardContextual"/>
        </w:rPr>
        <w:t>T</w:t>
      </w:r>
      <w:r w:rsidRPr="00FE65D9">
        <w:rPr>
          <w:rFonts w:ascii="Times New Roman" w:eastAsia="Aptos" w:hAnsi="Times New Roman" w:cs="Times New Roman"/>
          <w:kern w:val="2"/>
          <w:sz w:val="24"/>
          <w:szCs w:val="24"/>
          <w14:ligatures w14:val="standardContextual"/>
        </w:rPr>
        <w:t xml:space="preserve">he low education levels, which stand at 60%, have contributed to </w:t>
      </w:r>
      <w:r>
        <w:rPr>
          <w:rFonts w:ascii="Times New Roman" w:eastAsia="Aptos" w:hAnsi="Times New Roman" w:cs="Times New Roman"/>
          <w:kern w:val="2"/>
          <w:sz w:val="24"/>
          <w:szCs w:val="24"/>
          <w14:ligatures w14:val="standardContextual"/>
        </w:rPr>
        <w:t xml:space="preserve">costal </w:t>
      </w:r>
      <w:r w:rsidRPr="00FE65D9">
        <w:rPr>
          <w:rFonts w:ascii="Times New Roman" w:eastAsia="Aptos" w:hAnsi="Times New Roman" w:cs="Times New Roman"/>
          <w:kern w:val="2"/>
          <w:sz w:val="24"/>
          <w:szCs w:val="24"/>
          <w14:ligatures w14:val="standardContextual"/>
        </w:rPr>
        <w:t xml:space="preserve">youth's inability to receive entrepreneurial training. Therefore, the primary focus of the research was to ascertain the effect of entrepreneurship management practices on youth empowerment in </w:t>
      </w:r>
      <w:bookmarkStart w:id="13" w:name="_Hlk207626151"/>
      <w:r>
        <w:rPr>
          <w:rFonts w:ascii="Times New Roman" w:eastAsia="Aptos" w:hAnsi="Times New Roman" w:cs="Times New Roman"/>
          <w:kern w:val="2"/>
          <w:sz w:val="24"/>
          <w:szCs w:val="24"/>
          <w14:ligatures w14:val="standardContextual"/>
        </w:rPr>
        <w:t>Kilifi County, Kenya</w:t>
      </w:r>
      <w:bookmarkEnd w:id="13"/>
      <w:r w:rsidRPr="00FE65D9">
        <w:rPr>
          <w:rFonts w:ascii="Times New Roman" w:eastAsia="Aptos" w:hAnsi="Times New Roman" w:cs="Times New Roman"/>
          <w:kern w:val="2"/>
          <w:sz w:val="24"/>
          <w:szCs w:val="24"/>
          <w14:ligatures w14:val="standardContextual"/>
        </w:rPr>
        <w:t xml:space="preserve">. Precisely, the study examined the impact of resource orientation, entrepreneurship culture, growth orientation, and management structure on youth empowerment programs in </w:t>
      </w:r>
      <w:r>
        <w:rPr>
          <w:rFonts w:ascii="Times New Roman" w:eastAsia="Aptos" w:hAnsi="Times New Roman" w:cs="Times New Roman"/>
          <w:kern w:val="2"/>
          <w:sz w:val="24"/>
          <w:szCs w:val="24"/>
          <w14:ligatures w14:val="standardContextual"/>
        </w:rPr>
        <w:t>Kilifi County, Kenya</w:t>
      </w:r>
      <w:r w:rsidRPr="00FE65D9">
        <w:rPr>
          <w:rFonts w:ascii="Times New Roman" w:eastAsia="Aptos" w:hAnsi="Times New Roman" w:cs="Times New Roman"/>
          <w:kern w:val="2"/>
          <w:sz w:val="24"/>
          <w:szCs w:val="24"/>
          <w14:ligatures w14:val="standardContextual"/>
        </w:rPr>
        <w:t xml:space="preserve">. The empowerment theory, stakeholder’s theory, dynamic capability theory, and theory of innovation anchored the study. The study used a descriptive research design. The target population included four hundred </w:t>
      </w:r>
      <w:r w:rsidRPr="00E7443A">
        <w:rPr>
          <w:rFonts w:ascii="Times New Roman" w:eastAsia="Aptos" w:hAnsi="Times New Roman" w:cs="Times New Roman"/>
          <w:kern w:val="2"/>
          <w:sz w:val="24"/>
          <w:szCs w:val="24"/>
          <w14:ligatures w14:val="standardContextual"/>
        </w:rPr>
        <w:t>youth</w:t>
      </w:r>
      <w:r w:rsidR="00E7443A" w:rsidRPr="00E7443A">
        <w:rPr>
          <w:rFonts w:ascii="Times New Roman" w:eastAsia="Aptos" w:hAnsi="Times New Roman" w:cs="Times New Roman"/>
          <w:kern w:val="2"/>
          <w:sz w:val="24"/>
          <w:szCs w:val="24"/>
          <w14:ligatures w14:val="standardContextual"/>
        </w:rPr>
        <w:t xml:space="preserve"> </w:t>
      </w:r>
      <w:r w:rsidR="00E7443A" w:rsidRPr="00E7443A">
        <w:rPr>
          <w:rFonts w:ascii="Times New Roman" w:eastAsia="Calibri" w:hAnsi="Times New Roman" w:cs="Times New Roman"/>
          <w:sz w:val="24"/>
        </w:rPr>
        <w:t>that take part in the youth empowerment programs in s</w:t>
      </w:r>
      <w:r w:rsidR="00FE1479">
        <w:rPr>
          <w:rFonts w:ascii="Times New Roman" w:eastAsia="Calibri" w:hAnsi="Times New Roman" w:cs="Times New Roman"/>
          <w:sz w:val="24"/>
        </w:rPr>
        <w:t>even</w:t>
      </w:r>
      <w:r w:rsidR="00E7443A" w:rsidRPr="00E7443A">
        <w:rPr>
          <w:rFonts w:ascii="Times New Roman" w:eastAsia="Calibri" w:hAnsi="Times New Roman" w:cs="Times New Roman"/>
          <w:sz w:val="24"/>
        </w:rPr>
        <w:t xml:space="preserve"> different sectors</w:t>
      </w:r>
      <w:r w:rsidR="005D4E20" w:rsidRPr="005D4E20">
        <w:rPr>
          <w:rFonts w:ascii="Times New Roman" w:eastAsia="Times New Roman" w:hAnsi="Times New Roman" w:cs="Times New Roman"/>
          <w:sz w:val="24"/>
          <w:szCs w:val="24"/>
        </w:rPr>
        <w:t xml:space="preserve"> </w:t>
      </w:r>
      <w:r w:rsidR="005D4E20" w:rsidRPr="00682D8D">
        <w:rPr>
          <w:rFonts w:ascii="Times New Roman" w:eastAsia="Times New Roman" w:hAnsi="Times New Roman" w:cs="Times New Roman"/>
          <w:sz w:val="24"/>
          <w:szCs w:val="24"/>
        </w:rPr>
        <w:t xml:space="preserve">however a sample size of </w:t>
      </w:r>
      <w:r w:rsidR="005D4E20">
        <w:rPr>
          <w:rFonts w:ascii="Times New Roman" w:eastAsia="Times New Roman" w:hAnsi="Times New Roman" w:cs="Times New Roman"/>
          <w:sz w:val="24"/>
          <w:szCs w:val="24"/>
        </w:rPr>
        <w:t>two hundred</w:t>
      </w:r>
      <w:r w:rsidR="005D4E20" w:rsidRPr="00682D8D">
        <w:rPr>
          <w:rFonts w:ascii="Times New Roman" w:eastAsia="Times New Roman" w:hAnsi="Times New Roman" w:cs="Times New Roman"/>
          <w:sz w:val="24"/>
          <w:szCs w:val="24"/>
        </w:rPr>
        <w:t xml:space="preserve"> was selected using stratified and random sampling techniques. </w:t>
      </w:r>
      <w:r w:rsidR="005D4E20" w:rsidRPr="00E36D27">
        <w:rPr>
          <w:rFonts w:ascii="Times New Roman" w:eastAsia="Times New Roman" w:hAnsi="Times New Roman" w:cs="Times New Roman"/>
          <w:sz w:val="24"/>
          <w:szCs w:val="24"/>
        </w:rPr>
        <w:t xml:space="preserve">Data were collected using </w:t>
      </w:r>
      <w:r w:rsidR="005D4E20">
        <w:rPr>
          <w:rFonts w:ascii="Times New Roman" w:eastAsia="Times New Roman" w:hAnsi="Times New Roman" w:cs="Times New Roman"/>
          <w:sz w:val="24"/>
          <w:szCs w:val="24"/>
        </w:rPr>
        <w:t xml:space="preserve">semi </w:t>
      </w:r>
      <w:r w:rsidR="005D4E20" w:rsidRPr="00E36D27">
        <w:rPr>
          <w:rFonts w:ascii="Times New Roman" w:eastAsia="Times New Roman" w:hAnsi="Times New Roman" w:cs="Times New Roman"/>
          <w:sz w:val="24"/>
          <w:szCs w:val="24"/>
        </w:rPr>
        <w:t xml:space="preserve">structured questionnaires and analyzed through regression modeling. Findings indicated that </w:t>
      </w:r>
      <w:r w:rsidR="005D4E20">
        <w:rPr>
          <w:rFonts w:ascii="Times New Roman" w:eastAsia="Times New Roman" w:hAnsi="Times New Roman" w:cs="Times New Roman"/>
          <w:sz w:val="24"/>
          <w:szCs w:val="24"/>
        </w:rPr>
        <w:t xml:space="preserve">entrepreneurship management practices </w:t>
      </w:r>
      <w:r w:rsidR="005D4E20" w:rsidRPr="00E36D27">
        <w:rPr>
          <w:rFonts w:ascii="Times New Roman" w:eastAsia="Times New Roman" w:hAnsi="Times New Roman" w:cs="Times New Roman"/>
          <w:sz w:val="24"/>
          <w:szCs w:val="24"/>
        </w:rPr>
        <w:t xml:space="preserve">significantly and positively influence </w:t>
      </w:r>
      <w:r w:rsidR="005D4E20">
        <w:rPr>
          <w:rFonts w:ascii="Times New Roman" w:eastAsia="Times New Roman" w:hAnsi="Times New Roman" w:cs="Times New Roman"/>
          <w:sz w:val="24"/>
          <w:szCs w:val="24"/>
        </w:rPr>
        <w:t>youth empowerment programs</w:t>
      </w:r>
      <w:r w:rsidR="005D4E20" w:rsidRPr="00E36D27">
        <w:rPr>
          <w:rFonts w:ascii="Times New Roman" w:eastAsia="Times New Roman" w:hAnsi="Times New Roman" w:cs="Times New Roman"/>
          <w:sz w:val="24"/>
          <w:szCs w:val="24"/>
        </w:rPr>
        <w:t xml:space="preserve"> (R² = 0.</w:t>
      </w:r>
      <w:r w:rsidR="00EC0A44">
        <w:rPr>
          <w:rFonts w:ascii="Times New Roman" w:eastAsia="Times New Roman" w:hAnsi="Times New Roman" w:cs="Times New Roman"/>
          <w:sz w:val="24"/>
          <w:szCs w:val="24"/>
        </w:rPr>
        <w:t>774</w:t>
      </w:r>
      <w:r w:rsidR="005D4E20" w:rsidRPr="00E36D27">
        <w:rPr>
          <w:rFonts w:ascii="Times New Roman" w:eastAsia="Times New Roman" w:hAnsi="Times New Roman" w:cs="Times New Roman"/>
          <w:sz w:val="24"/>
          <w:szCs w:val="24"/>
        </w:rPr>
        <w:t>, p &lt; 0.01). Specifically</w:t>
      </w:r>
      <w:r w:rsidR="003F54A3">
        <w:rPr>
          <w:rFonts w:ascii="Times New Roman" w:eastAsia="Times New Roman" w:hAnsi="Times New Roman" w:cs="Times New Roman"/>
          <w:sz w:val="24"/>
          <w:szCs w:val="24"/>
        </w:rPr>
        <w:t xml:space="preserve">, </w:t>
      </w:r>
      <w:r w:rsidR="003F54A3">
        <w:rPr>
          <w:rFonts w:ascii="Times New Roman" w:eastAsia="Calibri" w:hAnsi="Times New Roman" w:cs="Times New Roman"/>
          <w:sz w:val="24"/>
          <w:szCs w:val="24"/>
          <w:lang w:val="en-GB" w:eastAsia="en-GB"/>
        </w:rPr>
        <w:t>entrepreneurship culture, growth orientation, management structure</w:t>
      </w:r>
      <w:r w:rsidR="003F54A3" w:rsidRPr="00E36D27">
        <w:rPr>
          <w:rFonts w:ascii="Times New Roman" w:eastAsia="Times New Roman" w:hAnsi="Times New Roman" w:cs="Times New Roman"/>
          <w:sz w:val="24"/>
          <w:szCs w:val="24"/>
        </w:rPr>
        <w:t xml:space="preserve"> </w:t>
      </w:r>
      <w:r w:rsidR="005D4E20" w:rsidRPr="00E36D27">
        <w:rPr>
          <w:rFonts w:ascii="Times New Roman" w:eastAsia="Times New Roman" w:hAnsi="Times New Roman" w:cs="Times New Roman"/>
          <w:sz w:val="24"/>
          <w:szCs w:val="24"/>
        </w:rPr>
        <w:t xml:space="preserve">emerged as the strongest predictors of </w:t>
      </w:r>
      <w:r w:rsidR="003F54A3">
        <w:rPr>
          <w:rFonts w:ascii="Times New Roman" w:eastAsia="Times New Roman" w:hAnsi="Times New Roman" w:cs="Times New Roman"/>
          <w:sz w:val="24"/>
          <w:szCs w:val="24"/>
        </w:rPr>
        <w:t xml:space="preserve">youth </w:t>
      </w:r>
      <w:r w:rsidR="00326C16">
        <w:rPr>
          <w:rFonts w:ascii="Times New Roman" w:eastAsia="Times New Roman" w:hAnsi="Times New Roman" w:cs="Times New Roman"/>
          <w:sz w:val="24"/>
          <w:szCs w:val="24"/>
        </w:rPr>
        <w:t>empowerment</w:t>
      </w:r>
      <w:r w:rsidR="005D4E20" w:rsidRPr="00E36D27">
        <w:rPr>
          <w:rFonts w:ascii="Times New Roman" w:eastAsia="Times New Roman" w:hAnsi="Times New Roman" w:cs="Times New Roman"/>
          <w:sz w:val="24"/>
          <w:szCs w:val="24"/>
        </w:rPr>
        <w:t xml:space="preserve">. The study concludes that </w:t>
      </w:r>
      <w:r w:rsidR="00326C16" w:rsidRPr="000B500D">
        <w:rPr>
          <w:rFonts w:ascii="Times New Roman" w:eastAsia="Aptos" w:hAnsi="Times New Roman" w:cs="Times New Roman"/>
          <w:kern w:val="2"/>
          <w:sz w:val="24"/>
          <w:szCs w:val="24"/>
          <w14:ligatures w14:val="standardContextual"/>
        </w:rPr>
        <w:t xml:space="preserve">continuous assessment of youth needs, allocation of financial, human, and material resources, and active </w:t>
      </w:r>
      <w:r w:rsidR="00326C16">
        <w:rPr>
          <w:rFonts w:ascii="Times New Roman" w:eastAsia="Aptos" w:hAnsi="Times New Roman" w:cs="Times New Roman"/>
          <w:kern w:val="2"/>
          <w:sz w:val="24"/>
          <w:szCs w:val="24"/>
          <w14:ligatures w14:val="standardContextual"/>
        </w:rPr>
        <w:t>networking with other stakeholders p</w:t>
      </w:r>
      <w:r w:rsidR="00326C16" w:rsidRPr="00696153">
        <w:rPr>
          <w:rFonts w:ascii="Times New Roman" w:eastAsia="Aptos" w:hAnsi="Times New Roman" w:cs="Times New Roman"/>
          <w:kern w:val="2"/>
          <w:sz w:val="24"/>
          <w:szCs w:val="24"/>
          <w14:ligatures w14:val="standardContextual"/>
        </w:rPr>
        <w:t>romote accountability, streamline decision-making, and enhance operational efficiency</w:t>
      </w:r>
      <w:r w:rsidR="005D4E20" w:rsidRPr="00E36D27">
        <w:rPr>
          <w:rFonts w:ascii="Times New Roman" w:eastAsia="Times New Roman" w:hAnsi="Times New Roman" w:cs="Times New Roman"/>
          <w:sz w:val="24"/>
          <w:szCs w:val="24"/>
        </w:rPr>
        <w:t>.</w:t>
      </w:r>
    </w:p>
    <w:p w14:paraId="1B440D65" w14:textId="28C545D9" w:rsidR="005A3233" w:rsidRPr="00782808" w:rsidRDefault="003B75B0" w:rsidP="005D4E20">
      <w:pPr>
        <w:spacing w:after="0" w:line="240" w:lineRule="auto"/>
        <w:jc w:val="both"/>
        <w:rPr>
          <w:rFonts w:ascii="Times New Roman" w:hAnsi="Times New Roman" w:cs="Times New Roman"/>
          <w:sz w:val="24"/>
          <w:szCs w:val="24"/>
        </w:rPr>
      </w:pPr>
      <w:r w:rsidRPr="00FF2DC5">
        <w:rPr>
          <w:rFonts w:ascii="Times New Roman" w:hAnsi="Times New Roman" w:cs="Times New Roman"/>
          <w:i/>
          <w:sz w:val="24"/>
          <w:szCs w:val="24"/>
        </w:rPr>
        <w:t xml:space="preserve">Key </w:t>
      </w:r>
      <w:r w:rsidR="00F44243" w:rsidRPr="00FF2DC5">
        <w:rPr>
          <w:rFonts w:ascii="Times New Roman" w:hAnsi="Times New Roman" w:cs="Times New Roman"/>
          <w:i/>
          <w:sz w:val="24"/>
          <w:szCs w:val="24"/>
        </w:rPr>
        <w:t>words:</w:t>
      </w:r>
      <w:r w:rsidR="00F44243" w:rsidRPr="00FF2DC5">
        <w:rPr>
          <w:rFonts w:ascii="Times New Roman" w:hAnsi="Times New Roman" w:cs="Times New Roman"/>
          <w:sz w:val="24"/>
          <w:szCs w:val="24"/>
        </w:rPr>
        <w:t xml:space="preserve"> </w:t>
      </w:r>
      <w:r w:rsidR="00FE65D9" w:rsidRPr="00FE65D9">
        <w:rPr>
          <w:rFonts w:ascii="Times New Roman" w:hAnsi="Times New Roman" w:cs="Times New Roman"/>
          <w:sz w:val="24"/>
          <w:szCs w:val="24"/>
        </w:rPr>
        <w:t>Entrepreneurship Management Practices</w:t>
      </w:r>
      <w:r w:rsidR="00FE65D9">
        <w:rPr>
          <w:rFonts w:ascii="Times New Roman" w:hAnsi="Times New Roman" w:cs="Times New Roman"/>
          <w:sz w:val="24"/>
          <w:szCs w:val="24"/>
        </w:rPr>
        <w:t xml:space="preserve">, </w:t>
      </w:r>
      <w:r w:rsidR="00FE65D9" w:rsidRPr="00FE65D9">
        <w:rPr>
          <w:rFonts w:ascii="Times New Roman" w:hAnsi="Times New Roman" w:cs="Times New Roman"/>
          <w:sz w:val="24"/>
          <w:szCs w:val="24"/>
        </w:rPr>
        <w:t>Youth Empowerment Programs</w:t>
      </w:r>
      <w:r w:rsidR="003D4767">
        <w:rPr>
          <w:rFonts w:ascii="Times New Roman" w:hAnsi="Times New Roman" w:cs="Times New Roman"/>
          <w:sz w:val="24"/>
          <w:szCs w:val="24"/>
        </w:rPr>
        <w:t xml:space="preserve">, </w:t>
      </w:r>
      <w:r w:rsidR="00FE65D9">
        <w:rPr>
          <w:rFonts w:ascii="Times New Roman" w:hAnsi="Times New Roman" w:cs="Times New Roman"/>
          <w:sz w:val="24"/>
          <w:szCs w:val="24"/>
        </w:rPr>
        <w:t>Kilifi County, Kenya</w:t>
      </w:r>
    </w:p>
    <w:p w14:paraId="1CC2AD97" w14:textId="1E185919" w:rsidR="003B75B0" w:rsidRDefault="003B75B0" w:rsidP="0031477D">
      <w:pPr>
        <w:pStyle w:val="Heading2"/>
        <w:numPr>
          <w:ilvl w:val="0"/>
          <w:numId w:val="2"/>
        </w:numPr>
        <w:spacing w:line="480" w:lineRule="auto"/>
        <w:rPr>
          <w:rFonts w:cs="Times New Roman"/>
          <w:i/>
          <w:iCs w:val="0"/>
          <w:szCs w:val="24"/>
        </w:rPr>
      </w:pPr>
      <w:bookmarkStart w:id="14" w:name="_Toc231058609"/>
      <w:bookmarkStart w:id="15" w:name="_Toc231058713"/>
      <w:bookmarkStart w:id="16" w:name="_Toc231059638"/>
      <w:bookmarkStart w:id="17" w:name="_Toc231059848"/>
      <w:bookmarkStart w:id="18" w:name="_Toc231059999"/>
      <w:bookmarkStart w:id="19" w:name="_Toc231060124"/>
      <w:bookmarkStart w:id="20" w:name="_Toc233521147"/>
      <w:bookmarkStart w:id="21" w:name="_Toc233521468"/>
      <w:bookmarkStart w:id="22" w:name="_Toc233521538"/>
      <w:bookmarkStart w:id="23" w:name="_Toc233521614"/>
      <w:bookmarkStart w:id="24" w:name="_Toc233536571"/>
      <w:bookmarkStart w:id="25" w:name="_Toc233541506"/>
      <w:bookmarkStart w:id="26" w:name="_Toc233542982"/>
      <w:bookmarkStart w:id="27" w:name="_Toc84465430"/>
      <w:bookmarkStart w:id="28" w:name="_Toc84467319"/>
      <w:bookmarkStart w:id="29" w:name="_Toc241141553"/>
      <w:bookmarkStart w:id="30" w:name="_Toc92710709"/>
      <w:bookmarkStart w:id="31" w:name="_Toc92710848"/>
      <w:bookmarkStart w:id="32" w:name="_Toc92710942"/>
      <w:bookmarkStart w:id="33" w:name="_Toc92713594"/>
      <w:bookmarkStart w:id="34" w:name="_Toc92896934"/>
      <w:bookmarkStart w:id="35" w:name="_Toc98459687"/>
      <w:bookmarkStart w:id="36" w:name="_Toc98465876"/>
      <w:bookmarkStart w:id="37" w:name="_Toc252005425"/>
      <w:bookmarkStart w:id="38" w:name="_Toc252005653"/>
      <w:bookmarkEnd w:id="6"/>
      <w:bookmarkEnd w:id="7"/>
      <w:bookmarkEnd w:id="8"/>
      <w:bookmarkEnd w:id="9"/>
      <w:bookmarkEnd w:id="10"/>
      <w:bookmarkEnd w:id="11"/>
      <w:r w:rsidRPr="00782808">
        <w:rPr>
          <w:rFonts w:cs="Times New Roman"/>
          <w:iCs w:val="0"/>
          <w:szCs w:val="24"/>
        </w:rPr>
        <w:t>I</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782808">
        <w:rPr>
          <w:rFonts w:cs="Times New Roman"/>
          <w:iCs w:val="0"/>
          <w:szCs w:val="24"/>
        </w:rPr>
        <w:t>ntroduction</w:t>
      </w:r>
    </w:p>
    <w:p w14:paraId="6D05AB96" w14:textId="6BEC49DA" w:rsidR="000E1F82" w:rsidRDefault="00574BBF" w:rsidP="004A2C6B">
      <w:pPr>
        <w:spacing w:after="0" w:line="480" w:lineRule="auto"/>
        <w:jc w:val="both"/>
        <w:rPr>
          <w:rFonts w:ascii="Times New Roman" w:eastAsia="Times New Roman" w:hAnsi="Times New Roman" w:cs="Times New Roman"/>
          <w:sz w:val="24"/>
          <w:szCs w:val="24"/>
        </w:rPr>
      </w:pPr>
      <w:r w:rsidRPr="00574BBF">
        <w:rPr>
          <w:rFonts w:ascii="Times New Roman" w:eastAsia="Aptos" w:hAnsi="Times New Roman" w:cs="Times New Roman"/>
          <w:kern w:val="2"/>
          <w:sz w:val="24"/>
          <w:szCs w:val="24"/>
          <w14:ligatures w14:val="standardContextual"/>
        </w:rPr>
        <w:t xml:space="preserve">Youth unemployment, </w:t>
      </w:r>
      <w:r w:rsidRPr="00574BBF">
        <w:rPr>
          <w:rFonts w:ascii="Times New Roman" w:eastAsia="Aptos" w:hAnsi="Times New Roman" w:cs="Times New Roman"/>
          <w:color w:val="000000"/>
          <w:kern w:val="2"/>
          <w:sz w:val="24"/>
          <w:szCs w:val="24"/>
          <w14:ligatures w14:val="standardContextual"/>
        </w:rPr>
        <w:t>has risen to 6.5%, affecting roughly 220 million individuals</w:t>
      </w:r>
      <w:r w:rsidRPr="00574BBF">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globally</w:t>
      </w:r>
      <w:r w:rsidRPr="00574BBF">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14:ligatures w14:val="standardContextual"/>
        </w:rPr>
        <w:t xml:space="preserve"> which</w:t>
      </w:r>
      <w:r w:rsidRPr="00574BBF">
        <w:rPr>
          <w:rFonts w:ascii="Times New Roman" w:eastAsia="Aptos" w:hAnsi="Times New Roman" w:cs="Times New Roman"/>
          <w:kern w:val="2"/>
          <w:sz w:val="24"/>
          <w:szCs w:val="24"/>
          <w14:ligatures w14:val="standardContextual"/>
        </w:rPr>
        <w:t xml:space="preserve"> deepens poverty and reinforces cycles of dependency that obstruct development</w:t>
      </w:r>
      <w:r>
        <w:rPr>
          <w:rFonts w:ascii="Times New Roman" w:eastAsia="Aptos" w:hAnsi="Times New Roman" w:cs="Times New Roman"/>
          <w:kern w:val="2"/>
          <w:sz w:val="24"/>
          <w:szCs w:val="24"/>
          <w14:ligatures w14:val="standardContextual"/>
        </w:rPr>
        <w:t xml:space="preserve"> </w:t>
      </w:r>
      <w:r w:rsidRPr="00574BBF">
        <w:rPr>
          <w:rFonts w:ascii="Times New Roman" w:eastAsia="Aptos" w:hAnsi="Times New Roman" w:cs="Times New Roman"/>
          <w:color w:val="000000"/>
          <w:kern w:val="2"/>
          <w:sz w:val="24"/>
          <w:szCs w:val="24"/>
          <w14:ligatures w14:val="standardContextual"/>
        </w:rPr>
        <w:t>(UN Stats, 2021).</w:t>
      </w:r>
      <w:r w:rsidR="004A2C6B" w:rsidRPr="004A2C6B">
        <w:rPr>
          <w:rFonts w:ascii="Times New Roman" w:eastAsia="Calibri" w:hAnsi="Times New Roman" w:cs="Times New Roman"/>
          <w:sz w:val="24"/>
        </w:rPr>
        <w:t xml:space="preserve"> </w:t>
      </w:r>
      <w:r w:rsidR="005F47A8" w:rsidRPr="005F47A8">
        <w:rPr>
          <w:rFonts w:ascii="Times New Roman" w:eastAsia="Times New Roman" w:hAnsi="Times New Roman" w:cs="Times New Roman"/>
          <w:sz w:val="24"/>
          <w:szCs w:val="24"/>
        </w:rPr>
        <w:t xml:space="preserve">Poverty, vulnerability, conflict, and disasters in </w:t>
      </w:r>
      <w:r w:rsidR="005F47A8" w:rsidRPr="004A2C6B">
        <w:rPr>
          <w:rFonts w:ascii="Times New Roman" w:eastAsia="Calibri" w:hAnsi="Times New Roman" w:cs="Times New Roman"/>
          <w:sz w:val="24"/>
        </w:rPr>
        <w:t>Sub-Saharan Africa</w:t>
      </w:r>
      <w:r w:rsidR="005F47A8" w:rsidRPr="005F47A8">
        <w:rPr>
          <w:rFonts w:ascii="Times New Roman" w:eastAsia="Times New Roman" w:hAnsi="Times New Roman" w:cs="Times New Roman"/>
          <w:sz w:val="24"/>
          <w:szCs w:val="24"/>
        </w:rPr>
        <w:t xml:space="preserve"> are intricately linked, creating a complex cycle that exacerbates the challenges faced by young people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{"citationID":"e95A4BFm","properties":{"formattedCitation":"(Lwanga-Ntale &amp; Owino, 2020)","plainCitation":"(Lwanga-Ntale &amp; Owino, 2020)","dontUpdate":true,"noteIndex":0},"citationItems":[{"id":1098,"uris":["http://zotero.org/users/5547997/items/U897TZUY"],"itemData":{"id":1098,"type":"article-journal","container-title":"Jàmbá Journal of Disaster Risk Studies","DOI":"10.4102/jamba.v12i1.856","ISSN":"2072-845X, 1996-1421","issue":"1","journalAbbreviation":"Jàmbá Journal of Disaster Risk Studies","language":"en","license":"https://creativecommons.org/licenses/by/4.0","source":"DOI.org (Crossref)","title":"Understanding vulnerability and resilience in Somalia","URL":"http://www.jamba.org.za/index.php/JAMBA/article/view/856","volume":"12","author":[{"family":"Lwanga-Ntale","given":"Charles"},{"family":"Owino","given":"Boniface O."}],"accessed":{"date-parts":[["2024",11,23]]},"issued":{"date-parts":[["2020",12,14]]}}}],"schema":"https://github.com/citation-style-language/schema/raw/master/csl-citation.json"}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(Lwanga-Ntale &amp; Owino, 2020</w:t>
      </w:r>
      <w:r w:rsidR="005F47A8" w:rsidRPr="005F47A8">
        <w:rPr>
          <w:rFonts w:ascii="Times New Roman" w:eastAsia="Times New Roman" w:hAnsi="Times New Roman" w:cs="Times New Roman"/>
          <w:sz w:val="24"/>
          <w:szCs w:val="24"/>
        </w:rPr>
        <w:fldChar w:fldCharType="end"/>
      </w:r>
      <w:r w:rsidR="005F47A8" w:rsidRPr="005F47A8">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{"citationID":"3zSfJQ13","properties":{"formattedCitation":"(UN, 2024)","plainCitation":"(UN, 2024)","dontUpdate":true,"noteIndex":0},"citationItems":[{"id":1097,"uris":["http://zotero.org/users/5547997/items/XNK5EBHX"],"itemData":{"id":1097,"type":"report","event-place":"Nairobi, Kenya","page":"69","publisher":"United Nations Development Programme","publisher-place":"Nairobi, Kenya","title":"Community Resilience in the Horn of Africa: Insights from Ethiopia, Kenya and Somalia","author":[{"family":"UN","given":""}],"issued":{"date-parts":[["2024"]]}}}],"schema":"https://github.com/citation-style-language/schema/raw/master/csl-citation.json"}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UN, 2024)</w:t>
      </w:r>
      <w:r w:rsidR="005F47A8" w:rsidRPr="005F47A8">
        <w:rPr>
          <w:rFonts w:ascii="Times New Roman" w:eastAsia="Times New Roman" w:hAnsi="Times New Roman" w:cs="Times New Roman"/>
          <w:sz w:val="24"/>
          <w:szCs w:val="24"/>
        </w:rPr>
        <w:fldChar w:fldCharType="end"/>
      </w:r>
      <w:r w:rsidR="005F47A8" w:rsidRPr="005F47A8">
        <w:rPr>
          <w:rFonts w:ascii="Times New Roman" w:eastAsia="Times New Roman" w:hAnsi="Times New Roman" w:cs="Times New Roman"/>
          <w:sz w:val="24"/>
          <w:szCs w:val="24"/>
        </w:rPr>
        <w:t>. To address these issues, various governments and organizations have i</w:t>
      </w:r>
      <w:r w:rsidR="005F47A8">
        <w:rPr>
          <w:rFonts w:ascii="Times New Roman" w:eastAsia="Times New Roman" w:hAnsi="Times New Roman" w:cs="Times New Roman"/>
          <w:sz w:val="24"/>
          <w:szCs w:val="24"/>
        </w:rPr>
        <w:t>ntroduced</w:t>
      </w:r>
      <w:r w:rsidR="005F47A8" w:rsidRPr="005F47A8">
        <w:rPr>
          <w:rFonts w:ascii="Times New Roman" w:eastAsia="Times New Roman" w:hAnsi="Times New Roman" w:cs="Times New Roman"/>
          <w:sz w:val="24"/>
          <w:szCs w:val="24"/>
        </w:rPr>
        <w:t xml:space="preserve"> entrepreneurship programs to combat young</w:t>
      </w:r>
      <w:r w:rsidR="005F47A8">
        <w:rPr>
          <w:rFonts w:ascii="Times New Roman" w:eastAsia="Times New Roman" w:hAnsi="Times New Roman" w:cs="Times New Roman"/>
          <w:sz w:val="24"/>
          <w:szCs w:val="24"/>
        </w:rPr>
        <w:t xml:space="preserve"> people that are unemployed</w:t>
      </w:r>
      <w:r w:rsidR="005F47A8" w:rsidRPr="005F47A8">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{"citationID":"jBd2V4Gj","properties":{"formattedCitation":"(Sheikhdon, 2020)","plainCitation":"(Sheikhdon, 2020)","dontUpdate":true,"noteIndex":0},"citationItems":[{"id":1096,"uris":["http://zotero.org/users/5547997/items/5RFZYT3X"],"itemData":{"id":1096,"type":"article-journal","abstract":"The purpose of this study is to evaluate the role of youth participation on good  governance of  two selected youth organizations in Mogadishu, Somalia.The objectives of the study are to determine the role of youth participation in good  governance, to find out capacity building as catalyst for good  governance and how the youth organization can spur youth leadership in the country To achieve the objectives of this study, data will be collected from 82employees of  youth organizations. A sample size of 68 respondents was  selected using Slog van’s formula. The study will use primary data. Data collection methods use included use of questionnaires. The selection sample technique will be purposive or judgmental approach. Data will analyze using SPSS version 16 for productions of tables, descriptive statistics and inferential statistics. E.g. means, standard deviation, frequencies. Inferential statistics such as Regression Analysis were used for further analysis. Findings: The study has three objectives which are: To determine the effect of capacity building in good governance at two selected organizations, in Mogadishu, Somalia. To find out the effect of political participation in good governance t at two selected organizations, in Mogadishu, Somalia, To establish the effect of youth leadership in good  governance at two selected organizations, in Mogadishu, Somalia. After analyzing the data, the study found that there is positive relationship among all variables as following: R is the correlation coefficient which shows the relationship between the study variables. From the findings shown in the table above there was a strongly positive relationship between the study variables as shown by 0.815. Overall, Political participation had the greatest effect on the good governance of youth organizations in Mogadishu, followed by Youth leadership and capacity building. All of the variables were found to be significantly affect good governance of youth organizations because they less than (p&lt;0.05).Recommendation: organizations should implement good strategies for support management system of administrative reform on education management. organization should promote their beneficiaries to better satisfy as to achieve to education management. Promote the concept of young people as assets and work towards the elimination of negative stereotypes of youth. Promote the full and effective participation of young people at local, national, regional and international levels, with particular attention to marginalized youth. Youth participation can also be improved through a number of approaches, such as education and capacity building.\n\nKEYWORDS: Youth Parturition, Capacity Building, Political Participation, Youth Leadership &amp; Good governance.","container-title":"EPRA International Journal of Agriculture and Rural Economic Research","DOI":"10.36713/epra6004","ISSN":"2321-7847","journalAbbreviation":"epra","language":"en","page":"1-13","source":"DOI.org (Crossref)","title":"The Role of Youth Participation on Good Governance at Two Selected Youth Organizations in Mogadishu, Somalia","author":[{"family":"Sheikhdon","given":"Ali"}],"issued":{"date-parts":[["2020",12,31]]}}}],"schema":"https://github.com/citation-style-language/schema/raw/master/csl-citation.json"}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w:t>
      </w:r>
      <w:r w:rsidR="005F47A8" w:rsidRPr="004A2C6B">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{"citationID":"kggUSpk9","properties":{"formattedCitation":"(Sikenyi, 2017)","plainCitation":"(Sikenyi, 2017)","dontUpdate":true,"noteIndex":0},"citationItems":[{"id":364,"uris":["http://zotero.org/users/5547997/items/RKCJNTZI"],"itemData":{"id":364,"type":"article-journal","container-title":"IDS Bulletin","DOI":"10.19088/1968-2017.131","ISSN":"02655012","issue":"3","journalAbbreviation":"IDS Bulletin","source":"DOI.org (Crossref)","title":"Does Kenya’s Youth Enterprise Development Fund Serve Young People?","URL":"http://bulletin.ids.ac.uk/idsbo/article/view/2874","volume":"47","author":[{"family":"Sikenyi","given":"Maurice"}],"accessed":{"date-parts":[["2023",12,7]]},"issued":{"date-parts":[["2017",5,31]]}}}],"schema":"https://github.com/citation-style-language/schema/raw/master/csl-citation.json"} </w:instrText>
      </w:r>
      <w:r w:rsidR="005F47A8" w:rsidRPr="004A2C6B">
        <w:rPr>
          <w:rFonts w:ascii="Times New Roman" w:eastAsia="Calibri" w:hAnsi="Times New Roman" w:cs="Times New Roman"/>
          <w:sz w:val="24"/>
        </w:rPr>
        <w:fldChar w:fldCharType="separate"/>
      </w:r>
      <w:r w:rsidR="005F47A8" w:rsidRPr="004A2C6B">
        <w:rPr>
          <w:rFonts w:ascii="Times New Roman" w:eastAsia="Calibri" w:hAnsi="Times New Roman" w:cs="Times New Roman"/>
          <w:sz w:val="24"/>
        </w:rPr>
        <w:t>Sikenyi, 2017</w:t>
      </w:r>
      <w:r w:rsidR="005F47A8" w:rsidRPr="004A2C6B">
        <w:rPr>
          <w:rFonts w:ascii="Times New Roman" w:eastAsia="Calibri" w:hAnsi="Times New Roman" w:cs="Times New Roman"/>
          <w:sz w:val="24"/>
        </w:rPr>
        <w:fldChar w:fldCharType="end"/>
      </w:r>
      <w:r w:rsidR="005F47A8">
        <w:rPr>
          <w:rFonts w:ascii="Times New Roman" w:eastAsia="Calibri" w:hAnsi="Times New Roman" w:cs="Times New Roman"/>
          <w:sz w:val="24"/>
        </w:rPr>
        <w:t xml:space="preserve">: </w:t>
      </w:r>
      <w:r w:rsidR="005F47A8" w:rsidRPr="005F47A8">
        <w:rPr>
          <w:rFonts w:ascii="Times New Roman" w:eastAsia="Aptos" w:hAnsi="Times New Roman" w:cs="Times New Roman"/>
          <w:kern w:val="2"/>
          <w:sz w:val="24"/>
          <w14:ligatures w14:val="standardContextual"/>
        </w:rPr>
        <w:t>Sheikhdon, 2020)</w:t>
      </w:r>
      <w:r w:rsidR="005F47A8" w:rsidRPr="005F47A8">
        <w:rPr>
          <w:rFonts w:ascii="Times New Roman" w:eastAsia="Times New Roman" w:hAnsi="Times New Roman" w:cs="Times New Roman"/>
          <w:sz w:val="24"/>
          <w:szCs w:val="24"/>
        </w:rPr>
        <w:fldChar w:fldCharType="end"/>
      </w:r>
      <w:r w:rsidR="005F47A8" w:rsidRPr="005F47A8">
        <w:rPr>
          <w:rFonts w:ascii="Times New Roman" w:eastAsia="Times New Roman" w:hAnsi="Times New Roman" w:cs="Times New Roman"/>
          <w:sz w:val="24"/>
          <w:szCs w:val="24"/>
        </w:rPr>
        <w:t xml:space="preserve">. These initiatives aim to equip young people with entrepreneurial skills and </w:t>
      </w:r>
      <w:r w:rsidR="005F47A8" w:rsidRPr="005F47A8">
        <w:rPr>
          <w:rFonts w:ascii="Times New Roman" w:eastAsia="Times New Roman" w:hAnsi="Times New Roman" w:cs="Times New Roman"/>
          <w:sz w:val="24"/>
          <w:szCs w:val="24"/>
        </w:rPr>
        <w:lastRenderedPageBreak/>
        <w:t>foster their personal and economic growth, ultimately contributing to a more stable and prosperous society.</w:t>
      </w:r>
      <w:r w:rsidR="00820D8E">
        <w:rPr>
          <w:rFonts w:ascii="Times New Roman" w:eastAsia="Times New Roman" w:hAnsi="Times New Roman" w:cs="Times New Roman"/>
          <w:sz w:val="24"/>
          <w:szCs w:val="24"/>
        </w:rPr>
        <w:t xml:space="preserve"> </w:t>
      </w:r>
    </w:p>
    <w:p w14:paraId="67BA5262" w14:textId="41385D7D" w:rsidR="00730AF7" w:rsidRDefault="004A2C6B" w:rsidP="00F344FD">
      <w:pPr>
        <w:spacing w:after="0" w:line="480" w:lineRule="auto"/>
        <w:jc w:val="both"/>
        <w:rPr>
          <w:rFonts w:ascii="Times New Roman" w:eastAsia="Times New Roman" w:hAnsi="Times New Roman" w:cs="Times New Roman"/>
          <w:sz w:val="24"/>
          <w:szCs w:val="24"/>
        </w:rPr>
      </w:pPr>
      <w:r w:rsidRPr="004A2C6B">
        <w:rPr>
          <w:rFonts w:ascii="Times New Roman" w:eastAsia="Aptos" w:hAnsi="Times New Roman" w:cs="Times New Roman"/>
          <w:kern w:val="2"/>
          <w:sz w:val="24"/>
          <w:szCs w:val="24"/>
          <w14:ligatures w14:val="standardContextual"/>
        </w:rPr>
        <w:t>As a result, many young people, have turned to entrepreneurship, that plays a vital approach to driving a nation’s economic growth</w:t>
      </w:r>
      <w:r w:rsidRPr="004A2C6B">
        <w:rPr>
          <w:rFonts w:ascii="Times New Roman" w:eastAsia="Calibri" w:hAnsi="Times New Roman" w:cs="Times New Roman"/>
          <w:sz w:val="24"/>
          <w:szCs w:val="24"/>
        </w:rPr>
        <w:t xml:space="preserve"> </w:t>
      </w:r>
      <w:r w:rsidRPr="004A2C6B">
        <w:rPr>
          <w:rFonts w:ascii="Times New Roman" w:eastAsia="Calibri" w:hAnsi="Times New Roman" w:cs="Times New Roman"/>
          <w:sz w:val="24"/>
          <w:szCs w:val="24"/>
        </w:rPr>
        <w:fldChar w:fldCharType="begin" w:fldLock="1"/>
      </w:r>
      <w:r w:rsidR="00D83B4B">
        <w:rPr>
          <w:rFonts w:ascii="Times New Roman" w:eastAsia="Calibri" w:hAnsi="Times New Roman" w:cs="Times New Roman"/>
          <w:sz w:val="24"/>
          <w:szCs w:val="24"/>
        </w:rPr>
        <w:instrText xml:space="preserve"> ADDIN ZOTERO_ITEM CSL_CITATION {"citationID":"FjjXkEDq","properties":{"formattedCitation":"(Bosma et al., 2018)","plainCitation":"(Bosma et al., 2018)","noteIndex":0},"citationItems":[{"id":"frcB90kj/kDhW2sPR","uris":["http://www.mendeley.com/documents/?uuid=8ce283c0-7123-4b20-a408-8a5f7c136382"],"itemData":{"DOI":"10.1007/s11187-018-0012-x","ISSN":"15730913","abstract":"Institutions have a decisive impact on the prevalence and nature of entrepreneurship. To date, the impact of institutions on (productive) entrepreneurship and the effects of entrepreneurship on economic growth have largely been investigated in isolation. In this paper, we bring together institutions, entrepreneurship, and economic growth using a parsimonious growth model in a 3SLS specification. In our first stage, we regress multiple measures of entrepreneurial activity on institutional proxies that are known to correlate with more productive forms of entrepreneurial activity. Using the fitted values of this first-stage regression as our proxy for productive entrepreneurship, we can then estimate a panel growth regression following Islam (1995) in a second stage. The third stage then optimizes the estimation of the two equations simultaneously. Our results show that productive entrepreneurship contributes to economic growth. In our set of proxies for institutional quality, financial stability, small government, and perceived start-up skills are the most important predictors of such productive entrepreneurship.","author":[{"dropping-particle":"","family":"Bosma","given":"Niels","non-dropping-particle":"","parse-names":false,"suffix":""},{"dropping-particle":"","family":"Content","given":"Jeroen","non-dropping-particle":"","parse-names":false,"suffix":""},{"dropping-particle":"","family":"Sanders","given":"Mark","non-dropping-particle":"","parse-names":false,"suffix":""},{"dropping-particle":"","family":"Stam","given":"Erik","non-dropping-particle":"","parse-names":false,"suffix":""}],"container-title":"Small Business Economics","id":"ITEM-1","issue":"2","issued":{"date-parts":[["2018"]]},"page":"483-499","publisher":"Small Business Economics","title":"Institutions, entrepreneurship, and economic growth in Europe","type":"article-journal","volume":"51"}}],"schema":"https://github.com/citation-style-language/schema/raw/master/csl-citation.json"} </w:instrText>
      </w:r>
      <w:r w:rsidRPr="004A2C6B">
        <w:rPr>
          <w:rFonts w:ascii="Times New Roman" w:eastAsia="Calibri" w:hAnsi="Times New Roman" w:cs="Times New Roman"/>
          <w:sz w:val="24"/>
          <w:szCs w:val="24"/>
        </w:rPr>
        <w:fldChar w:fldCharType="separate"/>
      </w:r>
      <w:r w:rsidRPr="004A2C6B">
        <w:rPr>
          <w:rFonts w:ascii="Times New Roman" w:eastAsia="Calibri" w:hAnsi="Times New Roman" w:cs="Times New Roman"/>
          <w:sz w:val="24"/>
        </w:rPr>
        <w:t xml:space="preserve">(Bosma </w:t>
      </w:r>
      <w:r w:rsidRPr="004A2C6B">
        <w:rPr>
          <w:rFonts w:ascii="Times New Roman" w:eastAsia="Calibri" w:hAnsi="Times New Roman" w:cs="Times New Roman"/>
          <w:i/>
          <w:sz w:val="24"/>
        </w:rPr>
        <w:t>et al</w:t>
      </w:r>
      <w:r w:rsidRPr="004A2C6B">
        <w:rPr>
          <w:rFonts w:ascii="Times New Roman" w:eastAsia="Calibri" w:hAnsi="Times New Roman" w:cs="Times New Roman"/>
          <w:sz w:val="24"/>
        </w:rPr>
        <w:t>., 2018)</w:t>
      </w:r>
      <w:r w:rsidRPr="004A2C6B">
        <w:rPr>
          <w:rFonts w:ascii="Times New Roman" w:eastAsia="Calibri" w:hAnsi="Times New Roman" w:cs="Times New Roman"/>
          <w:sz w:val="24"/>
          <w:szCs w:val="24"/>
        </w:rPr>
        <w:fldChar w:fldCharType="end"/>
      </w:r>
      <w:r w:rsidRPr="004A2C6B">
        <w:rPr>
          <w:rFonts w:ascii="Times New Roman" w:eastAsia="Calibri" w:hAnsi="Times New Roman" w:cs="Times New Roman"/>
          <w:sz w:val="24"/>
          <w:szCs w:val="24"/>
        </w:rPr>
        <w:t>.</w:t>
      </w:r>
      <w:r w:rsidRPr="004A2C6B">
        <w:rPr>
          <w:rFonts w:ascii="Times New Roman" w:eastAsia="Calibri" w:hAnsi="Times New Roman" w:cs="Times New Roman"/>
          <w:sz w:val="24"/>
        </w:rPr>
        <w:t xml:space="preserve"> </w:t>
      </w:r>
      <w:r w:rsidR="004B48E8" w:rsidRPr="004B48E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{"citationID":"IhdHrgV3","properties":{"formattedCitation":"(Kaumbulu et al., 2019)","plainCitation":"(Kaumbulu et al., 2019)","dontUpdate":true,"noteIndex":0},"citationItems":[{"id":1120,"uris":["http://zotero.org/users/5547997/items/3P26VP4V"],"itemData":{"id":1120,"type":"article-journal","container-title":"Asian Journal of Economics, Finance and Management","issue":"1","journalAbbreviation":"AJEFM","page":"251-267","title":"Governance, Quality and Operating EnvironmentContagious in Sustainability: Understanding ProjectSustainability from Youth Empowerment Perspectivein Kenya","volume":"4","author":[{"family":"Kaumbulu","given":"Ambrose"},{"family":"Muathe","given":"Stephen"},{"family":"James","given":"Rosemary"}],"issued":{"date-parts":[["2019"]]}}}],"schema":"https://github.com/citation-style-language/schema/raw/master/csl-citation.json"} </w:instrText>
      </w:r>
      <w:r w:rsidR="004B48E8" w:rsidRPr="004B48E8">
        <w:rPr>
          <w:rFonts w:ascii="Times New Roman" w:eastAsia="Times New Roman" w:hAnsi="Times New Roman" w:cs="Times New Roman"/>
          <w:sz w:val="24"/>
          <w:szCs w:val="24"/>
        </w:rPr>
        <w:fldChar w:fldCharType="separate"/>
      </w:r>
      <w:r w:rsidR="004B48E8" w:rsidRPr="004B48E8">
        <w:rPr>
          <w:rFonts w:ascii="Times New Roman" w:eastAsia="Aptos" w:hAnsi="Times New Roman" w:cs="Times New Roman"/>
          <w:kern w:val="2"/>
          <w:sz w:val="24"/>
          <w14:ligatures w14:val="standardContextual"/>
        </w:rPr>
        <w:t>Kaumbulu Muathe, and James (2019)</w:t>
      </w:r>
      <w:r w:rsidR="004B48E8" w:rsidRPr="004B48E8">
        <w:rPr>
          <w:rFonts w:ascii="Times New Roman" w:eastAsia="Times New Roman" w:hAnsi="Times New Roman" w:cs="Times New Roman"/>
          <w:sz w:val="24"/>
          <w:szCs w:val="24"/>
        </w:rPr>
        <w:fldChar w:fldCharType="end"/>
      </w:r>
      <w:r w:rsidR="004B48E8" w:rsidRPr="004B48E8">
        <w:rPr>
          <w:rFonts w:ascii="Times New Roman" w:eastAsia="Times New Roman" w:hAnsi="Times New Roman" w:cs="Times New Roman"/>
          <w:sz w:val="24"/>
          <w:szCs w:val="24"/>
        </w:rPr>
        <w:t xml:space="preserve"> expressed concerns about the continuity of projects, noting that while significant progress such as credit accessibility and entrepreneurial mentorship has been made in project implementation, the post-implementation phase remains challenging, with only a small number of projects being successfully maintained over time.</w:t>
      </w:r>
      <w:r w:rsidR="005F47A8" w:rsidRPr="005F47A8">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{"citationID":"dRWRxEcm","properties":{"formattedCitation":"(Geza et al., 2022)","plainCitation":"(Geza et al., 2022)","dontUpdate":true,"noteIndex":0},"citationItems":[{"id":1119,"uris":["http://zotero.org/users/5547997/items/6QEV5NB7"],"itemData":{"id":1119,"type":"article-journal","abstract":"Over the years, South Africa has made significant investments aimed at transforming the agricultural sector to deliver on rural economic development and job creation. These investments have had varying levels of success; still, what is worrying is the high youth unemployment rate which is amongst the highest globally. We conducted a scoping review using the PRISMA-P guidelines to identify the challenges youth face in accessing sustainable employment in the agriculture sector. Peer-reviewed studies were retrieved from online databases (Web of Science, Cab Direct, and Science Direct) for 1994–2021. The findings showed that youth are still facing significant challenges in the demand and supply side of the labour market and lack of inclusivity in policy formulation and implementation, limiting their involvement in agriculture and rural development initiatives. Policies and strategies responding to these challenges exist, and the spectrum of support services provided are primarily focused on entrepreneurship. Yet, the implementation of programs and initiatives has not been successful. This could be attributed to the obstacles persisting in the sociopolitical environment in SA, causing additional barriers to program implementation. Therefore, to enhance youth involvement in agriculture and rural development, there is a need to connect more rural youth to support services, local employment programmes, and youth inclusion in policy formulation processes. Additionally, the focus of policy and programs should be broadened to cater to different youth knowledge and skill profiles.","container-title":"Sustainability","DOI":"10.3390/su14095041","ISSN":"2071-1050","issue":"9","journalAbbreviation":"Sustainability","language":"en","license":"https://creativecommons.org/licenses/by/4.0/","page":"5041","source":"DOI.org (Crossref)","title":"The Dynamics of Youth Employment and Empowerment in Agriculture and Rural Development in South Africa: A Scoping Review","title-short":"The Dynamics of Youth Employment and Empowerment in Agriculture and Rural Development in South Africa","volume":"14","author":[{"family":"Geza","given":"Wendy"},{"family":"Ngidi","given":"Mjabuliseni Simon Cloapas"},{"family":"Slotow","given":"Rob"},{"family":"Mabhaudhi","given":"Tafadzwanashe"}],"issued":{"date-parts":[["2022",4,22]]}}}],"schema":"https://github.com/citation-style-language/schema/raw/master/csl-citation.json"}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Geza,</w:t>
      </w:r>
      <w:r w:rsidR="005F47A8" w:rsidRPr="005F47A8">
        <w:rPr>
          <w:rFonts w:ascii="Aptos" w:eastAsia="Aptos" w:hAnsi="Aptos" w:cs="Times New Roman"/>
          <w:kern w:val="2"/>
          <w14:ligatures w14:val="standardContextual"/>
        </w:rPr>
        <w:t xml:space="preserve"> </w:t>
      </w:r>
      <w:r w:rsidR="005F47A8" w:rsidRPr="005F47A8">
        <w:rPr>
          <w:rFonts w:ascii="Times New Roman" w:eastAsia="Aptos" w:hAnsi="Times New Roman" w:cs="Times New Roman"/>
          <w:kern w:val="2"/>
          <w:sz w:val="24"/>
          <w14:ligatures w14:val="standardContextual"/>
        </w:rPr>
        <w:t>Ngidi, Slotow and Mabhaudhi (2022)</w:t>
      </w:r>
      <w:r w:rsidR="005F47A8" w:rsidRPr="005F47A8">
        <w:rPr>
          <w:rFonts w:ascii="Times New Roman" w:eastAsia="Times New Roman" w:hAnsi="Times New Roman" w:cs="Times New Roman"/>
          <w:sz w:val="24"/>
          <w:szCs w:val="24"/>
        </w:rPr>
        <w:fldChar w:fldCharType="end"/>
      </w:r>
      <w:r w:rsidR="003601BF">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t>ascertain incorporating youth empowerment is crucial for ensuring accountability and demonstrates a commitment to creating supportive conditions that enable young people to take control d of their well-being.</w:t>
      </w:r>
    </w:p>
    <w:p w14:paraId="240419CA" w14:textId="77A378B1" w:rsidR="00384A5B" w:rsidRPr="00F344FD" w:rsidRDefault="0070008C" w:rsidP="00F344FD">
      <w:pPr>
        <w:spacing w:after="0" w:line="480" w:lineRule="auto"/>
        <w:jc w:val="both"/>
        <w:rPr>
          <w:rFonts w:ascii="Times New Roman" w:hAnsi="Times New Roman" w:cs="Times New Roman"/>
          <w:sz w:val="24"/>
          <w:szCs w:val="24"/>
        </w:rPr>
      </w:pPr>
      <w:r w:rsidRPr="0070008C">
        <w:rPr>
          <w:rFonts w:ascii="Times New Roman" w:eastAsia="Times New Roman" w:hAnsi="Times New Roman" w:cs="Times New Roman"/>
          <w:sz w:val="24"/>
          <w:szCs w:val="24"/>
        </w:rPr>
        <w:t>Kilifi County is located along the Kenyan Coast and lies between Mombasa to the south and Tana River County to the north. It covers an area of approximately 12,246 square kilometers and has a population of about 1.5 million people (Kenya National Bureau of Statistics, 2019).</w:t>
      </w:r>
      <w:r>
        <w:rPr>
          <w:rFonts w:ascii="Times New Roman" w:eastAsia="Times New Roman" w:hAnsi="Times New Roman" w:cs="Times New Roman"/>
          <w:sz w:val="24"/>
          <w:szCs w:val="24"/>
        </w:rPr>
        <w:t xml:space="preserve"> </w:t>
      </w:r>
      <w:r w:rsidR="00384A5B" w:rsidRPr="00384A5B">
        <w:rPr>
          <w:rFonts w:ascii="Times New Roman" w:eastAsia="Times New Roman" w:hAnsi="Times New Roman" w:cs="Times New Roman"/>
          <w:sz w:val="24"/>
          <w:szCs w:val="24"/>
        </w:rPr>
        <w:t xml:space="preserve">The definition of youth varies across countries, reflecting differences in cultural, social, and policy perspectives </w:t>
      </w:r>
      <w:r w:rsidR="00384A5B" w:rsidRPr="00384A5B">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{"citationID":"gxcjGqNN","properties":{"formattedCitation":"(IOM, 2019)","plainCitation":"(IOM, 2019)","noteIndex":0},"citationItems":[{"id":1102,"uris":["http://zotero.org/users/5547997/items/V5N8UE3N"],"itemData":{"id":1102,"type":"report","event-place":"Geneva, Switzerland","page":"18","publisher":"International Organization for Migration","publisher-place":"Geneva, Switzerland","title":"Searching for clarity: Defining and mapping youth migration","author":[{"family":"IOM","given":""}],"issued":{"date-parts":[["2019"]]}}}],"schema":"https://github.com/citation-style-language/schema/raw/master/csl-citation.json"} </w:instrText>
      </w:r>
      <w:r w:rsidR="00384A5B" w:rsidRPr="00384A5B">
        <w:rPr>
          <w:rFonts w:ascii="Times New Roman" w:eastAsia="Times New Roman" w:hAnsi="Times New Roman" w:cs="Times New Roman"/>
          <w:sz w:val="24"/>
          <w:szCs w:val="24"/>
        </w:rPr>
        <w:fldChar w:fldCharType="separate"/>
      </w:r>
      <w:r w:rsidR="00384A5B" w:rsidRPr="00384A5B">
        <w:rPr>
          <w:rFonts w:ascii="Times New Roman" w:eastAsia="Aptos" w:hAnsi="Times New Roman" w:cs="Times New Roman"/>
          <w:kern w:val="2"/>
          <w:sz w:val="24"/>
          <w14:ligatures w14:val="standardContextual"/>
        </w:rPr>
        <w:t>(IOM, 2019)</w:t>
      </w:r>
      <w:r w:rsidR="00384A5B" w:rsidRPr="00384A5B">
        <w:rPr>
          <w:rFonts w:ascii="Times New Roman" w:eastAsia="Times New Roman" w:hAnsi="Times New Roman" w:cs="Times New Roman"/>
          <w:sz w:val="24"/>
          <w:szCs w:val="24"/>
        </w:rPr>
        <w:fldChar w:fldCharType="end"/>
      </w:r>
      <w:r w:rsidR="00384A5B" w:rsidRPr="00384A5B">
        <w:rPr>
          <w:rFonts w:ascii="Times New Roman" w:eastAsia="Times New Roman" w:hAnsi="Times New Roman" w:cs="Times New Roman"/>
          <w:sz w:val="24"/>
          <w:szCs w:val="24"/>
        </w:rPr>
        <w:t xml:space="preserve">. </w:t>
      </w:r>
      <w:r w:rsidR="0010414C">
        <w:rPr>
          <w:rFonts w:ascii="Times New Roman" w:eastAsia="Times New Roman" w:hAnsi="Times New Roman" w:cs="Times New Roman"/>
          <w:sz w:val="24"/>
          <w:szCs w:val="24"/>
        </w:rPr>
        <w:t>The Kenyan</w:t>
      </w:r>
      <w:r w:rsidR="00384A5B" w:rsidRPr="00384A5B">
        <w:rPr>
          <w:rFonts w:ascii="Times New Roman" w:eastAsia="Times New Roman" w:hAnsi="Times New Roman" w:cs="Times New Roman"/>
          <w:sz w:val="24"/>
          <w:szCs w:val="24"/>
        </w:rPr>
        <w:t xml:space="preserve"> </w:t>
      </w:r>
      <w:r w:rsidR="0010414C">
        <w:rPr>
          <w:rFonts w:ascii="Times New Roman" w:eastAsia="Times New Roman" w:hAnsi="Times New Roman" w:cs="Times New Roman"/>
          <w:sz w:val="24"/>
          <w:szCs w:val="24"/>
        </w:rPr>
        <w:t>constitution</w:t>
      </w:r>
      <w:r w:rsidR="00384A5B" w:rsidRPr="00384A5B">
        <w:rPr>
          <w:rFonts w:ascii="Times New Roman" w:eastAsia="Times New Roman" w:hAnsi="Times New Roman" w:cs="Times New Roman"/>
          <w:sz w:val="24"/>
          <w:szCs w:val="24"/>
        </w:rPr>
        <w:t xml:space="preserve"> in 2010, defines youth as individuals aged 15 to </w:t>
      </w:r>
      <w:r w:rsidR="006377EC">
        <w:rPr>
          <w:rFonts w:ascii="Times New Roman" w:eastAsia="Times New Roman" w:hAnsi="Times New Roman" w:cs="Times New Roman"/>
          <w:sz w:val="24"/>
          <w:szCs w:val="24"/>
        </w:rPr>
        <w:t>35</w:t>
      </w:r>
      <w:r w:rsidR="00384A5B" w:rsidRPr="00384A5B">
        <w:rPr>
          <w:rFonts w:ascii="Times New Roman" w:eastAsia="Times New Roman" w:hAnsi="Times New Roman" w:cs="Times New Roman"/>
          <w:sz w:val="24"/>
          <w:szCs w:val="24"/>
        </w:rPr>
        <w:t xml:space="preserve"> years </w:t>
      </w:r>
      <w:r w:rsidR="00384A5B" w:rsidRPr="00B33234">
        <w:rPr>
          <w:rFonts w:ascii="Times New Roman" w:eastAsia="Times New Roman" w:hAnsi="Times New Roman" w:cs="Times New Roman"/>
          <w:sz w:val="24"/>
          <w:szCs w:val="24"/>
        </w:rPr>
        <w:fldChar w:fldCharType="begin"/>
      </w:r>
      <w:r w:rsidR="00D83B4B" w:rsidRPr="00B33234">
        <w:rPr>
          <w:rFonts w:ascii="Times New Roman" w:eastAsia="Times New Roman" w:hAnsi="Times New Roman" w:cs="Times New Roman"/>
          <w:sz w:val="24"/>
          <w:szCs w:val="24"/>
        </w:rPr>
        <w:instrText xml:space="preserve"> ADDIN ZOTERO_ITEM CSL_CITATION {"citationID":"IWONZ6hH","properties":{"formattedCitation":"(UNFPA, 2010)","plainCitation":"(UNFPA, 2010)","noteIndex":0},"citationItems":[{"id":1103,"uris":["http://zotero.org/users/5547997/items/RIGLM6PG"],"itemData":{"id":1103,"type":"report","event-place":"Somalia","page":"31","publisher":"Federal Government of Somalia","publisher-place":"Somalia","title":"The National Youth Policy of The Federal Government of Somalia","author":[{"family":"UNFPA","given":""}],"issued":{"date-parts":[["2010"]]}}}],"schema":"https://github.com/citation-style-language/schema/raw/master/csl-citation.json"} </w:instrText>
      </w:r>
      <w:r w:rsidR="00384A5B" w:rsidRPr="00B33234">
        <w:rPr>
          <w:rFonts w:ascii="Times New Roman" w:eastAsia="Times New Roman" w:hAnsi="Times New Roman" w:cs="Times New Roman"/>
          <w:sz w:val="24"/>
          <w:szCs w:val="24"/>
        </w:rPr>
        <w:fldChar w:fldCharType="separate"/>
      </w:r>
      <w:r w:rsidR="00384A5B" w:rsidRPr="00B33234">
        <w:rPr>
          <w:rFonts w:ascii="Times New Roman" w:eastAsia="Aptos" w:hAnsi="Times New Roman" w:cs="Times New Roman"/>
          <w:kern w:val="2"/>
          <w:sz w:val="24"/>
          <w:szCs w:val="24"/>
          <w14:ligatures w14:val="standardContextual"/>
        </w:rPr>
        <w:t>(</w:t>
      </w:r>
      <w:r w:rsidR="00B33234" w:rsidRPr="00B33234">
        <w:rPr>
          <w:rFonts w:ascii="Times New Roman" w:hAnsi="Times New Roman" w:cs="Times New Roman"/>
          <w:sz w:val="24"/>
          <w:szCs w:val="24"/>
        </w:rPr>
        <w:t>ROK, 2010</w:t>
      </w:r>
      <w:r w:rsidR="00384A5B" w:rsidRPr="00B33234">
        <w:rPr>
          <w:rFonts w:ascii="Times New Roman" w:eastAsia="Aptos" w:hAnsi="Times New Roman" w:cs="Times New Roman"/>
          <w:kern w:val="2"/>
          <w:sz w:val="24"/>
          <w:szCs w:val="24"/>
          <w14:ligatures w14:val="standardContextual"/>
        </w:rPr>
        <w:t>)</w:t>
      </w:r>
      <w:r w:rsidR="00384A5B" w:rsidRPr="00B33234">
        <w:rPr>
          <w:rFonts w:ascii="Times New Roman" w:eastAsia="Times New Roman" w:hAnsi="Times New Roman" w:cs="Times New Roman"/>
          <w:sz w:val="24"/>
          <w:szCs w:val="24"/>
        </w:rPr>
        <w:fldChar w:fldCharType="end"/>
      </w:r>
      <w:r w:rsidR="00B54503">
        <w:rPr>
          <w:rFonts w:ascii="Times New Roman" w:eastAsia="Times New Roman" w:hAnsi="Times New Roman" w:cs="Times New Roman"/>
          <w:sz w:val="24"/>
          <w:szCs w:val="24"/>
        </w:rPr>
        <w:t>.</w:t>
      </w:r>
      <w:r w:rsidR="00B54503" w:rsidRPr="00B54503">
        <w:rPr>
          <w:rFonts w:ascii="Times New Roman" w:eastAsia="Calibri" w:hAnsi="Times New Roman" w:cs="Times New Roman"/>
          <w:sz w:val="24"/>
        </w:rPr>
        <w:t xml:space="preserve"> </w:t>
      </w:r>
      <w:r w:rsidR="00B54503">
        <w:rPr>
          <w:rFonts w:ascii="Times New Roman" w:eastAsia="Calibri" w:hAnsi="Times New Roman" w:cs="Times New Roman"/>
          <w:sz w:val="24"/>
        </w:rPr>
        <w:t xml:space="preserve">The study included all </w:t>
      </w:r>
      <w:r w:rsidR="00B54503" w:rsidRPr="00B54503">
        <w:rPr>
          <w:rFonts w:ascii="Times New Roman" w:eastAsia="Calibri" w:hAnsi="Times New Roman" w:cs="Times New Roman"/>
          <w:sz w:val="24"/>
        </w:rPr>
        <w:t xml:space="preserve">400 youth that take part in the youth empowerment programs in </w:t>
      </w:r>
      <w:r w:rsidR="00B54503">
        <w:rPr>
          <w:rFonts w:ascii="Times New Roman" w:eastAsia="Calibri" w:hAnsi="Times New Roman" w:cs="Times New Roman"/>
          <w:sz w:val="24"/>
        </w:rPr>
        <w:t>Kilifi County across different six sectors</w:t>
      </w:r>
      <w:r w:rsidR="00B54503" w:rsidRPr="00B54503">
        <w:rPr>
          <w:rFonts w:ascii="Times New Roman" w:eastAsia="Calibri" w:hAnsi="Times New Roman" w:cs="Times New Roman"/>
          <w:sz w:val="24"/>
        </w:rPr>
        <w:t xml:space="preserve"> </w:t>
      </w:r>
      <w:r w:rsidR="00B54503" w:rsidRPr="00B54503">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{"citationID":"HG9xzNnC","properties":{"formattedCitation":"(UN, 2024)","plainCitation":"(UN, 2024)","noteIndex":0},"citationItems":[{"id":1097,"uris":["http://zotero.org/users/5547997/items/XNK5EBHX"],"itemData":{"id":1097,"type":"report","event-place":"Nairobi, Kenya","page":"69","publisher":"United Nations Development Programme","publisher-place":"Nairobi, Kenya","title":"Community Resilience in the Horn of Africa: Insights from Ethiopia, Kenya and Somalia","author":[{"family":"UN","given":""}],"issued":{"date-parts":[["2024"]]}}}],"schema":"https://github.com/citation-style-language/schema/raw/master/csl-citation.json"} </w:instrText>
      </w:r>
      <w:r w:rsidR="00B54503" w:rsidRPr="00B54503">
        <w:rPr>
          <w:rFonts w:ascii="Times New Roman" w:eastAsia="Calibri" w:hAnsi="Times New Roman" w:cs="Times New Roman"/>
          <w:sz w:val="24"/>
        </w:rPr>
        <w:fldChar w:fldCharType="separate"/>
      </w:r>
      <w:r w:rsidR="00B54503" w:rsidRPr="00B54503">
        <w:rPr>
          <w:rFonts w:ascii="Times New Roman" w:eastAsia="Calibri" w:hAnsi="Times New Roman" w:cs="Times New Roman"/>
          <w:sz w:val="24"/>
        </w:rPr>
        <w:t>(UN, 2024)</w:t>
      </w:r>
      <w:r w:rsidR="00B54503" w:rsidRPr="00B54503">
        <w:rPr>
          <w:rFonts w:ascii="Times New Roman" w:eastAsia="Calibri" w:hAnsi="Times New Roman" w:cs="Times New Roman"/>
          <w:sz w:val="24"/>
        </w:rPr>
        <w:fldChar w:fldCharType="end"/>
      </w:r>
      <w:r w:rsidR="00B54503" w:rsidRPr="00B54503">
        <w:rPr>
          <w:rFonts w:ascii="Times New Roman" w:eastAsia="Calibri" w:hAnsi="Times New Roman" w:cs="Times New Roman"/>
          <w:sz w:val="24"/>
        </w:rPr>
        <w:t xml:space="preserve">. </w:t>
      </w:r>
    </w:p>
    <w:p w14:paraId="789598EB" w14:textId="34EBEE57" w:rsidR="0031477D" w:rsidRPr="009B73FD" w:rsidRDefault="0031477D" w:rsidP="003D4767">
      <w:pPr>
        <w:pStyle w:val="Heading2"/>
        <w:spacing w:before="0" w:after="0" w:line="480" w:lineRule="auto"/>
        <w:rPr>
          <w:rFonts w:cs="Times New Roman"/>
          <w:iCs w:val="0"/>
          <w:szCs w:val="24"/>
        </w:rPr>
      </w:pPr>
      <w:r w:rsidRPr="009B73FD">
        <w:rPr>
          <w:rFonts w:cs="Times New Roman"/>
          <w:iCs w:val="0"/>
          <w:szCs w:val="24"/>
        </w:rPr>
        <w:t>1.1 Statement of the problem</w:t>
      </w:r>
    </w:p>
    <w:p w14:paraId="1B13EB7D" w14:textId="04969D40" w:rsidR="00A330E8" w:rsidRDefault="00A330E8" w:rsidP="00A330E8">
      <w:pPr>
        <w:spacing w:after="0" w:line="480" w:lineRule="auto"/>
        <w:jc w:val="both"/>
        <w:rPr>
          <w:rFonts w:ascii="Aptos" w:eastAsia="Aptos" w:hAnsi="Aptos" w:cs="Times New Roman"/>
          <w:kern w:val="2"/>
          <w14:ligatures w14:val="standardContextual"/>
        </w:rPr>
      </w:pPr>
      <w:r w:rsidRPr="00A330E8">
        <w:rPr>
          <w:rFonts w:ascii="Times New Roman" w:eastAsia="Times New Roman" w:hAnsi="Times New Roman" w:cs="Times New Roman"/>
          <w:sz w:val="24"/>
          <w:szCs w:val="24"/>
        </w:rPr>
        <w:t xml:space="preserve">Despite the initiatives by the various stakeholders to improve youth empowerment, it has remained below the threshold. Available data indicates that the state continues to face one of the greatest youth unemployment rates </w:t>
      </w:r>
      <w:r w:rsidRPr="00B241E8">
        <w:rPr>
          <w:rFonts w:ascii="Times New Roman" w:eastAsia="Times New Roman" w:hAnsi="Times New Roman" w:cs="Times New Roman"/>
          <w:sz w:val="24"/>
          <w:szCs w:val="24"/>
        </w:rPr>
        <w:t>globally at 6</w:t>
      </w:r>
      <w:r w:rsidR="004C20AE" w:rsidRPr="00B241E8">
        <w:rPr>
          <w:rFonts w:ascii="Times New Roman" w:eastAsia="Times New Roman" w:hAnsi="Times New Roman" w:cs="Times New Roman"/>
          <w:sz w:val="24"/>
          <w:szCs w:val="24"/>
        </w:rPr>
        <w:t>5</w:t>
      </w:r>
      <w:r w:rsidRPr="00B241E8">
        <w:rPr>
          <w:rFonts w:ascii="Times New Roman" w:eastAsia="Times New Roman" w:hAnsi="Times New Roman" w:cs="Times New Roman"/>
          <w:sz w:val="24"/>
          <w:szCs w:val="24"/>
        </w:rPr>
        <w:t>%,</w:t>
      </w:r>
      <w:r w:rsidRPr="00A330E8">
        <w:rPr>
          <w:rFonts w:ascii="Times New Roman" w:eastAsia="Times New Roman" w:hAnsi="Times New Roman" w:cs="Times New Roman"/>
          <w:sz w:val="24"/>
          <w:szCs w:val="24"/>
          <w:lang w:val="en-GB"/>
        </w:rPr>
        <w:t xml:space="preserve"> </w:t>
      </w:r>
      <w:r w:rsidRPr="00A330E8">
        <w:rPr>
          <w:rFonts w:ascii="Times New Roman" w:eastAsia="Times New Roman" w:hAnsi="Times New Roman" w:cs="Times New Roman"/>
          <w:sz w:val="24"/>
          <w:szCs w:val="24"/>
          <w:lang w:val="en-GB"/>
        </w:rPr>
        <w:fldChar w:fldCharType="begin" w:fldLock="1"/>
      </w:r>
      <w:r w:rsidR="00D83B4B">
        <w:rPr>
          <w:rFonts w:ascii="Times New Roman" w:eastAsia="Times New Roman" w:hAnsi="Times New Roman" w:cs="Times New Roman"/>
          <w:sz w:val="24"/>
          <w:szCs w:val="24"/>
          <w:lang w:val="en-GB"/>
        </w:rPr>
        <w:instrText xml:space="preserve"> ADDIN ZOTERO_ITEM CSL_CITATION {"citationID":"g1oLAxjP","properties":{"formattedCitation":"(World Bank, 2020)","plainCitation":"(World Bank, 2020)","noteIndex":0},"citationItems":[{"id":"frcB90kj/GC9xYloz","uris":["http://www.mendeley.com/documents/?uuid=04bb8197-e5d2-4444-87e3-cb43f006d360"],"itemData":{"DOI":"10.1596/978-1-4648-1536-2","abstract":"The Global Investment Competitiveness Report 2019/2020 provides novel analytical insights, empirical evidence, and actionable recommendations for governments seeking to rebuild investor confidence in times of uncertainty. It focuses on the role of foreign direct investment (FDI) in alleviating the impact of the COVID-19 crisis and boosting countries’ economic resilience. It highlights FDI’s contributions to providing a critical source of external finance, creating jobs, lifting people out of poverty, and raising productivity. The report presents results of a survey of more than 2,400 business executives representing multinational corporations in 10 large developing countries: Brazil, China, India, Indonesia, Malaysia, Mexico, Nigeria, Thailand, Turkey, and Vietnam. Results of the survey, as well as the report’s new global database of regulatory risk, highlight the critical role of government actions in reducing investor risk and increasing policy predictability for rebuilding investor confidence. The report also assesses the impact of FDI on poverty, inequality, employment, and business performance using firm- and household-level evidence from various countries. It shows that FDI in developing countries yields benefits to firms and workers—including more and better-paid jobs—but governments need to remain vigilant about possible adverse consequences on income distribution. Lastly, the report articulates priorities for investment promotion agencies and other stakeholders seeking to strengthen their countries’ investment competitiveness and leverage FDI for a robust economic recovery.","author":[{"dropping-particle":"","family":"World Bank","given":"","non-dropping-particle":"","parse-names":false,"suffix":""}],"container-title":"Global Investment Competitiveness Report 2019/2020: Rebuilding Investor Confidence in Times of Uncertainty","id":"ITEM-1","issued":{"date-parts":[["2020"]]},"title":"Global Investment Competitiveness Report 2019/2020: Rebuilding Investor Confidence in Times of Uncertainty","type":"article"}}],"schema":"https://github.com/citation-style-language/schema/raw/master/csl-citation.json"} </w:instrText>
      </w:r>
      <w:r w:rsidRPr="00A330E8">
        <w:rPr>
          <w:rFonts w:ascii="Times New Roman" w:eastAsia="Times New Roman" w:hAnsi="Times New Roman" w:cs="Times New Roman"/>
          <w:sz w:val="24"/>
          <w:szCs w:val="24"/>
          <w:lang w:val="en-GB"/>
        </w:rPr>
        <w:fldChar w:fldCharType="separate"/>
      </w:r>
      <w:r w:rsidRPr="00A330E8">
        <w:rPr>
          <w:rFonts w:ascii="Times New Roman" w:eastAsia="Times New Roman" w:hAnsi="Times New Roman" w:cs="Times New Roman"/>
          <w:sz w:val="24"/>
          <w:szCs w:val="24"/>
        </w:rPr>
        <w:t>(</w:t>
      </w:r>
      <w:r w:rsidRPr="004C20AE">
        <w:rPr>
          <w:rFonts w:ascii="Times New Roman" w:eastAsia="Times New Roman" w:hAnsi="Times New Roman" w:cs="Times New Roman"/>
          <w:sz w:val="24"/>
          <w:szCs w:val="24"/>
        </w:rPr>
        <w:t>World Bank, 20</w:t>
      </w:r>
      <w:r w:rsidR="004C20AE" w:rsidRPr="004C20AE">
        <w:rPr>
          <w:rFonts w:ascii="Times New Roman" w:eastAsia="Times New Roman" w:hAnsi="Times New Roman" w:cs="Times New Roman"/>
          <w:sz w:val="24"/>
          <w:szCs w:val="24"/>
        </w:rPr>
        <w:t>19</w:t>
      </w:r>
      <w:r w:rsidRPr="004C20AE">
        <w:rPr>
          <w:rFonts w:ascii="Times New Roman" w:eastAsia="Times New Roman" w:hAnsi="Times New Roman" w:cs="Times New Roman"/>
          <w:sz w:val="24"/>
          <w:szCs w:val="24"/>
        </w:rPr>
        <w:t>)</w:t>
      </w:r>
      <w:r w:rsidRPr="00A330E8">
        <w:rPr>
          <w:rFonts w:ascii="Times New Roman" w:eastAsia="Times New Roman" w:hAnsi="Times New Roman" w:cs="Times New Roman"/>
          <w:sz w:val="24"/>
          <w:szCs w:val="24"/>
        </w:rPr>
        <w:fldChar w:fldCharType="end"/>
      </w:r>
      <w:r w:rsidRPr="00A330E8">
        <w:rPr>
          <w:rFonts w:ascii="Times New Roman" w:eastAsia="Times New Roman" w:hAnsi="Times New Roman" w:cs="Times New Roman"/>
          <w:sz w:val="24"/>
          <w:szCs w:val="24"/>
          <w:lang w:val="en-GB"/>
        </w:rPr>
        <w:t xml:space="preserve">. Additionally, </w:t>
      </w:r>
      <w:r w:rsidRPr="00A330E8">
        <w:rPr>
          <w:rFonts w:ascii="Times New Roman" w:eastAsia="Times New Roman" w:hAnsi="Times New Roman" w:cs="Times New Roman"/>
          <w:color w:val="000000"/>
          <w:sz w:val="24"/>
          <w:szCs w:val="24"/>
          <w:lang w:eastAsia="ja-JP"/>
        </w:rPr>
        <w:t xml:space="preserve">Low education </w:t>
      </w:r>
      <w:r w:rsidRPr="00A330E8">
        <w:rPr>
          <w:rFonts w:ascii="Times New Roman" w:eastAsia="Times New Roman" w:hAnsi="Times New Roman" w:cs="Times New Roman"/>
          <w:color w:val="000000"/>
          <w:sz w:val="24"/>
          <w:szCs w:val="24"/>
          <w:lang w:eastAsia="ja-JP"/>
        </w:rPr>
        <w:lastRenderedPageBreak/>
        <w:t xml:space="preserve">levels of 60% have however contributed to the failure by youth </w:t>
      </w:r>
      <w:r>
        <w:rPr>
          <w:rFonts w:ascii="Times New Roman" w:eastAsia="Times New Roman" w:hAnsi="Times New Roman" w:cs="Times New Roman"/>
          <w:color w:val="000000"/>
          <w:sz w:val="24"/>
          <w:szCs w:val="24"/>
          <w:lang w:eastAsia="ja-JP"/>
        </w:rPr>
        <w:t xml:space="preserve">in Kilifi County </w:t>
      </w:r>
      <w:r w:rsidRPr="00A330E8">
        <w:rPr>
          <w:rFonts w:ascii="Times New Roman" w:eastAsia="Times New Roman" w:hAnsi="Times New Roman" w:cs="Times New Roman"/>
          <w:color w:val="000000"/>
          <w:sz w:val="24"/>
          <w:szCs w:val="24"/>
          <w:lang w:eastAsia="ja-JP"/>
        </w:rPr>
        <w:t xml:space="preserve">to get entrepreneurial training </w:t>
      </w:r>
      <w:r w:rsidRPr="00A330E8">
        <w:rPr>
          <w:rFonts w:ascii="Times New Roman" w:eastAsia="Times New Roman" w:hAnsi="Times New Roman" w:cs="Times New Roman"/>
          <w:color w:val="000000"/>
          <w:sz w:val="24"/>
          <w:szCs w:val="24"/>
          <w:lang w:eastAsia="ja-JP"/>
        </w:rPr>
        <w:fldChar w:fldCharType="begin"/>
      </w:r>
      <w:r w:rsidR="00D83B4B">
        <w:rPr>
          <w:rFonts w:ascii="Times New Roman" w:eastAsia="Times New Roman" w:hAnsi="Times New Roman" w:cs="Times New Roman"/>
          <w:color w:val="000000"/>
          <w:sz w:val="24"/>
          <w:szCs w:val="24"/>
          <w:lang w:eastAsia="ja-JP"/>
        </w:rPr>
        <w:instrText xml:space="preserve"> ADDIN ZOTERO_ITEM CSL_CITATION {"citationID":"EGm6DIY0","properties":{"formattedCitation":"(Ahmed, 2024)","plainCitation":"(Ahmed, 2024)","dontUpdate":true,"noteIndex":0},"citationItems":[{"id":1125,"uris":["http://zotero.org/users/5547997/items/2VBGBYQM"],"itemData":{"id":1125,"type":"article-journal","container-title":"Multidisciplinary Journal of Horseed International University (MJHIU)","ISSN":"2959-4154","issue":"1","page":"126-151","title":"Youth Participation in Peace-building in Somalia: Challenges andOpportunities","volume":"2","author":[{"family":"Ahmed","given":"Abdiaziz"}],"issued":{"date-parts":[["2024"]]}}}],"schema":"https://github.com/citation-style-language/schema/raw/master/csl-citation.json"} </w:instrText>
      </w:r>
      <w:r w:rsidRPr="00A330E8">
        <w:rPr>
          <w:rFonts w:ascii="Times New Roman" w:eastAsia="Times New Roman" w:hAnsi="Times New Roman" w:cs="Times New Roman"/>
          <w:color w:val="000000"/>
          <w:sz w:val="24"/>
          <w:szCs w:val="24"/>
          <w:lang w:eastAsia="ja-JP"/>
        </w:rPr>
        <w:fldChar w:fldCharType="separate"/>
      </w:r>
      <w:r w:rsidRPr="00A330E8">
        <w:rPr>
          <w:rFonts w:ascii="Times New Roman" w:eastAsia="Aptos" w:hAnsi="Times New Roman" w:cs="Times New Roman"/>
          <w:kern w:val="2"/>
          <w:sz w:val="24"/>
          <w14:ligatures w14:val="standardContextual"/>
        </w:rPr>
        <w:t>(Ahmed, 2024</w:t>
      </w:r>
      <w:r w:rsidRPr="00A330E8">
        <w:rPr>
          <w:rFonts w:ascii="Times New Roman" w:eastAsia="Times New Roman" w:hAnsi="Times New Roman" w:cs="Times New Roman"/>
          <w:color w:val="000000"/>
          <w:sz w:val="24"/>
          <w:szCs w:val="24"/>
          <w:lang w:eastAsia="ja-JP"/>
        </w:rPr>
        <w:fldChar w:fldCharType="end"/>
      </w:r>
      <w:r w:rsidRPr="00A330E8">
        <w:rPr>
          <w:rFonts w:ascii="Times New Roman" w:eastAsia="Times New Roman" w:hAnsi="Times New Roman" w:cs="Times New Roman"/>
          <w:color w:val="000000"/>
          <w:sz w:val="24"/>
          <w:szCs w:val="24"/>
          <w:lang w:eastAsia="ja-JP"/>
        </w:rPr>
        <w:t xml:space="preserve">: </w:t>
      </w:r>
      <w:r w:rsidRPr="00A330E8">
        <w:rPr>
          <w:rFonts w:ascii="Times New Roman" w:eastAsia="Times New Roman" w:hAnsi="Times New Roman" w:cs="Times New Roman"/>
          <w:color w:val="000000"/>
          <w:sz w:val="24"/>
          <w:szCs w:val="24"/>
          <w:lang w:eastAsia="ja-JP"/>
        </w:rPr>
        <w:fldChar w:fldCharType="begin"/>
      </w:r>
      <w:r w:rsidR="00D83B4B">
        <w:rPr>
          <w:rFonts w:ascii="Times New Roman" w:eastAsia="Times New Roman" w:hAnsi="Times New Roman" w:cs="Times New Roman"/>
          <w:color w:val="000000"/>
          <w:sz w:val="24"/>
          <w:szCs w:val="24"/>
          <w:lang w:eastAsia="ja-JP"/>
        </w:rPr>
        <w:instrText xml:space="preserve"> ADDIN ZOTERO_ITEM CSL_CITATION {"citationID":"LOhyTLGJ","properties":{"formattedCitation":"(Kulmie et al., 2023)","plainCitation":"(Kulmie et al., 2023)","dontUpdate":true,"noteIndex":0},"citationItems":[{"id":1105,"uris":["http://zotero.org/users/5547997/items/9BBGFJQU"],"itemData":{"id":1105,"type":"article-journal","abstract":"empowerment. The study relies solely on secondary sources from reputable books and journals. It has been determined that entrepreneurship plays a critical role in empowering young individuals, as enables them to enhance their skills and competence, thereby increasing their employment prospects and income levels. Moreover, it recognizes that entrepreneurship training encompasses interdisciplinary programs designed to cultivate an entrepreneurial mindset, foster innovation, and promote growth; these programs are instrumental in helping young people navigate social and economic challenges. The study proposes providing a comprehensive training approach for youth, particularly those residing in underdeveloped nations, while emphasizing the importance of integrating entrepreneurship policies into national plans and initiatives. Furthermore, the article suggests that development and educational institutions should implement structured entrepreneurship training programs to bolster employability by equipping young people with market-relevant competencies.","container-title":"Asian Social Science","DOI":"10.5539/ass.v19n6p111","ISSN":"1911-2025, 1911-2017","issue":"6","journalAbbreviation":"ASS","license":"https://creativecommons.org/licenses/by/4.0","page":"111","source":"DOI.org (Crossref)","title":"Entrepreneurship Training, Job Creation and Youth Empowerment","volume":"19","author":[{"family":"Kulmie","given":"Dayah Abdi"},{"family":"Hussein","given":"Mukhtar Sheikh"},{"family":"Abdi","given":"Bile Mohumed"},{"family":"Abdulle","given":"Mohamed Abdirahman"},{"family":"Adam","given":"Mohamed Ali"}],"issued":{"date-parts":[["2023",11,20]]}}}],"schema":"https://github.com/citation-style-language/schema/raw/master/csl-citation.json"} </w:instrText>
      </w:r>
      <w:r w:rsidRPr="00A330E8">
        <w:rPr>
          <w:rFonts w:ascii="Times New Roman" w:eastAsia="Times New Roman" w:hAnsi="Times New Roman" w:cs="Times New Roman"/>
          <w:color w:val="000000"/>
          <w:sz w:val="24"/>
          <w:szCs w:val="24"/>
          <w:lang w:eastAsia="ja-JP"/>
        </w:rPr>
        <w:fldChar w:fldCharType="separate"/>
      </w:r>
      <w:r w:rsidRPr="00A330E8">
        <w:rPr>
          <w:rFonts w:ascii="Times New Roman" w:eastAsia="Times New Roman" w:hAnsi="Times New Roman" w:cs="Times New Roman"/>
          <w:color w:val="000000"/>
          <w:sz w:val="24"/>
          <w:szCs w:val="24"/>
          <w:lang w:eastAsia="ja-JP"/>
        </w:rPr>
        <w:t xml:space="preserve">Kulmie </w:t>
      </w:r>
      <w:r w:rsidRPr="00A330E8">
        <w:rPr>
          <w:rFonts w:ascii="Times New Roman" w:eastAsia="Times New Roman" w:hAnsi="Times New Roman" w:cs="Times New Roman"/>
          <w:i/>
          <w:color w:val="000000"/>
          <w:sz w:val="24"/>
          <w:szCs w:val="24"/>
          <w:lang w:eastAsia="ja-JP"/>
        </w:rPr>
        <w:t>et al</w:t>
      </w:r>
      <w:r w:rsidRPr="00A330E8">
        <w:rPr>
          <w:rFonts w:ascii="Times New Roman" w:eastAsia="Times New Roman" w:hAnsi="Times New Roman" w:cs="Times New Roman"/>
          <w:color w:val="000000"/>
          <w:sz w:val="24"/>
          <w:szCs w:val="24"/>
          <w:lang w:eastAsia="ja-JP"/>
        </w:rPr>
        <w:t>., 2023)</w:t>
      </w:r>
      <w:r w:rsidRPr="00A330E8">
        <w:rPr>
          <w:rFonts w:ascii="Times New Roman" w:eastAsia="Times New Roman" w:hAnsi="Times New Roman" w:cs="Times New Roman"/>
          <w:color w:val="000000"/>
          <w:sz w:val="24"/>
          <w:szCs w:val="24"/>
          <w:lang w:eastAsia="ja-JP"/>
        </w:rPr>
        <w:fldChar w:fldCharType="end"/>
      </w:r>
      <w:r w:rsidRPr="00A330E8">
        <w:rPr>
          <w:rFonts w:ascii="Times New Roman" w:eastAsia="Times New Roman" w:hAnsi="Times New Roman" w:cs="Times New Roman"/>
          <w:color w:val="000000"/>
          <w:sz w:val="24"/>
          <w:szCs w:val="24"/>
          <w:lang w:eastAsia="ja-JP"/>
        </w:rPr>
        <w:t>.</w:t>
      </w:r>
      <w:r w:rsidRPr="00A330E8">
        <w:rPr>
          <w:rFonts w:ascii="Aptos" w:eastAsia="Aptos" w:hAnsi="Aptos" w:cs="Times New Roman"/>
          <w:kern w:val="2"/>
          <w14:ligatures w14:val="standardContextual"/>
        </w:rPr>
        <w:t xml:space="preserve"> </w:t>
      </w:r>
    </w:p>
    <w:p w14:paraId="1998D5CA" w14:textId="16FBBA52" w:rsidR="00C15758" w:rsidRPr="00C15758" w:rsidRDefault="00C15758" w:rsidP="00C15758">
      <w:pPr>
        <w:spacing w:after="0" w:line="480" w:lineRule="auto"/>
        <w:jc w:val="both"/>
        <w:rPr>
          <w:rFonts w:ascii="Times New Roman" w:eastAsia="Times New Roman" w:hAnsi="Times New Roman" w:cs="Times New Roman"/>
          <w:sz w:val="24"/>
          <w:szCs w:val="24"/>
        </w:rPr>
      </w:pPr>
      <w:r w:rsidRPr="00C15758">
        <w:rPr>
          <w:rFonts w:ascii="Times New Roman" w:eastAsia="Times New Roman" w:hAnsi="Times New Roman" w:cs="Times New Roman"/>
          <w:color w:val="000000"/>
          <w:sz w:val="24"/>
          <w:szCs w:val="24"/>
          <w:lang w:eastAsia="ja-JP"/>
        </w:rPr>
        <w:t>Empirical studies across various contexts suggest that research conducted on a single component of entrepreneurship management practices in Europe, Asia, US, (</w:t>
      </w:r>
      <w:r w:rsidRPr="00C15758">
        <w:rPr>
          <w:rFonts w:ascii="Times New Roman" w:eastAsia="Aptos" w:hAnsi="Times New Roman" w:cs="Times New Roman"/>
          <w:kern w:val="2"/>
          <w:sz w:val="24"/>
          <w:szCs w:val="24"/>
          <w14:ligatures w14:val="standardContextual"/>
        </w:rPr>
        <w:fldChar w:fldCharType="begin"/>
      </w:r>
      <w:r w:rsidR="00D83B4B">
        <w:rPr>
          <w:rFonts w:ascii="Times New Roman" w:eastAsia="Aptos" w:hAnsi="Times New Roman" w:cs="Times New Roman"/>
          <w:kern w:val="2"/>
          <w:sz w:val="24"/>
          <w:szCs w:val="24"/>
          <w14:ligatures w14:val="standardContextual"/>
        </w:rPr>
        <w:instrText xml:space="preserve"> ADDIN ZOTERO_ITEM CSL_CITATION {"citationID":"EHwfPwi7","properties":{"formattedCitation":"(L\\uc0\\u243{}pez-Cabarcos et al., 2019)","plainCitation":"(López-Cabarcos et al., 2019)","dontUpdate":true,"noteIndex":0},"citationItems":[{"id":768,"uris":["http://zotero.org/users/5547997/items/5SLKPNRM"],"itemData":{"id":768,"type":"article-journal","abstract":"Based on knowledge-based theory of organizational capabilities and dynamic capabilities theory, this paper tries to establish the linkages between tacit knowledge resources, its integration into firm level capabilities, product innovation and firm performance. In this way, the paper analyses the relationships between some of the most relevant variables to the organizations in order to remain competitive. The conceptual model is tested using a sample of organizations in the industrial sector, using SEM and hierarchical regression analysis. Results show a positive relationship between tacit knowledge and firm performance, tacit knowledge and product innovation, and product innovation and firm performance. A partial mediating effect of product innovation on the tacit knowledge firm performance relationship is established. Also, technical capabilities have a moderator effect on tacit knowledge firm performance relationship. At the end of the paper managerial implications are commented, as well directions for future studies.","container-title":"Journal of Business Economics and Management","DOI":"10.3846/jbem.2019.9590","ISSN":"1611-1699, 2029-4433","issue":"2","page":"330-350","source":"DOI.org (Crossref)","title":"Tacit Knowledge and Firm Performance Relationship. The Role of Product Innovation and the Firm Level Capabilities","volume":"20","author":[{"family":"López-Cabarcos","given":"M. Ángeles"},{"family":"Srinivasan","given":"Suresh"},{"family":"Göttling-Oliveira-Monteiro","given":"Sérgio"},{"family":"Vázquez-Rodríguez","given":"Paula"}],"issued":{"date-parts":[["2019",4,2]]}}}],"schema":"https://github.com/citation-style-language/schema/raw/master/csl-citation.json"} </w:instrText>
      </w:r>
      <w:r w:rsidRPr="00C15758">
        <w:rPr>
          <w:rFonts w:ascii="Times New Roman" w:eastAsia="Aptos" w:hAnsi="Times New Roman" w:cs="Times New Roman"/>
          <w:kern w:val="2"/>
          <w:sz w:val="24"/>
          <w:szCs w:val="24"/>
          <w14:ligatures w14:val="standardContextual"/>
        </w:rPr>
        <w:fldChar w:fldCharType="separate"/>
      </w:r>
      <w:r w:rsidRPr="00C15758">
        <w:rPr>
          <w:rFonts w:ascii="Times New Roman" w:eastAsia="Aptos" w:hAnsi="Times New Roman" w:cs="Times New Roman"/>
          <w:kern w:val="2"/>
          <w:sz w:val="24"/>
          <w14:ligatures w14:val="standardContextual"/>
        </w:rPr>
        <w:t>López-</w:t>
      </w:r>
      <w:proofErr w:type="spellStart"/>
      <w:r w:rsidRPr="00C15758">
        <w:rPr>
          <w:rFonts w:ascii="Times New Roman" w:eastAsia="Aptos" w:hAnsi="Times New Roman" w:cs="Times New Roman"/>
          <w:kern w:val="2"/>
          <w:sz w:val="24"/>
          <w14:ligatures w14:val="standardContextual"/>
        </w:rPr>
        <w:t>Cabarcos</w:t>
      </w:r>
      <w:proofErr w:type="spellEnd"/>
      <w:r w:rsidRPr="00C15758">
        <w:rPr>
          <w:rFonts w:ascii="Times New Roman" w:eastAsia="Aptos" w:hAnsi="Times New Roman" w:cs="Times New Roman"/>
          <w:kern w:val="2"/>
          <w:sz w:val="24"/>
          <w14:ligatures w14:val="standardContextual"/>
        </w:rPr>
        <w:t xml:space="preserve"> </w:t>
      </w:r>
      <w:r w:rsidRPr="00C15758">
        <w:rPr>
          <w:rFonts w:ascii="Times New Roman" w:eastAsia="Aptos" w:hAnsi="Times New Roman" w:cs="Times New Roman"/>
          <w:i/>
          <w:iCs/>
          <w:kern w:val="2"/>
          <w:sz w:val="24"/>
          <w14:ligatures w14:val="standardContextual"/>
        </w:rPr>
        <w:t>et al.,</w:t>
      </w:r>
      <w:r w:rsidRPr="00C15758">
        <w:rPr>
          <w:rFonts w:ascii="Times New Roman" w:eastAsia="Aptos" w:hAnsi="Times New Roman" w:cs="Times New Roman"/>
          <w:kern w:val="2"/>
          <w:sz w:val="24"/>
          <w14:ligatures w14:val="standardContextual"/>
        </w:rPr>
        <w:t xml:space="preserve"> 2019</w:t>
      </w:r>
      <w:r w:rsidRPr="00C15758">
        <w:rPr>
          <w:rFonts w:ascii="Times New Roman" w:eastAsia="Aptos" w:hAnsi="Times New Roman" w:cs="Times New Roman"/>
          <w:kern w:val="2"/>
          <w:sz w:val="24"/>
          <w:szCs w:val="24"/>
          <w14:ligatures w14:val="standardContextual"/>
        </w:rPr>
        <w:fldChar w:fldCharType="end"/>
      </w:r>
      <w:r w:rsidRPr="00C15758">
        <w:rPr>
          <w:rFonts w:ascii="Times New Roman" w:eastAsia="Aptos" w:hAnsi="Times New Roman" w:cs="Times New Roman"/>
          <w:kern w:val="2"/>
          <w:sz w:val="24"/>
          <w:szCs w:val="24"/>
          <w14:ligatures w14:val="standardContextual"/>
        </w:rPr>
        <w:t>;</w:t>
      </w:r>
      <w:r w:rsidRPr="00C15758">
        <w:rPr>
          <w:rFonts w:ascii="Times New Roman" w:eastAsia="Times New Roman" w:hAnsi="Times New Roman" w:cs="Times New Roman"/>
          <w:sz w:val="24"/>
          <w:szCs w:val="24"/>
        </w:rPr>
        <w:t xml:space="preserve">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{"citationID":"dKu7F8rF","properties":{"formattedCitation":"(Valencia-Arias et al., 2022)","plainCitation":"(Valencia-Arias et al., 2022)","dontUpdate":true,"noteIndex":0},"citationItems":[{"id":1109,"uris":["http://zotero.org/users/5547997/items/MP3GH79S"],"itemData":{"id":1109,"type":"article-journal","abstract":"Purpose\n              The purpose of this study is to verify some relationships between entrepreneurial attitude, university environment, entrepreneurial culture and entrepreneurial training, which can be used to promote entrepreneurship among university students.\n            \n            \n              Design/methodology/approach\n              A sample of 3,005 questionnaires answered by students from ten universities in Colombia was gathered and partial least squares structural equation modelling (PLS-SEM) was used for the analysis.\n            \n            \n              Findings\n              The results show that the more a student perceives an entrepreneurial culture and the more training he or she receives, the more entrepreneurial attitude he or she will have. Also, it was found that entrepreneurial culture has a positive effect on university environment, and the latter has a positive effect on entrepreneurial training.\n            \n            \n              Research limitations/implications\n              The main limitation of this study was that only ten Colombian universities were sampled; therefore, general inferences cannot be made. Additionally, the variables investigated here may have not accurately measured the full scale of the entrepreneurship programmes in such universities or the way the culture of these institutions had a direct impact on students. Projects such as the Global University</w:instrText>
      </w:r>
      <w:r w:rsidR="00D83B4B" w:rsidRPr="009C2866">
        <w:rPr>
          <w:rFonts w:ascii="Times New Roman" w:eastAsia="Times New Roman" w:hAnsi="Times New Roman" w:cs="Times New Roman"/>
          <w:sz w:val="24"/>
          <w:szCs w:val="24"/>
          <w:lang w:val="fi-FI"/>
        </w:rPr>
        <w:instrText xml:space="preserve"> Entrepreneurial Spirit Students' Survey (GUESSS), which measure variables related to entrepreneurship at the university level, enable universities to shape their policies around this important topic. This study indicates that universities should offer training in entrepreneurial, problem-solving and communication skills to produce entrepreneurs who can better face current challenges.\n            \n            \n              Originality/value\n              Other studies have discussed entrepreneurial culture, but they usually deal with university environment, entrepreneurial training and entrepreneurial attitudes separately. This study integrates all these factors and measures the level of interaction between them.","container-title":"Higher Education, Skills and Work-Based Learning","DOI":"10.1108/HESWBL-07-2020-0169","ISSN":"2042-3896","issue":"2","journalAbbreviation":"HESWBL","language":"en","license":"https://www.emerald.com/insight/site-policies","page":"328-345","source":"DOI.org (Crossref)","title":"Promoting entrepreneurship based on university students' perceptions of entrepreneurial attitude, university environment, entrepreneurial culture and entrepreneurial training","volume":"12","author":[{"family":"Valencia-Arias","given":"Alejandro"},{"family":"Arango-Botero","given":"Diana"},{"family":"Sánchez-Torres","given":"Javier A."}],"issued":{"date-parts":[["2022",3,9]]}}}],"schema":"https://github.com/citation-style-language/schema/raw/master/csl-citation.json"}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Calibri" w:hAnsi="Times New Roman" w:cs="Times New Roman"/>
          <w:sz w:val="24"/>
          <w:szCs w:val="24"/>
          <w:lang w:val="fi-FI"/>
        </w:rPr>
        <w:t xml:space="preserve">Valencia-Arias </w:t>
      </w:r>
      <w:r w:rsidRPr="00C15758">
        <w:rPr>
          <w:rFonts w:ascii="Times New Roman" w:eastAsia="Calibri" w:hAnsi="Times New Roman" w:cs="Times New Roman"/>
          <w:i/>
          <w:sz w:val="24"/>
          <w:szCs w:val="24"/>
          <w:lang w:val="fi-FI"/>
        </w:rPr>
        <w:t xml:space="preserve">et al, </w:t>
      </w:r>
      <w:r w:rsidRPr="00C15758">
        <w:rPr>
          <w:rFonts w:ascii="Times New Roman" w:eastAsia="Calibri" w:hAnsi="Times New Roman" w:cs="Times New Roman"/>
          <w:sz w:val="24"/>
          <w:szCs w:val="24"/>
          <w:lang w:val="fi-FI"/>
        </w:rPr>
        <w:t>2022</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lang w:val="fi-FI"/>
        </w:rPr>
        <w:t>;</w:t>
      </w:r>
      <w:r w:rsidRPr="00C15758">
        <w:rPr>
          <w:rFonts w:ascii="Times New Roman" w:eastAsia="Calibri" w:hAnsi="Times New Roman" w:cs="Times New Roman"/>
          <w:sz w:val="24"/>
          <w:szCs w:val="24"/>
          <w:lang w:val="fi-FI"/>
        </w:rPr>
        <w:t xml:space="preserve"> </w:t>
      </w:r>
      <w:r w:rsidRPr="00C15758">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lang w:val="fi-FI"/>
        </w:rPr>
        <w:instrText xml:space="preserve"> ADDIN ZOTERO_ITEM CSL_CITATION {"citationID":"rcWBOR8k","properties":{"formattedCitation":"(Noone et al., 2024)","plainCitation":"(Noone et al., 2024)","dontUpdate":true,"noteIndex":0},"citationItems":[{"id":767,"uris":["http://zotero.org/users/5547997/items/JENCGAZK"],"itemData":{"id":767,"type":"article-journal","abstract":"The government-mandated closure of U.S. restaurants for in-restaurant dining during the early stages of the COVID-19 crisis cast a spotlight on operators’ ability to effectively innovate, and re-imagine their product offerings. In this context, this research draws on the resource-advantage theory of competitive advantage, proposing that (1) an adhocracy culture is a key internal resource that operators can leverage to drive rapid incremental product innovation under forced change, and (2) firm size is a contextual factor that moderates the degree of incremental product innovation-firm performance relationship. Findings from two empirical studies indicate that adhocracy culture positively and indirectly effects firm performance through degree of incremental product innovation, and that this effect is moderated by firm size. Larger firms yield superior performance effects due to access to a network of interconnected resources for rapid innovation diffusion in a crisis.","container-title":"Journal of Hospitality &amp; Tourism Research","DOI":"10.1177/10963480221086846","ISSN":"1096-3480, 1557-7554","issue":"1","journalAbbreviation":"Journal of Hospitality &amp; Tourism Research","language":"en","page":"153-183","source":"DOI.org (Crossref)","title":"Firm Performance During a Crisis: Effects of Adhocracy Culture, Incremental Product Innovation, and Firm Size","title-short":"Firm Performance During a Crisis","volume":"48","author":[{"family":"Noone","given":"Breffni M."},{"family":"Lin","given":"Michael S."},{"family":"Sharma","given":"Amit"}],"issued":{"date-parts":[["2024",1]]}}}],"schema":"https://github.com/citation-style-language/schema/raw/master/csl-citation.json"} </w:instrText>
      </w:r>
      <w:r w:rsidRPr="00C15758">
        <w:rPr>
          <w:rFonts w:ascii="Times New Roman" w:eastAsia="Calibri" w:hAnsi="Times New Roman" w:cs="Times New Roman"/>
          <w:sz w:val="24"/>
          <w:szCs w:val="24"/>
        </w:rPr>
        <w:fldChar w:fldCharType="separate"/>
      </w:r>
      <w:r w:rsidRPr="00C15758">
        <w:rPr>
          <w:rFonts w:ascii="Times New Roman" w:eastAsia="Calibri" w:hAnsi="Times New Roman" w:cs="Times New Roman"/>
          <w:sz w:val="24"/>
          <w:szCs w:val="24"/>
          <w:lang w:val="fi-FI"/>
        </w:rPr>
        <w:t>Noone, Lin &amp; Sharma 2024)</w:t>
      </w:r>
      <w:r w:rsidRPr="00C15758">
        <w:rPr>
          <w:rFonts w:ascii="Times New Roman" w:eastAsia="Calibri" w:hAnsi="Times New Roman" w:cs="Times New Roman"/>
          <w:sz w:val="24"/>
          <w:szCs w:val="24"/>
        </w:rPr>
        <w:fldChar w:fldCharType="end"/>
      </w:r>
      <w:r w:rsidRPr="00C15758">
        <w:rPr>
          <w:rFonts w:ascii="Times New Roman" w:eastAsia="Calibri" w:hAnsi="Times New Roman" w:cs="Times New Roman"/>
          <w:sz w:val="24"/>
          <w:szCs w:val="24"/>
          <w:lang w:val="fi-FI"/>
        </w:rPr>
        <w:t xml:space="preserve">. </w:t>
      </w:r>
      <w:r w:rsidRPr="00C15758">
        <w:rPr>
          <w:rFonts w:ascii="Times New Roman" w:eastAsia="Calibri" w:hAnsi="Times New Roman" w:cs="Times New Roman"/>
          <w:sz w:val="24"/>
          <w:lang w:val="fi-FI"/>
        </w:rPr>
        <w:t xml:space="preserve">None of these studies have given attention to the youth empowerments programs despite its potential to contribute to socio-economic benefits to national economies. </w:t>
      </w:r>
      <w:r w:rsidRPr="00C15758">
        <w:rPr>
          <w:rFonts w:ascii="Times New Roman" w:eastAsia="Calibri" w:hAnsi="Times New Roman" w:cs="Times New Roman"/>
          <w:sz w:val="24"/>
        </w:rPr>
        <w:t>Besides, most of the studies done have not used several of the concepts of entrepreneurship management practices in one single study to explain the combined effect of diverse components of entrepreneurship management practices on youth empowerment (</w:t>
      </w:r>
      <w:proofErr w:type="spellStart"/>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{"citationID":"WrPwhvjE","properties":{"formattedCitation":"(Eze et al., 2017)","plainCitation":"(Eze et al., 2017)","dontUpdate":true,"noteIndex":0},"citationItems":[{"id":1091,"uris":["http://zotero.org/users/5547997/items/AU4GWY3C"],"itemData":{"id":1091,"type":"article-journal","abstract":"An organization can be likened to a building whose strength is determined by the structure and frames which holds it. The structure is the manner in which interrelated elements (resources) are arranged so that the building can be stable, resist stress and it provides the right form. To this end, for the performance of an organization to be effective, it is important to understand the right manner in which interrelated elements (structure) in the specific organization is arranged. To measure the performance of the organization, dependent variables such as sales, profit, and customer satisfaction will be considered. Also, the study utilized independent variables centralization and formalization organizational structures. This is to show the effects of the dependent variables on the independent variable. The research adopted quantitative design and applied mono method which brought about numerical data generated from questionnaire administered. The population of this study comprises of all staff of Covenant Micro Finance Bank as well as the customers of the banks. Total sum of 354 sample size comprising of both employees (51) and customers (303) of Covenant Micro Finance Bank is the sample size. The propositions assumed for this study are that: there is no relationship between organizational centralization and organizational customer satisfaction, there is no relationship between organizational centralization and organizational profit, there is no relationship between organizational formalization and organizational customer satisfaction and that there is no relationship between organizational formalization and organizational profit. Also, among the secondary data collected are views of various management researchers. As a result of the primary and secondary data collected, the study recommends that organizations should adopt decentralization structure and reduce formalization in the work place.","container-title":"European Journal of Business and Innovation Research","DOI":"10.37745/ejbir.vol5.no6.p46-62.2017","ISSN":"20534019, 20534027","issue":"6","journalAbbreviation":"EJBIR","page":"46-62","source":"DOI.org (Crossref)","title":"The Effects of Organizational Structure on the Performance of Organizations","volume":"5","author":[{"family":"Eze","given":"Sunday C."},{"family":"Bello","given":"Adenike O."},{"family":"Adekola","given":"Tolulope  A"}],"issued":{"date-parts":[["2017",12,30]]}}}],"schema":"https://github.com/citation-style-language/schema/raw/master/csl-citation.json"}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Aptos" w:hAnsi="Times New Roman" w:cs="Times New Roman"/>
          <w:kern w:val="2"/>
          <w:sz w:val="24"/>
          <w14:ligatures w14:val="standardContextual"/>
        </w:rPr>
        <w:t>Eze</w:t>
      </w:r>
      <w:proofErr w:type="spellEnd"/>
      <w:r w:rsidRPr="00C15758">
        <w:rPr>
          <w:rFonts w:ascii="Times New Roman" w:eastAsia="Aptos" w:hAnsi="Times New Roman" w:cs="Times New Roman"/>
          <w:kern w:val="2"/>
          <w:sz w:val="24"/>
          <w14:ligatures w14:val="standardContextual"/>
        </w:rPr>
        <w:t>,</w:t>
      </w:r>
      <w:r w:rsidRPr="00C15758">
        <w:rPr>
          <w:rFonts w:ascii="Aptos" w:eastAsia="Aptos" w:hAnsi="Aptos" w:cs="Times New Roman"/>
          <w:kern w:val="2"/>
          <w14:ligatures w14:val="standardContextual"/>
        </w:rPr>
        <w:t xml:space="preserve"> </w:t>
      </w:r>
      <w:r w:rsidRPr="00C15758">
        <w:rPr>
          <w:rFonts w:ascii="Times New Roman" w:eastAsia="Aptos" w:hAnsi="Times New Roman" w:cs="Times New Roman"/>
          <w:kern w:val="2"/>
          <w:sz w:val="24"/>
          <w14:ligatures w14:val="standardContextual"/>
        </w:rPr>
        <w:t>Bello &amp; Adekola 2017</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rPr>
        <w:t xml:space="preserve">; </w:t>
      </w:r>
      <w:r w:rsidRPr="00C15758">
        <w:rPr>
          <w:rFonts w:ascii="Aptos" w:eastAsia="Times New Roman" w:hAnsi="Aptos" w:cs="Times New Roman"/>
        </w:rPr>
        <w:fldChar w:fldCharType="begin"/>
      </w:r>
      <w:r w:rsidR="00D83B4B">
        <w:rPr>
          <w:rFonts w:ascii="Aptos" w:eastAsia="Times New Roman" w:hAnsi="Aptos" w:cs="Times New Roman"/>
        </w:rPr>
        <w:instrText xml:space="preserve"> ADDIN ZOTERO_ITEM CSL_CITATION {"citationID":"2K8xpbTK","properties":{"formattedCitation":"(Kiyabo &amp; Isaga, 2020)","plainCitation":"(Kiyabo &amp; Isaga, 2020)","dontUpdate":true,"noteIndex":0},"citationItems":[{"id":1093,"uris":["http://zotero.org/users/5547997/items/NZKC8LQW"],"itemData":{"id":1093,"type":"article-journal","abstract":"Abstract\n            SMEs’ performance can be measured using various indicators. Guided by the resource-based view, this study aimed at determining the influence of entrepreneurial orientation on SMEs’ performance under the mediation of competitive advantage using firm growth and personal wealth measures. Entrepreneurial orientation was adopted as an intangible resource in form of processes. A survey method with cross-sectional design was used to collect data from 300 owners-managers of welding industry SMEs located in Dar es Salaam, Mbeya, and Morogoro urban centers in Tanzania. By the aid of AMOS software, data analysis comprised of developing measurement and structural models using structural equation modeling technique. Sample data were then bootstrapped using 200 samples to determine the indirect effect of entrepreneurial orientation on SMEs’ performance through competitive advantage. Findings from this study inform that competitive advantage mediates the relationship between entrepreneurial orientation and SMEs’ performance for both firm growth and personal wealth performance measures. This study has contributed to existing literature by providing evidence on use of personal wealth as measures of SMEs’ performance. The findings of the study imply that the resource-based view is suitable in describing not only physical resources but also intangible resources such as entrepreneurial orientation. Future studies may investigate the influence of more constructs such as learning orientation on SMEs’ performance under the mediation of competitive advantage using the same firm growth and personal wealth performance measures. Such studies will establish whether the findings of this study are specific to entrepreneurial orientation construct or applicable to other constructs as well.","container-title":"Journal of Innovation and Entrepreneurship","DOI":"10.1186/s13731-020-00123-7","ISSN":"2192-5372","issue":"1","journalAbbreviation":"J Innov Entrep","language":"en","page":"12","source":"DOI.org (Crossref)","title":"Entrepreneurial orientation, competitive advantage, and SMEs’ performance: application of firm growth and personal wealth measures","title-short":"Entrepreneurial orientation, competitive advantage, and SMEs’ performance","volume":"9","author":[{"family":"Kiyabo","given":"Kibeshi"},{"family":"Isaga","given":"Nsubili"}],"issued":{"date-parts":[["2020",12]]}}}],"schema":"https://github.com/citation-style-language/schema/raw/master/csl-citation.json"} </w:instrText>
      </w:r>
      <w:r w:rsidRPr="00C15758">
        <w:rPr>
          <w:rFonts w:ascii="Aptos" w:eastAsia="Times New Roman" w:hAnsi="Aptos" w:cs="Times New Roman"/>
        </w:rPr>
        <w:fldChar w:fldCharType="separate"/>
      </w:r>
      <w:r w:rsidRPr="00C15758">
        <w:rPr>
          <w:rFonts w:ascii="Times New Roman" w:eastAsia="Aptos" w:hAnsi="Times New Roman" w:cs="Times New Roman"/>
          <w:kern w:val="2"/>
          <w:sz w:val="24"/>
          <w14:ligatures w14:val="standardContextual"/>
        </w:rPr>
        <w:t xml:space="preserve">Kiyabo </w:t>
      </w:r>
      <w:r w:rsidRPr="00C15758">
        <w:rPr>
          <w:rFonts w:ascii="Aptos" w:eastAsia="Aptos" w:hAnsi="Aptos" w:cs="Times New Roman"/>
          <w:kern w:val="2"/>
          <w14:ligatures w14:val="standardContextual"/>
        </w:rPr>
        <w:t>&amp;</w:t>
      </w:r>
      <w:r w:rsidRPr="00C15758">
        <w:rPr>
          <w:rFonts w:ascii="Times New Roman" w:eastAsia="Aptos" w:hAnsi="Times New Roman" w:cs="Times New Roman"/>
          <w:kern w:val="2"/>
          <w:sz w:val="24"/>
          <w14:ligatures w14:val="standardContextual"/>
        </w:rPr>
        <w:t xml:space="preserve"> Isaga, 2020</w:t>
      </w:r>
      <w:r w:rsidRPr="00C15758">
        <w:rPr>
          <w:rFonts w:ascii="Aptos" w:eastAsia="Times New Roman" w:hAnsi="Aptos" w:cs="Times New Roman"/>
        </w:rPr>
        <w:fldChar w:fldCharType="end"/>
      </w:r>
      <w:r w:rsidRPr="00C15758">
        <w:rPr>
          <w:rFonts w:ascii="Aptos" w:eastAsia="Times New Roman" w:hAnsi="Aptos" w:cs="Times New Roman"/>
        </w:rPr>
        <w:t xml:space="preserve">;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{"citationID":"TcCBCn4W","properties":{"formattedCitation":"(B\\uc0\\u259{}rbulescu et al., 2021)","plainCitation":"(Bărbulescu et al., 2021)","dontUpdate":true,"noteIndex":0},"citationItems":[{"id":1094,"uris":["http://zotero.org/users/5547997/items/XKRCDEXG"],"itemData":{"id":1094,"type":"article-journal","abstract":"This paper aims at identifying the entrepreneurial opportunities for establishing innovative startups during and post COVID-19 crisis. To reach this goal, we conducted an exploratory study based on semi-structured interviews with 168 students who intend to involve themselves in entrepreneurship in their future career. The research started from the debates in literature regarding the huge negative impact of the COVID-19 crisis on economic development, which can jeopardize the achievement of United Nations Sustainable Development Goals. The research findings confirm the results of other studies regarding the vulnerability of startups during crises, the reason why they have to refocus on innovative businesses, especially based on information and communication technology (ICT). Such businesses are considered incentives of sustainable development. Other ideas highlighted the importance of social entrepreneurship for the management of startups. It means that startups should develop strong relationships with employees but also with other stakeholders, like companies in the same industry, the public sector, academia, and citizens. In addition, changing the business culture aiming at developing green business could be an inexpensive solution for developing a sustainable entrepreneurial ecosystem. These empirical results have implications for both business and the academic environment, which should cooperate in order to overcome the crisis. Such an approach could be used in the long run in order to manage other crises and to develop sustainable business.","container-title":"Sustainability","DOI":"10.3390/su13020671","ISSN":"2071-1050","issue":"2","journalAbbreviation":"Sustainability","language":"en","license":"https://creativecommons.org/licenses/by/4.0/","page":"671","source":"DOI.org (Crossref)","title":"Innovation of Startups, the Key to Unlocking Post-Crisis Sustainable Growth in Romanian Entrepreneurial Ecosystem","volume":"13","author":[{"family":"Bărbulescu","given":"Oana"},{"family":"Tecău","given":"Alina Simona"},{"family":"Munteanu","given":"Daniel"},{"family":"Constantin","given":"Cristinel Petrişor"}],"issued":{"date-parts":[["2021",1,12]]}}}],"schema":"https://github.com/citation-style-language/schema/raw/master/csl-citation.json"}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Aptos" w:hAnsi="Times New Roman" w:cs="Times New Roman"/>
          <w:kern w:val="2"/>
          <w:sz w:val="24"/>
          <w:szCs w:val="24"/>
          <w14:ligatures w14:val="standardContextual"/>
        </w:rPr>
        <w:t xml:space="preserve">Bărbulescu </w:t>
      </w:r>
      <w:r w:rsidRPr="00C15758">
        <w:rPr>
          <w:rFonts w:ascii="Times New Roman" w:eastAsia="Aptos" w:hAnsi="Times New Roman" w:cs="Times New Roman"/>
          <w:i/>
          <w:kern w:val="2"/>
          <w:sz w:val="24"/>
          <w:szCs w:val="24"/>
          <w14:ligatures w14:val="standardContextual"/>
        </w:rPr>
        <w:t>et al</w:t>
      </w:r>
      <w:r w:rsidRPr="00C15758">
        <w:rPr>
          <w:rFonts w:ascii="Times New Roman" w:eastAsia="Aptos" w:hAnsi="Times New Roman" w:cs="Times New Roman"/>
          <w:kern w:val="2"/>
          <w:sz w:val="24"/>
          <w:szCs w:val="24"/>
          <w14:ligatures w14:val="standardContextual"/>
        </w:rPr>
        <w:t>., 2021)</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rPr>
        <w:t>.</w:t>
      </w:r>
    </w:p>
    <w:p w14:paraId="3BFC40CA" w14:textId="358B489F" w:rsidR="00C15758" w:rsidRPr="00A330E8" w:rsidRDefault="00C15758" w:rsidP="00C15758">
      <w:pPr>
        <w:spacing w:after="0" w:line="480" w:lineRule="auto"/>
        <w:jc w:val="both"/>
        <w:rPr>
          <w:rFonts w:ascii="Times New Roman" w:eastAsia="Times New Roman" w:hAnsi="Times New Roman" w:cs="Times New Roman"/>
          <w:color w:val="000000"/>
          <w:sz w:val="24"/>
          <w:szCs w:val="24"/>
          <w:lang w:eastAsia="ja-JP"/>
        </w:rPr>
      </w:pPr>
      <w:r w:rsidRPr="00C15758">
        <w:rPr>
          <w:rFonts w:ascii="Times New Roman" w:eastAsia="Calibri" w:hAnsi="Times New Roman" w:cs="Times New Roman"/>
          <w:sz w:val="24"/>
        </w:rPr>
        <w:t>The outcomes of the study are not generalizable to other sectors and contexts because of the limited methodological rigor, which stems from the use of non-probability sampling methods and exploratory research designs and use of case studies drawn from small sample sizes (</w:t>
      </w:r>
      <w:r w:rsidRPr="00C15758">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{"citationID":"i54x0J6r","properties":{"unsorted":true,"formattedCitation":"(Kassem et al., 2019)","plainCitation":"(Kassem et al., 2019)","dontUpdate":true,"noteIndex":0},"citationItems":[{"id":615,"uris":["http://zotero.org/users/5547997/items/8RXT4YPT"],"itemData":{"id":615,"type":"article-journal","abstract":"Purpose\n              The purpose of this paper is to discover the impact of different dimensions of organizational culture (mission culture, adaptability culture, involvement culture and consistency culture) on business excellence results criteria (customer results, people results, society results and business results) in the United Arab Emirates (UAE) and explore the moderating role of information and communication technology (ICT) use in both service and manufacturing industries.\n            \n            \n              Design/methodology/approach\n              Data were collected by questionnaire from 448 managers in nine companies that have won the Sheikh Khalifa Excellence Award in the last three years. Structural equation modeling was used to examine the data.\n            \n            \n              Findings\n              Organizational culture is significantly related to business excellence. However, these effects varied for different business excellence criteria. Three organizational culture types had a significant positive role in achieving excellent customer-related results. All four types of organizational culture had a positive role in achieving excellent people-related results. Only two culture types had significant role in achieving excellent society-related results. Business results were positively related to a balance between the four types of organizational culture. ICT use moderated the relationship between organizational culture and results related to customers, people and business, but not society.\n            \n            \n              Research limitations/implications\n              This study had some conceptual limitations. In particular, it considered the organizational culture as four types in the research model, but without structuring the indices under each type. It also had some methodological limitations. It was cross-sectional and used a self-administered questionnaire, which means that no causal relationships can be implied, and there may have been some bias in responding.\n            \n            \n              Originality/value\n              This is one of the first studies that investigate the relationship between organizational culture and business excellence in UAE excellence award-winning companies.","container-title":"Benchmarking: An International Journal","DOI":"10.1108/BIJ-03-2018-0068","ISSN":"1463-5771","issue":"1","journalAbbreviation":"BIJ","language":"en","license":"https://www.emerald.com/insight/site-policies","page":"117-146","source":"DOI.org (Crossref)","title":"Assessing the impact of organizational culture on achieving business excellence with a moderating role of ICT: An SEM approach","title-short":"Assessing the impact of organizational culture on achieving business excellence with a moderating role of ICT","volume":"26","author":[{"family":"Kassem","given":"Rassel"},{"family":"Ajmal","given":"Mian"},{"family":"Gunasekaran","given":"Angappa"},{"family":"Helo","given":"Petri"}],"issued":{"date-parts":[["2019",2,11]]}}}],"schema":"https://github.com/citation-style-language/schema/raw/master/csl-citation.json"} </w:instrText>
      </w:r>
      <w:r w:rsidRPr="00C15758">
        <w:rPr>
          <w:rFonts w:ascii="Times New Roman" w:eastAsia="Calibri" w:hAnsi="Times New Roman" w:cs="Times New Roman"/>
          <w:sz w:val="24"/>
          <w:szCs w:val="24"/>
        </w:rPr>
        <w:fldChar w:fldCharType="separate"/>
      </w:r>
      <w:r w:rsidRPr="00C15758">
        <w:rPr>
          <w:rFonts w:ascii="Times New Roman" w:eastAsia="Calibri" w:hAnsi="Times New Roman" w:cs="Times New Roman"/>
          <w:sz w:val="24"/>
          <w:szCs w:val="24"/>
        </w:rPr>
        <w:t>Kassem et al, 2019</w:t>
      </w:r>
      <w:r w:rsidRPr="00C15758">
        <w:rPr>
          <w:rFonts w:ascii="Times New Roman" w:eastAsia="Calibri" w:hAnsi="Times New Roman" w:cs="Times New Roman"/>
          <w:sz w:val="24"/>
          <w:szCs w:val="24"/>
        </w:rPr>
        <w:fldChar w:fldCharType="end"/>
      </w:r>
      <w:r w:rsidRPr="00C15758">
        <w:rPr>
          <w:rFonts w:ascii="Times New Roman" w:eastAsia="Calibri" w:hAnsi="Times New Roman" w:cs="Times New Roman"/>
          <w:sz w:val="24"/>
          <w:szCs w:val="24"/>
        </w:rPr>
        <w:t>;</w:t>
      </w:r>
      <w:r w:rsidRPr="00C15758">
        <w:rPr>
          <w:rFonts w:ascii="Times New Roman" w:eastAsia="Calibri" w:hAnsi="Times New Roman" w:cs="Times New Roman"/>
          <w:sz w:val="24"/>
        </w:rPr>
        <w:t xml:space="preserve">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{"citationID":"KeeG8m87","properties":{"formattedCitation":"(B\\uc0\\u259{}rbulescu et al., 2021)","plainCitation":"(Bărbulescu et al., 2021)","dontUpdate":true,"noteIndex":0},"citationItems":[{"id":1094,"uris":["http://zotero.org/users/5547997/items/XKRCDEXG"],"itemData":{"id":1094,"type":"article-journal","abstract":"This paper aims at identifying the entrepreneurial opportunities for establishing innovative startups during and post COVID-19 crisis. To reach this goal, we conducted an exploratory study based on semi-structured interviews with 168 students who intend to involve themselves in entrepreneurship in their future career. The research started from the debates in literature regarding the huge negative impact of the COVID-19 crisis on economic development, which can jeopardize the achievement of United Nations Sustainable Development Goals. The research findings confirm the results of other studies regarding the vulnerability of startups during crises, the reason why they have to refocus on innovative businesses, especially based on information and communication technology (ICT). Such businesses are considered incentives of sustainable development. Other ideas highlighted the importance of social entrepreneurship for the management of startups. It means that startups should develop strong relationships with employees but also with other stakeholders, like companies in the same industry, the public sector, academia, and citizens. In addition, changing the business culture aiming at developing green business could be an inexpensive solution for developing a sustainable entrepreneurial ecosystem. These empirical results have implications for both business and the academic environment, which should cooperate in order to overcome the crisis. Such an approach could be used in the long run in order to manage other crises and to develop sustainable business.","container-title":"Sustainability","DOI":"10.3390/su13020671","ISSN":"2071-1050","issue":"2","journalAbbreviation":"Sustainability","language":"en","license":"https://creativecommons.org/licenses/by/4.0/","page":"671","source":"DOI.org (Crossref)","title":"Innovation of Startups, the Key to Unlocking Post-Crisis Sustainable Growth in Romanian Entrepreneurial Ecosystem","volume":"13","author":[{"family":"Bărbulescu","given":"Oana"},{"family":"Tecău","given":"Alina Simona"},{"family":"Munteanu","given":"Daniel"},{"family":"Constantin","given":"Cristinel Petrişor"}],"issued":{"date-parts":[["2021",1,12]]}}}],"schema":"https://github.com/citation-style-language/schema/raw/master/csl-citation.json"}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Aptos" w:hAnsi="Times New Roman" w:cs="Times New Roman"/>
          <w:kern w:val="2"/>
          <w:sz w:val="24"/>
          <w:szCs w:val="24"/>
          <w14:ligatures w14:val="standardContextual"/>
        </w:rPr>
        <w:t xml:space="preserve">Bărbulescu </w:t>
      </w:r>
      <w:r w:rsidRPr="00C15758">
        <w:rPr>
          <w:rFonts w:ascii="Times New Roman" w:eastAsia="Aptos" w:hAnsi="Times New Roman" w:cs="Times New Roman"/>
          <w:i/>
          <w:kern w:val="2"/>
          <w:sz w:val="24"/>
          <w:szCs w:val="24"/>
          <w14:ligatures w14:val="standardContextual"/>
        </w:rPr>
        <w:t>et al</w:t>
      </w:r>
      <w:r w:rsidRPr="00C15758">
        <w:rPr>
          <w:rFonts w:ascii="Times New Roman" w:eastAsia="Aptos" w:hAnsi="Times New Roman" w:cs="Times New Roman"/>
          <w:kern w:val="2"/>
          <w:sz w:val="24"/>
          <w:szCs w:val="24"/>
          <w14:ligatures w14:val="standardContextual"/>
        </w:rPr>
        <w:t>., 2021</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rPr>
        <w:t xml:space="preserve">;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{"citationID":"psJ6oqu9","properties":{"formattedCitation":"(Li\\uc0\\u241{}\\uc0\\u225{}n et al., 2022)","plainCitation":"(Liñán et al., 2022)","dontUpdate":true,"noteIndex":0},"citationItems":[{"id":1095,"uris":["http://zotero.org/users/5547997/items/ZMKYSIAI"],"itemData":{"id":1095,"type":"article-journal","abstract":"Abstract\n            The present research analyzes the way in which gender-role orientation (GRO) and perceived entrepreneurial culture affect the advancement of women through the different stages in the entrepreneurial process. To do so, a sample of 1195 Spanish women is studied using Bem’s Sex Role Inventory to identify their GRO and a perceived regional culture (PRC) scale. The results confirm that women with a masculine or androgynous orientation are more likely to develop entrepreneurial careers. Besides, for masculine GRO women, the perception of a supportive entrepreneurial culture in their region fosters their advancement in entrepreneurship. In contrast, the effect of perceived culture is negative for women with an androgynous GRO. These results contribute to advance knowledge on the entrepreneurial process for women. Based on our results, the debate about women entrepreneurship should be expanded to fully acknowledge the relevance of GRO.","container-title":"Small Business Economics","DOI":"10.1007/s11187-020-00433-w","ISSN":"0921-898X, 1573-0913","issue":"2","journalAbbreviation":"Small Bus Econ","language":"en","page":"1051-1071","source":"DOI.org (Crossref)","title":"Does entrepreneurship fit her? Women entrepreneurs, gender-role orientation, and entrepreneurial culture","title-short":"Does entrepreneurship fit her?","volume":"58","author":[{"family":"Liñán","given":"Francisco"},{"family":"Jaén","given":"Inmaculada"},{"family":"Martín","given":"Domingo"}],"issued":{"date-parts":[["2022",2]]}}}],"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Aptos" w:hAnsi="Times New Roman" w:cs="Times New Roman"/>
          <w:kern w:val="2"/>
          <w:sz w:val="24"/>
          <w:szCs w:val="24"/>
          <w14:ligatures w14:val="standardContextual"/>
        </w:rPr>
        <w:t>Liñán, Jaén &amp; Martín 2022</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rPr>
        <w:t xml:space="preserve">;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{"citationID":"WwP4xnPW","properties":{"formattedCitation":"(Ali et al., 2022)","plainCitation":"(Ali et al., 2022)","dontUpdate":true,"noteIndex":0},"citationItems":[{"id":1092,"uris":["http://zotero.org/users/5547997/items/SQ64EB8Q"],"itemData":{"id":1092,"type":"article-journal","container-title":"Journal of Financial Risk Management","DOI":"10.4236/jfrm.2022.111002","ISSN":"2167-9533, 2167-9541","issue":"01","journalAbbreviation":"JFRM","page":"41-65","source":"DOI.org (Crossref)","title":"Leverage, Ownership Structure and Firm Performance","volume":"11","author":[{"family":"Ali","given":"Javid"},{"family":"Tahira","given":"Yasmeen"},{"family":"Amir","given":"Muhammad"},{"family":"Ullah","given":"Farman"},{"family":"Tahir","given":"Muhammad"},{"family":"Shah","given":"Wilayat"},{"family":"Khan","given":"Imran"},{"family":"Tariq","given":"Shahbaz"}],"issued":{"date-parts":[["2022"]]}}}],"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Aptos" w:hAnsi="Times New Roman" w:cs="Times New Roman"/>
          <w:kern w:val="2"/>
          <w:sz w:val="24"/>
          <w:szCs w:val="24"/>
          <w14:ligatures w14:val="standardContextual"/>
        </w:rPr>
        <w:t xml:space="preserve">Ali </w:t>
      </w:r>
      <w:r w:rsidRPr="00C15758">
        <w:rPr>
          <w:rFonts w:ascii="Times New Roman" w:eastAsia="Aptos" w:hAnsi="Times New Roman" w:cs="Times New Roman"/>
          <w:i/>
          <w:kern w:val="2"/>
          <w:sz w:val="24"/>
          <w:szCs w:val="24"/>
          <w14:ligatures w14:val="standardContextual"/>
        </w:rPr>
        <w:t>et al.,</w:t>
      </w:r>
      <w:r w:rsidRPr="00C15758">
        <w:rPr>
          <w:rFonts w:ascii="Times New Roman" w:eastAsia="Aptos" w:hAnsi="Times New Roman" w:cs="Times New Roman"/>
          <w:kern w:val="2"/>
          <w:sz w:val="24"/>
          <w:szCs w:val="24"/>
          <w14:ligatures w14:val="standardContextual"/>
        </w:rPr>
        <w:t xml:space="preserve"> 2022)</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rPr>
        <w:t>.</w:t>
      </w:r>
      <w:r w:rsidRPr="00C15758">
        <w:rPr>
          <w:rFonts w:ascii="Times New Roman" w:eastAsia="Calibri" w:hAnsi="Times New Roman" w:cs="Times New Roman"/>
          <w:sz w:val="24"/>
        </w:rPr>
        <w:t xml:space="preserve"> </w:t>
      </w:r>
    </w:p>
    <w:p w14:paraId="150F2B6C" w14:textId="0208FA13" w:rsidR="0031477D" w:rsidRPr="005B3068" w:rsidRDefault="0031477D" w:rsidP="003D4767">
      <w:pPr>
        <w:pStyle w:val="Heading2"/>
        <w:spacing w:before="0" w:after="0" w:line="480" w:lineRule="auto"/>
        <w:rPr>
          <w:rFonts w:cs="Times New Roman"/>
          <w:szCs w:val="24"/>
          <w:lang w:val="fi-FI"/>
        </w:rPr>
      </w:pPr>
      <w:r w:rsidRPr="005B3068">
        <w:rPr>
          <w:rFonts w:cs="Times New Roman"/>
          <w:szCs w:val="24"/>
          <w:lang w:val="fi-FI"/>
        </w:rPr>
        <w:t>1.2 Objectives of the Study</w:t>
      </w:r>
    </w:p>
    <w:p w14:paraId="2405F266" w14:textId="0B42BE49"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bookmarkStart w:id="39" w:name="_Toc231058616"/>
      <w:bookmarkStart w:id="40" w:name="_Toc231058720"/>
      <w:bookmarkStart w:id="41" w:name="_Toc231059645"/>
      <w:bookmarkStart w:id="42" w:name="_Toc231059855"/>
      <w:bookmarkStart w:id="43" w:name="_Toc231060006"/>
      <w:bookmarkStart w:id="44" w:name="_Toc231060131"/>
      <w:bookmarkStart w:id="45" w:name="_Toc233521154"/>
      <w:bookmarkStart w:id="46" w:name="_Toc233521475"/>
      <w:bookmarkStart w:id="47" w:name="_Toc233521545"/>
      <w:bookmarkStart w:id="48" w:name="_Toc233521621"/>
      <w:bookmarkStart w:id="49" w:name="_Toc233536578"/>
      <w:bookmarkStart w:id="50" w:name="_Toc233541513"/>
      <w:bookmarkStart w:id="51" w:name="_Toc233542989"/>
      <w:bookmarkStart w:id="52" w:name="_Toc84465437"/>
      <w:bookmarkStart w:id="53" w:name="_Toc84467326"/>
      <w:bookmarkStart w:id="54" w:name="_Toc241141565"/>
      <w:bookmarkStart w:id="55" w:name="_Toc92710721"/>
      <w:bookmarkStart w:id="56" w:name="_Toc92710860"/>
      <w:bookmarkStart w:id="57" w:name="_Toc92710954"/>
      <w:bookmarkStart w:id="58" w:name="_Toc92713606"/>
      <w:bookmarkStart w:id="59" w:name="_Toc92896946"/>
      <w:bookmarkStart w:id="60" w:name="_Toc98459699"/>
      <w:bookmarkStart w:id="61" w:name="_Toc98465888"/>
      <w:bookmarkStart w:id="62" w:name="_Toc252005437"/>
      <w:bookmarkStart w:id="63" w:name="_Toc252005665"/>
      <w:r w:rsidRPr="00237C4F">
        <w:rPr>
          <w:rFonts w:ascii="Times New Roman" w:hAnsi="Times New Roman" w:cs="Times New Roman"/>
          <w:sz w:val="24"/>
          <w:szCs w:val="24"/>
        </w:rPr>
        <w:t xml:space="preserve">To examine the effect of </w:t>
      </w:r>
      <w:bookmarkStart w:id="64" w:name="_Hlk207628049"/>
      <w:r w:rsidRPr="00237C4F">
        <w:rPr>
          <w:rFonts w:ascii="Times New Roman" w:hAnsi="Times New Roman" w:cs="Times New Roman"/>
          <w:sz w:val="24"/>
          <w:szCs w:val="24"/>
        </w:rPr>
        <w:t xml:space="preserve">resource orientation </w:t>
      </w:r>
      <w:bookmarkEnd w:id="64"/>
      <w:r w:rsidRPr="00237C4F">
        <w:rPr>
          <w:rFonts w:ascii="Times New Roman" w:hAnsi="Times New Roman" w:cs="Times New Roman"/>
          <w:sz w:val="24"/>
          <w:szCs w:val="24"/>
        </w:rPr>
        <w:t xml:space="preserve">on </w:t>
      </w:r>
      <w:bookmarkStart w:id="65" w:name="_Hlk207628067"/>
      <w:r w:rsidRPr="00237C4F">
        <w:rPr>
          <w:rFonts w:ascii="Times New Roman" w:hAnsi="Times New Roman" w:cs="Times New Roman"/>
          <w:sz w:val="24"/>
          <w:szCs w:val="24"/>
        </w:rPr>
        <w:t xml:space="preserve">youth empowerment in </w:t>
      </w:r>
      <w:bookmarkStart w:id="66" w:name="_Hlk207627997"/>
      <w:r w:rsidRPr="00237C4F">
        <w:rPr>
          <w:rFonts w:ascii="Times New Roman" w:hAnsi="Times New Roman" w:cs="Times New Roman"/>
          <w:iCs/>
          <w:sz w:val="24"/>
          <w:szCs w:val="24"/>
        </w:rPr>
        <w:t>Kilifi County, Kenya</w:t>
      </w:r>
      <w:bookmarkEnd w:id="65"/>
      <w:bookmarkEnd w:id="66"/>
      <w:r w:rsidRPr="00237C4F">
        <w:rPr>
          <w:rFonts w:ascii="Times New Roman" w:hAnsi="Times New Roman" w:cs="Times New Roman"/>
          <w:sz w:val="24"/>
          <w:szCs w:val="24"/>
        </w:rPr>
        <w:t>.</w:t>
      </w:r>
    </w:p>
    <w:p w14:paraId="1330EE54" w14:textId="1A8AB131"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r w:rsidRPr="00237C4F">
        <w:rPr>
          <w:rFonts w:ascii="Times New Roman" w:hAnsi="Times New Roman" w:cs="Times New Roman"/>
          <w:sz w:val="24"/>
          <w:szCs w:val="24"/>
        </w:rPr>
        <w:t xml:space="preserve">To determine </w:t>
      </w:r>
      <w:bookmarkStart w:id="67" w:name="_Hlk207628084"/>
      <w:r w:rsidRPr="00237C4F">
        <w:rPr>
          <w:rFonts w:ascii="Times New Roman" w:hAnsi="Times New Roman" w:cs="Times New Roman"/>
          <w:sz w:val="24"/>
          <w:szCs w:val="24"/>
        </w:rPr>
        <w:t xml:space="preserve">entrepreneurship culture </w:t>
      </w:r>
      <w:bookmarkEnd w:id="67"/>
      <w:r w:rsidRPr="00237C4F">
        <w:rPr>
          <w:rFonts w:ascii="Times New Roman" w:hAnsi="Times New Roman" w:cs="Times New Roman"/>
          <w:sz w:val="24"/>
          <w:szCs w:val="24"/>
        </w:rPr>
        <w:t xml:space="preserve">on youth empowerment in </w:t>
      </w:r>
      <w:r w:rsidRPr="00237C4F">
        <w:rPr>
          <w:rFonts w:ascii="Times New Roman" w:hAnsi="Times New Roman" w:cs="Times New Roman"/>
          <w:iCs/>
          <w:sz w:val="24"/>
          <w:szCs w:val="24"/>
        </w:rPr>
        <w:t>Kilifi County, Kenya</w:t>
      </w:r>
      <w:r w:rsidRPr="00237C4F">
        <w:rPr>
          <w:rFonts w:ascii="Times New Roman" w:hAnsi="Times New Roman" w:cs="Times New Roman"/>
          <w:sz w:val="24"/>
          <w:szCs w:val="24"/>
        </w:rPr>
        <w:t>.</w:t>
      </w:r>
    </w:p>
    <w:p w14:paraId="5733BF21" w14:textId="7CB01C83"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r w:rsidRPr="00237C4F">
        <w:rPr>
          <w:rFonts w:ascii="Times New Roman" w:hAnsi="Times New Roman" w:cs="Times New Roman"/>
          <w:sz w:val="24"/>
          <w:szCs w:val="24"/>
        </w:rPr>
        <w:t xml:space="preserve">To assess the effect of </w:t>
      </w:r>
      <w:bookmarkStart w:id="68" w:name="_Hlk207628150"/>
      <w:r w:rsidRPr="00237C4F">
        <w:rPr>
          <w:rFonts w:ascii="Times New Roman" w:hAnsi="Times New Roman" w:cs="Times New Roman"/>
          <w:sz w:val="24"/>
          <w:szCs w:val="24"/>
        </w:rPr>
        <w:t xml:space="preserve">growth orientation </w:t>
      </w:r>
      <w:bookmarkEnd w:id="68"/>
      <w:r w:rsidRPr="00237C4F">
        <w:rPr>
          <w:rFonts w:ascii="Times New Roman" w:hAnsi="Times New Roman" w:cs="Times New Roman"/>
          <w:sz w:val="24"/>
          <w:szCs w:val="24"/>
        </w:rPr>
        <w:t xml:space="preserve">on youth empowerment in </w:t>
      </w:r>
      <w:r w:rsidRPr="00237C4F">
        <w:rPr>
          <w:rFonts w:ascii="Times New Roman" w:hAnsi="Times New Roman" w:cs="Times New Roman"/>
          <w:iCs/>
          <w:sz w:val="24"/>
          <w:szCs w:val="24"/>
        </w:rPr>
        <w:t>Kilifi County, Kenya</w:t>
      </w:r>
      <w:r w:rsidRPr="00237C4F">
        <w:rPr>
          <w:rFonts w:ascii="Times New Roman" w:hAnsi="Times New Roman" w:cs="Times New Roman"/>
          <w:sz w:val="24"/>
          <w:szCs w:val="24"/>
        </w:rPr>
        <w:t>.</w:t>
      </w:r>
    </w:p>
    <w:p w14:paraId="2A5ABEB2" w14:textId="1CCCED16"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r w:rsidRPr="00237C4F">
        <w:rPr>
          <w:rFonts w:ascii="Times New Roman" w:hAnsi="Times New Roman" w:cs="Times New Roman"/>
          <w:sz w:val="24"/>
          <w:szCs w:val="24"/>
        </w:rPr>
        <w:t xml:space="preserve">To determine the effect of </w:t>
      </w:r>
      <w:bookmarkStart w:id="69" w:name="_Hlk207628159"/>
      <w:r w:rsidRPr="00237C4F">
        <w:rPr>
          <w:rFonts w:ascii="Times New Roman" w:hAnsi="Times New Roman" w:cs="Times New Roman"/>
          <w:sz w:val="24"/>
          <w:szCs w:val="24"/>
        </w:rPr>
        <w:t xml:space="preserve">management structure </w:t>
      </w:r>
      <w:bookmarkEnd w:id="69"/>
      <w:r w:rsidRPr="00237C4F">
        <w:rPr>
          <w:rFonts w:ascii="Times New Roman" w:hAnsi="Times New Roman" w:cs="Times New Roman"/>
          <w:sz w:val="24"/>
          <w:szCs w:val="24"/>
        </w:rPr>
        <w:t xml:space="preserve">on youth empowerment in </w:t>
      </w:r>
      <w:r w:rsidRPr="00237C4F">
        <w:rPr>
          <w:rFonts w:ascii="Times New Roman" w:hAnsi="Times New Roman" w:cs="Times New Roman"/>
          <w:iCs/>
          <w:sz w:val="24"/>
          <w:szCs w:val="24"/>
        </w:rPr>
        <w:t>Kilifi County, Kenya</w:t>
      </w:r>
      <w:r w:rsidRPr="00237C4F">
        <w:rPr>
          <w:rFonts w:ascii="Times New Roman" w:hAnsi="Times New Roman" w:cs="Times New Roman"/>
          <w:sz w:val="24"/>
          <w:szCs w:val="24"/>
        </w:rPr>
        <w:t>.</w:t>
      </w:r>
    </w:p>
    <w:p w14:paraId="738A41C9" w14:textId="541F67E0" w:rsidR="003B75B0" w:rsidRDefault="00AE6F92" w:rsidP="003D4767">
      <w:pPr>
        <w:pStyle w:val="Heading2"/>
        <w:spacing w:before="0" w:after="0" w:line="480" w:lineRule="auto"/>
      </w:pPr>
      <w:r w:rsidRPr="00A93312">
        <w:lastRenderedPageBreak/>
        <w:t>2.0 Review</w:t>
      </w:r>
      <w:r w:rsidR="00C16F9F" w:rsidRPr="00A93312">
        <w:t xml:space="preserve"> of Literature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A0AA43F" w14:textId="77777777" w:rsidR="00C16F9F" w:rsidRPr="00A93312" w:rsidRDefault="00C16F9F" w:rsidP="003D4767">
      <w:pPr>
        <w:pStyle w:val="Heading2"/>
        <w:spacing w:before="0" w:after="0" w:line="480" w:lineRule="auto"/>
      </w:pPr>
      <w:r w:rsidRPr="00A93312">
        <w:t>2.1 Theoretical Review</w:t>
      </w:r>
    </w:p>
    <w:p w14:paraId="6B68F7CA" w14:textId="77777777" w:rsidR="0093057C" w:rsidRDefault="0043791D" w:rsidP="00BE3F3C">
      <w:pPr>
        <w:spacing w:line="480" w:lineRule="auto"/>
        <w:jc w:val="both"/>
        <w:rPr>
          <w:rFonts w:ascii="Times New Roman" w:eastAsia="Calibri" w:hAnsi="Times New Roman" w:cs="Times New Roman"/>
          <w:sz w:val="24"/>
        </w:rPr>
      </w:pPr>
      <w:r w:rsidRPr="0043791D">
        <w:rPr>
          <w:rFonts w:ascii="Times New Roman" w:eastAsia="Aptos" w:hAnsi="Times New Roman" w:cs="Times New Roman"/>
          <w:kern w:val="2"/>
          <w:sz w:val="24"/>
          <w:szCs w:val="24"/>
          <w14:ligatures w14:val="standardContextual"/>
        </w:rPr>
        <w:t xml:space="preserve">This study is grounded in three key theoretical frameworks: </w:t>
      </w:r>
      <w:r w:rsidR="00CA579D" w:rsidRPr="00CA579D">
        <w:rPr>
          <w:rFonts w:ascii="Times New Roman" w:eastAsia="Times New Roman" w:hAnsi="Times New Roman" w:cs="Times New Roman"/>
          <w:sz w:val="24"/>
          <w:szCs w:val="24"/>
        </w:rPr>
        <w:t>empowerment theory, dynamic capabilities theory and stakeholder’s theory</w:t>
      </w:r>
      <w:r w:rsidR="00780C98">
        <w:rPr>
          <w:rFonts w:ascii="Times New Roman" w:eastAsia="Aptos" w:hAnsi="Times New Roman" w:cs="Times New Roman"/>
          <w:kern w:val="2"/>
          <w:sz w:val="24"/>
          <w:szCs w:val="24"/>
          <w14:ligatures w14:val="standardContextual"/>
        </w:rPr>
        <w:t>.</w:t>
      </w:r>
      <w:r w:rsidR="00BE3F3C">
        <w:rPr>
          <w:rFonts w:ascii="Times New Roman" w:eastAsia="Aptos" w:hAnsi="Times New Roman" w:cs="Times New Roman"/>
          <w:kern w:val="2"/>
          <w:sz w:val="24"/>
          <w:szCs w:val="24"/>
          <w14:ligatures w14:val="standardContextual"/>
        </w:rPr>
        <w:t xml:space="preserve"> </w:t>
      </w:r>
      <w:r w:rsidR="00896427" w:rsidRPr="00896427">
        <w:rPr>
          <w:rFonts w:ascii="Times New Roman" w:eastAsia="Times New Roman" w:hAnsi="Times New Roman" w:cs="Times New Roman"/>
          <w:sz w:val="24"/>
          <w:szCs w:val="24"/>
        </w:rPr>
        <w:t xml:space="preserve">The </w:t>
      </w:r>
      <w:r w:rsidR="00BE3F3C" w:rsidRPr="00CA579D">
        <w:rPr>
          <w:rFonts w:ascii="Times New Roman" w:eastAsia="Times New Roman" w:hAnsi="Times New Roman" w:cs="Times New Roman"/>
          <w:sz w:val="24"/>
          <w:szCs w:val="24"/>
        </w:rPr>
        <w:t>empowerment</w:t>
      </w:r>
      <w:r w:rsidR="00896427" w:rsidRPr="00896427">
        <w:rPr>
          <w:rFonts w:ascii="Times New Roman" w:eastAsia="Times New Roman" w:hAnsi="Times New Roman" w:cs="Times New Roman"/>
          <w:sz w:val="24"/>
          <w:szCs w:val="24"/>
        </w:rPr>
        <w:t xml:space="preserve"> </w:t>
      </w:r>
      <w:r w:rsidR="00BE3F3C">
        <w:rPr>
          <w:rFonts w:ascii="Times New Roman" w:eastAsia="Times New Roman" w:hAnsi="Times New Roman" w:cs="Times New Roman"/>
          <w:sz w:val="24"/>
          <w:szCs w:val="24"/>
        </w:rPr>
        <w:t xml:space="preserve">theory </w:t>
      </w:r>
      <w:r w:rsidR="00896427" w:rsidRPr="00896427">
        <w:rPr>
          <w:rFonts w:ascii="Times New Roman" w:eastAsia="Times New Roman" w:hAnsi="Times New Roman" w:cs="Times New Roman"/>
          <w:sz w:val="24"/>
          <w:szCs w:val="24"/>
        </w:rPr>
        <w:t>emerged in the 19</w:t>
      </w:r>
      <w:r w:rsidR="00BE3F3C">
        <w:rPr>
          <w:rFonts w:ascii="Times New Roman" w:eastAsia="Times New Roman" w:hAnsi="Times New Roman" w:cs="Times New Roman"/>
          <w:sz w:val="24"/>
          <w:szCs w:val="24"/>
        </w:rPr>
        <w:t>9</w:t>
      </w:r>
      <w:r w:rsidR="00896427" w:rsidRPr="00896427">
        <w:rPr>
          <w:rFonts w:ascii="Times New Roman" w:eastAsia="Times New Roman" w:hAnsi="Times New Roman" w:cs="Times New Roman"/>
          <w:sz w:val="24"/>
          <w:szCs w:val="24"/>
        </w:rPr>
        <w:t xml:space="preserve">0s, notably through the work of </w:t>
      </w:r>
      <w:r w:rsidR="00CA579D" w:rsidRPr="00CA579D">
        <w:rPr>
          <w:rFonts w:ascii="Times New Roman" w:eastAsia="Aptos" w:hAnsi="Times New Roman" w:cs="Times New Roman"/>
          <w:kern w:val="2"/>
          <w:sz w:val="24"/>
          <w:szCs w:val="24"/>
          <w:lang w:val="en-GB"/>
          <w14:ligatures w14:val="standardContextual"/>
        </w:rPr>
        <w:t xml:space="preserve">Perkins and Zimmerman </w:t>
      </w:r>
      <w:r w:rsidR="00CA579D">
        <w:rPr>
          <w:rFonts w:ascii="Times New Roman" w:eastAsia="Aptos" w:hAnsi="Times New Roman" w:cs="Times New Roman"/>
          <w:kern w:val="2"/>
          <w:sz w:val="24"/>
          <w:szCs w:val="24"/>
          <w:lang w:val="en-GB"/>
          <w14:ligatures w14:val="standardContextual"/>
        </w:rPr>
        <w:t xml:space="preserve">in </w:t>
      </w:r>
      <w:r w:rsidR="00CA579D" w:rsidRPr="00CA579D">
        <w:rPr>
          <w:rFonts w:ascii="Times New Roman" w:eastAsia="Aptos" w:hAnsi="Times New Roman" w:cs="Times New Roman"/>
          <w:kern w:val="2"/>
          <w:sz w:val="24"/>
          <w:szCs w:val="24"/>
          <w:lang w:val="en-GB"/>
          <w14:ligatures w14:val="standardContextual"/>
        </w:rPr>
        <w:t>1995</w:t>
      </w:r>
      <w:r w:rsidR="00CA579D">
        <w:rPr>
          <w:rFonts w:ascii="Times New Roman" w:eastAsia="Aptos" w:hAnsi="Times New Roman" w:cs="Times New Roman"/>
          <w:kern w:val="2"/>
          <w:sz w:val="24"/>
          <w:szCs w:val="24"/>
          <w:lang w:val="en-GB"/>
          <w14:ligatures w14:val="standardContextual"/>
        </w:rPr>
        <w:t>. The theory</w:t>
      </w:r>
      <w:r w:rsidR="00CA579D" w:rsidRPr="00CA579D">
        <w:rPr>
          <w:rFonts w:ascii="Times New Roman" w:eastAsia="Aptos" w:hAnsi="Times New Roman" w:cs="Times New Roman"/>
          <w:kern w:val="2"/>
          <w:sz w:val="24"/>
          <w:szCs w:val="24"/>
          <w:lang w:val="en-GB"/>
          <w14:ligatures w14:val="standardContextual"/>
        </w:rPr>
        <w:t xml:space="preserve"> states that people have the power to identify their own needs and act on them because they understand these needs better than others. Empowerment is the process by which individuals take charge of lives, freely participate in community life, and exhibit a critical awareness of the surroundings.</w:t>
      </w:r>
      <w:r w:rsidR="0093057C" w:rsidRPr="0093057C">
        <w:rPr>
          <w:rFonts w:ascii="Times New Roman" w:eastAsia="Calibri" w:hAnsi="Times New Roman" w:cs="Times New Roman"/>
          <w:sz w:val="24"/>
        </w:rPr>
        <w:t xml:space="preserve"> </w:t>
      </w:r>
    </w:p>
    <w:p w14:paraId="41E74E88" w14:textId="0911E817" w:rsidR="00B352F7" w:rsidRPr="00BE3F3C" w:rsidRDefault="0093057C" w:rsidP="00BE3F3C">
      <w:pPr>
        <w:spacing w:line="480" w:lineRule="auto"/>
        <w:jc w:val="both"/>
        <w:rPr>
          <w:rFonts w:ascii="Times New Roman" w:eastAsia="Aptos" w:hAnsi="Times New Roman" w:cs="Times New Roman"/>
          <w:kern w:val="2"/>
          <w:sz w:val="24"/>
          <w:szCs w:val="24"/>
          <w14:ligatures w14:val="standardContextual"/>
        </w:rPr>
      </w:pPr>
      <w:r w:rsidRPr="0093057C">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{"citationID":"tUVKcYT4","properties":{"formattedCitation":"(R. Freeman, 1984)","plainCitation":"(R. Freeman, 1984)","dontUpdate":true,"noteIndex":0},"citationItems":[{"id":"frcB90kj/g2cDqUB1","uris":["http://www.mendeley.com/documents/?uuid=0a243172-474b-4d6e-8734-2cbce3087195"],"itemData":{"author":[{"dropping-particle":"","family":"Freeman","given":"R","non-dropping-particle":"","parse-names":false,"suffix":""}],"id":"ITEM-1","issued":{"date-parts":[["1984"]]},"publisher-place":"Pitman, Boston","title":"Strategic Management: A Stakeholder Approach","type":"book"}}],"schema":"https://github.com/citation-style-language/schema/raw/master/csl-citation.json"} </w:instrText>
      </w:r>
      <w:r w:rsidRPr="0093057C">
        <w:rPr>
          <w:rFonts w:ascii="Times New Roman" w:eastAsia="Calibri" w:hAnsi="Times New Roman" w:cs="Times New Roman"/>
          <w:sz w:val="24"/>
        </w:rPr>
        <w:fldChar w:fldCharType="separate"/>
      </w:r>
      <w:r w:rsidRPr="0093057C">
        <w:rPr>
          <w:rFonts w:ascii="Times New Roman" w:eastAsia="Calibri" w:hAnsi="Times New Roman" w:cs="Times New Roman"/>
          <w:sz w:val="24"/>
        </w:rPr>
        <w:t>Freeman, (1984)</w:t>
      </w:r>
      <w:r w:rsidRPr="0093057C">
        <w:rPr>
          <w:rFonts w:ascii="Times New Roman" w:eastAsia="Calibri" w:hAnsi="Times New Roman" w:cs="Times New Roman"/>
          <w:sz w:val="24"/>
        </w:rPr>
        <w:fldChar w:fldCharType="end"/>
      </w:r>
      <w:r w:rsidRPr="0093057C">
        <w:rPr>
          <w:rFonts w:ascii="Times New Roman" w:eastAsia="Calibri" w:hAnsi="Times New Roman" w:cs="Times New Roman"/>
          <w:sz w:val="24"/>
        </w:rPr>
        <w:t xml:space="preserve"> formulated the stakeholders theory putting a unique spin on strategy by highlighting the need of establishing and sustaining relationships with stakeholders. The unique approach of stakeholder theory focused on prioritizing the formation and sustenance of long-term connections with stakeholders as the primary driver of corporate success </w:t>
      </w:r>
      <w:r w:rsidRPr="0093057C">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{"citationID":"M2OxTJQe","properties":{"formattedCitation":"(E. Freeman et al., 2021)","plainCitation":"(E. Freeman et al., 2021)","dontUpdate":true,"noteIndex":0},"citationItems":[{"id":"frcB90kj/KAxsu4og","uris":["http://www.mendeley.com/documents/?uuid=559edb21-fc01-49cf-9665-2419b4781edb"],"itemData":{"DOI":"10.1177/0149206321993576","ISBN":"0149206321","ISSN":"15571211","abstract":"We start this article with the exploration of similarities between the resource-based view of the firm (RBV) and stakeholder theory at the time of their origination and then proceed with the conversation on what led to distinct developmental trajectories of the two theories. Though RBV has become a leading paradigm in the strategic management field, we argue that in its current form, RBV is yet incomplete. We suggest there are four aspects that stakeholder theory can offer to inform RBV: normativity, sustainability, people, and cooperation. Reconciling stakeholder theory and RBV is a promising path to advancing our understanding of management, and we provide a two-part guideline to management scholars and practitioners who would be willing to take this path.","author":[{"dropping-particle":"","family":"Freeman","given":"Edward","non-dropping-particle":"","parse-names":false,"suffix":""},{"dropping-particle":"","family":"Dmytriyev","given":"Sergiy","non-dropping-particle":"","parse-names":false,"suffix":""},{"dropping-particle":"","family":"Phillips","given":"Robert","non-dropping-particle":"","parse-names":false,"suffix":""}],"container-title":"Journal of Management","id":"ITEM-1","issue":"7","issued":{"date-parts":[["2021"]]},"page":"1757-1770","title":"Stakeholder Theory and the Resource-Based View of the Firm","type":"article-journal","volume":"47"}}],"schema":"https://github.com/citation-style-language/schema/raw/master/csl-citation.json"} </w:instrText>
      </w:r>
      <w:r w:rsidRPr="0093057C">
        <w:rPr>
          <w:rFonts w:ascii="Times New Roman" w:eastAsia="Calibri" w:hAnsi="Times New Roman" w:cs="Times New Roman"/>
          <w:sz w:val="24"/>
        </w:rPr>
        <w:fldChar w:fldCharType="separate"/>
      </w:r>
      <w:r w:rsidRPr="0093057C">
        <w:rPr>
          <w:rFonts w:ascii="Times New Roman" w:eastAsia="Calibri" w:hAnsi="Times New Roman" w:cs="Times New Roman"/>
          <w:sz w:val="24"/>
        </w:rPr>
        <w:t xml:space="preserve">(Freeman </w:t>
      </w:r>
      <w:r w:rsidRPr="0093057C">
        <w:rPr>
          <w:rFonts w:ascii="Times New Roman" w:eastAsia="Calibri" w:hAnsi="Times New Roman" w:cs="Times New Roman"/>
          <w:i/>
          <w:iCs/>
          <w:sz w:val="24"/>
        </w:rPr>
        <w:t>et al.,</w:t>
      </w:r>
      <w:r w:rsidRPr="0093057C">
        <w:rPr>
          <w:rFonts w:ascii="Times New Roman" w:eastAsia="Calibri" w:hAnsi="Times New Roman" w:cs="Times New Roman"/>
          <w:sz w:val="24"/>
        </w:rPr>
        <w:t xml:space="preserve"> 2021)</w:t>
      </w:r>
      <w:r w:rsidRPr="0093057C">
        <w:rPr>
          <w:rFonts w:ascii="Times New Roman" w:eastAsia="Calibri" w:hAnsi="Times New Roman" w:cs="Times New Roman"/>
          <w:sz w:val="24"/>
        </w:rPr>
        <w:fldChar w:fldCharType="end"/>
      </w:r>
      <w:r w:rsidRPr="0093057C">
        <w:rPr>
          <w:rFonts w:ascii="Times New Roman" w:eastAsia="Calibri" w:hAnsi="Times New Roman" w:cs="Times New Roman"/>
          <w:sz w:val="24"/>
        </w:rPr>
        <w:t xml:space="preserve">. According to the theory, which posits that youth empowerment programs have agreements with a variety of parties that are involved, therefore, failure to fulfill these contracts can subject to a broad variety of both economic and non-financial risks, as well as reputational harm </w:t>
      </w:r>
      <w:r w:rsidRPr="0093057C">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{"citationID":"IbAF20bk","properties":{"formattedCitation":"(Harjoto et al., 2019)","plainCitation":"(Harjoto et al., 2019)","noteIndex":0},"citationItems":[{"id":"frcB90kj/qtCQQPjz","uris":["http://www.mendeley.com/documents/?uuid=df3ffe37-d91c-416b-b08a-a2c4169e9845"],"itemData":{"DOI":"10.1108/CG-04-2018-0138","ISSN":"14720701","abstract":"Purpose: This paper aims to examine the relationship between the nationality and educational background diversity of directors serving on corporate boards and the firms’ corporate social performance (CSP). Design/methodology/approach: This study measures nationality diversity by directors’ national citizenship and measures educational background diversity by countries from which they earned their undergraduate and post undergraduate degrees. It measures firms’ CSP using the MSCI ESG ratings. The study uses both univariate and multivariate analyses to empirically test the hypotheses. Findings: Using a sample of US firms, the authors find that board nationality diversity and educational background diversity are positively associated with CSP. The findings suggest that improving director nationality diversity and educational background diversity could improve firms’ social performance. Originality/value: This study shows that the increasing trend of foreign nationals in the US boards could shift the focus of US corporations to be more stakeholder-oriented.","author":[{"dropping-particle":"","family":"Harjoto","given":"Maretno","non-dropping-particle":"","parse-names":false,"suffix":""},{"dropping-particle":"","family":"Laksmana","given":"Indrarini","non-dropping-particle":"","parse-names":false,"suffix":""},{"dropping-particle":"","family":"Yang","given":"Ya-wen","non-dropping-particle":"","parse-names":false,"suffix":""}],"container-title":"Corporate Governance (Bingley)","id":"ITEM-1","issue":"2","issued":{"date-parts":[["2019"]]},"page":"217-239","title":"Board nationality and educational background diversity and corporate social performance","type":"article-journal","volume":"19"}}],"schema":"https://github.com/citation-style-language/schema/raw/master/csl-citation.json"} </w:instrText>
      </w:r>
      <w:r w:rsidRPr="0093057C">
        <w:rPr>
          <w:rFonts w:ascii="Times New Roman" w:eastAsia="Calibri" w:hAnsi="Times New Roman" w:cs="Times New Roman"/>
          <w:sz w:val="24"/>
        </w:rPr>
        <w:fldChar w:fldCharType="separate"/>
      </w:r>
      <w:r w:rsidRPr="0093057C">
        <w:rPr>
          <w:rFonts w:ascii="Times New Roman" w:eastAsia="Calibri" w:hAnsi="Times New Roman" w:cs="Times New Roman"/>
          <w:sz w:val="24"/>
        </w:rPr>
        <w:t xml:space="preserve">(Harjoto </w:t>
      </w:r>
      <w:r w:rsidRPr="0093057C">
        <w:rPr>
          <w:rFonts w:ascii="Times New Roman" w:eastAsia="Calibri" w:hAnsi="Times New Roman" w:cs="Times New Roman"/>
          <w:i/>
          <w:sz w:val="24"/>
        </w:rPr>
        <w:t>et al.,</w:t>
      </w:r>
      <w:r w:rsidRPr="0093057C">
        <w:rPr>
          <w:rFonts w:ascii="Times New Roman" w:eastAsia="Calibri" w:hAnsi="Times New Roman" w:cs="Times New Roman"/>
          <w:sz w:val="24"/>
        </w:rPr>
        <w:t xml:space="preserve"> 2019)</w:t>
      </w:r>
      <w:r w:rsidRPr="0093057C">
        <w:rPr>
          <w:rFonts w:ascii="Times New Roman" w:eastAsia="Calibri" w:hAnsi="Times New Roman" w:cs="Times New Roman"/>
          <w:sz w:val="24"/>
        </w:rPr>
        <w:fldChar w:fldCharType="end"/>
      </w:r>
      <w:r w:rsidRPr="0093057C">
        <w:rPr>
          <w:rFonts w:ascii="Times New Roman" w:eastAsia="Calibri" w:hAnsi="Times New Roman" w:cs="Times New Roman"/>
          <w:sz w:val="24"/>
        </w:rPr>
        <w:t>.</w:t>
      </w:r>
    </w:p>
    <w:p w14:paraId="4205F726" w14:textId="5E9FB004" w:rsidR="00B352F7" w:rsidRPr="00B352F7" w:rsidRDefault="00BE0F85" w:rsidP="00B352F7">
      <w:pPr>
        <w:spacing w:after="0" w:line="480" w:lineRule="auto"/>
        <w:jc w:val="both"/>
        <w:rPr>
          <w:rFonts w:ascii="Times New Roman" w:eastAsia="Times New Roman" w:hAnsi="Times New Roman" w:cs="Times New Roman"/>
          <w:sz w:val="24"/>
          <w:szCs w:val="24"/>
        </w:rPr>
      </w:pPr>
      <w:r w:rsidRPr="00BE0F85">
        <w:rPr>
          <w:rFonts w:ascii="Times New Roman" w:hAnsi="Times New Roman" w:cs="Times New Roman"/>
          <w:sz w:val="24"/>
          <w:szCs w:val="24"/>
        </w:rPr>
        <w:t>The Dynamic Capability Theory, introduced by</w:t>
      </w:r>
      <w:r>
        <w:rPr>
          <w:rFonts w:ascii="Times New Roman" w:hAnsi="Times New Roman" w:cs="Times New Roman"/>
          <w:sz w:val="24"/>
          <w:szCs w:val="24"/>
        </w:rPr>
        <w:t xml:space="preserve"> </w:t>
      </w:r>
      <w:r w:rsidRPr="00B352F7">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{"citationID":"uwpjM5Fz","properties":{"formattedCitation":"(Teece &amp; Pisano, 1994)","plainCitation":"(Teece &amp; Pisano, 1994)","dontUpdate":true,"noteIndex":0},"citationItems":[{"id":386,"uris":["http://zotero.org/users/5547997/items/LWZWTG3Z"],"itemData":{"id":386,"type":"article-journal","container-title":"Industrial and Corporate Change","DOI":"10.1093/icc/3.3.537-a","ISSN":"0960-6491, 1464-3650","issue":"3","journalAbbreviation":"Ind Corp Change","language":"en","page":"537-556","source":"DOI.org (Crossref)","title":"The Dynamic Capabilities of Firms: an Introduction","title-short":"The Dynamic Capabilities of Firms","volume":"3","author":[{"family":"Teece","given":"David"},{"family":"Pisano","given":"Gary"}],"issued":{"date-parts":[["1994"]]}}}],"schema":"https://github.com/citation-style-language/schema/raw/master/csl-citation.json"} </w:instrText>
      </w:r>
      <w:r w:rsidRPr="00B352F7">
        <w:rPr>
          <w:rFonts w:ascii="Times New Roman" w:eastAsia="Calibri" w:hAnsi="Times New Roman" w:cs="Times New Roman"/>
          <w:sz w:val="24"/>
          <w:szCs w:val="24"/>
        </w:rPr>
        <w:fldChar w:fldCharType="separate"/>
      </w:r>
      <w:r w:rsidRPr="00B352F7">
        <w:rPr>
          <w:rFonts w:ascii="Times New Roman" w:eastAsia="Calibri" w:hAnsi="Times New Roman" w:cs="Times New Roman"/>
          <w:sz w:val="24"/>
          <w:szCs w:val="24"/>
        </w:rPr>
        <w:t>Teece and Pisano, (1994)</w:t>
      </w:r>
      <w:r w:rsidRPr="00B352F7">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Pr="00BE0F85">
        <w:rPr>
          <w:rFonts w:ascii="Times New Roman" w:eastAsia="Calibri" w:hAnsi="Times New Roman" w:cs="Times New Roman"/>
          <w:sz w:val="24"/>
          <w:szCs w:val="24"/>
        </w:rPr>
        <w:t>builds upon the RBV by highlighting the importance of a firm’s ability to adapt, integrate, and reconfigure internal and external competencies in response to changing environments</w:t>
      </w:r>
      <w:r w:rsidR="00B352F7" w:rsidRPr="00B352F7">
        <w:rPr>
          <w:rFonts w:ascii="Times New Roman" w:eastAsia="Calibri" w:hAnsi="Times New Roman" w:cs="Times New Roman"/>
          <w:sz w:val="24"/>
          <w:szCs w:val="24"/>
        </w:rPr>
        <w:t xml:space="preserve"> </w:t>
      </w:r>
      <w:r w:rsidR="00B352F7" w:rsidRPr="00B352F7">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{"citationID":"BUPjHmaV","properties":{"formattedCitation":"(Gregory et al., 2019)","plainCitation":"(Gregory et al., 2019)","noteIndex":0},"citationItems":[{"id":204,"uris":["http://zotero.org/users/5547997/items/67QCN74X"],"itemData":{"id":204,"type":"article-journal","container-title":"Industrial Marketing Management","DOI":"10.1016/j.indmarman.2017.03.002","ISSN":"00198501","journalAbbreviation":"Industrial Marketing Management","language":"en","page":"146-157","source":"DOI.org (Crossref)","title":"Developing e-commerce marketing capabilities and efficiencies for enhanced performance in business-to-business export ventures","volume":"78","author":[{"family":"Gregory","given":"Gary D."},{"family":"Ngo","given":"Liem Viet"},{"family":"Karavdic","given":"Munib"}],"issued":{"date-parts":[["2019",4]]}}}],"schema":"https://github.com/citation-style-language/schema/raw/master/csl-citation.json"} </w:instrText>
      </w:r>
      <w:r w:rsidR="00B352F7" w:rsidRPr="00B352F7">
        <w:rPr>
          <w:rFonts w:ascii="Times New Roman" w:eastAsia="Calibri" w:hAnsi="Times New Roman" w:cs="Times New Roman"/>
          <w:sz w:val="24"/>
          <w:szCs w:val="24"/>
        </w:rPr>
        <w:fldChar w:fldCharType="separate"/>
      </w:r>
      <w:r w:rsidR="00B352F7" w:rsidRPr="00B352F7">
        <w:rPr>
          <w:rFonts w:ascii="Times New Roman" w:eastAsia="Calibri" w:hAnsi="Times New Roman" w:cs="Times New Roman"/>
          <w:sz w:val="24"/>
          <w:szCs w:val="24"/>
        </w:rPr>
        <w:t>(Gregory</w:t>
      </w:r>
      <w:r w:rsidR="00B352F7" w:rsidRPr="00B352F7">
        <w:rPr>
          <w:rFonts w:ascii="Times New Roman" w:eastAsia="Calibri" w:hAnsi="Times New Roman" w:cs="Times New Roman"/>
          <w:i/>
          <w:iCs/>
          <w:sz w:val="24"/>
          <w:szCs w:val="24"/>
        </w:rPr>
        <w:t xml:space="preserve"> et al., </w:t>
      </w:r>
      <w:r w:rsidR="00B352F7" w:rsidRPr="00B352F7">
        <w:rPr>
          <w:rFonts w:ascii="Times New Roman" w:eastAsia="Calibri" w:hAnsi="Times New Roman" w:cs="Times New Roman"/>
          <w:sz w:val="24"/>
          <w:szCs w:val="24"/>
        </w:rPr>
        <w:t>2019)</w:t>
      </w:r>
      <w:r w:rsidR="00B352F7" w:rsidRPr="00B352F7">
        <w:rPr>
          <w:rFonts w:ascii="Times New Roman" w:eastAsia="Calibri" w:hAnsi="Times New Roman" w:cs="Times New Roman"/>
          <w:sz w:val="24"/>
          <w:szCs w:val="24"/>
        </w:rPr>
        <w:fldChar w:fldCharType="end"/>
      </w:r>
      <w:r w:rsidR="00B352F7" w:rsidRPr="00B352F7">
        <w:rPr>
          <w:rFonts w:ascii="Times New Roman" w:eastAsia="Calibri" w:hAnsi="Times New Roman" w:cs="Times New Roman"/>
          <w:sz w:val="24"/>
          <w:szCs w:val="24"/>
        </w:rPr>
        <w:t xml:space="preserve">. </w:t>
      </w:r>
      <w:r w:rsidRPr="00BE0F85">
        <w:rPr>
          <w:rFonts w:ascii="Times New Roman" w:eastAsia="Calibri" w:hAnsi="Times New Roman" w:cs="Times New Roman"/>
          <w:sz w:val="24"/>
          <w:szCs w:val="24"/>
        </w:rPr>
        <w:t>Unlike the RBV, which treats the environment as relatively stable, the Dynamic Capability Theory acknowledges the constantly evolving nature of the external business landscape</w:t>
      </w:r>
      <w:r w:rsidR="000316C0" w:rsidRPr="000316C0">
        <w:rPr>
          <w:rFonts w:ascii="Times New Roman" w:eastAsia="Calibri" w:hAnsi="Times New Roman" w:cs="Times New Roman"/>
          <w:sz w:val="24"/>
        </w:rPr>
        <w:t xml:space="preserve"> </w:t>
      </w:r>
      <w:r w:rsidRPr="00E82251">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{"citationID":"lI2cpSgj","properties":{"formattedCitation":"(Fabrizio et al., 2022)","plainCitation":"(Fabrizio et al., 2022)","noteIndex":0},"citationItems":[{"id":642,"uris":["http://zotero.org/users/5547997/items/QED2AXNS"],"itemData":{"id":642,"type":"article-journal","container-title":"Review of Managerial Science","DOI":"10.1007/s11846-021-00459-8","ISSN":"1863-6683, 1863-6691","issue":"3","journalAbbreviation":"Rev Manag Sci","language":"en","page":"617-648","source":"DOI.org (Crossref)","title":"Competitive advantage and dynamic capability in small and medium-sized enterprises: a systematic literature review and future research directions","title-short":"Competitive advantage and dynamic capability in small and medium-sized enterprises","volume":"16","author":[{"family":"Fabrizio","given":"Cleomar Marcos"},{"family":"Kaczam","given":"Fabíola"},{"family":"De Moura","given":"Gilnei Luiz"},{"family":"Da Silva","given":"Luciana Santos Costa Vieira"},{"family":"Da Silva","given":"Wesley Vieira"},{"family":"Da Veiga","given":"Claudimar Pereira"}],"issued":{"date-parts":[["2022",4]]}}}],"schema":"https://github.com/citation-style-language/schema/raw/master/csl-citation.json"} </w:instrText>
      </w:r>
      <w:r w:rsidRPr="00E82251">
        <w:rPr>
          <w:rFonts w:ascii="Times New Roman" w:eastAsia="Times New Roman" w:hAnsi="Times New Roman" w:cs="Times New Roman"/>
          <w:sz w:val="24"/>
          <w:szCs w:val="24"/>
        </w:rPr>
        <w:fldChar w:fldCharType="separate"/>
      </w:r>
      <w:r w:rsidRPr="00E82251">
        <w:rPr>
          <w:rFonts w:ascii="Times New Roman" w:eastAsia="Calibri" w:hAnsi="Times New Roman" w:cs="Times New Roman"/>
          <w:sz w:val="24"/>
        </w:rPr>
        <w:t xml:space="preserve">(Fabrizio </w:t>
      </w:r>
      <w:r w:rsidRPr="00E82251">
        <w:rPr>
          <w:rFonts w:ascii="Times New Roman" w:eastAsia="Calibri" w:hAnsi="Times New Roman" w:cs="Times New Roman"/>
          <w:i/>
          <w:iCs/>
          <w:sz w:val="24"/>
        </w:rPr>
        <w:t>et al.,</w:t>
      </w:r>
      <w:r w:rsidRPr="00E82251">
        <w:rPr>
          <w:rFonts w:ascii="Times New Roman" w:eastAsia="Calibri" w:hAnsi="Times New Roman" w:cs="Times New Roman"/>
          <w:sz w:val="24"/>
        </w:rPr>
        <w:t xml:space="preserve"> 2022)</w:t>
      </w:r>
      <w:r w:rsidRPr="00E822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BE0F85">
        <w:t xml:space="preserve"> </w:t>
      </w:r>
      <w:r w:rsidR="0093057C" w:rsidRPr="0093057C">
        <w:rPr>
          <w:rFonts w:ascii="Times New Roman" w:eastAsia="Calibri" w:hAnsi="Times New Roman" w:cs="Times New Roman"/>
          <w:sz w:val="24"/>
        </w:rPr>
        <w:t>Dynamic capacities theory clarifies the long-term viability of youth empowerment programs by illustrating how they can mitigate competitive risks by reallocating their resources</w:t>
      </w:r>
      <w:r w:rsidRPr="00BE0F85">
        <w:rPr>
          <w:rFonts w:ascii="Times New Roman" w:eastAsia="Calibri" w:hAnsi="Times New Roman" w:cs="Times New Roman"/>
          <w:sz w:val="24"/>
        </w:rPr>
        <w:t>.</w:t>
      </w:r>
    </w:p>
    <w:p w14:paraId="254BD1D7" w14:textId="77777777" w:rsidR="00C16F9F" w:rsidRDefault="00C16F9F" w:rsidP="003D4767">
      <w:pPr>
        <w:pStyle w:val="Heading2"/>
        <w:spacing w:before="0" w:after="0" w:line="480" w:lineRule="auto"/>
      </w:pPr>
      <w:r w:rsidRPr="00C8269D">
        <w:lastRenderedPageBreak/>
        <w:t>2.2 Empirical Review</w:t>
      </w:r>
    </w:p>
    <w:p w14:paraId="605BAD55" w14:textId="18A3E5D3" w:rsidR="0094597A" w:rsidRDefault="0094597A" w:rsidP="0094597A">
      <w:pPr>
        <w:spacing w:line="480" w:lineRule="auto"/>
        <w:jc w:val="both"/>
        <w:rPr>
          <w:rFonts w:ascii="Times New Roman" w:eastAsia="Aptos" w:hAnsi="Times New Roman" w:cs="Times New Roman"/>
          <w:kern w:val="2"/>
          <w:sz w:val="24"/>
          <w:szCs w:val="24"/>
          <w14:ligatures w14:val="standardContextual"/>
        </w:rPr>
      </w:pPr>
      <w:r w:rsidRPr="00C342DE">
        <w:rPr>
          <w:rFonts w:ascii="Times New Roman" w:hAnsi="Times New Roman" w:cs="Times New Roman"/>
          <w:sz w:val="24"/>
          <w:szCs w:val="24"/>
        </w:rPr>
        <w:t xml:space="preserve">The empirical literature review was based on individual concepts of </w:t>
      </w:r>
      <w:r>
        <w:rPr>
          <w:rFonts w:ascii="Times New Roman" w:hAnsi="Times New Roman" w:cs="Times New Roman"/>
          <w:sz w:val="24"/>
          <w:szCs w:val="24"/>
        </w:rPr>
        <w:t>entrepreneurship management practices</w:t>
      </w:r>
      <w:r w:rsidRPr="00C342DE">
        <w:rPr>
          <w:rFonts w:ascii="Times New Roman" w:hAnsi="Times New Roman" w:cs="Times New Roman"/>
          <w:sz w:val="24"/>
          <w:szCs w:val="24"/>
        </w:rPr>
        <w:t xml:space="preserve">: </w:t>
      </w:r>
      <w:r>
        <w:rPr>
          <w:rFonts w:ascii="Times New Roman" w:eastAsia="Calibri" w:hAnsi="Times New Roman" w:cs="Times New Roman"/>
          <w:sz w:val="24"/>
          <w:szCs w:val="24"/>
          <w:lang w:val="en-GB" w:eastAsia="en-GB"/>
        </w:rPr>
        <w:t>resource orientation, entrepreneurship culture, growth orientation, management structure</w:t>
      </w:r>
      <w:r w:rsidRPr="007D7F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w:t>
      </w:r>
      <w:r w:rsidRPr="007D7FD5">
        <w:rPr>
          <w:rFonts w:ascii="Times New Roman" w:eastAsia="Times New Roman" w:hAnsi="Times New Roman" w:cs="Times New Roman"/>
          <w:sz w:val="24"/>
          <w:szCs w:val="24"/>
        </w:rPr>
        <w:t xml:space="preserve"> youth empowerment</w:t>
      </w:r>
      <w:r>
        <w:rPr>
          <w:rFonts w:ascii="Times New Roman" w:eastAsia="Times New Roman" w:hAnsi="Times New Roman" w:cs="Times New Roman"/>
          <w:sz w:val="24"/>
          <w:szCs w:val="24"/>
        </w:rPr>
        <w:t>.</w:t>
      </w:r>
      <w:r>
        <w:rPr>
          <w:rFonts w:ascii="Times New Roman" w:eastAsia="Aptos" w:hAnsi="Times New Roman" w:cs="Times New Roman"/>
          <w:kern w:val="2"/>
          <w:sz w:val="24"/>
          <w:szCs w:val="24"/>
          <w14:ligatures w14:val="standardContextual"/>
        </w:rPr>
        <w:t xml:space="preserve"> R</w:t>
      </w:r>
      <w:r w:rsidRPr="00D61A29">
        <w:rPr>
          <w:rFonts w:ascii="Times New Roman" w:eastAsia="Aptos" w:hAnsi="Times New Roman" w:cs="Times New Roman"/>
          <w:kern w:val="2"/>
          <w:sz w:val="24"/>
          <w:szCs w:val="24"/>
          <w14:ligatures w14:val="standardContextual"/>
        </w:rPr>
        <w:t xml:space="preserve">esource orientation </w:t>
      </w:r>
      <w:r>
        <w:rPr>
          <w:rFonts w:ascii="Times New Roman" w:eastAsia="Aptos" w:hAnsi="Times New Roman" w:cs="Times New Roman"/>
          <w:kern w:val="2"/>
          <w:sz w:val="24"/>
          <w:szCs w:val="24"/>
          <w14:ligatures w14:val="standardContextual"/>
        </w:rPr>
        <w:t>i</w:t>
      </w:r>
      <w:r w:rsidRPr="00D61A29">
        <w:rPr>
          <w:rFonts w:ascii="Times New Roman" w:eastAsia="Aptos" w:hAnsi="Times New Roman" w:cs="Times New Roman"/>
          <w:kern w:val="2"/>
          <w:sz w:val="24"/>
          <w:szCs w:val="24"/>
          <w14:ligatures w14:val="standardContextual"/>
        </w:rPr>
        <w:t xml:space="preserve">s a </w:t>
      </w:r>
      <w:proofErr w:type="gramStart"/>
      <w:r w:rsidRPr="00D61A29">
        <w:rPr>
          <w:rFonts w:ascii="Times New Roman" w:eastAsia="Aptos" w:hAnsi="Times New Roman" w:cs="Times New Roman"/>
          <w:kern w:val="2"/>
          <w:sz w:val="24"/>
          <w:szCs w:val="24"/>
          <w14:ligatures w14:val="standardContextual"/>
        </w:rPr>
        <w:t>strategic approach entrepreneurs</w:t>
      </w:r>
      <w:proofErr w:type="gramEnd"/>
      <w:r w:rsidRPr="00D61A29">
        <w:rPr>
          <w:rFonts w:ascii="Times New Roman" w:eastAsia="Aptos" w:hAnsi="Times New Roman" w:cs="Times New Roman"/>
          <w:kern w:val="2"/>
          <w:sz w:val="24"/>
          <w:szCs w:val="24"/>
          <w14:ligatures w14:val="standardContextual"/>
        </w:rPr>
        <w:t xml:space="preserve"> use to identify, acquire and manage resources to create, sustain, and grow a business</w:t>
      </w:r>
      <w:r>
        <w:rPr>
          <w:rFonts w:ascii="Times New Roman" w:eastAsia="Aptos" w:hAnsi="Times New Roman" w:cs="Times New Roman"/>
          <w:kern w:val="2"/>
          <w:sz w:val="24"/>
          <w:szCs w:val="24"/>
          <w14:ligatures w14:val="standardContextual"/>
        </w:rPr>
        <w:t>. On matters as pertains to</w:t>
      </w:r>
      <w:r w:rsidRPr="00D61A29">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R</w:t>
      </w:r>
      <w:r w:rsidRPr="00D61A29">
        <w:rPr>
          <w:rFonts w:ascii="Times New Roman" w:eastAsia="Aptos" w:hAnsi="Times New Roman" w:cs="Times New Roman"/>
          <w:kern w:val="2"/>
          <w:sz w:val="24"/>
          <w:szCs w:val="24"/>
          <w14:ligatures w14:val="standardContextual"/>
        </w:rPr>
        <w:t>esource orientation</w:t>
      </w:r>
      <w:r>
        <w:rPr>
          <w:rFonts w:ascii="Times New Roman" w:eastAsia="Aptos" w:hAnsi="Times New Roman" w:cs="Times New Roman"/>
          <w:kern w:val="2"/>
          <w:sz w:val="24"/>
          <w:szCs w:val="24"/>
          <w14:ligatures w14:val="standardContextual"/>
        </w:rPr>
        <w:t xml:space="preserve">, </w:t>
      </w:r>
      <w:r w:rsidRPr="00D61A29">
        <w:rPr>
          <w:rFonts w:ascii="Times New Roman" w:eastAsia="Aptos" w:hAnsi="Times New Roman" w:cs="Times New Roman"/>
          <w:kern w:val="2"/>
          <w:sz w:val="24"/>
          <w:szCs w:val="24"/>
          <w14:ligatures w14:val="standardContextual"/>
        </w:rPr>
        <w:fldChar w:fldCharType="begin"/>
      </w:r>
      <w:r w:rsidR="00D83B4B">
        <w:rPr>
          <w:rFonts w:ascii="Times New Roman" w:eastAsia="Aptos" w:hAnsi="Times New Roman" w:cs="Times New Roman"/>
          <w:kern w:val="2"/>
          <w:sz w:val="24"/>
          <w:szCs w:val="24"/>
          <w14:ligatures w14:val="standardContextual"/>
        </w:rPr>
        <w:instrText xml:space="preserve"> ADDIN ZOTERO_ITEM CSL_CITATION {"citationID":"QpRWxXu1","properties":{"formattedCitation":"(L\\uc0\\u243{}pez-Cabarcos et al., 2019)","plainCitation":"(López-Cabarcos et al., 2019)","dontUpdate":true,"noteIndex":0},"citationItems":[{"id":768,"uris":["http://zotero.org/users/5547997/items/5SLKPNRM"],"itemData":{"id":768,"type":"article-journal","abstract":"Based on knowledge-based theory of organizational capabilities and dynamic capabilities theory, this paper tries to establish the linkages between tacit knowledge resources, its integration into firm level capabilities, product innovation and firm performance. In this way, the paper analyses the relationships between some of the most relevant variables to the organizations in order to remain competitive. The conceptual model is tested using a sample of organizations in the industrial sector, using SEM and hierarchical regression analysis. Results show a positive relationship between tacit knowledge and firm performance, tacit knowledge and product innovation, and product innovation and firm performance. A partial mediating effect of product innovation on the tacit knowledge firm performance relationship is established. Also, technical capabilities have a moderator effect on tacit knowledge firm performance relationship. At the end of the paper managerial implications are commented, as well directions for future studies.","container-title":"Journal of Business Economics and Management","DOI":"10.3846/jbem.2019.9590","ISSN":"1611-1699, 2029-4433","issue":"2","page":"330-350","source":"DOI.org (Crossref)","title":"Tacit Knowledge and Firm Performance Relationship. The Role of Product Innovation and the Firm Level Capabilities","volume":"20","author":[{"family":"López-Cabarcos","given":"M. Ángeles"},{"family":"Srinivasan","given":"Suresh"},{"family":"Göttling-Oliveira-Monteiro","given":"Sérgio"},{"family":"Vázquez-Rodríguez","given":"Paula"}],"issued":{"date-parts":[["2019",4,2]]}}}],"schema":"https://github.com/citation-style-language/schema/raw/master/csl-citation.json"} </w:instrText>
      </w:r>
      <w:r w:rsidRPr="00D61A29">
        <w:rPr>
          <w:rFonts w:ascii="Times New Roman" w:eastAsia="Aptos" w:hAnsi="Times New Roman" w:cs="Times New Roman"/>
          <w:kern w:val="2"/>
          <w:sz w:val="24"/>
          <w:szCs w:val="24"/>
          <w14:ligatures w14:val="standardContextual"/>
        </w:rPr>
        <w:fldChar w:fldCharType="separate"/>
      </w:r>
      <w:r w:rsidRPr="00D61A29">
        <w:rPr>
          <w:rFonts w:ascii="Times New Roman" w:eastAsia="Aptos" w:hAnsi="Times New Roman" w:cs="Times New Roman"/>
          <w:kern w:val="2"/>
          <w:sz w:val="24"/>
          <w:szCs w:val="24"/>
          <w14:ligatures w14:val="standardContextual"/>
        </w:rPr>
        <w:t xml:space="preserve">López-Cabarcos </w:t>
      </w:r>
      <w:r w:rsidRPr="00D61A29">
        <w:rPr>
          <w:rFonts w:ascii="Times New Roman" w:eastAsia="Aptos" w:hAnsi="Times New Roman" w:cs="Times New Roman"/>
          <w:i/>
          <w:kern w:val="2"/>
          <w:sz w:val="24"/>
          <w:szCs w:val="24"/>
          <w14:ligatures w14:val="standardContextual"/>
        </w:rPr>
        <w:t>et al</w:t>
      </w:r>
      <w:r w:rsidRPr="00D61A29">
        <w:rPr>
          <w:rFonts w:ascii="Times New Roman" w:eastAsia="Aptos" w:hAnsi="Times New Roman" w:cs="Times New Roman"/>
          <w:kern w:val="2"/>
          <w:sz w:val="24"/>
          <w:szCs w:val="24"/>
          <w14:ligatures w14:val="standardContextual"/>
        </w:rPr>
        <w:t>., (2019)</w:t>
      </w:r>
      <w:r w:rsidRPr="00D61A29">
        <w:rPr>
          <w:rFonts w:ascii="Times New Roman" w:eastAsia="Aptos" w:hAnsi="Times New Roman" w:cs="Times New Roman"/>
          <w:kern w:val="2"/>
          <w:sz w:val="24"/>
          <w:szCs w:val="24"/>
          <w14:ligatures w14:val="standardContextual"/>
        </w:rPr>
        <w:fldChar w:fldCharType="end"/>
      </w:r>
      <w:r w:rsidRPr="00D61A29">
        <w:rPr>
          <w:rFonts w:ascii="Times New Roman" w:eastAsia="Aptos" w:hAnsi="Times New Roman" w:cs="Times New Roman"/>
          <w:kern w:val="2"/>
          <w:sz w:val="24"/>
          <w:szCs w:val="24"/>
          <w14:ligatures w14:val="standardContextual"/>
        </w:rPr>
        <w:t xml:space="preserve"> examines the product innovation, and performance of organizations in Portugal.  Secondary data was utilized and response rates were at 29%. Product innovation influenced performance. </w:t>
      </w:r>
      <w:bookmarkStart w:id="70" w:name="_Hlk168926012"/>
      <w:r w:rsidRPr="00D61A29">
        <w:rPr>
          <w:rFonts w:ascii="Times New Roman" w:eastAsia="Aptos" w:hAnsi="Times New Roman" w:cs="Times New Roman"/>
          <w:kern w:val="2"/>
          <w:sz w:val="24"/>
          <w:szCs w:val="24"/>
          <w14:ligatures w14:val="standardContextual"/>
        </w:rPr>
        <w:t xml:space="preserve">Portugal is an already economically developed market. Furthermore, industrial organizations </w:t>
      </w:r>
      <w:proofErr w:type="gramStart"/>
      <w:r w:rsidRPr="00D61A29">
        <w:rPr>
          <w:rFonts w:ascii="Times New Roman" w:eastAsia="Aptos" w:hAnsi="Times New Roman" w:cs="Times New Roman"/>
          <w:kern w:val="2"/>
          <w:sz w:val="24"/>
          <w:szCs w:val="24"/>
          <w14:ligatures w14:val="standardContextual"/>
        </w:rPr>
        <w:t>is</w:t>
      </w:r>
      <w:proofErr w:type="gramEnd"/>
      <w:r w:rsidRPr="00D61A29">
        <w:rPr>
          <w:rFonts w:ascii="Times New Roman" w:eastAsia="Aptos" w:hAnsi="Times New Roman" w:cs="Times New Roman"/>
          <w:kern w:val="2"/>
          <w:sz w:val="24"/>
          <w:szCs w:val="24"/>
          <w14:ligatures w14:val="standardContextual"/>
        </w:rPr>
        <w:t xml:space="preserve"> different from </w:t>
      </w:r>
      <w:bookmarkEnd w:id="70"/>
      <w:r w:rsidRPr="00D61A29">
        <w:rPr>
          <w:rFonts w:ascii="Times New Roman" w:eastAsia="Aptos" w:hAnsi="Times New Roman" w:cs="Times New Roman"/>
          <w:kern w:val="2"/>
          <w:sz w:val="24"/>
          <w:szCs w:val="24"/>
          <w14:ligatures w14:val="standardContextual"/>
        </w:rPr>
        <w:t xml:space="preserve">youth empowerment programs in </w:t>
      </w:r>
      <w:r>
        <w:rPr>
          <w:rFonts w:ascii="Times New Roman" w:eastAsia="Aptos" w:hAnsi="Times New Roman" w:cs="Times New Roman"/>
          <w:kern w:val="2"/>
          <w:sz w:val="24"/>
          <w:szCs w:val="24"/>
          <w14:ligatures w14:val="standardContextual"/>
        </w:rPr>
        <w:t>Kilifi County</w:t>
      </w:r>
      <w:r w:rsidRPr="00D61A29">
        <w:rPr>
          <w:rFonts w:ascii="Times New Roman" w:eastAsia="Aptos" w:hAnsi="Times New Roman" w:cs="Times New Roman"/>
          <w:kern w:val="2"/>
          <w:sz w:val="24"/>
          <w:szCs w:val="24"/>
          <w14:ligatures w14:val="standardContextual"/>
        </w:rPr>
        <w:t>. The study employs secondary data for analysis, which fails to reflect the current market trends</w:t>
      </w:r>
      <w:r>
        <w:rPr>
          <w:rFonts w:ascii="Times New Roman" w:eastAsia="Aptos" w:hAnsi="Times New Roman" w:cs="Times New Roman"/>
          <w:kern w:val="2"/>
          <w:sz w:val="24"/>
          <w:szCs w:val="24"/>
          <w14:ligatures w14:val="standardContextual"/>
        </w:rPr>
        <w:t>.</w:t>
      </w:r>
    </w:p>
    <w:p w14:paraId="38158C57" w14:textId="4E57871F" w:rsidR="0094597A" w:rsidRDefault="00AB78FC" w:rsidP="0094597A">
      <w:pPr>
        <w:spacing w:after="0" w:line="480" w:lineRule="auto"/>
        <w:jc w:val="both"/>
        <w:rPr>
          <w:rFonts w:ascii="Times New Roman" w:eastAsia="Times New Roman" w:hAnsi="Times New Roman" w:cs="Times New Roman"/>
          <w:sz w:val="24"/>
          <w:szCs w:val="24"/>
        </w:rPr>
      </w:pPr>
      <w:r>
        <w:rPr>
          <w:rFonts w:ascii="Times New Roman" w:eastAsia="Aptos" w:hAnsi="Times New Roman" w:cs="Times New Roman"/>
          <w:kern w:val="2"/>
          <w:sz w:val="24"/>
          <w:szCs w:val="24"/>
          <w14:ligatures w14:val="standardContextual"/>
        </w:rPr>
        <w:t>E</w:t>
      </w:r>
      <w:r w:rsidR="00485582" w:rsidRPr="00485582">
        <w:rPr>
          <w:rFonts w:ascii="Times New Roman" w:eastAsia="Aptos" w:hAnsi="Times New Roman" w:cs="Times New Roman"/>
          <w:kern w:val="2"/>
          <w:sz w:val="24"/>
          <w:szCs w:val="24"/>
          <w14:ligatures w14:val="standardContextual"/>
        </w:rPr>
        <w:t>ntrepreneurship culture is a set of shared values, beliefs, attitudes, and practices within an organization or society that emphasizes on a mindset that encourages innovation, risk-taking, proactive problem-solving, and resilience, which are essential for effective entrepreneurship management</w:t>
      </w:r>
      <w:r>
        <w:rPr>
          <w:rFonts w:ascii="Times New Roman" w:eastAsia="Aptos" w:hAnsi="Times New Roman" w:cs="Times New Roman"/>
          <w:kern w:val="2"/>
          <w:sz w:val="24"/>
          <w:szCs w:val="24"/>
          <w14:ligatures w14:val="standardContextual"/>
        </w:rPr>
        <w:t xml:space="preserve">. </w:t>
      </w:r>
      <w:r w:rsidR="0094597A" w:rsidRPr="00D61A29">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{"citationID":"zDtHNIky","properties":{"formattedCitation":"(Valencia-Arias et al., 2022)","plainCitation":"(Valencia-Arias et al., 2022)","dontUpdate":true,"noteIndex":0},"citationItems":[{"id":1109,"uris":["http://zotero.org/users/5547997/items/MP3GH79S"],"itemData":{"id":1109,"type":"article-journal","abstract":"Purpose\n              The purpose of this study is to verify some relationships between entrepreneurial attitude, university environment, entrepreneurial culture and entrepreneurial training, which can be used to promote entrepreneurship among university students.\n            \n            \n              Design/methodology/approach\n              A sample of 3,005 questionnaires answered by students from ten universities in Colombia was gathered and partial least squares structural equation modelling (PLS-SEM) was used for the analysis.\n            \n            \n              Findings\n              The results show that the more a student perceives an entrepreneurial culture and the more training he or she receives, the more entrepreneurial attitude he or she will have. Also, it was found that entrepreneurial culture has a positive effect on university environment, and the latter has a positive effect on entrepreneurial training.\n            \n            \n              Research limitations/implications\n              The main limitation of this study was that only ten Colombian universities were sampled; therefore, general inferences cannot be made. Additionally, the variables investigated here may have not accurately measured the full scale of the entrepreneurship programmes in such universities or the way the culture of these institutions had a direct impact on students. Projects such as the Global University Entrepreneurial Spirit Students' Survey (GUESSS), which measure variables related to entrepreneurship at the university level, enable universities to shape their policies around this important topic. This study indicates that universities should offer training in entrepreneurial, problem-solving and communication skills to produce entrepreneurs who can better face current challenges.\n            \n            \n              Originality/value\n              Other studies have discussed entrepreneurial culture, but they usually deal with university environment, entrepreneurial training and entrepreneurial attitudes separately. This study integrates all these factors and measures the level of interaction between them.","container-title":"Higher Education, Skills and Work-Based Learning","DOI":"10.1108/HESWBL-07-2020-0169","ISSN":"2042-3896","issue":"2","journalAbbreviation":"HESWBL","language":"en","license":"https://www.emerald.com/insight/site-policies","page":"328-345","source":"DOI.org (Crossref)","title":"Promoting entrepreneurship based on university students' perceptions of entrepreneurial attitude, university environment, entrepreneurial culture and entrepreneurial training","volume":"12","author":[{"family":"Valencia-Arias","given":"Alejandro"},{"family":"Arango-Botero","given":"Diana"},{"family":"Sánchez-Torres","given":"Javier A."}],"issued":{"date-parts":[["2022",3,9]]}}}],"schema":"https://github.com/citation-style-language/schema/raw/master/csl-citation.json"} </w:instrText>
      </w:r>
      <w:r w:rsidR="0094597A" w:rsidRPr="00D61A29">
        <w:rPr>
          <w:rFonts w:ascii="Times New Roman" w:eastAsia="Times New Roman" w:hAnsi="Times New Roman" w:cs="Times New Roman"/>
          <w:sz w:val="24"/>
          <w:szCs w:val="24"/>
        </w:rPr>
        <w:fldChar w:fldCharType="separate"/>
      </w:r>
      <w:r w:rsidR="0094597A" w:rsidRPr="00D61A29">
        <w:rPr>
          <w:rFonts w:ascii="Times New Roman" w:eastAsia="Aptos" w:hAnsi="Times New Roman" w:cs="Times New Roman"/>
          <w:kern w:val="2"/>
          <w:sz w:val="24"/>
          <w14:ligatures w14:val="standardContextual"/>
        </w:rPr>
        <w:t xml:space="preserve">Valencia-Arias </w:t>
      </w:r>
      <w:r w:rsidR="0094597A" w:rsidRPr="00D61A29">
        <w:rPr>
          <w:rFonts w:ascii="Times New Roman" w:eastAsia="Aptos" w:hAnsi="Times New Roman" w:cs="Times New Roman"/>
          <w:i/>
          <w:kern w:val="2"/>
          <w:sz w:val="24"/>
          <w14:ligatures w14:val="standardContextual"/>
        </w:rPr>
        <w:t xml:space="preserve">et al, </w:t>
      </w:r>
      <w:r w:rsidR="0094597A" w:rsidRPr="00D61A29">
        <w:rPr>
          <w:rFonts w:ascii="Times New Roman" w:eastAsia="Aptos" w:hAnsi="Times New Roman" w:cs="Times New Roman"/>
          <w:kern w:val="2"/>
          <w:sz w:val="24"/>
          <w14:ligatures w14:val="standardContextual"/>
        </w:rPr>
        <w:t>(2022)</w:t>
      </w:r>
      <w:r w:rsidR="0094597A" w:rsidRPr="00D61A29">
        <w:rPr>
          <w:rFonts w:ascii="Times New Roman" w:eastAsia="Times New Roman" w:hAnsi="Times New Roman" w:cs="Times New Roman"/>
          <w:sz w:val="24"/>
          <w:szCs w:val="24"/>
        </w:rPr>
        <w:fldChar w:fldCharType="end"/>
      </w:r>
      <w:r w:rsidR="0094597A" w:rsidRPr="00D61A29">
        <w:rPr>
          <w:rFonts w:ascii="Times New Roman" w:eastAsia="Times New Roman" w:hAnsi="Times New Roman" w:cs="Times New Roman"/>
          <w:sz w:val="24"/>
          <w:szCs w:val="24"/>
        </w:rPr>
        <w:t xml:space="preserve"> explored how entrepreneurial culture influences entrepreneurial mentality, which influences financial performance, in order to foster entrepreneurship at 10 Colombian universities. A sample from 10 colleges in Colombia was collected. The findings suggest seeing an entrepreneurial culture and receiving instruction, the more entrepreneurial mentality students develop. Additionally, it was shown that entrepreneurial culture had a good impact on the academic atmosphere. Only 10 Colombian colleges were sampled, thus generalizations are impossible. Furthermore, the factors explored here may not adequately represent the actual extent of the entrepreneurial programs in such universities therefore, they should allow universities to adapt their policies around this crucial subject. More </w:t>
      </w:r>
      <w:r w:rsidR="0094597A" w:rsidRPr="00D61A29">
        <w:rPr>
          <w:rFonts w:ascii="Times New Roman" w:eastAsia="Times New Roman" w:hAnsi="Times New Roman" w:cs="Times New Roman"/>
          <w:sz w:val="24"/>
          <w:szCs w:val="24"/>
        </w:rPr>
        <w:lastRenderedPageBreak/>
        <w:t xml:space="preserve">so, it was carried out in universities in Colombia which differs structurally and operationally from youth empowerment programs in </w:t>
      </w:r>
      <w:r w:rsidR="0094597A">
        <w:rPr>
          <w:rFonts w:ascii="Times New Roman" w:eastAsia="Times New Roman" w:hAnsi="Times New Roman" w:cs="Times New Roman"/>
          <w:sz w:val="24"/>
          <w:szCs w:val="24"/>
        </w:rPr>
        <w:t>Kilifi County</w:t>
      </w:r>
      <w:r w:rsidR="0094597A" w:rsidRPr="00D61A29">
        <w:rPr>
          <w:rFonts w:ascii="Times New Roman" w:eastAsia="Times New Roman" w:hAnsi="Times New Roman" w:cs="Times New Roman"/>
          <w:sz w:val="24"/>
          <w:szCs w:val="24"/>
        </w:rPr>
        <w:t>.</w:t>
      </w:r>
    </w:p>
    <w:p w14:paraId="2DB5C61D" w14:textId="1902EA78" w:rsidR="0094597A" w:rsidRDefault="001234E8" w:rsidP="0094597A">
      <w:pPr>
        <w:spacing w:line="480" w:lineRule="auto"/>
        <w:jc w:val="both"/>
        <w:rPr>
          <w:rFonts w:ascii="Times New Roman" w:eastAsia="Times New Roman" w:hAnsi="Times New Roman" w:cs="Times New Roman"/>
          <w:sz w:val="24"/>
          <w:szCs w:val="24"/>
        </w:rPr>
      </w:pPr>
      <w:r w:rsidRPr="001234E8">
        <w:rPr>
          <w:rFonts w:ascii="Times New Roman" w:eastAsia="Aptos" w:hAnsi="Times New Roman" w:cs="Times New Roman"/>
          <w:kern w:val="2"/>
          <w:sz w:val="24"/>
          <w:szCs w:val="24"/>
          <w14:ligatures w14:val="standardContextual"/>
        </w:rPr>
        <w:t>Growth orientation is an entrepreneur's strategic focus on achieving sustained expansion and development in business operations by clearly outlining visions of expansions, market development and core values</w:t>
      </w:r>
      <w:r>
        <w:rPr>
          <w:rFonts w:ascii="Times New Roman" w:eastAsia="Aptos" w:hAnsi="Times New Roman" w:cs="Times New Roman"/>
          <w:kern w:val="2"/>
          <w:sz w:val="24"/>
          <w:szCs w:val="24"/>
          <w14:ligatures w14:val="standardContextual"/>
        </w:rPr>
        <w:t xml:space="preserve">. </w:t>
      </w:r>
      <w:r w:rsidR="0094597A" w:rsidRPr="00D61A29">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{"citationID":"bnmxTFuA","properties":{"formattedCitation":"(Kiyabo &amp; Isaga, 2020)","plainCitation":"(Kiyabo &amp; Isaga, 2020)","dontUpdate":true,"noteIndex":0},"citationItems":[{"id":1093,"uris":["http://zotero.org/users/5547997/items/NZKC8LQW"],"itemData":{"id":1093,"type":"article-journal","abstract":"Abstract\n            SMEs’ performance can be measured using various indicators. Guided by the resource-based view, this study aimed at determining the influence of entrepreneurial orientation on SMEs’ performance under the mediation of competitive advantage using firm growth and personal wealth measures. Entrepreneurial orientation was adopted as an intangible resource in form of processes. A survey method with cross-sectional design was used to collect data from 300 owners-managers of welding industry SMEs located in Dar es Salaam, Mbeya, and Morogoro urban centers in Tanzania. By the aid of AMOS software, data analysis comprised of developing measurement and structural models using structural equation modeling technique. Sample data were then bootstrapped using 200 samples to determine the indirect effect of entrepreneurial orientation on SMEs’ performance through competitive advantage. Findings from this study inform that competitive advantage mediates the relationship between entrepreneurial orientation and SMEs’ performance for both firm growth and personal wealth performance measures. This study has contributed to existing literature by providing evidence on use of personal wealth as measures of SMEs’ performance. The findings of the study imply that the resource-based view is suitable in describing not only physical resources but also intangible resources such as entrepreneurial orientation. Future studies may investigate the influence of more constructs such as learning orientation on SMEs’ performance under the mediation of competitive advantage using the same firm growth and personal wealth performance measures. Such studies will establish whether the findings of this study are specific to entrepreneurial orientation construct or applicable to other constructs as well.","container-title":"Journal of Innovation and Entrepreneurship","DOI":"10.1186/s13731-020-00123-7","ISSN":"2192-5372","issue":"1","journalAbbreviation":"J Innov Entrep","language":"en","page":"12","source":"DOI.org (Crossref)","title":"Entrepreneurial orientation, competitive advantage, and SMEs’ performance: application of firm growth and personal wealth measures","title-short":"Entrepreneurial orientation, competitive advantage, and SMEs’ performance","volume":"9","author":[{"family":"Kiyabo","given":"Kibeshi"},{"family":"Isaga","given":"Nsubili"}],"issued":{"date-parts":[["2020",12]]}}}],"schema":"https://github.com/citation-style-language/schema/raw/master/csl-citation.json"} </w:instrText>
      </w:r>
      <w:r w:rsidR="0094597A" w:rsidRPr="00D61A29">
        <w:rPr>
          <w:rFonts w:ascii="Times New Roman" w:eastAsia="Times New Roman" w:hAnsi="Times New Roman" w:cs="Times New Roman"/>
          <w:sz w:val="24"/>
          <w:szCs w:val="24"/>
        </w:rPr>
        <w:fldChar w:fldCharType="separate"/>
      </w:r>
      <w:r w:rsidR="0094597A" w:rsidRPr="00D61A29">
        <w:rPr>
          <w:rFonts w:ascii="Times New Roman" w:eastAsia="Aptos" w:hAnsi="Times New Roman" w:cs="Times New Roman"/>
          <w:kern w:val="2"/>
          <w:sz w:val="24"/>
          <w:szCs w:val="24"/>
          <w14:ligatures w14:val="standardContextual"/>
        </w:rPr>
        <w:t>Kiyabo and Isaga, (2020)</w:t>
      </w:r>
      <w:r w:rsidR="0094597A" w:rsidRPr="00D61A29">
        <w:rPr>
          <w:rFonts w:ascii="Times New Roman" w:eastAsia="Times New Roman" w:hAnsi="Times New Roman" w:cs="Times New Roman"/>
          <w:sz w:val="24"/>
          <w:szCs w:val="24"/>
        </w:rPr>
        <w:fldChar w:fldCharType="end"/>
      </w:r>
      <w:r w:rsidR="0094597A" w:rsidRPr="00D61A29">
        <w:rPr>
          <w:rFonts w:ascii="Times New Roman" w:eastAsia="Times New Roman" w:hAnsi="Times New Roman" w:cs="Times New Roman"/>
          <w:sz w:val="24"/>
          <w:szCs w:val="24"/>
        </w:rPr>
        <w:t xml:space="preserve"> investigated growth orientation impact on SMEs' performance using a view of competitive advantage, utilizing firm growth and personal wealth metrics. Data was gotten from 300 owners-managers of welding sector SMEs in Tanzanian. Data analysis using AMOS software. The sample data were then obtained with 200 samples to examine the indirect influence of entrepreneurial attitude on SMEs' lead to SMEs' success in terms of both comp welding sector any development and personal wealth performance indicators. Tanzania’s SMEs differs structurally and operationally from youth empowerment programs in </w:t>
      </w:r>
      <w:r w:rsidR="0094597A">
        <w:rPr>
          <w:rFonts w:ascii="Times New Roman" w:eastAsia="Times New Roman" w:hAnsi="Times New Roman" w:cs="Times New Roman"/>
          <w:sz w:val="24"/>
          <w:szCs w:val="24"/>
        </w:rPr>
        <w:t>Kilifi County</w:t>
      </w:r>
      <w:r w:rsidR="0094597A" w:rsidRPr="00D61A29">
        <w:rPr>
          <w:rFonts w:ascii="Times New Roman" w:eastAsia="Times New Roman" w:hAnsi="Times New Roman" w:cs="Times New Roman"/>
          <w:sz w:val="24"/>
          <w:szCs w:val="24"/>
        </w:rPr>
        <w:t>.</w:t>
      </w:r>
    </w:p>
    <w:p w14:paraId="55D0E127" w14:textId="1DA7C35C" w:rsidR="0094597A" w:rsidRPr="00AB78FC" w:rsidRDefault="001234E8" w:rsidP="00AB78FC">
      <w:pPr>
        <w:spacing w:after="0" w:line="480" w:lineRule="auto"/>
        <w:jc w:val="both"/>
        <w:rPr>
          <w:rFonts w:ascii="Times New Roman" w:eastAsia="Times New Roman" w:hAnsi="Times New Roman" w:cs="Times New Roman"/>
          <w:sz w:val="24"/>
          <w:szCs w:val="24"/>
        </w:rPr>
      </w:pPr>
      <w:r w:rsidRPr="001234E8">
        <w:rPr>
          <w:rFonts w:ascii="Times New Roman" w:eastAsia="Aptos" w:hAnsi="Times New Roman" w:cs="Times New Roman"/>
          <w:kern w:val="2"/>
          <w:sz w:val="24"/>
          <w:szCs w:val="24"/>
          <w14:ligatures w14:val="standardContextual"/>
        </w:rPr>
        <w:t>Management structure is a framework through which roles, responsibilities, decision-making processes, and communication flows are organized and coordinated to support entrepreneurial activities within a business</w:t>
      </w:r>
      <w:r>
        <w:rPr>
          <w:rFonts w:ascii="Times New Roman" w:eastAsia="Aptos" w:hAnsi="Times New Roman" w:cs="Times New Roman"/>
          <w:kern w:val="2"/>
          <w:sz w:val="24"/>
          <w:szCs w:val="24"/>
          <w14:ligatures w14:val="standardContextual"/>
        </w:rPr>
        <w:t xml:space="preserve">. </w:t>
      </w:r>
      <w:r w:rsidR="0094597A" w:rsidRPr="00D61A29">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{"citationID":"01r4ABaw","properties":{"formattedCitation":"(Ali et al., 2022)","plainCitation":"(Ali et al., 2022)","dontUpdate":true,"noteIndex":0},"citationItems":[{"id":1092,"uris":["http://zotero.org/users/5547997/items/SQ64EB8Q"],"itemData":{"id":1092,"type":"article-journal","container-title":"Journal of Financial Risk Management","DOI":"10.4236/jfrm.2022.111002","ISSN":"2167-9533, 2167-9541","issue":"01","journalAbbreviation":"JFRM","page":"41-65","source":"DOI.org (Crossref)","title":"Leverage, Ownership Structure and Firm Performance","volume":"11","author":[{"family":"Ali","given":"Javid"},{"family":"Tahira","given":"Yasmeen"},{"family":"Amir","given":"Muhammad"},{"family":"Ullah","given":"Farman"},{"family":"Tahir","given":"Muhammad"},{"family":"Shah","given":"Wilayat"},{"family":"Khan","given":"Imran"},{"family":"Tariq","given":"Shahbaz"}],"issued":{"date-parts":[["2022"]]}}}],"schema":"https://github.com/citation-style-language/schema/raw/master/csl-citation.json"} </w:instrText>
      </w:r>
      <w:r w:rsidR="0094597A" w:rsidRPr="00D61A29">
        <w:rPr>
          <w:rFonts w:ascii="Times New Roman" w:eastAsia="Times New Roman" w:hAnsi="Times New Roman" w:cs="Times New Roman"/>
          <w:sz w:val="24"/>
          <w:szCs w:val="24"/>
        </w:rPr>
        <w:fldChar w:fldCharType="separate"/>
      </w:r>
      <w:r w:rsidR="0094597A" w:rsidRPr="00D61A29">
        <w:rPr>
          <w:rFonts w:ascii="Times New Roman" w:eastAsia="Aptos" w:hAnsi="Times New Roman" w:cs="Times New Roman"/>
          <w:kern w:val="2"/>
          <w:sz w:val="24"/>
          <w:szCs w:val="24"/>
          <w14:ligatures w14:val="standardContextual"/>
        </w:rPr>
        <w:t xml:space="preserve">Ali </w:t>
      </w:r>
      <w:r w:rsidR="0094597A" w:rsidRPr="00D61A29">
        <w:rPr>
          <w:rFonts w:ascii="Times New Roman" w:eastAsia="Aptos" w:hAnsi="Times New Roman" w:cs="Times New Roman"/>
          <w:i/>
          <w:kern w:val="2"/>
          <w:sz w:val="24"/>
          <w:szCs w:val="24"/>
          <w14:ligatures w14:val="standardContextual"/>
        </w:rPr>
        <w:t>et al.</w:t>
      </w:r>
      <w:r w:rsidR="0094597A" w:rsidRPr="00D61A29">
        <w:rPr>
          <w:rFonts w:ascii="Times New Roman" w:eastAsia="Aptos" w:hAnsi="Times New Roman" w:cs="Times New Roman"/>
          <w:kern w:val="2"/>
          <w:sz w:val="24"/>
          <w:szCs w:val="24"/>
          <w14:ligatures w14:val="standardContextual"/>
        </w:rPr>
        <w:t xml:space="preserve"> (2022)</w:t>
      </w:r>
      <w:r w:rsidR="0094597A" w:rsidRPr="00D61A29">
        <w:rPr>
          <w:rFonts w:ascii="Times New Roman" w:eastAsia="Times New Roman" w:hAnsi="Times New Roman" w:cs="Times New Roman"/>
          <w:sz w:val="24"/>
          <w:szCs w:val="24"/>
        </w:rPr>
        <w:fldChar w:fldCharType="end"/>
      </w:r>
      <w:r w:rsidR="0094597A" w:rsidRPr="00D61A29">
        <w:rPr>
          <w:rFonts w:ascii="Times New Roman" w:eastAsia="Times New Roman" w:hAnsi="Times New Roman" w:cs="Times New Roman"/>
          <w:sz w:val="24"/>
          <w:szCs w:val="24"/>
        </w:rPr>
        <w:t xml:space="preserve"> conducted research to evaluate the link between leverage, management structure, and company performance. This study uses panel data analysis with data from 70 businesses listed on the Pakistan Stock Exchange. The random sampling strategy was employed in this investigation. This study discovered that management structure, institutional structure, and family structure all had an effect with listed company performance on the Pakistan stock exchange. The research was carried out by businesses listed on the Pakistan Stock Exchange which differs structurally and operationally from youth empowerment programs in </w:t>
      </w:r>
      <w:r w:rsidR="0094597A">
        <w:rPr>
          <w:rFonts w:ascii="Times New Roman" w:eastAsia="Times New Roman" w:hAnsi="Times New Roman" w:cs="Times New Roman"/>
          <w:sz w:val="24"/>
          <w:szCs w:val="24"/>
        </w:rPr>
        <w:t>Kilifi County</w:t>
      </w:r>
      <w:r w:rsidR="0094597A" w:rsidRPr="00D61A29">
        <w:rPr>
          <w:rFonts w:ascii="Times New Roman" w:eastAsia="Times New Roman" w:hAnsi="Times New Roman" w:cs="Times New Roman"/>
          <w:sz w:val="24"/>
          <w:szCs w:val="24"/>
        </w:rPr>
        <w:t>. Secondary data was used which it good to also include primary data to capture real time events.</w:t>
      </w:r>
    </w:p>
    <w:p w14:paraId="594C99B8" w14:textId="77777777" w:rsidR="003B75B0" w:rsidRDefault="003B75B0" w:rsidP="003D4767">
      <w:pPr>
        <w:pStyle w:val="Heading2"/>
        <w:spacing w:before="0" w:after="0" w:line="480" w:lineRule="auto"/>
      </w:pPr>
      <w:bookmarkStart w:id="71" w:name="_Toc231058624"/>
      <w:bookmarkStart w:id="72" w:name="_Toc231058728"/>
      <w:bookmarkStart w:id="73" w:name="_Toc231059653"/>
      <w:bookmarkStart w:id="74" w:name="_Toc231059863"/>
      <w:bookmarkStart w:id="75" w:name="_Toc231060014"/>
      <w:bookmarkStart w:id="76" w:name="_Toc231060139"/>
      <w:bookmarkStart w:id="77" w:name="_Toc233521162"/>
      <w:bookmarkStart w:id="78" w:name="_Toc233521483"/>
      <w:bookmarkStart w:id="79" w:name="_Toc233521553"/>
      <w:bookmarkStart w:id="80" w:name="_Toc233521629"/>
      <w:bookmarkStart w:id="81" w:name="_Toc233536586"/>
      <w:bookmarkStart w:id="82" w:name="_Toc233541521"/>
      <w:bookmarkStart w:id="83" w:name="_Toc233542997"/>
      <w:bookmarkStart w:id="84" w:name="_Toc84465445"/>
      <w:bookmarkStart w:id="85" w:name="_Toc84467334"/>
      <w:bookmarkStart w:id="86" w:name="_Toc241141582"/>
      <w:bookmarkStart w:id="87" w:name="_Toc92710738"/>
      <w:bookmarkStart w:id="88" w:name="_Toc92710877"/>
      <w:bookmarkStart w:id="89" w:name="_Toc92710971"/>
      <w:bookmarkStart w:id="90" w:name="_Toc92713623"/>
      <w:bookmarkStart w:id="91" w:name="_Toc92896963"/>
      <w:bookmarkStart w:id="92" w:name="_Toc98459716"/>
      <w:bookmarkStart w:id="93" w:name="_Toc98465905"/>
      <w:bookmarkStart w:id="94" w:name="_Toc252005454"/>
      <w:bookmarkStart w:id="95" w:name="_Toc252005682"/>
      <w:r w:rsidRPr="00782808">
        <w:lastRenderedPageBreak/>
        <w:t>3.0 Research Methodology</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CB6976B" w14:textId="5B3F9420" w:rsidR="00722675" w:rsidRDefault="00722675" w:rsidP="00722675">
      <w:pPr>
        <w:spacing w:after="0" w:line="480" w:lineRule="auto"/>
        <w:jc w:val="both"/>
        <w:rPr>
          <w:rFonts w:ascii="Times New Roman" w:eastAsia="Calibri" w:hAnsi="Times New Roman" w:cs="Times New Roman"/>
          <w:sz w:val="24"/>
          <w:szCs w:val="24"/>
        </w:rPr>
      </w:pPr>
      <w:r w:rsidRPr="00722675">
        <w:rPr>
          <w:rFonts w:ascii="Times New Roman" w:eastAsia="Calibri" w:hAnsi="Times New Roman" w:cs="Times New Roman"/>
          <w:sz w:val="24"/>
          <w:szCs w:val="24"/>
        </w:rPr>
        <w:t xml:space="preserve">This research embraced the positivist philosophy. </w:t>
      </w:r>
      <w:r w:rsidR="007D3082" w:rsidRPr="007D3082">
        <w:rPr>
          <w:rFonts w:ascii="Times New Roman" w:eastAsia="Calibri" w:hAnsi="Times New Roman" w:cs="Times New Roman"/>
          <w:sz w:val="24"/>
          <w:szCs w:val="24"/>
        </w:rPr>
        <w:t>Within this paradigm, the researcher maintains an external and neutral role, ensuring that the findings are free from personal bias or influence</w:t>
      </w:r>
      <w:r w:rsidRPr="00722675">
        <w:rPr>
          <w:rFonts w:ascii="Times New Roman" w:eastAsia="Calibri" w:hAnsi="Times New Roman" w:cs="Times New Roman"/>
          <w:sz w:val="24"/>
          <w:szCs w:val="24"/>
        </w:rPr>
        <w:t xml:space="preserve"> </w:t>
      </w:r>
      <w:r w:rsidRPr="00722675">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{"citationID":"UYr4dq5x","properties":{"formattedCitation":"(Saunders et al., 2019)","plainCitation":"(Saunders et al., 2019)","dontUpdate":true,"noteIndex":0},"citationItems":[{"id":"frcB90kj/dev0jOwh","uris":["http://zotero.org/users/5547997/items/J7J4IF7S"],"itemData":{"id":792,"type":"book","edition":"8th","event-place":"New York","publisher":"Pearson","publisher-place":"New York","title":"Research Methods for Business Students","author":[{"family":"Saunders","given":"M.N.K."},{"family":"Lewis","given":"P."},{"family":"Thornhill","given":"A."}],"issued":{"date-parts":[["2019"]]}}}],"schema":"https://github.com/citation-style-language/schema/raw/master/csl-citation.json"} </w:instrText>
      </w:r>
      <w:r w:rsidRPr="00722675">
        <w:rPr>
          <w:rFonts w:ascii="Times New Roman" w:eastAsia="Calibri" w:hAnsi="Times New Roman" w:cs="Times New Roman"/>
          <w:sz w:val="24"/>
          <w:szCs w:val="24"/>
        </w:rPr>
        <w:fldChar w:fldCharType="separate"/>
      </w:r>
      <w:r w:rsidRPr="00722675">
        <w:rPr>
          <w:rFonts w:ascii="Times New Roman" w:eastAsia="Calibri" w:hAnsi="Times New Roman" w:cs="Times New Roman"/>
          <w:sz w:val="24"/>
          <w:szCs w:val="24"/>
        </w:rPr>
        <w:t>(Saunders, Lewis &amp; Thornhill, 2019)</w:t>
      </w:r>
      <w:r w:rsidRPr="00722675">
        <w:rPr>
          <w:rFonts w:ascii="Times New Roman" w:eastAsia="Calibri" w:hAnsi="Times New Roman" w:cs="Times New Roman"/>
          <w:sz w:val="24"/>
          <w:szCs w:val="24"/>
        </w:rPr>
        <w:fldChar w:fldCharType="end"/>
      </w:r>
      <w:r w:rsidRPr="00722675">
        <w:rPr>
          <w:rFonts w:ascii="Times New Roman" w:eastAsia="Calibri" w:hAnsi="Times New Roman" w:cs="Times New Roman"/>
          <w:sz w:val="24"/>
          <w:szCs w:val="24"/>
        </w:rPr>
        <w:t xml:space="preserve">. </w:t>
      </w:r>
      <w:r w:rsidR="007D3082" w:rsidRPr="007D3082">
        <w:rPr>
          <w:rFonts w:ascii="Times New Roman" w:eastAsia="Calibri" w:hAnsi="Times New Roman" w:cs="Times New Roman"/>
          <w:sz w:val="24"/>
          <w:szCs w:val="24"/>
        </w:rPr>
        <w:t>A combination of descriptive and explanatory research designs</w:t>
      </w:r>
      <w:r w:rsidR="007D3082">
        <w:rPr>
          <w:rFonts w:ascii="Times New Roman" w:eastAsia="Calibri" w:hAnsi="Times New Roman" w:cs="Times New Roman"/>
          <w:sz w:val="24"/>
          <w:szCs w:val="24"/>
        </w:rPr>
        <w:t xml:space="preserve"> that is</w:t>
      </w:r>
      <w:r w:rsidR="007D3082" w:rsidRPr="007D3082">
        <w:rPr>
          <w:rFonts w:ascii="Times New Roman" w:eastAsia="Calibri" w:hAnsi="Times New Roman" w:cs="Times New Roman"/>
          <w:sz w:val="24"/>
          <w:szCs w:val="24"/>
        </w:rPr>
        <w:t xml:space="preserve"> cross-sectional in nature, w</w:t>
      </w:r>
      <w:r w:rsidR="00B241E8">
        <w:rPr>
          <w:rFonts w:ascii="Times New Roman" w:eastAsia="Calibri" w:hAnsi="Times New Roman" w:cs="Times New Roman"/>
          <w:sz w:val="24"/>
          <w:szCs w:val="24"/>
        </w:rPr>
        <w:t xml:space="preserve">ere </w:t>
      </w:r>
      <w:r w:rsidR="007D3082" w:rsidRPr="007D3082">
        <w:rPr>
          <w:rFonts w:ascii="Times New Roman" w:eastAsia="Calibri" w:hAnsi="Times New Roman" w:cs="Times New Roman"/>
          <w:sz w:val="24"/>
          <w:szCs w:val="24"/>
        </w:rPr>
        <w:t>employed in the study</w:t>
      </w:r>
      <w:r w:rsidRPr="00722675">
        <w:rPr>
          <w:rFonts w:ascii="Times New Roman" w:eastAsia="Calibri" w:hAnsi="Times New Roman" w:cs="Times New Roman"/>
          <w:sz w:val="24"/>
          <w:szCs w:val="24"/>
        </w:rPr>
        <w:t xml:space="preserve">. </w:t>
      </w:r>
      <w:r w:rsidRPr="00722675">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{"citationID":"a8uho3bpg","properties":{"formattedCitation":"\\uldash{(Saunders et al., 2011)}","plainCitation":"(Saunders et al., 2011)","dontUpdate":true,"noteIndex":0},"citationItems":[{"id":848,"uris":["http://zotero.org/users/5547997/items/4G6W24XF"],"itemData":{"id":848,"type":"book","edition":"5th","event-place":"Essex","publisher":"Pearson Education","publisher-place":"Essex","title":"Research Methods for Business Students","author":[{"family":"Saunders","given":"M.N.","suffix":""},{"family":"Saunders","given":"M.","suffix":""},{"family":"Lewis","given":"P."},{"family":"Thornhill","given":"A."}],"issued":{"date-parts":[["2011"]]}}}],"schema":"https://github.com/citation-style-language/schema/raw/master/csl-citation.json"} </w:instrText>
      </w:r>
      <w:r w:rsidRPr="00722675">
        <w:rPr>
          <w:rFonts w:ascii="Times New Roman" w:eastAsia="Calibri" w:hAnsi="Times New Roman" w:cs="Times New Roman"/>
          <w:sz w:val="24"/>
          <w:szCs w:val="24"/>
        </w:rPr>
        <w:fldChar w:fldCharType="separate"/>
      </w:r>
      <w:r w:rsidRPr="00722675">
        <w:rPr>
          <w:rFonts w:ascii="Times New Roman" w:eastAsia="Calibri" w:hAnsi="Times New Roman" w:cs="Times New Roman"/>
          <w:sz w:val="24"/>
          <w:szCs w:val="24"/>
        </w:rPr>
        <w:t xml:space="preserve">Saunders </w:t>
      </w:r>
      <w:r w:rsidRPr="00722675">
        <w:rPr>
          <w:rFonts w:ascii="Times New Roman" w:eastAsia="Calibri" w:hAnsi="Times New Roman" w:cs="Times New Roman"/>
          <w:i/>
          <w:iCs/>
          <w:sz w:val="24"/>
          <w:szCs w:val="24"/>
        </w:rPr>
        <w:t>et al.,</w:t>
      </w:r>
      <w:r w:rsidRPr="00722675">
        <w:rPr>
          <w:rFonts w:ascii="Times New Roman" w:eastAsia="Calibri" w:hAnsi="Times New Roman" w:cs="Times New Roman"/>
          <w:sz w:val="24"/>
          <w:szCs w:val="24"/>
        </w:rPr>
        <w:t xml:space="preserve"> (2011)</w:t>
      </w:r>
      <w:r w:rsidRPr="00722675">
        <w:rPr>
          <w:rFonts w:ascii="Times New Roman" w:eastAsia="Calibri" w:hAnsi="Times New Roman" w:cs="Times New Roman"/>
          <w:sz w:val="24"/>
          <w:szCs w:val="24"/>
        </w:rPr>
        <w:fldChar w:fldCharType="end"/>
      </w:r>
      <w:r w:rsidRPr="00722675">
        <w:rPr>
          <w:rFonts w:ascii="Times New Roman" w:eastAsia="Calibri" w:hAnsi="Times New Roman" w:cs="Times New Roman"/>
          <w:sz w:val="24"/>
          <w:szCs w:val="24"/>
        </w:rPr>
        <w:t xml:space="preserve"> asserts that descriptive research serves as a foundation for qualitative studies, as it offers a comprehensive overview and valuable insights into the variables that warrant quantitative examination.</w:t>
      </w:r>
    </w:p>
    <w:p w14:paraId="1D90DC30" w14:textId="13766211" w:rsidR="007D3082" w:rsidRDefault="00965CCA" w:rsidP="00B142CF">
      <w:pPr>
        <w:spacing w:after="0" w:line="480" w:lineRule="auto"/>
        <w:jc w:val="both"/>
        <w:rPr>
          <w:rFonts w:ascii="Times New Roman" w:eastAsia="Calibri" w:hAnsi="Times New Roman" w:cs="Times New Roman"/>
          <w:sz w:val="24"/>
          <w:szCs w:val="24"/>
        </w:rPr>
      </w:pPr>
      <w:r w:rsidRPr="00965CCA">
        <w:rPr>
          <w:rFonts w:ascii="Times New Roman" w:eastAsia="Calibri" w:hAnsi="Times New Roman" w:cs="Times New Roman"/>
          <w:sz w:val="24"/>
        </w:rPr>
        <w:t xml:space="preserve">The target population involved all 400 youth </w:t>
      </w:r>
      <w:bookmarkStart w:id="96" w:name="_Hlk207633002"/>
      <w:r w:rsidRPr="00965CCA">
        <w:rPr>
          <w:rFonts w:ascii="Times New Roman" w:eastAsia="Calibri" w:hAnsi="Times New Roman" w:cs="Times New Roman"/>
          <w:sz w:val="24"/>
        </w:rPr>
        <w:t>that take part in the youth empowerment programs in s</w:t>
      </w:r>
      <w:r w:rsidR="003300E6">
        <w:rPr>
          <w:rFonts w:ascii="Times New Roman" w:eastAsia="Calibri" w:hAnsi="Times New Roman" w:cs="Times New Roman"/>
          <w:sz w:val="24"/>
        </w:rPr>
        <w:t>even</w:t>
      </w:r>
      <w:r w:rsidRPr="00965CCA">
        <w:rPr>
          <w:rFonts w:ascii="Times New Roman" w:eastAsia="Calibri" w:hAnsi="Times New Roman" w:cs="Times New Roman"/>
          <w:sz w:val="24"/>
        </w:rPr>
        <w:t xml:space="preserve"> different sectors</w:t>
      </w:r>
      <w:r>
        <w:rPr>
          <w:rFonts w:ascii="Times New Roman" w:eastAsia="Calibri" w:hAnsi="Times New Roman" w:cs="Times New Roman"/>
          <w:sz w:val="24"/>
        </w:rPr>
        <w:t xml:space="preserve"> in</w:t>
      </w:r>
      <w:r w:rsidRPr="00965CCA">
        <w:rPr>
          <w:rFonts w:ascii="Times New Roman" w:eastAsia="Calibri" w:hAnsi="Times New Roman" w:cs="Times New Roman"/>
          <w:sz w:val="24"/>
        </w:rPr>
        <w:t xml:space="preserve"> </w:t>
      </w:r>
      <w:r>
        <w:rPr>
          <w:rFonts w:ascii="Times New Roman" w:eastAsia="Calibri" w:hAnsi="Times New Roman" w:cs="Times New Roman"/>
          <w:sz w:val="24"/>
        </w:rPr>
        <w:t>Kilifi County, Kenya</w:t>
      </w:r>
      <w:r w:rsidRPr="00965CCA">
        <w:rPr>
          <w:rFonts w:ascii="Times New Roman" w:eastAsia="Calibri" w:hAnsi="Times New Roman" w:cs="Times New Roman"/>
          <w:sz w:val="24"/>
        </w:rPr>
        <w:t xml:space="preserve"> </w:t>
      </w:r>
      <w:bookmarkEnd w:id="96"/>
      <w:r w:rsidRPr="00965CCA">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{"citationID":"pFIWWAOp","properties":{"formattedCitation":"(UN, 2024)","plainCitation":"(UN, 2024)","noteIndex":0},"citationItems":[{"id":1097,"uris":["http://zotero.org/users/5547997/items/XNK5EBHX"],"itemData":{"id":1097,"type":"report","event-place":"Nairobi, Kenya","page":"69","publisher":"United Nations Development Programme","publisher-place":"Nairobi, Kenya","title":"Community Resilience in the Horn of Africa: Insights from Ethiopia, Kenya and Somalia","author":[{"family":"UN","given":""}],"issued":{"date-parts":[["2024"]]}}}],"schema":"https://github.com/citation-style-language/schema/raw/master/csl-citation.json"} </w:instrText>
      </w:r>
      <w:r w:rsidRPr="00965CCA">
        <w:rPr>
          <w:rFonts w:ascii="Times New Roman" w:eastAsia="Calibri" w:hAnsi="Times New Roman" w:cs="Times New Roman"/>
          <w:sz w:val="24"/>
        </w:rPr>
        <w:fldChar w:fldCharType="separate"/>
      </w:r>
      <w:r w:rsidRPr="00965CCA">
        <w:rPr>
          <w:rFonts w:ascii="Times New Roman" w:eastAsia="Calibri" w:hAnsi="Times New Roman" w:cs="Times New Roman"/>
          <w:sz w:val="24"/>
        </w:rPr>
        <w:t>(UN, 2024)</w:t>
      </w:r>
      <w:r w:rsidRPr="00965CCA">
        <w:rPr>
          <w:rFonts w:ascii="Times New Roman" w:eastAsia="Calibri" w:hAnsi="Times New Roman" w:cs="Times New Roman"/>
          <w:sz w:val="24"/>
        </w:rPr>
        <w:fldChar w:fldCharType="end"/>
      </w:r>
      <w:r w:rsidRPr="00965CCA">
        <w:rPr>
          <w:rFonts w:ascii="Times New Roman" w:eastAsia="Calibri" w:hAnsi="Times New Roman" w:cs="Times New Roman"/>
          <w:sz w:val="24"/>
        </w:rPr>
        <w:t xml:space="preserve">. </w:t>
      </w:r>
    </w:p>
    <w:p w14:paraId="49C8672C" w14:textId="69BEF3F8" w:rsidR="005202C2" w:rsidRDefault="007D3082" w:rsidP="00B142CF">
      <w:pPr>
        <w:spacing w:after="0" w:line="480" w:lineRule="auto"/>
        <w:jc w:val="both"/>
        <w:rPr>
          <w:rFonts w:ascii="Times New Roman" w:eastAsia="Times New Roman" w:hAnsi="Times New Roman" w:cs="Times New Roman"/>
          <w:bCs/>
          <w:iCs/>
          <w:color w:val="000000"/>
          <w:sz w:val="24"/>
          <w:szCs w:val="24"/>
        </w:rPr>
      </w:pPr>
      <w:r w:rsidRPr="007D3082">
        <w:rPr>
          <w:rFonts w:ascii="Times New Roman" w:eastAsia="Calibri" w:hAnsi="Times New Roman" w:cs="Times New Roman"/>
          <w:sz w:val="24"/>
          <w:szCs w:val="24"/>
        </w:rPr>
        <w:t>To ensure representativeness, the study employed a proportionate stratified random sampling technique. This approach involves selecting samples from each stratum in proportion to their presence within the overall population</w:t>
      </w:r>
      <w:r>
        <w:rPr>
          <w:rFonts w:ascii="Times New Roman" w:eastAsia="Calibri" w:hAnsi="Times New Roman" w:cs="Times New Roman"/>
          <w:sz w:val="24"/>
          <w:szCs w:val="24"/>
        </w:rPr>
        <w:t xml:space="preserve"> </w:t>
      </w:r>
      <w:r w:rsidR="000D5F31" w:rsidRPr="0020283F">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{"citationID":"a2fp74akpre","properties":{"formattedCitation":"(Casteel &amp; Bridier, 2021)","plainCitation":"(Casteel &amp; Bridier, 2021)","noteIndex":0},"citationItems":[{"id":674,"uris":["http://zotero.org/users/5547997/items/IXAQKVTX"],"itemData":{"id":674,"type":"article-journal","abstract":"Aim/Purpose: The purpose of this article is to present clear definitions of the population structures essential to research, to provide examples of how these structures are described within research, and to propose a basic structure that novice researchers may use to ensure a clearly and completely defined population of interest and sample from which they will collect data. \n\nBackground: Novice researchers, especially doctoral students, experience challenges when describing and distinguishing between populations and samples. Clearly defining and describing research structural elements, to include populations and the sample, provides needed scaffolding to doctoral students.\n\nMethodology: The systematic review of 65 empirical research articles and research texts provided peer-reviewed support for presenting consistent population- and sample-related definitions and exemplars.\n\nContribution: This article provides clear definitions of the population structures essential to research, with examples of how these structures, beginning with the unit of analysis, are described within research. With this defined, we examine the population subsets and what characterizes them. The proposed writing structure provides doctoral students a model for developing the relevant population and sample descriptions in their dissertations and other research.\n\nFindings: The article describes that although many definitions and uses are relatively consistent within the literature, there are epistemological differences between research designs that do not allow for a one-size-fits-all definition for all terms. We provide methods for defining populations and the sample, selecting a sample from the population, and the arguments for and against each of the methods.\n\nRecommendations for Practitioners: Social science research faculty seek structured ways in which to present key research elements to doctoral students and to provide a model by which they may write the dissertation. The article offers contemporary examples from the peer-reviewed literature to support these aims.\n\nRecommendation for Researchers: Novice researchers may wish to use the recommended framework within this article when developing the relevant section of the dissertation. Doing so provides an itemized checklist of writing descriptions, ensuring a more complete and comprehensive description of the study population and sample.\n\nImpact on Society: The scientific method provides a consistent methodological approach to researching and presenting research. By reemphasizing the definitions and applications of populations and samples in research, and by providing a writing structure that doctoral students may model in their own writing, the article supports doctoral students’ growth and development in using the scientific method.\n\nFuture Research: Future researchers may wish to further advance novice researcher knowledge in developing models to guide dissertation writing. Future studies may focus on other essential areas of research, including studies about recruitment methods and attrition strategies, data collection procedures, and overall research alignment. Additionally, future researchers may wish to consider evaluating doctoral student foundational knowledge about populations and samples as part of the research process.","container-title":"International Journal of Doctoral Studies","DOI":"10.28945/4766","ISSN":"1556-8881, 1556-8873","journalAbbreviation":"IJDS","language":"en","license":"https://creativecommons.org/licenses/by-nc/4.0/","page":"339-362","source":"DOI.org (Crossref)","title":"Describing Populations and Samples in Doctoral Student Research","volume":"16","author":[{"family":"Casteel","given":"Alex"},{"family":"Bridier","given":"Nancy"}],"issued":{"date-parts":[["2021"]]}}}],"schema":"https://github.com/citation-style-language/schema/raw/master/csl-citation.json"} </w:instrText>
      </w:r>
      <w:r w:rsidR="000D5F31" w:rsidRPr="0020283F">
        <w:rPr>
          <w:rFonts w:ascii="Times New Roman" w:eastAsia="Calibri" w:hAnsi="Times New Roman" w:cs="Times New Roman"/>
          <w:sz w:val="24"/>
          <w:szCs w:val="24"/>
        </w:rPr>
        <w:fldChar w:fldCharType="separate"/>
      </w:r>
      <w:r w:rsidR="000D5F31" w:rsidRPr="0020283F">
        <w:rPr>
          <w:rFonts w:ascii="Times New Roman" w:eastAsia="Calibri" w:hAnsi="Times New Roman" w:cs="Times New Roman"/>
          <w:sz w:val="24"/>
          <w:szCs w:val="24"/>
        </w:rPr>
        <w:t>(Casteel &amp; Bridier, 2021)</w:t>
      </w:r>
      <w:r w:rsidR="000D5F31" w:rsidRPr="0020283F">
        <w:rPr>
          <w:rFonts w:ascii="Times New Roman" w:eastAsia="Calibri" w:hAnsi="Times New Roman" w:cs="Times New Roman"/>
          <w:sz w:val="24"/>
          <w:szCs w:val="24"/>
        </w:rPr>
        <w:fldChar w:fldCharType="end"/>
      </w:r>
      <w:r w:rsidR="00B142CF" w:rsidRPr="0020283F">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00B142CF" w:rsidRPr="0020283F">
        <w:rPr>
          <w:rFonts w:ascii="Times New Roman" w:eastAsia="Times New Roman" w:hAnsi="Times New Roman" w:cs="Times New Roman"/>
          <w:bCs/>
          <w:iCs/>
          <w:color w:val="000000"/>
          <w:sz w:val="24"/>
          <w:szCs w:val="24"/>
        </w:rPr>
        <w:t xml:space="preserve">sing </w:t>
      </w:r>
      <w:r w:rsidR="007400D7" w:rsidRPr="007400D7">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{"citationID":"0lRbh4wI","properties":{"formattedCitation":"(Yamane, 1967)","plainCitation":"(Yamane, 1967)","dontUpdate":true,"noteIndex":0},"citationItems":[{"id":"frcB90kj/NeeAO7dO","uris":["http://www.mendeley.com/documents/?uuid=23da6cae-3640-48d8-8bb2-b9eddf18808c"],"itemData":{"author":[{"dropping-particle":"","family":"Yamane","given":"Taro","non-dropping-particle":"","parse-names":false,"suffix":""}],"edition":"2nd Editio","id":"ITEM-1","issued":{"date-parts":[["1967"]]},"publisher":"Harper and Row","publisher-place":"New York","title":"Statistics: An Introductory Analysis","type":"book"}}],"schema":"https://github.com/citation-style-language/schema/raw/master/csl-citation.json"} </w:instrText>
      </w:r>
      <w:r w:rsidR="007400D7" w:rsidRPr="007400D7">
        <w:rPr>
          <w:rFonts w:ascii="Times New Roman" w:eastAsia="Calibri" w:hAnsi="Times New Roman" w:cs="Times New Roman"/>
          <w:sz w:val="24"/>
        </w:rPr>
        <w:fldChar w:fldCharType="separate"/>
      </w:r>
      <w:r w:rsidR="007400D7" w:rsidRPr="007400D7">
        <w:rPr>
          <w:rFonts w:ascii="Times New Roman" w:eastAsia="Calibri" w:hAnsi="Times New Roman" w:cs="Times New Roman"/>
          <w:sz w:val="24"/>
        </w:rPr>
        <w:t>Yamane</w:t>
      </w:r>
      <w:r w:rsidR="007400D7">
        <w:rPr>
          <w:rFonts w:ascii="Times New Roman" w:eastAsia="Calibri" w:hAnsi="Times New Roman" w:cs="Times New Roman"/>
          <w:sz w:val="24"/>
        </w:rPr>
        <w:t xml:space="preserve"> formula of</w:t>
      </w:r>
      <w:r w:rsidR="007400D7" w:rsidRPr="007400D7">
        <w:rPr>
          <w:rFonts w:ascii="Times New Roman" w:eastAsia="Calibri" w:hAnsi="Times New Roman" w:cs="Times New Roman"/>
          <w:sz w:val="24"/>
        </w:rPr>
        <w:t xml:space="preserve"> 1967</w:t>
      </w:r>
      <w:r w:rsidR="007400D7" w:rsidRPr="007400D7">
        <w:rPr>
          <w:rFonts w:ascii="Times New Roman" w:eastAsia="Calibri" w:hAnsi="Times New Roman" w:cs="Times New Roman"/>
          <w:sz w:val="24"/>
        </w:rPr>
        <w:fldChar w:fldCharType="end"/>
      </w:r>
      <w:r w:rsidR="007400D7">
        <w:rPr>
          <w:rFonts w:ascii="Times New Roman" w:eastAsia="Calibri" w:hAnsi="Times New Roman" w:cs="Times New Roman"/>
          <w:sz w:val="24"/>
        </w:rPr>
        <w:t xml:space="preserve"> </w:t>
      </w:r>
      <w:r w:rsidRPr="007D3082">
        <w:rPr>
          <w:rFonts w:ascii="Times New Roman" w:eastAsia="Times New Roman" w:hAnsi="Times New Roman" w:cs="Times New Roman"/>
          <w:bCs/>
          <w:iCs/>
          <w:color w:val="000000"/>
          <w:sz w:val="24"/>
          <w:szCs w:val="24"/>
        </w:rPr>
        <w:t xml:space="preserve">for determining sample size, a total of </w:t>
      </w:r>
      <w:r w:rsidR="00965CCA">
        <w:rPr>
          <w:rFonts w:ascii="Times New Roman" w:eastAsia="Times New Roman" w:hAnsi="Times New Roman" w:cs="Times New Roman"/>
          <w:bCs/>
          <w:iCs/>
          <w:color w:val="000000"/>
          <w:sz w:val="24"/>
          <w:szCs w:val="24"/>
        </w:rPr>
        <w:t>200</w:t>
      </w:r>
      <w:r w:rsidRPr="007D3082">
        <w:rPr>
          <w:rFonts w:ascii="Times New Roman" w:eastAsia="Times New Roman" w:hAnsi="Times New Roman" w:cs="Times New Roman"/>
          <w:bCs/>
          <w:iCs/>
          <w:color w:val="000000"/>
          <w:sz w:val="24"/>
          <w:szCs w:val="24"/>
        </w:rPr>
        <w:t xml:space="preserve"> </w:t>
      </w:r>
      <w:r w:rsidR="00965CCA">
        <w:rPr>
          <w:rFonts w:ascii="Times New Roman" w:eastAsia="Times New Roman" w:hAnsi="Times New Roman" w:cs="Times New Roman"/>
          <w:bCs/>
          <w:iCs/>
          <w:color w:val="000000"/>
          <w:sz w:val="24"/>
          <w:szCs w:val="24"/>
        </w:rPr>
        <w:t>youths</w:t>
      </w:r>
      <w:r w:rsidRPr="007D3082">
        <w:rPr>
          <w:rFonts w:ascii="Times New Roman" w:eastAsia="Times New Roman" w:hAnsi="Times New Roman" w:cs="Times New Roman"/>
          <w:bCs/>
          <w:iCs/>
          <w:color w:val="000000"/>
          <w:sz w:val="24"/>
          <w:szCs w:val="24"/>
        </w:rPr>
        <w:t xml:space="preserve"> were selected for participation in the study</w:t>
      </w:r>
      <w:r w:rsidR="00B142CF" w:rsidRPr="0020283F">
        <w:rPr>
          <w:rFonts w:ascii="Times New Roman" w:eastAsia="Times New Roman" w:hAnsi="Times New Roman" w:cs="Times New Roman"/>
          <w:bCs/>
          <w:iCs/>
          <w:color w:val="000000"/>
          <w:sz w:val="24"/>
          <w:szCs w:val="24"/>
        </w:rPr>
        <w:t>.</w:t>
      </w:r>
    </w:p>
    <w:p w14:paraId="55996224" w14:textId="77777777" w:rsidR="004D1F2E" w:rsidRDefault="004D1F2E" w:rsidP="00B142CF">
      <w:pPr>
        <w:spacing w:after="0" w:line="480" w:lineRule="auto"/>
        <w:jc w:val="both"/>
        <w:rPr>
          <w:rFonts w:ascii="Times New Roman" w:eastAsia="Times New Roman" w:hAnsi="Times New Roman" w:cs="Times New Roman"/>
          <w:bCs/>
          <w:iCs/>
          <w:color w:val="000000"/>
          <w:sz w:val="24"/>
          <w:szCs w:val="24"/>
        </w:rPr>
      </w:pPr>
    </w:p>
    <w:p w14:paraId="3989E17D" w14:textId="77777777" w:rsidR="004D1F2E" w:rsidRDefault="004D1F2E" w:rsidP="00B142CF">
      <w:pPr>
        <w:spacing w:after="0" w:line="480" w:lineRule="auto"/>
        <w:jc w:val="both"/>
        <w:rPr>
          <w:rFonts w:ascii="Times New Roman" w:eastAsia="Times New Roman" w:hAnsi="Times New Roman" w:cs="Times New Roman"/>
          <w:bCs/>
          <w:iCs/>
          <w:color w:val="000000"/>
          <w:sz w:val="24"/>
          <w:szCs w:val="24"/>
        </w:rPr>
      </w:pPr>
    </w:p>
    <w:p w14:paraId="5143034E" w14:textId="1A6257A0" w:rsidR="005202C2" w:rsidRPr="0045052F" w:rsidRDefault="005202C2" w:rsidP="00B142CF">
      <w:pPr>
        <w:spacing w:after="0" w:line="480" w:lineRule="auto"/>
        <w:jc w:val="both"/>
        <w:rPr>
          <w:rFonts w:ascii="Times New Roman" w:eastAsia="Calibri" w:hAnsi="Times New Roman" w:cs="Times New Roman"/>
          <w:b/>
          <w:sz w:val="24"/>
          <w:szCs w:val="24"/>
        </w:rPr>
      </w:pPr>
      <w:r w:rsidRPr="0045052F">
        <w:rPr>
          <w:rFonts w:ascii="Times New Roman" w:eastAsia="Times New Roman" w:hAnsi="Times New Roman" w:cs="Times New Roman"/>
          <w:b/>
          <w:bCs/>
          <w:color w:val="000000"/>
          <w:sz w:val="24"/>
          <w:szCs w:val="24"/>
        </w:rPr>
        <w:t>Table 1: Target population and sample size</w:t>
      </w:r>
    </w:p>
    <w:tbl>
      <w:tblPr>
        <w:tblStyle w:val="TableGrid3"/>
        <w:tblW w:w="8154" w:type="dxa"/>
        <w:tblInd w:w="-29" w:type="dxa"/>
        <w:tblCellMar>
          <w:top w:w="65" w:type="dxa"/>
          <w:bottom w:w="13" w:type="dxa"/>
          <w:right w:w="115" w:type="dxa"/>
        </w:tblCellMar>
        <w:tblLook w:val="04A0" w:firstRow="1" w:lastRow="0" w:firstColumn="1" w:lastColumn="0" w:noHBand="0" w:noVBand="1"/>
      </w:tblPr>
      <w:tblGrid>
        <w:gridCol w:w="4242"/>
        <w:gridCol w:w="1513"/>
        <w:gridCol w:w="1151"/>
        <w:gridCol w:w="1248"/>
      </w:tblGrid>
      <w:tr w:rsidR="00542C48" w:rsidRPr="00965CCA" w14:paraId="2945E38A" w14:textId="77777777" w:rsidTr="00542C48">
        <w:trPr>
          <w:trHeight w:val="691"/>
        </w:trPr>
        <w:tc>
          <w:tcPr>
            <w:tcW w:w="4242" w:type="dxa"/>
            <w:tcBorders>
              <w:top w:val="single" w:sz="8" w:space="0" w:color="000000"/>
              <w:left w:val="nil"/>
              <w:bottom w:val="single" w:sz="8" w:space="0" w:color="000000"/>
              <w:right w:val="nil"/>
            </w:tcBorders>
          </w:tcPr>
          <w:p w14:paraId="417B775B" w14:textId="77777777" w:rsidR="00542C48" w:rsidRPr="00965CCA" w:rsidRDefault="00542C48" w:rsidP="00965CCA">
            <w:pPr>
              <w:ind w:left="122"/>
              <w:rPr>
                <w:rFonts w:ascii="Times New Roman" w:eastAsia="Calibri" w:hAnsi="Times New Roman" w:cs="Times New Roman"/>
                <w:b/>
                <w:sz w:val="24"/>
                <w:szCs w:val="24"/>
              </w:rPr>
            </w:pPr>
            <w:r w:rsidRPr="00965CCA">
              <w:rPr>
                <w:rFonts w:ascii="Calibri" w:eastAsia="Calibri" w:hAnsi="Calibri" w:cs="Calibri"/>
              </w:rPr>
              <w:t xml:space="preserve"> </w:t>
            </w:r>
            <w:r w:rsidRPr="00965CCA">
              <w:rPr>
                <w:rFonts w:ascii="Times New Roman" w:eastAsia="Calibri" w:hAnsi="Times New Roman" w:cs="Times New Roman"/>
                <w:b/>
                <w:sz w:val="24"/>
                <w:szCs w:val="24"/>
              </w:rPr>
              <w:t xml:space="preserve"> Sectors </w:t>
            </w:r>
          </w:p>
        </w:tc>
        <w:tc>
          <w:tcPr>
            <w:tcW w:w="1513" w:type="dxa"/>
            <w:tcBorders>
              <w:top w:val="single" w:sz="8" w:space="0" w:color="000000"/>
              <w:left w:val="nil"/>
              <w:bottom w:val="single" w:sz="8" w:space="0" w:color="000000"/>
              <w:right w:val="nil"/>
            </w:tcBorders>
            <w:vAlign w:val="bottom"/>
          </w:tcPr>
          <w:p w14:paraId="389EC071" w14:textId="032F36AE" w:rsidR="00542C48" w:rsidRPr="00965CCA" w:rsidRDefault="00542C48" w:rsidP="00965CCA">
            <w:pPr>
              <w:rPr>
                <w:rFonts w:ascii="Times New Roman" w:eastAsia="Calibri" w:hAnsi="Times New Roman" w:cs="Times New Roman"/>
                <w:sz w:val="24"/>
              </w:rPr>
            </w:pPr>
            <w:r>
              <w:rPr>
                <w:rFonts w:ascii="Times New Roman" w:hAnsi="Times New Roman" w:cs="Times New Roman"/>
                <w:b/>
                <w:sz w:val="24"/>
              </w:rPr>
              <w:t>Population</w:t>
            </w:r>
            <w:r w:rsidRPr="00965CCA">
              <w:rPr>
                <w:rFonts w:ascii="Times New Roman" w:hAnsi="Times New Roman" w:cs="Times New Roman"/>
                <w:b/>
                <w:sz w:val="24"/>
              </w:rPr>
              <w:t xml:space="preserve"> (N)</w:t>
            </w:r>
          </w:p>
        </w:tc>
        <w:tc>
          <w:tcPr>
            <w:tcW w:w="1151" w:type="dxa"/>
            <w:tcBorders>
              <w:top w:val="single" w:sz="8" w:space="0" w:color="000000"/>
              <w:left w:val="nil"/>
              <w:bottom w:val="single" w:sz="8" w:space="0" w:color="000000"/>
              <w:right w:val="nil"/>
            </w:tcBorders>
          </w:tcPr>
          <w:p w14:paraId="462CE5FF"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Sample</w:t>
            </w:r>
          </w:p>
        </w:tc>
        <w:tc>
          <w:tcPr>
            <w:tcW w:w="1248" w:type="dxa"/>
            <w:tcBorders>
              <w:top w:val="single" w:sz="8" w:space="0" w:color="000000"/>
              <w:left w:val="nil"/>
              <w:bottom w:val="single" w:sz="8" w:space="0" w:color="000000"/>
              <w:right w:val="nil"/>
            </w:tcBorders>
          </w:tcPr>
          <w:p w14:paraId="43803A35"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Percentage</w:t>
            </w:r>
          </w:p>
        </w:tc>
      </w:tr>
      <w:tr w:rsidR="00542C48" w:rsidRPr="00965CCA" w14:paraId="5105FD13" w14:textId="77777777" w:rsidTr="00542C48">
        <w:trPr>
          <w:trHeight w:val="465"/>
        </w:trPr>
        <w:tc>
          <w:tcPr>
            <w:tcW w:w="4242" w:type="dxa"/>
            <w:tcBorders>
              <w:top w:val="single" w:sz="8" w:space="0" w:color="000000"/>
              <w:left w:val="nil"/>
              <w:bottom w:val="nil"/>
              <w:right w:val="nil"/>
            </w:tcBorders>
          </w:tcPr>
          <w:p w14:paraId="7936E844"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Employment (Youth Employment)</w:t>
            </w:r>
          </w:p>
        </w:tc>
        <w:tc>
          <w:tcPr>
            <w:tcW w:w="1513" w:type="dxa"/>
            <w:tcBorders>
              <w:top w:val="single" w:sz="8" w:space="0" w:color="000000"/>
              <w:left w:val="nil"/>
              <w:bottom w:val="nil"/>
              <w:right w:val="nil"/>
            </w:tcBorders>
          </w:tcPr>
          <w:p w14:paraId="4A796F50"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85</w:t>
            </w:r>
          </w:p>
        </w:tc>
        <w:tc>
          <w:tcPr>
            <w:tcW w:w="1151" w:type="dxa"/>
            <w:tcBorders>
              <w:top w:val="single" w:sz="8" w:space="0" w:color="000000"/>
              <w:left w:val="nil"/>
              <w:bottom w:val="nil"/>
              <w:right w:val="nil"/>
            </w:tcBorders>
          </w:tcPr>
          <w:p w14:paraId="175DB0E6"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42</w:t>
            </w:r>
          </w:p>
        </w:tc>
        <w:tc>
          <w:tcPr>
            <w:tcW w:w="1248" w:type="dxa"/>
            <w:tcBorders>
              <w:top w:val="single" w:sz="8" w:space="0" w:color="000000"/>
              <w:left w:val="nil"/>
              <w:bottom w:val="nil"/>
              <w:right w:val="nil"/>
            </w:tcBorders>
          </w:tcPr>
          <w:p w14:paraId="0058281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21</w:t>
            </w:r>
          </w:p>
        </w:tc>
      </w:tr>
      <w:tr w:rsidR="00542C48" w:rsidRPr="00965CCA" w14:paraId="61638CEF" w14:textId="77777777" w:rsidTr="00542C48">
        <w:trPr>
          <w:trHeight w:val="396"/>
        </w:trPr>
        <w:tc>
          <w:tcPr>
            <w:tcW w:w="4242" w:type="dxa"/>
            <w:tcBorders>
              <w:top w:val="nil"/>
              <w:left w:val="nil"/>
              <w:bottom w:val="nil"/>
              <w:right w:val="nil"/>
            </w:tcBorders>
          </w:tcPr>
          <w:p w14:paraId="6DCAA721" w14:textId="2B8F1CA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 xml:space="preserve">Education </w:t>
            </w:r>
          </w:p>
        </w:tc>
        <w:tc>
          <w:tcPr>
            <w:tcW w:w="1513" w:type="dxa"/>
            <w:tcBorders>
              <w:top w:val="nil"/>
              <w:left w:val="nil"/>
              <w:bottom w:val="nil"/>
              <w:right w:val="nil"/>
            </w:tcBorders>
          </w:tcPr>
          <w:p w14:paraId="127A946D"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32</w:t>
            </w:r>
          </w:p>
        </w:tc>
        <w:tc>
          <w:tcPr>
            <w:tcW w:w="1151" w:type="dxa"/>
            <w:tcBorders>
              <w:top w:val="nil"/>
              <w:left w:val="nil"/>
              <w:bottom w:val="nil"/>
              <w:right w:val="nil"/>
            </w:tcBorders>
          </w:tcPr>
          <w:p w14:paraId="348D7FE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17</w:t>
            </w:r>
          </w:p>
        </w:tc>
        <w:tc>
          <w:tcPr>
            <w:tcW w:w="1248" w:type="dxa"/>
            <w:tcBorders>
              <w:top w:val="nil"/>
              <w:left w:val="nil"/>
              <w:bottom w:val="nil"/>
              <w:right w:val="nil"/>
            </w:tcBorders>
          </w:tcPr>
          <w:p w14:paraId="336FC19E"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8.5</w:t>
            </w:r>
          </w:p>
        </w:tc>
      </w:tr>
      <w:tr w:rsidR="00542C48" w:rsidRPr="00965CCA" w14:paraId="0D7B322B" w14:textId="77777777" w:rsidTr="00542C48">
        <w:trPr>
          <w:trHeight w:val="396"/>
        </w:trPr>
        <w:tc>
          <w:tcPr>
            <w:tcW w:w="4242" w:type="dxa"/>
            <w:tcBorders>
              <w:top w:val="nil"/>
              <w:left w:val="nil"/>
              <w:bottom w:val="nil"/>
              <w:right w:val="nil"/>
            </w:tcBorders>
          </w:tcPr>
          <w:p w14:paraId="4322920D" w14:textId="00633B92" w:rsidR="00542C48" w:rsidRPr="00965CCA" w:rsidRDefault="00542C48" w:rsidP="00965CCA">
            <w:pPr>
              <w:rPr>
                <w:rFonts w:ascii="Times New Roman" w:eastAsia="Calibri" w:hAnsi="Times New Roman" w:cs="Times New Roman"/>
                <w:sz w:val="24"/>
              </w:rPr>
            </w:pPr>
            <w:r w:rsidRPr="004D1F2E">
              <w:rPr>
                <w:rFonts w:ascii="Times New Roman" w:eastAsia="Calibri" w:hAnsi="Times New Roman" w:cs="Times New Roman"/>
                <w:sz w:val="24"/>
              </w:rPr>
              <w:t>Sports</w:t>
            </w:r>
          </w:p>
        </w:tc>
        <w:tc>
          <w:tcPr>
            <w:tcW w:w="1513" w:type="dxa"/>
            <w:tcBorders>
              <w:top w:val="nil"/>
              <w:left w:val="nil"/>
              <w:bottom w:val="nil"/>
              <w:right w:val="nil"/>
            </w:tcBorders>
          </w:tcPr>
          <w:p w14:paraId="2049E5C6"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50</w:t>
            </w:r>
          </w:p>
        </w:tc>
        <w:tc>
          <w:tcPr>
            <w:tcW w:w="1151" w:type="dxa"/>
            <w:tcBorders>
              <w:top w:val="nil"/>
              <w:left w:val="nil"/>
              <w:bottom w:val="nil"/>
              <w:right w:val="nil"/>
            </w:tcBorders>
          </w:tcPr>
          <w:p w14:paraId="0A7C4BB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24</w:t>
            </w:r>
          </w:p>
        </w:tc>
        <w:tc>
          <w:tcPr>
            <w:tcW w:w="1248" w:type="dxa"/>
            <w:tcBorders>
              <w:top w:val="nil"/>
              <w:left w:val="nil"/>
              <w:bottom w:val="nil"/>
              <w:right w:val="nil"/>
            </w:tcBorders>
          </w:tcPr>
          <w:p w14:paraId="5D728593"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12</w:t>
            </w:r>
          </w:p>
        </w:tc>
      </w:tr>
      <w:tr w:rsidR="00542C48" w:rsidRPr="00965CCA" w14:paraId="1CCE9026" w14:textId="77777777" w:rsidTr="00542C48">
        <w:trPr>
          <w:trHeight w:val="396"/>
        </w:trPr>
        <w:tc>
          <w:tcPr>
            <w:tcW w:w="4242" w:type="dxa"/>
            <w:tcBorders>
              <w:top w:val="nil"/>
              <w:left w:val="nil"/>
              <w:bottom w:val="nil"/>
              <w:right w:val="nil"/>
            </w:tcBorders>
          </w:tcPr>
          <w:p w14:paraId="4A406653"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Entrepreneurship</w:t>
            </w:r>
          </w:p>
        </w:tc>
        <w:tc>
          <w:tcPr>
            <w:tcW w:w="1513" w:type="dxa"/>
            <w:tcBorders>
              <w:top w:val="nil"/>
              <w:left w:val="nil"/>
              <w:bottom w:val="nil"/>
              <w:right w:val="nil"/>
            </w:tcBorders>
          </w:tcPr>
          <w:p w14:paraId="23A25BAA"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130</w:t>
            </w:r>
          </w:p>
        </w:tc>
        <w:tc>
          <w:tcPr>
            <w:tcW w:w="1151" w:type="dxa"/>
            <w:tcBorders>
              <w:top w:val="nil"/>
              <w:left w:val="nil"/>
              <w:bottom w:val="nil"/>
              <w:right w:val="nil"/>
            </w:tcBorders>
          </w:tcPr>
          <w:p w14:paraId="633E6DF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65</w:t>
            </w:r>
          </w:p>
        </w:tc>
        <w:tc>
          <w:tcPr>
            <w:tcW w:w="1248" w:type="dxa"/>
            <w:tcBorders>
              <w:top w:val="nil"/>
              <w:left w:val="nil"/>
              <w:bottom w:val="nil"/>
              <w:right w:val="nil"/>
            </w:tcBorders>
          </w:tcPr>
          <w:p w14:paraId="6D0CBD7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32.5</w:t>
            </w:r>
          </w:p>
        </w:tc>
      </w:tr>
      <w:tr w:rsidR="00542C48" w:rsidRPr="00965CCA" w14:paraId="65638551" w14:textId="77777777" w:rsidTr="00542C48">
        <w:trPr>
          <w:trHeight w:val="396"/>
        </w:trPr>
        <w:tc>
          <w:tcPr>
            <w:tcW w:w="4242" w:type="dxa"/>
            <w:tcBorders>
              <w:top w:val="nil"/>
              <w:left w:val="nil"/>
              <w:bottom w:val="nil"/>
              <w:right w:val="nil"/>
            </w:tcBorders>
          </w:tcPr>
          <w:p w14:paraId="3B7CC192" w14:textId="48DE6B9F"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Health</w:t>
            </w:r>
          </w:p>
        </w:tc>
        <w:tc>
          <w:tcPr>
            <w:tcW w:w="1513" w:type="dxa"/>
            <w:tcBorders>
              <w:top w:val="nil"/>
              <w:left w:val="nil"/>
              <w:bottom w:val="nil"/>
              <w:right w:val="nil"/>
            </w:tcBorders>
          </w:tcPr>
          <w:p w14:paraId="3C1AC79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23</w:t>
            </w:r>
          </w:p>
        </w:tc>
        <w:tc>
          <w:tcPr>
            <w:tcW w:w="1151" w:type="dxa"/>
            <w:tcBorders>
              <w:top w:val="nil"/>
              <w:left w:val="nil"/>
              <w:bottom w:val="nil"/>
              <w:right w:val="nil"/>
            </w:tcBorders>
          </w:tcPr>
          <w:p w14:paraId="5478674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12</w:t>
            </w:r>
          </w:p>
        </w:tc>
        <w:tc>
          <w:tcPr>
            <w:tcW w:w="1248" w:type="dxa"/>
            <w:tcBorders>
              <w:top w:val="nil"/>
              <w:left w:val="nil"/>
              <w:bottom w:val="nil"/>
              <w:right w:val="nil"/>
            </w:tcBorders>
          </w:tcPr>
          <w:p w14:paraId="2A1E3EF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6</w:t>
            </w:r>
          </w:p>
        </w:tc>
      </w:tr>
      <w:tr w:rsidR="00542C48" w:rsidRPr="00965CCA" w14:paraId="52292E60" w14:textId="77777777" w:rsidTr="00542C48">
        <w:trPr>
          <w:trHeight w:val="396"/>
        </w:trPr>
        <w:tc>
          <w:tcPr>
            <w:tcW w:w="4242" w:type="dxa"/>
            <w:tcBorders>
              <w:top w:val="nil"/>
              <w:left w:val="nil"/>
              <w:bottom w:val="nil"/>
              <w:right w:val="nil"/>
            </w:tcBorders>
          </w:tcPr>
          <w:p w14:paraId="2C55E4FA" w14:textId="1A73C26B" w:rsidR="00542C48" w:rsidRPr="004D1F2E" w:rsidRDefault="00542C48" w:rsidP="00965CCA">
            <w:pPr>
              <w:rPr>
                <w:rFonts w:ascii="Times New Roman" w:eastAsia="Calibri" w:hAnsi="Times New Roman" w:cs="Times New Roman"/>
                <w:sz w:val="24"/>
              </w:rPr>
            </w:pPr>
            <w:r w:rsidRPr="004D1F2E">
              <w:rPr>
                <w:rFonts w:ascii="Times New Roman" w:eastAsia="Calibri" w:hAnsi="Times New Roman" w:cs="Times New Roman"/>
                <w:sz w:val="24"/>
              </w:rPr>
              <w:t>Tourism</w:t>
            </w:r>
          </w:p>
        </w:tc>
        <w:tc>
          <w:tcPr>
            <w:tcW w:w="1513" w:type="dxa"/>
            <w:tcBorders>
              <w:top w:val="nil"/>
              <w:left w:val="nil"/>
              <w:bottom w:val="nil"/>
              <w:right w:val="nil"/>
            </w:tcBorders>
          </w:tcPr>
          <w:p w14:paraId="763E0663" w14:textId="5385A5A6"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48</w:t>
            </w:r>
          </w:p>
        </w:tc>
        <w:tc>
          <w:tcPr>
            <w:tcW w:w="1151" w:type="dxa"/>
            <w:tcBorders>
              <w:top w:val="nil"/>
              <w:left w:val="nil"/>
              <w:bottom w:val="nil"/>
              <w:right w:val="nil"/>
            </w:tcBorders>
          </w:tcPr>
          <w:p w14:paraId="2DA7FEE3" w14:textId="7C0E69C3"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23</w:t>
            </w:r>
          </w:p>
        </w:tc>
        <w:tc>
          <w:tcPr>
            <w:tcW w:w="1248" w:type="dxa"/>
            <w:tcBorders>
              <w:top w:val="nil"/>
              <w:left w:val="nil"/>
              <w:bottom w:val="nil"/>
              <w:right w:val="nil"/>
            </w:tcBorders>
          </w:tcPr>
          <w:p w14:paraId="20EA28BA" w14:textId="48516AF6"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11.5</w:t>
            </w:r>
          </w:p>
        </w:tc>
      </w:tr>
      <w:tr w:rsidR="00542C48" w:rsidRPr="00965CCA" w14:paraId="36E860AE" w14:textId="77777777" w:rsidTr="00542C48">
        <w:trPr>
          <w:trHeight w:val="396"/>
        </w:trPr>
        <w:tc>
          <w:tcPr>
            <w:tcW w:w="4242" w:type="dxa"/>
            <w:tcBorders>
              <w:top w:val="nil"/>
              <w:left w:val="nil"/>
              <w:bottom w:val="nil"/>
              <w:right w:val="nil"/>
            </w:tcBorders>
          </w:tcPr>
          <w:p w14:paraId="35FE559C"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lastRenderedPageBreak/>
              <w:t xml:space="preserve">Community Engagement </w:t>
            </w:r>
          </w:p>
        </w:tc>
        <w:tc>
          <w:tcPr>
            <w:tcW w:w="1513" w:type="dxa"/>
            <w:tcBorders>
              <w:top w:val="nil"/>
              <w:left w:val="nil"/>
              <w:bottom w:val="nil"/>
              <w:right w:val="nil"/>
            </w:tcBorders>
          </w:tcPr>
          <w:p w14:paraId="79270BB3" w14:textId="69EC0A14"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32</w:t>
            </w:r>
          </w:p>
        </w:tc>
        <w:tc>
          <w:tcPr>
            <w:tcW w:w="1151" w:type="dxa"/>
            <w:tcBorders>
              <w:top w:val="nil"/>
              <w:left w:val="nil"/>
              <w:bottom w:val="nil"/>
              <w:right w:val="nil"/>
            </w:tcBorders>
          </w:tcPr>
          <w:p w14:paraId="068C96E1" w14:textId="19310F0E"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17</w:t>
            </w:r>
          </w:p>
        </w:tc>
        <w:tc>
          <w:tcPr>
            <w:tcW w:w="1248" w:type="dxa"/>
            <w:tcBorders>
              <w:top w:val="nil"/>
              <w:left w:val="nil"/>
              <w:bottom w:val="nil"/>
              <w:right w:val="nil"/>
            </w:tcBorders>
          </w:tcPr>
          <w:p w14:paraId="5A84E23F" w14:textId="39B9AC87"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8.5</w:t>
            </w:r>
          </w:p>
        </w:tc>
      </w:tr>
      <w:tr w:rsidR="00542C48" w:rsidRPr="00965CCA" w14:paraId="709D8D25" w14:textId="77777777" w:rsidTr="00542C48">
        <w:trPr>
          <w:trHeight w:val="346"/>
        </w:trPr>
        <w:tc>
          <w:tcPr>
            <w:tcW w:w="4242" w:type="dxa"/>
            <w:tcBorders>
              <w:top w:val="nil"/>
              <w:left w:val="nil"/>
              <w:bottom w:val="single" w:sz="8" w:space="0" w:color="000000"/>
              <w:right w:val="nil"/>
            </w:tcBorders>
          </w:tcPr>
          <w:p w14:paraId="0BD1CC3B"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Total</w:t>
            </w:r>
          </w:p>
        </w:tc>
        <w:tc>
          <w:tcPr>
            <w:tcW w:w="1513" w:type="dxa"/>
            <w:tcBorders>
              <w:top w:val="nil"/>
              <w:left w:val="nil"/>
              <w:bottom w:val="single" w:sz="8" w:space="0" w:color="000000"/>
              <w:right w:val="nil"/>
            </w:tcBorders>
          </w:tcPr>
          <w:p w14:paraId="0A949ED2" w14:textId="77777777" w:rsidR="00542C48" w:rsidRPr="00965CCA" w:rsidRDefault="00542C48" w:rsidP="00965CCA">
            <w:pPr>
              <w:rPr>
                <w:rFonts w:ascii="Times New Roman" w:eastAsia="Calibri" w:hAnsi="Times New Roman" w:cs="Times New Roman"/>
                <w:sz w:val="24"/>
              </w:rPr>
            </w:pPr>
            <w:r w:rsidRPr="00965CCA">
              <w:rPr>
                <w:rFonts w:ascii="Times New Roman" w:hAnsi="Times New Roman" w:cs="Times New Roman"/>
                <w:b/>
                <w:sz w:val="24"/>
              </w:rPr>
              <w:t>400</w:t>
            </w:r>
          </w:p>
        </w:tc>
        <w:tc>
          <w:tcPr>
            <w:tcW w:w="1151" w:type="dxa"/>
            <w:tcBorders>
              <w:top w:val="nil"/>
              <w:left w:val="nil"/>
              <w:bottom w:val="single" w:sz="8" w:space="0" w:color="000000"/>
              <w:right w:val="nil"/>
            </w:tcBorders>
          </w:tcPr>
          <w:p w14:paraId="72E7F29F"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200</w:t>
            </w:r>
          </w:p>
        </w:tc>
        <w:tc>
          <w:tcPr>
            <w:tcW w:w="1248" w:type="dxa"/>
            <w:tcBorders>
              <w:top w:val="nil"/>
              <w:left w:val="nil"/>
              <w:bottom w:val="single" w:sz="8" w:space="0" w:color="000000"/>
              <w:right w:val="nil"/>
            </w:tcBorders>
          </w:tcPr>
          <w:p w14:paraId="4753B041"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100</w:t>
            </w:r>
          </w:p>
        </w:tc>
      </w:tr>
    </w:tbl>
    <w:p w14:paraId="0C3E1B33" w14:textId="77777777" w:rsidR="00B74EEA" w:rsidRPr="00B74EEA" w:rsidRDefault="00B74EEA" w:rsidP="00B74EEA">
      <w:pPr>
        <w:spacing w:after="200" w:line="480" w:lineRule="auto"/>
        <w:jc w:val="both"/>
        <w:rPr>
          <w:rFonts w:ascii="Times New Roman" w:eastAsia="Calibri" w:hAnsi="Times New Roman" w:cs="Times New Roman"/>
          <w:sz w:val="24"/>
        </w:rPr>
      </w:pPr>
      <w:r w:rsidRPr="00B74EEA">
        <w:rPr>
          <w:rFonts w:ascii="Times New Roman" w:eastAsia="Calibri" w:hAnsi="Times New Roman" w:cs="Times New Roman"/>
          <w:sz w:val="24"/>
        </w:rPr>
        <w:t xml:space="preserve">Source: </w:t>
      </w:r>
      <w:r w:rsidRPr="00B241E8">
        <w:rPr>
          <w:rFonts w:ascii="Times New Roman" w:eastAsia="Calibri" w:hAnsi="Times New Roman" w:cs="Times New Roman"/>
          <w:sz w:val="24"/>
        </w:rPr>
        <w:t>(UN, 2024)</w:t>
      </w:r>
    </w:p>
    <w:p w14:paraId="31E3CDD8" w14:textId="56BFEE9B" w:rsidR="003B75B0" w:rsidRPr="00782808" w:rsidRDefault="002516E1" w:rsidP="00CB263D">
      <w:pPr>
        <w:pStyle w:val="BodyText3"/>
        <w:spacing w:line="480" w:lineRule="auto"/>
        <w:jc w:val="both"/>
        <w:rPr>
          <w:b/>
          <w:bCs/>
          <w:sz w:val="24"/>
          <w:szCs w:val="24"/>
        </w:rPr>
      </w:pPr>
      <w:r w:rsidRPr="002516E1">
        <w:rPr>
          <w:rFonts w:eastAsia="Aptos"/>
          <w:kern w:val="2"/>
          <w:sz w:val="24"/>
          <w:szCs w:val="24"/>
          <w14:ligatures w14:val="standardContextual"/>
        </w:rPr>
        <w:t xml:space="preserve">Secondary data was gathered through documented reviews of published sources about </w:t>
      </w:r>
      <w:r w:rsidR="00B74EEA">
        <w:rPr>
          <w:rFonts w:eastAsia="Aptos"/>
          <w:bCs/>
          <w:kern w:val="2"/>
          <w:sz w:val="24"/>
          <w:szCs w:val="24"/>
          <w14:ligatures w14:val="standardContextual"/>
        </w:rPr>
        <w:t>youth empowerment program</w:t>
      </w:r>
      <w:r w:rsidRPr="002516E1">
        <w:rPr>
          <w:rFonts w:eastAsia="Aptos"/>
          <w:bCs/>
          <w:kern w:val="2"/>
          <w:sz w:val="24"/>
          <w:szCs w:val="24"/>
          <w14:ligatures w14:val="standardContextual"/>
        </w:rPr>
        <w:t xml:space="preserve">s in Kenya and </w:t>
      </w:r>
      <w:r w:rsidR="00B74EEA">
        <w:rPr>
          <w:rFonts w:eastAsia="Aptos"/>
          <w:bCs/>
          <w:kern w:val="2"/>
          <w:sz w:val="24"/>
          <w:szCs w:val="24"/>
          <w14:ligatures w14:val="standardContextual"/>
        </w:rPr>
        <w:t>Kilifi</w:t>
      </w:r>
      <w:r>
        <w:rPr>
          <w:rFonts w:eastAsia="Aptos"/>
          <w:bCs/>
          <w:kern w:val="2"/>
          <w:sz w:val="24"/>
          <w:szCs w:val="24"/>
          <w14:ligatures w14:val="standardContextual"/>
        </w:rPr>
        <w:t xml:space="preserve"> </w:t>
      </w:r>
      <w:r w:rsidRPr="002516E1">
        <w:rPr>
          <w:rFonts w:eastAsia="Aptos"/>
          <w:bCs/>
          <w:kern w:val="2"/>
          <w:sz w:val="24"/>
          <w:szCs w:val="24"/>
          <w14:ligatures w14:val="standardContextual"/>
        </w:rPr>
        <w:t>County</w:t>
      </w:r>
      <w:r w:rsidRPr="002516E1">
        <w:rPr>
          <w:rFonts w:eastAsia="Aptos"/>
          <w:kern w:val="2"/>
          <w:sz w:val="24"/>
          <w:szCs w:val="24"/>
          <w14:ligatures w14:val="standardContextual"/>
        </w:rPr>
        <w:t xml:space="preserve">. A </w:t>
      </w:r>
      <w:r>
        <w:rPr>
          <w:rFonts w:eastAsia="Aptos"/>
          <w:kern w:val="2"/>
          <w:sz w:val="24"/>
          <w:szCs w:val="24"/>
          <w14:ligatures w14:val="standardContextual"/>
        </w:rPr>
        <w:t>semi-</w:t>
      </w:r>
      <w:r w:rsidRPr="002516E1">
        <w:rPr>
          <w:rFonts w:eastAsia="Aptos"/>
          <w:kern w:val="2"/>
          <w:sz w:val="24"/>
          <w:szCs w:val="24"/>
          <w14:ligatures w14:val="standardContextual"/>
        </w:rPr>
        <w:t xml:space="preserve">structured questionnaire was implemented to acquire primary data. Questionnaires were disseminated to the </w:t>
      </w:r>
      <w:bookmarkStart w:id="97" w:name="_Hlk207629751"/>
      <w:r w:rsidR="00B74EEA" w:rsidRPr="00B74EEA">
        <w:rPr>
          <w:rFonts w:eastAsia="Calibri"/>
          <w:sz w:val="24"/>
          <w:szCs w:val="22"/>
        </w:rPr>
        <w:t xml:space="preserve">youths in youth empowerment programs in </w:t>
      </w:r>
      <w:r w:rsidR="00B74EEA">
        <w:rPr>
          <w:rFonts w:eastAsia="Aptos"/>
          <w:kern w:val="2"/>
          <w:sz w:val="24"/>
          <w:szCs w:val="24"/>
          <w14:ligatures w14:val="standardContextual"/>
        </w:rPr>
        <w:t>Kilifi</w:t>
      </w:r>
      <w:r w:rsidRPr="002516E1">
        <w:rPr>
          <w:rFonts w:eastAsia="Aptos"/>
          <w:kern w:val="2"/>
          <w:sz w:val="24"/>
          <w:szCs w:val="24"/>
          <w14:ligatures w14:val="standardContextual"/>
        </w:rPr>
        <w:t xml:space="preserve"> County</w:t>
      </w:r>
      <w:bookmarkEnd w:id="97"/>
      <w:r w:rsidRPr="002516E1">
        <w:rPr>
          <w:rFonts w:eastAsia="Aptos"/>
          <w:kern w:val="2"/>
          <w:sz w:val="24"/>
          <w:szCs w:val="24"/>
          <w14:ligatures w14:val="standardContextual"/>
        </w:rPr>
        <w:t>.</w:t>
      </w:r>
      <w:r w:rsidR="00CB263D" w:rsidRPr="00CB263D">
        <w:rPr>
          <w:rFonts w:eastAsia="Aptos"/>
          <w:kern w:val="2"/>
          <w:sz w:val="24"/>
          <w:szCs w:val="24"/>
          <w14:ligatures w14:val="standardContextual"/>
        </w:rPr>
        <w:t xml:space="preserve"> A pilot study was undertaken using a sample size of </w:t>
      </w:r>
      <w:r w:rsidR="00B74EEA">
        <w:rPr>
          <w:rFonts w:eastAsia="Aptos"/>
          <w:kern w:val="2"/>
          <w:sz w:val="24"/>
          <w:szCs w:val="24"/>
          <w14:ligatures w14:val="standardContextual"/>
        </w:rPr>
        <w:t>20</w:t>
      </w:r>
      <w:r w:rsidR="00CB263D" w:rsidRPr="00CB263D">
        <w:rPr>
          <w:rFonts w:eastAsia="Aptos"/>
          <w:kern w:val="2"/>
          <w:sz w:val="24"/>
          <w:szCs w:val="24"/>
          <w14:ligatures w14:val="standardContextual"/>
        </w:rPr>
        <w:t xml:space="preserve"> </w:t>
      </w:r>
      <w:r w:rsidR="002F3933" w:rsidRPr="002F3933">
        <w:rPr>
          <w:rFonts w:eastAsia="Aptos"/>
          <w:kern w:val="2"/>
          <w:sz w:val="24"/>
          <w:szCs w:val="24"/>
          <w14:ligatures w14:val="standardContextual"/>
        </w:rPr>
        <w:t xml:space="preserve">youths in youth empowerment programs in </w:t>
      </w:r>
      <w:proofErr w:type="spellStart"/>
      <w:r w:rsidR="002F3933">
        <w:rPr>
          <w:rFonts w:eastAsia="Aptos"/>
          <w:kern w:val="2"/>
          <w:sz w:val="24"/>
          <w:szCs w:val="24"/>
          <w14:ligatures w14:val="standardContextual"/>
        </w:rPr>
        <w:t>Lamu</w:t>
      </w:r>
      <w:proofErr w:type="spellEnd"/>
      <w:r w:rsidR="002F3933" w:rsidRPr="002F3933">
        <w:rPr>
          <w:rFonts w:eastAsia="Aptos"/>
          <w:kern w:val="2"/>
          <w:sz w:val="24"/>
          <w:szCs w:val="24"/>
          <w14:ligatures w14:val="standardContextual"/>
        </w:rPr>
        <w:t xml:space="preserve"> County</w:t>
      </w:r>
      <w:r w:rsidR="00B74EEA">
        <w:rPr>
          <w:rFonts w:eastAsia="Aptos"/>
          <w:kern w:val="2"/>
          <w:sz w:val="24"/>
          <w:szCs w:val="24"/>
          <w14:ligatures w14:val="standardContextual"/>
        </w:rPr>
        <w:t xml:space="preserve"> </w:t>
      </w:r>
      <w:r w:rsidR="00CB263D">
        <w:rPr>
          <w:rFonts w:eastAsia="Aptos"/>
          <w:kern w:val="2"/>
          <w:sz w:val="24"/>
          <w:szCs w:val="24"/>
          <w14:ligatures w14:val="standardContextual"/>
        </w:rPr>
        <w:t>and</w:t>
      </w:r>
      <w:r w:rsidR="00CB263D" w:rsidRPr="00CB263D">
        <w:rPr>
          <w:rFonts w:eastAsia="Aptos"/>
          <w:kern w:val="2"/>
          <w:sz w:val="24"/>
          <w:szCs w:val="24"/>
          <w14:ligatures w14:val="standardContextual"/>
        </w:rPr>
        <w:t xml:space="preserve"> participants who participated in the pilot survey were excluded from the final sample of the study</w:t>
      </w:r>
      <w:r w:rsidR="00CB263D">
        <w:rPr>
          <w:rFonts w:eastAsia="Aptos"/>
          <w:kern w:val="2"/>
          <w:sz w:val="24"/>
          <w:szCs w:val="24"/>
          <w14:ligatures w14:val="standardContextual"/>
        </w:rPr>
        <w:t>.</w:t>
      </w:r>
    </w:p>
    <w:p w14:paraId="16941621" w14:textId="77777777" w:rsidR="00F561E9" w:rsidRDefault="003B75B0" w:rsidP="003D4767">
      <w:pPr>
        <w:pStyle w:val="Heading2"/>
        <w:spacing w:before="0" w:after="0" w:line="480" w:lineRule="auto"/>
      </w:pPr>
      <w:r w:rsidRPr="00C1426E">
        <w:t xml:space="preserve">4.0 </w:t>
      </w:r>
      <w:bookmarkStart w:id="98" w:name="_Toc231058636"/>
      <w:bookmarkStart w:id="99" w:name="_Toc231058740"/>
      <w:bookmarkStart w:id="100" w:name="_Toc231059665"/>
      <w:bookmarkStart w:id="101" w:name="_Toc231059875"/>
      <w:bookmarkStart w:id="102" w:name="_Toc231060026"/>
      <w:bookmarkStart w:id="103" w:name="_Toc231060151"/>
      <w:bookmarkStart w:id="104" w:name="_Toc233521174"/>
      <w:bookmarkStart w:id="105" w:name="_Toc233521495"/>
      <w:bookmarkStart w:id="106" w:name="_Toc233521565"/>
      <w:bookmarkStart w:id="107" w:name="_Toc233521641"/>
      <w:bookmarkStart w:id="108" w:name="_Toc233536598"/>
      <w:bookmarkStart w:id="109" w:name="_Toc233541533"/>
      <w:bookmarkStart w:id="110" w:name="_Toc233543009"/>
      <w:bookmarkStart w:id="111" w:name="_Toc84465457"/>
      <w:bookmarkStart w:id="112" w:name="_Toc84467346"/>
      <w:bookmarkStart w:id="113" w:name="_Toc98459728"/>
      <w:bookmarkStart w:id="114" w:name="_Toc98465917"/>
      <w:bookmarkStart w:id="115" w:name="_Toc252005466"/>
      <w:bookmarkStart w:id="116" w:name="_Toc252005694"/>
      <w:bookmarkStart w:id="117" w:name="_Toc241141594"/>
      <w:bookmarkStart w:id="118" w:name="_Toc92710750"/>
      <w:bookmarkStart w:id="119" w:name="_Toc92710889"/>
      <w:bookmarkStart w:id="120" w:name="_Toc92710983"/>
      <w:bookmarkStart w:id="121" w:name="_Toc92713635"/>
      <w:bookmarkStart w:id="122" w:name="_Toc92896975"/>
      <w:r w:rsidR="007D540A">
        <w:t xml:space="preserve">Research </w:t>
      </w:r>
      <w:r w:rsidRPr="00C1426E">
        <w:t>Findings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C1426E">
        <w:t xml:space="preserve"> </w:t>
      </w:r>
      <w:bookmarkEnd w:id="117"/>
      <w:bookmarkEnd w:id="118"/>
      <w:bookmarkEnd w:id="119"/>
      <w:bookmarkEnd w:id="120"/>
      <w:bookmarkEnd w:id="121"/>
      <w:bookmarkEnd w:id="122"/>
      <w:r w:rsidRPr="00C1426E">
        <w:t>and Discussion</w:t>
      </w:r>
      <w:bookmarkStart w:id="123" w:name="_Toc231058658"/>
      <w:bookmarkStart w:id="124" w:name="_Toc231058762"/>
      <w:bookmarkStart w:id="125" w:name="_Toc231059687"/>
      <w:bookmarkStart w:id="126" w:name="_Toc231059895"/>
      <w:bookmarkStart w:id="127" w:name="_Toc231060045"/>
      <w:bookmarkStart w:id="128" w:name="_Toc231060169"/>
      <w:bookmarkStart w:id="129" w:name="_Toc233521189"/>
      <w:bookmarkStart w:id="130" w:name="_Toc233521510"/>
      <w:bookmarkStart w:id="131" w:name="_Toc233521580"/>
      <w:bookmarkStart w:id="132" w:name="_Toc233521656"/>
      <w:bookmarkStart w:id="133" w:name="_Toc233536614"/>
      <w:bookmarkStart w:id="134" w:name="_Toc233541548"/>
      <w:bookmarkStart w:id="135" w:name="_Toc233543024"/>
      <w:bookmarkStart w:id="136" w:name="_Toc84465473"/>
      <w:bookmarkStart w:id="137" w:name="_Toc84467362"/>
      <w:bookmarkStart w:id="138" w:name="_Toc241141610"/>
      <w:bookmarkStart w:id="139" w:name="_Toc92710765"/>
      <w:bookmarkStart w:id="140" w:name="_Toc92710904"/>
      <w:bookmarkStart w:id="141" w:name="_Toc92710998"/>
      <w:bookmarkStart w:id="142" w:name="_Toc92713650"/>
      <w:bookmarkStart w:id="143" w:name="_Toc92896990"/>
      <w:bookmarkStart w:id="144" w:name="_Toc98459736"/>
      <w:bookmarkStart w:id="145" w:name="_Toc98465925"/>
      <w:bookmarkStart w:id="146" w:name="_Toc252005474"/>
      <w:bookmarkStart w:id="147" w:name="_Toc252005702"/>
    </w:p>
    <w:p w14:paraId="5145F3A7" w14:textId="6A02D4E1" w:rsidR="00620EBE" w:rsidRDefault="00404250" w:rsidP="00F561E9">
      <w:pPr>
        <w:pStyle w:val="Footer"/>
        <w:autoSpaceDE w:val="0"/>
        <w:autoSpaceDN w:val="0"/>
        <w:adjustRightInd w:val="0"/>
        <w:spacing w:line="480" w:lineRule="auto"/>
        <w:jc w:val="both"/>
        <w:rPr>
          <w:rFonts w:ascii="Times New Roman" w:eastAsia="Calibri" w:hAnsi="Times New Roman" w:cs="Times New Roman"/>
          <w:sz w:val="24"/>
        </w:rPr>
      </w:pPr>
      <w:r w:rsidRPr="00404250">
        <w:rPr>
          <w:rFonts w:ascii="Times New Roman" w:eastAsia="Calibri" w:hAnsi="Times New Roman" w:cs="Times New Roman"/>
          <w:sz w:val="24"/>
        </w:rPr>
        <w:t xml:space="preserve">A total of </w:t>
      </w:r>
      <w:r w:rsidR="009751A3">
        <w:rPr>
          <w:rFonts w:ascii="Times New Roman" w:eastAsia="Calibri" w:hAnsi="Times New Roman" w:cs="Times New Roman"/>
          <w:sz w:val="24"/>
        </w:rPr>
        <w:t>200</w:t>
      </w:r>
      <w:r w:rsidRPr="00404250">
        <w:rPr>
          <w:rFonts w:ascii="Times New Roman" w:eastAsia="Calibri" w:hAnsi="Times New Roman" w:cs="Times New Roman"/>
          <w:sz w:val="24"/>
        </w:rPr>
        <w:t xml:space="preserve"> questionnaires were distributed to </w:t>
      </w:r>
      <w:r w:rsidR="009751A3" w:rsidRPr="009751A3">
        <w:rPr>
          <w:rFonts w:ascii="Times New Roman" w:eastAsia="Calibri" w:hAnsi="Times New Roman" w:cs="Times New Roman"/>
          <w:sz w:val="24"/>
        </w:rPr>
        <w:t>youths in youth empowerment programs in Kilifi County</w:t>
      </w:r>
      <w:r w:rsidRPr="00404250">
        <w:rPr>
          <w:rFonts w:ascii="Times New Roman" w:eastAsia="Calibri" w:hAnsi="Times New Roman" w:cs="Times New Roman"/>
          <w:sz w:val="24"/>
        </w:rPr>
        <w:t xml:space="preserve">. Of these, </w:t>
      </w:r>
      <w:r w:rsidR="009751A3">
        <w:rPr>
          <w:rFonts w:ascii="Times New Roman" w:eastAsia="Calibri" w:hAnsi="Times New Roman" w:cs="Times New Roman"/>
          <w:sz w:val="24"/>
        </w:rPr>
        <w:t>180</w:t>
      </w:r>
      <w:r w:rsidRPr="00404250">
        <w:rPr>
          <w:rFonts w:ascii="Times New Roman" w:eastAsia="Calibri" w:hAnsi="Times New Roman" w:cs="Times New Roman"/>
          <w:sz w:val="24"/>
        </w:rPr>
        <w:t xml:space="preserve"> respondents completed the questionnaires, representing a response rate of </w:t>
      </w:r>
      <w:r w:rsidR="009751A3">
        <w:rPr>
          <w:rFonts w:ascii="Times New Roman" w:eastAsia="Calibri" w:hAnsi="Times New Roman" w:cs="Times New Roman"/>
          <w:sz w:val="24"/>
        </w:rPr>
        <w:t>90</w:t>
      </w:r>
      <w:r w:rsidRPr="00404250">
        <w:rPr>
          <w:rFonts w:ascii="Times New Roman" w:eastAsia="Calibri" w:hAnsi="Times New Roman" w:cs="Times New Roman"/>
          <w:sz w:val="24"/>
        </w:rPr>
        <w:t xml:space="preserve">%, while </w:t>
      </w:r>
      <w:r w:rsidR="009751A3">
        <w:rPr>
          <w:rFonts w:ascii="Times New Roman" w:eastAsia="Calibri" w:hAnsi="Times New Roman" w:cs="Times New Roman"/>
          <w:sz w:val="24"/>
        </w:rPr>
        <w:t>20</w:t>
      </w:r>
      <w:r w:rsidRPr="00404250">
        <w:rPr>
          <w:rFonts w:ascii="Times New Roman" w:eastAsia="Calibri" w:hAnsi="Times New Roman" w:cs="Times New Roman"/>
          <w:sz w:val="24"/>
        </w:rPr>
        <w:t xml:space="preserve"> questionnaires were either not returned or were incomplete, accounting for </w:t>
      </w:r>
      <w:r w:rsidR="009751A3">
        <w:rPr>
          <w:rFonts w:ascii="Times New Roman" w:eastAsia="Calibri" w:hAnsi="Times New Roman" w:cs="Times New Roman"/>
          <w:sz w:val="24"/>
        </w:rPr>
        <w:t>10</w:t>
      </w:r>
      <w:r w:rsidRPr="00404250">
        <w:rPr>
          <w:rFonts w:ascii="Times New Roman" w:eastAsia="Calibri" w:hAnsi="Times New Roman" w:cs="Times New Roman"/>
          <w:sz w:val="24"/>
        </w:rPr>
        <w:t>% non-response</w:t>
      </w:r>
      <w:r>
        <w:rPr>
          <w:rFonts w:ascii="Times New Roman" w:eastAsia="Calibri" w:hAnsi="Times New Roman" w:cs="Times New Roman"/>
          <w:sz w:val="24"/>
        </w:rPr>
        <w:t xml:space="preserve">. </w:t>
      </w:r>
      <w:r w:rsidRPr="00404250">
        <w:rPr>
          <w:rFonts w:ascii="Times New Roman" w:eastAsia="Times New Roman" w:hAnsi="Times New Roman" w:cs="Times New Roman"/>
          <w:sz w:val="24"/>
          <w:szCs w:val="24"/>
        </w:rPr>
        <w:t>In terms of gender representation, 5</w:t>
      </w:r>
      <w:r w:rsidR="00BD6E65">
        <w:rPr>
          <w:rFonts w:ascii="Times New Roman" w:eastAsia="Times New Roman" w:hAnsi="Times New Roman" w:cs="Times New Roman"/>
          <w:sz w:val="24"/>
          <w:szCs w:val="24"/>
        </w:rPr>
        <w:t>1</w:t>
      </w:r>
      <w:r w:rsidRPr="00404250">
        <w:rPr>
          <w:rFonts w:ascii="Times New Roman" w:eastAsia="Times New Roman" w:hAnsi="Times New Roman" w:cs="Times New Roman"/>
          <w:sz w:val="24"/>
          <w:szCs w:val="24"/>
        </w:rPr>
        <w:t>% of respondents were male and 4</w:t>
      </w:r>
      <w:r w:rsidR="00BD6E65">
        <w:rPr>
          <w:rFonts w:ascii="Times New Roman" w:eastAsia="Times New Roman" w:hAnsi="Times New Roman" w:cs="Times New Roman"/>
          <w:sz w:val="24"/>
          <w:szCs w:val="24"/>
        </w:rPr>
        <w:t>9</w:t>
      </w:r>
      <w:r w:rsidRPr="00404250">
        <w:rPr>
          <w:rFonts w:ascii="Times New Roman" w:eastAsia="Times New Roman" w:hAnsi="Times New Roman" w:cs="Times New Roman"/>
          <w:sz w:val="24"/>
          <w:szCs w:val="24"/>
        </w:rPr>
        <w:t>% were female. This near balance in gender distribution brings</w:t>
      </w:r>
      <w:r w:rsidR="00F561E9" w:rsidRPr="00F561E9">
        <w:rPr>
          <w:rFonts w:ascii="Times New Roman" w:eastAsia="Calibri" w:hAnsi="Times New Roman" w:cs="Times New Roman"/>
          <w:sz w:val="24"/>
        </w:rPr>
        <w:t xml:space="preserve"> varied perspectives, decision-making styles, and problem-solving approaches </w:t>
      </w:r>
      <w:r w:rsidR="00BD6E65">
        <w:rPr>
          <w:rFonts w:ascii="Times New Roman" w:eastAsia="Calibri" w:hAnsi="Times New Roman" w:cs="Times New Roman"/>
          <w:sz w:val="24"/>
        </w:rPr>
        <w:t>within the youth empowerment programs</w:t>
      </w:r>
      <w:r w:rsidR="00F561E9">
        <w:rPr>
          <w:rFonts w:ascii="Times New Roman" w:eastAsia="Calibri" w:hAnsi="Times New Roman" w:cs="Times New Roman"/>
          <w:sz w:val="24"/>
        </w:rPr>
        <w:t xml:space="preserve">. </w:t>
      </w:r>
    </w:p>
    <w:p w14:paraId="080A5B7C" w14:textId="0C6165F4" w:rsidR="00F561E9" w:rsidRDefault="00404250" w:rsidP="00F561E9">
      <w:pPr>
        <w:pStyle w:val="Footer"/>
        <w:autoSpaceDE w:val="0"/>
        <w:autoSpaceDN w:val="0"/>
        <w:adjustRightInd w:val="0"/>
        <w:spacing w:line="480" w:lineRule="auto"/>
        <w:jc w:val="both"/>
        <w:rPr>
          <w:rFonts w:ascii="Times New Roman" w:eastAsia="Aptos" w:hAnsi="Times New Roman" w:cs="Times New Roman"/>
          <w:bCs/>
          <w:kern w:val="2"/>
          <w:sz w:val="24"/>
          <w:szCs w:val="24"/>
          <w14:ligatures w14:val="standardContextual"/>
        </w:rPr>
      </w:pPr>
      <w:r w:rsidRPr="00404250">
        <w:rPr>
          <w:rFonts w:ascii="Times New Roman" w:eastAsia="Calibri" w:hAnsi="Times New Roman" w:cs="Times New Roman"/>
          <w:sz w:val="24"/>
        </w:rPr>
        <w:t>Regarding the age distribution, 3</w:t>
      </w:r>
      <w:r w:rsidR="005818F5">
        <w:rPr>
          <w:rFonts w:ascii="Times New Roman" w:eastAsia="Calibri" w:hAnsi="Times New Roman" w:cs="Times New Roman"/>
          <w:sz w:val="24"/>
        </w:rPr>
        <w:t>7</w:t>
      </w:r>
      <w:r w:rsidRPr="00404250">
        <w:rPr>
          <w:rFonts w:ascii="Times New Roman" w:eastAsia="Calibri" w:hAnsi="Times New Roman" w:cs="Times New Roman"/>
          <w:sz w:val="24"/>
        </w:rPr>
        <w:t>% of respondents were aged 18–2</w:t>
      </w:r>
      <w:r w:rsidR="00327872">
        <w:rPr>
          <w:rFonts w:ascii="Times New Roman" w:eastAsia="Calibri" w:hAnsi="Times New Roman" w:cs="Times New Roman"/>
          <w:sz w:val="24"/>
        </w:rPr>
        <w:t>4</w:t>
      </w:r>
      <w:r w:rsidRPr="00404250">
        <w:rPr>
          <w:rFonts w:ascii="Times New Roman" w:eastAsia="Calibri" w:hAnsi="Times New Roman" w:cs="Times New Roman"/>
          <w:sz w:val="24"/>
        </w:rPr>
        <w:t>, 4</w:t>
      </w:r>
      <w:r w:rsidR="005818F5">
        <w:rPr>
          <w:rFonts w:ascii="Times New Roman" w:eastAsia="Calibri" w:hAnsi="Times New Roman" w:cs="Times New Roman"/>
          <w:sz w:val="24"/>
        </w:rPr>
        <w:t>4</w:t>
      </w:r>
      <w:r w:rsidRPr="00404250">
        <w:rPr>
          <w:rFonts w:ascii="Times New Roman" w:eastAsia="Calibri" w:hAnsi="Times New Roman" w:cs="Times New Roman"/>
          <w:sz w:val="24"/>
        </w:rPr>
        <w:t>% were between 25–3</w:t>
      </w:r>
      <w:r w:rsidR="00327872">
        <w:rPr>
          <w:rFonts w:ascii="Times New Roman" w:eastAsia="Calibri" w:hAnsi="Times New Roman" w:cs="Times New Roman"/>
          <w:sz w:val="24"/>
        </w:rPr>
        <w:t>0</w:t>
      </w:r>
      <w:r w:rsidRPr="00404250">
        <w:rPr>
          <w:rFonts w:ascii="Times New Roman" w:eastAsia="Calibri" w:hAnsi="Times New Roman" w:cs="Times New Roman"/>
          <w:sz w:val="24"/>
        </w:rPr>
        <w:t xml:space="preserve">, </w:t>
      </w:r>
      <w:r w:rsidR="005818F5">
        <w:rPr>
          <w:rFonts w:ascii="Times New Roman" w:eastAsia="Calibri" w:hAnsi="Times New Roman" w:cs="Times New Roman"/>
          <w:sz w:val="24"/>
        </w:rPr>
        <w:t>17</w:t>
      </w:r>
      <w:r w:rsidRPr="00404250">
        <w:rPr>
          <w:rFonts w:ascii="Times New Roman" w:eastAsia="Calibri" w:hAnsi="Times New Roman" w:cs="Times New Roman"/>
          <w:sz w:val="24"/>
        </w:rPr>
        <w:t>% were aged 3</w:t>
      </w:r>
      <w:r w:rsidR="00327872">
        <w:rPr>
          <w:rFonts w:ascii="Times New Roman" w:eastAsia="Calibri" w:hAnsi="Times New Roman" w:cs="Times New Roman"/>
          <w:sz w:val="24"/>
        </w:rPr>
        <w:t>1</w:t>
      </w:r>
      <w:r w:rsidRPr="00404250">
        <w:rPr>
          <w:rFonts w:ascii="Times New Roman" w:eastAsia="Calibri" w:hAnsi="Times New Roman" w:cs="Times New Roman"/>
          <w:sz w:val="24"/>
        </w:rPr>
        <w:t>–</w:t>
      </w:r>
      <w:r w:rsidR="00327872">
        <w:rPr>
          <w:rFonts w:ascii="Times New Roman" w:eastAsia="Calibri" w:hAnsi="Times New Roman" w:cs="Times New Roman"/>
          <w:sz w:val="24"/>
        </w:rPr>
        <w:t>35</w:t>
      </w:r>
      <w:r w:rsidRPr="00404250">
        <w:rPr>
          <w:rFonts w:ascii="Times New Roman" w:eastAsia="Calibri" w:hAnsi="Times New Roman" w:cs="Times New Roman"/>
          <w:sz w:val="24"/>
        </w:rPr>
        <w:t xml:space="preserve">, </w:t>
      </w:r>
      <w:r w:rsidR="005818F5">
        <w:rPr>
          <w:rFonts w:ascii="Times New Roman" w:eastAsia="Calibri" w:hAnsi="Times New Roman" w:cs="Times New Roman"/>
          <w:sz w:val="24"/>
        </w:rPr>
        <w:t>2</w:t>
      </w:r>
      <w:r w:rsidRPr="00404250">
        <w:rPr>
          <w:rFonts w:ascii="Times New Roman" w:eastAsia="Calibri" w:hAnsi="Times New Roman" w:cs="Times New Roman"/>
          <w:sz w:val="24"/>
        </w:rPr>
        <w:t xml:space="preserve">% were </w:t>
      </w:r>
      <w:r w:rsidR="00327872">
        <w:rPr>
          <w:rFonts w:ascii="Times New Roman" w:eastAsia="Calibri" w:hAnsi="Times New Roman" w:cs="Times New Roman"/>
          <w:sz w:val="24"/>
        </w:rPr>
        <w:t>36</w:t>
      </w:r>
      <w:r w:rsidRPr="00404250">
        <w:rPr>
          <w:rFonts w:ascii="Times New Roman" w:eastAsia="Calibri" w:hAnsi="Times New Roman" w:cs="Times New Roman"/>
          <w:sz w:val="24"/>
        </w:rPr>
        <w:t>–</w:t>
      </w:r>
      <w:r w:rsidR="00327872">
        <w:rPr>
          <w:rFonts w:ascii="Times New Roman" w:eastAsia="Calibri" w:hAnsi="Times New Roman" w:cs="Times New Roman"/>
          <w:sz w:val="24"/>
        </w:rPr>
        <w:t xml:space="preserve">40 </w:t>
      </w:r>
      <w:r w:rsidRPr="00404250">
        <w:rPr>
          <w:rFonts w:ascii="Times New Roman" w:eastAsia="Calibri" w:hAnsi="Times New Roman" w:cs="Times New Roman"/>
          <w:sz w:val="24"/>
        </w:rPr>
        <w:t xml:space="preserve">years. </w:t>
      </w:r>
      <w:r w:rsidRPr="00404250">
        <w:rPr>
          <w:rFonts w:ascii="Times New Roman" w:eastAsia="Aptos" w:hAnsi="Times New Roman" w:cs="Times New Roman"/>
          <w:kern w:val="2"/>
          <w:sz w:val="24"/>
          <w:szCs w:val="24"/>
          <w14:ligatures w14:val="standardContextual"/>
        </w:rPr>
        <w:t xml:space="preserve">In terms of educational attainment, the largest proportion of respondents (33%) had completed secondary education, followed by 22.9% with tertiary education, 19.3% holding college diplomas or certificates, 14.1% with primary education, and 8.2% possessing a university degree. These results indicate that the majority of </w:t>
      </w:r>
      <w:r w:rsidR="007736F7">
        <w:rPr>
          <w:rFonts w:ascii="Times New Roman" w:eastAsia="Aptos" w:hAnsi="Times New Roman" w:cs="Times New Roman"/>
          <w:kern w:val="2"/>
          <w:sz w:val="24"/>
          <w:szCs w:val="24"/>
          <w14:ligatures w14:val="standardContextual"/>
        </w:rPr>
        <w:t>youth</w:t>
      </w:r>
      <w:r w:rsidRPr="00404250">
        <w:rPr>
          <w:rFonts w:ascii="Times New Roman" w:eastAsia="Aptos" w:hAnsi="Times New Roman" w:cs="Times New Roman"/>
          <w:kern w:val="2"/>
          <w:sz w:val="24"/>
          <w:szCs w:val="24"/>
          <w14:ligatures w14:val="standardContextual"/>
        </w:rPr>
        <w:t xml:space="preserve"> are literate and possess varying levels of formal education</w:t>
      </w:r>
      <w:r>
        <w:rPr>
          <w:rFonts w:ascii="Times New Roman" w:eastAsia="Aptos" w:hAnsi="Times New Roman" w:cs="Times New Roman"/>
          <w:kern w:val="2"/>
          <w:sz w:val="24"/>
          <w:szCs w:val="24"/>
          <w14:ligatures w14:val="standardContextual"/>
        </w:rPr>
        <w:t>.</w:t>
      </w:r>
      <w:r w:rsidR="007736F7" w:rsidRPr="007736F7">
        <w:rPr>
          <w:rFonts w:ascii="Times New Roman" w:eastAsia="Aptos" w:hAnsi="Times New Roman" w:cs="Times New Roman"/>
          <w:kern w:val="2"/>
          <w:sz w:val="24"/>
          <w:szCs w:val="24"/>
          <w14:ligatures w14:val="standardContextual"/>
        </w:rPr>
        <w:t xml:space="preserve"> </w:t>
      </w:r>
      <w:r w:rsidR="007736F7">
        <w:rPr>
          <w:rFonts w:ascii="Times New Roman" w:eastAsia="Aptos" w:hAnsi="Times New Roman" w:cs="Times New Roman"/>
          <w:kern w:val="2"/>
          <w:sz w:val="24"/>
          <w:szCs w:val="24"/>
          <w14:ligatures w14:val="standardContextual"/>
        </w:rPr>
        <w:t>Finally, m</w:t>
      </w:r>
      <w:r w:rsidR="007736F7" w:rsidRPr="007736F7">
        <w:rPr>
          <w:rFonts w:ascii="Times New Roman" w:eastAsia="Aptos" w:hAnsi="Times New Roman" w:cs="Times New Roman"/>
          <w:kern w:val="2"/>
          <w:sz w:val="24"/>
          <w:szCs w:val="24"/>
          <w14:ligatures w14:val="standardContextual"/>
        </w:rPr>
        <w:t xml:space="preserve">ost youth had been on the program for a duration one year and below constituting 40.9 percentage. Followed by those who </w:t>
      </w:r>
      <w:r w:rsidR="007736F7" w:rsidRPr="007736F7">
        <w:rPr>
          <w:rFonts w:ascii="Times New Roman" w:eastAsia="Aptos" w:hAnsi="Times New Roman" w:cs="Times New Roman"/>
          <w:kern w:val="2"/>
          <w:sz w:val="24"/>
          <w:szCs w:val="24"/>
          <w14:ligatures w14:val="standardContextual"/>
        </w:rPr>
        <w:lastRenderedPageBreak/>
        <w:t>had been on the program for a duration of 1- 2 years at 35.5 percent, between 3-4 years at 15.6 percent, between 5-7 years at 5.9 percent and above 8 years representing 2.2 percen</w:t>
      </w:r>
      <w:r w:rsidR="007736F7">
        <w:rPr>
          <w:rFonts w:ascii="Times New Roman" w:eastAsia="Aptos" w:hAnsi="Times New Roman" w:cs="Times New Roman"/>
          <w:kern w:val="2"/>
          <w:sz w:val="24"/>
          <w:szCs w:val="24"/>
          <w14:ligatures w14:val="standardContextual"/>
        </w:rPr>
        <w:t>t.</w:t>
      </w:r>
    </w:p>
    <w:p w14:paraId="62769F7F" w14:textId="00614DDF" w:rsidR="008619B0" w:rsidRPr="008619B0" w:rsidRDefault="00E32CE4" w:rsidP="00F561E9">
      <w:pPr>
        <w:pStyle w:val="Footer"/>
        <w:autoSpaceDE w:val="0"/>
        <w:autoSpaceDN w:val="0"/>
        <w:adjustRightInd w:val="0"/>
        <w:spacing w:line="480" w:lineRule="auto"/>
        <w:jc w:val="both"/>
        <w:rPr>
          <w:rFonts w:ascii="Times New Roman" w:eastAsia="Aptos" w:hAnsi="Times New Roman" w:cs="Times New Roman"/>
          <w:b/>
          <w:bCs/>
          <w:color w:val="000000"/>
          <w:kern w:val="2"/>
          <w:sz w:val="24"/>
          <w:szCs w:val="24"/>
          <w14:ligatures w14:val="standardContextual"/>
        </w:rPr>
      </w:pPr>
      <w:bookmarkStart w:id="148" w:name="_Hlk207634177"/>
      <w:r w:rsidRPr="009B73FD">
        <w:rPr>
          <w:rFonts w:ascii="Times New Roman" w:eastAsia="Aptos" w:hAnsi="Times New Roman" w:cs="Times New Roman"/>
          <w:b/>
          <w:bCs/>
          <w:iCs/>
          <w:kern w:val="2"/>
          <w:sz w:val="24"/>
          <w:szCs w:val="24"/>
          <w14:ligatures w14:val="standardContextual"/>
        </w:rPr>
        <w:t>Table 2:</w:t>
      </w:r>
      <w:bookmarkEnd w:id="148"/>
      <w:r w:rsidRPr="00E32CE4">
        <w:rPr>
          <w:rFonts w:ascii="Times New Roman" w:eastAsia="Aptos" w:hAnsi="Times New Roman" w:cs="Times New Roman"/>
          <w:b/>
          <w:bCs/>
          <w:i/>
          <w:kern w:val="2"/>
          <w:sz w:val="24"/>
          <w:szCs w:val="24"/>
          <w14:ligatures w14:val="standardContextual"/>
        </w:rPr>
        <w:t xml:space="preserve"> </w:t>
      </w:r>
      <w:r w:rsidR="008619B0">
        <w:rPr>
          <w:rFonts w:ascii="Times New Roman" w:eastAsia="Aptos" w:hAnsi="Times New Roman" w:cs="Times New Roman"/>
          <w:b/>
          <w:bCs/>
          <w:color w:val="000000"/>
          <w:kern w:val="2"/>
          <w:sz w:val="24"/>
          <w:szCs w:val="24"/>
          <w14:ligatures w14:val="standardContextual"/>
        </w:rPr>
        <w:t>Descriptive statistics on</w:t>
      </w:r>
      <w:r w:rsidR="008619B0" w:rsidRPr="008619B0">
        <w:rPr>
          <w:rFonts w:ascii="Times New Roman" w:eastAsia="Times New Roman" w:hAnsi="Times New Roman" w:cs="Times New Roman"/>
          <w:b/>
          <w:bCs/>
          <w:sz w:val="24"/>
          <w:szCs w:val="24"/>
          <w:lang w:eastAsia="ja-JP"/>
        </w:rPr>
        <w:t xml:space="preserve"> </w:t>
      </w:r>
      <w:r w:rsidR="008619B0" w:rsidRPr="00444D35">
        <w:rPr>
          <w:rFonts w:ascii="Times New Roman" w:eastAsia="Times New Roman" w:hAnsi="Times New Roman" w:cs="Times New Roman"/>
          <w:b/>
          <w:bCs/>
          <w:sz w:val="24"/>
          <w:szCs w:val="24"/>
          <w:lang w:eastAsia="ja-JP"/>
        </w:rPr>
        <w:t>Entrepreneurship Management Practices</w:t>
      </w:r>
      <w:r w:rsidR="008619B0">
        <w:rPr>
          <w:rFonts w:ascii="Times New Roman" w:eastAsia="Aptos" w:hAnsi="Times New Roman" w:cs="Times New Roman"/>
          <w:b/>
          <w:bCs/>
          <w:color w:val="000000"/>
          <w:kern w:val="2"/>
          <w:sz w:val="24"/>
          <w:szCs w:val="24"/>
          <w14:ligatures w14:val="standardContextual"/>
        </w:rPr>
        <w:t xml:space="preserve"> Metrics</w:t>
      </w:r>
    </w:p>
    <w:tbl>
      <w:tblPr>
        <w:tblW w:w="9270" w:type="dxa"/>
        <w:tblLayout w:type="fixed"/>
        <w:tblCellMar>
          <w:left w:w="0" w:type="dxa"/>
          <w:right w:w="0" w:type="dxa"/>
        </w:tblCellMar>
        <w:tblLook w:val="0000" w:firstRow="0" w:lastRow="0" w:firstColumn="0" w:lastColumn="0" w:noHBand="0" w:noVBand="0"/>
      </w:tblPr>
      <w:tblGrid>
        <w:gridCol w:w="6030"/>
        <w:gridCol w:w="1440"/>
        <w:gridCol w:w="1800"/>
      </w:tblGrid>
      <w:tr w:rsidR="008619B0" w:rsidRPr="008619B0" w14:paraId="4206D430" w14:textId="77777777" w:rsidTr="00C16B72">
        <w:trPr>
          <w:cantSplit/>
        </w:trPr>
        <w:tc>
          <w:tcPr>
            <w:tcW w:w="6030" w:type="dxa"/>
            <w:tcBorders>
              <w:top w:val="single" w:sz="4" w:space="0" w:color="auto"/>
              <w:left w:val="nil"/>
              <w:bottom w:val="single" w:sz="8" w:space="0" w:color="152935"/>
              <w:right w:val="nil"/>
            </w:tcBorders>
            <w:shd w:val="clear" w:color="auto" w:fill="FFFFFF"/>
            <w:vAlign w:val="bottom"/>
          </w:tcPr>
          <w:p w14:paraId="7BD1B0BC" w14:textId="0C7ED8BE" w:rsidR="008619B0" w:rsidRPr="008619B0" w:rsidRDefault="008619B0" w:rsidP="008619B0">
            <w:pPr>
              <w:autoSpaceDE w:val="0"/>
              <w:autoSpaceDN w:val="0"/>
              <w:adjustRightInd w:val="0"/>
              <w:spacing w:after="0" w:line="240" w:lineRule="auto"/>
              <w:rPr>
                <w:rFonts w:ascii="Times New Roman" w:eastAsia="Aptos" w:hAnsi="Times New Roman" w:cs="Times New Roman"/>
                <w:b/>
                <w:bCs/>
                <w:sz w:val="24"/>
                <w:szCs w:val="24"/>
                <w14:ligatures w14:val="standardContextual"/>
              </w:rPr>
            </w:pPr>
            <w:r w:rsidRPr="008619B0">
              <w:rPr>
                <w:rFonts w:ascii="Times New Roman" w:eastAsia="Aptos" w:hAnsi="Times New Roman" w:cs="Times New Roman"/>
                <w:b/>
                <w:bCs/>
                <w:sz w:val="24"/>
                <w:szCs w:val="24"/>
                <w14:ligatures w14:val="standardContextual"/>
              </w:rPr>
              <w:t>Aggregate score</w:t>
            </w:r>
          </w:p>
        </w:tc>
        <w:tc>
          <w:tcPr>
            <w:tcW w:w="144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6762830" w14:textId="77777777" w:rsidR="008619B0" w:rsidRPr="008619B0" w:rsidRDefault="008619B0" w:rsidP="008619B0">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8619B0">
              <w:rPr>
                <w:rFonts w:ascii="Times New Roman" w:eastAsia="Aptos" w:hAnsi="Times New Roman" w:cs="Times New Roman"/>
                <w:b/>
                <w:bCs/>
                <w:sz w:val="24"/>
                <w:szCs w:val="24"/>
                <w14:ligatures w14:val="standardContextual"/>
              </w:rPr>
              <w:t>Mean</w:t>
            </w:r>
          </w:p>
        </w:tc>
        <w:tc>
          <w:tcPr>
            <w:tcW w:w="1800" w:type="dxa"/>
            <w:tcBorders>
              <w:top w:val="single" w:sz="4" w:space="0" w:color="auto"/>
              <w:left w:val="single" w:sz="8" w:space="0" w:color="E0E0E0"/>
              <w:bottom w:val="single" w:sz="8" w:space="0" w:color="152935"/>
              <w:right w:val="nil"/>
            </w:tcBorders>
            <w:shd w:val="clear" w:color="auto" w:fill="FFFFFF"/>
            <w:vAlign w:val="bottom"/>
          </w:tcPr>
          <w:p w14:paraId="6DF09812" w14:textId="77777777" w:rsidR="008619B0" w:rsidRPr="008619B0" w:rsidRDefault="008619B0" w:rsidP="008619B0">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8619B0">
              <w:rPr>
                <w:rFonts w:ascii="Times New Roman" w:eastAsia="Aptos" w:hAnsi="Times New Roman" w:cs="Times New Roman"/>
                <w:b/>
                <w:bCs/>
                <w:sz w:val="24"/>
                <w:szCs w:val="24"/>
                <w14:ligatures w14:val="standardContextual"/>
              </w:rPr>
              <w:t>Std. Deviation</w:t>
            </w:r>
          </w:p>
        </w:tc>
      </w:tr>
      <w:tr w:rsidR="008619B0" w:rsidRPr="008619B0" w14:paraId="12A7CC3B" w14:textId="77777777" w:rsidTr="00C16B72">
        <w:trPr>
          <w:cantSplit/>
        </w:trPr>
        <w:tc>
          <w:tcPr>
            <w:tcW w:w="6030" w:type="dxa"/>
            <w:tcBorders>
              <w:top w:val="single" w:sz="8" w:space="0" w:color="152935"/>
              <w:left w:val="nil"/>
              <w:bottom w:val="single" w:sz="8" w:space="0" w:color="AEAEAE"/>
              <w:right w:val="nil"/>
            </w:tcBorders>
            <w:shd w:val="clear" w:color="auto" w:fill="E0E0E0"/>
          </w:tcPr>
          <w:p w14:paraId="1B0713C6" w14:textId="5363DFAA"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kern w:val="2"/>
                <w:sz w:val="24"/>
                <w:szCs w:val="24"/>
                <w14:ligatures w14:val="standardContextual"/>
              </w:rPr>
              <w:t>Resource Orientation</w:t>
            </w:r>
            <w:r w:rsidRPr="00825078">
              <w:rPr>
                <w:rFonts w:ascii="Times New Roman" w:eastAsia="Aptos" w:hAnsi="Times New Roman" w:cs="Times New Roman"/>
                <w:sz w:val="24"/>
                <w:szCs w:val="24"/>
                <w14:ligatures w14:val="standardContextual"/>
              </w:rPr>
              <w:t>.</w:t>
            </w:r>
          </w:p>
        </w:tc>
        <w:tc>
          <w:tcPr>
            <w:tcW w:w="1440" w:type="dxa"/>
            <w:tcBorders>
              <w:top w:val="single" w:sz="8" w:space="0" w:color="152935"/>
              <w:left w:val="single" w:sz="8" w:space="0" w:color="E0E0E0"/>
              <w:bottom w:val="single" w:sz="8" w:space="0" w:color="AEAEAE"/>
              <w:right w:val="single" w:sz="8" w:space="0" w:color="E0E0E0"/>
            </w:tcBorders>
            <w:shd w:val="clear" w:color="auto" w:fill="F9F9FB"/>
          </w:tcPr>
          <w:p w14:paraId="798E60B4" w14:textId="77777777"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3.75</w:t>
            </w:r>
          </w:p>
        </w:tc>
        <w:tc>
          <w:tcPr>
            <w:tcW w:w="1800" w:type="dxa"/>
            <w:tcBorders>
              <w:top w:val="single" w:sz="8" w:space="0" w:color="152935"/>
              <w:left w:val="single" w:sz="8" w:space="0" w:color="E0E0E0"/>
              <w:bottom w:val="single" w:sz="8" w:space="0" w:color="AEAEAE"/>
              <w:right w:val="nil"/>
            </w:tcBorders>
            <w:shd w:val="clear" w:color="auto" w:fill="F9F9FB"/>
          </w:tcPr>
          <w:p w14:paraId="6620C80F" w14:textId="77777777"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1.097</w:t>
            </w:r>
          </w:p>
        </w:tc>
      </w:tr>
      <w:tr w:rsidR="008619B0" w:rsidRPr="008619B0" w14:paraId="6008B5FC" w14:textId="77777777" w:rsidTr="00C16B72">
        <w:trPr>
          <w:cantSplit/>
        </w:trPr>
        <w:tc>
          <w:tcPr>
            <w:tcW w:w="6030" w:type="dxa"/>
            <w:tcBorders>
              <w:top w:val="single" w:sz="8" w:space="0" w:color="AEAEAE"/>
              <w:left w:val="nil"/>
              <w:bottom w:val="single" w:sz="8" w:space="0" w:color="AEAEAE"/>
              <w:right w:val="nil"/>
            </w:tcBorders>
            <w:shd w:val="clear" w:color="auto" w:fill="E0E0E0"/>
          </w:tcPr>
          <w:p w14:paraId="4A52B2AC" w14:textId="3E74BCFF"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color w:val="000000"/>
                <w:kern w:val="2"/>
                <w:sz w:val="24"/>
                <w:szCs w:val="24"/>
                <w14:ligatures w14:val="standardContextual"/>
              </w:rPr>
              <w:t>Entrepreneurship Culture</w:t>
            </w:r>
          </w:p>
        </w:tc>
        <w:tc>
          <w:tcPr>
            <w:tcW w:w="1440" w:type="dxa"/>
            <w:tcBorders>
              <w:top w:val="single" w:sz="8" w:space="0" w:color="AEAEAE"/>
              <w:left w:val="single" w:sz="8" w:space="0" w:color="E0E0E0"/>
              <w:bottom w:val="single" w:sz="8" w:space="0" w:color="AEAEAE"/>
              <w:right w:val="single" w:sz="8" w:space="0" w:color="E0E0E0"/>
            </w:tcBorders>
            <w:shd w:val="clear" w:color="auto" w:fill="F9F9FB"/>
          </w:tcPr>
          <w:p w14:paraId="619D5603" w14:textId="00EDBB1C"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4.10</w:t>
            </w:r>
          </w:p>
        </w:tc>
        <w:tc>
          <w:tcPr>
            <w:tcW w:w="1800" w:type="dxa"/>
            <w:tcBorders>
              <w:top w:val="single" w:sz="8" w:space="0" w:color="AEAEAE"/>
              <w:left w:val="single" w:sz="8" w:space="0" w:color="E0E0E0"/>
              <w:bottom w:val="single" w:sz="8" w:space="0" w:color="AEAEAE"/>
              <w:right w:val="nil"/>
            </w:tcBorders>
            <w:shd w:val="clear" w:color="auto" w:fill="F9F9FB"/>
          </w:tcPr>
          <w:p w14:paraId="6BF98FA6" w14:textId="0C0B82CA"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.125</w:t>
            </w:r>
          </w:p>
        </w:tc>
      </w:tr>
      <w:tr w:rsidR="008619B0" w:rsidRPr="008619B0" w14:paraId="45A322A6" w14:textId="77777777" w:rsidTr="00C16B72">
        <w:trPr>
          <w:cantSplit/>
        </w:trPr>
        <w:tc>
          <w:tcPr>
            <w:tcW w:w="6030" w:type="dxa"/>
            <w:tcBorders>
              <w:top w:val="single" w:sz="8" w:space="0" w:color="AEAEAE"/>
              <w:left w:val="nil"/>
              <w:bottom w:val="single" w:sz="8" w:space="0" w:color="AEAEAE"/>
              <w:right w:val="nil"/>
            </w:tcBorders>
            <w:shd w:val="clear" w:color="auto" w:fill="E0E0E0"/>
          </w:tcPr>
          <w:p w14:paraId="493A66ED" w14:textId="0C3214FF"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kern w:val="2"/>
                <w:sz w:val="24"/>
                <w:szCs w:val="24"/>
                <w14:ligatures w14:val="standardContextual"/>
              </w:rPr>
              <w:t>Growth Orientation</w:t>
            </w:r>
          </w:p>
        </w:tc>
        <w:tc>
          <w:tcPr>
            <w:tcW w:w="1440" w:type="dxa"/>
            <w:tcBorders>
              <w:top w:val="single" w:sz="8" w:space="0" w:color="AEAEAE"/>
              <w:left w:val="single" w:sz="8" w:space="0" w:color="E0E0E0"/>
              <w:bottom w:val="single" w:sz="8" w:space="0" w:color="AEAEAE"/>
              <w:right w:val="single" w:sz="8" w:space="0" w:color="E0E0E0"/>
            </w:tcBorders>
            <w:shd w:val="clear" w:color="auto" w:fill="F9F9FB"/>
          </w:tcPr>
          <w:p w14:paraId="608B7EE4" w14:textId="4BB9DDCF" w:rsidR="008619B0" w:rsidRPr="008619B0" w:rsidRDefault="00825078"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eastAsia="Aptos" w:hAnsi="Times New Roman" w:cs="Times New Roman"/>
                <w:sz w:val="24"/>
                <w:szCs w:val="24"/>
                <w14:ligatures w14:val="standardContextual"/>
              </w:rPr>
              <w:t>4</w:t>
            </w:r>
            <w:r w:rsidR="008619B0" w:rsidRPr="008619B0">
              <w:rPr>
                <w:rFonts w:ascii="Times New Roman" w:eastAsia="Aptos" w:hAnsi="Times New Roman" w:cs="Times New Roman"/>
                <w:sz w:val="24"/>
                <w:szCs w:val="24"/>
                <w14:ligatures w14:val="standardContextual"/>
              </w:rPr>
              <w:t>.27</w:t>
            </w:r>
          </w:p>
        </w:tc>
        <w:tc>
          <w:tcPr>
            <w:tcW w:w="1800" w:type="dxa"/>
            <w:tcBorders>
              <w:top w:val="single" w:sz="8" w:space="0" w:color="AEAEAE"/>
              <w:left w:val="single" w:sz="8" w:space="0" w:color="E0E0E0"/>
              <w:bottom w:val="single" w:sz="8" w:space="0" w:color="AEAEAE"/>
              <w:right w:val="nil"/>
            </w:tcBorders>
            <w:shd w:val="clear" w:color="auto" w:fill="F9F9FB"/>
          </w:tcPr>
          <w:p w14:paraId="628FE723" w14:textId="4D9EF511"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.187</w:t>
            </w:r>
          </w:p>
        </w:tc>
      </w:tr>
      <w:tr w:rsidR="008619B0" w:rsidRPr="008619B0" w14:paraId="585579C2" w14:textId="77777777" w:rsidTr="00C16B72">
        <w:trPr>
          <w:cantSplit/>
        </w:trPr>
        <w:tc>
          <w:tcPr>
            <w:tcW w:w="6030" w:type="dxa"/>
            <w:tcBorders>
              <w:top w:val="single" w:sz="8" w:space="0" w:color="AEAEAE"/>
              <w:left w:val="nil"/>
              <w:bottom w:val="single" w:sz="8" w:space="0" w:color="AEAEAE"/>
              <w:right w:val="nil"/>
            </w:tcBorders>
            <w:shd w:val="clear" w:color="auto" w:fill="E0E0E0"/>
          </w:tcPr>
          <w:p w14:paraId="1E751A97" w14:textId="05F70277"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color w:val="000000"/>
                <w:kern w:val="2"/>
                <w:sz w:val="24"/>
                <w:szCs w:val="24"/>
                <w14:ligatures w14:val="standardContextual"/>
              </w:rPr>
              <w:t>Management Structure</w:t>
            </w:r>
          </w:p>
        </w:tc>
        <w:tc>
          <w:tcPr>
            <w:tcW w:w="1440" w:type="dxa"/>
            <w:tcBorders>
              <w:top w:val="single" w:sz="8" w:space="0" w:color="AEAEAE"/>
              <w:left w:val="single" w:sz="8" w:space="0" w:color="E0E0E0"/>
              <w:bottom w:val="single" w:sz="8" w:space="0" w:color="AEAEAE"/>
              <w:right w:val="single" w:sz="8" w:space="0" w:color="E0E0E0"/>
            </w:tcBorders>
            <w:shd w:val="clear" w:color="auto" w:fill="F9F9FB"/>
          </w:tcPr>
          <w:p w14:paraId="0D89D5FF" w14:textId="0FEA59E2" w:rsidR="008619B0" w:rsidRPr="008619B0" w:rsidRDefault="00825078"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eastAsia="Aptos" w:hAnsi="Times New Roman" w:cs="Times New Roman"/>
                <w:sz w:val="24"/>
                <w:szCs w:val="24"/>
                <w14:ligatures w14:val="standardContextual"/>
              </w:rPr>
              <w:t>4</w:t>
            </w:r>
            <w:r w:rsidR="008619B0" w:rsidRPr="008619B0">
              <w:rPr>
                <w:rFonts w:ascii="Times New Roman" w:eastAsia="Aptos" w:hAnsi="Times New Roman" w:cs="Times New Roman"/>
                <w:sz w:val="24"/>
                <w:szCs w:val="24"/>
                <w14:ligatures w14:val="standardContextual"/>
              </w:rPr>
              <w:t>.28</w:t>
            </w:r>
          </w:p>
        </w:tc>
        <w:tc>
          <w:tcPr>
            <w:tcW w:w="1800" w:type="dxa"/>
            <w:tcBorders>
              <w:top w:val="single" w:sz="8" w:space="0" w:color="AEAEAE"/>
              <w:left w:val="single" w:sz="8" w:space="0" w:color="E0E0E0"/>
              <w:bottom w:val="single" w:sz="8" w:space="0" w:color="AEAEAE"/>
              <w:right w:val="nil"/>
            </w:tcBorders>
            <w:shd w:val="clear" w:color="auto" w:fill="F9F9FB"/>
          </w:tcPr>
          <w:p w14:paraId="7BE34185" w14:textId="2C86E228"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.172</w:t>
            </w:r>
          </w:p>
        </w:tc>
      </w:tr>
      <w:tr w:rsidR="008619B0" w:rsidRPr="008619B0" w14:paraId="381EF74F" w14:textId="77777777" w:rsidTr="00C16B72">
        <w:trPr>
          <w:cantSplit/>
        </w:trPr>
        <w:tc>
          <w:tcPr>
            <w:tcW w:w="6030" w:type="dxa"/>
            <w:tcBorders>
              <w:top w:val="single" w:sz="8" w:space="0" w:color="AEAEAE"/>
              <w:left w:val="nil"/>
              <w:bottom w:val="single" w:sz="8" w:space="0" w:color="152935"/>
              <w:right w:val="nil"/>
            </w:tcBorders>
            <w:shd w:val="clear" w:color="auto" w:fill="E0E0E0"/>
          </w:tcPr>
          <w:p w14:paraId="622CFDC9" w14:textId="0877D8CE"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kern w:val="2"/>
                <w:sz w:val="24"/>
                <w:szCs w:val="24"/>
                <w14:ligatures w14:val="standardContextual"/>
              </w:rPr>
              <w:t>Youth Empowerment</w:t>
            </w:r>
          </w:p>
        </w:tc>
        <w:tc>
          <w:tcPr>
            <w:tcW w:w="144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31100F3" w14:textId="5258E087" w:rsidR="008619B0" w:rsidRPr="008619B0" w:rsidRDefault="00825078" w:rsidP="008619B0">
            <w:pPr>
              <w:autoSpaceDE w:val="0"/>
              <w:autoSpaceDN w:val="0"/>
              <w:adjustRightInd w:val="0"/>
              <w:spacing w:after="0" w:line="240" w:lineRule="auto"/>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4</w:t>
            </w:r>
            <w:r w:rsidR="008619B0" w:rsidRPr="00825078">
              <w:rPr>
                <w:rFonts w:ascii="Times New Roman" w:hAnsi="Times New Roman" w:cs="Times New Roman"/>
                <w:sz w:val="24"/>
                <w:szCs w:val="24"/>
              </w:rPr>
              <w:t>.21</w:t>
            </w:r>
          </w:p>
        </w:tc>
        <w:tc>
          <w:tcPr>
            <w:tcW w:w="1800" w:type="dxa"/>
            <w:tcBorders>
              <w:top w:val="single" w:sz="8" w:space="0" w:color="AEAEAE"/>
              <w:left w:val="single" w:sz="8" w:space="0" w:color="E0E0E0"/>
              <w:bottom w:val="single" w:sz="8" w:space="0" w:color="152935"/>
              <w:right w:val="nil"/>
            </w:tcBorders>
            <w:shd w:val="clear" w:color="auto" w:fill="F9F9FB"/>
            <w:vAlign w:val="center"/>
          </w:tcPr>
          <w:p w14:paraId="6E5E70EC" w14:textId="36AA76C2" w:rsidR="008619B0" w:rsidRPr="008619B0" w:rsidRDefault="008619B0" w:rsidP="008619B0">
            <w:pPr>
              <w:autoSpaceDE w:val="0"/>
              <w:autoSpaceDN w:val="0"/>
              <w:adjustRightInd w:val="0"/>
              <w:spacing w:after="0" w:line="240" w:lineRule="auto"/>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.321</w:t>
            </w:r>
          </w:p>
        </w:tc>
      </w:tr>
    </w:tbl>
    <w:p w14:paraId="1ED7C89E" w14:textId="1527928C" w:rsidR="00E32CE4" w:rsidRDefault="008F0FFC" w:rsidP="00F561E9">
      <w:pPr>
        <w:pStyle w:val="Footer"/>
        <w:autoSpaceDE w:val="0"/>
        <w:autoSpaceDN w:val="0"/>
        <w:adjustRightInd w:val="0"/>
        <w:spacing w:line="480" w:lineRule="auto"/>
        <w:jc w:val="both"/>
        <w:rPr>
          <w:rFonts w:ascii="Times New Roman" w:hAnsi="Times New Roman" w:cs="Times New Roman"/>
          <w:b/>
          <w:sz w:val="24"/>
          <w:szCs w:val="24"/>
        </w:rPr>
      </w:pPr>
      <w:r w:rsidRPr="008F0FFC">
        <w:rPr>
          <w:rFonts w:ascii="Times New Roman" w:eastAsia="Calibri" w:hAnsi="Times New Roman" w:cs="Times New Roman"/>
          <w:b/>
          <w:sz w:val="24"/>
          <w:szCs w:val="24"/>
          <w:lang w:val="en-GB"/>
        </w:rPr>
        <w:t>Source: Research Data, (202</w:t>
      </w:r>
      <w:r>
        <w:rPr>
          <w:rFonts w:ascii="Times New Roman" w:eastAsia="Calibri" w:hAnsi="Times New Roman" w:cs="Times New Roman"/>
          <w:b/>
          <w:sz w:val="24"/>
          <w:szCs w:val="24"/>
          <w:lang w:val="en-GB"/>
        </w:rPr>
        <w:t>5</w:t>
      </w:r>
      <w:r w:rsidRPr="008F0FFC">
        <w:rPr>
          <w:rFonts w:ascii="Times New Roman" w:eastAsia="Calibri" w:hAnsi="Times New Roman" w:cs="Times New Roman"/>
          <w:b/>
          <w:sz w:val="24"/>
          <w:szCs w:val="24"/>
          <w:lang w:val="en-GB"/>
        </w:rPr>
        <w:t>)</w:t>
      </w:r>
    </w:p>
    <w:p w14:paraId="4F16F1FF" w14:textId="6CDF9E53" w:rsidR="008F0FFC" w:rsidRDefault="00ED59C7" w:rsidP="00825078">
      <w:pPr>
        <w:pStyle w:val="Footer"/>
        <w:autoSpaceDE w:val="0"/>
        <w:autoSpaceDN w:val="0"/>
        <w:adjustRightInd w:val="0"/>
        <w:spacing w:line="480" w:lineRule="auto"/>
        <w:jc w:val="both"/>
        <w:rPr>
          <w:rFonts w:ascii="Times New Roman" w:eastAsia="Aptos" w:hAnsi="Times New Roman" w:cs="Times New Roman"/>
          <w:bCs/>
          <w:kern w:val="2"/>
          <w:sz w:val="24"/>
          <w:szCs w:val="24"/>
          <w14:ligatures w14:val="standardContextual"/>
        </w:rPr>
      </w:pPr>
      <w:r>
        <w:rPr>
          <w:rFonts w:ascii="Times New Roman" w:eastAsia="Calibri" w:hAnsi="Times New Roman" w:cs="Times New Roman"/>
          <w:sz w:val="24"/>
          <w:szCs w:val="24"/>
          <w:lang w:val="en-GB" w:eastAsia="en-GB"/>
        </w:rPr>
        <w:t>Table 2 above indicated that a</w:t>
      </w:r>
      <w:r w:rsidRPr="00ED59C7">
        <w:rPr>
          <w:rFonts w:ascii="Times New Roman" w:eastAsia="Calibri" w:hAnsi="Times New Roman" w:cs="Times New Roman"/>
          <w:sz w:val="24"/>
          <w:szCs w:val="24"/>
          <w:lang w:val="en-GB" w:eastAsia="en-GB"/>
        </w:rPr>
        <w:t xml:space="preserve">ll the responses on </w:t>
      </w:r>
      <w:bookmarkStart w:id="149" w:name="_Hlk207633316"/>
      <w:r w:rsidR="008619B0">
        <w:rPr>
          <w:rFonts w:ascii="Times New Roman" w:eastAsia="Calibri" w:hAnsi="Times New Roman" w:cs="Times New Roman"/>
          <w:sz w:val="24"/>
          <w:szCs w:val="24"/>
          <w:lang w:val="en-GB" w:eastAsia="en-GB"/>
        </w:rPr>
        <w:t>resource orientation, entrepreneurship culture, growth orientation, management structure</w:t>
      </w:r>
      <w:bookmarkEnd w:id="149"/>
      <w:r w:rsidR="008619B0">
        <w:rPr>
          <w:rFonts w:ascii="Times New Roman" w:eastAsia="Calibri" w:hAnsi="Times New Roman" w:cs="Times New Roman"/>
          <w:sz w:val="24"/>
          <w:szCs w:val="24"/>
          <w:lang w:val="en-GB" w:eastAsia="en-GB"/>
        </w:rPr>
        <w:t xml:space="preserve"> and youth employment</w:t>
      </w:r>
      <w:r w:rsidRPr="00ED59C7">
        <w:rPr>
          <w:rFonts w:ascii="Times New Roman" w:eastAsia="Calibri" w:hAnsi="Times New Roman" w:cs="Times New Roman"/>
          <w:sz w:val="24"/>
          <w:szCs w:val="24"/>
          <w:lang w:val="en-GB" w:eastAsia="en-GB"/>
        </w:rPr>
        <w:t xml:space="preserve"> ha</w:t>
      </w:r>
      <w:r>
        <w:rPr>
          <w:rFonts w:ascii="Times New Roman" w:eastAsia="Calibri" w:hAnsi="Times New Roman" w:cs="Times New Roman"/>
          <w:sz w:val="24"/>
          <w:szCs w:val="24"/>
          <w:lang w:val="en-GB" w:eastAsia="en-GB"/>
        </w:rPr>
        <w:t>d</w:t>
      </w:r>
      <w:r w:rsidRPr="00ED59C7">
        <w:rPr>
          <w:rFonts w:ascii="Times New Roman" w:eastAsia="Calibri" w:hAnsi="Times New Roman" w:cs="Times New Roman"/>
          <w:sz w:val="24"/>
          <w:szCs w:val="24"/>
          <w:lang w:val="en-GB" w:eastAsia="en-GB"/>
        </w:rPr>
        <w:t xml:space="preserve"> an aggregated mean score of </w:t>
      </w:r>
      <w:r w:rsidR="00825078">
        <w:rPr>
          <w:rFonts w:ascii="Times New Roman" w:eastAsia="Calibri" w:hAnsi="Times New Roman" w:cs="Times New Roman"/>
          <w:sz w:val="24"/>
          <w:szCs w:val="24"/>
          <w:lang w:val="en-GB" w:eastAsia="en-GB"/>
        </w:rPr>
        <w:t>3.78</w:t>
      </w:r>
      <w:r w:rsidRPr="00ED59C7">
        <w:rPr>
          <w:rFonts w:ascii="Times New Roman" w:eastAsia="Calibri" w:hAnsi="Times New Roman" w:cs="Times New Roman"/>
          <w:sz w:val="24"/>
          <w:szCs w:val="24"/>
          <w:lang w:val="en-GB" w:eastAsia="en-GB"/>
        </w:rPr>
        <w:t>,</w:t>
      </w:r>
      <w:r w:rsidR="00825078">
        <w:rPr>
          <w:rFonts w:ascii="Times New Roman" w:eastAsia="Calibri" w:hAnsi="Times New Roman" w:cs="Times New Roman"/>
          <w:sz w:val="24"/>
          <w:szCs w:val="24"/>
          <w:lang w:val="en-GB" w:eastAsia="en-GB"/>
        </w:rPr>
        <w:t xml:space="preserve"> 4.10, 4.27, 4.28, 4.21 </w:t>
      </w:r>
      <w:r w:rsidRPr="00ED59C7">
        <w:rPr>
          <w:rFonts w:ascii="Times New Roman" w:eastAsia="Calibri" w:hAnsi="Times New Roman" w:cs="Times New Roman"/>
          <w:sz w:val="24"/>
          <w:szCs w:val="24"/>
          <w:lang w:val="en-GB" w:eastAsia="en-GB"/>
        </w:rPr>
        <w:t xml:space="preserve">and a deviation of </w:t>
      </w:r>
      <w:r w:rsidR="00825078">
        <w:rPr>
          <w:rFonts w:ascii="Times New Roman" w:eastAsia="Calibri" w:hAnsi="Times New Roman" w:cs="Times New Roman"/>
          <w:sz w:val="24"/>
          <w:szCs w:val="24"/>
          <w:lang w:val="en-GB" w:eastAsia="en-GB"/>
        </w:rPr>
        <w:t>1.097, .125, .187,.172 and .321</w:t>
      </w:r>
      <w:r w:rsidRPr="00ED59C7">
        <w:rPr>
          <w:rFonts w:ascii="Times New Roman" w:eastAsia="Calibri" w:hAnsi="Times New Roman" w:cs="Times New Roman"/>
          <w:sz w:val="24"/>
          <w:szCs w:val="24"/>
          <w:lang w:val="en-GB" w:eastAsia="en-GB"/>
        </w:rPr>
        <w:t xml:space="preserve"> implying that the </w:t>
      </w:r>
      <w:r w:rsidR="00825078" w:rsidRPr="00825078">
        <w:rPr>
          <w:rFonts w:ascii="Times New Roman" w:eastAsia="Aptos" w:hAnsi="Times New Roman" w:cs="Times New Roman"/>
          <w:kern w:val="2"/>
          <w:sz w:val="24"/>
          <w:szCs w:val="24"/>
          <w14:ligatures w14:val="standardContextual"/>
        </w:rPr>
        <w:t xml:space="preserve">most respondents agreed to the statement </w:t>
      </w:r>
      <w:r w:rsidR="00825078" w:rsidRPr="00825078">
        <w:rPr>
          <w:rFonts w:ascii="Times New Roman" w:eastAsia="Aptos" w:hAnsi="Times New Roman" w:cs="Times New Roman"/>
          <w:bCs/>
          <w:kern w:val="2"/>
          <w:sz w:val="24"/>
          <w:szCs w:val="24"/>
          <w14:ligatures w14:val="standardContextual"/>
        </w:rPr>
        <w:t>that youth are pleased with our trainings on entrepreneurship</w:t>
      </w:r>
      <w:r w:rsidR="00825078">
        <w:rPr>
          <w:rFonts w:ascii="Times New Roman" w:eastAsia="Aptos" w:hAnsi="Times New Roman" w:cs="Times New Roman"/>
          <w:bCs/>
          <w:kern w:val="2"/>
          <w:sz w:val="24"/>
          <w:szCs w:val="24"/>
          <w14:ligatures w14:val="standardContextual"/>
        </w:rPr>
        <w:t>.</w:t>
      </w:r>
    </w:p>
    <w:p w14:paraId="06720843" w14:textId="77777777" w:rsidR="00D83B4B" w:rsidRDefault="00D83B4B" w:rsidP="00326439">
      <w:pPr>
        <w:spacing w:after="0" w:line="480" w:lineRule="auto"/>
        <w:jc w:val="both"/>
        <w:rPr>
          <w:rFonts w:ascii="Times New Roman" w:eastAsia="Aptos" w:hAnsi="Times New Roman" w:cs="Times New Roman"/>
          <w:b/>
          <w:bCs/>
          <w:iCs/>
          <w:kern w:val="2"/>
          <w:sz w:val="24"/>
          <w:szCs w:val="24"/>
          <w14:ligatures w14:val="standardContextual"/>
        </w:rPr>
      </w:pPr>
      <w:bookmarkStart w:id="150" w:name="_Toc202886210"/>
    </w:p>
    <w:p w14:paraId="0AA50C53" w14:textId="77777777" w:rsidR="00D83B4B" w:rsidRDefault="00D83B4B" w:rsidP="00326439">
      <w:pPr>
        <w:spacing w:after="0" w:line="480" w:lineRule="auto"/>
        <w:jc w:val="both"/>
        <w:rPr>
          <w:rFonts w:ascii="Times New Roman" w:eastAsia="Aptos" w:hAnsi="Times New Roman" w:cs="Times New Roman"/>
          <w:b/>
          <w:bCs/>
          <w:iCs/>
          <w:kern w:val="2"/>
          <w:sz w:val="24"/>
          <w:szCs w:val="24"/>
          <w14:ligatures w14:val="standardContextual"/>
        </w:rPr>
      </w:pPr>
    </w:p>
    <w:p w14:paraId="71327B82" w14:textId="5FB3AA9C" w:rsidR="00326439" w:rsidRPr="00326439" w:rsidRDefault="00326439" w:rsidP="00326439">
      <w:pPr>
        <w:spacing w:after="0" w:line="480" w:lineRule="auto"/>
        <w:jc w:val="both"/>
        <w:rPr>
          <w:rFonts w:ascii="Times New Roman" w:eastAsia="Aptos" w:hAnsi="Times New Roman" w:cs="Times New Roman"/>
          <w:b/>
          <w:bCs/>
          <w:kern w:val="2"/>
          <w:sz w:val="24"/>
          <w:szCs w:val="24"/>
          <w14:ligatures w14:val="standardContextual"/>
        </w:rPr>
      </w:pPr>
      <w:r w:rsidRPr="009B73FD">
        <w:rPr>
          <w:rFonts w:ascii="Times New Roman" w:eastAsia="Aptos" w:hAnsi="Times New Roman" w:cs="Times New Roman"/>
          <w:b/>
          <w:bCs/>
          <w:iCs/>
          <w:kern w:val="2"/>
          <w:sz w:val="24"/>
          <w:szCs w:val="24"/>
          <w14:ligatures w14:val="standardContextual"/>
        </w:rPr>
        <w:t>Table 3</w:t>
      </w:r>
      <w:r w:rsidRPr="00E32CE4">
        <w:rPr>
          <w:rFonts w:ascii="Times New Roman" w:eastAsia="Aptos" w:hAnsi="Times New Roman" w:cs="Times New Roman"/>
          <w:b/>
          <w:bCs/>
          <w:i/>
          <w:kern w:val="2"/>
          <w:sz w:val="24"/>
          <w:szCs w:val="24"/>
          <w14:ligatures w14:val="standardContextual"/>
        </w:rPr>
        <w:t>:</w:t>
      </w:r>
      <w:r>
        <w:rPr>
          <w:rFonts w:ascii="Times New Roman" w:eastAsia="Aptos" w:hAnsi="Times New Roman" w:cs="Times New Roman"/>
          <w:b/>
          <w:bCs/>
          <w:i/>
          <w:kern w:val="2"/>
          <w:sz w:val="24"/>
          <w:szCs w:val="24"/>
          <w14:ligatures w14:val="standardContextual"/>
        </w:rPr>
        <w:t xml:space="preserve"> </w:t>
      </w:r>
      <w:r w:rsidRPr="00326439">
        <w:rPr>
          <w:rFonts w:ascii="Times New Roman" w:eastAsia="Aptos" w:hAnsi="Times New Roman" w:cs="Times New Roman"/>
          <w:b/>
          <w:bCs/>
          <w:kern w:val="2"/>
          <w:sz w:val="24"/>
          <w:szCs w:val="24"/>
          <w14:ligatures w14:val="standardContextual"/>
        </w:rPr>
        <w:t>Model Summary</w:t>
      </w:r>
      <w:bookmarkEnd w:id="150"/>
    </w:p>
    <w:tbl>
      <w:tblPr>
        <w:tblW w:w="7380" w:type="dxa"/>
        <w:tblLayout w:type="fixed"/>
        <w:tblCellMar>
          <w:left w:w="0" w:type="dxa"/>
          <w:right w:w="0" w:type="dxa"/>
        </w:tblCellMar>
        <w:tblLook w:val="0000" w:firstRow="0" w:lastRow="0" w:firstColumn="0" w:lastColumn="0" w:noHBand="0" w:noVBand="0"/>
      </w:tblPr>
      <w:tblGrid>
        <w:gridCol w:w="795"/>
        <w:gridCol w:w="1455"/>
        <w:gridCol w:w="1080"/>
        <w:gridCol w:w="1890"/>
        <w:gridCol w:w="2160"/>
      </w:tblGrid>
      <w:tr w:rsidR="00326439" w:rsidRPr="00326439" w14:paraId="4A87F17D" w14:textId="77777777" w:rsidTr="00C16B72">
        <w:trPr>
          <w:cantSplit/>
        </w:trPr>
        <w:tc>
          <w:tcPr>
            <w:tcW w:w="795" w:type="dxa"/>
            <w:tcBorders>
              <w:top w:val="single" w:sz="4" w:space="0" w:color="auto"/>
              <w:left w:val="nil"/>
              <w:bottom w:val="single" w:sz="8" w:space="0" w:color="152935"/>
              <w:right w:val="nil"/>
            </w:tcBorders>
            <w:shd w:val="clear" w:color="auto" w:fill="FFFFFF"/>
            <w:vAlign w:val="bottom"/>
          </w:tcPr>
          <w:p w14:paraId="38B91347" w14:textId="77777777" w:rsidR="00326439" w:rsidRPr="00326439" w:rsidRDefault="00326439" w:rsidP="00326439">
            <w:pPr>
              <w:autoSpaceDE w:val="0"/>
              <w:autoSpaceDN w:val="0"/>
              <w:adjustRightInd w:val="0"/>
              <w:spacing w:after="0" w:line="320" w:lineRule="atLeast"/>
              <w:ind w:left="60" w:right="60"/>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Model</w:t>
            </w:r>
          </w:p>
        </w:tc>
        <w:tc>
          <w:tcPr>
            <w:tcW w:w="1455" w:type="dxa"/>
            <w:tcBorders>
              <w:top w:val="single" w:sz="4" w:space="0" w:color="auto"/>
              <w:left w:val="nil"/>
              <w:bottom w:val="single" w:sz="8" w:space="0" w:color="152935"/>
              <w:right w:val="single" w:sz="8" w:space="0" w:color="E0E0E0"/>
            </w:tcBorders>
            <w:shd w:val="clear" w:color="auto" w:fill="FFFFFF"/>
            <w:vAlign w:val="bottom"/>
          </w:tcPr>
          <w:p w14:paraId="2F2557BF"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R</w:t>
            </w:r>
          </w:p>
        </w:tc>
        <w:tc>
          <w:tcPr>
            <w:tcW w:w="108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6A402C4"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R Square</w:t>
            </w:r>
          </w:p>
        </w:tc>
        <w:tc>
          <w:tcPr>
            <w:tcW w:w="189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D0B04E1"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Adjusted R Square</w:t>
            </w:r>
          </w:p>
        </w:tc>
        <w:tc>
          <w:tcPr>
            <w:tcW w:w="2160" w:type="dxa"/>
            <w:tcBorders>
              <w:top w:val="single" w:sz="4" w:space="0" w:color="auto"/>
              <w:left w:val="single" w:sz="8" w:space="0" w:color="E0E0E0"/>
              <w:bottom w:val="single" w:sz="8" w:space="0" w:color="152935"/>
              <w:right w:val="nil"/>
            </w:tcBorders>
            <w:shd w:val="clear" w:color="auto" w:fill="FFFFFF"/>
            <w:vAlign w:val="bottom"/>
          </w:tcPr>
          <w:p w14:paraId="4AC6DFE3"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Std. Error of the Estimate</w:t>
            </w:r>
          </w:p>
        </w:tc>
      </w:tr>
      <w:tr w:rsidR="00326439" w:rsidRPr="00326439" w14:paraId="692F8A39" w14:textId="77777777" w:rsidTr="00C16B72">
        <w:trPr>
          <w:cantSplit/>
        </w:trPr>
        <w:tc>
          <w:tcPr>
            <w:tcW w:w="795" w:type="dxa"/>
            <w:tcBorders>
              <w:top w:val="single" w:sz="8" w:space="0" w:color="152935"/>
              <w:left w:val="nil"/>
              <w:bottom w:val="single" w:sz="8" w:space="0" w:color="152935"/>
              <w:right w:val="nil"/>
            </w:tcBorders>
            <w:shd w:val="clear" w:color="auto" w:fill="E0E0E0"/>
          </w:tcPr>
          <w:p w14:paraId="5C482312" w14:textId="77777777" w:rsidR="00326439" w:rsidRPr="00326439" w:rsidRDefault="00326439" w:rsidP="00326439">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1</w:t>
            </w:r>
          </w:p>
        </w:tc>
        <w:tc>
          <w:tcPr>
            <w:tcW w:w="1455" w:type="dxa"/>
            <w:tcBorders>
              <w:top w:val="single" w:sz="8" w:space="0" w:color="152935"/>
              <w:left w:val="nil"/>
              <w:bottom w:val="single" w:sz="8" w:space="0" w:color="152935"/>
              <w:right w:val="single" w:sz="8" w:space="0" w:color="E0E0E0"/>
            </w:tcBorders>
            <w:shd w:val="clear" w:color="auto" w:fill="F9F9FB"/>
          </w:tcPr>
          <w:p w14:paraId="56766180"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.880</w:t>
            </w:r>
            <w:r w:rsidRPr="00326439">
              <w:rPr>
                <w:rFonts w:ascii="Times New Roman" w:eastAsia="Aptos" w:hAnsi="Times New Roman" w:cs="Times New Roman"/>
                <w:sz w:val="24"/>
                <w:szCs w:val="24"/>
                <w:vertAlign w:val="superscript"/>
                <w14:ligatures w14:val="standardContextual"/>
              </w:rPr>
              <w:t>a</w:t>
            </w:r>
          </w:p>
        </w:tc>
        <w:tc>
          <w:tcPr>
            <w:tcW w:w="1080" w:type="dxa"/>
            <w:tcBorders>
              <w:top w:val="single" w:sz="8" w:space="0" w:color="152935"/>
              <w:left w:val="single" w:sz="8" w:space="0" w:color="E0E0E0"/>
              <w:bottom w:val="single" w:sz="8" w:space="0" w:color="152935"/>
              <w:right w:val="single" w:sz="8" w:space="0" w:color="E0E0E0"/>
            </w:tcBorders>
            <w:shd w:val="clear" w:color="auto" w:fill="F9F9FB"/>
          </w:tcPr>
          <w:p w14:paraId="16873DED"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.775</w:t>
            </w:r>
          </w:p>
        </w:tc>
        <w:tc>
          <w:tcPr>
            <w:tcW w:w="1890" w:type="dxa"/>
            <w:tcBorders>
              <w:top w:val="single" w:sz="8" w:space="0" w:color="152935"/>
              <w:left w:val="single" w:sz="8" w:space="0" w:color="E0E0E0"/>
              <w:bottom w:val="single" w:sz="8" w:space="0" w:color="152935"/>
              <w:right w:val="single" w:sz="8" w:space="0" w:color="E0E0E0"/>
            </w:tcBorders>
            <w:shd w:val="clear" w:color="auto" w:fill="F9F9FB"/>
          </w:tcPr>
          <w:p w14:paraId="5D5F5914"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.774</w:t>
            </w:r>
          </w:p>
        </w:tc>
        <w:tc>
          <w:tcPr>
            <w:tcW w:w="2160" w:type="dxa"/>
            <w:tcBorders>
              <w:top w:val="single" w:sz="8" w:space="0" w:color="152935"/>
              <w:left w:val="single" w:sz="8" w:space="0" w:color="E0E0E0"/>
              <w:bottom w:val="single" w:sz="8" w:space="0" w:color="152935"/>
              <w:right w:val="nil"/>
            </w:tcBorders>
            <w:shd w:val="clear" w:color="auto" w:fill="F9F9FB"/>
          </w:tcPr>
          <w:p w14:paraId="2DE94602"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.56719</w:t>
            </w:r>
          </w:p>
        </w:tc>
      </w:tr>
      <w:tr w:rsidR="00326439" w:rsidRPr="00326439" w14:paraId="088C2E74" w14:textId="77777777" w:rsidTr="00C16B72">
        <w:trPr>
          <w:cantSplit/>
        </w:trPr>
        <w:tc>
          <w:tcPr>
            <w:tcW w:w="7380" w:type="dxa"/>
            <w:gridSpan w:val="5"/>
            <w:tcBorders>
              <w:top w:val="nil"/>
              <w:left w:val="nil"/>
              <w:bottom w:val="nil"/>
              <w:right w:val="nil"/>
            </w:tcBorders>
            <w:shd w:val="clear" w:color="auto" w:fill="FFFFFF"/>
          </w:tcPr>
          <w:p w14:paraId="5FD6A231" w14:textId="77777777" w:rsidR="00326439" w:rsidRPr="00326439" w:rsidRDefault="00326439" w:rsidP="00326439">
            <w:pPr>
              <w:spacing w:after="0" w:line="360" w:lineRule="auto"/>
              <w:rPr>
                <w:rFonts w:ascii="Times New Roman" w:eastAsia="Calibri" w:hAnsi="Times New Roman" w:cs="Times New Roman"/>
                <w:b/>
                <w:sz w:val="24"/>
                <w:szCs w:val="24"/>
                <w:lang w:val="en-GB"/>
              </w:rPr>
            </w:pPr>
            <w:bookmarkStart w:id="151" w:name="_Hlk174116489"/>
            <w:r w:rsidRPr="00326439">
              <w:rPr>
                <w:rFonts w:ascii="Times New Roman" w:eastAsia="Calibri" w:hAnsi="Times New Roman" w:cs="Times New Roman"/>
                <w:b/>
                <w:sz w:val="24"/>
                <w:szCs w:val="24"/>
                <w:lang w:val="en-GB"/>
              </w:rPr>
              <w:t>Source: Research Data, (2025)</w:t>
            </w:r>
            <w:bookmarkEnd w:id="151"/>
          </w:p>
          <w:p w14:paraId="48192ACF" w14:textId="77777777" w:rsidR="00326439" w:rsidRPr="00326439" w:rsidRDefault="00326439" w:rsidP="00326439">
            <w:pPr>
              <w:autoSpaceDE w:val="0"/>
              <w:autoSpaceDN w:val="0"/>
              <w:adjustRightInd w:val="0"/>
              <w:spacing w:after="0" w:line="320" w:lineRule="atLeast"/>
              <w:ind w:left="60" w:right="60"/>
              <w:rPr>
                <w:rFonts w:ascii="Arial" w:eastAsia="Aptos" w:hAnsi="Arial" w:cs="Arial"/>
                <w:color w:val="010205"/>
                <w:sz w:val="18"/>
                <w:szCs w:val="18"/>
                <w14:ligatures w14:val="standardContextual"/>
              </w:rPr>
            </w:pPr>
          </w:p>
        </w:tc>
      </w:tr>
    </w:tbl>
    <w:p w14:paraId="0CD02EA0" w14:textId="673CD0F7" w:rsidR="00326439" w:rsidRPr="00A85F4D" w:rsidRDefault="00326439" w:rsidP="00A85F4D">
      <w:pPr>
        <w:spacing w:after="0" w:line="480" w:lineRule="auto"/>
        <w:jc w:val="both"/>
        <w:rPr>
          <w:rFonts w:ascii="Times New Roman" w:eastAsia="Times New Roman" w:hAnsi="Times New Roman" w:cs="Times New Roman"/>
          <w:sz w:val="24"/>
          <w:szCs w:val="24"/>
        </w:rPr>
      </w:pPr>
      <w:r w:rsidRPr="00326439">
        <w:rPr>
          <w:rFonts w:ascii="Times New Roman" w:eastAsia="Times New Roman" w:hAnsi="Times New Roman" w:cs="Times New Roman"/>
          <w:sz w:val="24"/>
          <w:szCs w:val="24"/>
        </w:rPr>
        <w:t xml:space="preserve">The model summary outputs reveal that the adjusted R square is .774, indicating that the independent variables, when considered together, account for 77.4 percent of the variations in the impact of entrepreneurship management practices on youth empowerment programs </w:t>
      </w:r>
      <w:r>
        <w:rPr>
          <w:rFonts w:ascii="Times New Roman" w:eastAsia="Times New Roman" w:hAnsi="Times New Roman" w:cs="Times New Roman"/>
          <w:sz w:val="24"/>
          <w:szCs w:val="24"/>
        </w:rPr>
        <w:t>in Kilifi County</w:t>
      </w:r>
      <w:r w:rsidRPr="00326439">
        <w:rPr>
          <w:rFonts w:ascii="Times New Roman" w:eastAsia="Times New Roman" w:hAnsi="Times New Roman" w:cs="Times New Roman"/>
          <w:sz w:val="24"/>
          <w:szCs w:val="24"/>
        </w:rPr>
        <w:t>. The findings indicated that 22.6 percent of the variations on youth empowerment programs could be attributed to factors beyond entrepreneurship management practices.</w:t>
      </w:r>
    </w:p>
    <w:p w14:paraId="30D83A41" w14:textId="3A4B7DF3" w:rsidR="00A410B8" w:rsidRDefault="003B75B0" w:rsidP="003D4767">
      <w:pPr>
        <w:pStyle w:val="Heading2"/>
        <w:spacing w:before="0" w:after="0" w:line="480" w:lineRule="auto"/>
      </w:pPr>
      <w:r w:rsidRPr="00A40B5E">
        <w:lastRenderedPageBreak/>
        <w:t xml:space="preserve">5.0 Conclusion </w:t>
      </w:r>
    </w:p>
    <w:p w14:paraId="0E22FC2E" w14:textId="074797CE" w:rsidR="008023CE" w:rsidRDefault="007759E4" w:rsidP="008023CE">
      <w:pPr>
        <w:autoSpaceDE w:val="0"/>
        <w:autoSpaceDN w:val="0"/>
        <w:adjustRightInd w:val="0"/>
        <w:spacing w:after="0" w:line="480" w:lineRule="auto"/>
        <w:jc w:val="both"/>
        <w:rPr>
          <w:rFonts w:ascii="Times New Roman" w:eastAsia="Calibri" w:hAnsi="Times New Roman" w:cs="Times New Roman"/>
          <w:sz w:val="24"/>
        </w:rPr>
      </w:pPr>
      <w:r w:rsidRPr="007759E4">
        <w:rPr>
          <w:rFonts w:ascii="Times New Roman" w:eastAsia="Calibri" w:hAnsi="Times New Roman" w:cs="Times New Roman"/>
          <w:sz w:val="24"/>
        </w:rPr>
        <w:t xml:space="preserve">First </w:t>
      </w:r>
      <w:r w:rsidR="007D7FD5" w:rsidRPr="007D7FD5">
        <w:rPr>
          <w:rFonts w:ascii="Times New Roman" w:eastAsia="Times New Roman" w:hAnsi="Times New Roman" w:cs="Times New Roman"/>
          <w:sz w:val="24"/>
          <w:szCs w:val="24"/>
          <w:lang w:eastAsia="ja-JP"/>
        </w:rPr>
        <w:t>Entrepreneurship Management Practices</w:t>
      </w:r>
      <w:r w:rsidR="007D7FD5" w:rsidRPr="00444D35">
        <w:rPr>
          <w:rFonts w:ascii="Times New Roman" w:eastAsia="Times New Roman" w:hAnsi="Times New Roman" w:cs="Times New Roman"/>
          <w:b/>
          <w:bCs/>
          <w:sz w:val="24"/>
          <w:szCs w:val="24"/>
          <w:lang w:eastAsia="ja-JP"/>
        </w:rPr>
        <w:t xml:space="preserve"> </w:t>
      </w:r>
      <w:r w:rsidRPr="007759E4">
        <w:rPr>
          <w:rFonts w:ascii="Times New Roman" w:eastAsia="Calibri" w:hAnsi="Times New Roman" w:cs="Times New Roman"/>
          <w:sz w:val="24"/>
        </w:rPr>
        <w:t xml:space="preserve">contributes positively and significantly towards </w:t>
      </w:r>
      <w:r w:rsidR="007D7FD5" w:rsidRPr="007D7FD5">
        <w:rPr>
          <w:rFonts w:ascii="Times New Roman" w:eastAsia="Calibri" w:hAnsi="Times New Roman" w:cs="Times New Roman"/>
          <w:sz w:val="24"/>
        </w:rPr>
        <w:t>proper youth empowerment programs in</w:t>
      </w:r>
      <w:r w:rsidR="007D7FD5">
        <w:rPr>
          <w:rFonts w:ascii="Times New Roman" w:eastAsia="Calibri" w:hAnsi="Times New Roman" w:cs="Times New Roman"/>
          <w:sz w:val="24"/>
        </w:rPr>
        <w:t xml:space="preserve"> Kilifi County, Kenya</w:t>
      </w:r>
      <w:r w:rsidRPr="007759E4">
        <w:rPr>
          <w:rFonts w:ascii="Times New Roman" w:eastAsia="Calibri" w:hAnsi="Times New Roman" w:cs="Times New Roman"/>
          <w:sz w:val="24"/>
        </w:rPr>
        <w:t xml:space="preserve">. </w:t>
      </w:r>
      <w:r w:rsidR="007D7FD5" w:rsidRPr="007759E4">
        <w:rPr>
          <w:rFonts w:ascii="Times New Roman" w:eastAsia="Calibri" w:hAnsi="Times New Roman" w:cs="Times New Roman"/>
          <w:sz w:val="24"/>
        </w:rPr>
        <w:t>Therefore,</w:t>
      </w:r>
      <w:r w:rsidRPr="007759E4">
        <w:rPr>
          <w:rFonts w:ascii="Times New Roman" w:eastAsia="Calibri" w:hAnsi="Times New Roman" w:cs="Times New Roman"/>
          <w:sz w:val="24"/>
        </w:rPr>
        <w:t xml:space="preserve"> the study concluded that </w:t>
      </w:r>
      <w:r w:rsidR="007D7FD5" w:rsidRPr="007D7FD5">
        <w:rPr>
          <w:rFonts w:ascii="Times New Roman" w:eastAsia="Times New Roman" w:hAnsi="Times New Roman" w:cs="Times New Roman"/>
          <w:sz w:val="24"/>
          <w:szCs w:val="24"/>
        </w:rPr>
        <w:t xml:space="preserve">implementation of a </w:t>
      </w:r>
      <w:bookmarkStart w:id="152" w:name="_Hlk207635000"/>
      <w:r w:rsidR="00EC0A44">
        <w:rPr>
          <w:rFonts w:ascii="Times New Roman" w:eastAsia="Calibri" w:hAnsi="Times New Roman" w:cs="Times New Roman"/>
          <w:sz w:val="24"/>
          <w:szCs w:val="24"/>
          <w:lang w:val="en-GB" w:eastAsia="en-GB"/>
        </w:rPr>
        <w:t>resource orientation, entrepreneurship culture, growth orientation, management structure</w:t>
      </w:r>
      <w:r w:rsidR="007D7FD5" w:rsidRPr="007D7FD5">
        <w:rPr>
          <w:rFonts w:ascii="Times New Roman" w:eastAsia="Times New Roman" w:hAnsi="Times New Roman" w:cs="Times New Roman"/>
          <w:sz w:val="24"/>
          <w:szCs w:val="24"/>
        </w:rPr>
        <w:t xml:space="preserve"> markedly enhanced </w:t>
      </w:r>
      <w:bookmarkStart w:id="153" w:name="_Hlk207631672"/>
      <w:r w:rsidR="007D7FD5" w:rsidRPr="007D7FD5">
        <w:rPr>
          <w:rFonts w:ascii="Times New Roman" w:eastAsia="Times New Roman" w:hAnsi="Times New Roman" w:cs="Times New Roman"/>
          <w:sz w:val="24"/>
          <w:szCs w:val="24"/>
        </w:rPr>
        <w:t xml:space="preserve">proper youth empowerment </w:t>
      </w:r>
      <w:bookmarkEnd w:id="152"/>
      <w:r w:rsidR="007D7FD5" w:rsidRPr="007D7FD5">
        <w:rPr>
          <w:rFonts w:ascii="Times New Roman" w:eastAsia="Times New Roman" w:hAnsi="Times New Roman" w:cs="Times New Roman"/>
          <w:sz w:val="24"/>
          <w:szCs w:val="24"/>
        </w:rPr>
        <w:t xml:space="preserve">programs in </w:t>
      </w:r>
      <w:bookmarkEnd w:id="153"/>
      <w:r w:rsidR="007D7FD5">
        <w:rPr>
          <w:rFonts w:ascii="Times New Roman" w:eastAsia="Times New Roman" w:hAnsi="Times New Roman" w:cs="Times New Roman"/>
          <w:sz w:val="24"/>
          <w:szCs w:val="24"/>
        </w:rPr>
        <w:t>Kilifi County.</w:t>
      </w:r>
    </w:p>
    <w:p w14:paraId="4533297C" w14:textId="77777777" w:rsidR="00D47B0A" w:rsidRDefault="00A410B8" w:rsidP="003D4767">
      <w:pPr>
        <w:pStyle w:val="Heading2"/>
        <w:spacing w:before="0" w:after="0" w:line="480" w:lineRule="auto"/>
      </w:pPr>
      <w:r w:rsidRPr="008023CE">
        <w:t>5.1</w:t>
      </w:r>
      <w:r w:rsidR="00A40B5E" w:rsidRPr="008023CE">
        <w:t xml:space="preserve"> </w:t>
      </w:r>
      <w:r w:rsidR="003B75B0" w:rsidRPr="008023CE">
        <w:t>Policy Recommendation</w:t>
      </w:r>
      <w:r w:rsidR="00AE00EC" w:rsidRPr="008023CE">
        <w:t>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5D945BF" w14:textId="24237569" w:rsidR="00B37225" w:rsidRDefault="00D47B0A" w:rsidP="00D47B0A">
      <w:pPr>
        <w:autoSpaceDE w:val="0"/>
        <w:autoSpaceDN w:val="0"/>
        <w:adjustRightInd w:val="0"/>
        <w:spacing w:after="0" w:line="480" w:lineRule="auto"/>
        <w:jc w:val="both"/>
        <w:rPr>
          <w:rFonts w:ascii="Times New Roman" w:eastAsia="Calibri" w:hAnsi="Times New Roman" w:cs="Times New Roman"/>
          <w:sz w:val="24"/>
        </w:rPr>
      </w:pPr>
      <w:r w:rsidRPr="00D47B0A">
        <w:rPr>
          <w:rFonts w:ascii="Times New Roman" w:eastAsia="Times New Roman" w:hAnsi="Times New Roman" w:cs="Times New Roman"/>
          <w:sz w:val="24"/>
          <w:szCs w:val="24"/>
        </w:rPr>
        <w:t xml:space="preserve">Based on the conclusions, the study makes several recommendations. </w:t>
      </w:r>
      <w:r w:rsidR="000B500D">
        <w:rPr>
          <w:rFonts w:ascii="Times New Roman" w:eastAsia="Times New Roman" w:hAnsi="Times New Roman" w:cs="Times New Roman"/>
          <w:sz w:val="24"/>
          <w:szCs w:val="24"/>
        </w:rPr>
        <w:t xml:space="preserve">The </w:t>
      </w:r>
      <w:r w:rsidR="000B500D" w:rsidRPr="000B500D">
        <w:rPr>
          <w:rFonts w:ascii="Times New Roman" w:eastAsia="Aptos" w:hAnsi="Times New Roman" w:cs="Times New Roman"/>
          <w:kern w:val="2"/>
          <w:sz w:val="24"/>
          <w:szCs w:val="24"/>
          <w14:ligatures w14:val="standardContextual"/>
        </w:rPr>
        <w:t xml:space="preserve">stakeholders in the youth development programs institutionalize resource-oriented planning and implementation in all future youth-focused initiatives. This should involve </w:t>
      </w:r>
      <w:bookmarkStart w:id="154" w:name="_Hlk207633659"/>
      <w:r w:rsidR="000B500D" w:rsidRPr="000B500D">
        <w:rPr>
          <w:rFonts w:ascii="Times New Roman" w:eastAsia="Aptos" w:hAnsi="Times New Roman" w:cs="Times New Roman"/>
          <w:kern w:val="2"/>
          <w:sz w:val="24"/>
          <w:szCs w:val="24"/>
          <w14:ligatures w14:val="standardContextual"/>
        </w:rPr>
        <w:t>continuous assessment of youth needs, strategic allocation of financial, human, and material resources, and active involvement of youth in the planning process</w:t>
      </w:r>
      <w:bookmarkEnd w:id="154"/>
      <w:r w:rsidR="000B500D" w:rsidRPr="000B500D">
        <w:rPr>
          <w:rFonts w:ascii="Times New Roman" w:eastAsia="Aptos" w:hAnsi="Times New Roman" w:cs="Times New Roman"/>
          <w:kern w:val="2"/>
          <w:sz w:val="24"/>
          <w:szCs w:val="24"/>
          <w14:ligatures w14:val="standardContextual"/>
        </w:rPr>
        <w:t xml:space="preserve"> to ensure relevance and ownership. </w:t>
      </w:r>
      <w:r w:rsidR="000B500D">
        <w:rPr>
          <w:rFonts w:ascii="Times New Roman" w:eastAsia="Aptos" w:hAnsi="Times New Roman" w:cs="Times New Roman"/>
          <w:kern w:val="2"/>
          <w:sz w:val="24"/>
          <w:szCs w:val="24"/>
          <w14:ligatures w14:val="standardContextual"/>
        </w:rPr>
        <w:t xml:space="preserve">The </w:t>
      </w:r>
      <w:r w:rsidR="000B500D" w:rsidRPr="000B500D">
        <w:rPr>
          <w:rFonts w:ascii="Times New Roman" w:eastAsia="Aptos" w:hAnsi="Times New Roman" w:cs="Times New Roman"/>
          <w:kern w:val="2"/>
          <w:sz w:val="24"/>
          <w:szCs w:val="24"/>
          <w14:ligatures w14:val="standardContextual"/>
        </w:rPr>
        <w:t>policymakers, development partners, and community leaders prioritize the integration of entrepreneurship training and support systems within youth programs. This should include the establishment of innovation hubs, access to micro-financing and startup capital, mentorship opportunities, and business development services tailored to the needs of young entrepreneurs</w:t>
      </w:r>
      <w:r w:rsidR="00166A27" w:rsidRPr="00166A27">
        <w:rPr>
          <w:rFonts w:ascii="Times New Roman" w:eastAsia="Calibri" w:hAnsi="Times New Roman" w:cs="Times New Roman"/>
          <w:sz w:val="24"/>
        </w:rPr>
        <w:t xml:space="preserve"> </w:t>
      </w:r>
    </w:p>
    <w:p w14:paraId="3E0E2F8B" w14:textId="48F3C89C" w:rsidR="00A84D06" w:rsidRPr="00D47B0A" w:rsidRDefault="00A84D06" w:rsidP="00D47B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w:t>
      </w:r>
      <w:r w:rsidRPr="00A84D06">
        <w:rPr>
          <w:rFonts w:ascii="Times New Roman" w:hAnsi="Times New Roman" w:cs="Times New Roman"/>
          <w:sz w:val="24"/>
          <w:szCs w:val="24"/>
        </w:rPr>
        <w:t>and</w:t>
      </w:r>
      <w:r>
        <w:rPr>
          <w:rFonts w:ascii="Times New Roman" w:hAnsi="Times New Roman" w:cs="Times New Roman"/>
          <w:sz w:val="24"/>
          <w:szCs w:val="24"/>
        </w:rPr>
        <w:t xml:space="preserve"> other stakeholders </w:t>
      </w:r>
      <w:r w:rsidR="000B500D" w:rsidRPr="000B500D">
        <w:rPr>
          <w:rFonts w:ascii="Times New Roman" w:eastAsia="Aptos" w:hAnsi="Times New Roman" w:cs="Times New Roman"/>
          <w:kern w:val="2"/>
          <w:sz w:val="24"/>
          <w:szCs w:val="24"/>
          <w14:ligatures w14:val="standardContextual"/>
        </w:rPr>
        <w:t>embed growth-oriented strategies into the design and implementation of youth initiatives</w:t>
      </w:r>
      <w:r w:rsidR="000B500D">
        <w:rPr>
          <w:rFonts w:ascii="Times New Roman" w:hAnsi="Times New Roman" w:cs="Times New Roman"/>
          <w:sz w:val="24"/>
          <w:szCs w:val="24"/>
        </w:rPr>
        <w:t xml:space="preserve"> which should </w:t>
      </w:r>
      <w:r w:rsidR="000B500D" w:rsidRPr="000B500D">
        <w:rPr>
          <w:rFonts w:ascii="Times New Roman" w:eastAsia="Aptos" w:hAnsi="Times New Roman" w:cs="Times New Roman"/>
          <w:kern w:val="2"/>
          <w:sz w:val="24"/>
          <w:szCs w:val="24"/>
          <w14:ligatures w14:val="standardContextual"/>
        </w:rPr>
        <w:t>be structured to challenge youth to aim higher, think long-term, and engage in personal and professional development activities</w:t>
      </w:r>
      <w:r w:rsidR="00696153">
        <w:rPr>
          <w:rFonts w:ascii="Times New Roman" w:eastAsia="Aptos" w:hAnsi="Times New Roman" w:cs="Times New Roman"/>
          <w:kern w:val="2"/>
          <w:sz w:val="24"/>
          <w:szCs w:val="24"/>
          <w14:ligatures w14:val="standardContextual"/>
        </w:rPr>
        <w:t>.</w:t>
      </w:r>
      <w:r w:rsidR="00696153" w:rsidRPr="00696153">
        <w:rPr>
          <w:rFonts w:ascii="Times New Roman" w:eastAsia="Aptos" w:hAnsi="Times New Roman" w:cs="Times New Roman"/>
          <w:kern w:val="2"/>
          <w:sz w:val="24"/>
          <w:szCs w:val="24"/>
          <w14:ligatures w14:val="standardContextual"/>
        </w:rPr>
        <w:t xml:space="preserve"> </w:t>
      </w:r>
      <w:r w:rsidR="00326C16">
        <w:rPr>
          <w:rFonts w:ascii="Times New Roman" w:eastAsia="Aptos" w:hAnsi="Times New Roman" w:cs="Times New Roman"/>
          <w:kern w:val="2"/>
          <w:sz w:val="24"/>
          <w:szCs w:val="24"/>
          <w14:ligatures w14:val="standardContextual"/>
        </w:rPr>
        <w:t>P</w:t>
      </w:r>
      <w:r w:rsidR="00696153" w:rsidRPr="00696153">
        <w:rPr>
          <w:rFonts w:ascii="Times New Roman" w:eastAsia="Aptos" w:hAnsi="Times New Roman" w:cs="Times New Roman"/>
          <w:kern w:val="2"/>
          <w:sz w:val="24"/>
          <w:szCs w:val="24"/>
          <w14:ligatures w14:val="standardContextual"/>
        </w:rPr>
        <w:t>rogram implementers establish and maintain well-structured management systems characterized by</w:t>
      </w:r>
      <w:r w:rsidR="00696153">
        <w:rPr>
          <w:rFonts w:ascii="Times New Roman" w:eastAsia="Aptos" w:hAnsi="Times New Roman" w:cs="Times New Roman"/>
          <w:kern w:val="2"/>
          <w:sz w:val="24"/>
          <w:szCs w:val="24"/>
          <w14:ligatures w14:val="standardContextual"/>
        </w:rPr>
        <w:t xml:space="preserve"> c</w:t>
      </w:r>
      <w:r w:rsidR="00696153" w:rsidRPr="00696153">
        <w:rPr>
          <w:rFonts w:ascii="Times New Roman" w:eastAsia="Aptos" w:hAnsi="Times New Roman" w:cs="Times New Roman"/>
          <w:kern w:val="2"/>
          <w:sz w:val="24"/>
          <w:szCs w:val="24"/>
          <w14:ligatures w14:val="standardContextual"/>
        </w:rPr>
        <w:t>lear role allocation to promote accountability, streamline decision-making, and enhance operational efficiency.</w:t>
      </w:r>
      <w:r w:rsidR="009B6829" w:rsidRPr="009B6829">
        <w:rPr>
          <w:rFonts w:ascii="Times New Roman" w:eastAsia="Aptos" w:hAnsi="Times New Roman" w:cs="Times New Roman"/>
          <w:kern w:val="2"/>
          <w:sz w:val="24"/>
          <w:szCs w:val="24"/>
          <w14:ligatures w14:val="standardContextual"/>
        </w:rPr>
        <w:t xml:space="preserve"> Moreover, partnerships and networks among government agencies, NGOs, community leaders, and youth organizations should be strengthened to encourage knowledge sharing and resource mobilization</w:t>
      </w:r>
      <w:r w:rsidR="00153275">
        <w:rPr>
          <w:rFonts w:ascii="Times New Roman" w:eastAsia="Aptos" w:hAnsi="Times New Roman" w:cs="Times New Roman"/>
          <w:kern w:val="2"/>
          <w:sz w:val="24"/>
          <w:szCs w:val="24"/>
          <w14:ligatures w14:val="standardContextual"/>
        </w:rPr>
        <w:t>.</w:t>
      </w:r>
    </w:p>
    <w:p w14:paraId="6415132F" w14:textId="550D885C" w:rsidR="003B75B0" w:rsidRDefault="003B75B0" w:rsidP="003D4767">
      <w:pPr>
        <w:pStyle w:val="Heading2"/>
        <w:spacing w:before="0" w:after="0" w:line="480" w:lineRule="auto"/>
        <w:rPr>
          <w:rFonts w:cs="Times New Roman"/>
          <w:i/>
          <w:iCs w:val="0"/>
          <w:szCs w:val="24"/>
        </w:rPr>
      </w:pPr>
      <w:r w:rsidRPr="00782808">
        <w:rPr>
          <w:rFonts w:cs="Times New Roman"/>
          <w:iCs w:val="0"/>
          <w:szCs w:val="24"/>
        </w:rPr>
        <w:lastRenderedPageBreak/>
        <w:t>5.</w:t>
      </w:r>
      <w:r w:rsidR="00A410B8">
        <w:rPr>
          <w:rFonts w:cs="Times New Roman"/>
          <w:iCs w:val="0"/>
          <w:szCs w:val="24"/>
        </w:rPr>
        <w:t>2</w:t>
      </w:r>
      <w:r w:rsidR="003E42D7">
        <w:rPr>
          <w:rFonts w:cs="Times New Roman"/>
          <w:iCs w:val="0"/>
          <w:szCs w:val="24"/>
        </w:rPr>
        <w:t xml:space="preserve"> Limitations</w:t>
      </w:r>
      <w:r w:rsidR="008F5525">
        <w:rPr>
          <w:rFonts w:cs="Times New Roman"/>
          <w:iCs w:val="0"/>
          <w:szCs w:val="24"/>
        </w:rPr>
        <w:t xml:space="preserve"> and </w:t>
      </w:r>
      <w:r w:rsidR="00A410B8">
        <w:rPr>
          <w:rFonts w:cs="Times New Roman"/>
          <w:iCs w:val="0"/>
          <w:szCs w:val="24"/>
        </w:rPr>
        <w:t>F</w:t>
      </w:r>
      <w:r w:rsidR="008F5525">
        <w:rPr>
          <w:rFonts w:cs="Times New Roman"/>
          <w:iCs w:val="0"/>
          <w:szCs w:val="24"/>
        </w:rPr>
        <w:t>uture Research</w:t>
      </w:r>
      <w:r w:rsidR="00A410B8">
        <w:rPr>
          <w:rFonts w:cs="Times New Roman"/>
          <w:iCs w:val="0"/>
          <w:szCs w:val="24"/>
        </w:rPr>
        <w:t xml:space="preserve"> Direction</w:t>
      </w:r>
    </w:p>
    <w:p w14:paraId="25F7882B" w14:textId="0A947428" w:rsidR="009B360A" w:rsidRPr="009B360A" w:rsidRDefault="009B360A" w:rsidP="009B360A">
      <w:pPr>
        <w:spacing w:line="480" w:lineRule="auto"/>
        <w:jc w:val="both"/>
        <w:rPr>
          <w:rFonts w:ascii="Times New Roman" w:hAnsi="Times New Roman" w:cs="Times New Roman"/>
          <w:sz w:val="24"/>
          <w:szCs w:val="24"/>
        </w:rPr>
      </w:pPr>
      <w:r w:rsidRPr="009B360A">
        <w:rPr>
          <w:rFonts w:ascii="Times New Roman" w:hAnsi="Times New Roman" w:cs="Times New Roman"/>
          <w:sz w:val="24"/>
          <w:szCs w:val="24"/>
        </w:rPr>
        <w:t xml:space="preserve">The results were derived from data collected in 2025, making this a cross-sectional study that confines its findings to that specific time frame. Therefore, the survey suggests that conducting longitudinal research could yield deeper insights into the causal relationship between </w:t>
      </w:r>
      <w:r w:rsidR="003533D6">
        <w:rPr>
          <w:rFonts w:ascii="Times New Roman" w:hAnsi="Times New Roman" w:cs="Times New Roman"/>
          <w:sz w:val="24"/>
          <w:szCs w:val="24"/>
        </w:rPr>
        <w:t>the study variables</w:t>
      </w:r>
      <w:r w:rsidRPr="009B360A">
        <w:rPr>
          <w:rFonts w:ascii="Times New Roman" w:hAnsi="Times New Roman" w:cs="Times New Roman"/>
          <w:sz w:val="24"/>
          <w:szCs w:val="24"/>
        </w:rPr>
        <w:t>.</w:t>
      </w:r>
      <w:r w:rsidRPr="009B360A">
        <w:rPr>
          <w:rFonts w:ascii="Times New Roman" w:eastAsia="Calibri" w:hAnsi="Times New Roman" w:cs="Times New Roman"/>
          <w:sz w:val="24"/>
          <w:szCs w:val="24"/>
        </w:rPr>
        <w:t xml:space="preserve"> Additionally, the scope of this study was constrained by the constructs and context used. As a result, future research could broaden the study’s framework to encompass additional aspects of </w:t>
      </w:r>
      <w:r w:rsidR="003533D6">
        <w:rPr>
          <w:rFonts w:ascii="Times New Roman" w:eastAsia="Calibri" w:hAnsi="Times New Roman" w:cs="Times New Roman"/>
          <w:sz w:val="24"/>
          <w:szCs w:val="24"/>
        </w:rPr>
        <w:t>e</w:t>
      </w:r>
      <w:r w:rsidR="003533D6" w:rsidRPr="007D7FD5">
        <w:rPr>
          <w:rFonts w:ascii="Times New Roman" w:eastAsia="Times New Roman" w:hAnsi="Times New Roman" w:cs="Times New Roman"/>
          <w:sz w:val="24"/>
          <w:szCs w:val="24"/>
          <w:lang w:eastAsia="ja-JP"/>
        </w:rPr>
        <w:t xml:space="preserve">ntrepreneurship </w:t>
      </w:r>
      <w:r w:rsidR="003533D6">
        <w:rPr>
          <w:rFonts w:ascii="Times New Roman" w:eastAsia="Times New Roman" w:hAnsi="Times New Roman" w:cs="Times New Roman"/>
          <w:sz w:val="24"/>
          <w:szCs w:val="24"/>
          <w:lang w:eastAsia="ja-JP"/>
        </w:rPr>
        <w:t>m</w:t>
      </w:r>
      <w:r w:rsidR="003533D6" w:rsidRPr="007D7FD5">
        <w:rPr>
          <w:rFonts w:ascii="Times New Roman" w:eastAsia="Times New Roman" w:hAnsi="Times New Roman" w:cs="Times New Roman"/>
          <w:sz w:val="24"/>
          <w:szCs w:val="24"/>
          <w:lang w:eastAsia="ja-JP"/>
        </w:rPr>
        <w:t xml:space="preserve">anagement </w:t>
      </w:r>
      <w:r w:rsidR="003533D6">
        <w:rPr>
          <w:rFonts w:ascii="Times New Roman" w:eastAsia="Times New Roman" w:hAnsi="Times New Roman" w:cs="Times New Roman"/>
          <w:sz w:val="24"/>
          <w:szCs w:val="24"/>
          <w:lang w:eastAsia="ja-JP"/>
        </w:rPr>
        <w:t>p</w:t>
      </w:r>
      <w:r w:rsidR="003533D6" w:rsidRPr="007D7FD5">
        <w:rPr>
          <w:rFonts w:ascii="Times New Roman" w:eastAsia="Times New Roman" w:hAnsi="Times New Roman" w:cs="Times New Roman"/>
          <w:sz w:val="24"/>
          <w:szCs w:val="24"/>
          <w:lang w:eastAsia="ja-JP"/>
        </w:rPr>
        <w:t>ractices</w:t>
      </w:r>
      <w:r w:rsidRPr="009B360A">
        <w:rPr>
          <w:rFonts w:ascii="Times New Roman" w:eastAsia="Calibri" w:hAnsi="Times New Roman" w:cs="Times New Roman"/>
          <w:sz w:val="24"/>
          <w:szCs w:val="24"/>
        </w:rPr>
        <w:t xml:space="preserve">. While this study concentrated on </w:t>
      </w:r>
      <w:r>
        <w:rPr>
          <w:rFonts w:ascii="Times New Roman" w:eastAsia="Calibri" w:hAnsi="Times New Roman" w:cs="Times New Roman"/>
          <w:sz w:val="24"/>
          <w:szCs w:val="24"/>
        </w:rPr>
        <w:t>two</w:t>
      </w:r>
      <w:r w:rsidRPr="009B360A">
        <w:rPr>
          <w:rFonts w:ascii="Times New Roman" w:eastAsia="Calibri" w:hAnsi="Times New Roman" w:cs="Times New Roman"/>
          <w:sz w:val="24"/>
          <w:szCs w:val="24"/>
        </w:rPr>
        <w:t xml:space="preserve"> specific concepts, subsequent investigations could incorporate other metrics to provide a more comprehensive understanding. This study focused exclusively on </w:t>
      </w:r>
      <w:r w:rsidR="003533D6">
        <w:rPr>
          <w:rFonts w:ascii="Times New Roman" w:eastAsia="Calibri" w:hAnsi="Times New Roman" w:cs="Times New Roman"/>
          <w:sz w:val="24"/>
        </w:rPr>
        <w:t xml:space="preserve">youth empowerment </w:t>
      </w:r>
      <w:r w:rsidRPr="00C8269D">
        <w:rPr>
          <w:rFonts w:ascii="Times New Roman" w:eastAsia="Calibri" w:hAnsi="Times New Roman" w:cs="Times New Roman"/>
          <w:sz w:val="24"/>
        </w:rPr>
        <w:t xml:space="preserve">in </w:t>
      </w:r>
      <w:r w:rsidR="003533D6">
        <w:rPr>
          <w:rFonts w:ascii="Times New Roman" w:eastAsia="Calibri" w:hAnsi="Times New Roman" w:cs="Times New Roman"/>
          <w:sz w:val="24"/>
        </w:rPr>
        <w:t>Kilifi County,</w:t>
      </w:r>
      <w:r w:rsidRPr="00C8269D">
        <w:rPr>
          <w:rFonts w:ascii="Times New Roman" w:eastAsia="Calibri" w:hAnsi="Times New Roman" w:cs="Times New Roman"/>
          <w:sz w:val="24"/>
        </w:rPr>
        <w:t xml:space="preserve"> Kenya</w:t>
      </w:r>
      <w:r w:rsidRPr="009B360A">
        <w:rPr>
          <w:rFonts w:ascii="Times New Roman" w:eastAsia="Calibri" w:hAnsi="Times New Roman" w:cs="Times New Roman"/>
          <w:sz w:val="24"/>
          <w:szCs w:val="24"/>
        </w:rPr>
        <w:t>, meaning that the findings are applicable only to this specific context</w:t>
      </w:r>
      <w:r>
        <w:rPr>
          <w:rFonts w:ascii="Times New Roman" w:eastAsia="Calibri" w:hAnsi="Times New Roman" w:cs="Times New Roman"/>
          <w:sz w:val="24"/>
          <w:szCs w:val="24"/>
        </w:rPr>
        <w:t>.</w:t>
      </w:r>
      <w:r w:rsidRPr="009B360A">
        <w:t xml:space="preserve"> </w:t>
      </w:r>
      <w:r w:rsidRPr="009B360A">
        <w:rPr>
          <w:rFonts w:ascii="Times New Roman" w:eastAsia="Calibri" w:hAnsi="Times New Roman" w:cs="Times New Roman"/>
          <w:sz w:val="24"/>
          <w:szCs w:val="24"/>
        </w:rPr>
        <w:t xml:space="preserve">Future studies could expand their scope to include counties outside of </w:t>
      </w:r>
      <w:r w:rsidR="003533D6">
        <w:rPr>
          <w:rFonts w:ascii="Times New Roman" w:eastAsia="Calibri" w:hAnsi="Times New Roman" w:cs="Times New Roman"/>
          <w:sz w:val="24"/>
          <w:szCs w:val="24"/>
        </w:rPr>
        <w:t>Kilifi</w:t>
      </w:r>
      <w:r w:rsidRPr="009B360A">
        <w:rPr>
          <w:rFonts w:ascii="Times New Roman" w:eastAsia="Calibri" w:hAnsi="Times New Roman" w:cs="Times New Roman"/>
          <w:sz w:val="24"/>
          <w:szCs w:val="24"/>
        </w:rPr>
        <w:t>, offering insights relevant to diverse contexts</w:t>
      </w:r>
      <w:r w:rsidR="003533D6">
        <w:rPr>
          <w:rFonts w:ascii="Times New Roman" w:eastAsia="Calibri" w:hAnsi="Times New Roman" w:cs="Times New Roman"/>
          <w:sz w:val="24"/>
          <w:szCs w:val="24"/>
        </w:rPr>
        <w:t>.</w:t>
      </w:r>
    </w:p>
    <w:p w14:paraId="67A944A2" w14:textId="77777777" w:rsidR="004F7916" w:rsidRDefault="004F7916">
      <w:pPr>
        <w:rPr>
          <w:rFonts w:ascii="Times New Roman" w:eastAsia="Times New Roman" w:hAnsi="Times New Roman" w:cs="Arial"/>
          <w:b/>
          <w:bCs/>
          <w:iCs/>
          <w:sz w:val="24"/>
          <w:szCs w:val="28"/>
        </w:rPr>
      </w:pPr>
      <w:r>
        <w:br w:type="page"/>
      </w:r>
    </w:p>
    <w:p w14:paraId="178DDA14" w14:textId="6806CB11" w:rsidR="003B75B0" w:rsidRDefault="003B75B0" w:rsidP="00390D54">
      <w:pPr>
        <w:pStyle w:val="Heading2"/>
        <w:spacing w:before="0" w:after="0"/>
        <w:jc w:val="center"/>
      </w:pPr>
      <w:r w:rsidRPr="00782808">
        <w:lastRenderedPageBreak/>
        <w:t>References</w:t>
      </w:r>
    </w:p>
    <w:p w14:paraId="37F3E93D" w14:textId="77777777" w:rsidR="00D7182D" w:rsidRDefault="00D7182D" w:rsidP="00D7182D"/>
    <w:p w14:paraId="5010EE05" w14:textId="77777777" w:rsidR="00D83B4B" w:rsidRPr="00D83B4B" w:rsidRDefault="00D83B4B" w:rsidP="00D83B4B">
      <w:pPr>
        <w:pStyle w:val="Bibliography"/>
        <w:spacing w:after="120" w:line="360" w:lineRule="auto"/>
        <w:rPr>
          <w:szCs w:val="24"/>
        </w:rPr>
      </w:pPr>
      <w:r w:rsidRPr="00D83B4B">
        <w:rPr>
          <w:szCs w:val="24"/>
        </w:rPr>
        <w:fldChar w:fldCharType="begin"/>
      </w:r>
      <w:r w:rsidRPr="00D83B4B">
        <w:rPr>
          <w:szCs w:val="24"/>
        </w:rPr>
        <w:instrText xml:space="preserve"> ADDIN ZOTERO_BIBL {"uncited":[],"omitted":[],"custom":[]} CSL_BIBLIOGRAPHY </w:instrText>
      </w:r>
      <w:r w:rsidRPr="00D83B4B">
        <w:rPr>
          <w:szCs w:val="24"/>
        </w:rPr>
        <w:fldChar w:fldCharType="separate"/>
      </w:r>
      <w:r w:rsidRPr="00D83B4B">
        <w:rPr>
          <w:szCs w:val="24"/>
        </w:rPr>
        <w:t xml:space="preserve">Ahmed, A. (2024). Youth Participation in Peace-building in Somalia: Challenges andOpportunities. </w:t>
      </w:r>
      <w:r w:rsidRPr="00D83B4B">
        <w:rPr>
          <w:iCs/>
          <w:szCs w:val="24"/>
        </w:rPr>
        <w:t>Multidisciplinary Journal of Horseed International University (MJHIU)</w:t>
      </w:r>
      <w:r w:rsidRPr="00D83B4B">
        <w:rPr>
          <w:szCs w:val="24"/>
        </w:rPr>
        <w:t xml:space="preserve">, </w:t>
      </w:r>
      <w:r w:rsidRPr="00D83B4B">
        <w:rPr>
          <w:iCs/>
          <w:szCs w:val="24"/>
        </w:rPr>
        <w:t>2</w:t>
      </w:r>
      <w:r w:rsidRPr="00D83B4B">
        <w:rPr>
          <w:szCs w:val="24"/>
        </w:rPr>
        <w:t>(1), 126–151.</w:t>
      </w:r>
    </w:p>
    <w:p w14:paraId="34881C3F" w14:textId="77777777" w:rsidR="00D83B4B" w:rsidRPr="00D83B4B" w:rsidRDefault="00D83B4B" w:rsidP="00D83B4B">
      <w:pPr>
        <w:pStyle w:val="Bibliography"/>
        <w:spacing w:after="120" w:line="360" w:lineRule="auto"/>
        <w:rPr>
          <w:szCs w:val="24"/>
        </w:rPr>
      </w:pPr>
      <w:r w:rsidRPr="00D83B4B">
        <w:rPr>
          <w:szCs w:val="24"/>
        </w:rPr>
        <w:t xml:space="preserve">Ali, J., Tahira, Y., Amir, M., Ullah, F., Tahir, M., Shah, W., Khan, I., &amp; Tariq, S. (2022). Leverage, Ownership Structure and Firm Performance. </w:t>
      </w:r>
      <w:r w:rsidRPr="00D83B4B">
        <w:rPr>
          <w:iCs/>
          <w:szCs w:val="24"/>
        </w:rPr>
        <w:t>Journal of Financial Risk Management</w:t>
      </w:r>
      <w:r w:rsidRPr="00D83B4B">
        <w:rPr>
          <w:szCs w:val="24"/>
        </w:rPr>
        <w:t xml:space="preserve">, </w:t>
      </w:r>
      <w:r w:rsidRPr="00D83B4B">
        <w:rPr>
          <w:iCs/>
          <w:szCs w:val="24"/>
        </w:rPr>
        <w:t>11</w:t>
      </w:r>
      <w:r w:rsidRPr="00D83B4B">
        <w:rPr>
          <w:szCs w:val="24"/>
        </w:rPr>
        <w:t>(01), 41–65. https://doi.org/10.4236/jfrm.2022.111002</w:t>
      </w:r>
    </w:p>
    <w:p w14:paraId="64B05BF9" w14:textId="77777777" w:rsidR="00D83B4B" w:rsidRPr="00D83B4B" w:rsidRDefault="00D83B4B" w:rsidP="00D83B4B">
      <w:pPr>
        <w:pStyle w:val="Bibliography"/>
        <w:spacing w:after="120" w:line="360" w:lineRule="auto"/>
        <w:rPr>
          <w:szCs w:val="24"/>
        </w:rPr>
      </w:pPr>
      <w:r w:rsidRPr="00D83B4B">
        <w:rPr>
          <w:szCs w:val="24"/>
        </w:rPr>
        <w:t xml:space="preserve">Bărbulescu, O., Tecău, A. S., Munteanu, D., &amp; Constantin, C. P. (2021). Innovation of Startups, the Key to Unlocking Post-Crisis Sustainable Growth in Romanian Entrepreneurial Ecosystem. </w:t>
      </w:r>
      <w:r w:rsidRPr="00D83B4B">
        <w:rPr>
          <w:iCs/>
          <w:szCs w:val="24"/>
        </w:rPr>
        <w:t>Sustainability</w:t>
      </w:r>
      <w:r w:rsidRPr="00D83B4B">
        <w:rPr>
          <w:szCs w:val="24"/>
        </w:rPr>
        <w:t xml:space="preserve">, </w:t>
      </w:r>
      <w:r w:rsidRPr="00D83B4B">
        <w:rPr>
          <w:iCs/>
          <w:szCs w:val="24"/>
        </w:rPr>
        <w:t>13</w:t>
      </w:r>
      <w:r w:rsidRPr="00D83B4B">
        <w:rPr>
          <w:szCs w:val="24"/>
        </w:rPr>
        <w:t>(2), 671. https://doi.org/10.3390/su13020671</w:t>
      </w:r>
    </w:p>
    <w:p w14:paraId="5CC55D69" w14:textId="77777777" w:rsidR="00D83B4B" w:rsidRPr="00D83B4B" w:rsidRDefault="00D83B4B" w:rsidP="00D83B4B">
      <w:pPr>
        <w:pStyle w:val="Bibliography"/>
        <w:spacing w:after="120" w:line="360" w:lineRule="auto"/>
        <w:rPr>
          <w:szCs w:val="24"/>
        </w:rPr>
      </w:pPr>
      <w:r w:rsidRPr="00D83B4B">
        <w:rPr>
          <w:szCs w:val="24"/>
        </w:rPr>
        <w:t xml:space="preserve">Bosma, N., Content, J., Sanders, M., &amp; Stam, E. (2018). Institutions, entrepreneurship, and economic growth in Europe. </w:t>
      </w:r>
      <w:r w:rsidRPr="00D83B4B">
        <w:rPr>
          <w:iCs/>
          <w:szCs w:val="24"/>
        </w:rPr>
        <w:t>Small Business Economics</w:t>
      </w:r>
      <w:r w:rsidRPr="00D83B4B">
        <w:rPr>
          <w:szCs w:val="24"/>
        </w:rPr>
        <w:t xml:space="preserve">, </w:t>
      </w:r>
      <w:r w:rsidRPr="00D83B4B">
        <w:rPr>
          <w:iCs/>
          <w:szCs w:val="24"/>
        </w:rPr>
        <w:t>51</w:t>
      </w:r>
      <w:r w:rsidRPr="00D83B4B">
        <w:rPr>
          <w:szCs w:val="24"/>
        </w:rPr>
        <w:t>(2), 483–499. https://doi.org/10.1007/s11187-018-0012-x</w:t>
      </w:r>
    </w:p>
    <w:p w14:paraId="1A9D6BF3" w14:textId="77777777" w:rsidR="00D83B4B" w:rsidRPr="00D83B4B" w:rsidRDefault="00D83B4B" w:rsidP="00D83B4B">
      <w:pPr>
        <w:pStyle w:val="Bibliography"/>
        <w:spacing w:after="120" w:line="360" w:lineRule="auto"/>
        <w:rPr>
          <w:szCs w:val="24"/>
        </w:rPr>
      </w:pPr>
      <w:r w:rsidRPr="00D83B4B">
        <w:rPr>
          <w:szCs w:val="24"/>
        </w:rPr>
        <w:t xml:space="preserve">Casteel, A., &amp; Bridier, N. (2021). Describing Populations and Samples in Doctoral Student Research. </w:t>
      </w:r>
      <w:r w:rsidRPr="00D83B4B">
        <w:rPr>
          <w:iCs/>
          <w:szCs w:val="24"/>
        </w:rPr>
        <w:t>International Journal of Doctoral Studies</w:t>
      </w:r>
      <w:r w:rsidRPr="00D83B4B">
        <w:rPr>
          <w:szCs w:val="24"/>
        </w:rPr>
        <w:t xml:space="preserve">, </w:t>
      </w:r>
      <w:r w:rsidRPr="00D83B4B">
        <w:rPr>
          <w:iCs/>
          <w:szCs w:val="24"/>
        </w:rPr>
        <w:t>16</w:t>
      </w:r>
      <w:r w:rsidRPr="00D83B4B">
        <w:rPr>
          <w:szCs w:val="24"/>
        </w:rPr>
        <w:t>, 339–362. https://doi.org/10.28945/4766</w:t>
      </w:r>
    </w:p>
    <w:p w14:paraId="244304D9" w14:textId="77777777" w:rsidR="00D83B4B" w:rsidRPr="00D83B4B" w:rsidRDefault="00D83B4B" w:rsidP="00D83B4B">
      <w:pPr>
        <w:pStyle w:val="Bibliography"/>
        <w:spacing w:after="120" w:line="360" w:lineRule="auto"/>
        <w:rPr>
          <w:szCs w:val="24"/>
        </w:rPr>
      </w:pPr>
      <w:r w:rsidRPr="00D83B4B">
        <w:rPr>
          <w:szCs w:val="24"/>
        </w:rPr>
        <w:t xml:space="preserve">Eze, S. C., Bello, A. O., &amp; Adekola, T. A. (2017). The Effects of Organizational Structure on the Performance of Organizations. </w:t>
      </w:r>
      <w:r w:rsidRPr="00D83B4B">
        <w:rPr>
          <w:iCs/>
          <w:szCs w:val="24"/>
        </w:rPr>
        <w:t>European Journal of Business and Innovation Research</w:t>
      </w:r>
      <w:r w:rsidRPr="00D83B4B">
        <w:rPr>
          <w:szCs w:val="24"/>
        </w:rPr>
        <w:t xml:space="preserve">, </w:t>
      </w:r>
      <w:r w:rsidRPr="00D83B4B">
        <w:rPr>
          <w:iCs/>
          <w:szCs w:val="24"/>
        </w:rPr>
        <w:t>5</w:t>
      </w:r>
      <w:r w:rsidRPr="00D83B4B">
        <w:rPr>
          <w:szCs w:val="24"/>
        </w:rPr>
        <w:t>(6), 46–62. https://doi.org/10.37745/ejbir.vol5.no6.p46-62.2017</w:t>
      </w:r>
    </w:p>
    <w:p w14:paraId="3A1DBBD2" w14:textId="77777777" w:rsidR="00D83B4B" w:rsidRPr="00D83B4B" w:rsidRDefault="00D83B4B" w:rsidP="00D83B4B">
      <w:pPr>
        <w:pStyle w:val="Bibliography"/>
        <w:spacing w:after="120" w:line="360" w:lineRule="auto"/>
        <w:rPr>
          <w:szCs w:val="24"/>
        </w:rPr>
      </w:pPr>
      <w:r w:rsidRPr="009C2866">
        <w:rPr>
          <w:szCs w:val="24"/>
          <w:lang w:val="de-DE"/>
        </w:rPr>
        <w:t xml:space="preserve">Fabrizio, C. M., Kaczam, F., De Moura, G. L., Da Silva, L. S. C. V., Da Silva, W. V., &amp; Da Veiga, C. P. (2022). </w:t>
      </w:r>
      <w:r w:rsidRPr="00D83B4B">
        <w:rPr>
          <w:szCs w:val="24"/>
        </w:rPr>
        <w:t xml:space="preserve">Competitive advantage and dynamic capability in small and medium-sized enterprises: A systematic literature review and future research directions. </w:t>
      </w:r>
      <w:r w:rsidRPr="00D83B4B">
        <w:rPr>
          <w:iCs/>
          <w:szCs w:val="24"/>
        </w:rPr>
        <w:t>Review of Managerial Science</w:t>
      </w:r>
      <w:r w:rsidRPr="00D83B4B">
        <w:rPr>
          <w:szCs w:val="24"/>
        </w:rPr>
        <w:t xml:space="preserve">, </w:t>
      </w:r>
      <w:r w:rsidRPr="00D83B4B">
        <w:rPr>
          <w:iCs/>
          <w:szCs w:val="24"/>
        </w:rPr>
        <w:t>16</w:t>
      </w:r>
      <w:r w:rsidRPr="00D83B4B">
        <w:rPr>
          <w:szCs w:val="24"/>
        </w:rPr>
        <w:t>(3), 617–648. https://doi.org/10.1007/s11846-021-00459-8</w:t>
      </w:r>
    </w:p>
    <w:p w14:paraId="21BB299A" w14:textId="77777777" w:rsidR="00D83B4B" w:rsidRPr="00D83B4B" w:rsidRDefault="00D83B4B" w:rsidP="00D83B4B">
      <w:pPr>
        <w:pStyle w:val="Bibliography"/>
        <w:spacing w:after="120" w:line="360" w:lineRule="auto"/>
        <w:rPr>
          <w:szCs w:val="24"/>
        </w:rPr>
      </w:pPr>
      <w:r w:rsidRPr="00D83B4B">
        <w:rPr>
          <w:szCs w:val="24"/>
        </w:rPr>
        <w:t xml:space="preserve">Freeman, E., Dmytriyev, S., &amp; Phillips, R. (2021). Stakeholder Theory and the Resource-Based View of the Firm. </w:t>
      </w:r>
      <w:r w:rsidRPr="00D83B4B">
        <w:rPr>
          <w:iCs/>
          <w:szCs w:val="24"/>
        </w:rPr>
        <w:t>Journal of Management</w:t>
      </w:r>
      <w:r w:rsidRPr="00D83B4B">
        <w:rPr>
          <w:szCs w:val="24"/>
        </w:rPr>
        <w:t xml:space="preserve">, </w:t>
      </w:r>
      <w:r w:rsidRPr="00D83B4B">
        <w:rPr>
          <w:iCs/>
          <w:szCs w:val="24"/>
        </w:rPr>
        <w:t>47</w:t>
      </w:r>
      <w:r w:rsidRPr="00D83B4B">
        <w:rPr>
          <w:szCs w:val="24"/>
        </w:rPr>
        <w:t>(7), 1757–1770. https://doi.org/10.1177/0149206321993576</w:t>
      </w:r>
    </w:p>
    <w:p w14:paraId="2437C945" w14:textId="77777777" w:rsidR="00D83B4B" w:rsidRPr="00D83B4B" w:rsidRDefault="00D83B4B" w:rsidP="00D83B4B">
      <w:pPr>
        <w:pStyle w:val="Bibliography"/>
        <w:spacing w:after="120" w:line="360" w:lineRule="auto"/>
        <w:rPr>
          <w:szCs w:val="24"/>
        </w:rPr>
      </w:pPr>
      <w:r w:rsidRPr="00D83B4B">
        <w:rPr>
          <w:szCs w:val="24"/>
        </w:rPr>
        <w:t xml:space="preserve">Freeman, R. (1984). </w:t>
      </w:r>
      <w:r w:rsidRPr="00D83B4B">
        <w:rPr>
          <w:iCs/>
          <w:szCs w:val="24"/>
        </w:rPr>
        <w:t>Strategic Management: A Stakeholder Approach</w:t>
      </w:r>
      <w:r w:rsidRPr="00D83B4B">
        <w:rPr>
          <w:szCs w:val="24"/>
        </w:rPr>
        <w:t>.</w:t>
      </w:r>
    </w:p>
    <w:p w14:paraId="0B312B1F" w14:textId="77777777" w:rsidR="00D83B4B" w:rsidRPr="009C2866" w:rsidRDefault="00D83B4B" w:rsidP="00D83B4B">
      <w:pPr>
        <w:pStyle w:val="Bibliography"/>
        <w:spacing w:after="120" w:line="360" w:lineRule="auto"/>
        <w:rPr>
          <w:szCs w:val="24"/>
          <w:lang w:val="fi-FI"/>
        </w:rPr>
      </w:pPr>
      <w:r w:rsidRPr="00D83B4B">
        <w:rPr>
          <w:szCs w:val="24"/>
        </w:rPr>
        <w:lastRenderedPageBreak/>
        <w:t xml:space="preserve">Geza, W., Ngidi, M. S. C., Slotow, R., &amp; Mabhaudhi, T. (2022). The Dynamics of Youth Employment and Empowerment in Agriculture and Rural Development in South Africa: A Scoping Review. </w:t>
      </w:r>
      <w:r w:rsidRPr="009C2866">
        <w:rPr>
          <w:iCs/>
          <w:szCs w:val="24"/>
          <w:lang w:val="fi-FI"/>
        </w:rPr>
        <w:t>Sustainability</w:t>
      </w:r>
      <w:r w:rsidRPr="009C2866">
        <w:rPr>
          <w:szCs w:val="24"/>
          <w:lang w:val="fi-FI"/>
        </w:rPr>
        <w:t xml:space="preserve">, </w:t>
      </w:r>
      <w:r w:rsidRPr="009C2866">
        <w:rPr>
          <w:iCs/>
          <w:szCs w:val="24"/>
          <w:lang w:val="fi-FI"/>
        </w:rPr>
        <w:t>14</w:t>
      </w:r>
      <w:r w:rsidRPr="009C2866">
        <w:rPr>
          <w:szCs w:val="24"/>
          <w:lang w:val="fi-FI"/>
        </w:rPr>
        <w:t>(9), 5041. https://doi.org/10.3390/su14095041</w:t>
      </w:r>
    </w:p>
    <w:p w14:paraId="784FE993" w14:textId="77777777" w:rsidR="00D83B4B" w:rsidRPr="00D83B4B" w:rsidRDefault="00D83B4B" w:rsidP="00D83B4B">
      <w:pPr>
        <w:pStyle w:val="Bibliography"/>
        <w:spacing w:after="120" w:line="360" w:lineRule="auto"/>
        <w:rPr>
          <w:szCs w:val="24"/>
        </w:rPr>
      </w:pPr>
      <w:r w:rsidRPr="009C2866">
        <w:rPr>
          <w:szCs w:val="24"/>
          <w:lang w:val="fi-FI"/>
        </w:rPr>
        <w:t xml:space="preserve">Gregory, G. D., Ngo, L. V., &amp; Karavdic, M. (2019). </w:t>
      </w:r>
      <w:r w:rsidRPr="00D83B4B">
        <w:rPr>
          <w:szCs w:val="24"/>
        </w:rPr>
        <w:t xml:space="preserve">Developing e-commerce marketing capabilities and efficiencies for enhanced performance in business-to-business export ventures. </w:t>
      </w:r>
      <w:r w:rsidRPr="00D83B4B">
        <w:rPr>
          <w:iCs/>
          <w:szCs w:val="24"/>
        </w:rPr>
        <w:t>Industrial Marketing Management</w:t>
      </w:r>
      <w:r w:rsidRPr="00D83B4B">
        <w:rPr>
          <w:szCs w:val="24"/>
        </w:rPr>
        <w:t xml:space="preserve">, </w:t>
      </w:r>
      <w:r w:rsidRPr="00D83B4B">
        <w:rPr>
          <w:iCs/>
          <w:szCs w:val="24"/>
        </w:rPr>
        <w:t>78</w:t>
      </w:r>
      <w:r w:rsidRPr="00D83B4B">
        <w:rPr>
          <w:szCs w:val="24"/>
        </w:rPr>
        <w:t>, 146–157. https://doi.org/10.1016/j.indmarman.2017.03.002</w:t>
      </w:r>
    </w:p>
    <w:p w14:paraId="2CC097C7" w14:textId="77777777" w:rsidR="00D83B4B" w:rsidRPr="00D83B4B" w:rsidRDefault="00D83B4B" w:rsidP="00D83B4B">
      <w:pPr>
        <w:pStyle w:val="Bibliography"/>
        <w:spacing w:after="120" w:line="360" w:lineRule="auto"/>
        <w:rPr>
          <w:szCs w:val="24"/>
        </w:rPr>
      </w:pPr>
      <w:r w:rsidRPr="00D83B4B">
        <w:rPr>
          <w:szCs w:val="24"/>
        </w:rPr>
        <w:t xml:space="preserve">Harjoto, M., Laksmana, I., &amp; Yang, Y. (2019). Board nationality and educational background diversity and corporate social performance. </w:t>
      </w:r>
      <w:r w:rsidRPr="00D83B4B">
        <w:rPr>
          <w:iCs/>
          <w:szCs w:val="24"/>
        </w:rPr>
        <w:t>Corporate Governance (Bingley)</w:t>
      </w:r>
      <w:r w:rsidRPr="00D83B4B">
        <w:rPr>
          <w:szCs w:val="24"/>
        </w:rPr>
        <w:t xml:space="preserve">, </w:t>
      </w:r>
      <w:r w:rsidRPr="00D83B4B">
        <w:rPr>
          <w:iCs/>
          <w:szCs w:val="24"/>
        </w:rPr>
        <w:t>19</w:t>
      </w:r>
      <w:r w:rsidRPr="00D83B4B">
        <w:rPr>
          <w:szCs w:val="24"/>
        </w:rPr>
        <w:t>(2), 217–239. https://doi.org/10.1108/CG-04-2018-0138</w:t>
      </w:r>
    </w:p>
    <w:p w14:paraId="738B6C01" w14:textId="77777777" w:rsidR="00D83B4B" w:rsidRPr="00D83B4B" w:rsidRDefault="00D83B4B" w:rsidP="00D83B4B">
      <w:pPr>
        <w:pStyle w:val="Bibliography"/>
        <w:spacing w:after="120" w:line="360" w:lineRule="auto"/>
        <w:rPr>
          <w:szCs w:val="24"/>
        </w:rPr>
      </w:pPr>
      <w:r w:rsidRPr="00D83B4B">
        <w:rPr>
          <w:szCs w:val="24"/>
        </w:rPr>
        <w:t xml:space="preserve">IOM. (2019). </w:t>
      </w:r>
      <w:r w:rsidRPr="00D83B4B">
        <w:rPr>
          <w:iCs/>
          <w:szCs w:val="24"/>
        </w:rPr>
        <w:t>Searching for clarity: Defining and mapping youth migration</w:t>
      </w:r>
      <w:r w:rsidRPr="00D83B4B">
        <w:rPr>
          <w:szCs w:val="24"/>
        </w:rPr>
        <w:t xml:space="preserve"> (p. 18). International Organization for Migration.</w:t>
      </w:r>
    </w:p>
    <w:p w14:paraId="46BB63D7" w14:textId="77777777" w:rsidR="00D83B4B" w:rsidRPr="00D83B4B" w:rsidRDefault="00D83B4B" w:rsidP="00D83B4B">
      <w:pPr>
        <w:pStyle w:val="Bibliography"/>
        <w:spacing w:after="120" w:line="360" w:lineRule="auto"/>
        <w:rPr>
          <w:szCs w:val="24"/>
        </w:rPr>
      </w:pPr>
      <w:r w:rsidRPr="00D83B4B">
        <w:rPr>
          <w:szCs w:val="24"/>
        </w:rPr>
        <w:t xml:space="preserve">Kassem, R., Ajmal, M., Gunasekaran, A., &amp; Helo, P. (2019). Assessing the impact of organizational culture on achieving business excellence with a moderating role of ICT: An SEM approach. </w:t>
      </w:r>
      <w:r w:rsidRPr="00D83B4B">
        <w:rPr>
          <w:iCs/>
          <w:szCs w:val="24"/>
        </w:rPr>
        <w:t>Benchmarking: An International Journal</w:t>
      </w:r>
      <w:r w:rsidRPr="00D83B4B">
        <w:rPr>
          <w:szCs w:val="24"/>
        </w:rPr>
        <w:t xml:space="preserve">, </w:t>
      </w:r>
      <w:r w:rsidRPr="00D83B4B">
        <w:rPr>
          <w:iCs/>
          <w:szCs w:val="24"/>
        </w:rPr>
        <w:t>26</w:t>
      </w:r>
      <w:r w:rsidRPr="00D83B4B">
        <w:rPr>
          <w:szCs w:val="24"/>
        </w:rPr>
        <w:t>(1), 117–146. https://doi.org/10.1108/BIJ-03-2018-0068</w:t>
      </w:r>
    </w:p>
    <w:p w14:paraId="1DF20427" w14:textId="77777777" w:rsidR="00D83B4B" w:rsidRPr="00D83B4B" w:rsidRDefault="00D83B4B" w:rsidP="00D83B4B">
      <w:pPr>
        <w:pStyle w:val="Bibliography"/>
        <w:spacing w:after="120" w:line="360" w:lineRule="auto"/>
        <w:rPr>
          <w:szCs w:val="24"/>
        </w:rPr>
      </w:pPr>
      <w:r w:rsidRPr="00D83B4B">
        <w:rPr>
          <w:szCs w:val="24"/>
        </w:rPr>
        <w:t xml:space="preserve">Kaumbulu, A., Muathe, S., &amp; James, R. (2019). Governance, Quality and Operating EnvironmentContagious in Sustainability: Understanding ProjectSustainability from Youth Empowerment Perspectivein Kenya. </w:t>
      </w:r>
      <w:r w:rsidRPr="00D83B4B">
        <w:rPr>
          <w:iCs/>
          <w:szCs w:val="24"/>
        </w:rPr>
        <w:t>Asian Journal of Economics, Finance and Management</w:t>
      </w:r>
      <w:r w:rsidRPr="00D83B4B">
        <w:rPr>
          <w:szCs w:val="24"/>
        </w:rPr>
        <w:t xml:space="preserve">, </w:t>
      </w:r>
      <w:r w:rsidRPr="00D83B4B">
        <w:rPr>
          <w:iCs/>
          <w:szCs w:val="24"/>
        </w:rPr>
        <w:t>4</w:t>
      </w:r>
      <w:r w:rsidRPr="00D83B4B">
        <w:rPr>
          <w:szCs w:val="24"/>
        </w:rPr>
        <w:t>(1), 251–267.</w:t>
      </w:r>
    </w:p>
    <w:p w14:paraId="689605DC" w14:textId="77777777" w:rsidR="00D83B4B" w:rsidRPr="00D83B4B" w:rsidRDefault="00D83B4B" w:rsidP="00D83B4B">
      <w:pPr>
        <w:pStyle w:val="Bibliography"/>
        <w:spacing w:after="120" w:line="360" w:lineRule="auto"/>
        <w:rPr>
          <w:szCs w:val="24"/>
        </w:rPr>
      </w:pPr>
      <w:r w:rsidRPr="00D83B4B">
        <w:rPr>
          <w:szCs w:val="24"/>
        </w:rPr>
        <w:t xml:space="preserve">Kiyabo, K., &amp; Isaga, N. (2020). Entrepreneurial orientation, competitive advantage, and SMEs’ performance: Application of firm growth and personal wealth measures. </w:t>
      </w:r>
      <w:r w:rsidRPr="00D83B4B">
        <w:rPr>
          <w:iCs/>
          <w:szCs w:val="24"/>
        </w:rPr>
        <w:t>Journal of Innovation and Entrepreneurship</w:t>
      </w:r>
      <w:r w:rsidRPr="00D83B4B">
        <w:rPr>
          <w:szCs w:val="24"/>
        </w:rPr>
        <w:t xml:space="preserve">, </w:t>
      </w:r>
      <w:r w:rsidRPr="00D83B4B">
        <w:rPr>
          <w:iCs/>
          <w:szCs w:val="24"/>
        </w:rPr>
        <w:t>9</w:t>
      </w:r>
      <w:r w:rsidRPr="00D83B4B">
        <w:rPr>
          <w:szCs w:val="24"/>
        </w:rPr>
        <w:t>(1), 12. https://doi.org/10.1186/s13731-020-00123-7</w:t>
      </w:r>
    </w:p>
    <w:p w14:paraId="5E6BC3E1" w14:textId="77777777" w:rsidR="00D83B4B" w:rsidRPr="00D83B4B" w:rsidRDefault="00D83B4B" w:rsidP="00D83B4B">
      <w:pPr>
        <w:pStyle w:val="Bibliography"/>
        <w:spacing w:after="120" w:line="360" w:lineRule="auto"/>
        <w:rPr>
          <w:szCs w:val="24"/>
        </w:rPr>
      </w:pPr>
      <w:r w:rsidRPr="00D83B4B">
        <w:rPr>
          <w:szCs w:val="24"/>
        </w:rPr>
        <w:t xml:space="preserve">Kulmie, D. A., Hussein, M. S., Abdi, B. M., Abdulle, M. A., &amp; Adam, M. A. (2023). Entrepreneurship Training, Job Creation and Youth Empowerment. </w:t>
      </w:r>
      <w:r w:rsidRPr="00D83B4B">
        <w:rPr>
          <w:iCs/>
          <w:szCs w:val="24"/>
        </w:rPr>
        <w:t>Asian Social Science</w:t>
      </w:r>
      <w:r w:rsidRPr="00D83B4B">
        <w:rPr>
          <w:szCs w:val="24"/>
        </w:rPr>
        <w:t xml:space="preserve">, </w:t>
      </w:r>
      <w:r w:rsidRPr="00D83B4B">
        <w:rPr>
          <w:iCs/>
          <w:szCs w:val="24"/>
        </w:rPr>
        <w:t>19</w:t>
      </w:r>
      <w:r w:rsidRPr="00D83B4B">
        <w:rPr>
          <w:szCs w:val="24"/>
        </w:rPr>
        <w:t>(6), 111. https://doi.org/10.5539/ass.v19n6p111</w:t>
      </w:r>
    </w:p>
    <w:p w14:paraId="67466B59" w14:textId="77777777" w:rsidR="00D83B4B" w:rsidRPr="00D83B4B" w:rsidRDefault="00D83B4B" w:rsidP="00D83B4B">
      <w:pPr>
        <w:pStyle w:val="Bibliography"/>
        <w:spacing w:after="120" w:line="360" w:lineRule="auto"/>
        <w:rPr>
          <w:szCs w:val="24"/>
        </w:rPr>
      </w:pPr>
      <w:r w:rsidRPr="00D83B4B">
        <w:rPr>
          <w:szCs w:val="24"/>
        </w:rPr>
        <w:t xml:space="preserve">Liñán, F., Jaén, I., &amp; Martín, D. (2022). Does entrepreneurship fit her? Women entrepreneurs, gender-role orientation, and entrepreneurial culture. </w:t>
      </w:r>
      <w:r w:rsidRPr="00D83B4B">
        <w:rPr>
          <w:iCs/>
          <w:szCs w:val="24"/>
        </w:rPr>
        <w:t>Small Business Economics</w:t>
      </w:r>
      <w:r w:rsidRPr="00D83B4B">
        <w:rPr>
          <w:szCs w:val="24"/>
        </w:rPr>
        <w:t xml:space="preserve">, </w:t>
      </w:r>
      <w:r w:rsidRPr="00D83B4B">
        <w:rPr>
          <w:iCs/>
          <w:szCs w:val="24"/>
        </w:rPr>
        <w:t>58</w:t>
      </w:r>
      <w:r w:rsidRPr="00D83B4B">
        <w:rPr>
          <w:szCs w:val="24"/>
        </w:rPr>
        <w:t>(2), 1051–1071. https://doi.org/10.1007/s11187-020-00433-w</w:t>
      </w:r>
    </w:p>
    <w:p w14:paraId="139122A8" w14:textId="77777777" w:rsidR="00D83B4B" w:rsidRPr="00D83B4B" w:rsidRDefault="00D83B4B" w:rsidP="00D83B4B">
      <w:pPr>
        <w:pStyle w:val="Bibliography"/>
        <w:spacing w:after="120" w:line="360" w:lineRule="auto"/>
        <w:rPr>
          <w:szCs w:val="24"/>
        </w:rPr>
      </w:pPr>
      <w:r w:rsidRPr="00D83B4B">
        <w:rPr>
          <w:szCs w:val="24"/>
        </w:rPr>
        <w:lastRenderedPageBreak/>
        <w:t xml:space="preserve">López-Cabarcos, M. Á., Srinivasan, S., Göttling-Oliveira-Monteiro, S., &amp; Vázquez-Rodríguez, P. (2019). Tacit Knowledge and Firm Performance Relationship. The Role of Product Innovation and the Firm Level Capabilities. </w:t>
      </w:r>
      <w:r w:rsidRPr="00D83B4B">
        <w:rPr>
          <w:iCs/>
          <w:szCs w:val="24"/>
        </w:rPr>
        <w:t>Journal of Business Economics and Management</w:t>
      </w:r>
      <w:r w:rsidRPr="00D83B4B">
        <w:rPr>
          <w:szCs w:val="24"/>
        </w:rPr>
        <w:t xml:space="preserve">, </w:t>
      </w:r>
      <w:r w:rsidRPr="00D83B4B">
        <w:rPr>
          <w:iCs/>
          <w:szCs w:val="24"/>
        </w:rPr>
        <w:t>20</w:t>
      </w:r>
      <w:r w:rsidRPr="00D83B4B">
        <w:rPr>
          <w:szCs w:val="24"/>
        </w:rPr>
        <w:t>(2), 330–350. https://doi.org/10.3846/jbem.2019.9590</w:t>
      </w:r>
    </w:p>
    <w:p w14:paraId="41EB3B08" w14:textId="77777777" w:rsidR="00D83B4B" w:rsidRPr="00D83B4B" w:rsidRDefault="00D83B4B" w:rsidP="00D83B4B">
      <w:pPr>
        <w:pStyle w:val="Bibliography"/>
        <w:spacing w:after="120" w:line="360" w:lineRule="auto"/>
        <w:rPr>
          <w:szCs w:val="24"/>
        </w:rPr>
      </w:pPr>
      <w:r w:rsidRPr="00D83B4B">
        <w:rPr>
          <w:szCs w:val="24"/>
        </w:rPr>
        <w:t xml:space="preserve">Lwanga-Ntale, C., &amp; Owino, B. O. (2020). Understanding vulnerability and resilience in Somalia. </w:t>
      </w:r>
      <w:r w:rsidRPr="00D83B4B">
        <w:rPr>
          <w:iCs/>
          <w:szCs w:val="24"/>
        </w:rPr>
        <w:t>Jàmbá Journal of Disaster Risk Studies</w:t>
      </w:r>
      <w:r w:rsidRPr="00D83B4B">
        <w:rPr>
          <w:szCs w:val="24"/>
        </w:rPr>
        <w:t xml:space="preserve">, </w:t>
      </w:r>
      <w:r w:rsidRPr="00D83B4B">
        <w:rPr>
          <w:iCs/>
          <w:szCs w:val="24"/>
        </w:rPr>
        <w:t>12</w:t>
      </w:r>
      <w:r w:rsidRPr="00D83B4B">
        <w:rPr>
          <w:szCs w:val="24"/>
        </w:rPr>
        <w:t>(1). https://doi.org/10.4102/jamba.v12i1.856</w:t>
      </w:r>
    </w:p>
    <w:p w14:paraId="78447DFD" w14:textId="77777777" w:rsidR="00D83B4B" w:rsidRPr="00D83B4B" w:rsidRDefault="00D83B4B" w:rsidP="00D83B4B">
      <w:pPr>
        <w:pStyle w:val="Bibliography"/>
        <w:spacing w:after="120" w:line="360" w:lineRule="auto"/>
        <w:rPr>
          <w:szCs w:val="24"/>
        </w:rPr>
      </w:pPr>
      <w:r w:rsidRPr="00D83B4B">
        <w:rPr>
          <w:szCs w:val="24"/>
        </w:rPr>
        <w:t xml:space="preserve">Noone, B. M., Lin, M. S., &amp; Sharma, A. (2024). Firm Performance During a Crisis: Effects of Adhocracy Culture, Incremental Product Innovation, and Firm Size. </w:t>
      </w:r>
      <w:r w:rsidRPr="00D83B4B">
        <w:rPr>
          <w:iCs/>
          <w:szCs w:val="24"/>
        </w:rPr>
        <w:t>Journal of Hospitality &amp; Tourism Research</w:t>
      </w:r>
      <w:r w:rsidRPr="00D83B4B">
        <w:rPr>
          <w:szCs w:val="24"/>
        </w:rPr>
        <w:t xml:space="preserve">, </w:t>
      </w:r>
      <w:r w:rsidRPr="00D83B4B">
        <w:rPr>
          <w:iCs/>
          <w:szCs w:val="24"/>
        </w:rPr>
        <w:t>48</w:t>
      </w:r>
      <w:r w:rsidRPr="00D83B4B">
        <w:rPr>
          <w:szCs w:val="24"/>
        </w:rPr>
        <w:t>(1), 153–183. https://doi.org/10.1177/10963480221086846</w:t>
      </w:r>
    </w:p>
    <w:p w14:paraId="76A25C2D" w14:textId="77777777" w:rsidR="00D83B4B" w:rsidRPr="00D83B4B" w:rsidRDefault="00D83B4B" w:rsidP="00D83B4B">
      <w:pPr>
        <w:pStyle w:val="Bibliography"/>
        <w:spacing w:after="120" w:line="360" w:lineRule="auto"/>
        <w:rPr>
          <w:szCs w:val="24"/>
        </w:rPr>
      </w:pPr>
      <w:r w:rsidRPr="00D83B4B">
        <w:rPr>
          <w:szCs w:val="24"/>
        </w:rPr>
        <w:t xml:space="preserve">Saunders, M. N. K., Lewis, P., &amp; Thornhill, A. (2019). </w:t>
      </w:r>
      <w:r w:rsidRPr="00D83B4B">
        <w:rPr>
          <w:iCs/>
          <w:szCs w:val="24"/>
        </w:rPr>
        <w:t>Research Methods for Business Students</w:t>
      </w:r>
      <w:r w:rsidRPr="00D83B4B">
        <w:rPr>
          <w:szCs w:val="24"/>
        </w:rPr>
        <w:t xml:space="preserve"> (8th ed.). Pearson.</w:t>
      </w:r>
    </w:p>
    <w:p w14:paraId="4DB7218F" w14:textId="77777777" w:rsidR="00D83B4B" w:rsidRPr="00D83B4B" w:rsidRDefault="00D83B4B" w:rsidP="00D83B4B">
      <w:pPr>
        <w:pStyle w:val="Bibliography"/>
        <w:spacing w:after="120" w:line="360" w:lineRule="auto"/>
        <w:rPr>
          <w:szCs w:val="24"/>
        </w:rPr>
      </w:pPr>
      <w:r w:rsidRPr="00D83B4B">
        <w:rPr>
          <w:szCs w:val="24"/>
        </w:rPr>
        <w:t xml:space="preserve">Saunders, M. N., Saunders, M., Lewis, P., &amp; Thornhill, A. (2011). </w:t>
      </w:r>
      <w:r w:rsidRPr="00D83B4B">
        <w:rPr>
          <w:iCs/>
          <w:szCs w:val="24"/>
        </w:rPr>
        <w:t>Research Methods for Business Students</w:t>
      </w:r>
      <w:r w:rsidRPr="00D83B4B">
        <w:rPr>
          <w:szCs w:val="24"/>
        </w:rPr>
        <w:t xml:space="preserve"> (5th ed.). Pearson Education.</w:t>
      </w:r>
    </w:p>
    <w:p w14:paraId="058F447E" w14:textId="77777777" w:rsidR="00D83B4B" w:rsidRPr="00D83B4B" w:rsidRDefault="00D83B4B" w:rsidP="00D83B4B">
      <w:pPr>
        <w:pStyle w:val="Bibliography"/>
        <w:spacing w:after="120" w:line="360" w:lineRule="auto"/>
        <w:rPr>
          <w:szCs w:val="24"/>
        </w:rPr>
      </w:pPr>
      <w:r w:rsidRPr="00D83B4B">
        <w:rPr>
          <w:szCs w:val="24"/>
        </w:rPr>
        <w:t xml:space="preserve">Sheikhdon, A. (2020). The Role of Youth Participation on Good Governance at Two Selected Youth Organizations in Mogadishu, Somalia. </w:t>
      </w:r>
      <w:r w:rsidRPr="00D83B4B">
        <w:rPr>
          <w:iCs/>
          <w:szCs w:val="24"/>
        </w:rPr>
        <w:t>EPRA International Journal of Agriculture and Rural Economic Research</w:t>
      </w:r>
      <w:r w:rsidRPr="00D83B4B">
        <w:rPr>
          <w:szCs w:val="24"/>
        </w:rPr>
        <w:t>, 1–13. https://doi.org/10.36713/epra6004</w:t>
      </w:r>
    </w:p>
    <w:p w14:paraId="64434B92" w14:textId="77777777" w:rsidR="00D83B4B" w:rsidRPr="00D83B4B" w:rsidRDefault="00D83B4B" w:rsidP="00D83B4B">
      <w:pPr>
        <w:pStyle w:val="Bibliography"/>
        <w:spacing w:after="120" w:line="360" w:lineRule="auto"/>
        <w:rPr>
          <w:szCs w:val="24"/>
        </w:rPr>
      </w:pPr>
      <w:r w:rsidRPr="00D83B4B">
        <w:rPr>
          <w:szCs w:val="24"/>
        </w:rPr>
        <w:t xml:space="preserve">Sikenyi, M. (2017). Does Kenya’s Youth Enterprise Development Fund Serve Young People? </w:t>
      </w:r>
      <w:r w:rsidRPr="00D83B4B">
        <w:rPr>
          <w:iCs/>
          <w:szCs w:val="24"/>
        </w:rPr>
        <w:t>IDS Bulletin</w:t>
      </w:r>
      <w:r w:rsidRPr="00D83B4B">
        <w:rPr>
          <w:szCs w:val="24"/>
        </w:rPr>
        <w:t xml:space="preserve">, </w:t>
      </w:r>
      <w:r w:rsidRPr="00D83B4B">
        <w:rPr>
          <w:iCs/>
          <w:szCs w:val="24"/>
        </w:rPr>
        <w:t>47</w:t>
      </w:r>
      <w:r w:rsidRPr="00D83B4B">
        <w:rPr>
          <w:szCs w:val="24"/>
        </w:rPr>
        <w:t>(3). https://doi.org/10.19088/1968-2017.131</w:t>
      </w:r>
    </w:p>
    <w:p w14:paraId="04B709EB" w14:textId="77777777" w:rsidR="00D83B4B" w:rsidRPr="00D83B4B" w:rsidRDefault="00D83B4B" w:rsidP="00D83B4B">
      <w:pPr>
        <w:pStyle w:val="Bibliography"/>
        <w:spacing w:after="120" w:line="360" w:lineRule="auto"/>
        <w:rPr>
          <w:szCs w:val="24"/>
        </w:rPr>
      </w:pPr>
      <w:r w:rsidRPr="00D83B4B">
        <w:rPr>
          <w:szCs w:val="24"/>
        </w:rPr>
        <w:t xml:space="preserve">Teece, D., &amp; Pisano, G. (1994). The Dynamic Capabilities of Firms: An Introduction. </w:t>
      </w:r>
      <w:r w:rsidRPr="00D83B4B">
        <w:rPr>
          <w:iCs/>
          <w:szCs w:val="24"/>
        </w:rPr>
        <w:t>Industrial and Corporate Change</w:t>
      </w:r>
      <w:r w:rsidRPr="00D83B4B">
        <w:rPr>
          <w:szCs w:val="24"/>
        </w:rPr>
        <w:t xml:space="preserve">, </w:t>
      </w:r>
      <w:r w:rsidRPr="00D83B4B">
        <w:rPr>
          <w:iCs/>
          <w:szCs w:val="24"/>
        </w:rPr>
        <w:t>3</w:t>
      </w:r>
      <w:r w:rsidRPr="00D83B4B">
        <w:rPr>
          <w:szCs w:val="24"/>
        </w:rPr>
        <w:t>(3), 537–556. https://doi.org/10.1093/icc/3.3.537-a</w:t>
      </w:r>
    </w:p>
    <w:p w14:paraId="7D0422BB" w14:textId="77777777" w:rsidR="00D83B4B" w:rsidRPr="00D83B4B" w:rsidRDefault="00D83B4B" w:rsidP="00D83B4B">
      <w:pPr>
        <w:pStyle w:val="Bibliography"/>
        <w:spacing w:after="120" w:line="360" w:lineRule="auto"/>
        <w:rPr>
          <w:szCs w:val="24"/>
        </w:rPr>
      </w:pPr>
      <w:r w:rsidRPr="00D83B4B">
        <w:rPr>
          <w:szCs w:val="24"/>
        </w:rPr>
        <w:t xml:space="preserve">UN. (2024). </w:t>
      </w:r>
      <w:r w:rsidRPr="00D83B4B">
        <w:rPr>
          <w:iCs/>
          <w:szCs w:val="24"/>
        </w:rPr>
        <w:t>Community Resilience in the Horn of Africa: Insights from Ethiopia, Kenya and Somalia</w:t>
      </w:r>
      <w:r w:rsidRPr="00D83B4B">
        <w:rPr>
          <w:szCs w:val="24"/>
        </w:rPr>
        <w:t xml:space="preserve"> (p. 69). United Nations Development Programme.</w:t>
      </w:r>
    </w:p>
    <w:p w14:paraId="22B56023" w14:textId="77777777" w:rsidR="00D83B4B" w:rsidRPr="00D83B4B" w:rsidRDefault="00D83B4B" w:rsidP="00D83B4B">
      <w:pPr>
        <w:pStyle w:val="Bibliography"/>
        <w:spacing w:after="120" w:line="360" w:lineRule="auto"/>
        <w:rPr>
          <w:szCs w:val="24"/>
        </w:rPr>
      </w:pPr>
      <w:r w:rsidRPr="00D83B4B">
        <w:rPr>
          <w:szCs w:val="24"/>
        </w:rPr>
        <w:t xml:space="preserve">UNFPA. (2010). </w:t>
      </w:r>
      <w:r w:rsidRPr="00D83B4B">
        <w:rPr>
          <w:iCs/>
          <w:szCs w:val="24"/>
        </w:rPr>
        <w:t>The National Youth Policy of The Federal Government of Somalia</w:t>
      </w:r>
      <w:r w:rsidRPr="00D83B4B">
        <w:rPr>
          <w:szCs w:val="24"/>
        </w:rPr>
        <w:t xml:space="preserve"> (p. 31). Federal Government of Somalia.</w:t>
      </w:r>
    </w:p>
    <w:p w14:paraId="2335F077" w14:textId="77777777" w:rsidR="00D83B4B" w:rsidRPr="00D83B4B" w:rsidRDefault="00D83B4B" w:rsidP="00D83B4B">
      <w:pPr>
        <w:pStyle w:val="Bibliography"/>
        <w:spacing w:after="120" w:line="360" w:lineRule="auto"/>
        <w:rPr>
          <w:szCs w:val="24"/>
        </w:rPr>
      </w:pPr>
      <w:r w:rsidRPr="00D83B4B">
        <w:rPr>
          <w:szCs w:val="24"/>
        </w:rPr>
        <w:t xml:space="preserve">Valencia-Arias, A., Arango-Botero, D., &amp; Sánchez-Torres, J. A. (2022). Promoting entrepreneurship based on university students’ perceptions of entrepreneurial attitude, university environment, entrepreneurial culture and entrepreneurial training. </w:t>
      </w:r>
      <w:r w:rsidRPr="00D83B4B">
        <w:rPr>
          <w:iCs/>
          <w:szCs w:val="24"/>
        </w:rPr>
        <w:t xml:space="preserve">Higher </w:t>
      </w:r>
      <w:r w:rsidRPr="00D83B4B">
        <w:rPr>
          <w:iCs/>
          <w:szCs w:val="24"/>
        </w:rPr>
        <w:lastRenderedPageBreak/>
        <w:t>Education, Skills and Work-Based Learning</w:t>
      </w:r>
      <w:r w:rsidRPr="00D83B4B">
        <w:rPr>
          <w:szCs w:val="24"/>
        </w:rPr>
        <w:t xml:space="preserve">, </w:t>
      </w:r>
      <w:r w:rsidRPr="00D83B4B">
        <w:rPr>
          <w:iCs/>
          <w:szCs w:val="24"/>
        </w:rPr>
        <w:t>12</w:t>
      </w:r>
      <w:r w:rsidRPr="00D83B4B">
        <w:rPr>
          <w:szCs w:val="24"/>
        </w:rPr>
        <w:t>(2), 328–345. https://doi.org/10.1108/HESWBL-07-2020-0169</w:t>
      </w:r>
    </w:p>
    <w:p w14:paraId="6756BF39" w14:textId="77777777" w:rsidR="00D83B4B" w:rsidRPr="00D83B4B" w:rsidRDefault="00D83B4B" w:rsidP="00D83B4B">
      <w:pPr>
        <w:pStyle w:val="Bibliography"/>
        <w:spacing w:after="120" w:line="360" w:lineRule="auto"/>
        <w:rPr>
          <w:szCs w:val="24"/>
        </w:rPr>
      </w:pPr>
      <w:r w:rsidRPr="00D83B4B">
        <w:rPr>
          <w:szCs w:val="24"/>
        </w:rPr>
        <w:t xml:space="preserve">World Bank. (2020). Global Investment Competitiveness Report 2019/2020: Rebuilding Investor Confidence in Times of Uncertainty. In </w:t>
      </w:r>
      <w:r w:rsidRPr="00D83B4B">
        <w:rPr>
          <w:iCs/>
          <w:szCs w:val="24"/>
        </w:rPr>
        <w:t>Global Investment Competitiveness Report 2019/2020: Rebuilding Investor Confidence in Times of Uncertainty</w:t>
      </w:r>
      <w:r w:rsidRPr="00D83B4B">
        <w:rPr>
          <w:szCs w:val="24"/>
        </w:rPr>
        <w:t>. https://doi.org/10.1596/978-1-4648-1536-2</w:t>
      </w:r>
    </w:p>
    <w:p w14:paraId="05F2DE2E" w14:textId="77777777" w:rsidR="00D83B4B" w:rsidRPr="00D83B4B" w:rsidRDefault="00D83B4B" w:rsidP="00D83B4B">
      <w:pPr>
        <w:pStyle w:val="Bibliography"/>
        <w:spacing w:after="120" w:line="360" w:lineRule="auto"/>
        <w:rPr>
          <w:szCs w:val="24"/>
        </w:rPr>
      </w:pPr>
      <w:r w:rsidRPr="00D83B4B">
        <w:rPr>
          <w:szCs w:val="24"/>
        </w:rPr>
        <w:t xml:space="preserve">Yamane, T. (1967). </w:t>
      </w:r>
      <w:r w:rsidRPr="00D83B4B">
        <w:rPr>
          <w:iCs/>
          <w:szCs w:val="24"/>
        </w:rPr>
        <w:t>Statistics: An Introductory Analysis</w:t>
      </w:r>
      <w:r w:rsidRPr="00D83B4B">
        <w:rPr>
          <w:szCs w:val="24"/>
        </w:rPr>
        <w:t xml:space="preserve"> (2nd Editio). Harper and Row.</w:t>
      </w:r>
    </w:p>
    <w:p w14:paraId="234796F0" w14:textId="0C3B1E93" w:rsidR="00D7182D" w:rsidRPr="00D7182D" w:rsidRDefault="00D83B4B" w:rsidP="00D83B4B">
      <w:pPr>
        <w:spacing w:line="360" w:lineRule="auto"/>
        <w:rPr>
          <w:i/>
        </w:rPr>
      </w:pPr>
      <w:r w:rsidRPr="00D83B4B">
        <w:rPr>
          <w:rFonts w:ascii="Times New Roman" w:hAnsi="Times New Roman" w:cs="Times New Roman"/>
          <w:i/>
          <w:sz w:val="24"/>
          <w:szCs w:val="24"/>
        </w:rPr>
        <w:fldChar w:fldCharType="end"/>
      </w:r>
    </w:p>
    <w:p w14:paraId="0C763D7F" w14:textId="77777777" w:rsidR="00E9397E" w:rsidRPr="00D7182D" w:rsidRDefault="00E9397E" w:rsidP="003B75B0">
      <w:pPr>
        <w:rPr>
          <w:i/>
        </w:rPr>
      </w:pPr>
    </w:p>
    <w:sectPr w:rsidR="00E9397E" w:rsidRPr="00D718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17EA3" w14:textId="77777777" w:rsidR="00E73C9A" w:rsidRDefault="00E73C9A" w:rsidP="009633F9">
      <w:pPr>
        <w:spacing w:after="0" w:line="240" w:lineRule="auto"/>
      </w:pPr>
      <w:r>
        <w:separator/>
      </w:r>
    </w:p>
  </w:endnote>
  <w:endnote w:type="continuationSeparator" w:id="0">
    <w:p w14:paraId="7E896BD4" w14:textId="77777777" w:rsidR="00E73C9A" w:rsidRDefault="00E73C9A" w:rsidP="0096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BEDE" w14:textId="77777777" w:rsidR="00B217F2" w:rsidRDefault="00B21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FC6F" w14:textId="77777777" w:rsidR="00B217F2" w:rsidRDefault="00B21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9987" w14:textId="77777777" w:rsidR="00B217F2" w:rsidRDefault="00B2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C829D" w14:textId="77777777" w:rsidR="00E73C9A" w:rsidRDefault="00E73C9A" w:rsidP="009633F9">
      <w:pPr>
        <w:spacing w:after="0" w:line="240" w:lineRule="auto"/>
      </w:pPr>
      <w:r>
        <w:separator/>
      </w:r>
    </w:p>
  </w:footnote>
  <w:footnote w:type="continuationSeparator" w:id="0">
    <w:p w14:paraId="3A43EA33" w14:textId="77777777" w:rsidR="00E73C9A" w:rsidRDefault="00E73C9A" w:rsidP="0096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99C8" w14:textId="464D3E82" w:rsidR="00B217F2" w:rsidRDefault="00B217F2">
    <w:pPr>
      <w:pStyle w:val="Header"/>
    </w:pPr>
    <w:r>
      <w:rPr>
        <w:noProof/>
      </w:rPr>
      <w:pict w14:anchorId="04798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43E4" w14:textId="76FF6CFF" w:rsidR="00B217F2" w:rsidRDefault="00B217F2">
    <w:pPr>
      <w:pStyle w:val="Header"/>
    </w:pPr>
    <w:r>
      <w:rPr>
        <w:noProof/>
      </w:rPr>
      <w:pict w14:anchorId="1CC2C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FD84" w14:textId="6242EBFF" w:rsidR="00B217F2" w:rsidRDefault="00B217F2">
    <w:pPr>
      <w:pStyle w:val="Header"/>
    </w:pPr>
    <w:r>
      <w:rPr>
        <w:noProof/>
      </w:rPr>
      <w:pict w14:anchorId="482C3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FE2206A0"/>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000009"/>
    <w:multiLevelType w:val="hybridMultilevel"/>
    <w:tmpl w:val="F29A8EC2"/>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60582"/>
    <w:multiLevelType w:val="hybridMultilevel"/>
    <w:tmpl w:val="F54E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81D89"/>
    <w:multiLevelType w:val="multilevel"/>
    <w:tmpl w:val="1B181D89"/>
    <w:lvl w:ilvl="0">
      <w:start w:val="1"/>
      <w:numFmt w:val="upperRoman"/>
      <w:lvlText w:val="%1."/>
      <w:lvlJc w:val="right"/>
      <w:pPr>
        <w:ind w:left="720" w:hanging="360"/>
      </w:pPr>
    </w:lvl>
    <w:lvl w:ilvl="1">
      <w:start w:val="5"/>
      <w:numFmt w:val="decimal"/>
      <w:isLgl/>
      <w:lvlText w:val="%1.%2."/>
      <w:lvlJc w:val="left"/>
      <w:pPr>
        <w:ind w:left="750" w:hanging="390"/>
      </w:pPr>
      <w:rPr>
        <w:rFonts w:asciiTheme="majorHAnsi" w:hAnsiTheme="majorHAnsi" w:cstheme="majorBidi" w:hint="default"/>
      </w:rPr>
    </w:lvl>
    <w:lvl w:ilvl="2">
      <w:start w:val="1"/>
      <w:numFmt w:val="decimal"/>
      <w:isLgl/>
      <w:lvlText w:val="%1.%2.%3."/>
      <w:lvlJc w:val="left"/>
      <w:pPr>
        <w:ind w:left="1080" w:hanging="720"/>
      </w:pPr>
      <w:rPr>
        <w:rFonts w:asciiTheme="majorHAnsi" w:hAnsiTheme="majorHAnsi" w:cstheme="majorBidi" w:hint="default"/>
      </w:rPr>
    </w:lvl>
    <w:lvl w:ilvl="3">
      <w:start w:val="1"/>
      <w:numFmt w:val="decimal"/>
      <w:isLgl/>
      <w:lvlText w:val="%1.%2.%3.%4."/>
      <w:lvlJc w:val="left"/>
      <w:pPr>
        <w:ind w:left="1080" w:hanging="720"/>
      </w:pPr>
      <w:rPr>
        <w:rFonts w:asciiTheme="majorHAnsi" w:hAnsiTheme="majorHAnsi" w:cstheme="majorBidi" w:hint="default"/>
      </w:rPr>
    </w:lvl>
    <w:lvl w:ilvl="4">
      <w:start w:val="1"/>
      <w:numFmt w:val="decimal"/>
      <w:isLgl/>
      <w:lvlText w:val="%1.%2.%3.%4.%5."/>
      <w:lvlJc w:val="left"/>
      <w:pPr>
        <w:ind w:left="1440" w:hanging="1080"/>
      </w:pPr>
      <w:rPr>
        <w:rFonts w:asciiTheme="majorHAnsi" w:hAnsiTheme="majorHAnsi" w:cstheme="majorBidi" w:hint="default"/>
      </w:rPr>
    </w:lvl>
    <w:lvl w:ilvl="5">
      <w:start w:val="1"/>
      <w:numFmt w:val="decimal"/>
      <w:isLgl/>
      <w:lvlText w:val="%1.%2.%3.%4.%5.%6."/>
      <w:lvlJc w:val="left"/>
      <w:pPr>
        <w:ind w:left="1440" w:hanging="1080"/>
      </w:pPr>
      <w:rPr>
        <w:rFonts w:asciiTheme="majorHAnsi" w:hAnsiTheme="majorHAnsi" w:cstheme="majorBidi" w:hint="default"/>
      </w:rPr>
    </w:lvl>
    <w:lvl w:ilvl="6">
      <w:start w:val="1"/>
      <w:numFmt w:val="decimal"/>
      <w:isLgl/>
      <w:lvlText w:val="%1.%2.%3.%4.%5.%6.%7."/>
      <w:lvlJc w:val="left"/>
      <w:pPr>
        <w:ind w:left="1800" w:hanging="1440"/>
      </w:pPr>
      <w:rPr>
        <w:rFonts w:asciiTheme="majorHAnsi" w:hAnsiTheme="majorHAnsi" w:cstheme="majorBidi" w:hint="default"/>
      </w:rPr>
    </w:lvl>
    <w:lvl w:ilvl="7">
      <w:start w:val="1"/>
      <w:numFmt w:val="decimal"/>
      <w:isLgl/>
      <w:lvlText w:val="%1.%2.%3.%4.%5.%6.%7.%8."/>
      <w:lvlJc w:val="left"/>
      <w:pPr>
        <w:ind w:left="1800" w:hanging="1440"/>
      </w:pPr>
      <w:rPr>
        <w:rFonts w:asciiTheme="majorHAnsi" w:hAnsiTheme="majorHAnsi" w:cstheme="majorBidi" w:hint="default"/>
      </w:rPr>
    </w:lvl>
    <w:lvl w:ilvl="8">
      <w:start w:val="1"/>
      <w:numFmt w:val="decimal"/>
      <w:isLgl/>
      <w:lvlText w:val="%1.%2.%3.%4.%5.%6.%7.%8.%9."/>
      <w:lvlJc w:val="left"/>
      <w:pPr>
        <w:ind w:left="2160" w:hanging="1800"/>
      </w:pPr>
      <w:rPr>
        <w:rFonts w:asciiTheme="majorHAnsi" w:hAnsiTheme="majorHAnsi" w:cstheme="majorBidi" w:hint="default"/>
      </w:rPr>
    </w:lvl>
  </w:abstractNum>
  <w:abstractNum w:abstractNumId="4" w15:restartNumberingAfterBreak="0">
    <w:nsid w:val="6B001ABA"/>
    <w:multiLevelType w:val="hybridMultilevel"/>
    <w:tmpl w:val="0D221A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249DA"/>
    <w:multiLevelType w:val="multilevel"/>
    <w:tmpl w:val="3ADC84B0"/>
    <w:lvl w:ilvl="0">
      <w:start w:val="1"/>
      <w:numFmt w:val="decimal"/>
      <w:lvlText w:val="%1.0"/>
      <w:lvlJc w:val="left"/>
      <w:pPr>
        <w:ind w:left="360" w:hanging="360"/>
      </w:pPr>
      <w:rPr>
        <w:rFonts w:hint="default"/>
        <w:i w:val="0"/>
        <w:i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75E229D0"/>
    <w:multiLevelType w:val="hybridMultilevel"/>
    <w:tmpl w:val="B8121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7106C3"/>
    <w:multiLevelType w:val="multilevel"/>
    <w:tmpl w:val="38D80E74"/>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E893502"/>
    <w:multiLevelType w:val="hybridMultilevel"/>
    <w:tmpl w:val="BCC2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7"/>
  </w:num>
  <w:num w:numId="6">
    <w:abstractNumId w:val="1"/>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F9"/>
    <w:rsid w:val="0002411D"/>
    <w:rsid w:val="000316C0"/>
    <w:rsid w:val="00032B17"/>
    <w:rsid w:val="0003633D"/>
    <w:rsid w:val="000374C2"/>
    <w:rsid w:val="000421D6"/>
    <w:rsid w:val="000472F3"/>
    <w:rsid w:val="00053187"/>
    <w:rsid w:val="0005669B"/>
    <w:rsid w:val="00060070"/>
    <w:rsid w:val="00064E06"/>
    <w:rsid w:val="00066777"/>
    <w:rsid w:val="000704ED"/>
    <w:rsid w:val="00074DEC"/>
    <w:rsid w:val="000754F5"/>
    <w:rsid w:val="00076739"/>
    <w:rsid w:val="000846ED"/>
    <w:rsid w:val="000A3B76"/>
    <w:rsid w:val="000B1BAC"/>
    <w:rsid w:val="000B500D"/>
    <w:rsid w:val="000C0213"/>
    <w:rsid w:val="000C1F9E"/>
    <w:rsid w:val="000D5F31"/>
    <w:rsid w:val="000E1F82"/>
    <w:rsid w:val="000E2180"/>
    <w:rsid w:val="000F48B9"/>
    <w:rsid w:val="0010414C"/>
    <w:rsid w:val="00112D5B"/>
    <w:rsid w:val="00113702"/>
    <w:rsid w:val="001234E8"/>
    <w:rsid w:val="0012475F"/>
    <w:rsid w:val="00125FF5"/>
    <w:rsid w:val="00126A07"/>
    <w:rsid w:val="00137058"/>
    <w:rsid w:val="00144A0D"/>
    <w:rsid w:val="00145913"/>
    <w:rsid w:val="00153275"/>
    <w:rsid w:val="00162B2E"/>
    <w:rsid w:val="00164201"/>
    <w:rsid w:val="00166A27"/>
    <w:rsid w:val="001704F6"/>
    <w:rsid w:val="00185767"/>
    <w:rsid w:val="001924F6"/>
    <w:rsid w:val="001A3139"/>
    <w:rsid w:val="001B7CF6"/>
    <w:rsid w:val="001C09B6"/>
    <w:rsid w:val="001D4DF1"/>
    <w:rsid w:val="001E58A5"/>
    <w:rsid w:val="001F25B2"/>
    <w:rsid w:val="0020283F"/>
    <w:rsid w:val="00202FD4"/>
    <w:rsid w:val="00203F0E"/>
    <w:rsid w:val="00211E16"/>
    <w:rsid w:val="00216585"/>
    <w:rsid w:val="00222DD3"/>
    <w:rsid w:val="00223811"/>
    <w:rsid w:val="00237C4F"/>
    <w:rsid w:val="0024280D"/>
    <w:rsid w:val="00242A17"/>
    <w:rsid w:val="002516E1"/>
    <w:rsid w:val="00257C9A"/>
    <w:rsid w:val="0028236C"/>
    <w:rsid w:val="002828CB"/>
    <w:rsid w:val="00291848"/>
    <w:rsid w:val="00292183"/>
    <w:rsid w:val="002B311A"/>
    <w:rsid w:val="002C5DA6"/>
    <w:rsid w:val="002E1AA3"/>
    <w:rsid w:val="002E4F82"/>
    <w:rsid w:val="002F3933"/>
    <w:rsid w:val="002F542E"/>
    <w:rsid w:val="002F6313"/>
    <w:rsid w:val="00302808"/>
    <w:rsid w:val="0031477D"/>
    <w:rsid w:val="003148E5"/>
    <w:rsid w:val="003222D5"/>
    <w:rsid w:val="003224A6"/>
    <w:rsid w:val="00322805"/>
    <w:rsid w:val="00323CED"/>
    <w:rsid w:val="00326439"/>
    <w:rsid w:val="00326C16"/>
    <w:rsid w:val="00327872"/>
    <w:rsid w:val="003300E6"/>
    <w:rsid w:val="003303FB"/>
    <w:rsid w:val="00330EEF"/>
    <w:rsid w:val="00334D32"/>
    <w:rsid w:val="003533D6"/>
    <w:rsid w:val="003555C3"/>
    <w:rsid w:val="00355E07"/>
    <w:rsid w:val="003601BF"/>
    <w:rsid w:val="0036103E"/>
    <w:rsid w:val="00372215"/>
    <w:rsid w:val="00372D4A"/>
    <w:rsid w:val="003753BC"/>
    <w:rsid w:val="0037776A"/>
    <w:rsid w:val="00377AAD"/>
    <w:rsid w:val="00384A5B"/>
    <w:rsid w:val="00390D54"/>
    <w:rsid w:val="003A1E98"/>
    <w:rsid w:val="003A7217"/>
    <w:rsid w:val="003A798C"/>
    <w:rsid w:val="003B56B4"/>
    <w:rsid w:val="003B75B0"/>
    <w:rsid w:val="003D4767"/>
    <w:rsid w:val="003E42D7"/>
    <w:rsid w:val="003E6D8B"/>
    <w:rsid w:val="003F54A3"/>
    <w:rsid w:val="004021C5"/>
    <w:rsid w:val="00404250"/>
    <w:rsid w:val="00406B97"/>
    <w:rsid w:val="00407ABF"/>
    <w:rsid w:val="00411EE1"/>
    <w:rsid w:val="004230BD"/>
    <w:rsid w:val="00434B5C"/>
    <w:rsid w:val="0043791D"/>
    <w:rsid w:val="00444D35"/>
    <w:rsid w:val="0045052F"/>
    <w:rsid w:val="00467050"/>
    <w:rsid w:val="00470862"/>
    <w:rsid w:val="00470B4D"/>
    <w:rsid w:val="00474DB8"/>
    <w:rsid w:val="004767C4"/>
    <w:rsid w:val="004818E7"/>
    <w:rsid w:val="00485582"/>
    <w:rsid w:val="00486DFD"/>
    <w:rsid w:val="004A26F9"/>
    <w:rsid w:val="004A2C6B"/>
    <w:rsid w:val="004B48E8"/>
    <w:rsid w:val="004C20AE"/>
    <w:rsid w:val="004D1F2E"/>
    <w:rsid w:val="004D57CE"/>
    <w:rsid w:val="004E7C47"/>
    <w:rsid w:val="004F7916"/>
    <w:rsid w:val="004F79DA"/>
    <w:rsid w:val="00505D5E"/>
    <w:rsid w:val="00512FE5"/>
    <w:rsid w:val="005202C2"/>
    <w:rsid w:val="0052340B"/>
    <w:rsid w:val="005267DC"/>
    <w:rsid w:val="00532960"/>
    <w:rsid w:val="00533A6C"/>
    <w:rsid w:val="00542C48"/>
    <w:rsid w:val="005558E2"/>
    <w:rsid w:val="00574BBF"/>
    <w:rsid w:val="005818F5"/>
    <w:rsid w:val="0058209F"/>
    <w:rsid w:val="00584E6B"/>
    <w:rsid w:val="0058748B"/>
    <w:rsid w:val="005948BC"/>
    <w:rsid w:val="005A3233"/>
    <w:rsid w:val="005B3068"/>
    <w:rsid w:val="005C259C"/>
    <w:rsid w:val="005C2BE2"/>
    <w:rsid w:val="005D4E20"/>
    <w:rsid w:val="005E09E9"/>
    <w:rsid w:val="005E4FDD"/>
    <w:rsid w:val="005F47A8"/>
    <w:rsid w:val="005F61BE"/>
    <w:rsid w:val="006022D5"/>
    <w:rsid w:val="00605A0A"/>
    <w:rsid w:val="00620EBE"/>
    <w:rsid w:val="006307A8"/>
    <w:rsid w:val="006377EC"/>
    <w:rsid w:val="00663749"/>
    <w:rsid w:val="00675DF1"/>
    <w:rsid w:val="0068375B"/>
    <w:rsid w:val="00690597"/>
    <w:rsid w:val="00691249"/>
    <w:rsid w:val="00692EE5"/>
    <w:rsid w:val="00696153"/>
    <w:rsid w:val="006B5ADE"/>
    <w:rsid w:val="006B7467"/>
    <w:rsid w:val="006C0457"/>
    <w:rsid w:val="006C4422"/>
    <w:rsid w:val="006C4BE3"/>
    <w:rsid w:val="006D7CE5"/>
    <w:rsid w:val="0070008C"/>
    <w:rsid w:val="00722675"/>
    <w:rsid w:val="00730AF7"/>
    <w:rsid w:val="007371B3"/>
    <w:rsid w:val="0073744B"/>
    <w:rsid w:val="007400D7"/>
    <w:rsid w:val="007421E7"/>
    <w:rsid w:val="00742545"/>
    <w:rsid w:val="00743CFE"/>
    <w:rsid w:val="0075632B"/>
    <w:rsid w:val="0075714F"/>
    <w:rsid w:val="00760709"/>
    <w:rsid w:val="007736F7"/>
    <w:rsid w:val="007759E4"/>
    <w:rsid w:val="007775E3"/>
    <w:rsid w:val="00780C98"/>
    <w:rsid w:val="00782808"/>
    <w:rsid w:val="00785999"/>
    <w:rsid w:val="007966F5"/>
    <w:rsid w:val="00797592"/>
    <w:rsid w:val="007A300A"/>
    <w:rsid w:val="007C140D"/>
    <w:rsid w:val="007D3082"/>
    <w:rsid w:val="007D540A"/>
    <w:rsid w:val="007D5750"/>
    <w:rsid w:val="007D7FD5"/>
    <w:rsid w:val="008023CE"/>
    <w:rsid w:val="00820D8E"/>
    <w:rsid w:val="00825078"/>
    <w:rsid w:val="0082635E"/>
    <w:rsid w:val="008273C7"/>
    <w:rsid w:val="00833134"/>
    <w:rsid w:val="0083344C"/>
    <w:rsid w:val="00855D08"/>
    <w:rsid w:val="008619B0"/>
    <w:rsid w:val="008628DC"/>
    <w:rsid w:val="00865AD7"/>
    <w:rsid w:val="00876F7E"/>
    <w:rsid w:val="00880F87"/>
    <w:rsid w:val="00883412"/>
    <w:rsid w:val="00891A64"/>
    <w:rsid w:val="00892313"/>
    <w:rsid w:val="00896427"/>
    <w:rsid w:val="0089784F"/>
    <w:rsid w:val="008A1C8E"/>
    <w:rsid w:val="008A499C"/>
    <w:rsid w:val="008B7893"/>
    <w:rsid w:val="008C7BE5"/>
    <w:rsid w:val="008D1C25"/>
    <w:rsid w:val="008E729A"/>
    <w:rsid w:val="008F0FFC"/>
    <w:rsid w:val="008F1E94"/>
    <w:rsid w:val="008F5525"/>
    <w:rsid w:val="00904CA9"/>
    <w:rsid w:val="0092661B"/>
    <w:rsid w:val="009277D7"/>
    <w:rsid w:val="0093057C"/>
    <w:rsid w:val="00935E91"/>
    <w:rsid w:val="00941ADF"/>
    <w:rsid w:val="0094597A"/>
    <w:rsid w:val="00947578"/>
    <w:rsid w:val="00950145"/>
    <w:rsid w:val="00955CC0"/>
    <w:rsid w:val="009633F9"/>
    <w:rsid w:val="00965CCA"/>
    <w:rsid w:val="00967CEC"/>
    <w:rsid w:val="00973908"/>
    <w:rsid w:val="009751A3"/>
    <w:rsid w:val="009A1F5C"/>
    <w:rsid w:val="009A6FAE"/>
    <w:rsid w:val="009B1FA0"/>
    <w:rsid w:val="009B360A"/>
    <w:rsid w:val="009B6829"/>
    <w:rsid w:val="009B73FD"/>
    <w:rsid w:val="009C2866"/>
    <w:rsid w:val="009C451D"/>
    <w:rsid w:val="009D5EE1"/>
    <w:rsid w:val="009E64B6"/>
    <w:rsid w:val="009F3A47"/>
    <w:rsid w:val="009F619C"/>
    <w:rsid w:val="00A17897"/>
    <w:rsid w:val="00A327C1"/>
    <w:rsid w:val="00A330E8"/>
    <w:rsid w:val="00A40B5E"/>
    <w:rsid w:val="00A410B8"/>
    <w:rsid w:val="00A43F7E"/>
    <w:rsid w:val="00A556B2"/>
    <w:rsid w:val="00A7572C"/>
    <w:rsid w:val="00A84D06"/>
    <w:rsid w:val="00A85F4D"/>
    <w:rsid w:val="00A93312"/>
    <w:rsid w:val="00A95289"/>
    <w:rsid w:val="00A960F1"/>
    <w:rsid w:val="00AA4280"/>
    <w:rsid w:val="00AA7CE9"/>
    <w:rsid w:val="00AB1810"/>
    <w:rsid w:val="00AB6370"/>
    <w:rsid w:val="00AB78FC"/>
    <w:rsid w:val="00AC38F6"/>
    <w:rsid w:val="00AC57CB"/>
    <w:rsid w:val="00AD556F"/>
    <w:rsid w:val="00AE00EC"/>
    <w:rsid w:val="00AE6F92"/>
    <w:rsid w:val="00AF1E60"/>
    <w:rsid w:val="00AF2AA1"/>
    <w:rsid w:val="00AF7E5A"/>
    <w:rsid w:val="00B12845"/>
    <w:rsid w:val="00B142CF"/>
    <w:rsid w:val="00B217F2"/>
    <w:rsid w:val="00B241E8"/>
    <w:rsid w:val="00B24B58"/>
    <w:rsid w:val="00B270F9"/>
    <w:rsid w:val="00B33234"/>
    <w:rsid w:val="00B352F7"/>
    <w:rsid w:val="00B37225"/>
    <w:rsid w:val="00B42DE7"/>
    <w:rsid w:val="00B524D4"/>
    <w:rsid w:val="00B54503"/>
    <w:rsid w:val="00B74B51"/>
    <w:rsid w:val="00B74EEA"/>
    <w:rsid w:val="00B8791D"/>
    <w:rsid w:val="00B91713"/>
    <w:rsid w:val="00B963DC"/>
    <w:rsid w:val="00BA3333"/>
    <w:rsid w:val="00BC6B0E"/>
    <w:rsid w:val="00BD5742"/>
    <w:rsid w:val="00BD6E65"/>
    <w:rsid w:val="00BE0F85"/>
    <w:rsid w:val="00BE3F3C"/>
    <w:rsid w:val="00C00DB9"/>
    <w:rsid w:val="00C05F96"/>
    <w:rsid w:val="00C1426E"/>
    <w:rsid w:val="00C15758"/>
    <w:rsid w:val="00C16F9F"/>
    <w:rsid w:val="00C17641"/>
    <w:rsid w:val="00C2015B"/>
    <w:rsid w:val="00C2586E"/>
    <w:rsid w:val="00C36784"/>
    <w:rsid w:val="00C41F64"/>
    <w:rsid w:val="00C46EDC"/>
    <w:rsid w:val="00C63C6E"/>
    <w:rsid w:val="00C66CD8"/>
    <w:rsid w:val="00C7693E"/>
    <w:rsid w:val="00C8269D"/>
    <w:rsid w:val="00C84764"/>
    <w:rsid w:val="00C84DAB"/>
    <w:rsid w:val="00CA579D"/>
    <w:rsid w:val="00CB263D"/>
    <w:rsid w:val="00CB7D91"/>
    <w:rsid w:val="00CB7DCF"/>
    <w:rsid w:val="00CE1726"/>
    <w:rsid w:val="00CF6ED1"/>
    <w:rsid w:val="00D15438"/>
    <w:rsid w:val="00D4375B"/>
    <w:rsid w:val="00D4796E"/>
    <w:rsid w:val="00D47B0A"/>
    <w:rsid w:val="00D60197"/>
    <w:rsid w:val="00D60BD2"/>
    <w:rsid w:val="00D61A29"/>
    <w:rsid w:val="00D62BD4"/>
    <w:rsid w:val="00D7182D"/>
    <w:rsid w:val="00D76632"/>
    <w:rsid w:val="00D83B4B"/>
    <w:rsid w:val="00D948F4"/>
    <w:rsid w:val="00DA5406"/>
    <w:rsid w:val="00DA57BD"/>
    <w:rsid w:val="00DC27C5"/>
    <w:rsid w:val="00DC6F28"/>
    <w:rsid w:val="00DC7438"/>
    <w:rsid w:val="00E00FC8"/>
    <w:rsid w:val="00E05322"/>
    <w:rsid w:val="00E0588A"/>
    <w:rsid w:val="00E05D49"/>
    <w:rsid w:val="00E06174"/>
    <w:rsid w:val="00E11D34"/>
    <w:rsid w:val="00E165BF"/>
    <w:rsid w:val="00E31A35"/>
    <w:rsid w:val="00E32CE4"/>
    <w:rsid w:val="00E35065"/>
    <w:rsid w:val="00E46A6C"/>
    <w:rsid w:val="00E73C9A"/>
    <w:rsid w:val="00E7443A"/>
    <w:rsid w:val="00E74C73"/>
    <w:rsid w:val="00E82251"/>
    <w:rsid w:val="00E93883"/>
    <w:rsid w:val="00E9397E"/>
    <w:rsid w:val="00E969CE"/>
    <w:rsid w:val="00EA1D81"/>
    <w:rsid w:val="00EA767B"/>
    <w:rsid w:val="00EB4DF9"/>
    <w:rsid w:val="00EB7E1F"/>
    <w:rsid w:val="00EC0A44"/>
    <w:rsid w:val="00EC6752"/>
    <w:rsid w:val="00ED50A2"/>
    <w:rsid w:val="00ED59C7"/>
    <w:rsid w:val="00ED7E25"/>
    <w:rsid w:val="00F06A8D"/>
    <w:rsid w:val="00F344FD"/>
    <w:rsid w:val="00F3542B"/>
    <w:rsid w:val="00F44243"/>
    <w:rsid w:val="00F561E9"/>
    <w:rsid w:val="00F74CB8"/>
    <w:rsid w:val="00F8278C"/>
    <w:rsid w:val="00FC6852"/>
    <w:rsid w:val="00FD2E97"/>
    <w:rsid w:val="00FE1479"/>
    <w:rsid w:val="00FE65D9"/>
    <w:rsid w:val="00FF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B238C"/>
  <w15:docId w15:val="{3EEC71B4-12BF-4362-9AEB-6A1FDABC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3F9"/>
  </w:style>
  <w:style w:type="paragraph" w:styleId="Heading1">
    <w:name w:val="heading 1"/>
    <w:basedOn w:val="Normal"/>
    <w:next w:val="Normal"/>
    <w:link w:val="Heading1Char"/>
    <w:uiPriority w:val="9"/>
    <w:qFormat/>
    <w:rsid w:val="003B75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HCI_Heading 2,heading 2"/>
    <w:basedOn w:val="Normal"/>
    <w:next w:val="Normal"/>
    <w:link w:val="Heading2Char"/>
    <w:qFormat/>
    <w:rsid w:val="003D4767"/>
    <w:pPr>
      <w:keepNext/>
      <w:spacing w:before="240" w:after="6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
    <w:unhideWhenUsed/>
    <w:qFormat/>
    <w:rsid w:val="00EC6752"/>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164201"/>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F9"/>
  </w:style>
  <w:style w:type="paragraph" w:styleId="Footer">
    <w:name w:val="footer"/>
    <w:basedOn w:val="Normal"/>
    <w:link w:val="FooterChar"/>
    <w:unhideWhenUsed/>
    <w:rsid w:val="0096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F9"/>
  </w:style>
  <w:style w:type="character" w:styleId="Hyperlink">
    <w:name w:val="Hyperlink"/>
    <w:basedOn w:val="DefaultParagraphFont"/>
    <w:uiPriority w:val="99"/>
    <w:unhideWhenUsed/>
    <w:rsid w:val="009633F9"/>
    <w:rPr>
      <w:color w:val="0563C1" w:themeColor="hyperlink"/>
      <w:u w:val="single"/>
    </w:rPr>
  </w:style>
  <w:style w:type="character" w:customStyle="1" w:styleId="Heading6Char">
    <w:name w:val="Heading 6 Char"/>
    <w:basedOn w:val="DefaultParagraphFont"/>
    <w:link w:val="Heading6"/>
    <w:rsid w:val="00164201"/>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rsid w:val="003B75B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HCI_Heading 2 Char,heading 2 Char"/>
    <w:basedOn w:val="DefaultParagraphFont"/>
    <w:link w:val="Heading2"/>
    <w:rsid w:val="003D4767"/>
    <w:rPr>
      <w:rFonts w:ascii="Times New Roman" w:eastAsia="Times New Roman" w:hAnsi="Times New Roman" w:cs="Arial"/>
      <w:b/>
      <w:bCs/>
      <w:iCs/>
      <w:sz w:val="24"/>
      <w:szCs w:val="28"/>
    </w:rPr>
  </w:style>
  <w:style w:type="paragraph" w:styleId="NormalWeb">
    <w:name w:val="Normal (Web)"/>
    <w:basedOn w:val="Normal"/>
    <w:link w:val="NormalWebChar"/>
    <w:rsid w:val="003B75B0"/>
    <w:pPr>
      <w:spacing w:before="100" w:beforeAutospacing="1" w:after="100" w:afterAutospacing="1" w:line="270" w:lineRule="atLeast"/>
    </w:pPr>
    <w:rPr>
      <w:rFonts w:ascii="Georgia" w:eastAsia="Arial Unicode MS" w:hAnsi="Georgia" w:cs="Arial Unicode MS"/>
      <w:sz w:val="21"/>
      <w:szCs w:val="21"/>
    </w:rPr>
  </w:style>
  <w:style w:type="paragraph" w:styleId="BodyText3">
    <w:name w:val="Body Text 3"/>
    <w:basedOn w:val="Normal"/>
    <w:link w:val="BodyText3Char"/>
    <w:rsid w:val="003B75B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75B0"/>
    <w:rPr>
      <w:rFonts w:ascii="Times New Roman" w:eastAsia="Times New Roman" w:hAnsi="Times New Roman" w:cs="Times New Roman"/>
      <w:sz w:val="16"/>
      <w:szCs w:val="16"/>
    </w:rPr>
  </w:style>
  <w:style w:type="character" w:customStyle="1" w:styleId="NormalWebChar">
    <w:name w:val="Normal (Web) Char"/>
    <w:link w:val="NormalWeb"/>
    <w:rsid w:val="003B75B0"/>
    <w:rPr>
      <w:rFonts w:ascii="Georgia" w:eastAsia="Arial Unicode MS" w:hAnsi="Georgia" w:cs="Arial Unicode MS"/>
      <w:sz w:val="21"/>
      <w:szCs w:val="21"/>
    </w:rPr>
  </w:style>
  <w:style w:type="character" w:customStyle="1" w:styleId="Heading3Char">
    <w:name w:val="Heading 3 Char"/>
    <w:basedOn w:val="DefaultParagraphFont"/>
    <w:link w:val="Heading3"/>
    <w:uiPriority w:val="9"/>
    <w:rsid w:val="00EC6752"/>
    <w:rPr>
      <w:rFonts w:asciiTheme="majorHAnsi" w:eastAsiaTheme="majorEastAsia" w:hAnsiTheme="majorHAnsi" w:cstheme="majorBidi"/>
      <w:b/>
      <w:bCs/>
      <w:color w:val="5B9BD5" w:themeColor="accent1"/>
    </w:rPr>
  </w:style>
  <w:style w:type="character" w:customStyle="1" w:styleId="un">
    <w:name w:val="u_n"/>
    <w:basedOn w:val="DefaultParagraphFont"/>
    <w:rsid w:val="00782808"/>
  </w:style>
  <w:style w:type="character" w:styleId="CommentReference">
    <w:name w:val="annotation reference"/>
    <w:basedOn w:val="DefaultParagraphFont"/>
    <w:uiPriority w:val="99"/>
    <w:unhideWhenUsed/>
    <w:rsid w:val="00066777"/>
    <w:rPr>
      <w:sz w:val="16"/>
      <w:szCs w:val="16"/>
    </w:rPr>
  </w:style>
  <w:style w:type="paragraph" w:styleId="CommentText">
    <w:name w:val="annotation text"/>
    <w:basedOn w:val="Normal"/>
    <w:link w:val="CommentTextChar"/>
    <w:uiPriority w:val="99"/>
    <w:unhideWhenUsed/>
    <w:rsid w:val="00066777"/>
    <w:pPr>
      <w:spacing w:line="240" w:lineRule="auto"/>
    </w:pPr>
    <w:rPr>
      <w:sz w:val="20"/>
      <w:szCs w:val="20"/>
    </w:rPr>
  </w:style>
  <w:style w:type="character" w:customStyle="1" w:styleId="CommentTextChar">
    <w:name w:val="Comment Text Char"/>
    <w:basedOn w:val="DefaultParagraphFont"/>
    <w:link w:val="CommentText"/>
    <w:uiPriority w:val="99"/>
    <w:rsid w:val="00066777"/>
    <w:rPr>
      <w:sz w:val="20"/>
      <w:szCs w:val="20"/>
    </w:rPr>
  </w:style>
  <w:style w:type="paragraph" w:styleId="CommentSubject">
    <w:name w:val="annotation subject"/>
    <w:basedOn w:val="CommentText"/>
    <w:next w:val="CommentText"/>
    <w:link w:val="CommentSubjectChar"/>
    <w:uiPriority w:val="99"/>
    <w:semiHidden/>
    <w:unhideWhenUsed/>
    <w:rsid w:val="00066777"/>
    <w:rPr>
      <w:b/>
      <w:bCs/>
    </w:rPr>
  </w:style>
  <w:style w:type="character" w:customStyle="1" w:styleId="CommentSubjectChar">
    <w:name w:val="Comment Subject Char"/>
    <w:basedOn w:val="CommentTextChar"/>
    <w:link w:val="CommentSubject"/>
    <w:uiPriority w:val="99"/>
    <w:semiHidden/>
    <w:rsid w:val="00066777"/>
    <w:rPr>
      <w:b/>
      <w:bCs/>
      <w:sz w:val="20"/>
      <w:szCs w:val="20"/>
    </w:rPr>
  </w:style>
  <w:style w:type="paragraph" w:styleId="BalloonText">
    <w:name w:val="Balloon Text"/>
    <w:basedOn w:val="Normal"/>
    <w:link w:val="BalloonTextChar"/>
    <w:uiPriority w:val="99"/>
    <w:semiHidden/>
    <w:unhideWhenUsed/>
    <w:rsid w:val="0006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77"/>
    <w:rPr>
      <w:rFonts w:ascii="Segoe UI" w:hAnsi="Segoe UI" w:cs="Segoe UI"/>
      <w:sz w:val="18"/>
      <w:szCs w:val="18"/>
    </w:rPr>
  </w:style>
  <w:style w:type="paragraph" w:styleId="ListParagraph">
    <w:name w:val="List Paragraph"/>
    <w:basedOn w:val="Normal"/>
    <w:uiPriority w:val="34"/>
    <w:qFormat/>
    <w:rsid w:val="0031477D"/>
    <w:pPr>
      <w:ind w:left="720"/>
      <w:contextualSpacing/>
    </w:pPr>
  </w:style>
  <w:style w:type="paragraph" w:customStyle="1" w:styleId="Revision1">
    <w:name w:val="Revision1"/>
    <w:hidden/>
    <w:uiPriority w:val="99"/>
    <w:semiHidden/>
    <w:qFormat/>
    <w:rsid w:val="00137058"/>
    <w:pPr>
      <w:spacing w:after="0" w:line="240" w:lineRule="auto"/>
    </w:pPr>
    <w:rPr>
      <w:lang w:val="en-GB"/>
    </w:rPr>
  </w:style>
  <w:style w:type="character" w:customStyle="1" w:styleId="UnresolvedMention1">
    <w:name w:val="Unresolved Mention1"/>
    <w:basedOn w:val="DefaultParagraphFont"/>
    <w:uiPriority w:val="99"/>
    <w:semiHidden/>
    <w:unhideWhenUsed/>
    <w:rsid w:val="003555C3"/>
    <w:rPr>
      <w:color w:val="605E5C"/>
      <w:shd w:val="clear" w:color="auto" w:fill="E1DFDD"/>
    </w:rPr>
  </w:style>
  <w:style w:type="character" w:customStyle="1" w:styleId="wixui-rich-texttext">
    <w:name w:val="wixui-rich-text__text"/>
    <w:basedOn w:val="DefaultParagraphFont"/>
    <w:rsid w:val="0075632B"/>
  </w:style>
  <w:style w:type="paragraph" w:styleId="Bibliography">
    <w:name w:val="Bibliography"/>
    <w:basedOn w:val="Normal"/>
    <w:next w:val="Normal"/>
    <w:uiPriority w:val="37"/>
    <w:unhideWhenUsed/>
    <w:rsid w:val="0075632B"/>
    <w:pPr>
      <w:spacing w:before="120" w:afterLines="50" w:after="0" w:line="480" w:lineRule="auto"/>
      <w:ind w:left="720" w:hanging="720"/>
      <w:jc w:val="both"/>
    </w:pPr>
    <w:rPr>
      <w:rFonts w:ascii="Times New Roman" w:eastAsia="Calibri" w:hAnsi="Times New Roman" w:cs="Times New Roman"/>
      <w:sz w:val="24"/>
    </w:rPr>
  </w:style>
  <w:style w:type="table" w:styleId="TableGrid">
    <w:name w:val="Table Grid"/>
    <w:basedOn w:val="TableNormal"/>
    <w:uiPriority w:val="59"/>
    <w:rsid w:val="000D5F31"/>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965CCA"/>
    <w:pPr>
      <w:spacing w:after="0" w:line="240" w:lineRule="auto"/>
    </w:pPr>
    <w:rPr>
      <w:rFonts w:eastAsia="Times New Roman"/>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0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68908">
      <w:bodyDiv w:val="1"/>
      <w:marLeft w:val="0"/>
      <w:marRight w:val="0"/>
      <w:marTop w:val="0"/>
      <w:marBottom w:val="0"/>
      <w:divBdr>
        <w:top w:val="none" w:sz="0" w:space="0" w:color="auto"/>
        <w:left w:val="none" w:sz="0" w:space="0" w:color="auto"/>
        <w:bottom w:val="none" w:sz="0" w:space="0" w:color="auto"/>
        <w:right w:val="none" w:sz="0" w:space="0" w:color="auto"/>
      </w:divBdr>
    </w:div>
    <w:div w:id="301614494">
      <w:bodyDiv w:val="1"/>
      <w:marLeft w:val="0"/>
      <w:marRight w:val="0"/>
      <w:marTop w:val="0"/>
      <w:marBottom w:val="0"/>
      <w:divBdr>
        <w:top w:val="none" w:sz="0" w:space="0" w:color="auto"/>
        <w:left w:val="none" w:sz="0" w:space="0" w:color="auto"/>
        <w:bottom w:val="none" w:sz="0" w:space="0" w:color="auto"/>
        <w:right w:val="none" w:sz="0" w:space="0" w:color="auto"/>
      </w:divBdr>
      <w:divsChild>
        <w:div w:id="1742829933">
          <w:marLeft w:val="0"/>
          <w:marRight w:val="0"/>
          <w:marTop w:val="0"/>
          <w:marBottom w:val="0"/>
          <w:divBdr>
            <w:top w:val="none" w:sz="0" w:space="0" w:color="auto"/>
            <w:left w:val="none" w:sz="0" w:space="0" w:color="auto"/>
            <w:bottom w:val="none" w:sz="0" w:space="0" w:color="auto"/>
            <w:right w:val="none" w:sz="0" w:space="0" w:color="auto"/>
          </w:divBdr>
          <w:divsChild>
            <w:div w:id="1851604335">
              <w:marLeft w:val="0"/>
              <w:marRight w:val="0"/>
              <w:marTop w:val="0"/>
              <w:marBottom w:val="0"/>
              <w:divBdr>
                <w:top w:val="none" w:sz="0" w:space="0" w:color="auto"/>
                <w:left w:val="none" w:sz="0" w:space="0" w:color="auto"/>
                <w:bottom w:val="none" w:sz="0" w:space="0" w:color="auto"/>
                <w:right w:val="none" w:sz="0" w:space="0" w:color="auto"/>
              </w:divBdr>
              <w:divsChild>
                <w:div w:id="1208569087">
                  <w:marLeft w:val="0"/>
                  <w:marRight w:val="0"/>
                  <w:marTop w:val="0"/>
                  <w:marBottom w:val="0"/>
                  <w:divBdr>
                    <w:top w:val="none" w:sz="0" w:space="0" w:color="auto"/>
                    <w:left w:val="none" w:sz="0" w:space="0" w:color="auto"/>
                    <w:bottom w:val="none" w:sz="0" w:space="0" w:color="auto"/>
                    <w:right w:val="none" w:sz="0" w:space="0" w:color="auto"/>
                  </w:divBdr>
                  <w:divsChild>
                    <w:div w:id="296112616">
                      <w:marLeft w:val="0"/>
                      <w:marRight w:val="0"/>
                      <w:marTop w:val="0"/>
                      <w:marBottom w:val="0"/>
                      <w:divBdr>
                        <w:top w:val="none" w:sz="0" w:space="0" w:color="auto"/>
                        <w:left w:val="none" w:sz="0" w:space="0" w:color="auto"/>
                        <w:bottom w:val="none" w:sz="0" w:space="0" w:color="auto"/>
                        <w:right w:val="none" w:sz="0" w:space="0" w:color="auto"/>
                      </w:divBdr>
                      <w:divsChild>
                        <w:div w:id="811796127">
                          <w:marLeft w:val="0"/>
                          <w:marRight w:val="0"/>
                          <w:marTop w:val="0"/>
                          <w:marBottom w:val="0"/>
                          <w:divBdr>
                            <w:top w:val="none" w:sz="0" w:space="0" w:color="auto"/>
                            <w:left w:val="none" w:sz="0" w:space="0" w:color="auto"/>
                            <w:bottom w:val="none" w:sz="0" w:space="0" w:color="auto"/>
                            <w:right w:val="none" w:sz="0" w:space="0" w:color="auto"/>
                          </w:divBdr>
                          <w:divsChild>
                            <w:div w:id="1899314241">
                              <w:marLeft w:val="0"/>
                              <w:marRight w:val="0"/>
                              <w:marTop w:val="0"/>
                              <w:marBottom w:val="0"/>
                              <w:divBdr>
                                <w:top w:val="none" w:sz="0" w:space="0" w:color="auto"/>
                                <w:left w:val="none" w:sz="0" w:space="0" w:color="auto"/>
                                <w:bottom w:val="none" w:sz="0" w:space="0" w:color="auto"/>
                                <w:right w:val="none" w:sz="0" w:space="0" w:color="auto"/>
                              </w:divBdr>
                              <w:divsChild>
                                <w:div w:id="1662001357">
                                  <w:marLeft w:val="0"/>
                                  <w:marRight w:val="0"/>
                                  <w:marTop w:val="0"/>
                                  <w:marBottom w:val="0"/>
                                  <w:divBdr>
                                    <w:top w:val="none" w:sz="0" w:space="0" w:color="auto"/>
                                    <w:left w:val="none" w:sz="0" w:space="0" w:color="auto"/>
                                    <w:bottom w:val="none" w:sz="0" w:space="0" w:color="auto"/>
                                    <w:right w:val="none" w:sz="0" w:space="0" w:color="auto"/>
                                  </w:divBdr>
                                  <w:divsChild>
                                    <w:div w:id="1137841436">
                                      <w:marLeft w:val="0"/>
                                      <w:marRight w:val="0"/>
                                      <w:marTop w:val="0"/>
                                      <w:marBottom w:val="0"/>
                                      <w:divBdr>
                                        <w:top w:val="none" w:sz="0" w:space="0" w:color="auto"/>
                                        <w:left w:val="none" w:sz="0" w:space="0" w:color="auto"/>
                                        <w:bottom w:val="none" w:sz="0" w:space="0" w:color="auto"/>
                                        <w:right w:val="none" w:sz="0" w:space="0" w:color="auto"/>
                                      </w:divBdr>
                                      <w:divsChild>
                                        <w:div w:id="1835998398">
                                          <w:marLeft w:val="0"/>
                                          <w:marRight w:val="0"/>
                                          <w:marTop w:val="0"/>
                                          <w:marBottom w:val="0"/>
                                          <w:divBdr>
                                            <w:top w:val="none" w:sz="0" w:space="0" w:color="auto"/>
                                            <w:left w:val="none" w:sz="0" w:space="0" w:color="auto"/>
                                            <w:bottom w:val="none" w:sz="0" w:space="0" w:color="auto"/>
                                            <w:right w:val="none" w:sz="0" w:space="0" w:color="auto"/>
                                          </w:divBdr>
                                          <w:divsChild>
                                            <w:div w:id="5613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214552">
          <w:marLeft w:val="0"/>
          <w:marRight w:val="0"/>
          <w:marTop w:val="0"/>
          <w:marBottom w:val="0"/>
          <w:divBdr>
            <w:top w:val="none" w:sz="0" w:space="0" w:color="auto"/>
            <w:left w:val="none" w:sz="0" w:space="0" w:color="auto"/>
            <w:bottom w:val="none" w:sz="0" w:space="0" w:color="auto"/>
            <w:right w:val="none" w:sz="0" w:space="0" w:color="auto"/>
          </w:divBdr>
          <w:divsChild>
            <w:div w:id="1994724088">
              <w:marLeft w:val="0"/>
              <w:marRight w:val="0"/>
              <w:marTop w:val="0"/>
              <w:marBottom w:val="0"/>
              <w:divBdr>
                <w:top w:val="none" w:sz="0" w:space="0" w:color="auto"/>
                <w:left w:val="none" w:sz="0" w:space="0" w:color="auto"/>
                <w:bottom w:val="none" w:sz="0" w:space="0" w:color="auto"/>
                <w:right w:val="none" w:sz="0" w:space="0" w:color="auto"/>
              </w:divBdr>
              <w:divsChild>
                <w:div w:id="2041974289">
                  <w:marLeft w:val="0"/>
                  <w:marRight w:val="0"/>
                  <w:marTop w:val="0"/>
                  <w:marBottom w:val="0"/>
                  <w:divBdr>
                    <w:top w:val="none" w:sz="0" w:space="0" w:color="auto"/>
                    <w:left w:val="none" w:sz="0" w:space="0" w:color="auto"/>
                    <w:bottom w:val="none" w:sz="0" w:space="0" w:color="auto"/>
                    <w:right w:val="none" w:sz="0" w:space="0" w:color="auto"/>
                  </w:divBdr>
                  <w:divsChild>
                    <w:div w:id="251205306">
                      <w:marLeft w:val="0"/>
                      <w:marRight w:val="0"/>
                      <w:marTop w:val="0"/>
                      <w:marBottom w:val="0"/>
                      <w:divBdr>
                        <w:top w:val="none" w:sz="0" w:space="0" w:color="auto"/>
                        <w:left w:val="none" w:sz="0" w:space="0" w:color="auto"/>
                        <w:bottom w:val="none" w:sz="0" w:space="0" w:color="auto"/>
                        <w:right w:val="none" w:sz="0" w:space="0" w:color="auto"/>
                      </w:divBdr>
                      <w:divsChild>
                        <w:div w:id="1509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1925">
                  <w:marLeft w:val="0"/>
                  <w:marRight w:val="0"/>
                  <w:marTop w:val="0"/>
                  <w:marBottom w:val="0"/>
                  <w:divBdr>
                    <w:top w:val="none" w:sz="0" w:space="0" w:color="auto"/>
                    <w:left w:val="none" w:sz="0" w:space="0" w:color="auto"/>
                    <w:bottom w:val="none" w:sz="0" w:space="0" w:color="auto"/>
                    <w:right w:val="none" w:sz="0" w:space="0" w:color="auto"/>
                  </w:divBdr>
                  <w:divsChild>
                    <w:div w:id="676006707">
                      <w:marLeft w:val="0"/>
                      <w:marRight w:val="0"/>
                      <w:marTop w:val="0"/>
                      <w:marBottom w:val="0"/>
                      <w:divBdr>
                        <w:top w:val="none" w:sz="0" w:space="0" w:color="auto"/>
                        <w:left w:val="none" w:sz="0" w:space="0" w:color="auto"/>
                        <w:bottom w:val="none" w:sz="0" w:space="0" w:color="auto"/>
                        <w:right w:val="none" w:sz="0" w:space="0" w:color="auto"/>
                      </w:divBdr>
                      <w:divsChild>
                        <w:div w:id="8150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71208">
          <w:marLeft w:val="0"/>
          <w:marRight w:val="0"/>
          <w:marTop w:val="0"/>
          <w:marBottom w:val="0"/>
          <w:divBdr>
            <w:top w:val="none" w:sz="0" w:space="0" w:color="auto"/>
            <w:left w:val="none" w:sz="0" w:space="0" w:color="auto"/>
            <w:bottom w:val="none" w:sz="0" w:space="0" w:color="auto"/>
            <w:right w:val="none" w:sz="0" w:space="0" w:color="auto"/>
          </w:divBdr>
          <w:divsChild>
            <w:div w:id="1449158521">
              <w:marLeft w:val="0"/>
              <w:marRight w:val="0"/>
              <w:marTop w:val="0"/>
              <w:marBottom w:val="0"/>
              <w:divBdr>
                <w:top w:val="none" w:sz="0" w:space="0" w:color="auto"/>
                <w:left w:val="none" w:sz="0" w:space="0" w:color="auto"/>
                <w:bottom w:val="none" w:sz="0" w:space="0" w:color="auto"/>
                <w:right w:val="none" w:sz="0" w:space="0" w:color="auto"/>
              </w:divBdr>
              <w:divsChild>
                <w:div w:id="1427457895">
                  <w:marLeft w:val="0"/>
                  <w:marRight w:val="0"/>
                  <w:marTop w:val="0"/>
                  <w:marBottom w:val="0"/>
                  <w:divBdr>
                    <w:top w:val="none" w:sz="0" w:space="0" w:color="auto"/>
                    <w:left w:val="none" w:sz="0" w:space="0" w:color="auto"/>
                    <w:bottom w:val="none" w:sz="0" w:space="0" w:color="auto"/>
                    <w:right w:val="none" w:sz="0" w:space="0" w:color="auto"/>
                  </w:divBdr>
                  <w:divsChild>
                    <w:div w:id="7806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6831">
          <w:marLeft w:val="0"/>
          <w:marRight w:val="0"/>
          <w:marTop w:val="0"/>
          <w:marBottom w:val="0"/>
          <w:divBdr>
            <w:top w:val="none" w:sz="0" w:space="0" w:color="auto"/>
            <w:left w:val="none" w:sz="0" w:space="0" w:color="auto"/>
            <w:bottom w:val="none" w:sz="0" w:space="0" w:color="auto"/>
            <w:right w:val="none" w:sz="0" w:space="0" w:color="auto"/>
          </w:divBdr>
          <w:divsChild>
            <w:div w:id="1235092794">
              <w:marLeft w:val="0"/>
              <w:marRight w:val="0"/>
              <w:marTop w:val="0"/>
              <w:marBottom w:val="0"/>
              <w:divBdr>
                <w:top w:val="none" w:sz="0" w:space="0" w:color="auto"/>
                <w:left w:val="none" w:sz="0" w:space="0" w:color="auto"/>
                <w:bottom w:val="none" w:sz="0" w:space="0" w:color="auto"/>
                <w:right w:val="none" w:sz="0" w:space="0" w:color="auto"/>
              </w:divBdr>
              <w:divsChild>
                <w:div w:id="416832784">
                  <w:marLeft w:val="0"/>
                  <w:marRight w:val="0"/>
                  <w:marTop w:val="0"/>
                  <w:marBottom w:val="0"/>
                  <w:divBdr>
                    <w:top w:val="none" w:sz="0" w:space="0" w:color="auto"/>
                    <w:left w:val="none" w:sz="0" w:space="0" w:color="auto"/>
                    <w:bottom w:val="none" w:sz="0" w:space="0" w:color="auto"/>
                    <w:right w:val="none" w:sz="0" w:space="0" w:color="auto"/>
                  </w:divBdr>
                  <w:divsChild>
                    <w:div w:id="6854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9551">
          <w:marLeft w:val="0"/>
          <w:marRight w:val="0"/>
          <w:marTop w:val="0"/>
          <w:marBottom w:val="0"/>
          <w:divBdr>
            <w:top w:val="none" w:sz="0" w:space="0" w:color="auto"/>
            <w:left w:val="none" w:sz="0" w:space="0" w:color="auto"/>
            <w:bottom w:val="none" w:sz="0" w:space="0" w:color="auto"/>
            <w:right w:val="none" w:sz="0" w:space="0" w:color="auto"/>
          </w:divBdr>
          <w:divsChild>
            <w:div w:id="1763717834">
              <w:marLeft w:val="0"/>
              <w:marRight w:val="0"/>
              <w:marTop w:val="0"/>
              <w:marBottom w:val="0"/>
              <w:divBdr>
                <w:top w:val="none" w:sz="0" w:space="0" w:color="auto"/>
                <w:left w:val="none" w:sz="0" w:space="0" w:color="auto"/>
                <w:bottom w:val="none" w:sz="0" w:space="0" w:color="auto"/>
                <w:right w:val="none" w:sz="0" w:space="0" w:color="auto"/>
              </w:divBdr>
              <w:divsChild>
                <w:div w:id="1746954045">
                  <w:marLeft w:val="0"/>
                  <w:marRight w:val="0"/>
                  <w:marTop w:val="0"/>
                  <w:marBottom w:val="0"/>
                  <w:divBdr>
                    <w:top w:val="none" w:sz="0" w:space="0" w:color="auto"/>
                    <w:left w:val="none" w:sz="0" w:space="0" w:color="auto"/>
                    <w:bottom w:val="none" w:sz="0" w:space="0" w:color="auto"/>
                    <w:right w:val="none" w:sz="0" w:space="0" w:color="auto"/>
                  </w:divBdr>
                  <w:divsChild>
                    <w:div w:id="1295259772">
                      <w:marLeft w:val="0"/>
                      <w:marRight w:val="0"/>
                      <w:marTop w:val="0"/>
                      <w:marBottom w:val="0"/>
                      <w:divBdr>
                        <w:top w:val="none" w:sz="0" w:space="0" w:color="auto"/>
                        <w:left w:val="none" w:sz="0" w:space="0" w:color="auto"/>
                        <w:bottom w:val="none" w:sz="0" w:space="0" w:color="auto"/>
                        <w:right w:val="none" w:sz="0" w:space="0" w:color="auto"/>
                      </w:divBdr>
                    </w:div>
                  </w:divsChild>
                </w:div>
                <w:div w:id="1138037944">
                  <w:marLeft w:val="0"/>
                  <w:marRight w:val="0"/>
                  <w:marTop w:val="0"/>
                  <w:marBottom w:val="0"/>
                  <w:divBdr>
                    <w:top w:val="none" w:sz="0" w:space="0" w:color="auto"/>
                    <w:left w:val="none" w:sz="0" w:space="0" w:color="auto"/>
                    <w:bottom w:val="none" w:sz="0" w:space="0" w:color="auto"/>
                    <w:right w:val="none" w:sz="0" w:space="0" w:color="auto"/>
                  </w:divBdr>
                  <w:divsChild>
                    <w:div w:id="7796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9812">
          <w:marLeft w:val="0"/>
          <w:marRight w:val="0"/>
          <w:marTop w:val="0"/>
          <w:marBottom w:val="0"/>
          <w:divBdr>
            <w:top w:val="none" w:sz="0" w:space="0" w:color="auto"/>
            <w:left w:val="none" w:sz="0" w:space="0" w:color="auto"/>
            <w:bottom w:val="none" w:sz="0" w:space="0" w:color="auto"/>
            <w:right w:val="none" w:sz="0" w:space="0" w:color="auto"/>
          </w:divBdr>
          <w:divsChild>
            <w:div w:id="648093149">
              <w:marLeft w:val="0"/>
              <w:marRight w:val="0"/>
              <w:marTop w:val="0"/>
              <w:marBottom w:val="0"/>
              <w:divBdr>
                <w:top w:val="none" w:sz="0" w:space="0" w:color="auto"/>
                <w:left w:val="none" w:sz="0" w:space="0" w:color="auto"/>
                <w:bottom w:val="none" w:sz="0" w:space="0" w:color="auto"/>
                <w:right w:val="none" w:sz="0" w:space="0" w:color="auto"/>
              </w:divBdr>
              <w:divsChild>
                <w:div w:id="1313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6879">
      <w:bodyDiv w:val="1"/>
      <w:marLeft w:val="0"/>
      <w:marRight w:val="0"/>
      <w:marTop w:val="0"/>
      <w:marBottom w:val="0"/>
      <w:divBdr>
        <w:top w:val="none" w:sz="0" w:space="0" w:color="auto"/>
        <w:left w:val="none" w:sz="0" w:space="0" w:color="auto"/>
        <w:bottom w:val="none" w:sz="0" w:space="0" w:color="auto"/>
        <w:right w:val="none" w:sz="0" w:space="0" w:color="auto"/>
      </w:divBdr>
    </w:div>
    <w:div w:id="848569715">
      <w:bodyDiv w:val="1"/>
      <w:marLeft w:val="0"/>
      <w:marRight w:val="0"/>
      <w:marTop w:val="0"/>
      <w:marBottom w:val="0"/>
      <w:divBdr>
        <w:top w:val="none" w:sz="0" w:space="0" w:color="auto"/>
        <w:left w:val="none" w:sz="0" w:space="0" w:color="auto"/>
        <w:bottom w:val="none" w:sz="0" w:space="0" w:color="auto"/>
        <w:right w:val="none" w:sz="0" w:space="0" w:color="auto"/>
      </w:divBdr>
      <w:divsChild>
        <w:div w:id="1803306567">
          <w:marLeft w:val="0"/>
          <w:marRight w:val="0"/>
          <w:marTop w:val="0"/>
          <w:marBottom w:val="0"/>
          <w:divBdr>
            <w:top w:val="none" w:sz="0" w:space="0" w:color="auto"/>
            <w:left w:val="none" w:sz="0" w:space="0" w:color="auto"/>
            <w:bottom w:val="none" w:sz="0" w:space="0" w:color="auto"/>
            <w:right w:val="none" w:sz="0" w:space="0" w:color="auto"/>
          </w:divBdr>
          <w:divsChild>
            <w:div w:id="1529946809">
              <w:marLeft w:val="0"/>
              <w:marRight w:val="0"/>
              <w:marTop w:val="0"/>
              <w:marBottom w:val="0"/>
              <w:divBdr>
                <w:top w:val="none" w:sz="0" w:space="0" w:color="auto"/>
                <w:left w:val="none" w:sz="0" w:space="0" w:color="auto"/>
                <w:bottom w:val="none" w:sz="0" w:space="0" w:color="auto"/>
                <w:right w:val="none" w:sz="0" w:space="0" w:color="auto"/>
              </w:divBdr>
              <w:divsChild>
                <w:div w:id="569464463">
                  <w:marLeft w:val="0"/>
                  <w:marRight w:val="0"/>
                  <w:marTop w:val="0"/>
                  <w:marBottom w:val="0"/>
                  <w:divBdr>
                    <w:top w:val="none" w:sz="0" w:space="0" w:color="auto"/>
                    <w:left w:val="none" w:sz="0" w:space="0" w:color="auto"/>
                    <w:bottom w:val="none" w:sz="0" w:space="0" w:color="auto"/>
                    <w:right w:val="none" w:sz="0" w:space="0" w:color="auto"/>
                  </w:divBdr>
                  <w:divsChild>
                    <w:div w:id="2075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78628">
              <w:marLeft w:val="0"/>
              <w:marRight w:val="0"/>
              <w:marTop w:val="0"/>
              <w:marBottom w:val="0"/>
              <w:divBdr>
                <w:top w:val="none" w:sz="0" w:space="0" w:color="auto"/>
                <w:left w:val="none" w:sz="0" w:space="0" w:color="auto"/>
                <w:bottom w:val="none" w:sz="0" w:space="0" w:color="auto"/>
                <w:right w:val="none" w:sz="0" w:space="0" w:color="auto"/>
              </w:divBdr>
              <w:divsChild>
                <w:div w:id="7530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3528">
      <w:bodyDiv w:val="1"/>
      <w:marLeft w:val="0"/>
      <w:marRight w:val="0"/>
      <w:marTop w:val="0"/>
      <w:marBottom w:val="0"/>
      <w:divBdr>
        <w:top w:val="none" w:sz="0" w:space="0" w:color="auto"/>
        <w:left w:val="none" w:sz="0" w:space="0" w:color="auto"/>
        <w:bottom w:val="none" w:sz="0" w:space="0" w:color="auto"/>
        <w:right w:val="none" w:sz="0" w:space="0" w:color="auto"/>
      </w:divBdr>
    </w:div>
    <w:div w:id="1181314369">
      <w:bodyDiv w:val="1"/>
      <w:marLeft w:val="0"/>
      <w:marRight w:val="0"/>
      <w:marTop w:val="0"/>
      <w:marBottom w:val="0"/>
      <w:divBdr>
        <w:top w:val="none" w:sz="0" w:space="0" w:color="auto"/>
        <w:left w:val="none" w:sz="0" w:space="0" w:color="auto"/>
        <w:bottom w:val="none" w:sz="0" w:space="0" w:color="auto"/>
        <w:right w:val="none" w:sz="0" w:space="0" w:color="auto"/>
      </w:divBdr>
    </w:div>
    <w:div w:id="1338539644">
      <w:bodyDiv w:val="1"/>
      <w:marLeft w:val="0"/>
      <w:marRight w:val="0"/>
      <w:marTop w:val="0"/>
      <w:marBottom w:val="0"/>
      <w:divBdr>
        <w:top w:val="none" w:sz="0" w:space="0" w:color="auto"/>
        <w:left w:val="none" w:sz="0" w:space="0" w:color="auto"/>
        <w:bottom w:val="none" w:sz="0" w:space="0" w:color="auto"/>
        <w:right w:val="none" w:sz="0" w:space="0" w:color="auto"/>
      </w:divBdr>
    </w:div>
    <w:div w:id="1499922627">
      <w:bodyDiv w:val="1"/>
      <w:marLeft w:val="0"/>
      <w:marRight w:val="0"/>
      <w:marTop w:val="0"/>
      <w:marBottom w:val="0"/>
      <w:divBdr>
        <w:top w:val="none" w:sz="0" w:space="0" w:color="auto"/>
        <w:left w:val="none" w:sz="0" w:space="0" w:color="auto"/>
        <w:bottom w:val="none" w:sz="0" w:space="0" w:color="auto"/>
        <w:right w:val="none" w:sz="0" w:space="0" w:color="auto"/>
      </w:divBdr>
    </w:div>
    <w:div w:id="1529677560">
      <w:bodyDiv w:val="1"/>
      <w:marLeft w:val="0"/>
      <w:marRight w:val="0"/>
      <w:marTop w:val="0"/>
      <w:marBottom w:val="0"/>
      <w:divBdr>
        <w:top w:val="none" w:sz="0" w:space="0" w:color="auto"/>
        <w:left w:val="none" w:sz="0" w:space="0" w:color="auto"/>
        <w:bottom w:val="none" w:sz="0" w:space="0" w:color="auto"/>
        <w:right w:val="none" w:sz="0" w:space="0" w:color="auto"/>
      </w:divBdr>
      <w:divsChild>
        <w:div w:id="771630416">
          <w:marLeft w:val="0"/>
          <w:marRight w:val="0"/>
          <w:marTop w:val="0"/>
          <w:marBottom w:val="0"/>
          <w:divBdr>
            <w:top w:val="none" w:sz="0" w:space="0" w:color="auto"/>
            <w:left w:val="none" w:sz="0" w:space="0" w:color="auto"/>
            <w:bottom w:val="none" w:sz="0" w:space="0" w:color="auto"/>
            <w:right w:val="none" w:sz="0" w:space="0" w:color="auto"/>
          </w:divBdr>
        </w:div>
        <w:div w:id="336618278">
          <w:marLeft w:val="0"/>
          <w:marRight w:val="0"/>
          <w:marTop w:val="0"/>
          <w:marBottom w:val="0"/>
          <w:divBdr>
            <w:top w:val="none" w:sz="0" w:space="0" w:color="auto"/>
            <w:left w:val="none" w:sz="0" w:space="0" w:color="auto"/>
            <w:bottom w:val="none" w:sz="0" w:space="0" w:color="auto"/>
            <w:right w:val="none" w:sz="0" w:space="0" w:color="auto"/>
          </w:divBdr>
          <w:divsChild>
            <w:div w:id="19621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830">
      <w:bodyDiv w:val="1"/>
      <w:marLeft w:val="0"/>
      <w:marRight w:val="0"/>
      <w:marTop w:val="0"/>
      <w:marBottom w:val="0"/>
      <w:divBdr>
        <w:top w:val="none" w:sz="0" w:space="0" w:color="auto"/>
        <w:left w:val="none" w:sz="0" w:space="0" w:color="auto"/>
        <w:bottom w:val="none" w:sz="0" w:space="0" w:color="auto"/>
        <w:right w:val="none" w:sz="0" w:space="0" w:color="auto"/>
      </w:divBdr>
    </w:div>
    <w:div w:id="1823768575">
      <w:bodyDiv w:val="1"/>
      <w:marLeft w:val="0"/>
      <w:marRight w:val="0"/>
      <w:marTop w:val="0"/>
      <w:marBottom w:val="0"/>
      <w:divBdr>
        <w:top w:val="none" w:sz="0" w:space="0" w:color="auto"/>
        <w:left w:val="none" w:sz="0" w:space="0" w:color="auto"/>
        <w:bottom w:val="none" w:sz="0" w:space="0" w:color="auto"/>
        <w:right w:val="none" w:sz="0" w:space="0" w:color="auto"/>
      </w:divBdr>
      <w:divsChild>
        <w:div w:id="20277675">
          <w:marLeft w:val="0"/>
          <w:marRight w:val="0"/>
          <w:marTop w:val="0"/>
          <w:marBottom w:val="0"/>
          <w:divBdr>
            <w:top w:val="none" w:sz="0" w:space="0" w:color="auto"/>
            <w:left w:val="none" w:sz="0" w:space="0" w:color="auto"/>
            <w:bottom w:val="none" w:sz="0" w:space="0" w:color="auto"/>
            <w:right w:val="none" w:sz="0" w:space="0" w:color="auto"/>
          </w:divBdr>
        </w:div>
        <w:div w:id="846989816">
          <w:marLeft w:val="0"/>
          <w:marRight w:val="0"/>
          <w:marTop w:val="0"/>
          <w:marBottom w:val="0"/>
          <w:divBdr>
            <w:top w:val="none" w:sz="0" w:space="0" w:color="auto"/>
            <w:left w:val="none" w:sz="0" w:space="0" w:color="auto"/>
            <w:bottom w:val="none" w:sz="0" w:space="0" w:color="auto"/>
            <w:right w:val="none" w:sz="0" w:space="0" w:color="auto"/>
          </w:divBdr>
          <w:divsChild>
            <w:div w:id="20847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3850">
      <w:bodyDiv w:val="1"/>
      <w:marLeft w:val="0"/>
      <w:marRight w:val="0"/>
      <w:marTop w:val="0"/>
      <w:marBottom w:val="0"/>
      <w:divBdr>
        <w:top w:val="none" w:sz="0" w:space="0" w:color="auto"/>
        <w:left w:val="none" w:sz="0" w:space="0" w:color="auto"/>
        <w:bottom w:val="none" w:sz="0" w:space="0" w:color="auto"/>
        <w:right w:val="none" w:sz="0" w:space="0" w:color="auto"/>
      </w:divBdr>
    </w:div>
    <w:div w:id="2116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14171</Words>
  <Characters>80780</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Makau Muathe</dc:creator>
  <cp:lastModifiedBy>SDI 1084</cp:lastModifiedBy>
  <cp:revision>6</cp:revision>
  <dcterms:created xsi:type="dcterms:W3CDTF">2025-09-09T07:16:00Z</dcterms:created>
  <dcterms:modified xsi:type="dcterms:W3CDTF">2025-09-17T07:27:00Z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id="frcB90kj"/&gt;&lt;style id="http://www.zotero.org/styles/apa-annotated-bibliography" locale="en-US" hasBibliography="1" bibliographyStyleHasBeenSet="1"/&gt;&lt;prefs&gt;&lt;pref name="fieldType" value="Field"/&gt;&lt;/p</vt:lpwstr>
  </property>
  <property fmtid="{D5CDD505-2E9C-101B-9397-08002B2CF9AE}" pid="3" name="ZOTERO_PREF_2">
    <vt:lpwstr>refs&gt;&lt;/data&gt;</vt:lpwstr>
  </property>
</Properties>
</file>