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AD368" w14:textId="1901798D" w:rsidR="00DD0C2C" w:rsidRDefault="00DD0C2C" w:rsidP="00E20786">
      <w:pPr>
        <w:pStyle w:val="NoSpacing"/>
        <w:jc w:val="center"/>
        <w:rPr>
          <w:rFonts w:ascii="Times New Roman" w:hAnsi="Times New Roman" w:cs="Times New Roman"/>
          <w:sz w:val="24"/>
          <w:szCs w:val="24"/>
        </w:rPr>
      </w:pPr>
      <w:r>
        <w:rPr>
          <w:rFonts w:ascii="Times New Roman" w:hAnsi="Times New Roman" w:cs="Times New Roman"/>
          <w:sz w:val="24"/>
          <w:szCs w:val="24"/>
        </w:rPr>
        <w:t>THE ASSYMETRIC EFFECT OF FISCAL DEFICIT ON MACROECONOMIC</w:t>
      </w:r>
      <w:r w:rsidR="007F05BA">
        <w:rPr>
          <w:rFonts w:ascii="Times New Roman" w:hAnsi="Times New Roman" w:cs="Times New Roman"/>
          <w:sz w:val="24"/>
          <w:szCs w:val="24"/>
        </w:rPr>
        <w:t xml:space="preserve"> </w:t>
      </w:r>
      <w:r>
        <w:rPr>
          <w:rFonts w:ascii="Times New Roman" w:hAnsi="Times New Roman" w:cs="Times New Roman"/>
          <w:sz w:val="24"/>
          <w:szCs w:val="24"/>
        </w:rPr>
        <w:t>VARIABLES IN SUB SAHARAN AFRICA</w:t>
      </w:r>
    </w:p>
    <w:p w14:paraId="758CFFCD" w14:textId="77777777" w:rsidR="00E20786" w:rsidRDefault="00E20786" w:rsidP="00E20786">
      <w:pPr>
        <w:pStyle w:val="NoSpacing"/>
        <w:jc w:val="center"/>
        <w:rPr>
          <w:rFonts w:ascii="Times New Roman" w:hAnsi="Times New Roman" w:cs="Times New Roman"/>
          <w:sz w:val="24"/>
          <w:szCs w:val="24"/>
        </w:rPr>
      </w:pPr>
    </w:p>
    <w:p w14:paraId="3D3E5AD0" w14:textId="77777777" w:rsidR="00E20786" w:rsidRDefault="00E20786" w:rsidP="00E20786">
      <w:pPr>
        <w:pStyle w:val="NoSpacing"/>
        <w:jc w:val="center"/>
        <w:rPr>
          <w:rFonts w:ascii="Times New Roman" w:hAnsi="Times New Roman" w:cs="Times New Roman"/>
          <w:sz w:val="24"/>
          <w:szCs w:val="24"/>
        </w:rPr>
      </w:pPr>
    </w:p>
    <w:p w14:paraId="14723269" w14:textId="77777777" w:rsidR="00EC44A7" w:rsidRDefault="00EC44A7" w:rsidP="00E20786">
      <w:pPr>
        <w:pStyle w:val="NoSpacing"/>
        <w:jc w:val="center"/>
        <w:rPr>
          <w:rFonts w:ascii="Times New Roman" w:hAnsi="Times New Roman" w:cs="Times New Roman"/>
          <w:sz w:val="24"/>
          <w:szCs w:val="24"/>
        </w:rPr>
      </w:pPr>
    </w:p>
    <w:p w14:paraId="34E85EF9" w14:textId="77777777" w:rsidR="00E20786" w:rsidRDefault="00E20786" w:rsidP="00E20786">
      <w:pPr>
        <w:pStyle w:val="NoSpacing"/>
        <w:jc w:val="center"/>
        <w:rPr>
          <w:rFonts w:ascii="Times New Roman" w:hAnsi="Times New Roman" w:cs="Times New Roman"/>
          <w:sz w:val="24"/>
          <w:szCs w:val="24"/>
        </w:rPr>
      </w:pPr>
    </w:p>
    <w:p w14:paraId="51903DB7" w14:textId="77777777" w:rsidR="00A36EBE" w:rsidRDefault="00A36EBE" w:rsidP="00E20786">
      <w:pPr>
        <w:pStyle w:val="NoSpacing"/>
        <w:jc w:val="both"/>
        <w:rPr>
          <w:rFonts w:ascii="Times New Roman" w:hAnsi="Times New Roman" w:cs="Times New Roman"/>
          <w:sz w:val="24"/>
          <w:szCs w:val="24"/>
        </w:rPr>
      </w:pPr>
      <w:r>
        <w:rPr>
          <w:rFonts w:ascii="Times New Roman" w:hAnsi="Times New Roman" w:cs="Times New Roman"/>
          <w:sz w:val="24"/>
          <w:szCs w:val="24"/>
        </w:rPr>
        <w:t xml:space="preserve">Abstract </w:t>
      </w:r>
    </w:p>
    <w:p w14:paraId="259C655B" w14:textId="77777777" w:rsidR="00B06B0B" w:rsidRPr="00C50DCB" w:rsidRDefault="006708CA" w:rsidP="00E20786">
      <w:pPr>
        <w:pStyle w:val="ListParagraph"/>
        <w:spacing w:after="0" w:line="240" w:lineRule="auto"/>
        <w:ind w:left="0" w:firstLine="720"/>
        <w:jc w:val="both"/>
        <w:rPr>
          <w:rFonts w:ascii="Times New Roman" w:hAnsi="Times New Roman"/>
          <w:sz w:val="24"/>
          <w:szCs w:val="26"/>
        </w:rPr>
      </w:pPr>
      <w:r w:rsidRPr="00C92F2F">
        <w:rPr>
          <w:rFonts w:ascii="Times New Roman" w:hAnsi="Times New Roman"/>
          <w:sz w:val="24"/>
          <w:szCs w:val="24"/>
        </w:rPr>
        <w:t>In most African count</w:t>
      </w:r>
      <w:r w:rsidR="006A4D3E">
        <w:rPr>
          <w:rFonts w:ascii="Times New Roman" w:hAnsi="Times New Roman"/>
          <w:sz w:val="24"/>
          <w:szCs w:val="24"/>
        </w:rPr>
        <w:t>r</w:t>
      </w:r>
      <w:r w:rsidRPr="00C92F2F">
        <w:rPr>
          <w:rFonts w:ascii="Times New Roman" w:hAnsi="Times New Roman"/>
          <w:sz w:val="24"/>
          <w:szCs w:val="24"/>
        </w:rPr>
        <w:t xml:space="preserve">ies, the intervening fluctuations in sources of government revenue and the </w:t>
      </w:r>
      <w:r>
        <w:rPr>
          <w:rFonts w:ascii="Times New Roman" w:hAnsi="Times New Roman"/>
          <w:sz w:val="24"/>
          <w:szCs w:val="24"/>
        </w:rPr>
        <w:t>endearing</w:t>
      </w:r>
      <w:r w:rsidRPr="00C92F2F">
        <w:rPr>
          <w:rFonts w:ascii="Times New Roman" w:hAnsi="Times New Roman"/>
          <w:sz w:val="24"/>
          <w:szCs w:val="24"/>
        </w:rPr>
        <w:t xml:space="preserve"> corruption as well as mis-</w:t>
      </w:r>
      <w:proofErr w:type="spellStart"/>
      <w:r w:rsidRPr="00C92F2F">
        <w:rPr>
          <w:rFonts w:ascii="Times New Roman" w:hAnsi="Times New Roman"/>
          <w:sz w:val="24"/>
          <w:szCs w:val="24"/>
        </w:rPr>
        <w:t>prioritisation</w:t>
      </w:r>
      <w:proofErr w:type="spellEnd"/>
      <w:r w:rsidRPr="00C92F2F">
        <w:rPr>
          <w:rFonts w:ascii="Times New Roman" w:hAnsi="Times New Roman"/>
          <w:sz w:val="24"/>
          <w:szCs w:val="24"/>
        </w:rPr>
        <w:t xml:space="preserve"> of the needs of citizens have been noted as the basic reasons behind the high incidence of</w:t>
      </w:r>
      <w:r>
        <w:rPr>
          <w:rFonts w:ascii="Times New Roman" w:hAnsi="Times New Roman"/>
          <w:sz w:val="24"/>
          <w:szCs w:val="24"/>
        </w:rPr>
        <w:t xml:space="preserve"> fiscal deficit over the years. Therefore, this study attempts to examine the asymmetric effect of fiscal deficit on macroeconomic variables in Sub-Saharan Africa using quarterly data </w:t>
      </w:r>
      <w:r w:rsidRPr="000721D1">
        <w:rPr>
          <w:rFonts w:ascii="Times New Roman" w:hAnsi="Times New Roman"/>
          <w:sz w:val="24"/>
          <w:szCs w:val="26"/>
        </w:rPr>
        <w:t>between</w:t>
      </w:r>
      <w:r w:rsidR="00CD2D28" w:rsidRPr="000721D1">
        <w:rPr>
          <w:rFonts w:ascii="Times New Roman" w:hAnsi="Times New Roman"/>
          <w:sz w:val="24"/>
          <w:szCs w:val="26"/>
        </w:rPr>
        <w:t>1</w:t>
      </w:r>
      <w:bookmarkStart w:id="0" w:name="_GoBack"/>
      <w:bookmarkEnd w:id="0"/>
      <w:r w:rsidR="00CD2D28" w:rsidRPr="000721D1">
        <w:rPr>
          <w:rFonts w:ascii="Times New Roman" w:hAnsi="Times New Roman"/>
          <w:sz w:val="24"/>
          <w:szCs w:val="26"/>
        </w:rPr>
        <w:t>990</w:t>
      </w:r>
      <w:r w:rsidR="00CD2D28" w:rsidRPr="000721D1">
        <w:rPr>
          <w:rFonts w:ascii="Times New Roman" w:hAnsi="Times New Roman"/>
          <w:sz w:val="24"/>
          <w:szCs w:val="26"/>
          <w:vertAlign w:val="subscript"/>
        </w:rPr>
        <w:t>q1</w:t>
      </w:r>
      <w:r w:rsidR="00CD2D28" w:rsidRPr="000721D1">
        <w:rPr>
          <w:rFonts w:ascii="Times New Roman" w:hAnsi="Times New Roman"/>
          <w:sz w:val="24"/>
          <w:szCs w:val="26"/>
        </w:rPr>
        <w:t xml:space="preserve"> to 2020</w:t>
      </w:r>
      <w:r w:rsidR="00CD2D28" w:rsidRPr="000721D1">
        <w:rPr>
          <w:rFonts w:ascii="Times New Roman" w:hAnsi="Times New Roman"/>
          <w:sz w:val="24"/>
          <w:szCs w:val="26"/>
          <w:vertAlign w:val="subscript"/>
        </w:rPr>
        <w:t>q4</w:t>
      </w:r>
      <w:r>
        <w:rPr>
          <w:rFonts w:ascii="Times New Roman" w:hAnsi="Times New Roman"/>
          <w:sz w:val="24"/>
          <w:szCs w:val="26"/>
        </w:rPr>
        <w:t xml:space="preserve">. The study employed Non-Linear ARDL </w:t>
      </w:r>
      <w:r w:rsidR="006A4D3E">
        <w:rPr>
          <w:rFonts w:ascii="Times New Roman" w:hAnsi="Times New Roman"/>
          <w:sz w:val="24"/>
          <w:szCs w:val="26"/>
        </w:rPr>
        <w:t>model</w:t>
      </w:r>
      <w:r w:rsidR="00CD2D28">
        <w:rPr>
          <w:rFonts w:ascii="Times New Roman" w:hAnsi="Times New Roman"/>
          <w:sz w:val="24"/>
          <w:szCs w:val="26"/>
        </w:rPr>
        <w:t xml:space="preserve"> to estimate the </w:t>
      </w:r>
      <w:r w:rsidR="00CD2D28">
        <w:rPr>
          <w:rFonts w:ascii="Times New Roman" w:hAnsi="Times New Roman"/>
          <w:sz w:val="24"/>
          <w:szCs w:val="24"/>
        </w:rPr>
        <w:t xml:space="preserve">asymmetric effect of fiscal deficit on macroeconomic variables in Sub-Saharan Africa. </w:t>
      </w:r>
      <w:r w:rsidR="00CD2D28">
        <w:rPr>
          <w:rFonts w:ascii="Times New Roman" w:hAnsi="Times New Roman"/>
          <w:sz w:val="24"/>
          <w:szCs w:val="26"/>
        </w:rPr>
        <w:t xml:space="preserve">The long run asymmetric effect of fiscal deficit revealed that </w:t>
      </w:r>
      <w:r w:rsidR="00CD2D28" w:rsidRPr="000721D1">
        <w:rPr>
          <w:rFonts w:ascii="Times New Roman" w:hAnsi="Times New Roman"/>
          <w:sz w:val="24"/>
          <w:szCs w:val="26"/>
        </w:rPr>
        <w:t>the influence of fiscal deficit on macroeconomic variables employed in the study was positive but insignificant</w:t>
      </w:r>
      <w:r w:rsidR="00CD2D28">
        <w:rPr>
          <w:rFonts w:ascii="Times New Roman" w:hAnsi="Times New Roman"/>
          <w:sz w:val="24"/>
          <w:szCs w:val="26"/>
        </w:rPr>
        <w:t xml:space="preserve"> before</w:t>
      </w:r>
      <w:r w:rsidR="00CD2D28" w:rsidRPr="00CD2D28">
        <w:rPr>
          <w:rFonts w:ascii="Times New Roman" w:hAnsi="Times New Roman"/>
          <w:sz w:val="24"/>
          <w:szCs w:val="26"/>
        </w:rPr>
        <w:t xml:space="preserve"> </w:t>
      </w:r>
      <w:r w:rsidR="00CD2D28">
        <w:rPr>
          <w:rFonts w:ascii="Times New Roman" w:hAnsi="Times New Roman"/>
          <w:sz w:val="24"/>
          <w:szCs w:val="26"/>
        </w:rPr>
        <w:t>the global financial crisis and i</w:t>
      </w:r>
      <w:r w:rsidR="00CD2D28" w:rsidRPr="000721D1">
        <w:rPr>
          <w:rFonts w:ascii="Times New Roman" w:hAnsi="Times New Roman"/>
          <w:sz w:val="24"/>
          <w:szCs w:val="26"/>
        </w:rPr>
        <w:t>t means that the influence was asymmetric. However, after the global financial crisis, fiscal deficit exerted negative and significant effects on macroeconomic variables in the selected African countries. This shows symmetric effect</w:t>
      </w:r>
      <w:r w:rsidR="00CD2D28">
        <w:rPr>
          <w:rFonts w:ascii="Times New Roman" w:hAnsi="Times New Roman"/>
          <w:sz w:val="24"/>
          <w:szCs w:val="26"/>
        </w:rPr>
        <w:t>.</w:t>
      </w:r>
      <w:r w:rsidR="00CD2D28" w:rsidRPr="00EC132A">
        <w:rPr>
          <w:rFonts w:ascii="Times New Roman" w:hAnsi="Times New Roman"/>
          <w:sz w:val="24"/>
          <w:szCs w:val="26"/>
        </w:rPr>
        <w:t xml:space="preserve"> </w:t>
      </w:r>
      <w:r w:rsidR="00CD2D28" w:rsidRPr="000721D1">
        <w:rPr>
          <w:rFonts w:ascii="Times New Roman" w:hAnsi="Times New Roman"/>
          <w:sz w:val="24"/>
          <w:szCs w:val="26"/>
        </w:rPr>
        <w:t>Based on the fin</w:t>
      </w:r>
      <w:r w:rsidR="00CD2D28">
        <w:rPr>
          <w:rFonts w:ascii="Times New Roman" w:hAnsi="Times New Roman"/>
          <w:sz w:val="24"/>
          <w:szCs w:val="26"/>
        </w:rPr>
        <w:t>dings that emanated from the</w:t>
      </w:r>
      <w:r w:rsidR="00CD2D28" w:rsidRPr="000721D1">
        <w:rPr>
          <w:rFonts w:ascii="Times New Roman" w:hAnsi="Times New Roman"/>
          <w:sz w:val="24"/>
          <w:szCs w:val="26"/>
        </w:rPr>
        <w:t xml:space="preserve"> estimations conducted in the study, the following conclusions are drawn the effect of fiscal deficit on macroeconomic variables in Sub-Saharan Africa countries is symmetric and asymmetric.</w:t>
      </w:r>
      <w:r w:rsidR="00CD2D28" w:rsidRPr="00EC132A">
        <w:rPr>
          <w:rFonts w:ascii="Times New Roman" w:hAnsi="Times New Roman"/>
          <w:sz w:val="24"/>
          <w:szCs w:val="26"/>
        </w:rPr>
        <w:t xml:space="preserve"> </w:t>
      </w:r>
      <w:r w:rsidR="00CD2D28" w:rsidRPr="000721D1">
        <w:rPr>
          <w:rFonts w:ascii="Times New Roman" w:hAnsi="Times New Roman"/>
          <w:sz w:val="24"/>
          <w:szCs w:val="26"/>
        </w:rPr>
        <w:t>From the results, it was discovered that the impact of fiscal deficit on macroeconomic variables was significant with different magnitudes</w:t>
      </w:r>
      <w:r w:rsidR="00CD2D28">
        <w:rPr>
          <w:rFonts w:ascii="Times New Roman" w:hAnsi="Times New Roman"/>
          <w:sz w:val="24"/>
          <w:szCs w:val="26"/>
        </w:rPr>
        <w:t>.</w:t>
      </w:r>
      <w:r w:rsidR="00CD2D28" w:rsidRPr="00F32350">
        <w:rPr>
          <w:rFonts w:ascii="Times New Roman" w:hAnsi="Times New Roman"/>
          <w:sz w:val="24"/>
          <w:szCs w:val="26"/>
        </w:rPr>
        <w:t xml:space="preserve"> </w:t>
      </w:r>
      <w:r w:rsidR="00CD2D28" w:rsidRPr="000721D1">
        <w:rPr>
          <w:rFonts w:ascii="Times New Roman" w:hAnsi="Times New Roman"/>
          <w:sz w:val="24"/>
          <w:szCs w:val="26"/>
        </w:rPr>
        <w:t>Therefore, the government of the selected countries should formulate workable policies that will improve tax collection particularly direct and indirect taxes. That is, the tax base of Sub Saharan Africa countries should be restructured.</w:t>
      </w:r>
      <w:r w:rsidR="00B06B0B">
        <w:rPr>
          <w:rFonts w:ascii="Times New Roman" w:hAnsi="Times New Roman"/>
          <w:sz w:val="24"/>
          <w:szCs w:val="26"/>
        </w:rPr>
        <w:t xml:space="preserve"> Moreover, the </w:t>
      </w:r>
      <w:r w:rsidR="00B06B0B" w:rsidRPr="000721D1">
        <w:rPr>
          <w:rFonts w:ascii="Times New Roman" w:hAnsi="Times New Roman"/>
          <w:sz w:val="24"/>
          <w:szCs w:val="26"/>
        </w:rPr>
        <w:t>various governments in the selected</w:t>
      </w:r>
      <w:r w:rsidR="00B06B0B">
        <w:rPr>
          <w:rFonts w:ascii="Times New Roman" w:hAnsi="Times New Roman"/>
          <w:sz w:val="24"/>
          <w:szCs w:val="26"/>
        </w:rPr>
        <w:t xml:space="preserve"> African</w:t>
      </w:r>
      <w:r w:rsidR="00B06B0B" w:rsidRPr="000721D1">
        <w:rPr>
          <w:rFonts w:ascii="Times New Roman" w:hAnsi="Times New Roman"/>
          <w:sz w:val="24"/>
          <w:szCs w:val="26"/>
        </w:rPr>
        <w:t xml:space="preserve"> countries should </w:t>
      </w:r>
      <w:proofErr w:type="spellStart"/>
      <w:r w:rsidR="00B06B0B" w:rsidRPr="000721D1">
        <w:rPr>
          <w:rFonts w:ascii="Times New Roman" w:hAnsi="Times New Roman"/>
          <w:sz w:val="24"/>
          <w:szCs w:val="26"/>
        </w:rPr>
        <w:t>endeavo</w:t>
      </w:r>
      <w:r w:rsidR="00B06B0B">
        <w:rPr>
          <w:rFonts w:ascii="Times New Roman" w:hAnsi="Times New Roman"/>
          <w:sz w:val="24"/>
          <w:szCs w:val="26"/>
        </w:rPr>
        <w:t>u</w:t>
      </w:r>
      <w:r w:rsidR="00B06B0B" w:rsidRPr="000721D1">
        <w:rPr>
          <w:rFonts w:ascii="Times New Roman" w:hAnsi="Times New Roman"/>
          <w:sz w:val="24"/>
          <w:szCs w:val="26"/>
        </w:rPr>
        <w:t>r</w:t>
      </w:r>
      <w:proofErr w:type="spellEnd"/>
      <w:r w:rsidR="00B06B0B" w:rsidRPr="000721D1">
        <w:rPr>
          <w:rFonts w:ascii="Times New Roman" w:hAnsi="Times New Roman"/>
          <w:sz w:val="24"/>
          <w:szCs w:val="26"/>
        </w:rPr>
        <w:t xml:space="preserve"> to reduce their expenditure. This could be achieved by blocking unnecessary leakages in their economies.</w:t>
      </w:r>
      <w:r w:rsidR="00B06B0B" w:rsidRPr="00F32350">
        <w:rPr>
          <w:rFonts w:ascii="Times New Roman" w:hAnsi="Times New Roman"/>
          <w:sz w:val="24"/>
          <w:szCs w:val="26"/>
        </w:rPr>
        <w:t xml:space="preserve"> </w:t>
      </w:r>
    </w:p>
    <w:p w14:paraId="7BE91FA8" w14:textId="77777777" w:rsidR="006708CA" w:rsidRPr="00B06B0B" w:rsidRDefault="006A4D3E" w:rsidP="00B06B0B">
      <w:pPr>
        <w:spacing w:after="0" w:line="480" w:lineRule="auto"/>
        <w:jc w:val="both"/>
        <w:rPr>
          <w:rFonts w:ascii="Times New Roman" w:hAnsi="Times New Roman"/>
          <w:sz w:val="24"/>
          <w:szCs w:val="26"/>
        </w:rPr>
      </w:pPr>
      <w:r w:rsidRPr="00E20786">
        <w:rPr>
          <w:rFonts w:ascii="Times New Roman" w:hAnsi="Times New Roman"/>
          <w:b/>
          <w:i/>
          <w:sz w:val="24"/>
          <w:szCs w:val="26"/>
        </w:rPr>
        <w:t>Keywords:</w:t>
      </w:r>
      <w:r>
        <w:rPr>
          <w:rFonts w:ascii="Times New Roman" w:hAnsi="Times New Roman"/>
          <w:sz w:val="24"/>
          <w:szCs w:val="26"/>
        </w:rPr>
        <w:t xml:space="preserve"> Fiscal Deficit, Asymmetry, Macroeconomic Variables and Non- Linear ARDL Model; </w:t>
      </w:r>
      <w:r w:rsidR="006708CA">
        <w:rPr>
          <w:rFonts w:ascii="Times New Roman" w:hAnsi="Times New Roman"/>
          <w:sz w:val="24"/>
          <w:szCs w:val="26"/>
          <w:vertAlign w:val="subscript"/>
        </w:rPr>
        <w:t xml:space="preserve"> </w:t>
      </w:r>
    </w:p>
    <w:p w14:paraId="39707ACD" w14:textId="77777777" w:rsidR="00155D47" w:rsidRPr="00155D47" w:rsidRDefault="00155D47" w:rsidP="00DD0C2C">
      <w:pPr>
        <w:pStyle w:val="NoSpacing"/>
        <w:spacing w:line="480" w:lineRule="auto"/>
        <w:jc w:val="both"/>
        <w:rPr>
          <w:rFonts w:ascii="Times New Roman" w:hAnsi="Times New Roman" w:cs="Times New Roman"/>
          <w:b/>
          <w:sz w:val="24"/>
          <w:szCs w:val="24"/>
        </w:rPr>
      </w:pPr>
      <w:r w:rsidRPr="00155D47">
        <w:rPr>
          <w:rFonts w:ascii="Times New Roman" w:hAnsi="Times New Roman" w:cs="Times New Roman"/>
          <w:b/>
          <w:sz w:val="24"/>
          <w:szCs w:val="24"/>
        </w:rPr>
        <w:t>1.0</w:t>
      </w:r>
      <w:r>
        <w:rPr>
          <w:rFonts w:ascii="Times New Roman" w:hAnsi="Times New Roman" w:cs="Times New Roman"/>
          <w:sz w:val="24"/>
          <w:szCs w:val="24"/>
        </w:rPr>
        <w:t xml:space="preserve"> </w:t>
      </w:r>
      <w:r w:rsidR="00E20786" w:rsidRPr="00155D47">
        <w:rPr>
          <w:rFonts w:ascii="Times New Roman" w:hAnsi="Times New Roman" w:cs="Times New Roman"/>
          <w:b/>
          <w:sz w:val="24"/>
          <w:szCs w:val="24"/>
        </w:rPr>
        <w:t xml:space="preserve">Introduction </w:t>
      </w:r>
    </w:p>
    <w:p w14:paraId="2B23CD3C" w14:textId="77777777" w:rsidR="004F1733" w:rsidRPr="00C92F2F" w:rsidRDefault="008F1BF5" w:rsidP="00E20786">
      <w:pPr>
        <w:pStyle w:val="NoSpacing"/>
        <w:spacing w:line="360" w:lineRule="auto"/>
        <w:ind w:firstLine="720"/>
        <w:jc w:val="both"/>
        <w:rPr>
          <w:rFonts w:ascii="Times New Roman" w:hAnsi="Times New Roman" w:cs="Times New Roman"/>
          <w:sz w:val="24"/>
          <w:szCs w:val="24"/>
        </w:rPr>
      </w:pPr>
      <w:r w:rsidRPr="00C92F2F">
        <w:rPr>
          <w:rFonts w:ascii="Times New Roman" w:hAnsi="Times New Roman" w:cs="Times New Roman"/>
          <w:sz w:val="24"/>
          <w:szCs w:val="24"/>
        </w:rPr>
        <w:t>Fiscal policy is one of the most effective instruments of macroeconomic policy objectives across nations. It complements other instruments such as monetary policy, income policy, trade or commercial policy and debt management policy to achieve ma</w:t>
      </w:r>
      <w:r>
        <w:rPr>
          <w:rFonts w:ascii="Times New Roman" w:hAnsi="Times New Roman" w:cs="Times New Roman"/>
          <w:sz w:val="24"/>
          <w:szCs w:val="24"/>
        </w:rPr>
        <w:t>croeconomic stability</w:t>
      </w:r>
      <w:r w:rsidR="00D1761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Iyoha</w:t>
      </w:r>
      <w:proofErr w:type="spellEnd"/>
      <w:r>
        <w:rPr>
          <w:rFonts w:ascii="Times New Roman" w:hAnsi="Times New Roman" w:cs="Times New Roman"/>
          <w:sz w:val="24"/>
          <w:szCs w:val="24"/>
        </w:rPr>
        <w:t xml:space="preserve"> (1999</w:t>
      </w:r>
      <w:r w:rsidRPr="00C92F2F">
        <w:rPr>
          <w:rFonts w:ascii="Times New Roman" w:hAnsi="Times New Roman" w:cs="Times New Roman"/>
          <w:sz w:val="24"/>
          <w:szCs w:val="24"/>
        </w:rPr>
        <w:t>). Fiscal policy centers on the use of government expenditure and revenue to influence macroeconomic variables in order to put in place some pre-determined macroeconomic policy objectives.</w:t>
      </w:r>
      <w:r w:rsidR="00227D23">
        <w:rPr>
          <w:rFonts w:ascii="Times New Roman" w:hAnsi="Times New Roman" w:cs="Times New Roman"/>
          <w:sz w:val="24"/>
          <w:szCs w:val="24"/>
        </w:rPr>
        <w:t xml:space="preserve"> </w:t>
      </w:r>
      <w:r w:rsidR="00227D23" w:rsidRPr="00C92F2F">
        <w:rPr>
          <w:rFonts w:ascii="Times New Roman" w:hAnsi="Times New Roman" w:cs="Times New Roman"/>
          <w:sz w:val="24"/>
          <w:szCs w:val="24"/>
        </w:rPr>
        <w:t>Fiscal deficit refers to a gap in government budget. It is a gap that occurs in any financial year when the expected government expenditure exceeds the expected government revenue. When this occurs, government needs to borrow to cover the gap</w:t>
      </w:r>
      <w:r w:rsidR="00315A74">
        <w:rPr>
          <w:rFonts w:ascii="Times New Roman" w:hAnsi="Times New Roman" w:cs="Times New Roman"/>
          <w:sz w:val="24"/>
          <w:szCs w:val="24"/>
        </w:rPr>
        <w:t>.</w:t>
      </w:r>
      <w:r w:rsidR="00315A74" w:rsidRPr="00315A74">
        <w:rPr>
          <w:rFonts w:ascii="Times New Roman" w:hAnsi="Times New Roman" w:cs="Times New Roman"/>
          <w:sz w:val="24"/>
          <w:szCs w:val="24"/>
        </w:rPr>
        <w:t xml:space="preserve"> </w:t>
      </w:r>
      <w:r w:rsidR="004F1733" w:rsidRPr="00C92F2F">
        <w:rPr>
          <w:rFonts w:ascii="Times New Roman" w:hAnsi="Times New Roman" w:cs="Times New Roman"/>
          <w:sz w:val="24"/>
          <w:szCs w:val="24"/>
        </w:rPr>
        <w:t>Fiscal deficit as a government financial statement is not necessarily bad for the economy</w:t>
      </w:r>
      <w:r w:rsidR="004F1733">
        <w:rPr>
          <w:rFonts w:ascii="Times New Roman" w:hAnsi="Times New Roman" w:cs="Times New Roman"/>
          <w:sz w:val="24"/>
          <w:szCs w:val="24"/>
        </w:rPr>
        <w:t xml:space="preserve"> Kundu (</w:t>
      </w:r>
      <w:r w:rsidR="004F1733" w:rsidRPr="00C92F2F">
        <w:rPr>
          <w:rFonts w:ascii="Times New Roman" w:hAnsi="Times New Roman" w:cs="Times New Roman"/>
          <w:sz w:val="24"/>
          <w:szCs w:val="24"/>
        </w:rPr>
        <w:t xml:space="preserve">2019). </w:t>
      </w:r>
      <w:r w:rsidR="00D17610">
        <w:rPr>
          <w:rFonts w:ascii="Times New Roman" w:hAnsi="Times New Roman" w:cs="Times New Roman"/>
          <w:sz w:val="24"/>
          <w:szCs w:val="24"/>
        </w:rPr>
        <w:t xml:space="preserve"> </w:t>
      </w:r>
      <w:r w:rsidR="004F1733" w:rsidRPr="00C92F2F">
        <w:rPr>
          <w:rFonts w:ascii="Times New Roman" w:hAnsi="Times New Roman" w:cs="Times New Roman"/>
          <w:sz w:val="24"/>
          <w:szCs w:val="24"/>
        </w:rPr>
        <w:t>Based on the position of some notable economists like Stephen, (2019)</w:t>
      </w:r>
      <w:r w:rsidR="004F1733">
        <w:rPr>
          <w:rFonts w:ascii="Times New Roman" w:hAnsi="Times New Roman" w:cs="Times New Roman"/>
          <w:sz w:val="24"/>
          <w:szCs w:val="24"/>
        </w:rPr>
        <w:t>; Awe and Olalere (2012), Godwin</w:t>
      </w:r>
      <w:r w:rsidR="004F1733" w:rsidRPr="00C92F2F">
        <w:rPr>
          <w:rFonts w:ascii="Times New Roman" w:hAnsi="Times New Roman" w:cs="Times New Roman"/>
          <w:sz w:val="24"/>
          <w:szCs w:val="24"/>
        </w:rPr>
        <w:t xml:space="preserve"> (2020) and others, fiscal deficit is an integral component of fiscal </w:t>
      </w:r>
      <w:r w:rsidR="004F1733" w:rsidRPr="00C92F2F">
        <w:rPr>
          <w:rFonts w:ascii="Times New Roman" w:hAnsi="Times New Roman" w:cs="Times New Roman"/>
          <w:sz w:val="24"/>
          <w:szCs w:val="24"/>
        </w:rPr>
        <w:lastRenderedPageBreak/>
        <w:t>poli</w:t>
      </w:r>
      <w:r w:rsidR="004F1733">
        <w:rPr>
          <w:rFonts w:ascii="Times New Roman" w:hAnsi="Times New Roman" w:cs="Times New Roman"/>
          <w:sz w:val="24"/>
          <w:szCs w:val="24"/>
        </w:rPr>
        <w:t>cy and therefore inevitable</w:t>
      </w:r>
      <w:r w:rsidR="004F1733" w:rsidRPr="00C92F2F">
        <w:rPr>
          <w:rFonts w:ascii="Times New Roman" w:hAnsi="Times New Roman" w:cs="Times New Roman"/>
          <w:sz w:val="24"/>
          <w:szCs w:val="24"/>
        </w:rPr>
        <w:t xml:space="preserve"> especially in developing countrie</w:t>
      </w:r>
      <w:r w:rsidR="00D17610">
        <w:rPr>
          <w:rFonts w:ascii="Times New Roman" w:hAnsi="Times New Roman" w:cs="Times New Roman"/>
          <w:sz w:val="24"/>
          <w:szCs w:val="24"/>
        </w:rPr>
        <w:t>s following Wagner’s law and peacock hypotheses.</w:t>
      </w:r>
    </w:p>
    <w:p w14:paraId="17854A92" w14:textId="77777777" w:rsidR="004F1733" w:rsidRPr="00C92F2F" w:rsidRDefault="004F1733" w:rsidP="00E20786">
      <w:pPr>
        <w:pStyle w:val="NoSpacing"/>
        <w:spacing w:line="360" w:lineRule="auto"/>
        <w:jc w:val="both"/>
        <w:rPr>
          <w:rFonts w:ascii="Times New Roman" w:hAnsi="Times New Roman" w:cs="Times New Roman"/>
          <w:sz w:val="24"/>
          <w:szCs w:val="24"/>
        </w:rPr>
      </w:pPr>
      <w:r w:rsidRPr="00C92F2F">
        <w:rPr>
          <w:rFonts w:ascii="Times New Roman" w:hAnsi="Times New Roman" w:cs="Times New Roman"/>
          <w:sz w:val="24"/>
          <w:szCs w:val="24"/>
        </w:rPr>
        <w:t xml:space="preserve"> Fiscal policy could be deficit or surplus. For instance, when the expected revenue exceeds the expected expenditure, this is known as surplus budget while deficit occurs when the expected expenditure exceeds expected revenue. For instance, when unemployment in an economy is high, government can stimulate the level of aggregate demand by using fiscal deficit which would increase government expenditure and thus by a multiplier process increases income by more than the initial increase in the budget deficit. However, if the aggregate demand is too high, the government can reduce it by decreasing the budget deficit </w:t>
      </w:r>
      <w:proofErr w:type="spellStart"/>
      <w:r>
        <w:rPr>
          <w:rFonts w:ascii="Times New Roman" w:hAnsi="Times New Roman" w:cs="Times New Roman"/>
          <w:sz w:val="24"/>
          <w:szCs w:val="24"/>
        </w:rPr>
        <w:t>Iyoha</w:t>
      </w:r>
      <w:proofErr w:type="spellEnd"/>
      <w:r>
        <w:rPr>
          <w:rFonts w:ascii="Times New Roman" w:hAnsi="Times New Roman" w:cs="Times New Roman"/>
          <w:sz w:val="24"/>
          <w:szCs w:val="24"/>
        </w:rPr>
        <w:t xml:space="preserve"> (</w:t>
      </w:r>
      <w:r w:rsidRPr="00C92F2F">
        <w:rPr>
          <w:rFonts w:ascii="Times New Roman" w:hAnsi="Times New Roman" w:cs="Times New Roman"/>
          <w:sz w:val="24"/>
          <w:szCs w:val="24"/>
        </w:rPr>
        <w:t>1999).</w:t>
      </w:r>
    </w:p>
    <w:p w14:paraId="6F8A795C" w14:textId="77777777" w:rsidR="004F1733" w:rsidRPr="00C92F2F" w:rsidRDefault="004F1733" w:rsidP="00E20786">
      <w:pPr>
        <w:pStyle w:val="NoSpacing"/>
        <w:spacing w:line="360" w:lineRule="auto"/>
        <w:ind w:firstLine="720"/>
        <w:jc w:val="both"/>
        <w:rPr>
          <w:rFonts w:ascii="Times New Roman" w:hAnsi="Times New Roman" w:cs="Times New Roman"/>
          <w:sz w:val="24"/>
          <w:szCs w:val="24"/>
        </w:rPr>
      </w:pPr>
      <w:r w:rsidRPr="00C92F2F">
        <w:rPr>
          <w:rFonts w:ascii="Times New Roman" w:hAnsi="Times New Roman" w:cs="Times New Roman"/>
          <w:sz w:val="24"/>
          <w:szCs w:val="24"/>
        </w:rPr>
        <w:t xml:space="preserve">Fiscal policy performs an important function in the process of economic growth sustenance and macroeconomic stability. The magnitude of government fiscal surplus or deficit is one of the most essential indicators of the government impact on the overall economy through fiscal </w:t>
      </w:r>
      <w:r w:rsidR="00157ACB">
        <w:rPr>
          <w:rFonts w:ascii="Times New Roman" w:hAnsi="Times New Roman" w:cs="Times New Roman"/>
          <w:sz w:val="24"/>
          <w:szCs w:val="24"/>
        </w:rPr>
        <w:t>policy</w:t>
      </w:r>
      <w:r w:rsidRPr="00C92F2F">
        <w:rPr>
          <w:rFonts w:ascii="Times New Roman" w:hAnsi="Times New Roman" w:cs="Times New Roman"/>
          <w:sz w:val="24"/>
          <w:szCs w:val="24"/>
        </w:rPr>
        <w:t>.</w:t>
      </w:r>
      <w:r w:rsidR="00157ACB">
        <w:rPr>
          <w:rFonts w:ascii="Times New Roman" w:hAnsi="Times New Roman" w:cs="Times New Roman"/>
          <w:sz w:val="24"/>
          <w:szCs w:val="24"/>
        </w:rPr>
        <w:t xml:space="preserve"> </w:t>
      </w:r>
      <w:r w:rsidRPr="00C92F2F">
        <w:rPr>
          <w:rFonts w:ascii="Times New Roman" w:hAnsi="Times New Roman" w:cs="Times New Roman"/>
          <w:sz w:val="24"/>
          <w:szCs w:val="24"/>
        </w:rPr>
        <w:t xml:space="preserve"> Budgetary system is considered to be a political process that has great influence on the overall welfare of the citizenry. It has two phases, namely, expenditure and revenue</w:t>
      </w:r>
      <w:r>
        <w:rPr>
          <w:rFonts w:ascii="Times New Roman" w:hAnsi="Times New Roman" w:cs="Times New Roman"/>
          <w:sz w:val="24"/>
          <w:szCs w:val="24"/>
        </w:rPr>
        <w:t xml:space="preserve"> sides. The revenue aspect cent</w:t>
      </w:r>
      <w:r w:rsidRPr="00C92F2F">
        <w:rPr>
          <w:rFonts w:ascii="Times New Roman" w:hAnsi="Times New Roman" w:cs="Times New Roman"/>
          <w:sz w:val="24"/>
          <w:szCs w:val="24"/>
        </w:rPr>
        <w:t>e</w:t>
      </w:r>
      <w:r>
        <w:rPr>
          <w:rFonts w:ascii="Times New Roman" w:hAnsi="Times New Roman" w:cs="Times New Roman"/>
          <w:sz w:val="24"/>
          <w:szCs w:val="24"/>
        </w:rPr>
        <w:t>r</w:t>
      </w:r>
      <w:r w:rsidRPr="00C92F2F">
        <w:rPr>
          <w:rFonts w:ascii="Times New Roman" w:hAnsi="Times New Roman" w:cs="Times New Roman"/>
          <w:sz w:val="24"/>
          <w:szCs w:val="24"/>
        </w:rPr>
        <w:t>s on what government should take as revenue (Taxes) from individuals or private sector in form of taxation while the expenditure takes cares of what government spends. The development of a fiscal deficit is often t</w:t>
      </w:r>
      <w:r>
        <w:rPr>
          <w:rFonts w:ascii="Times New Roman" w:hAnsi="Times New Roman" w:cs="Times New Roman"/>
          <w:sz w:val="24"/>
          <w:szCs w:val="24"/>
        </w:rPr>
        <w:t xml:space="preserve">raced to the Keynesian inspired </w:t>
      </w:r>
      <w:r w:rsidRPr="00C92F2F">
        <w:rPr>
          <w:rFonts w:ascii="Times New Roman" w:hAnsi="Times New Roman" w:cs="Times New Roman"/>
          <w:sz w:val="24"/>
          <w:szCs w:val="24"/>
        </w:rPr>
        <w:t>expenditure led growth theory of the 1970s. Since then, countries have been engaging this theory. However, developed economies globally have mostly adopted this theory that says government needs to motivate the aggregate demand side of the economy in order to stimulate economic growth. This particular theory has vital consequences which cannot be under estimated particularly in developing nations</w:t>
      </w:r>
      <w:r w:rsidR="00DD0C2C">
        <w:rPr>
          <w:rFonts w:ascii="Times New Roman" w:hAnsi="Times New Roman" w:cs="Times New Roman"/>
          <w:sz w:val="24"/>
          <w:szCs w:val="24"/>
        </w:rPr>
        <w:t>,</w:t>
      </w:r>
      <w:r w:rsidRPr="00C92F2F">
        <w:rPr>
          <w:rFonts w:ascii="Times New Roman" w:hAnsi="Times New Roman" w:cs="Times New Roman"/>
          <w:sz w:val="24"/>
          <w:szCs w:val="24"/>
        </w:rPr>
        <w:t xml:space="preserve"> </w:t>
      </w:r>
      <w:proofErr w:type="spellStart"/>
      <w:r>
        <w:rPr>
          <w:rFonts w:ascii="Times New Roman" w:hAnsi="Times New Roman" w:cs="Times New Roman"/>
          <w:sz w:val="24"/>
          <w:szCs w:val="24"/>
        </w:rPr>
        <w:t>Olomola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Olagunju</w:t>
      </w:r>
      <w:proofErr w:type="spellEnd"/>
      <w:r>
        <w:rPr>
          <w:rFonts w:ascii="Times New Roman" w:hAnsi="Times New Roman" w:cs="Times New Roman"/>
          <w:sz w:val="24"/>
          <w:szCs w:val="24"/>
        </w:rPr>
        <w:t xml:space="preserve"> (</w:t>
      </w:r>
      <w:r w:rsidRPr="00C92F2F">
        <w:rPr>
          <w:rFonts w:ascii="Times New Roman" w:hAnsi="Times New Roman" w:cs="Times New Roman"/>
          <w:sz w:val="24"/>
          <w:szCs w:val="24"/>
        </w:rPr>
        <w:t>2004). One of the major consequences is the structural inflation which occurs either from contractionary or expansionary fiscal or monetary policy. Fiscal deficit could be financed either from domestic or external</w:t>
      </w:r>
      <w:r>
        <w:rPr>
          <w:rFonts w:ascii="Times New Roman" w:hAnsi="Times New Roman" w:cs="Times New Roman"/>
          <w:sz w:val="24"/>
          <w:szCs w:val="24"/>
        </w:rPr>
        <w:t xml:space="preserve"> sources. In the view of Garba (2023</w:t>
      </w:r>
      <w:r w:rsidRPr="00C92F2F">
        <w:rPr>
          <w:rFonts w:ascii="Times New Roman" w:hAnsi="Times New Roman" w:cs="Times New Roman"/>
          <w:sz w:val="24"/>
          <w:szCs w:val="24"/>
        </w:rPr>
        <w:t>) under threshold of fiscal deficit, a moderate amount of budget deficit not exceeding 4% of GDP is not inimical to the process of economic growth in any country.</w:t>
      </w:r>
    </w:p>
    <w:p w14:paraId="2E5EB2B6" w14:textId="77777777" w:rsidR="004F1733" w:rsidRPr="00C92F2F" w:rsidRDefault="004F1733" w:rsidP="00E20786">
      <w:pPr>
        <w:pStyle w:val="NoSpacing"/>
        <w:spacing w:line="360" w:lineRule="auto"/>
        <w:ind w:firstLine="720"/>
        <w:jc w:val="both"/>
        <w:rPr>
          <w:rFonts w:ascii="Times New Roman" w:hAnsi="Times New Roman" w:cs="Times New Roman"/>
          <w:sz w:val="24"/>
          <w:szCs w:val="24"/>
        </w:rPr>
      </w:pPr>
      <w:r w:rsidRPr="00C92F2F">
        <w:rPr>
          <w:rFonts w:ascii="Times New Roman" w:hAnsi="Times New Roman" w:cs="Times New Roman"/>
          <w:sz w:val="24"/>
          <w:szCs w:val="24"/>
        </w:rPr>
        <w:t xml:space="preserve">The asymmetric effect of fiscal policy centers on the premises that a reduction in government expenditure is accompanied by a reduction in the general price level, thereby providing stability in the market .In the literature, according to </w:t>
      </w:r>
      <w:proofErr w:type="spellStart"/>
      <w:r w:rsidRPr="00C92F2F">
        <w:rPr>
          <w:rFonts w:ascii="Times New Roman" w:hAnsi="Times New Roman" w:cs="Times New Roman"/>
          <w:sz w:val="24"/>
          <w:szCs w:val="24"/>
        </w:rPr>
        <w:t>Saliu</w:t>
      </w:r>
      <w:proofErr w:type="spellEnd"/>
      <w:r w:rsidRPr="00C92F2F">
        <w:rPr>
          <w:rFonts w:ascii="Times New Roman" w:hAnsi="Times New Roman" w:cs="Times New Roman"/>
          <w:sz w:val="24"/>
          <w:szCs w:val="24"/>
        </w:rPr>
        <w:t xml:space="preserve"> (2019), </w:t>
      </w:r>
      <w:proofErr w:type="spellStart"/>
      <w:r w:rsidRPr="00C92F2F">
        <w:rPr>
          <w:rFonts w:ascii="Times New Roman" w:hAnsi="Times New Roman" w:cs="Times New Roman"/>
          <w:sz w:val="24"/>
          <w:szCs w:val="24"/>
        </w:rPr>
        <w:t>Ogun</w:t>
      </w:r>
      <w:r>
        <w:rPr>
          <w:rFonts w:ascii="Times New Roman" w:hAnsi="Times New Roman" w:cs="Times New Roman"/>
          <w:sz w:val="24"/>
          <w:szCs w:val="24"/>
        </w:rPr>
        <w:t>t</w:t>
      </w:r>
      <w:r w:rsidRPr="00C92F2F">
        <w:rPr>
          <w:rFonts w:ascii="Times New Roman" w:hAnsi="Times New Roman" w:cs="Times New Roman"/>
          <w:sz w:val="24"/>
          <w:szCs w:val="24"/>
        </w:rPr>
        <w:t>oye</w:t>
      </w:r>
      <w:proofErr w:type="spellEnd"/>
      <w:r w:rsidRPr="00C92F2F">
        <w:rPr>
          <w:rFonts w:ascii="Times New Roman" w:hAnsi="Times New Roman" w:cs="Times New Roman"/>
          <w:sz w:val="24"/>
          <w:szCs w:val="24"/>
        </w:rPr>
        <w:t xml:space="preserve"> and </w:t>
      </w:r>
      <w:proofErr w:type="spellStart"/>
      <w:r w:rsidRPr="00C92F2F">
        <w:rPr>
          <w:rFonts w:ascii="Times New Roman" w:hAnsi="Times New Roman" w:cs="Times New Roman"/>
          <w:sz w:val="24"/>
          <w:szCs w:val="24"/>
        </w:rPr>
        <w:t>Ogunsakin</w:t>
      </w:r>
      <w:proofErr w:type="spellEnd"/>
      <w:r w:rsidRPr="00C92F2F">
        <w:rPr>
          <w:rFonts w:ascii="Times New Roman" w:hAnsi="Times New Roman" w:cs="Times New Roman"/>
          <w:sz w:val="24"/>
          <w:szCs w:val="24"/>
        </w:rPr>
        <w:t xml:space="preserve"> (2019), there are some reasons for asymmetric effect among which we have the fact that if wages and prices are sticky downward, a contractionary government expenditure shock increases its prices response more to an increase than a reduction in government</w:t>
      </w:r>
      <w:r>
        <w:rPr>
          <w:rFonts w:ascii="Times New Roman" w:hAnsi="Times New Roman" w:cs="Times New Roman"/>
          <w:sz w:val="24"/>
          <w:szCs w:val="24"/>
        </w:rPr>
        <w:t xml:space="preserve"> </w:t>
      </w:r>
      <w:r w:rsidRPr="00C92F2F">
        <w:rPr>
          <w:rFonts w:ascii="Times New Roman" w:hAnsi="Times New Roman" w:cs="Times New Roman"/>
          <w:sz w:val="24"/>
          <w:szCs w:val="24"/>
        </w:rPr>
        <w:t xml:space="preserve">expenditure. At the same time, when wage and prices are perfectly flexible and output equals full </w:t>
      </w:r>
      <w:r w:rsidRPr="00C92F2F">
        <w:rPr>
          <w:rFonts w:ascii="Times New Roman" w:hAnsi="Times New Roman" w:cs="Times New Roman"/>
          <w:sz w:val="24"/>
          <w:szCs w:val="24"/>
        </w:rPr>
        <w:lastRenderedPageBreak/>
        <w:t>employment level, there will</w:t>
      </w:r>
      <w:r w:rsidR="00F12F00">
        <w:rPr>
          <w:rFonts w:ascii="Times New Roman" w:hAnsi="Times New Roman" w:cs="Times New Roman"/>
          <w:sz w:val="24"/>
          <w:szCs w:val="24"/>
        </w:rPr>
        <w:t xml:space="preserve"> be</w:t>
      </w:r>
      <w:r w:rsidRPr="00C92F2F">
        <w:rPr>
          <w:rFonts w:ascii="Times New Roman" w:hAnsi="Times New Roman" w:cs="Times New Roman"/>
          <w:sz w:val="24"/>
          <w:szCs w:val="24"/>
        </w:rPr>
        <w:t xml:space="preserve"> an increase in government spending which reduces output. Also, an increase in interest rate in the face of expansionary government expenditure shocks while there is no evidence of a decrease in interest rates would be different to the expansionary and contractionary </w:t>
      </w:r>
      <w:r>
        <w:rPr>
          <w:rFonts w:ascii="Times New Roman" w:hAnsi="Times New Roman" w:cs="Times New Roman"/>
          <w:sz w:val="24"/>
          <w:szCs w:val="24"/>
        </w:rPr>
        <w:t>shocks as noted by Kandil</w:t>
      </w:r>
      <w:r w:rsidRPr="00C92F2F">
        <w:rPr>
          <w:rFonts w:ascii="Times New Roman" w:hAnsi="Times New Roman" w:cs="Times New Roman"/>
          <w:sz w:val="24"/>
          <w:szCs w:val="24"/>
        </w:rPr>
        <w:t xml:space="preserve"> (200</w:t>
      </w:r>
      <w:r>
        <w:rPr>
          <w:rFonts w:ascii="Times New Roman" w:hAnsi="Times New Roman" w:cs="Times New Roman"/>
          <w:sz w:val="24"/>
          <w:szCs w:val="24"/>
        </w:rPr>
        <w:t>1) and cited by Hakan and Burak (2003</w:t>
      </w:r>
      <w:r w:rsidRPr="00C92F2F">
        <w:rPr>
          <w:rFonts w:ascii="Times New Roman" w:hAnsi="Times New Roman" w:cs="Times New Roman"/>
          <w:sz w:val="24"/>
          <w:szCs w:val="24"/>
        </w:rPr>
        <w:t>). The economic outcome of asymmetric effect of fiscal deficit on key macroeconomic variables might be impacted and in variation from the perception and expectations of the public. If it is construed to be permanent by the public, the expansionary shock will increase aggregate demand but if it is perceived to be temporary by the public, then, the expansionary government expenditure shock will not have much effect on aggregate demand. Thus, if an increase in government expenditure is assumed to be permanent but the reduction in government expenditure is assumed to be transitory, the effect of contractionary and expansionary fiscal policy on overall macroeconomic management will be asymmetric.</w:t>
      </w:r>
    </w:p>
    <w:p w14:paraId="01FAC65D" w14:textId="77777777" w:rsidR="00315A74" w:rsidRPr="00C92F2F" w:rsidRDefault="00315A74" w:rsidP="00E20786">
      <w:pPr>
        <w:pStyle w:val="NoSpacing"/>
        <w:spacing w:line="360" w:lineRule="auto"/>
        <w:ind w:firstLine="720"/>
        <w:jc w:val="both"/>
        <w:rPr>
          <w:rFonts w:ascii="Times New Roman" w:hAnsi="Times New Roman" w:cs="Times New Roman"/>
          <w:sz w:val="24"/>
          <w:szCs w:val="24"/>
        </w:rPr>
      </w:pPr>
      <w:r w:rsidRPr="00C92F2F">
        <w:rPr>
          <w:rFonts w:ascii="Times New Roman" w:hAnsi="Times New Roman" w:cs="Times New Roman"/>
          <w:sz w:val="24"/>
          <w:szCs w:val="24"/>
        </w:rPr>
        <w:t xml:space="preserve">The issue of the </w:t>
      </w:r>
      <w:r>
        <w:rPr>
          <w:rFonts w:ascii="Times New Roman" w:hAnsi="Times New Roman" w:cs="Times New Roman"/>
          <w:sz w:val="24"/>
          <w:szCs w:val="24"/>
        </w:rPr>
        <w:t>connection</w:t>
      </w:r>
      <w:r w:rsidRPr="00C92F2F">
        <w:rPr>
          <w:rFonts w:ascii="Times New Roman" w:hAnsi="Times New Roman" w:cs="Times New Roman"/>
          <w:sz w:val="24"/>
          <w:szCs w:val="24"/>
        </w:rPr>
        <w:t xml:space="preserve"> between fiscal deficit and macroeconomic variables has been </w:t>
      </w:r>
      <w:r>
        <w:rPr>
          <w:rFonts w:ascii="Times New Roman" w:hAnsi="Times New Roman" w:cs="Times New Roman"/>
          <w:sz w:val="24"/>
          <w:szCs w:val="24"/>
        </w:rPr>
        <w:t>a contentious</w:t>
      </w:r>
      <w:r w:rsidRPr="00C92F2F">
        <w:rPr>
          <w:rFonts w:ascii="Times New Roman" w:hAnsi="Times New Roman" w:cs="Times New Roman"/>
          <w:sz w:val="24"/>
          <w:szCs w:val="24"/>
        </w:rPr>
        <w:t xml:space="preserve"> discussion both </w:t>
      </w:r>
      <w:r>
        <w:rPr>
          <w:rFonts w:ascii="Times New Roman" w:hAnsi="Times New Roman" w:cs="Times New Roman"/>
          <w:sz w:val="24"/>
          <w:szCs w:val="24"/>
        </w:rPr>
        <w:t xml:space="preserve">in </w:t>
      </w:r>
      <w:r w:rsidRPr="00C92F2F">
        <w:rPr>
          <w:rFonts w:ascii="Times New Roman" w:hAnsi="Times New Roman" w:cs="Times New Roman"/>
          <w:sz w:val="24"/>
          <w:szCs w:val="24"/>
        </w:rPr>
        <w:t xml:space="preserve">theoretical and empirical literature. On theoretical grounds, there are three basic schools of thought that produced contradictory theoretical stands on the issue. According to Keynesian school, fiscal deficit or deficit spending has positive multiple effects on national output. This is based on the fact that an increase in marginal propensity to consume as a result of an increase in government spending will stimulate investment in the economy. To neoclassical economists, fiscal deficit is the major factor behind macroeconomic instability as a result of fluctuations in government spending which comes from high cost of financing fiscal deficit. In the view of </w:t>
      </w:r>
      <w:proofErr w:type="spellStart"/>
      <w:r w:rsidRPr="00C92F2F">
        <w:rPr>
          <w:rFonts w:ascii="Times New Roman" w:hAnsi="Times New Roman" w:cs="Times New Roman"/>
          <w:sz w:val="24"/>
          <w:szCs w:val="24"/>
        </w:rPr>
        <w:t>Ricandian</w:t>
      </w:r>
      <w:proofErr w:type="spellEnd"/>
      <w:r>
        <w:rPr>
          <w:rFonts w:ascii="Times New Roman" w:hAnsi="Times New Roman" w:cs="Times New Roman"/>
          <w:sz w:val="24"/>
          <w:szCs w:val="24"/>
        </w:rPr>
        <w:t xml:space="preserve"> School;</w:t>
      </w:r>
      <w:r w:rsidRPr="00C92F2F">
        <w:rPr>
          <w:rFonts w:ascii="Times New Roman" w:hAnsi="Times New Roman" w:cs="Times New Roman"/>
          <w:sz w:val="24"/>
          <w:szCs w:val="24"/>
        </w:rPr>
        <w:t xml:space="preserve"> there is no strong relationship between fiscal deficit and economic growth. However, these divergent views in theoretical literature are yet to be resolved.</w:t>
      </w:r>
    </w:p>
    <w:p w14:paraId="0C9893E3" w14:textId="77777777" w:rsidR="00D62BAA" w:rsidRDefault="00315A74" w:rsidP="00E20786">
      <w:pPr>
        <w:pStyle w:val="NoSpacing"/>
        <w:spacing w:line="360" w:lineRule="auto"/>
        <w:ind w:firstLine="720"/>
        <w:jc w:val="both"/>
        <w:rPr>
          <w:rFonts w:ascii="Times New Roman" w:hAnsi="Times New Roman" w:cs="Times New Roman"/>
          <w:sz w:val="24"/>
          <w:szCs w:val="24"/>
        </w:rPr>
      </w:pPr>
      <w:r w:rsidRPr="00C92F2F">
        <w:rPr>
          <w:rFonts w:ascii="Times New Roman" w:hAnsi="Times New Roman" w:cs="Times New Roman"/>
          <w:sz w:val="24"/>
          <w:szCs w:val="24"/>
        </w:rPr>
        <w:t xml:space="preserve">Empirically, there has been no remarkable success in uncovering a strong statistical relationship among fiscal deficit, inflation and economic growth especially in African countries. For instance, Wallace (1981), </w:t>
      </w:r>
      <w:proofErr w:type="spellStart"/>
      <w:r w:rsidRPr="00C92F2F">
        <w:rPr>
          <w:rFonts w:ascii="Times New Roman" w:hAnsi="Times New Roman" w:cs="Times New Roman"/>
          <w:sz w:val="24"/>
          <w:szCs w:val="24"/>
        </w:rPr>
        <w:t>Defaan</w:t>
      </w:r>
      <w:proofErr w:type="spellEnd"/>
      <w:r w:rsidRPr="00C92F2F">
        <w:rPr>
          <w:rFonts w:ascii="Times New Roman" w:hAnsi="Times New Roman" w:cs="Times New Roman"/>
          <w:sz w:val="24"/>
          <w:szCs w:val="24"/>
        </w:rPr>
        <w:t xml:space="preserve"> and </w:t>
      </w:r>
      <w:proofErr w:type="spellStart"/>
      <w:r w:rsidRPr="00C92F2F">
        <w:rPr>
          <w:rFonts w:ascii="Times New Roman" w:hAnsi="Times New Roman" w:cs="Times New Roman"/>
          <w:sz w:val="24"/>
          <w:szCs w:val="24"/>
        </w:rPr>
        <w:t>Zelhort</w:t>
      </w:r>
      <w:proofErr w:type="spellEnd"/>
      <w:r w:rsidRPr="00C92F2F">
        <w:rPr>
          <w:rFonts w:ascii="Times New Roman" w:hAnsi="Times New Roman" w:cs="Times New Roman"/>
          <w:sz w:val="24"/>
          <w:szCs w:val="24"/>
        </w:rPr>
        <w:t xml:space="preserve"> (1990), Sahay and</w:t>
      </w:r>
      <w:r>
        <w:rPr>
          <w:rFonts w:ascii="Times New Roman" w:hAnsi="Times New Roman" w:cs="Times New Roman"/>
          <w:sz w:val="24"/>
          <w:szCs w:val="24"/>
        </w:rPr>
        <w:t xml:space="preserve"> </w:t>
      </w:r>
      <w:proofErr w:type="spellStart"/>
      <w:r>
        <w:rPr>
          <w:rFonts w:ascii="Times New Roman" w:hAnsi="Times New Roman" w:cs="Times New Roman"/>
          <w:sz w:val="24"/>
          <w:szCs w:val="24"/>
        </w:rPr>
        <w:t>Yegh</w:t>
      </w:r>
      <w:proofErr w:type="spellEnd"/>
      <w:r>
        <w:rPr>
          <w:rFonts w:ascii="Times New Roman" w:hAnsi="Times New Roman" w:cs="Times New Roman"/>
          <w:sz w:val="24"/>
          <w:szCs w:val="24"/>
        </w:rPr>
        <w:t xml:space="preserve"> (2002</w:t>
      </w:r>
      <w:proofErr w:type="gramStart"/>
      <w:r>
        <w:rPr>
          <w:rFonts w:ascii="Times New Roman" w:hAnsi="Times New Roman" w:cs="Times New Roman"/>
          <w:sz w:val="24"/>
          <w:szCs w:val="24"/>
        </w:rPr>
        <w:t xml:space="preserve">), </w:t>
      </w:r>
      <w:r w:rsidRPr="00C92F2F">
        <w:rPr>
          <w:rFonts w:ascii="Times New Roman" w:hAnsi="Times New Roman" w:cs="Times New Roman"/>
          <w:sz w:val="24"/>
          <w:szCs w:val="24"/>
        </w:rPr>
        <w:t xml:space="preserve"> in</w:t>
      </w:r>
      <w:proofErr w:type="gramEnd"/>
      <w:r w:rsidRPr="00C92F2F">
        <w:rPr>
          <w:rFonts w:ascii="Times New Roman" w:hAnsi="Times New Roman" w:cs="Times New Roman"/>
          <w:sz w:val="24"/>
          <w:szCs w:val="24"/>
        </w:rPr>
        <w:t xml:space="preserve"> their various studies discovered strong positive and  statistically significant relationship between fiscal deficit and inflations while King and</w:t>
      </w:r>
      <w:r>
        <w:rPr>
          <w:rFonts w:ascii="Times New Roman" w:hAnsi="Times New Roman" w:cs="Times New Roman"/>
          <w:sz w:val="24"/>
          <w:szCs w:val="24"/>
        </w:rPr>
        <w:t xml:space="preserve"> </w:t>
      </w:r>
      <w:proofErr w:type="spellStart"/>
      <w:r>
        <w:rPr>
          <w:rFonts w:ascii="Times New Roman" w:hAnsi="Times New Roman" w:cs="Times New Roman"/>
          <w:sz w:val="24"/>
          <w:szCs w:val="24"/>
        </w:rPr>
        <w:t>Plossers</w:t>
      </w:r>
      <w:proofErr w:type="spellEnd"/>
      <w:r>
        <w:rPr>
          <w:rFonts w:ascii="Times New Roman" w:hAnsi="Times New Roman" w:cs="Times New Roman"/>
          <w:sz w:val="24"/>
          <w:szCs w:val="24"/>
        </w:rPr>
        <w:t xml:space="preserve"> (1985), Sowa (1994),</w:t>
      </w:r>
      <w:r w:rsidRPr="00C92F2F">
        <w:rPr>
          <w:rFonts w:ascii="Times New Roman" w:hAnsi="Times New Roman" w:cs="Times New Roman"/>
          <w:sz w:val="24"/>
          <w:szCs w:val="24"/>
        </w:rPr>
        <w:t xml:space="preserve"> discovered insignificant relationship between budget deficit an</w:t>
      </w:r>
      <w:r>
        <w:rPr>
          <w:rFonts w:ascii="Times New Roman" w:hAnsi="Times New Roman" w:cs="Times New Roman"/>
          <w:sz w:val="24"/>
          <w:szCs w:val="24"/>
        </w:rPr>
        <w:t xml:space="preserve">d inflation. </w:t>
      </w:r>
      <w:proofErr w:type="spellStart"/>
      <w:r w:rsidRPr="00C92F2F">
        <w:rPr>
          <w:rFonts w:ascii="Times New Roman" w:hAnsi="Times New Roman" w:cs="Times New Roman"/>
          <w:sz w:val="24"/>
          <w:szCs w:val="24"/>
        </w:rPr>
        <w:t>Onwioduoki</w:t>
      </w:r>
      <w:proofErr w:type="spellEnd"/>
      <w:r w:rsidRPr="00C92F2F">
        <w:rPr>
          <w:rFonts w:ascii="Times New Roman" w:hAnsi="Times New Roman" w:cs="Times New Roman"/>
          <w:sz w:val="24"/>
          <w:szCs w:val="24"/>
        </w:rPr>
        <w:t xml:space="preserve"> and </w:t>
      </w:r>
      <w:proofErr w:type="spellStart"/>
      <w:r w:rsidRPr="00C92F2F">
        <w:rPr>
          <w:rFonts w:ascii="Times New Roman" w:hAnsi="Times New Roman" w:cs="Times New Roman"/>
          <w:sz w:val="24"/>
          <w:szCs w:val="24"/>
        </w:rPr>
        <w:t>Ekong</w:t>
      </w:r>
      <w:proofErr w:type="spellEnd"/>
      <w:r w:rsidRPr="00C92F2F">
        <w:rPr>
          <w:rFonts w:ascii="Times New Roman" w:hAnsi="Times New Roman" w:cs="Times New Roman"/>
          <w:sz w:val="24"/>
          <w:szCs w:val="24"/>
        </w:rPr>
        <w:t xml:space="preserve"> (2015) and </w:t>
      </w:r>
      <w:proofErr w:type="spellStart"/>
      <w:r w:rsidRPr="00C92F2F">
        <w:rPr>
          <w:rFonts w:ascii="Times New Roman" w:hAnsi="Times New Roman" w:cs="Times New Roman"/>
          <w:sz w:val="24"/>
          <w:szCs w:val="24"/>
        </w:rPr>
        <w:t>Egeabasile</w:t>
      </w:r>
      <w:proofErr w:type="spellEnd"/>
      <w:r w:rsidRPr="00C92F2F">
        <w:rPr>
          <w:rFonts w:ascii="Times New Roman" w:hAnsi="Times New Roman" w:cs="Times New Roman"/>
          <w:sz w:val="24"/>
          <w:szCs w:val="24"/>
        </w:rPr>
        <w:t xml:space="preserve"> and </w:t>
      </w:r>
      <w:proofErr w:type="spellStart"/>
      <w:r w:rsidRPr="00C92F2F">
        <w:rPr>
          <w:rFonts w:ascii="Times New Roman" w:hAnsi="Times New Roman" w:cs="Times New Roman"/>
          <w:sz w:val="24"/>
          <w:szCs w:val="24"/>
        </w:rPr>
        <w:t>Tsegba</w:t>
      </w:r>
      <w:proofErr w:type="spellEnd"/>
      <w:r w:rsidRPr="00C92F2F">
        <w:rPr>
          <w:rFonts w:ascii="Times New Roman" w:hAnsi="Times New Roman" w:cs="Times New Roman"/>
          <w:sz w:val="24"/>
          <w:szCs w:val="24"/>
        </w:rPr>
        <w:t xml:space="preserve"> (2012) have confirmed positive and statistically significant relationship among fiscal deficit, inflation and economic growth. But </w:t>
      </w:r>
      <w:proofErr w:type="spellStart"/>
      <w:r w:rsidRPr="00C92F2F">
        <w:rPr>
          <w:rFonts w:ascii="Times New Roman" w:hAnsi="Times New Roman" w:cs="Times New Roman"/>
          <w:sz w:val="24"/>
          <w:szCs w:val="24"/>
        </w:rPr>
        <w:t>lhori</w:t>
      </w:r>
      <w:proofErr w:type="spellEnd"/>
      <w:r w:rsidRPr="00C92F2F">
        <w:rPr>
          <w:rFonts w:ascii="Times New Roman" w:hAnsi="Times New Roman" w:cs="Times New Roman"/>
          <w:sz w:val="24"/>
          <w:szCs w:val="24"/>
        </w:rPr>
        <w:t xml:space="preserve"> (2004), Mohanty (201</w:t>
      </w:r>
      <w:r>
        <w:rPr>
          <w:rFonts w:ascii="Times New Roman" w:hAnsi="Times New Roman" w:cs="Times New Roman"/>
          <w:sz w:val="24"/>
          <w:szCs w:val="24"/>
        </w:rPr>
        <w:t>4), Jorge and Av</w:t>
      </w:r>
      <w:r w:rsidRPr="00C92F2F">
        <w:rPr>
          <w:rFonts w:ascii="Times New Roman" w:hAnsi="Times New Roman" w:cs="Times New Roman"/>
          <w:sz w:val="24"/>
          <w:szCs w:val="24"/>
        </w:rPr>
        <w:t xml:space="preserve">ila (2011) found negative and statistically significant relationship between fiscal deficit, and macroeconomic variables. However, most of the previous studies cited above have some methodological deficiencies. For instance, majority of the pioneering studies </w:t>
      </w:r>
      <w:r w:rsidRPr="00C92F2F">
        <w:rPr>
          <w:rFonts w:ascii="Times New Roman" w:hAnsi="Times New Roman" w:cs="Times New Roman"/>
          <w:sz w:val="24"/>
          <w:szCs w:val="24"/>
        </w:rPr>
        <w:lastRenderedPageBreak/>
        <w:t>employed Ordinary Least Square (OLS) which always exhibits spurious regressions. Besides, many of the studies were unable to compare the relationship between fiscal deficit and macroeconomic variables before and after the global financial crisis. If this is not done, symmetric or asymmetric relationship may not be well established.</w:t>
      </w:r>
      <w:r w:rsidR="00D62BAA">
        <w:rPr>
          <w:rFonts w:ascii="Times New Roman" w:hAnsi="Times New Roman" w:cs="Times New Roman"/>
          <w:sz w:val="24"/>
          <w:szCs w:val="24"/>
        </w:rPr>
        <w:t xml:space="preserve"> </w:t>
      </w:r>
    </w:p>
    <w:p w14:paraId="546E247D" w14:textId="77777777" w:rsidR="00D62BAA" w:rsidRDefault="00D62BAA" w:rsidP="00E20786">
      <w:pPr>
        <w:pStyle w:val="NoSpacing"/>
        <w:spacing w:line="360" w:lineRule="auto"/>
        <w:ind w:firstLine="720"/>
        <w:jc w:val="both"/>
        <w:rPr>
          <w:rFonts w:ascii="Times New Roman" w:eastAsia="Times New Roman" w:hAnsi="Times New Roman" w:cs="Times New Roman"/>
          <w:color w:val="000000"/>
          <w:sz w:val="24"/>
          <w:szCs w:val="24"/>
          <w:lang w:val="en-GB" w:eastAsia="en-GB"/>
        </w:rPr>
      </w:pPr>
      <w:r w:rsidRPr="00D62BAA">
        <w:rPr>
          <w:rFonts w:ascii="Times New Roman" w:eastAsia="Times New Roman" w:hAnsi="Times New Roman" w:cs="Times New Roman"/>
          <w:color w:val="000000"/>
          <w:sz w:val="24"/>
          <w:szCs w:val="24"/>
          <w:lang w:eastAsia="en-GB"/>
        </w:rPr>
        <w:t xml:space="preserve">The paper is organized into five sections. Following these introductory remarks is a section on the review of the empirical literature. This is followed by the research methods, the results and discussion in section three and four respectively. The study ends in section five with </w:t>
      </w:r>
      <w:r w:rsidRPr="00D62BAA">
        <w:rPr>
          <w:rFonts w:ascii="Times New Roman" w:eastAsia="Times New Roman" w:hAnsi="Times New Roman" w:cs="Times New Roman"/>
          <w:color w:val="000000"/>
          <w:sz w:val="24"/>
          <w:szCs w:val="24"/>
          <w:lang w:val="en-GB" w:eastAsia="en-GB"/>
        </w:rPr>
        <w:t>concluding remarks.</w:t>
      </w:r>
    </w:p>
    <w:p w14:paraId="207AA2A6" w14:textId="77777777" w:rsidR="004E6F70" w:rsidRDefault="003666B8" w:rsidP="004E6F70">
      <w:pPr>
        <w:pStyle w:val="NoSpacing"/>
        <w:spacing w:line="360" w:lineRule="auto"/>
        <w:jc w:val="both"/>
        <w:rPr>
          <w:rFonts w:ascii="Times New Roman" w:eastAsia="Times New Roman" w:hAnsi="Times New Roman" w:cs="Times New Roman"/>
          <w:b/>
          <w:color w:val="000000"/>
          <w:sz w:val="24"/>
          <w:szCs w:val="24"/>
          <w:lang w:val="en-GB" w:eastAsia="en-GB"/>
        </w:rPr>
      </w:pPr>
      <w:r w:rsidRPr="004E6F70">
        <w:rPr>
          <w:rFonts w:ascii="Times New Roman" w:eastAsia="Times New Roman" w:hAnsi="Times New Roman" w:cs="Times New Roman"/>
          <w:b/>
          <w:color w:val="000000"/>
          <w:sz w:val="24"/>
          <w:szCs w:val="24"/>
          <w:lang w:val="en-GB" w:eastAsia="en-GB"/>
        </w:rPr>
        <w:t>2.0</w:t>
      </w:r>
      <w:r>
        <w:rPr>
          <w:rFonts w:ascii="Times New Roman" w:eastAsia="Times New Roman" w:hAnsi="Times New Roman" w:cs="Times New Roman"/>
          <w:color w:val="000000"/>
          <w:sz w:val="24"/>
          <w:szCs w:val="24"/>
          <w:lang w:val="en-GB" w:eastAsia="en-GB"/>
        </w:rPr>
        <w:t xml:space="preserve"> </w:t>
      </w:r>
      <w:r w:rsidR="00E20786" w:rsidRPr="004E6F70">
        <w:rPr>
          <w:rFonts w:ascii="Times New Roman" w:eastAsia="Times New Roman" w:hAnsi="Times New Roman" w:cs="Times New Roman"/>
          <w:b/>
          <w:color w:val="000000"/>
          <w:sz w:val="24"/>
          <w:szCs w:val="24"/>
          <w:lang w:val="en-GB" w:eastAsia="en-GB"/>
        </w:rPr>
        <w:t>Literature Review</w:t>
      </w:r>
    </w:p>
    <w:p w14:paraId="1BBE7D4B" w14:textId="77777777" w:rsidR="004E6F70" w:rsidRDefault="004E6F70" w:rsidP="004E6F70">
      <w:pPr>
        <w:spacing w:after="0" w:line="360" w:lineRule="auto"/>
        <w:rPr>
          <w:rFonts w:ascii="Times New Roman" w:hAnsi="Times New Roman" w:cs="Times New Roman"/>
          <w:b/>
          <w:sz w:val="24"/>
          <w:szCs w:val="24"/>
          <w:lang w:val="en-US"/>
        </w:rPr>
      </w:pPr>
      <w:r>
        <w:rPr>
          <w:rFonts w:ascii="Times New Roman" w:eastAsia="Times New Roman" w:hAnsi="Times New Roman" w:cs="Times New Roman"/>
          <w:b/>
          <w:color w:val="000000"/>
          <w:sz w:val="24"/>
          <w:szCs w:val="24"/>
          <w:lang w:eastAsia="en-GB"/>
        </w:rPr>
        <w:t xml:space="preserve">2.1 </w:t>
      </w:r>
      <w:r>
        <w:rPr>
          <w:rFonts w:ascii="Times New Roman" w:hAnsi="Times New Roman" w:cs="Times New Roman"/>
          <w:b/>
          <w:sz w:val="24"/>
          <w:szCs w:val="24"/>
          <w:lang w:val="en-US"/>
        </w:rPr>
        <w:t xml:space="preserve">Conceptual Issues </w:t>
      </w:r>
    </w:p>
    <w:p w14:paraId="75D9688E" w14:textId="77777777" w:rsidR="003666B8" w:rsidRDefault="004E6F70" w:rsidP="004E6F70">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2.1.1 </w:t>
      </w:r>
      <w:r w:rsidR="003666B8" w:rsidRPr="00F900D3">
        <w:rPr>
          <w:rFonts w:ascii="Times New Roman" w:hAnsi="Times New Roman" w:cs="Times New Roman"/>
          <w:b/>
          <w:sz w:val="24"/>
          <w:szCs w:val="24"/>
          <w:lang w:val="en-US"/>
        </w:rPr>
        <w:t xml:space="preserve">Concept of Fiscal Deficit </w:t>
      </w:r>
    </w:p>
    <w:p w14:paraId="308D0646" w14:textId="77777777" w:rsidR="004E6F70" w:rsidRPr="004E6F70" w:rsidRDefault="003666B8" w:rsidP="00E20786">
      <w:pPr>
        <w:spacing w:after="0" w:line="360" w:lineRule="auto"/>
        <w:jc w:val="both"/>
        <w:rPr>
          <w:rFonts w:ascii="Times New Roman" w:hAnsi="Times New Roman" w:cs="Times New Roman"/>
          <w:sz w:val="24"/>
          <w:szCs w:val="24"/>
        </w:rPr>
      </w:pPr>
      <w:r w:rsidRPr="009B5F4F">
        <w:rPr>
          <w:rFonts w:ascii="Times New Roman" w:hAnsi="Times New Roman" w:cs="Times New Roman"/>
          <w:sz w:val="24"/>
          <w:szCs w:val="24"/>
        </w:rPr>
        <w:t xml:space="preserve">The difference between revenue and expenditure could be deficit or surplus. However, when the expected government expenditure exceeds expected government revenue in a fiscal year, this is termed as fiscal deficit. Ross (2015) sees fiscal deficit as a situation where government spends more than what it takes as revenue as a fiscal year. This imbalance is sometimes known as the current </w:t>
      </w:r>
      <w:proofErr w:type="gramStart"/>
      <w:r w:rsidRPr="009B5F4F">
        <w:rPr>
          <w:rFonts w:ascii="Times New Roman" w:hAnsi="Times New Roman" w:cs="Times New Roman"/>
          <w:sz w:val="24"/>
          <w:szCs w:val="24"/>
        </w:rPr>
        <w:t>accounts</w:t>
      </w:r>
      <w:proofErr w:type="gramEnd"/>
      <w:r w:rsidRPr="009B5F4F">
        <w:rPr>
          <w:rFonts w:ascii="Times New Roman" w:hAnsi="Times New Roman" w:cs="Times New Roman"/>
          <w:sz w:val="24"/>
          <w:szCs w:val="24"/>
        </w:rPr>
        <w:t xml:space="preserve"> deficit or budget deficit and this is not limited to developing countries but cuts across every nations.</w:t>
      </w:r>
      <w:r w:rsidRPr="009B5F4F">
        <w:rPr>
          <w:rFonts w:ascii="Times New Roman" w:hAnsi="Times New Roman" w:cs="Times New Roman"/>
          <w:b/>
          <w:sz w:val="24"/>
          <w:szCs w:val="24"/>
          <w:lang w:val="en-US"/>
        </w:rPr>
        <w:t xml:space="preserve"> </w:t>
      </w:r>
      <w:r w:rsidRPr="009B5F4F">
        <w:rPr>
          <w:rFonts w:ascii="Times New Roman" w:hAnsi="Times New Roman" w:cs="Times New Roman"/>
          <w:sz w:val="24"/>
          <w:szCs w:val="24"/>
        </w:rPr>
        <w:t>Fiscal deficit, therefore, can be seen as a situation where government plans to spend more in a year than the revenue it expects to collect. In this case, the government experiences a budget deficit equal to the amount by which the expenditure exceeds the revenue. In other words, budget deficit is the amount of that extra expenditure the government wants to undertake above the expected revenue (</w:t>
      </w:r>
      <w:proofErr w:type="spellStart"/>
      <w:r w:rsidRPr="009B5F4F">
        <w:rPr>
          <w:rFonts w:ascii="Times New Roman" w:hAnsi="Times New Roman" w:cs="Times New Roman"/>
          <w:sz w:val="24"/>
          <w:szCs w:val="24"/>
        </w:rPr>
        <w:t>Akpakpan</w:t>
      </w:r>
      <w:proofErr w:type="spellEnd"/>
      <w:r w:rsidRPr="009B5F4F">
        <w:rPr>
          <w:rFonts w:ascii="Times New Roman" w:hAnsi="Times New Roman" w:cs="Times New Roman"/>
          <w:sz w:val="24"/>
          <w:szCs w:val="24"/>
        </w:rPr>
        <w:t>, 1999). The World Bank (2005) described fiscal deficit as an excess of the public sector spending over its revenue. A fiscal deficit arises when government outlays exceed its revenue. While government revenue comprises tax and non-tax revenue, government outlays are made up of recurrent and capital expenditures. Recurrent expenditure is expenditure on wage payments, purchase of goods and services, interest payment on loans, transfer payments, etc. Capital expenditures, on the other hand, are expenditures on capital projects such as buildings of infrastructural facilities and some projects which are deemed beneficial and self-liquidating in the long run and will lead to expansion of the productive capacity of the economy (Ekpo et al., 2022). According to Krugman (2009), deficit financing is a normal economic condition. The high public investment in the economy makes a better economy among which fiscal stimulation leads to more investments and raises the future potentials of the economy. From the point of view of Gyorgy (2009), Deficit financing in advanced countries is use to improve it capital ratios, while in underdeveloped countries it is use for increasing demand</w:t>
      </w:r>
      <w:r w:rsidR="004E6F70">
        <w:rPr>
          <w:rFonts w:ascii="Times New Roman" w:hAnsi="Times New Roman" w:cs="Times New Roman"/>
          <w:sz w:val="24"/>
          <w:szCs w:val="24"/>
        </w:rPr>
        <w:t>.</w:t>
      </w:r>
    </w:p>
    <w:p w14:paraId="2D367A7B" w14:textId="77777777" w:rsidR="003666B8" w:rsidRDefault="004E6F70" w:rsidP="00E20786">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2.1.2 </w:t>
      </w:r>
      <w:r w:rsidR="003666B8">
        <w:rPr>
          <w:rFonts w:ascii="Times New Roman" w:hAnsi="Times New Roman" w:cs="Times New Roman"/>
          <w:b/>
          <w:sz w:val="24"/>
          <w:szCs w:val="24"/>
          <w:lang w:val="en-US"/>
        </w:rPr>
        <w:t xml:space="preserve">Concept of </w:t>
      </w:r>
      <w:r w:rsidR="003666B8" w:rsidRPr="00F900D3">
        <w:rPr>
          <w:rFonts w:ascii="Times New Roman" w:hAnsi="Times New Roman" w:cs="Times New Roman"/>
          <w:b/>
          <w:sz w:val="24"/>
          <w:szCs w:val="24"/>
          <w:lang w:val="en-US"/>
        </w:rPr>
        <w:t>Macroeconomic</w:t>
      </w:r>
      <w:r w:rsidR="003666B8" w:rsidRPr="0031795D">
        <w:rPr>
          <w:rFonts w:ascii="Times New Roman" w:hAnsi="Times New Roman" w:cs="Times New Roman"/>
          <w:b/>
          <w:color w:val="2D2D2D"/>
          <w:sz w:val="24"/>
          <w:szCs w:val="24"/>
        </w:rPr>
        <w:t xml:space="preserve"> variables</w:t>
      </w:r>
    </w:p>
    <w:p w14:paraId="1E058C5D" w14:textId="77777777" w:rsidR="00D62BAA" w:rsidRPr="004E6F70" w:rsidRDefault="003666B8" w:rsidP="00E20786">
      <w:pPr>
        <w:spacing w:line="360" w:lineRule="auto"/>
        <w:jc w:val="both"/>
        <w:rPr>
          <w:rFonts w:ascii="Times New Roman" w:hAnsi="Times New Roman" w:cs="Times New Roman"/>
          <w:sz w:val="24"/>
          <w:szCs w:val="24"/>
        </w:rPr>
      </w:pPr>
      <w:r w:rsidRPr="006F08FC">
        <w:rPr>
          <w:rFonts w:ascii="Times New Roman" w:hAnsi="Times New Roman" w:cs="Times New Roman"/>
          <w:color w:val="2D2D2D"/>
          <w:sz w:val="24"/>
          <w:szCs w:val="24"/>
        </w:rPr>
        <w:t>Macroeconomic variables are defined as positive, negative or neutral depending on their impact on the economy</w:t>
      </w:r>
      <w:r>
        <w:rPr>
          <w:rFonts w:ascii="Times New Roman" w:hAnsi="Times New Roman" w:cs="Times New Roman"/>
          <w:color w:val="2D2D2D"/>
          <w:sz w:val="24"/>
          <w:szCs w:val="24"/>
        </w:rPr>
        <w:t>.</w:t>
      </w:r>
      <w:r w:rsidRPr="0031795D">
        <w:rPr>
          <w:rFonts w:ascii="Times New Roman" w:hAnsi="Times New Roman" w:cs="Times New Roman"/>
          <w:color w:val="2D2D2D"/>
          <w:sz w:val="24"/>
          <w:szCs w:val="24"/>
        </w:rPr>
        <w:t xml:space="preserve"> </w:t>
      </w:r>
      <w:r w:rsidRPr="006F08FC">
        <w:rPr>
          <w:rFonts w:ascii="Times New Roman" w:hAnsi="Times New Roman" w:cs="Times New Roman"/>
          <w:color w:val="2D2D2D"/>
          <w:sz w:val="24"/>
          <w:szCs w:val="24"/>
        </w:rPr>
        <w:t>These are examp</w:t>
      </w:r>
      <w:r>
        <w:rPr>
          <w:rFonts w:ascii="Times New Roman" w:hAnsi="Times New Roman" w:cs="Times New Roman"/>
          <w:color w:val="2D2D2D"/>
          <w:sz w:val="24"/>
          <w:szCs w:val="24"/>
        </w:rPr>
        <w:t xml:space="preserve">les of the macroeconomic </w:t>
      </w:r>
      <w:r w:rsidRPr="006F08FC">
        <w:rPr>
          <w:rFonts w:ascii="Times New Roman" w:hAnsi="Times New Roman" w:cs="Times New Roman"/>
          <w:color w:val="2D2D2D"/>
          <w:sz w:val="24"/>
          <w:szCs w:val="24"/>
        </w:rPr>
        <w:t>variables that affec</w:t>
      </w:r>
      <w:r>
        <w:rPr>
          <w:rFonts w:ascii="Times New Roman" w:hAnsi="Times New Roman" w:cs="Times New Roman"/>
          <w:color w:val="2D2D2D"/>
          <w:sz w:val="24"/>
          <w:szCs w:val="24"/>
        </w:rPr>
        <w:t xml:space="preserve">t an economy are inflation, GDP growth rate and so on, </w:t>
      </w:r>
      <w:r>
        <w:rPr>
          <w:rFonts w:ascii="Times New Roman" w:hAnsi="Times New Roman" w:cs="Times New Roman"/>
          <w:color w:val="2D2D2D"/>
          <w:sz w:val="24"/>
          <w:szCs w:val="24"/>
        </w:rPr>
        <w:tab/>
      </w:r>
      <w:proofErr w:type="gramStart"/>
      <w:r>
        <w:rPr>
          <w:rFonts w:ascii="Times New Roman" w:hAnsi="Times New Roman" w:cs="Times New Roman"/>
          <w:color w:val="2D2D2D"/>
          <w:sz w:val="24"/>
          <w:szCs w:val="24"/>
        </w:rPr>
        <w:t>Two</w:t>
      </w:r>
      <w:proofErr w:type="gramEnd"/>
      <w:r>
        <w:rPr>
          <w:rFonts w:ascii="Times New Roman" w:hAnsi="Times New Roman" w:cs="Times New Roman"/>
          <w:color w:val="2D2D2D"/>
          <w:sz w:val="24"/>
          <w:szCs w:val="24"/>
        </w:rPr>
        <w:t xml:space="preserve"> important</w:t>
      </w:r>
      <w:r w:rsidRPr="00F5775E">
        <w:rPr>
          <w:rFonts w:ascii="Times New Roman" w:hAnsi="Times New Roman" w:cs="Times New Roman"/>
          <w:color w:val="2D2D2D"/>
          <w:sz w:val="24"/>
          <w:szCs w:val="24"/>
        </w:rPr>
        <w:t xml:space="preserve"> </w:t>
      </w:r>
      <w:r>
        <w:rPr>
          <w:rFonts w:ascii="Times New Roman" w:hAnsi="Times New Roman" w:cs="Times New Roman"/>
          <w:color w:val="2D2D2D"/>
          <w:sz w:val="24"/>
          <w:szCs w:val="24"/>
        </w:rPr>
        <w:t>m</w:t>
      </w:r>
      <w:r w:rsidRPr="006F08FC">
        <w:rPr>
          <w:rFonts w:ascii="Times New Roman" w:hAnsi="Times New Roman" w:cs="Times New Roman"/>
          <w:color w:val="2D2D2D"/>
          <w:sz w:val="24"/>
          <w:szCs w:val="24"/>
        </w:rPr>
        <w:t>acroeconomic variables</w:t>
      </w:r>
      <w:r>
        <w:rPr>
          <w:rFonts w:ascii="Times New Roman" w:hAnsi="Times New Roman" w:cs="Times New Roman"/>
          <w:color w:val="2D2D2D"/>
          <w:sz w:val="24"/>
          <w:szCs w:val="24"/>
        </w:rPr>
        <w:t xml:space="preserve">   are discussed in this study such as</w:t>
      </w:r>
      <w:r w:rsidRPr="00F5775E">
        <w:rPr>
          <w:rFonts w:ascii="Times New Roman" w:hAnsi="Times New Roman" w:cs="Times New Roman"/>
          <w:sz w:val="24"/>
          <w:szCs w:val="24"/>
        </w:rPr>
        <w:t xml:space="preserve"> </w:t>
      </w:r>
      <w:r>
        <w:rPr>
          <w:rFonts w:ascii="Times New Roman" w:hAnsi="Times New Roman" w:cs="Times New Roman"/>
          <w:sz w:val="24"/>
          <w:szCs w:val="24"/>
        </w:rPr>
        <w:t>i</w:t>
      </w:r>
      <w:r w:rsidRPr="00C92F2F">
        <w:rPr>
          <w:rFonts w:ascii="Times New Roman" w:hAnsi="Times New Roman" w:cs="Times New Roman"/>
          <w:sz w:val="24"/>
          <w:szCs w:val="24"/>
        </w:rPr>
        <w:t>nflation</w:t>
      </w:r>
      <w:r>
        <w:rPr>
          <w:rFonts w:ascii="Times New Roman" w:hAnsi="Times New Roman" w:cs="Times New Roman"/>
          <w:sz w:val="24"/>
          <w:szCs w:val="24"/>
        </w:rPr>
        <w:t xml:space="preserve"> and economic growth</w:t>
      </w:r>
      <w:r>
        <w:rPr>
          <w:rFonts w:ascii="Times New Roman" w:hAnsi="Times New Roman" w:cs="Times New Roman"/>
          <w:color w:val="2D2D2D"/>
          <w:sz w:val="24"/>
          <w:szCs w:val="24"/>
        </w:rPr>
        <w:t xml:space="preserve">: </w:t>
      </w:r>
      <w:r w:rsidRPr="00C92F2F">
        <w:rPr>
          <w:rFonts w:ascii="Times New Roman" w:hAnsi="Times New Roman" w:cs="Times New Roman"/>
          <w:sz w:val="24"/>
          <w:szCs w:val="24"/>
        </w:rPr>
        <w:t xml:space="preserve">Inflation is one of the macroeconomics variables that occurs when money losses it value in an economy. It is also </w:t>
      </w:r>
      <w:proofErr w:type="gramStart"/>
      <w:r w:rsidRPr="00C92F2F">
        <w:rPr>
          <w:rFonts w:ascii="Times New Roman" w:hAnsi="Times New Roman" w:cs="Times New Roman"/>
          <w:sz w:val="24"/>
          <w:szCs w:val="24"/>
        </w:rPr>
        <w:t>sees</w:t>
      </w:r>
      <w:proofErr w:type="gramEnd"/>
      <w:r w:rsidRPr="00C92F2F">
        <w:rPr>
          <w:rFonts w:ascii="Times New Roman" w:hAnsi="Times New Roman" w:cs="Times New Roman"/>
          <w:sz w:val="24"/>
          <w:szCs w:val="24"/>
        </w:rPr>
        <w:t xml:space="preserve"> as when there are general raised in prices of commodities. It takes various foams. Runaway inflation creeping </w:t>
      </w:r>
      <w:r>
        <w:rPr>
          <w:rFonts w:ascii="Times New Roman" w:hAnsi="Times New Roman" w:cs="Times New Roman"/>
          <w:sz w:val="24"/>
          <w:szCs w:val="24"/>
        </w:rPr>
        <w:t xml:space="preserve">inflation and structural </w:t>
      </w:r>
      <w:proofErr w:type="gramStart"/>
      <w:r>
        <w:rPr>
          <w:rFonts w:ascii="Times New Roman" w:hAnsi="Times New Roman" w:cs="Times New Roman"/>
          <w:sz w:val="24"/>
          <w:szCs w:val="24"/>
        </w:rPr>
        <w:t>inflation .</w:t>
      </w:r>
      <w:r w:rsidRPr="00C92F2F">
        <w:rPr>
          <w:rFonts w:ascii="Times New Roman" w:hAnsi="Times New Roman" w:cs="Times New Roman"/>
          <w:sz w:val="24"/>
          <w:szCs w:val="24"/>
        </w:rPr>
        <w:t>However</w:t>
      </w:r>
      <w:proofErr w:type="gramEnd"/>
      <w:r w:rsidRPr="00C92F2F">
        <w:rPr>
          <w:rFonts w:ascii="Times New Roman" w:hAnsi="Times New Roman" w:cs="Times New Roman"/>
          <w:sz w:val="24"/>
          <w:szCs w:val="24"/>
        </w:rPr>
        <w:t>, there are various theories of inflation demand-pull, cost-push, makeup monetarist, international transmitted and accelerated theories if inflation.</w:t>
      </w:r>
      <w:r>
        <w:rPr>
          <w:rFonts w:ascii="Times New Roman" w:hAnsi="Times New Roman" w:cs="Times New Roman"/>
          <w:sz w:val="24"/>
          <w:szCs w:val="24"/>
        </w:rPr>
        <w:t xml:space="preserve"> Economic growth i</w:t>
      </w:r>
      <w:r w:rsidRPr="00C92F2F">
        <w:rPr>
          <w:rFonts w:ascii="Times New Roman" w:hAnsi="Times New Roman" w:cs="Times New Roman"/>
          <w:sz w:val="24"/>
          <w:szCs w:val="24"/>
        </w:rPr>
        <w:t>s taken to be the growth of the real output of an economy over time. This is physical ability of a nation to produce more goods and services in an economy. In the view of professor Simon Kuznets in his famous book, economic is a long term rise in capacity of a nation to supply quality goods to its population. The growing capacity is assumed to emanate from advanced technology and adjustment in institutional quality and ideological.</w:t>
      </w:r>
      <w:r>
        <w:rPr>
          <w:rFonts w:ascii="Times New Roman" w:hAnsi="Times New Roman" w:cs="Times New Roman"/>
          <w:sz w:val="24"/>
          <w:szCs w:val="24"/>
        </w:rPr>
        <w:t xml:space="preserve"> </w:t>
      </w:r>
      <w:r w:rsidRPr="00C92F2F">
        <w:rPr>
          <w:rFonts w:ascii="Times New Roman" w:hAnsi="Times New Roman" w:cs="Times New Roman"/>
          <w:sz w:val="24"/>
          <w:szCs w:val="24"/>
        </w:rPr>
        <w:t xml:space="preserve">Todaro and Smith (2005) conceptualised economic growth as a sustained increase in real income/output or real per capita income over time with improvement or increase in the standard of living of the citizens. Economic growth is usually seen as a basic national objective and this is based on the fact that the fundamental reason for creating a nation/state is to improve the living conditions of the citizen of the state </w:t>
      </w:r>
      <w:proofErr w:type="spellStart"/>
      <w:r w:rsidRPr="00C92F2F">
        <w:rPr>
          <w:rFonts w:ascii="Times New Roman" w:hAnsi="Times New Roman" w:cs="Times New Roman"/>
          <w:sz w:val="24"/>
          <w:szCs w:val="24"/>
        </w:rPr>
        <w:t>Fajingbesi</w:t>
      </w:r>
      <w:proofErr w:type="spellEnd"/>
      <w:r w:rsidRPr="00C92F2F">
        <w:rPr>
          <w:rFonts w:ascii="Times New Roman" w:hAnsi="Times New Roman" w:cs="Times New Roman"/>
          <w:sz w:val="24"/>
          <w:szCs w:val="24"/>
        </w:rPr>
        <w:t xml:space="preserve"> an</w:t>
      </w:r>
      <w:r>
        <w:rPr>
          <w:rFonts w:ascii="Times New Roman" w:hAnsi="Times New Roman" w:cs="Times New Roman"/>
          <w:sz w:val="24"/>
          <w:szCs w:val="24"/>
        </w:rPr>
        <w:t xml:space="preserve">d </w:t>
      </w:r>
      <w:proofErr w:type="spellStart"/>
      <w:r>
        <w:rPr>
          <w:rFonts w:ascii="Times New Roman" w:hAnsi="Times New Roman" w:cs="Times New Roman"/>
          <w:sz w:val="24"/>
          <w:szCs w:val="24"/>
        </w:rPr>
        <w:t>Uga</w:t>
      </w:r>
      <w:proofErr w:type="spellEnd"/>
      <w:r w:rsidRPr="00C92F2F">
        <w:rPr>
          <w:rFonts w:ascii="Times New Roman" w:hAnsi="Times New Roman" w:cs="Times New Roman"/>
          <w:sz w:val="24"/>
          <w:szCs w:val="24"/>
        </w:rPr>
        <w:t xml:space="preserve"> (2003). According to Todaro and Smith (2005), economic growth is said to have three core values, namely self-sustenance, self-esteem and self-freedom. Self-sustenance implies the ability to meet basic human needs of life such as food, sound health condition, shelter, sound education, clothing and protection. Self-esteem has to do with the need to be regarded as a person. It means a sense of worth and self-esteem of not being used as a tool by others to achieve their own selfish objectives. Freedom has to do with the right to make a choice. It involves an expanded range of choice for society and their members as well as significant reduction of external constraints in the pursuit of some social goals Ajayi (2003).</w:t>
      </w:r>
    </w:p>
    <w:p w14:paraId="55E690CB" w14:textId="77777777" w:rsidR="002476A2" w:rsidRDefault="004E6F70" w:rsidP="00E20786">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2476A2" w:rsidRPr="002476A2">
        <w:rPr>
          <w:rFonts w:ascii="Times New Roman" w:hAnsi="Times New Roman" w:cs="Times New Roman"/>
          <w:b/>
          <w:sz w:val="24"/>
          <w:szCs w:val="24"/>
        </w:rPr>
        <w:t xml:space="preserve"> </w:t>
      </w:r>
      <w:r w:rsidR="00B10643">
        <w:rPr>
          <w:rFonts w:ascii="Times New Roman" w:hAnsi="Times New Roman" w:cs="Times New Roman"/>
          <w:b/>
          <w:sz w:val="24"/>
          <w:szCs w:val="24"/>
        </w:rPr>
        <w:t xml:space="preserve">Brief </w:t>
      </w:r>
      <w:r>
        <w:rPr>
          <w:rFonts w:ascii="Times New Roman" w:hAnsi="Times New Roman" w:cs="Times New Roman"/>
          <w:b/>
          <w:sz w:val="24"/>
          <w:szCs w:val="24"/>
        </w:rPr>
        <w:t>Empirical L</w:t>
      </w:r>
      <w:r w:rsidR="00B10643">
        <w:rPr>
          <w:rFonts w:ascii="Times New Roman" w:hAnsi="Times New Roman" w:cs="Times New Roman"/>
          <w:b/>
          <w:sz w:val="24"/>
          <w:szCs w:val="24"/>
        </w:rPr>
        <w:t>iterature</w:t>
      </w:r>
    </w:p>
    <w:p w14:paraId="094DA0C1" w14:textId="77777777" w:rsidR="002D4F33" w:rsidRPr="00C92F2F" w:rsidRDefault="002D4F33" w:rsidP="00E20786">
      <w:pPr>
        <w:pStyle w:val="NoSpacing"/>
        <w:spacing w:line="360" w:lineRule="auto"/>
        <w:ind w:firstLine="720"/>
        <w:jc w:val="both"/>
        <w:rPr>
          <w:rFonts w:ascii="Times New Roman" w:hAnsi="Times New Roman" w:cs="Times New Roman"/>
          <w:sz w:val="24"/>
          <w:szCs w:val="24"/>
        </w:rPr>
      </w:pPr>
      <w:r w:rsidRPr="00C92F2F">
        <w:rPr>
          <w:rFonts w:ascii="Times New Roman" w:hAnsi="Times New Roman" w:cs="Times New Roman"/>
          <w:sz w:val="24"/>
          <w:szCs w:val="24"/>
        </w:rPr>
        <w:t xml:space="preserve">Tan (2006) examined both the short and long-run relationship among fiscal deficit, inflation and economic growth in Malaysia. The study covered the period of 1966 and 2003. The study employed co-integration analysis and vector error correction mechanism to capture the objectives of the study. The study found the absence of long-run relationship among the </w:t>
      </w:r>
      <w:r w:rsidRPr="00C92F2F">
        <w:rPr>
          <w:rFonts w:ascii="Times New Roman" w:hAnsi="Times New Roman" w:cs="Times New Roman"/>
          <w:sz w:val="24"/>
          <w:szCs w:val="24"/>
        </w:rPr>
        <w:lastRenderedPageBreak/>
        <w:t>variables and also revealed that fiscal deficit appeared to have either long or short run links with income. Jorge &amp;</w:t>
      </w:r>
      <w:r>
        <w:rPr>
          <w:rFonts w:ascii="Times New Roman" w:hAnsi="Times New Roman" w:cs="Times New Roman"/>
          <w:sz w:val="24"/>
          <w:szCs w:val="24"/>
        </w:rPr>
        <w:t xml:space="preserve"> </w:t>
      </w:r>
      <w:proofErr w:type="spellStart"/>
      <w:r w:rsidRPr="00C92F2F">
        <w:rPr>
          <w:rFonts w:ascii="Times New Roman" w:hAnsi="Times New Roman" w:cs="Times New Roman"/>
          <w:sz w:val="24"/>
          <w:szCs w:val="24"/>
        </w:rPr>
        <w:t>Auila</w:t>
      </w:r>
      <w:proofErr w:type="spellEnd"/>
      <w:r w:rsidRPr="00C92F2F">
        <w:rPr>
          <w:rFonts w:ascii="Times New Roman" w:hAnsi="Times New Roman" w:cs="Times New Roman"/>
          <w:sz w:val="24"/>
          <w:szCs w:val="24"/>
        </w:rPr>
        <w:t xml:space="preserve">, (2011) </w:t>
      </w:r>
      <w:proofErr w:type="spellStart"/>
      <w:r w:rsidRPr="00C92F2F">
        <w:rPr>
          <w:rFonts w:ascii="Times New Roman" w:hAnsi="Times New Roman" w:cs="Times New Roman"/>
          <w:sz w:val="24"/>
          <w:szCs w:val="24"/>
        </w:rPr>
        <w:t>analysed</w:t>
      </w:r>
      <w:proofErr w:type="spellEnd"/>
      <w:r w:rsidRPr="00C92F2F">
        <w:rPr>
          <w:rFonts w:ascii="Times New Roman" w:hAnsi="Times New Roman" w:cs="Times New Roman"/>
          <w:sz w:val="24"/>
          <w:szCs w:val="24"/>
        </w:rPr>
        <w:t xml:space="preserve"> the relationship between fiscal deficit, macroeconomic uncertainty and growth of Argentina economy for the period of 1915 to 2006. The study used co-integration an error correction model as the estimation techniques. The findings of the study revealed that fiscal deficit has negative relationship with economic growth of Argentina. </w:t>
      </w:r>
    </w:p>
    <w:p w14:paraId="021CB9E6" w14:textId="77777777" w:rsidR="002D4F33" w:rsidRPr="00C92F2F" w:rsidRDefault="002D4F33" w:rsidP="00E20786">
      <w:pPr>
        <w:pStyle w:val="NoSpacing"/>
        <w:spacing w:line="360" w:lineRule="auto"/>
        <w:ind w:firstLine="720"/>
        <w:jc w:val="both"/>
        <w:rPr>
          <w:rFonts w:ascii="Times New Roman" w:hAnsi="Times New Roman" w:cs="Times New Roman"/>
          <w:sz w:val="24"/>
          <w:szCs w:val="24"/>
        </w:rPr>
      </w:pPr>
      <w:proofErr w:type="spellStart"/>
      <w:r w:rsidRPr="00C92F2F">
        <w:rPr>
          <w:rFonts w:ascii="Times New Roman" w:hAnsi="Times New Roman" w:cs="Times New Roman"/>
          <w:sz w:val="24"/>
          <w:szCs w:val="24"/>
        </w:rPr>
        <w:t>Ohwioduokit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Ekong</w:t>
      </w:r>
      <w:proofErr w:type="spellEnd"/>
      <w:r>
        <w:rPr>
          <w:rFonts w:ascii="Times New Roman" w:hAnsi="Times New Roman" w:cs="Times New Roman"/>
          <w:sz w:val="24"/>
          <w:szCs w:val="24"/>
        </w:rPr>
        <w:t xml:space="preserve"> (</w:t>
      </w:r>
      <w:r w:rsidRPr="00C92F2F">
        <w:rPr>
          <w:rFonts w:ascii="Times New Roman" w:hAnsi="Times New Roman" w:cs="Times New Roman"/>
          <w:sz w:val="24"/>
          <w:szCs w:val="24"/>
        </w:rPr>
        <w:t>2015) examined the nexus between budget deficit and economic growth in Sierra Leone. The study employed time series data for over 30years- OLS method was employed to estimate the relationship between deficit and growth in Sierra-Leone. The study confirmed positive relationship between budget deficit and economic growth. Landau (1983) studies the relationship between fiscal deficit and economic growth. The study used a sample of 96 developing countries to determine the relationship between the variables. The study employed panel data to explore the relationship between fiscal deficit and economic growth in the developing countries. The study reported that fiscal deficit reduced the growth of per capita income.</w:t>
      </w:r>
      <w:r w:rsidRPr="002D4F33">
        <w:rPr>
          <w:rFonts w:ascii="Times New Roman" w:hAnsi="Times New Roman" w:cs="Times New Roman"/>
          <w:sz w:val="24"/>
          <w:szCs w:val="24"/>
        </w:rPr>
        <w:t xml:space="preserve"> </w:t>
      </w:r>
      <w:proofErr w:type="spellStart"/>
      <w:r w:rsidRPr="00C92F2F">
        <w:rPr>
          <w:rFonts w:ascii="Times New Roman" w:hAnsi="Times New Roman" w:cs="Times New Roman"/>
          <w:sz w:val="24"/>
          <w:szCs w:val="24"/>
        </w:rPr>
        <w:t>Gablon</w:t>
      </w:r>
      <w:proofErr w:type="spellEnd"/>
      <w:r w:rsidRPr="00C92F2F">
        <w:rPr>
          <w:rFonts w:ascii="Times New Roman" w:hAnsi="Times New Roman" w:cs="Times New Roman"/>
          <w:sz w:val="24"/>
          <w:szCs w:val="24"/>
        </w:rPr>
        <w:t xml:space="preserve"> (2018) examined the dynamic relationship among inflation, budget deficit and economic growth in Morocco between 1980 and 2014 using GMM as estimation technique. Findings showed that inflation, economic growth and budget deficit are strongly connected during the study period. Wonderful (2018) investigated the relationship among fiscal deficit; economic growth and inflation in some selected advanced economies using panel structural VAR as estimation technique. Findings from the study showed that fiscal deficit has influence but not significant influence on both inflation and economic growth during the study period.</w:t>
      </w:r>
    </w:p>
    <w:p w14:paraId="23145F5C" w14:textId="77777777" w:rsidR="004C70BB" w:rsidRPr="00C92F2F" w:rsidRDefault="002D4F33" w:rsidP="00E20786">
      <w:pPr>
        <w:pStyle w:val="NoSpacing"/>
        <w:spacing w:line="360" w:lineRule="auto"/>
        <w:ind w:firstLine="720"/>
        <w:jc w:val="both"/>
        <w:rPr>
          <w:rFonts w:ascii="Times New Roman" w:hAnsi="Times New Roman" w:cs="Times New Roman"/>
          <w:sz w:val="24"/>
          <w:szCs w:val="24"/>
        </w:rPr>
      </w:pPr>
      <w:proofErr w:type="spellStart"/>
      <w:r w:rsidRPr="00C92F2F">
        <w:rPr>
          <w:rFonts w:ascii="Times New Roman" w:hAnsi="Times New Roman" w:cs="Times New Roman"/>
          <w:sz w:val="24"/>
          <w:szCs w:val="24"/>
        </w:rPr>
        <w:t>Aboloyinjo</w:t>
      </w:r>
      <w:proofErr w:type="spellEnd"/>
      <w:r w:rsidRPr="00C92F2F">
        <w:rPr>
          <w:rFonts w:ascii="Times New Roman" w:hAnsi="Times New Roman" w:cs="Times New Roman"/>
          <w:sz w:val="24"/>
          <w:szCs w:val="24"/>
        </w:rPr>
        <w:t xml:space="preserve"> and Mathew (2016) examined the relationship between budget and interest rate in Nigeria between 1995 and 2014 using co-integration and error correction as estimation technique. Results from the study revealed that there was no significant connection between oil price and interest rate in Nigeria during the study period.</w:t>
      </w:r>
      <w:r w:rsidRPr="002D4F33">
        <w:rPr>
          <w:rFonts w:ascii="Times New Roman" w:hAnsi="Times New Roman" w:cs="Times New Roman"/>
          <w:sz w:val="24"/>
          <w:szCs w:val="24"/>
        </w:rPr>
        <w:t xml:space="preserve"> </w:t>
      </w:r>
      <w:r w:rsidRPr="00C92F2F">
        <w:rPr>
          <w:rFonts w:ascii="Times New Roman" w:hAnsi="Times New Roman" w:cs="Times New Roman"/>
          <w:sz w:val="24"/>
          <w:szCs w:val="24"/>
        </w:rPr>
        <w:t>Mohamed and Nurudeen (2018) studied the relationship between oil price fluctuation and budget deficit in five leading oil producing countries in Africa (Nigeria, Angola, Algeria, Egypt and Libya) between 2000 and 2016 using structural VAR as estimation technique. Besides Egypt, the response of inflation to shock from oil price was positive, direct and significant</w:t>
      </w:r>
      <w:r w:rsidR="004C70BB">
        <w:rPr>
          <w:rFonts w:ascii="Times New Roman" w:hAnsi="Times New Roman" w:cs="Times New Roman"/>
          <w:sz w:val="24"/>
          <w:szCs w:val="24"/>
        </w:rPr>
        <w:t xml:space="preserve">. </w:t>
      </w:r>
      <w:proofErr w:type="spellStart"/>
      <w:r w:rsidR="004C70BB" w:rsidRPr="00C92F2F">
        <w:rPr>
          <w:rFonts w:ascii="Times New Roman" w:hAnsi="Times New Roman" w:cs="Times New Roman"/>
          <w:sz w:val="24"/>
          <w:szCs w:val="24"/>
        </w:rPr>
        <w:t>Okoronko</w:t>
      </w:r>
      <w:proofErr w:type="spellEnd"/>
      <w:r w:rsidR="004C70BB" w:rsidRPr="00C92F2F">
        <w:rPr>
          <w:rFonts w:ascii="Times New Roman" w:hAnsi="Times New Roman" w:cs="Times New Roman"/>
          <w:sz w:val="24"/>
          <w:szCs w:val="24"/>
        </w:rPr>
        <w:t xml:space="preserve"> and Benedict (2020) employed panel ARDL to investigate the effect of oil price instability on inflation, budget deficit and economic growth in Nigeria between 1990 and 2018.  Empirical result revealed that oil price variations have much influence on inflation, budget deficit and economic growth during the study Periods</w:t>
      </w:r>
      <w:r w:rsidR="004C70BB">
        <w:rPr>
          <w:rFonts w:ascii="Times New Roman" w:hAnsi="Times New Roman" w:cs="Times New Roman"/>
          <w:sz w:val="24"/>
          <w:szCs w:val="24"/>
        </w:rPr>
        <w:t>.</w:t>
      </w:r>
      <w:r w:rsidR="004C70BB" w:rsidRPr="004C70BB">
        <w:rPr>
          <w:rFonts w:ascii="Times New Roman" w:hAnsi="Times New Roman" w:cs="Times New Roman"/>
          <w:sz w:val="24"/>
          <w:szCs w:val="24"/>
        </w:rPr>
        <w:t xml:space="preserve"> </w:t>
      </w:r>
      <w:proofErr w:type="spellStart"/>
      <w:r w:rsidR="004C70BB" w:rsidRPr="00C92F2F">
        <w:rPr>
          <w:rFonts w:ascii="Times New Roman" w:hAnsi="Times New Roman" w:cs="Times New Roman"/>
          <w:sz w:val="24"/>
          <w:szCs w:val="24"/>
        </w:rPr>
        <w:t>Omoleye</w:t>
      </w:r>
      <w:proofErr w:type="spellEnd"/>
      <w:r w:rsidR="004C70BB" w:rsidRPr="00C92F2F">
        <w:rPr>
          <w:rFonts w:ascii="Times New Roman" w:hAnsi="Times New Roman" w:cs="Times New Roman"/>
          <w:sz w:val="24"/>
          <w:szCs w:val="24"/>
        </w:rPr>
        <w:t xml:space="preserve"> (2020) investigated the connection among oil price </w:t>
      </w:r>
      <w:r w:rsidR="004C70BB" w:rsidRPr="00C92F2F">
        <w:rPr>
          <w:rFonts w:ascii="Times New Roman" w:hAnsi="Times New Roman" w:cs="Times New Roman"/>
          <w:sz w:val="24"/>
          <w:szCs w:val="24"/>
        </w:rPr>
        <w:lastRenderedPageBreak/>
        <w:t xml:space="preserve">fluctuation, fiscal deficit, inflation and economic growth in African oil producing countries between 1990 and 2017 using panel VAR as estimation techniques. Findings from the study showed </w:t>
      </w:r>
      <w:r w:rsidR="004C70BB">
        <w:rPr>
          <w:rFonts w:ascii="Times New Roman" w:hAnsi="Times New Roman" w:cs="Times New Roman"/>
          <w:sz w:val="24"/>
          <w:szCs w:val="24"/>
        </w:rPr>
        <w:t xml:space="preserve">that there is a </w:t>
      </w:r>
      <w:r w:rsidR="004C70BB" w:rsidRPr="00C92F2F">
        <w:rPr>
          <w:rFonts w:ascii="Times New Roman" w:hAnsi="Times New Roman" w:cs="Times New Roman"/>
          <w:sz w:val="24"/>
          <w:szCs w:val="24"/>
        </w:rPr>
        <w:t xml:space="preserve">positive and significant reactions of fiscal deficit, inflation and economic growth to shocks which emanated from economic growth. </w:t>
      </w:r>
      <w:proofErr w:type="gramStart"/>
      <w:r w:rsidR="004C70BB" w:rsidRPr="00C92F2F">
        <w:rPr>
          <w:rFonts w:ascii="Times New Roman" w:hAnsi="Times New Roman" w:cs="Times New Roman"/>
          <w:sz w:val="24"/>
          <w:szCs w:val="24"/>
        </w:rPr>
        <w:t>Also</w:t>
      </w:r>
      <w:proofErr w:type="gramEnd"/>
      <w:r w:rsidR="004C70BB" w:rsidRPr="00C92F2F">
        <w:rPr>
          <w:rFonts w:ascii="Times New Roman" w:hAnsi="Times New Roman" w:cs="Times New Roman"/>
          <w:sz w:val="24"/>
          <w:szCs w:val="24"/>
        </w:rPr>
        <w:t xml:space="preserve"> of Yusuf and Martina (2018) employed structural VAR to study the relationship between oil price instability and fiscal deficit in African oil producing nations. Findings revealed that the relationship between oil price changes and fiscal deficit was positive but not significant during the study period. </w:t>
      </w:r>
      <w:proofErr w:type="spellStart"/>
      <w:r w:rsidR="004C70BB" w:rsidRPr="00C92F2F">
        <w:rPr>
          <w:rFonts w:ascii="Times New Roman" w:hAnsi="Times New Roman" w:cs="Times New Roman"/>
          <w:sz w:val="24"/>
          <w:szCs w:val="24"/>
        </w:rPr>
        <w:t>Moronness</w:t>
      </w:r>
      <w:proofErr w:type="spellEnd"/>
      <w:r w:rsidR="004C70BB" w:rsidRPr="00C92F2F">
        <w:rPr>
          <w:rFonts w:ascii="Times New Roman" w:hAnsi="Times New Roman" w:cs="Times New Roman"/>
          <w:sz w:val="24"/>
          <w:szCs w:val="24"/>
        </w:rPr>
        <w:t xml:space="preserve"> (2016) employed GMM to investigate the dynamic interactions among inflation, oil price and economic growth in African oil producing countries. Empirical result from the study revealed closed connections among the variables.</w:t>
      </w:r>
    </w:p>
    <w:p w14:paraId="5F9B05BE" w14:textId="77777777" w:rsidR="004C70BB" w:rsidRPr="00C92F2F" w:rsidRDefault="004C70BB" w:rsidP="00E20786">
      <w:pPr>
        <w:pStyle w:val="NoSpacing"/>
        <w:spacing w:line="360" w:lineRule="auto"/>
        <w:ind w:firstLine="720"/>
        <w:jc w:val="both"/>
        <w:rPr>
          <w:rFonts w:ascii="Times New Roman" w:hAnsi="Times New Roman" w:cs="Times New Roman"/>
          <w:sz w:val="24"/>
          <w:szCs w:val="24"/>
        </w:rPr>
      </w:pPr>
      <w:proofErr w:type="spellStart"/>
      <w:r w:rsidRPr="00C92F2F">
        <w:rPr>
          <w:rFonts w:ascii="Times New Roman" w:hAnsi="Times New Roman" w:cs="Times New Roman"/>
          <w:sz w:val="24"/>
          <w:szCs w:val="24"/>
        </w:rPr>
        <w:t>Ekanavake</w:t>
      </w:r>
      <w:proofErr w:type="spellEnd"/>
      <w:r w:rsidRPr="00C92F2F">
        <w:rPr>
          <w:rFonts w:ascii="Times New Roman" w:hAnsi="Times New Roman" w:cs="Times New Roman"/>
          <w:sz w:val="24"/>
          <w:szCs w:val="24"/>
        </w:rPr>
        <w:t xml:space="preserve"> (2012) investigated the link between fiscal deficit and inflation in developing countries using ARDL as estimation technique. Findings from this study showed that fiscal budget is stationary as evidence by </w:t>
      </w:r>
      <w:proofErr w:type="gramStart"/>
      <w:r w:rsidRPr="00C92F2F">
        <w:rPr>
          <w:rFonts w:ascii="Times New Roman" w:hAnsi="Times New Roman" w:cs="Times New Roman"/>
          <w:sz w:val="24"/>
          <w:szCs w:val="24"/>
        </w:rPr>
        <w:t>1% point</w:t>
      </w:r>
      <w:proofErr w:type="gramEnd"/>
      <w:r w:rsidRPr="00C92F2F">
        <w:rPr>
          <w:rFonts w:ascii="Times New Roman" w:hAnsi="Times New Roman" w:cs="Times New Roman"/>
          <w:sz w:val="24"/>
          <w:szCs w:val="24"/>
        </w:rPr>
        <w:t xml:space="preserve"> increase in the ratio of the fiscal deficit to narrow money which brings about 119% increase in inflation, Bakare, </w:t>
      </w:r>
      <w:proofErr w:type="spellStart"/>
      <w:r w:rsidRPr="00C92F2F">
        <w:rPr>
          <w:rFonts w:ascii="Times New Roman" w:hAnsi="Times New Roman" w:cs="Times New Roman"/>
          <w:sz w:val="24"/>
          <w:szCs w:val="24"/>
        </w:rPr>
        <w:t>Alasanya</w:t>
      </w:r>
      <w:proofErr w:type="spellEnd"/>
      <w:r w:rsidRPr="00C92F2F">
        <w:rPr>
          <w:rFonts w:ascii="Times New Roman" w:hAnsi="Times New Roman" w:cs="Times New Roman"/>
          <w:sz w:val="24"/>
          <w:szCs w:val="24"/>
        </w:rPr>
        <w:t xml:space="preserve"> and </w:t>
      </w:r>
      <w:proofErr w:type="spellStart"/>
      <w:r w:rsidRPr="00C92F2F">
        <w:rPr>
          <w:rFonts w:ascii="Times New Roman" w:hAnsi="Times New Roman" w:cs="Times New Roman"/>
          <w:sz w:val="24"/>
          <w:szCs w:val="24"/>
        </w:rPr>
        <w:t>Bolarinwa</w:t>
      </w:r>
      <w:proofErr w:type="spellEnd"/>
      <w:r w:rsidRPr="00C92F2F">
        <w:rPr>
          <w:rFonts w:ascii="Times New Roman" w:hAnsi="Times New Roman" w:cs="Times New Roman"/>
          <w:sz w:val="24"/>
          <w:szCs w:val="24"/>
        </w:rPr>
        <w:t xml:space="preserve"> (2004) studied the connection among budget deficit, inflation and money supply in Nigeria between 1975 to 2012 using VECM as estimation technique. Findings from this study revealed that budget deficit was inflationary in Nigeria during the study period.</w:t>
      </w:r>
    </w:p>
    <w:p w14:paraId="59383924" w14:textId="77777777" w:rsidR="004C70BB" w:rsidRPr="00C92F2F" w:rsidRDefault="004C70BB" w:rsidP="00E20786">
      <w:pPr>
        <w:pStyle w:val="NoSpacing"/>
        <w:spacing w:line="360" w:lineRule="auto"/>
        <w:ind w:firstLine="720"/>
        <w:jc w:val="both"/>
        <w:rPr>
          <w:rFonts w:ascii="Times New Roman" w:hAnsi="Times New Roman" w:cs="Times New Roman"/>
          <w:sz w:val="24"/>
          <w:szCs w:val="24"/>
        </w:rPr>
      </w:pPr>
      <w:r w:rsidRPr="00C92F2F">
        <w:rPr>
          <w:rFonts w:ascii="Times New Roman" w:hAnsi="Times New Roman" w:cs="Times New Roman"/>
          <w:sz w:val="24"/>
          <w:szCs w:val="24"/>
        </w:rPr>
        <w:t xml:space="preserve">Stephen and Gabriel (2018) investigated the connection among inflation, fiscal deficit and economic growth in Japan between 199 and 2010. Result showed that there were interactions among the variables selected for the study. Hann and </w:t>
      </w:r>
      <w:proofErr w:type="spellStart"/>
      <w:r w:rsidRPr="00C92F2F">
        <w:rPr>
          <w:rFonts w:ascii="Times New Roman" w:hAnsi="Times New Roman" w:cs="Times New Roman"/>
          <w:sz w:val="24"/>
          <w:szCs w:val="24"/>
        </w:rPr>
        <w:t>Zelhorst</w:t>
      </w:r>
      <w:proofErr w:type="spellEnd"/>
      <w:r w:rsidRPr="00C92F2F">
        <w:rPr>
          <w:rFonts w:ascii="Times New Roman" w:hAnsi="Times New Roman" w:cs="Times New Roman"/>
          <w:sz w:val="24"/>
          <w:szCs w:val="24"/>
        </w:rPr>
        <w:t xml:space="preserve"> (1990) employed panel co-integration to study the connection between government deficit and money growth in seventeen (17) developed countries since the Second World War. The findings from the study did not show that fiscal deficit impact money growth but showed that there was strong relationship between government deficit and money growth especially during inflation period. Furthermore, </w:t>
      </w:r>
      <w:proofErr w:type="spellStart"/>
      <w:r w:rsidRPr="00C92F2F">
        <w:rPr>
          <w:rFonts w:ascii="Times New Roman" w:hAnsi="Times New Roman" w:cs="Times New Roman"/>
          <w:sz w:val="24"/>
          <w:szCs w:val="24"/>
        </w:rPr>
        <w:t>Catao</w:t>
      </w:r>
      <w:proofErr w:type="spellEnd"/>
      <w:r w:rsidRPr="00C92F2F">
        <w:rPr>
          <w:rFonts w:ascii="Times New Roman" w:hAnsi="Times New Roman" w:cs="Times New Roman"/>
          <w:sz w:val="24"/>
          <w:szCs w:val="24"/>
        </w:rPr>
        <w:t xml:space="preserve"> and </w:t>
      </w:r>
      <w:proofErr w:type="spellStart"/>
      <w:r w:rsidRPr="00C92F2F">
        <w:rPr>
          <w:rFonts w:ascii="Times New Roman" w:hAnsi="Times New Roman" w:cs="Times New Roman"/>
          <w:sz w:val="24"/>
          <w:szCs w:val="24"/>
        </w:rPr>
        <w:t>Terrons</w:t>
      </w:r>
      <w:proofErr w:type="spellEnd"/>
      <w:r w:rsidRPr="00C92F2F">
        <w:rPr>
          <w:rFonts w:ascii="Times New Roman" w:hAnsi="Times New Roman" w:cs="Times New Roman"/>
          <w:sz w:val="24"/>
          <w:szCs w:val="24"/>
        </w:rPr>
        <w:t xml:space="preserve"> (2005) employed dynamic panel co-integration to investigate the correlation between fiscal deficit and inflation in 107 developed countries. Empirical result from the study showed that there was strong and positive connection between inflation and fiscal deficit. </w:t>
      </w:r>
      <w:proofErr w:type="spellStart"/>
      <w:r w:rsidRPr="00C92F2F">
        <w:rPr>
          <w:rFonts w:ascii="Times New Roman" w:hAnsi="Times New Roman" w:cs="Times New Roman"/>
          <w:sz w:val="24"/>
          <w:szCs w:val="24"/>
        </w:rPr>
        <w:t>Roubins</w:t>
      </w:r>
      <w:proofErr w:type="spellEnd"/>
      <w:r w:rsidRPr="00C92F2F">
        <w:rPr>
          <w:rFonts w:ascii="Times New Roman" w:hAnsi="Times New Roman" w:cs="Times New Roman"/>
          <w:sz w:val="24"/>
          <w:szCs w:val="24"/>
        </w:rPr>
        <w:t xml:space="preserve"> (1991) employed panel co-integration to study the relationship between budget deficit and inflation in some selected developed economies. Empirical result from the study showed that there was a long-run co-movement between inflation and budget deficit during the study period. Fischer et al. (2002) investigated the relationship between budget deficit and inflation in some selected developed economies using panel co-integration as estimation technique. Result from the study showed statistical long-run co-movement between inflation and budget deficit during the study period.</w:t>
      </w:r>
    </w:p>
    <w:p w14:paraId="5CF5023A" w14:textId="77777777" w:rsidR="00315A74" w:rsidRDefault="004C70BB" w:rsidP="00E20786">
      <w:pPr>
        <w:pStyle w:val="NoSpacing"/>
        <w:spacing w:line="360" w:lineRule="auto"/>
        <w:ind w:firstLine="720"/>
        <w:jc w:val="both"/>
        <w:rPr>
          <w:rFonts w:ascii="Times New Roman" w:hAnsi="Times New Roman" w:cs="Times New Roman"/>
          <w:sz w:val="24"/>
          <w:szCs w:val="24"/>
        </w:rPr>
      </w:pPr>
      <w:r w:rsidRPr="00C92F2F">
        <w:rPr>
          <w:rFonts w:ascii="Times New Roman" w:hAnsi="Times New Roman" w:cs="Times New Roman"/>
          <w:sz w:val="24"/>
          <w:szCs w:val="24"/>
        </w:rPr>
        <w:lastRenderedPageBreak/>
        <w:t xml:space="preserve">Godwin (2016) employed VAR to estimate the connection between budget deficit and inflation in some selected developed economies between 1990 and 2014. Finding from this study showed </w:t>
      </w:r>
      <w:proofErr w:type="gramStart"/>
      <w:r w:rsidRPr="00C92F2F">
        <w:rPr>
          <w:rFonts w:ascii="Times New Roman" w:hAnsi="Times New Roman" w:cs="Times New Roman"/>
          <w:sz w:val="24"/>
          <w:szCs w:val="24"/>
        </w:rPr>
        <w:t>statistical</w:t>
      </w:r>
      <w:proofErr w:type="gramEnd"/>
      <w:r w:rsidRPr="00C92F2F">
        <w:rPr>
          <w:rFonts w:ascii="Times New Roman" w:hAnsi="Times New Roman" w:cs="Times New Roman"/>
          <w:sz w:val="24"/>
          <w:szCs w:val="24"/>
        </w:rPr>
        <w:t xml:space="preserve"> significant connection between inflation and budget deficit during the study period. In the same line of study, VOM (2013) employed panel co- integration to investigate the effect of fiscal deficit on inflation in some selected </w:t>
      </w:r>
      <w:proofErr w:type="spellStart"/>
      <w:r w:rsidRPr="00C92F2F">
        <w:rPr>
          <w:rFonts w:ascii="Times New Roman" w:hAnsi="Times New Roman" w:cs="Times New Roman"/>
          <w:sz w:val="24"/>
          <w:szCs w:val="24"/>
        </w:rPr>
        <w:t>industrialised</w:t>
      </w:r>
      <w:proofErr w:type="spellEnd"/>
      <w:r w:rsidRPr="00C92F2F">
        <w:rPr>
          <w:rFonts w:ascii="Times New Roman" w:hAnsi="Times New Roman" w:cs="Times New Roman"/>
          <w:sz w:val="24"/>
          <w:szCs w:val="24"/>
        </w:rPr>
        <w:t xml:space="preserve"> nations between 1995 and 2011. Results from this study revealed that the effect of fiscal deficit on inflation was not statistically significant in the short-run but produced statistically significant influence on inflation in the long-run in those selected countries during the study period.</w:t>
      </w:r>
      <w:r w:rsidR="00315A74" w:rsidRPr="00315A74">
        <w:rPr>
          <w:rFonts w:ascii="Times New Roman" w:hAnsi="Times New Roman" w:cs="Times New Roman"/>
          <w:sz w:val="24"/>
          <w:szCs w:val="24"/>
        </w:rPr>
        <w:t xml:space="preserve"> </w:t>
      </w:r>
      <w:r w:rsidR="00315A74">
        <w:rPr>
          <w:rFonts w:ascii="Times New Roman" w:hAnsi="Times New Roman" w:cs="Times New Roman"/>
          <w:sz w:val="24"/>
          <w:szCs w:val="24"/>
        </w:rPr>
        <w:t xml:space="preserve">Attiya, (2001) </w:t>
      </w:r>
      <w:r w:rsidR="00315A74" w:rsidRPr="00C92F2F">
        <w:rPr>
          <w:rFonts w:ascii="Times New Roman" w:hAnsi="Times New Roman" w:cs="Times New Roman"/>
          <w:sz w:val="24"/>
          <w:szCs w:val="24"/>
        </w:rPr>
        <w:t xml:space="preserve">examined the effects of fiscal policy on government budget deficit shocks between1960-2007. The study employed VAR as estimation technique. Findings from the study revealed that an expansionary fiscal policy shock improves the current account and depreciates the exchange rate. </w:t>
      </w:r>
    </w:p>
    <w:p w14:paraId="3E635758" w14:textId="77777777" w:rsidR="00E56C02" w:rsidRDefault="0006201C" w:rsidP="00E56C02">
      <w:pPr>
        <w:pStyle w:val="NoSpacing"/>
        <w:spacing w:line="480" w:lineRule="auto"/>
        <w:jc w:val="both"/>
        <w:rPr>
          <w:rFonts w:ascii="Times New Roman" w:eastAsia="Times New Roman" w:hAnsi="Times New Roman" w:cs="Times New Roman"/>
          <w:b/>
          <w:bCs/>
          <w:color w:val="000000"/>
          <w:lang w:eastAsia="en-GB"/>
        </w:rPr>
      </w:pPr>
      <w:r>
        <w:rPr>
          <w:rFonts w:ascii="Times New Roman" w:hAnsi="Times New Roman" w:cs="Times New Roman"/>
          <w:b/>
          <w:bCs/>
          <w:color w:val="000000"/>
          <w:sz w:val="24"/>
          <w:szCs w:val="24"/>
        </w:rPr>
        <w:t>3.0</w:t>
      </w:r>
      <w:r w:rsidR="00E56C02" w:rsidRPr="00E56C02">
        <w:rPr>
          <w:rFonts w:ascii="Times New Roman" w:hAnsi="Times New Roman" w:cs="Times New Roman"/>
          <w:b/>
          <w:bCs/>
          <w:color w:val="000000"/>
          <w:sz w:val="24"/>
          <w:szCs w:val="24"/>
        </w:rPr>
        <w:t xml:space="preserve"> </w:t>
      </w:r>
      <w:r w:rsidR="00E20786" w:rsidRPr="00E56C02">
        <w:rPr>
          <w:rFonts w:ascii="Times New Roman" w:hAnsi="Times New Roman" w:cs="Times New Roman"/>
          <w:b/>
          <w:bCs/>
          <w:color w:val="000000"/>
          <w:sz w:val="24"/>
          <w:szCs w:val="24"/>
        </w:rPr>
        <w:t>Methodology</w:t>
      </w:r>
      <w:r w:rsidR="00E20786" w:rsidRPr="00E56C02">
        <w:rPr>
          <w:rFonts w:ascii="Times New Roman" w:eastAsia="Times New Roman" w:hAnsi="Times New Roman" w:cs="Times New Roman"/>
          <w:b/>
          <w:bCs/>
          <w:color w:val="000000"/>
          <w:lang w:eastAsia="en-GB"/>
        </w:rPr>
        <w:t xml:space="preserve"> </w:t>
      </w:r>
    </w:p>
    <w:p w14:paraId="041A9082" w14:textId="77777777" w:rsidR="00155D47" w:rsidRPr="00E56C02" w:rsidRDefault="001C0B9D" w:rsidP="00E56C02">
      <w:pPr>
        <w:pStyle w:val="NoSpacing"/>
        <w:spacing w:line="480" w:lineRule="auto"/>
        <w:jc w:val="both"/>
        <w:rPr>
          <w:rFonts w:ascii="Times New Roman" w:hAnsi="Times New Roman" w:cs="Times New Roman"/>
          <w:sz w:val="24"/>
          <w:szCs w:val="24"/>
        </w:rPr>
      </w:pPr>
      <w:r>
        <w:rPr>
          <w:rFonts w:ascii="Times New Roman" w:eastAsia="Times New Roman" w:hAnsi="Times New Roman" w:cs="Times New Roman"/>
          <w:b/>
          <w:bCs/>
          <w:color w:val="000000"/>
          <w:lang w:eastAsia="en-GB"/>
        </w:rPr>
        <w:t xml:space="preserve">3.1 </w:t>
      </w:r>
      <w:r w:rsidR="00155D47">
        <w:rPr>
          <w:rFonts w:ascii="Times New Roman" w:eastAsia="Times New Roman" w:hAnsi="Times New Roman" w:cs="Times New Roman"/>
          <w:b/>
          <w:bCs/>
          <w:color w:val="000000"/>
          <w:lang w:eastAsia="en-GB"/>
        </w:rPr>
        <w:t xml:space="preserve">Model Specification </w:t>
      </w:r>
    </w:p>
    <w:p w14:paraId="0A266DEC" w14:textId="77777777" w:rsidR="0006201C" w:rsidRPr="0006201C" w:rsidRDefault="001131D5" w:rsidP="0006201C">
      <w:pPr>
        <w:spacing w:line="480" w:lineRule="auto"/>
        <w:jc w:val="both"/>
        <w:rPr>
          <w:rFonts w:ascii="Times New Roman" w:hAnsi="Times New Roman"/>
          <w:b/>
          <w:sz w:val="24"/>
          <w:szCs w:val="24"/>
        </w:rPr>
      </w:pPr>
      <w:r>
        <w:rPr>
          <w:rFonts w:ascii="Times New Roman" w:eastAsia="Times New Roman" w:hAnsi="Times New Roman" w:cs="Times New Roman"/>
          <w:color w:val="000000"/>
          <w:sz w:val="24"/>
          <w:szCs w:val="24"/>
          <w:lang w:eastAsia="en-GB"/>
        </w:rPr>
        <w:t xml:space="preserve">This study </w:t>
      </w:r>
      <w:r w:rsidRPr="00C73469">
        <w:rPr>
          <w:rFonts w:ascii="Times New Roman" w:hAnsi="Times New Roman"/>
          <w:sz w:val="24"/>
          <w:szCs w:val="24"/>
        </w:rPr>
        <w:t>investigate</w:t>
      </w:r>
      <w:r>
        <w:rPr>
          <w:rFonts w:ascii="Times New Roman" w:hAnsi="Times New Roman"/>
          <w:sz w:val="24"/>
          <w:szCs w:val="24"/>
        </w:rPr>
        <w:t>s</w:t>
      </w:r>
      <w:r w:rsidRPr="00C73469">
        <w:rPr>
          <w:rFonts w:ascii="Times New Roman" w:hAnsi="Times New Roman"/>
          <w:sz w:val="24"/>
          <w:szCs w:val="24"/>
        </w:rPr>
        <w:t xml:space="preserve"> the asymmetric effect of fiscal deficit on macroeconomic variables i</w:t>
      </w:r>
      <w:r>
        <w:rPr>
          <w:rFonts w:ascii="Times New Roman" w:hAnsi="Times New Roman"/>
          <w:sz w:val="24"/>
          <w:szCs w:val="24"/>
        </w:rPr>
        <w:t>n Sub –Saharan Africa countries.</w:t>
      </w:r>
      <w:r>
        <w:rPr>
          <w:rFonts w:ascii="Times New Roman" w:hAnsi="Times New Roman"/>
          <w:b/>
          <w:sz w:val="24"/>
          <w:szCs w:val="24"/>
        </w:rPr>
        <w:t xml:space="preserve"> </w:t>
      </w:r>
      <w:r w:rsidR="00E56C02" w:rsidRPr="00E56C02">
        <w:rPr>
          <w:rFonts w:ascii="Times New Roman" w:eastAsia="Times New Roman" w:hAnsi="Times New Roman" w:cs="Times New Roman"/>
          <w:color w:val="000000"/>
          <w:sz w:val="24"/>
          <w:szCs w:val="24"/>
          <w:lang w:eastAsia="en-GB"/>
        </w:rPr>
        <w:t>Non-</w:t>
      </w:r>
      <w:r w:rsidR="001C0B9D">
        <w:rPr>
          <w:rFonts w:ascii="Times New Roman" w:eastAsia="Times New Roman" w:hAnsi="Times New Roman" w:cs="Times New Roman"/>
          <w:color w:val="000000"/>
          <w:sz w:val="24"/>
          <w:szCs w:val="24"/>
          <w:lang w:eastAsia="en-GB"/>
        </w:rPr>
        <w:t xml:space="preserve"> Linear </w:t>
      </w:r>
      <w:r w:rsidR="00E56C02" w:rsidRPr="00E56C02">
        <w:rPr>
          <w:rFonts w:ascii="Times New Roman" w:eastAsia="Times New Roman" w:hAnsi="Times New Roman" w:cs="Times New Roman"/>
          <w:color w:val="000000"/>
          <w:sz w:val="24"/>
          <w:szCs w:val="24"/>
          <w:lang w:eastAsia="en-GB"/>
        </w:rPr>
        <w:t>ARDL Co-integration Approach was used to capture the objective of the study and the model of this study follow</w:t>
      </w:r>
      <w:r>
        <w:rPr>
          <w:rFonts w:ascii="Times New Roman" w:eastAsia="Times New Roman" w:hAnsi="Times New Roman" w:cs="Times New Roman"/>
          <w:color w:val="000000"/>
          <w:sz w:val="24"/>
          <w:szCs w:val="24"/>
          <w:lang w:eastAsia="en-GB"/>
        </w:rPr>
        <w:t xml:space="preserve"> the work of </w:t>
      </w:r>
      <w:r w:rsidR="000D70DC">
        <w:rPr>
          <w:rFonts w:ascii="Times New Roman" w:hAnsi="Times New Roman"/>
          <w:sz w:val="24"/>
          <w:szCs w:val="24"/>
        </w:rPr>
        <w:t>Godwin (2020</w:t>
      </w:r>
      <w:r w:rsidRPr="00C73469">
        <w:rPr>
          <w:rFonts w:ascii="Times New Roman" w:hAnsi="Times New Roman"/>
          <w:sz w:val="24"/>
          <w:szCs w:val="24"/>
        </w:rPr>
        <w:t xml:space="preserve">) </w:t>
      </w:r>
      <w:r w:rsidR="00E56C02" w:rsidRPr="00E56C02">
        <w:rPr>
          <w:rFonts w:ascii="Times New Roman" w:eastAsia="Times New Roman" w:hAnsi="Times New Roman" w:cs="Times New Roman"/>
          <w:color w:val="000000"/>
          <w:sz w:val="24"/>
          <w:szCs w:val="24"/>
          <w:lang w:eastAsia="en-GB"/>
        </w:rPr>
        <w:t>wh</w:t>
      </w:r>
      <w:r>
        <w:rPr>
          <w:rFonts w:ascii="Times New Roman" w:eastAsia="Times New Roman" w:hAnsi="Times New Roman" w:cs="Times New Roman"/>
          <w:color w:val="000000"/>
          <w:sz w:val="24"/>
          <w:szCs w:val="24"/>
          <w:lang w:eastAsia="en-GB"/>
        </w:rPr>
        <w:t xml:space="preserve">ich took its roots from the </w:t>
      </w:r>
      <w:r>
        <w:rPr>
          <w:rFonts w:ascii="Times New Roman" w:hAnsi="Times New Roman"/>
          <w:sz w:val="24"/>
          <w:szCs w:val="24"/>
        </w:rPr>
        <w:t>t</w:t>
      </w:r>
      <w:r w:rsidRPr="001131D5">
        <w:rPr>
          <w:rFonts w:ascii="Times New Roman" w:hAnsi="Times New Roman"/>
          <w:sz w:val="24"/>
          <w:szCs w:val="24"/>
        </w:rPr>
        <w:t>heory of Keynesian Paradigm</w:t>
      </w:r>
      <w:r>
        <w:rPr>
          <w:rFonts w:ascii="Times New Roman" w:hAnsi="Times New Roman"/>
          <w:sz w:val="24"/>
          <w:szCs w:val="24"/>
        </w:rPr>
        <w:t xml:space="preserve"> of fiscal deficit</w:t>
      </w:r>
      <w:r w:rsidR="00E56C02" w:rsidRPr="00E56C02">
        <w:rPr>
          <w:rFonts w:ascii="Times New Roman" w:eastAsia="Times New Roman" w:hAnsi="Times New Roman" w:cs="Times New Roman"/>
          <w:color w:val="000000"/>
          <w:sz w:val="24"/>
          <w:szCs w:val="24"/>
          <w:lang w:eastAsia="en-GB"/>
        </w:rPr>
        <w:t xml:space="preserve"> with modifications. Therefore, the model fo</w:t>
      </w:r>
      <w:r w:rsidR="0006201C">
        <w:rPr>
          <w:rFonts w:ascii="Times New Roman" w:eastAsia="Times New Roman" w:hAnsi="Times New Roman" w:cs="Times New Roman"/>
          <w:color w:val="000000"/>
          <w:sz w:val="24"/>
          <w:szCs w:val="24"/>
          <w:lang w:eastAsia="en-GB"/>
        </w:rPr>
        <w:t>r this study is specified below:</w:t>
      </w:r>
    </w:p>
    <w:p w14:paraId="7F53AE07" w14:textId="77777777" w:rsidR="0006201C" w:rsidRPr="00C73469" w:rsidRDefault="0006201C" w:rsidP="0006201C">
      <w:pPr>
        <w:spacing w:line="240" w:lineRule="auto"/>
        <w:jc w:val="both"/>
        <w:rPr>
          <w:rFonts w:ascii="Times New Roman" w:hAnsi="Times New Roman"/>
          <w:sz w:val="24"/>
          <w:szCs w:val="24"/>
        </w:rPr>
      </w:pPr>
      <w:r>
        <w:rPr>
          <w:rFonts w:ascii="Times New Roman" w:hAnsi="Times New Roman"/>
          <w:noProof/>
          <w:sz w:val="24"/>
          <w:szCs w:val="24"/>
          <w:lang w:val="en-US"/>
        </w:rPr>
        <mc:AlternateContent>
          <mc:Choice Requires="wps">
            <w:drawing>
              <wp:anchor distT="0" distB="0" distL="0" distR="0" simplePos="0" relativeHeight="251659264" behindDoc="0" locked="0" layoutInCell="1" allowOverlap="1" wp14:anchorId="1EF18B0E" wp14:editId="33706976">
                <wp:simplePos x="0" y="0"/>
                <wp:positionH relativeFrom="column">
                  <wp:posOffset>5070475</wp:posOffset>
                </wp:positionH>
                <wp:positionV relativeFrom="paragraph">
                  <wp:posOffset>434975</wp:posOffset>
                </wp:positionV>
                <wp:extent cx="890905" cy="356235"/>
                <wp:effectExtent l="0" t="0" r="0" b="571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90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81469" w14:textId="77777777" w:rsidR="003666B8" w:rsidRPr="0006201C" w:rsidRDefault="003666B8" w:rsidP="0006201C">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F18B0E" id="_x0000_t202" coordsize="21600,21600" o:spt="202" path="m,l,21600r21600,l21600,xe">
                <v:stroke joinstyle="miter"/>
                <v:path gradientshapeok="t" o:connecttype="rect"/>
              </v:shapetype>
              <v:shape id="Text Box 16" o:spid="_x0000_s1026" type="#_x0000_t202" style="position:absolute;left:0;text-align:left;margin-left:399.25pt;margin-top:34.25pt;width:70.15pt;height:28.0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" filled="f" stroked="f">
                <v:textbox>
                  <w:txbxContent>
                    <w:p w14:paraId="40081469" w14:textId="77777777" w:rsidR="003666B8" w:rsidRPr="0006201C" w:rsidRDefault="003666B8" w:rsidP="0006201C">
                      <w:pPr>
                        <w:rPr>
                          <w:lang w:val="en-US"/>
                        </w:rPr>
                      </w:pPr>
                    </w:p>
                  </w:txbxContent>
                </v:textbox>
              </v:shape>
            </w:pict>
          </mc:Fallback>
        </mc:AlternateContent>
      </w:r>
      <w:r w:rsidRPr="00C73469">
        <w:rPr>
          <w:rFonts w:ascii="Times New Roman" w:hAnsi="Times New Roman"/>
          <w:position w:val="-52"/>
          <w:sz w:val="24"/>
          <w:szCs w:val="24"/>
        </w:rPr>
        <w:object w:dxaOrig="10440" w:dyaOrig="1160" w14:anchorId="7A8A91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35pt;height:57.8pt" o:ole="">
            <v:imagedata r:id="rId6" o:title="" embosscolor="white"/>
          </v:shape>
          <o:OLEObject Type="Embed" ProgID="Equation.3" ShapeID="_x0000_i1025" DrawAspect="Content" ObjectID="_1809613124" r:id="rId7"/>
        </w:object>
      </w:r>
    </w:p>
    <w:p w14:paraId="484844B1" w14:textId="77777777" w:rsidR="0006201C" w:rsidRDefault="0006201C" w:rsidP="00E2078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Where </w:t>
      </w:r>
    </w:p>
    <w:p w14:paraId="178027C6" w14:textId="77777777" w:rsidR="0006201C" w:rsidRPr="00C73469" w:rsidRDefault="0006201C" w:rsidP="00E20786">
      <w:pPr>
        <w:pStyle w:val="NoSpacing"/>
        <w:spacing w:line="360" w:lineRule="auto"/>
        <w:rPr>
          <w:rFonts w:ascii="Times New Roman" w:hAnsi="Times New Roman" w:cs="Times New Roman"/>
          <w:sz w:val="24"/>
          <w:szCs w:val="24"/>
        </w:rPr>
      </w:pPr>
      <w:proofErr w:type="gramStart"/>
      <w:r w:rsidRPr="00C73469">
        <w:rPr>
          <w:rFonts w:ascii="Times New Roman" w:hAnsi="Times New Roman" w:cs="Times New Roman"/>
          <w:sz w:val="24"/>
          <w:szCs w:val="24"/>
        </w:rPr>
        <w:t xml:space="preserve">FD  </w:t>
      </w:r>
      <w:r>
        <w:rPr>
          <w:rFonts w:ascii="Times New Roman" w:hAnsi="Times New Roman" w:cs="Times New Roman"/>
          <w:sz w:val="24"/>
          <w:szCs w:val="24"/>
        </w:rPr>
        <w:tab/>
      </w:r>
      <w:proofErr w:type="gramEnd"/>
      <w:r w:rsidRPr="00C73469">
        <w:rPr>
          <w:rFonts w:ascii="Times New Roman" w:hAnsi="Times New Roman" w:cs="Times New Roman"/>
          <w:sz w:val="24"/>
          <w:szCs w:val="24"/>
        </w:rPr>
        <w:t>= Fiscal Deficit</w:t>
      </w:r>
    </w:p>
    <w:p w14:paraId="2A8298DE" w14:textId="77777777" w:rsidR="0006201C" w:rsidRPr="00C73469" w:rsidRDefault="0006201C" w:rsidP="00E20786">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RGDP</w:t>
      </w:r>
      <w:r>
        <w:rPr>
          <w:rFonts w:ascii="Times New Roman" w:hAnsi="Times New Roman" w:cs="Times New Roman"/>
          <w:sz w:val="24"/>
          <w:szCs w:val="24"/>
        </w:rPr>
        <w:tab/>
      </w:r>
      <w:r w:rsidRPr="00C73469">
        <w:rPr>
          <w:rFonts w:ascii="Times New Roman" w:hAnsi="Times New Roman" w:cs="Times New Roman"/>
          <w:sz w:val="24"/>
          <w:szCs w:val="24"/>
        </w:rPr>
        <w:t>= Real Output Growth</w:t>
      </w:r>
    </w:p>
    <w:p w14:paraId="6F2F507E" w14:textId="77777777" w:rsidR="0006201C" w:rsidRPr="00C73469" w:rsidRDefault="0006201C" w:rsidP="00E20786">
      <w:pPr>
        <w:pStyle w:val="NoSpacing"/>
        <w:spacing w:line="360" w:lineRule="auto"/>
        <w:rPr>
          <w:rFonts w:ascii="Times New Roman" w:hAnsi="Times New Roman" w:cs="Times New Roman"/>
          <w:sz w:val="24"/>
          <w:szCs w:val="24"/>
        </w:rPr>
      </w:pPr>
      <w:r w:rsidRPr="00C73469">
        <w:rPr>
          <w:rFonts w:ascii="Times New Roman" w:hAnsi="Times New Roman" w:cs="Times New Roman"/>
          <w:sz w:val="24"/>
          <w:szCs w:val="24"/>
        </w:rPr>
        <w:t xml:space="preserve">MS </w:t>
      </w:r>
      <w:r>
        <w:rPr>
          <w:rFonts w:ascii="Times New Roman" w:hAnsi="Times New Roman" w:cs="Times New Roman"/>
          <w:sz w:val="24"/>
          <w:szCs w:val="24"/>
        </w:rPr>
        <w:tab/>
      </w:r>
      <w:r w:rsidRPr="00C73469">
        <w:rPr>
          <w:rFonts w:ascii="Times New Roman" w:hAnsi="Times New Roman" w:cs="Times New Roman"/>
          <w:sz w:val="24"/>
          <w:szCs w:val="24"/>
        </w:rPr>
        <w:t>= Broad money supply</w:t>
      </w:r>
    </w:p>
    <w:p w14:paraId="052FD56F" w14:textId="77777777" w:rsidR="0006201C" w:rsidRPr="00C73469" w:rsidRDefault="0006201C" w:rsidP="00E20786">
      <w:pPr>
        <w:pStyle w:val="NoSpacing"/>
        <w:spacing w:line="360" w:lineRule="auto"/>
        <w:rPr>
          <w:rFonts w:ascii="Times New Roman" w:hAnsi="Times New Roman" w:cs="Times New Roman"/>
          <w:sz w:val="24"/>
          <w:szCs w:val="24"/>
        </w:rPr>
      </w:pPr>
      <w:r w:rsidRPr="00C73469">
        <w:rPr>
          <w:rFonts w:ascii="Times New Roman" w:hAnsi="Times New Roman" w:cs="Times New Roman"/>
          <w:sz w:val="24"/>
          <w:szCs w:val="24"/>
        </w:rPr>
        <w:t xml:space="preserve">INF </w:t>
      </w:r>
      <w:r>
        <w:rPr>
          <w:rFonts w:ascii="Times New Roman" w:hAnsi="Times New Roman" w:cs="Times New Roman"/>
          <w:sz w:val="24"/>
          <w:szCs w:val="24"/>
        </w:rPr>
        <w:tab/>
      </w:r>
      <w:r w:rsidRPr="00C73469">
        <w:rPr>
          <w:rFonts w:ascii="Times New Roman" w:hAnsi="Times New Roman" w:cs="Times New Roman"/>
          <w:sz w:val="24"/>
          <w:szCs w:val="24"/>
        </w:rPr>
        <w:t>= Inflation rate</w:t>
      </w:r>
    </w:p>
    <w:p w14:paraId="171BA6EB" w14:textId="77777777" w:rsidR="0006201C" w:rsidRPr="00C73469" w:rsidRDefault="0006201C" w:rsidP="00E20786">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EINF</w:t>
      </w:r>
      <w:r>
        <w:rPr>
          <w:rFonts w:ascii="Times New Roman" w:hAnsi="Times New Roman" w:cs="Times New Roman"/>
          <w:sz w:val="24"/>
          <w:szCs w:val="24"/>
        </w:rPr>
        <w:tab/>
      </w:r>
      <w:r w:rsidRPr="00C73469">
        <w:rPr>
          <w:rFonts w:ascii="Times New Roman" w:hAnsi="Times New Roman" w:cs="Times New Roman"/>
          <w:sz w:val="24"/>
          <w:szCs w:val="24"/>
        </w:rPr>
        <w:t>= Expected inflation rate</w:t>
      </w:r>
    </w:p>
    <w:p w14:paraId="1ADF4390" w14:textId="77777777" w:rsidR="0006201C" w:rsidRPr="00C73469" w:rsidRDefault="0006201C" w:rsidP="00E20786">
      <w:pPr>
        <w:pStyle w:val="NoSpacing"/>
        <w:spacing w:line="360" w:lineRule="auto"/>
        <w:rPr>
          <w:rFonts w:ascii="Times New Roman" w:hAnsi="Times New Roman" w:cs="Times New Roman"/>
          <w:sz w:val="24"/>
          <w:szCs w:val="24"/>
        </w:rPr>
      </w:pPr>
      <w:r w:rsidRPr="00C73469">
        <w:rPr>
          <w:rFonts w:ascii="Times New Roman" w:hAnsi="Times New Roman" w:cs="Times New Roman"/>
          <w:sz w:val="24"/>
          <w:szCs w:val="24"/>
        </w:rPr>
        <w:t xml:space="preserve">RIR </w:t>
      </w:r>
      <w:r>
        <w:rPr>
          <w:rFonts w:ascii="Times New Roman" w:hAnsi="Times New Roman" w:cs="Times New Roman"/>
          <w:sz w:val="24"/>
          <w:szCs w:val="24"/>
        </w:rPr>
        <w:tab/>
      </w:r>
      <w:r w:rsidRPr="00C73469">
        <w:rPr>
          <w:rFonts w:ascii="Times New Roman" w:hAnsi="Times New Roman" w:cs="Times New Roman"/>
          <w:sz w:val="24"/>
          <w:szCs w:val="24"/>
        </w:rPr>
        <w:t>= Real Interest Rate</w:t>
      </w:r>
    </w:p>
    <w:p w14:paraId="022FBC04" w14:textId="77777777" w:rsidR="0006201C" w:rsidRPr="00C73469" w:rsidRDefault="0006201C" w:rsidP="00E20786">
      <w:pPr>
        <w:pStyle w:val="NoSpacing"/>
        <w:spacing w:line="360" w:lineRule="auto"/>
        <w:rPr>
          <w:rFonts w:ascii="Times New Roman" w:hAnsi="Times New Roman" w:cs="Times New Roman"/>
          <w:sz w:val="24"/>
          <w:szCs w:val="24"/>
        </w:rPr>
      </w:pPr>
      <w:r w:rsidRPr="00C73469">
        <w:rPr>
          <w:rFonts w:ascii="Times New Roman" w:hAnsi="Times New Roman" w:cs="Times New Roman"/>
          <w:sz w:val="24"/>
          <w:szCs w:val="24"/>
        </w:rPr>
        <w:t xml:space="preserve">GEX </w:t>
      </w:r>
      <w:r>
        <w:rPr>
          <w:rFonts w:ascii="Times New Roman" w:hAnsi="Times New Roman" w:cs="Times New Roman"/>
          <w:sz w:val="24"/>
          <w:szCs w:val="24"/>
        </w:rPr>
        <w:tab/>
      </w:r>
      <w:r w:rsidRPr="00C73469">
        <w:rPr>
          <w:rFonts w:ascii="Times New Roman" w:hAnsi="Times New Roman" w:cs="Times New Roman"/>
          <w:sz w:val="24"/>
          <w:szCs w:val="24"/>
        </w:rPr>
        <w:t>= Government Expenditure</w:t>
      </w:r>
    </w:p>
    <w:p w14:paraId="7C4C8A9D" w14:textId="77777777" w:rsidR="0006201C" w:rsidRPr="00C73469" w:rsidRDefault="0006201C" w:rsidP="00E20786">
      <w:pPr>
        <w:pStyle w:val="NoSpacing"/>
        <w:spacing w:line="360" w:lineRule="auto"/>
        <w:rPr>
          <w:rFonts w:ascii="Times New Roman" w:hAnsi="Times New Roman" w:cs="Times New Roman"/>
          <w:sz w:val="24"/>
          <w:szCs w:val="24"/>
        </w:rPr>
      </w:pPr>
      <w:r w:rsidRPr="00C73469">
        <w:rPr>
          <w:rFonts w:ascii="Times New Roman" w:hAnsi="Times New Roman" w:cs="Times New Roman"/>
          <w:sz w:val="24"/>
          <w:szCs w:val="24"/>
        </w:rPr>
        <w:t xml:space="preserve">GFCF </w:t>
      </w:r>
      <w:r>
        <w:rPr>
          <w:rFonts w:ascii="Times New Roman" w:hAnsi="Times New Roman" w:cs="Times New Roman"/>
          <w:sz w:val="24"/>
          <w:szCs w:val="24"/>
        </w:rPr>
        <w:tab/>
      </w:r>
      <w:r w:rsidRPr="00C73469">
        <w:rPr>
          <w:rFonts w:ascii="Times New Roman" w:hAnsi="Times New Roman" w:cs="Times New Roman"/>
          <w:sz w:val="24"/>
          <w:szCs w:val="24"/>
        </w:rPr>
        <w:t>= Gross fixed Capital formation</w:t>
      </w:r>
    </w:p>
    <w:p w14:paraId="1F6EACD7" w14:textId="77777777" w:rsidR="0006201C" w:rsidRDefault="0006201C" w:rsidP="00E20786">
      <w:pPr>
        <w:pStyle w:val="NoSpacing"/>
        <w:spacing w:line="360" w:lineRule="auto"/>
        <w:rPr>
          <w:rFonts w:ascii="Times New Roman" w:hAnsi="Times New Roman" w:cs="Times New Roman"/>
          <w:sz w:val="24"/>
          <w:szCs w:val="24"/>
        </w:rPr>
      </w:pPr>
      <w:r w:rsidRPr="00C73469">
        <w:rPr>
          <w:rFonts w:ascii="Times New Roman" w:hAnsi="Times New Roman" w:cs="Times New Roman"/>
          <w:sz w:val="24"/>
          <w:szCs w:val="24"/>
        </w:rPr>
        <w:lastRenderedPageBreak/>
        <w:t xml:space="preserve">REER </w:t>
      </w:r>
      <w:r>
        <w:rPr>
          <w:rFonts w:ascii="Times New Roman" w:hAnsi="Times New Roman" w:cs="Times New Roman"/>
          <w:sz w:val="24"/>
          <w:szCs w:val="24"/>
        </w:rPr>
        <w:tab/>
      </w:r>
      <w:r w:rsidRPr="00C73469">
        <w:rPr>
          <w:rFonts w:ascii="Times New Roman" w:hAnsi="Times New Roman" w:cs="Times New Roman"/>
          <w:sz w:val="24"/>
          <w:szCs w:val="24"/>
        </w:rPr>
        <w:t>= Real effective exchange rate</w:t>
      </w:r>
    </w:p>
    <w:p w14:paraId="73E96BA0" w14:textId="77777777" w:rsidR="0006201C" w:rsidRPr="00C73469" w:rsidRDefault="001C0B9D" w:rsidP="00E20786">
      <w:pPr>
        <w:spacing w:after="0" w:line="240" w:lineRule="auto"/>
        <w:jc w:val="both"/>
        <w:rPr>
          <w:rFonts w:ascii="Times New Roman" w:hAnsi="Times New Roman"/>
          <w:b/>
          <w:sz w:val="24"/>
          <w:szCs w:val="24"/>
        </w:rPr>
      </w:pPr>
      <w:r>
        <w:rPr>
          <w:rFonts w:ascii="Times New Roman" w:hAnsi="Times New Roman"/>
          <w:b/>
          <w:sz w:val="24"/>
          <w:szCs w:val="24"/>
        </w:rPr>
        <w:t>3.2</w:t>
      </w:r>
      <w:r w:rsidR="0006201C" w:rsidRPr="00C73469">
        <w:rPr>
          <w:rFonts w:ascii="Times New Roman" w:hAnsi="Times New Roman"/>
          <w:b/>
          <w:sz w:val="24"/>
          <w:szCs w:val="24"/>
        </w:rPr>
        <w:tab/>
        <w:t xml:space="preserve">Description, Measurements and Definitions of variables </w:t>
      </w:r>
    </w:p>
    <w:tbl>
      <w:tblPr>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1850"/>
        <w:gridCol w:w="1577"/>
        <w:gridCol w:w="2612"/>
        <w:gridCol w:w="1620"/>
        <w:gridCol w:w="1163"/>
      </w:tblGrid>
      <w:tr w:rsidR="0006201C" w:rsidRPr="00C73469" w14:paraId="6192EDB0" w14:textId="77777777" w:rsidTr="003666B8">
        <w:tc>
          <w:tcPr>
            <w:tcW w:w="639" w:type="dxa"/>
            <w:tcBorders>
              <w:top w:val="single" w:sz="4" w:space="0" w:color="auto"/>
              <w:left w:val="single" w:sz="4" w:space="0" w:color="auto"/>
              <w:bottom w:val="single" w:sz="4" w:space="0" w:color="auto"/>
              <w:right w:val="single" w:sz="4" w:space="0" w:color="auto"/>
            </w:tcBorders>
            <w:hideMark/>
          </w:tcPr>
          <w:p w14:paraId="5CD2C9D1" w14:textId="77777777" w:rsidR="0006201C" w:rsidRPr="00C73469" w:rsidRDefault="0006201C" w:rsidP="003666B8">
            <w:pPr>
              <w:spacing w:line="240" w:lineRule="auto"/>
              <w:jc w:val="center"/>
              <w:rPr>
                <w:rFonts w:ascii="Times New Roman" w:eastAsia="Calibri" w:hAnsi="Times New Roman"/>
                <w:b/>
                <w:sz w:val="24"/>
                <w:szCs w:val="24"/>
              </w:rPr>
            </w:pPr>
            <w:r w:rsidRPr="00C73469">
              <w:rPr>
                <w:rFonts w:ascii="Times New Roman" w:eastAsia="Calibri" w:hAnsi="Times New Roman"/>
                <w:b/>
                <w:sz w:val="24"/>
                <w:szCs w:val="24"/>
              </w:rPr>
              <w:t>S/N</w:t>
            </w:r>
          </w:p>
        </w:tc>
        <w:tc>
          <w:tcPr>
            <w:tcW w:w="1850" w:type="dxa"/>
            <w:tcBorders>
              <w:top w:val="single" w:sz="4" w:space="0" w:color="auto"/>
              <w:left w:val="single" w:sz="4" w:space="0" w:color="auto"/>
              <w:bottom w:val="single" w:sz="4" w:space="0" w:color="auto"/>
              <w:right w:val="single" w:sz="4" w:space="0" w:color="auto"/>
            </w:tcBorders>
            <w:hideMark/>
          </w:tcPr>
          <w:p w14:paraId="1D9537F6" w14:textId="77777777" w:rsidR="0006201C" w:rsidRPr="00C73469" w:rsidRDefault="0006201C" w:rsidP="003666B8">
            <w:pPr>
              <w:spacing w:line="240" w:lineRule="auto"/>
              <w:jc w:val="center"/>
              <w:rPr>
                <w:rFonts w:ascii="Times New Roman" w:eastAsia="Calibri" w:hAnsi="Times New Roman"/>
                <w:b/>
                <w:sz w:val="24"/>
                <w:szCs w:val="24"/>
              </w:rPr>
            </w:pPr>
            <w:r w:rsidRPr="00C73469">
              <w:rPr>
                <w:rFonts w:ascii="Times New Roman" w:eastAsia="Calibri" w:hAnsi="Times New Roman"/>
                <w:b/>
                <w:sz w:val="24"/>
                <w:szCs w:val="24"/>
              </w:rPr>
              <w:t>Variables</w:t>
            </w:r>
          </w:p>
        </w:tc>
        <w:tc>
          <w:tcPr>
            <w:tcW w:w="1577" w:type="dxa"/>
            <w:tcBorders>
              <w:top w:val="single" w:sz="4" w:space="0" w:color="auto"/>
              <w:left w:val="single" w:sz="4" w:space="0" w:color="auto"/>
              <w:bottom w:val="single" w:sz="4" w:space="0" w:color="auto"/>
              <w:right w:val="single" w:sz="4" w:space="0" w:color="auto"/>
            </w:tcBorders>
            <w:hideMark/>
          </w:tcPr>
          <w:p w14:paraId="00909477" w14:textId="77777777" w:rsidR="0006201C" w:rsidRPr="00C73469" w:rsidRDefault="0006201C" w:rsidP="003666B8">
            <w:pPr>
              <w:spacing w:line="240" w:lineRule="auto"/>
              <w:jc w:val="center"/>
              <w:rPr>
                <w:rFonts w:ascii="Times New Roman" w:eastAsia="Calibri" w:hAnsi="Times New Roman"/>
                <w:b/>
                <w:sz w:val="24"/>
                <w:szCs w:val="24"/>
              </w:rPr>
            </w:pPr>
            <w:r w:rsidRPr="00C73469">
              <w:rPr>
                <w:rFonts w:ascii="Times New Roman" w:eastAsia="Calibri" w:hAnsi="Times New Roman"/>
                <w:b/>
                <w:sz w:val="24"/>
                <w:szCs w:val="24"/>
              </w:rPr>
              <w:t>Abbreviation</w:t>
            </w:r>
          </w:p>
        </w:tc>
        <w:tc>
          <w:tcPr>
            <w:tcW w:w="2612" w:type="dxa"/>
            <w:tcBorders>
              <w:top w:val="single" w:sz="4" w:space="0" w:color="auto"/>
              <w:left w:val="single" w:sz="4" w:space="0" w:color="auto"/>
              <w:bottom w:val="single" w:sz="4" w:space="0" w:color="auto"/>
              <w:right w:val="single" w:sz="4" w:space="0" w:color="auto"/>
            </w:tcBorders>
            <w:hideMark/>
          </w:tcPr>
          <w:p w14:paraId="459C4045" w14:textId="77777777" w:rsidR="0006201C" w:rsidRPr="00C73469" w:rsidRDefault="0006201C" w:rsidP="003666B8">
            <w:pPr>
              <w:spacing w:line="240" w:lineRule="auto"/>
              <w:jc w:val="center"/>
              <w:rPr>
                <w:rFonts w:ascii="Times New Roman" w:eastAsia="Calibri" w:hAnsi="Times New Roman"/>
                <w:b/>
                <w:sz w:val="24"/>
                <w:szCs w:val="24"/>
              </w:rPr>
            </w:pPr>
            <w:r w:rsidRPr="00C73469">
              <w:rPr>
                <w:rFonts w:ascii="Times New Roman" w:eastAsia="Calibri" w:hAnsi="Times New Roman"/>
                <w:b/>
                <w:sz w:val="24"/>
                <w:szCs w:val="24"/>
              </w:rPr>
              <w:t>Measurement</w:t>
            </w:r>
          </w:p>
        </w:tc>
        <w:tc>
          <w:tcPr>
            <w:tcW w:w="1620" w:type="dxa"/>
            <w:tcBorders>
              <w:top w:val="single" w:sz="4" w:space="0" w:color="auto"/>
              <w:left w:val="single" w:sz="4" w:space="0" w:color="auto"/>
              <w:bottom w:val="single" w:sz="4" w:space="0" w:color="auto"/>
              <w:right w:val="single" w:sz="4" w:space="0" w:color="auto"/>
            </w:tcBorders>
            <w:hideMark/>
          </w:tcPr>
          <w:p w14:paraId="165A62E6" w14:textId="77777777" w:rsidR="0006201C" w:rsidRPr="00C73469" w:rsidRDefault="0006201C" w:rsidP="003666B8">
            <w:pPr>
              <w:spacing w:line="240" w:lineRule="auto"/>
              <w:jc w:val="center"/>
              <w:rPr>
                <w:rFonts w:ascii="Times New Roman" w:eastAsia="Calibri" w:hAnsi="Times New Roman"/>
                <w:b/>
                <w:sz w:val="24"/>
                <w:szCs w:val="24"/>
              </w:rPr>
            </w:pPr>
            <w:r w:rsidRPr="00C73469">
              <w:rPr>
                <w:rFonts w:ascii="Times New Roman" w:eastAsia="Calibri" w:hAnsi="Times New Roman"/>
                <w:b/>
                <w:sz w:val="24"/>
                <w:szCs w:val="24"/>
              </w:rPr>
              <w:t>Sources of Data</w:t>
            </w:r>
          </w:p>
        </w:tc>
        <w:tc>
          <w:tcPr>
            <w:tcW w:w="1163" w:type="dxa"/>
            <w:tcBorders>
              <w:top w:val="single" w:sz="4" w:space="0" w:color="auto"/>
              <w:left w:val="single" w:sz="4" w:space="0" w:color="auto"/>
              <w:bottom w:val="single" w:sz="4" w:space="0" w:color="auto"/>
              <w:right w:val="single" w:sz="4" w:space="0" w:color="auto"/>
            </w:tcBorders>
            <w:hideMark/>
          </w:tcPr>
          <w:p w14:paraId="2490C99A" w14:textId="77777777" w:rsidR="0006201C" w:rsidRPr="00C73469" w:rsidRDefault="0006201C" w:rsidP="003666B8">
            <w:pPr>
              <w:spacing w:line="240" w:lineRule="auto"/>
              <w:jc w:val="center"/>
              <w:rPr>
                <w:rFonts w:ascii="Times New Roman" w:eastAsia="Calibri" w:hAnsi="Times New Roman"/>
                <w:b/>
                <w:sz w:val="24"/>
                <w:szCs w:val="24"/>
              </w:rPr>
            </w:pPr>
            <w:r w:rsidRPr="00C73469">
              <w:rPr>
                <w:rFonts w:ascii="Times New Roman" w:eastAsia="Calibri" w:hAnsi="Times New Roman"/>
                <w:b/>
                <w:sz w:val="24"/>
                <w:szCs w:val="24"/>
              </w:rPr>
              <w:t>Expected signs</w:t>
            </w:r>
          </w:p>
        </w:tc>
      </w:tr>
      <w:tr w:rsidR="0006201C" w:rsidRPr="00C73469" w14:paraId="59403032" w14:textId="77777777" w:rsidTr="003666B8">
        <w:tc>
          <w:tcPr>
            <w:tcW w:w="639" w:type="dxa"/>
            <w:tcBorders>
              <w:top w:val="single" w:sz="4" w:space="0" w:color="auto"/>
              <w:left w:val="single" w:sz="4" w:space="0" w:color="auto"/>
              <w:bottom w:val="single" w:sz="4" w:space="0" w:color="auto"/>
              <w:right w:val="single" w:sz="4" w:space="0" w:color="auto"/>
            </w:tcBorders>
            <w:hideMark/>
          </w:tcPr>
          <w:p w14:paraId="5CB5637C"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1</w:t>
            </w:r>
          </w:p>
        </w:tc>
        <w:tc>
          <w:tcPr>
            <w:tcW w:w="1850" w:type="dxa"/>
            <w:tcBorders>
              <w:top w:val="single" w:sz="4" w:space="0" w:color="auto"/>
              <w:left w:val="single" w:sz="4" w:space="0" w:color="auto"/>
              <w:bottom w:val="single" w:sz="4" w:space="0" w:color="auto"/>
              <w:right w:val="single" w:sz="4" w:space="0" w:color="auto"/>
            </w:tcBorders>
          </w:tcPr>
          <w:p w14:paraId="35B67120"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 xml:space="preserve">Government expenditure </w:t>
            </w:r>
          </w:p>
        </w:tc>
        <w:tc>
          <w:tcPr>
            <w:tcW w:w="1577" w:type="dxa"/>
            <w:tcBorders>
              <w:top w:val="single" w:sz="4" w:space="0" w:color="auto"/>
              <w:left w:val="single" w:sz="4" w:space="0" w:color="auto"/>
              <w:bottom w:val="single" w:sz="4" w:space="0" w:color="auto"/>
              <w:right w:val="single" w:sz="4" w:space="0" w:color="auto"/>
            </w:tcBorders>
          </w:tcPr>
          <w:p w14:paraId="331EB3BD"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GE</w:t>
            </w:r>
          </w:p>
        </w:tc>
        <w:tc>
          <w:tcPr>
            <w:tcW w:w="2612" w:type="dxa"/>
            <w:tcBorders>
              <w:top w:val="single" w:sz="4" w:space="0" w:color="auto"/>
              <w:left w:val="single" w:sz="4" w:space="0" w:color="auto"/>
              <w:bottom w:val="single" w:sz="4" w:space="0" w:color="auto"/>
              <w:right w:val="single" w:sz="4" w:space="0" w:color="auto"/>
            </w:tcBorders>
          </w:tcPr>
          <w:p w14:paraId="3BE22EB4"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 xml:space="preserve">Annual budgetary expenditure in each country, shows the spending habit and pattern of government  </w:t>
            </w:r>
          </w:p>
        </w:tc>
        <w:tc>
          <w:tcPr>
            <w:tcW w:w="1620" w:type="dxa"/>
            <w:tcBorders>
              <w:top w:val="single" w:sz="4" w:space="0" w:color="auto"/>
              <w:left w:val="single" w:sz="4" w:space="0" w:color="auto"/>
              <w:bottom w:val="single" w:sz="4" w:space="0" w:color="auto"/>
              <w:right w:val="single" w:sz="4" w:space="0" w:color="auto"/>
            </w:tcBorders>
          </w:tcPr>
          <w:p w14:paraId="6F268F72"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 xml:space="preserve">World bank development indicators </w:t>
            </w:r>
          </w:p>
        </w:tc>
        <w:tc>
          <w:tcPr>
            <w:tcW w:w="1163" w:type="dxa"/>
            <w:tcBorders>
              <w:top w:val="single" w:sz="4" w:space="0" w:color="auto"/>
              <w:left w:val="single" w:sz="4" w:space="0" w:color="auto"/>
              <w:bottom w:val="single" w:sz="4" w:space="0" w:color="auto"/>
              <w:right w:val="single" w:sz="4" w:space="0" w:color="auto"/>
            </w:tcBorders>
          </w:tcPr>
          <w:p w14:paraId="355A035F"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Positive</w:t>
            </w:r>
          </w:p>
        </w:tc>
      </w:tr>
      <w:tr w:rsidR="0006201C" w:rsidRPr="00C73469" w14:paraId="358656DE" w14:textId="77777777" w:rsidTr="003666B8">
        <w:tc>
          <w:tcPr>
            <w:tcW w:w="639" w:type="dxa"/>
            <w:tcBorders>
              <w:top w:val="single" w:sz="4" w:space="0" w:color="auto"/>
              <w:left w:val="single" w:sz="4" w:space="0" w:color="auto"/>
              <w:bottom w:val="single" w:sz="4" w:space="0" w:color="auto"/>
              <w:right w:val="single" w:sz="4" w:space="0" w:color="auto"/>
            </w:tcBorders>
            <w:hideMark/>
          </w:tcPr>
          <w:p w14:paraId="0E85E275"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2</w:t>
            </w:r>
          </w:p>
        </w:tc>
        <w:tc>
          <w:tcPr>
            <w:tcW w:w="1850" w:type="dxa"/>
            <w:tcBorders>
              <w:top w:val="single" w:sz="4" w:space="0" w:color="auto"/>
              <w:left w:val="single" w:sz="4" w:space="0" w:color="auto"/>
              <w:bottom w:val="single" w:sz="4" w:space="0" w:color="auto"/>
              <w:right w:val="single" w:sz="4" w:space="0" w:color="auto"/>
            </w:tcBorders>
          </w:tcPr>
          <w:p w14:paraId="414D5262"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 xml:space="preserve">Real Gross Domestic Product </w:t>
            </w:r>
          </w:p>
        </w:tc>
        <w:tc>
          <w:tcPr>
            <w:tcW w:w="1577" w:type="dxa"/>
            <w:tcBorders>
              <w:top w:val="single" w:sz="4" w:space="0" w:color="auto"/>
              <w:left w:val="single" w:sz="4" w:space="0" w:color="auto"/>
              <w:bottom w:val="single" w:sz="4" w:space="0" w:color="auto"/>
              <w:right w:val="single" w:sz="4" w:space="0" w:color="auto"/>
            </w:tcBorders>
          </w:tcPr>
          <w:p w14:paraId="4E5E5610" w14:textId="77777777" w:rsidR="0006201C" w:rsidRPr="00C73469" w:rsidRDefault="0006201C" w:rsidP="003666B8">
            <w:pPr>
              <w:spacing w:line="240" w:lineRule="auto"/>
              <w:jc w:val="both"/>
              <w:rPr>
                <w:rFonts w:ascii="Times New Roman" w:eastAsia="Calibri" w:hAnsi="Times New Roman"/>
                <w:sz w:val="24"/>
                <w:szCs w:val="24"/>
              </w:rPr>
            </w:pPr>
            <w:proofErr w:type="spellStart"/>
            <w:r w:rsidRPr="00C73469">
              <w:rPr>
                <w:rFonts w:ascii="Times New Roman" w:eastAsia="Calibri" w:hAnsi="Times New Roman"/>
                <w:sz w:val="24"/>
                <w:szCs w:val="24"/>
              </w:rPr>
              <w:t>Rgdp</w:t>
            </w:r>
            <w:proofErr w:type="spellEnd"/>
          </w:p>
        </w:tc>
        <w:tc>
          <w:tcPr>
            <w:tcW w:w="2612" w:type="dxa"/>
            <w:tcBorders>
              <w:top w:val="single" w:sz="4" w:space="0" w:color="auto"/>
              <w:left w:val="single" w:sz="4" w:space="0" w:color="auto"/>
              <w:bottom w:val="single" w:sz="4" w:space="0" w:color="auto"/>
              <w:right w:val="single" w:sz="4" w:space="0" w:color="auto"/>
            </w:tcBorders>
          </w:tcPr>
          <w:p w14:paraId="14188333"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 xml:space="preserve">This is GDP measured in real terms and measure of the level of performance of development of the economy. It is measured in millions of dollars in order to enable international comparison is the real income level in the economy which shows the basic structure of an economy in terms of aggregate income level </w:t>
            </w:r>
          </w:p>
        </w:tc>
        <w:tc>
          <w:tcPr>
            <w:tcW w:w="1620" w:type="dxa"/>
            <w:tcBorders>
              <w:top w:val="single" w:sz="4" w:space="0" w:color="auto"/>
              <w:left w:val="single" w:sz="4" w:space="0" w:color="auto"/>
              <w:bottom w:val="single" w:sz="4" w:space="0" w:color="auto"/>
              <w:right w:val="single" w:sz="4" w:space="0" w:color="auto"/>
            </w:tcBorders>
          </w:tcPr>
          <w:p w14:paraId="0B6DF7C6"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World Bank development indicators</w:t>
            </w:r>
          </w:p>
        </w:tc>
        <w:tc>
          <w:tcPr>
            <w:tcW w:w="1163" w:type="dxa"/>
            <w:tcBorders>
              <w:top w:val="single" w:sz="4" w:space="0" w:color="auto"/>
              <w:left w:val="single" w:sz="4" w:space="0" w:color="auto"/>
              <w:bottom w:val="single" w:sz="4" w:space="0" w:color="auto"/>
              <w:right w:val="single" w:sz="4" w:space="0" w:color="auto"/>
            </w:tcBorders>
          </w:tcPr>
          <w:p w14:paraId="14C71BE8"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Positive</w:t>
            </w:r>
          </w:p>
        </w:tc>
      </w:tr>
      <w:tr w:rsidR="0006201C" w:rsidRPr="00C73469" w14:paraId="0780E792" w14:textId="77777777" w:rsidTr="003666B8">
        <w:tc>
          <w:tcPr>
            <w:tcW w:w="639" w:type="dxa"/>
            <w:tcBorders>
              <w:top w:val="single" w:sz="4" w:space="0" w:color="auto"/>
              <w:left w:val="single" w:sz="4" w:space="0" w:color="auto"/>
              <w:bottom w:val="single" w:sz="4" w:space="0" w:color="auto"/>
              <w:right w:val="single" w:sz="4" w:space="0" w:color="auto"/>
            </w:tcBorders>
            <w:hideMark/>
          </w:tcPr>
          <w:p w14:paraId="7DBF5657"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3</w:t>
            </w:r>
          </w:p>
        </w:tc>
        <w:tc>
          <w:tcPr>
            <w:tcW w:w="1850" w:type="dxa"/>
            <w:tcBorders>
              <w:top w:val="single" w:sz="4" w:space="0" w:color="auto"/>
              <w:left w:val="single" w:sz="4" w:space="0" w:color="auto"/>
              <w:bottom w:val="single" w:sz="4" w:space="0" w:color="auto"/>
              <w:right w:val="single" w:sz="4" w:space="0" w:color="auto"/>
            </w:tcBorders>
          </w:tcPr>
          <w:p w14:paraId="306043B0"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 xml:space="preserve">Inflation rate </w:t>
            </w:r>
          </w:p>
        </w:tc>
        <w:tc>
          <w:tcPr>
            <w:tcW w:w="1577" w:type="dxa"/>
            <w:tcBorders>
              <w:top w:val="single" w:sz="4" w:space="0" w:color="auto"/>
              <w:left w:val="single" w:sz="4" w:space="0" w:color="auto"/>
              <w:bottom w:val="single" w:sz="4" w:space="0" w:color="auto"/>
              <w:right w:val="single" w:sz="4" w:space="0" w:color="auto"/>
            </w:tcBorders>
          </w:tcPr>
          <w:p w14:paraId="781188FB"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INFR</w:t>
            </w:r>
          </w:p>
        </w:tc>
        <w:tc>
          <w:tcPr>
            <w:tcW w:w="2612" w:type="dxa"/>
            <w:tcBorders>
              <w:top w:val="single" w:sz="4" w:space="0" w:color="auto"/>
              <w:left w:val="single" w:sz="4" w:space="0" w:color="auto"/>
              <w:bottom w:val="single" w:sz="4" w:space="0" w:color="auto"/>
              <w:right w:val="single" w:sz="4" w:space="0" w:color="auto"/>
            </w:tcBorders>
          </w:tcPr>
          <w:p w14:paraId="53C1016A"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 xml:space="preserve">Consumer price index is defined as the variation in prices for retail goods and other items </w:t>
            </w:r>
          </w:p>
        </w:tc>
        <w:tc>
          <w:tcPr>
            <w:tcW w:w="1620" w:type="dxa"/>
            <w:tcBorders>
              <w:top w:val="single" w:sz="4" w:space="0" w:color="auto"/>
              <w:left w:val="single" w:sz="4" w:space="0" w:color="auto"/>
              <w:bottom w:val="single" w:sz="4" w:space="0" w:color="auto"/>
              <w:right w:val="single" w:sz="4" w:space="0" w:color="auto"/>
            </w:tcBorders>
          </w:tcPr>
          <w:p w14:paraId="2E601FA4"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 xml:space="preserve">World Bank Development indicators </w:t>
            </w:r>
          </w:p>
        </w:tc>
        <w:tc>
          <w:tcPr>
            <w:tcW w:w="1163" w:type="dxa"/>
            <w:tcBorders>
              <w:top w:val="single" w:sz="4" w:space="0" w:color="auto"/>
              <w:left w:val="single" w:sz="4" w:space="0" w:color="auto"/>
              <w:bottom w:val="single" w:sz="4" w:space="0" w:color="auto"/>
              <w:right w:val="single" w:sz="4" w:space="0" w:color="auto"/>
            </w:tcBorders>
          </w:tcPr>
          <w:p w14:paraId="38AAB224"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Negative</w:t>
            </w:r>
          </w:p>
        </w:tc>
      </w:tr>
      <w:tr w:rsidR="0006201C" w:rsidRPr="00C73469" w14:paraId="73F75037" w14:textId="77777777" w:rsidTr="003666B8">
        <w:tc>
          <w:tcPr>
            <w:tcW w:w="639" w:type="dxa"/>
            <w:tcBorders>
              <w:top w:val="single" w:sz="4" w:space="0" w:color="auto"/>
              <w:left w:val="single" w:sz="4" w:space="0" w:color="auto"/>
              <w:bottom w:val="single" w:sz="4" w:space="0" w:color="auto"/>
              <w:right w:val="single" w:sz="4" w:space="0" w:color="auto"/>
            </w:tcBorders>
            <w:hideMark/>
          </w:tcPr>
          <w:p w14:paraId="7740935E"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4</w:t>
            </w:r>
          </w:p>
        </w:tc>
        <w:tc>
          <w:tcPr>
            <w:tcW w:w="1850" w:type="dxa"/>
            <w:tcBorders>
              <w:top w:val="single" w:sz="4" w:space="0" w:color="auto"/>
              <w:left w:val="single" w:sz="4" w:space="0" w:color="auto"/>
              <w:bottom w:val="single" w:sz="4" w:space="0" w:color="auto"/>
              <w:right w:val="single" w:sz="4" w:space="0" w:color="auto"/>
            </w:tcBorders>
          </w:tcPr>
          <w:p w14:paraId="03627A5C"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Fiscal deficit</w:t>
            </w:r>
          </w:p>
        </w:tc>
        <w:tc>
          <w:tcPr>
            <w:tcW w:w="1577" w:type="dxa"/>
            <w:tcBorders>
              <w:top w:val="single" w:sz="4" w:space="0" w:color="auto"/>
              <w:left w:val="single" w:sz="4" w:space="0" w:color="auto"/>
              <w:bottom w:val="single" w:sz="4" w:space="0" w:color="auto"/>
              <w:right w:val="single" w:sz="4" w:space="0" w:color="auto"/>
            </w:tcBorders>
          </w:tcPr>
          <w:p w14:paraId="73FCBC9D"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FD</w:t>
            </w:r>
          </w:p>
        </w:tc>
        <w:tc>
          <w:tcPr>
            <w:tcW w:w="2612" w:type="dxa"/>
            <w:tcBorders>
              <w:top w:val="single" w:sz="4" w:space="0" w:color="auto"/>
              <w:left w:val="single" w:sz="4" w:space="0" w:color="auto"/>
              <w:bottom w:val="single" w:sz="4" w:space="0" w:color="auto"/>
              <w:right w:val="single" w:sz="4" w:space="0" w:color="auto"/>
            </w:tcBorders>
          </w:tcPr>
          <w:p w14:paraId="41DCBEC8"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This is the difference between expected government revenue and expected government expenditure</w:t>
            </w:r>
          </w:p>
        </w:tc>
        <w:tc>
          <w:tcPr>
            <w:tcW w:w="1620" w:type="dxa"/>
            <w:tcBorders>
              <w:top w:val="single" w:sz="4" w:space="0" w:color="auto"/>
              <w:left w:val="single" w:sz="4" w:space="0" w:color="auto"/>
              <w:bottom w:val="single" w:sz="4" w:space="0" w:color="auto"/>
              <w:right w:val="single" w:sz="4" w:space="0" w:color="auto"/>
            </w:tcBorders>
          </w:tcPr>
          <w:p w14:paraId="4C8FE04A"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International monetary fund online database.</w:t>
            </w:r>
          </w:p>
        </w:tc>
        <w:tc>
          <w:tcPr>
            <w:tcW w:w="1163" w:type="dxa"/>
            <w:tcBorders>
              <w:top w:val="single" w:sz="4" w:space="0" w:color="auto"/>
              <w:left w:val="single" w:sz="4" w:space="0" w:color="auto"/>
              <w:bottom w:val="single" w:sz="4" w:space="0" w:color="auto"/>
              <w:right w:val="single" w:sz="4" w:space="0" w:color="auto"/>
            </w:tcBorders>
          </w:tcPr>
          <w:p w14:paraId="469C445C"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Negative</w:t>
            </w:r>
          </w:p>
        </w:tc>
      </w:tr>
      <w:tr w:rsidR="0006201C" w:rsidRPr="00C73469" w14:paraId="04875B81" w14:textId="77777777" w:rsidTr="003666B8">
        <w:tc>
          <w:tcPr>
            <w:tcW w:w="639" w:type="dxa"/>
            <w:tcBorders>
              <w:top w:val="single" w:sz="4" w:space="0" w:color="auto"/>
              <w:left w:val="single" w:sz="4" w:space="0" w:color="auto"/>
              <w:bottom w:val="single" w:sz="4" w:space="0" w:color="auto"/>
              <w:right w:val="single" w:sz="4" w:space="0" w:color="auto"/>
            </w:tcBorders>
            <w:hideMark/>
          </w:tcPr>
          <w:p w14:paraId="71CD432A"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5</w:t>
            </w:r>
          </w:p>
        </w:tc>
        <w:tc>
          <w:tcPr>
            <w:tcW w:w="1850" w:type="dxa"/>
            <w:tcBorders>
              <w:top w:val="single" w:sz="4" w:space="0" w:color="auto"/>
              <w:left w:val="single" w:sz="4" w:space="0" w:color="auto"/>
              <w:bottom w:val="single" w:sz="4" w:space="0" w:color="auto"/>
              <w:right w:val="single" w:sz="4" w:space="0" w:color="auto"/>
            </w:tcBorders>
            <w:hideMark/>
          </w:tcPr>
          <w:p w14:paraId="6A96A5C1"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 xml:space="preserve">Interest Rate </w:t>
            </w:r>
          </w:p>
        </w:tc>
        <w:tc>
          <w:tcPr>
            <w:tcW w:w="1577" w:type="dxa"/>
            <w:tcBorders>
              <w:top w:val="single" w:sz="4" w:space="0" w:color="auto"/>
              <w:left w:val="single" w:sz="4" w:space="0" w:color="auto"/>
              <w:bottom w:val="single" w:sz="4" w:space="0" w:color="auto"/>
              <w:right w:val="single" w:sz="4" w:space="0" w:color="auto"/>
            </w:tcBorders>
            <w:hideMark/>
          </w:tcPr>
          <w:p w14:paraId="3061D4ED"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RIR</w:t>
            </w:r>
          </w:p>
        </w:tc>
        <w:tc>
          <w:tcPr>
            <w:tcW w:w="2612" w:type="dxa"/>
            <w:tcBorders>
              <w:top w:val="single" w:sz="4" w:space="0" w:color="auto"/>
              <w:left w:val="single" w:sz="4" w:space="0" w:color="auto"/>
              <w:bottom w:val="single" w:sz="4" w:space="0" w:color="auto"/>
              <w:right w:val="single" w:sz="4" w:space="0" w:color="auto"/>
            </w:tcBorders>
            <w:hideMark/>
          </w:tcPr>
          <w:p w14:paraId="34324C95"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 xml:space="preserve">This is the rate of interest an investor, saver or lender receives (or expect to receive) after allowing for inflation. Fisher equation describes it as nominal interest rate minus inflation rate. It does not change on regular basis but </w:t>
            </w:r>
            <w:proofErr w:type="gramStart"/>
            <w:r w:rsidRPr="00C73469">
              <w:rPr>
                <w:rFonts w:ascii="Times New Roman" w:eastAsia="Calibri" w:hAnsi="Times New Roman"/>
                <w:sz w:val="24"/>
                <w:szCs w:val="24"/>
              </w:rPr>
              <w:t>rather  changes</w:t>
            </w:r>
            <w:proofErr w:type="gramEnd"/>
            <w:r w:rsidRPr="00C73469">
              <w:rPr>
                <w:rFonts w:ascii="Times New Roman" w:eastAsia="Calibri" w:hAnsi="Times New Roman"/>
                <w:sz w:val="24"/>
                <w:szCs w:val="24"/>
              </w:rPr>
              <w:t xml:space="preserve"> whenever the federal revenue sees the need to </w:t>
            </w:r>
            <w:r w:rsidRPr="00C73469">
              <w:rPr>
                <w:rFonts w:ascii="Times New Roman" w:eastAsia="Calibri" w:hAnsi="Times New Roman"/>
                <w:sz w:val="24"/>
                <w:szCs w:val="24"/>
              </w:rPr>
              <w:lastRenderedPageBreak/>
              <w:t xml:space="preserve">alter the rates at which borrowers obtain funds. </w:t>
            </w:r>
          </w:p>
        </w:tc>
        <w:tc>
          <w:tcPr>
            <w:tcW w:w="1620" w:type="dxa"/>
            <w:tcBorders>
              <w:top w:val="single" w:sz="4" w:space="0" w:color="auto"/>
              <w:left w:val="single" w:sz="4" w:space="0" w:color="auto"/>
              <w:bottom w:val="single" w:sz="4" w:space="0" w:color="auto"/>
              <w:right w:val="single" w:sz="4" w:space="0" w:color="auto"/>
            </w:tcBorders>
          </w:tcPr>
          <w:p w14:paraId="08B0CAB9" w14:textId="77777777" w:rsidR="0006201C" w:rsidRPr="00C73469" w:rsidRDefault="0006201C" w:rsidP="003666B8">
            <w:pPr>
              <w:spacing w:line="240" w:lineRule="auto"/>
              <w:jc w:val="both"/>
              <w:rPr>
                <w:rFonts w:ascii="Times New Roman" w:eastAsia="Calibri" w:hAnsi="Times New Roman"/>
                <w:sz w:val="24"/>
                <w:szCs w:val="24"/>
              </w:rPr>
            </w:pPr>
          </w:p>
        </w:tc>
        <w:tc>
          <w:tcPr>
            <w:tcW w:w="1163" w:type="dxa"/>
            <w:tcBorders>
              <w:top w:val="single" w:sz="4" w:space="0" w:color="auto"/>
              <w:left w:val="single" w:sz="4" w:space="0" w:color="auto"/>
              <w:bottom w:val="single" w:sz="4" w:space="0" w:color="auto"/>
              <w:right w:val="single" w:sz="4" w:space="0" w:color="auto"/>
            </w:tcBorders>
            <w:hideMark/>
          </w:tcPr>
          <w:p w14:paraId="015DBF7A"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negative</w:t>
            </w:r>
          </w:p>
        </w:tc>
      </w:tr>
      <w:tr w:rsidR="0006201C" w:rsidRPr="00C73469" w14:paraId="31772CC9" w14:textId="77777777" w:rsidTr="003666B8">
        <w:tc>
          <w:tcPr>
            <w:tcW w:w="639" w:type="dxa"/>
            <w:tcBorders>
              <w:top w:val="single" w:sz="4" w:space="0" w:color="auto"/>
              <w:left w:val="single" w:sz="4" w:space="0" w:color="auto"/>
              <w:bottom w:val="single" w:sz="4" w:space="0" w:color="auto"/>
              <w:right w:val="single" w:sz="4" w:space="0" w:color="auto"/>
            </w:tcBorders>
            <w:hideMark/>
          </w:tcPr>
          <w:p w14:paraId="57CE0F79"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6</w:t>
            </w:r>
          </w:p>
        </w:tc>
        <w:tc>
          <w:tcPr>
            <w:tcW w:w="1850" w:type="dxa"/>
            <w:tcBorders>
              <w:top w:val="single" w:sz="4" w:space="0" w:color="auto"/>
              <w:left w:val="single" w:sz="4" w:space="0" w:color="auto"/>
              <w:bottom w:val="single" w:sz="4" w:space="0" w:color="auto"/>
              <w:right w:val="single" w:sz="4" w:space="0" w:color="auto"/>
            </w:tcBorders>
            <w:hideMark/>
          </w:tcPr>
          <w:p w14:paraId="17346F5B"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 xml:space="preserve">Monetary Supply </w:t>
            </w:r>
          </w:p>
        </w:tc>
        <w:tc>
          <w:tcPr>
            <w:tcW w:w="1577" w:type="dxa"/>
            <w:tcBorders>
              <w:top w:val="single" w:sz="4" w:space="0" w:color="auto"/>
              <w:left w:val="single" w:sz="4" w:space="0" w:color="auto"/>
              <w:bottom w:val="single" w:sz="4" w:space="0" w:color="auto"/>
              <w:right w:val="single" w:sz="4" w:space="0" w:color="auto"/>
            </w:tcBorders>
            <w:hideMark/>
          </w:tcPr>
          <w:p w14:paraId="51A0BAD8"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MS</w:t>
            </w:r>
          </w:p>
        </w:tc>
        <w:tc>
          <w:tcPr>
            <w:tcW w:w="2612" w:type="dxa"/>
            <w:tcBorders>
              <w:top w:val="single" w:sz="4" w:space="0" w:color="auto"/>
              <w:left w:val="single" w:sz="4" w:space="0" w:color="auto"/>
              <w:bottom w:val="single" w:sz="4" w:space="0" w:color="auto"/>
              <w:right w:val="single" w:sz="4" w:space="0" w:color="auto"/>
            </w:tcBorders>
            <w:hideMark/>
          </w:tcPr>
          <w:p w14:paraId="1E2CC092"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 xml:space="preserve">Money supply is the total volume of money in </w:t>
            </w:r>
            <w:r>
              <w:rPr>
                <w:rFonts w:ascii="Times New Roman" w:eastAsia="Calibri" w:hAnsi="Times New Roman"/>
                <w:sz w:val="24"/>
                <w:szCs w:val="24"/>
              </w:rPr>
              <w:t xml:space="preserve">circulation, </w:t>
            </w:r>
            <w:proofErr w:type="gramStart"/>
            <w:r>
              <w:rPr>
                <w:rFonts w:ascii="Times New Roman" w:eastAsia="Calibri" w:hAnsi="Times New Roman"/>
                <w:sz w:val="24"/>
                <w:szCs w:val="24"/>
              </w:rPr>
              <w:t>M</w:t>
            </w:r>
            <w:r w:rsidRPr="00C73469">
              <w:rPr>
                <w:rFonts w:ascii="Times New Roman" w:eastAsia="Calibri" w:hAnsi="Times New Roman"/>
                <w:sz w:val="24"/>
                <w:szCs w:val="24"/>
              </w:rPr>
              <w:t>oney  supply</w:t>
            </w:r>
            <w:proofErr w:type="gramEnd"/>
            <w:r w:rsidRPr="00C73469">
              <w:rPr>
                <w:rFonts w:ascii="Times New Roman" w:eastAsia="Calibri" w:hAnsi="Times New Roman"/>
                <w:sz w:val="24"/>
                <w:szCs w:val="24"/>
              </w:rPr>
              <w:t xml:space="preserve"> could be defined narrowly or broadly. However, in this study, broad money supply was used. </w:t>
            </w:r>
          </w:p>
        </w:tc>
        <w:tc>
          <w:tcPr>
            <w:tcW w:w="1620" w:type="dxa"/>
            <w:tcBorders>
              <w:top w:val="single" w:sz="4" w:space="0" w:color="auto"/>
              <w:left w:val="single" w:sz="4" w:space="0" w:color="auto"/>
              <w:bottom w:val="single" w:sz="4" w:space="0" w:color="auto"/>
              <w:right w:val="single" w:sz="4" w:space="0" w:color="auto"/>
            </w:tcBorders>
            <w:hideMark/>
          </w:tcPr>
          <w:p w14:paraId="35E45B2F"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 xml:space="preserve">International monetary fund online data base </w:t>
            </w:r>
          </w:p>
        </w:tc>
        <w:tc>
          <w:tcPr>
            <w:tcW w:w="1163" w:type="dxa"/>
            <w:tcBorders>
              <w:top w:val="single" w:sz="4" w:space="0" w:color="auto"/>
              <w:left w:val="single" w:sz="4" w:space="0" w:color="auto"/>
              <w:bottom w:val="single" w:sz="4" w:space="0" w:color="auto"/>
              <w:right w:val="single" w:sz="4" w:space="0" w:color="auto"/>
            </w:tcBorders>
            <w:hideMark/>
          </w:tcPr>
          <w:p w14:paraId="148AF21E"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Positive</w:t>
            </w:r>
          </w:p>
        </w:tc>
      </w:tr>
      <w:tr w:rsidR="0006201C" w:rsidRPr="00C73469" w14:paraId="742C5FA4" w14:textId="77777777" w:rsidTr="003666B8">
        <w:tc>
          <w:tcPr>
            <w:tcW w:w="639" w:type="dxa"/>
            <w:tcBorders>
              <w:top w:val="single" w:sz="4" w:space="0" w:color="auto"/>
              <w:left w:val="single" w:sz="4" w:space="0" w:color="auto"/>
              <w:bottom w:val="single" w:sz="4" w:space="0" w:color="auto"/>
              <w:right w:val="single" w:sz="4" w:space="0" w:color="auto"/>
            </w:tcBorders>
            <w:hideMark/>
          </w:tcPr>
          <w:p w14:paraId="43FDE439"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7</w:t>
            </w:r>
          </w:p>
        </w:tc>
        <w:tc>
          <w:tcPr>
            <w:tcW w:w="1850" w:type="dxa"/>
            <w:tcBorders>
              <w:top w:val="single" w:sz="4" w:space="0" w:color="auto"/>
              <w:left w:val="single" w:sz="4" w:space="0" w:color="auto"/>
              <w:bottom w:val="single" w:sz="4" w:space="0" w:color="auto"/>
              <w:right w:val="single" w:sz="4" w:space="0" w:color="auto"/>
            </w:tcBorders>
            <w:hideMark/>
          </w:tcPr>
          <w:p w14:paraId="7E294A4D"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 xml:space="preserve">Expected inflation rate </w:t>
            </w:r>
          </w:p>
        </w:tc>
        <w:tc>
          <w:tcPr>
            <w:tcW w:w="1577" w:type="dxa"/>
            <w:tcBorders>
              <w:top w:val="single" w:sz="4" w:space="0" w:color="auto"/>
              <w:left w:val="single" w:sz="4" w:space="0" w:color="auto"/>
              <w:bottom w:val="single" w:sz="4" w:space="0" w:color="auto"/>
              <w:right w:val="single" w:sz="4" w:space="0" w:color="auto"/>
            </w:tcBorders>
            <w:hideMark/>
          </w:tcPr>
          <w:p w14:paraId="111465E2"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EIFR</w:t>
            </w:r>
          </w:p>
        </w:tc>
        <w:tc>
          <w:tcPr>
            <w:tcW w:w="2612" w:type="dxa"/>
            <w:tcBorders>
              <w:top w:val="single" w:sz="4" w:space="0" w:color="auto"/>
              <w:left w:val="single" w:sz="4" w:space="0" w:color="auto"/>
              <w:bottom w:val="single" w:sz="4" w:space="0" w:color="auto"/>
              <w:right w:val="single" w:sz="4" w:space="0" w:color="auto"/>
            </w:tcBorders>
            <w:hideMark/>
          </w:tcPr>
          <w:p w14:paraId="569556F5"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 xml:space="preserve">This is extrapolations of current and past values of the time series  </w:t>
            </w:r>
          </w:p>
        </w:tc>
        <w:tc>
          <w:tcPr>
            <w:tcW w:w="1620" w:type="dxa"/>
            <w:tcBorders>
              <w:top w:val="single" w:sz="4" w:space="0" w:color="auto"/>
              <w:left w:val="single" w:sz="4" w:space="0" w:color="auto"/>
              <w:bottom w:val="single" w:sz="4" w:space="0" w:color="auto"/>
              <w:right w:val="single" w:sz="4" w:space="0" w:color="auto"/>
            </w:tcBorders>
            <w:hideMark/>
          </w:tcPr>
          <w:p w14:paraId="3A35D643"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 xml:space="preserve">This was generated using reduced form VAR to form the discounted sun of expected future values of line proxy variable for marginal cost, the output gap or the labour share of income </w:t>
            </w:r>
          </w:p>
        </w:tc>
        <w:tc>
          <w:tcPr>
            <w:tcW w:w="1163" w:type="dxa"/>
            <w:tcBorders>
              <w:top w:val="single" w:sz="4" w:space="0" w:color="auto"/>
              <w:left w:val="single" w:sz="4" w:space="0" w:color="auto"/>
              <w:bottom w:val="single" w:sz="4" w:space="0" w:color="auto"/>
              <w:right w:val="single" w:sz="4" w:space="0" w:color="auto"/>
            </w:tcBorders>
            <w:hideMark/>
          </w:tcPr>
          <w:p w14:paraId="3E699956"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Negative</w:t>
            </w:r>
          </w:p>
        </w:tc>
      </w:tr>
      <w:tr w:rsidR="0006201C" w:rsidRPr="00C73469" w14:paraId="50E2EA1E" w14:textId="77777777" w:rsidTr="003666B8">
        <w:tc>
          <w:tcPr>
            <w:tcW w:w="639" w:type="dxa"/>
            <w:tcBorders>
              <w:top w:val="single" w:sz="4" w:space="0" w:color="auto"/>
              <w:left w:val="single" w:sz="4" w:space="0" w:color="auto"/>
              <w:bottom w:val="single" w:sz="4" w:space="0" w:color="auto"/>
              <w:right w:val="single" w:sz="4" w:space="0" w:color="auto"/>
            </w:tcBorders>
            <w:hideMark/>
          </w:tcPr>
          <w:p w14:paraId="655E09E4"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8</w:t>
            </w:r>
          </w:p>
        </w:tc>
        <w:tc>
          <w:tcPr>
            <w:tcW w:w="1850" w:type="dxa"/>
            <w:tcBorders>
              <w:top w:val="single" w:sz="4" w:space="0" w:color="auto"/>
              <w:left w:val="single" w:sz="4" w:space="0" w:color="auto"/>
              <w:bottom w:val="single" w:sz="4" w:space="0" w:color="auto"/>
              <w:right w:val="single" w:sz="4" w:space="0" w:color="auto"/>
            </w:tcBorders>
          </w:tcPr>
          <w:p w14:paraId="63AE5EA5"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 xml:space="preserve">Real Effective Exchange Rate </w:t>
            </w:r>
          </w:p>
        </w:tc>
        <w:tc>
          <w:tcPr>
            <w:tcW w:w="1577" w:type="dxa"/>
            <w:tcBorders>
              <w:top w:val="single" w:sz="4" w:space="0" w:color="auto"/>
              <w:left w:val="single" w:sz="4" w:space="0" w:color="auto"/>
              <w:bottom w:val="single" w:sz="4" w:space="0" w:color="auto"/>
              <w:right w:val="single" w:sz="4" w:space="0" w:color="auto"/>
            </w:tcBorders>
          </w:tcPr>
          <w:p w14:paraId="3371D295"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REER</w:t>
            </w:r>
          </w:p>
        </w:tc>
        <w:tc>
          <w:tcPr>
            <w:tcW w:w="2612" w:type="dxa"/>
            <w:tcBorders>
              <w:top w:val="single" w:sz="4" w:space="0" w:color="auto"/>
              <w:left w:val="single" w:sz="4" w:space="0" w:color="auto"/>
              <w:bottom w:val="single" w:sz="4" w:space="0" w:color="auto"/>
              <w:right w:val="single" w:sz="4" w:space="0" w:color="auto"/>
            </w:tcBorders>
          </w:tcPr>
          <w:p w14:paraId="30A87486"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 xml:space="preserve">This is defined as the nominal exchange rate multiplied by the ratio of the consumer price index of the domestic economy relative to the United States of America     </w:t>
            </w:r>
          </w:p>
        </w:tc>
        <w:tc>
          <w:tcPr>
            <w:tcW w:w="1620" w:type="dxa"/>
            <w:tcBorders>
              <w:top w:val="single" w:sz="4" w:space="0" w:color="auto"/>
              <w:left w:val="single" w:sz="4" w:space="0" w:color="auto"/>
              <w:bottom w:val="single" w:sz="4" w:space="0" w:color="auto"/>
              <w:right w:val="single" w:sz="4" w:space="0" w:color="auto"/>
            </w:tcBorders>
          </w:tcPr>
          <w:p w14:paraId="498AFCB7"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 xml:space="preserve">World Bank Development indicators </w:t>
            </w:r>
          </w:p>
        </w:tc>
        <w:tc>
          <w:tcPr>
            <w:tcW w:w="1163" w:type="dxa"/>
            <w:tcBorders>
              <w:top w:val="single" w:sz="4" w:space="0" w:color="auto"/>
              <w:left w:val="single" w:sz="4" w:space="0" w:color="auto"/>
              <w:bottom w:val="single" w:sz="4" w:space="0" w:color="auto"/>
              <w:right w:val="single" w:sz="4" w:space="0" w:color="auto"/>
            </w:tcBorders>
          </w:tcPr>
          <w:p w14:paraId="740DCF9F"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Positive</w:t>
            </w:r>
          </w:p>
        </w:tc>
      </w:tr>
      <w:tr w:rsidR="0006201C" w:rsidRPr="00C73469" w14:paraId="2B85A5BB" w14:textId="77777777" w:rsidTr="003666B8">
        <w:tc>
          <w:tcPr>
            <w:tcW w:w="639" w:type="dxa"/>
            <w:tcBorders>
              <w:top w:val="single" w:sz="4" w:space="0" w:color="auto"/>
              <w:left w:val="single" w:sz="4" w:space="0" w:color="auto"/>
              <w:bottom w:val="single" w:sz="4" w:space="0" w:color="auto"/>
              <w:right w:val="single" w:sz="4" w:space="0" w:color="auto"/>
            </w:tcBorders>
            <w:hideMark/>
          </w:tcPr>
          <w:p w14:paraId="2C3C5558"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9.</w:t>
            </w:r>
          </w:p>
        </w:tc>
        <w:tc>
          <w:tcPr>
            <w:tcW w:w="1850" w:type="dxa"/>
            <w:tcBorders>
              <w:top w:val="single" w:sz="4" w:space="0" w:color="auto"/>
              <w:left w:val="single" w:sz="4" w:space="0" w:color="auto"/>
              <w:bottom w:val="single" w:sz="4" w:space="0" w:color="auto"/>
              <w:right w:val="single" w:sz="4" w:space="0" w:color="auto"/>
            </w:tcBorders>
            <w:hideMark/>
          </w:tcPr>
          <w:p w14:paraId="21A2DFA5"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Gross Fixed capital formation</w:t>
            </w:r>
          </w:p>
        </w:tc>
        <w:tc>
          <w:tcPr>
            <w:tcW w:w="1577" w:type="dxa"/>
            <w:tcBorders>
              <w:top w:val="single" w:sz="4" w:space="0" w:color="auto"/>
              <w:left w:val="single" w:sz="4" w:space="0" w:color="auto"/>
              <w:bottom w:val="single" w:sz="4" w:space="0" w:color="auto"/>
              <w:right w:val="single" w:sz="4" w:space="0" w:color="auto"/>
            </w:tcBorders>
            <w:hideMark/>
          </w:tcPr>
          <w:p w14:paraId="006A8C25"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GFCF</w:t>
            </w:r>
          </w:p>
        </w:tc>
        <w:tc>
          <w:tcPr>
            <w:tcW w:w="2612" w:type="dxa"/>
            <w:tcBorders>
              <w:top w:val="single" w:sz="4" w:space="0" w:color="auto"/>
              <w:left w:val="single" w:sz="4" w:space="0" w:color="auto"/>
              <w:bottom w:val="single" w:sz="4" w:space="0" w:color="auto"/>
              <w:right w:val="single" w:sz="4" w:space="0" w:color="auto"/>
            </w:tcBorders>
            <w:hideMark/>
          </w:tcPr>
          <w:p w14:paraId="128F1AB2"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This shows the total investment in an economy</w:t>
            </w:r>
          </w:p>
        </w:tc>
        <w:tc>
          <w:tcPr>
            <w:tcW w:w="1620" w:type="dxa"/>
            <w:tcBorders>
              <w:top w:val="single" w:sz="4" w:space="0" w:color="auto"/>
              <w:left w:val="single" w:sz="4" w:space="0" w:color="auto"/>
              <w:bottom w:val="single" w:sz="4" w:space="0" w:color="auto"/>
              <w:right w:val="single" w:sz="4" w:space="0" w:color="auto"/>
            </w:tcBorders>
            <w:hideMark/>
          </w:tcPr>
          <w:p w14:paraId="16FFDB6F"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International monetary fund online data base</w:t>
            </w:r>
          </w:p>
        </w:tc>
        <w:tc>
          <w:tcPr>
            <w:tcW w:w="1163" w:type="dxa"/>
            <w:tcBorders>
              <w:top w:val="single" w:sz="4" w:space="0" w:color="auto"/>
              <w:left w:val="single" w:sz="4" w:space="0" w:color="auto"/>
              <w:bottom w:val="single" w:sz="4" w:space="0" w:color="auto"/>
              <w:right w:val="single" w:sz="4" w:space="0" w:color="auto"/>
            </w:tcBorders>
            <w:hideMark/>
          </w:tcPr>
          <w:p w14:paraId="7091FC36" w14:textId="77777777"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Positive</w:t>
            </w:r>
          </w:p>
        </w:tc>
      </w:tr>
    </w:tbl>
    <w:p w14:paraId="4133CDC7" w14:textId="77777777" w:rsidR="00E20786" w:rsidRDefault="00E20786" w:rsidP="002059FD">
      <w:pPr>
        <w:spacing w:line="360" w:lineRule="auto"/>
        <w:rPr>
          <w:rFonts w:ascii="Times New Roman" w:hAnsi="Times New Roman"/>
          <w:b/>
          <w:sz w:val="24"/>
          <w:szCs w:val="26"/>
        </w:rPr>
      </w:pPr>
    </w:p>
    <w:p w14:paraId="7B6A12C5" w14:textId="77777777" w:rsidR="00E650F1" w:rsidRDefault="002059FD" w:rsidP="002059FD">
      <w:pPr>
        <w:spacing w:line="360" w:lineRule="auto"/>
        <w:rPr>
          <w:rFonts w:ascii="Times New Roman" w:hAnsi="Times New Roman" w:cs="Times New Roman"/>
          <w:sz w:val="24"/>
          <w:szCs w:val="24"/>
        </w:rPr>
      </w:pPr>
      <w:r>
        <w:rPr>
          <w:rFonts w:ascii="Times New Roman" w:hAnsi="Times New Roman"/>
          <w:b/>
          <w:sz w:val="24"/>
          <w:szCs w:val="26"/>
        </w:rPr>
        <w:t xml:space="preserve">4.0 </w:t>
      </w:r>
      <w:r w:rsidR="00E20786" w:rsidRPr="00D02384">
        <w:rPr>
          <w:rFonts w:ascii="Times New Roman" w:hAnsi="Times New Roman"/>
          <w:b/>
          <w:sz w:val="24"/>
          <w:szCs w:val="26"/>
        </w:rPr>
        <w:t>Results and Discussions</w:t>
      </w:r>
      <w:r w:rsidR="00227D23" w:rsidRPr="00C92F2F">
        <w:rPr>
          <w:rFonts w:ascii="Times New Roman" w:hAnsi="Times New Roman" w:cs="Times New Roman"/>
          <w:sz w:val="24"/>
          <w:szCs w:val="24"/>
        </w:rPr>
        <w:t>.</w:t>
      </w:r>
    </w:p>
    <w:p w14:paraId="2F5F1AB6" w14:textId="2A3D4D55" w:rsidR="002059FD" w:rsidRPr="00CD23AA" w:rsidRDefault="00C86DF8" w:rsidP="00E20786">
      <w:pPr>
        <w:spacing w:line="360" w:lineRule="auto"/>
        <w:jc w:val="both"/>
        <w:rPr>
          <w:rFonts w:ascii="Times New Roman" w:hAnsi="Times New Roman"/>
          <w:sz w:val="24"/>
          <w:szCs w:val="26"/>
        </w:rPr>
      </w:pPr>
      <w:r>
        <w:rPr>
          <w:rFonts w:ascii="Times New Roman" w:hAnsi="Times New Roman"/>
          <w:b/>
          <w:sz w:val="24"/>
          <w:szCs w:val="26"/>
        </w:rPr>
        <w:t>Table 1</w:t>
      </w:r>
      <w:r w:rsidR="002059FD" w:rsidRPr="00F85C7A">
        <w:rPr>
          <w:rFonts w:ascii="Times New Roman" w:hAnsi="Times New Roman"/>
          <w:b/>
          <w:sz w:val="24"/>
          <w:szCs w:val="26"/>
        </w:rPr>
        <w:t>: Panel Unit Root Test Results</w:t>
      </w:r>
    </w:p>
    <w:tbl>
      <w:tblPr>
        <w:tblW w:w="0" w:type="auto"/>
        <w:tblLook w:val="04A0" w:firstRow="1" w:lastRow="0" w:firstColumn="1" w:lastColumn="0" w:noHBand="0" w:noVBand="1"/>
      </w:tblPr>
      <w:tblGrid>
        <w:gridCol w:w="1050"/>
        <w:gridCol w:w="735"/>
        <w:gridCol w:w="1056"/>
        <w:gridCol w:w="1050"/>
        <w:gridCol w:w="1061"/>
        <w:gridCol w:w="721"/>
        <w:gridCol w:w="1151"/>
        <w:gridCol w:w="1041"/>
        <w:gridCol w:w="1151"/>
      </w:tblGrid>
      <w:tr w:rsidR="002059FD" w:rsidRPr="00F85C7A" w14:paraId="35B55116" w14:textId="77777777" w:rsidTr="00DD0C2C">
        <w:tc>
          <w:tcPr>
            <w:tcW w:w="1145" w:type="dxa"/>
            <w:tcBorders>
              <w:top w:val="single" w:sz="4" w:space="0" w:color="auto"/>
              <w:left w:val="single" w:sz="4" w:space="0" w:color="auto"/>
              <w:bottom w:val="single" w:sz="4" w:space="0" w:color="auto"/>
              <w:right w:val="single" w:sz="4" w:space="0" w:color="auto"/>
            </w:tcBorders>
            <w:hideMark/>
          </w:tcPr>
          <w:p w14:paraId="6E90776E"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b/>
                <w:szCs w:val="26"/>
              </w:rPr>
              <w:t>Variable</w:t>
            </w:r>
          </w:p>
        </w:tc>
        <w:tc>
          <w:tcPr>
            <w:tcW w:w="893" w:type="dxa"/>
            <w:tcBorders>
              <w:top w:val="single" w:sz="4" w:space="0" w:color="auto"/>
              <w:left w:val="single" w:sz="4" w:space="0" w:color="auto"/>
              <w:bottom w:val="single" w:sz="4" w:space="0" w:color="auto"/>
              <w:right w:val="single" w:sz="4" w:space="0" w:color="auto"/>
            </w:tcBorders>
            <w:hideMark/>
          </w:tcPr>
          <w:p w14:paraId="3742A375"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b/>
                <w:szCs w:val="26"/>
              </w:rPr>
              <w:t>LLC</w:t>
            </w:r>
          </w:p>
        </w:tc>
        <w:tc>
          <w:tcPr>
            <w:tcW w:w="1189" w:type="dxa"/>
            <w:tcBorders>
              <w:top w:val="single" w:sz="4" w:space="0" w:color="auto"/>
              <w:left w:val="single" w:sz="4" w:space="0" w:color="auto"/>
              <w:bottom w:val="single" w:sz="4" w:space="0" w:color="auto"/>
              <w:right w:val="single" w:sz="4" w:space="0" w:color="auto"/>
            </w:tcBorders>
            <w:hideMark/>
          </w:tcPr>
          <w:p w14:paraId="128599F2" w14:textId="77777777" w:rsidR="002059FD" w:rsidRPr="00F85C7A" w:rsidRDefault="002059FD" w:rsidP="00DD0C2C">
            <w:pPr>
              <w:spacing w:after="0" w:line="240" w:lineRule="auto"/>
              <w:contextualSpacing/>
              <w:jc w:val="both"/>
              <w:rPr>
                <w:rFonts w:ascii="Times New Roman" w:hAnsi="Times New Roman"/>
                <w:szCs w:val="26"/>
              </w:rPr>
            </w:pPr>
            <w:proofErr w:type="spellStart"/>
            <w:r w:rsidRPr="00F85C7A">
              <w:rPr>
                <w:rFonts w:ascii="Times New Roman" w:hAnsi="Times New Roman"/>
                <w:b/>
                <w:szCs w:val="26"/>
              </w:rPr>
              <w:t>Breitang</w:t>
            </w:r>
            <w:proofErr w:type="spellEnd"/>
          </w:p>
        </w:tc>
        <w:tc>
          <w:tcPr>
            <w:tcW w:w="1108" w:type="dxa"/>
            <w:tcBorders>
              <w:top w:val="single" w:sz="4" w:space="0" w:color="auto"/>
              <w:left w:val="single" w:sz="4" w:space="0" w:color="auto"/>
              <w:bottom w:val="single" w:sz="4" w:space="0" w:color="auto"/>
              <w:right w:val="single" w:sz="4" w:space="0" w:color="auto"/>
            </w:tcBorders>
            <w:hideMark/>
          </w:tcPr>
          <w:p w14:paraId="2A6F959C"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b/>
                <w:szCs w:val="26"/>
              </w:rPr>
              <w:t>LLC</w:t>
            </w:r>
          </w:p>
        </w:tc>
        <w:tc>
          <w:tcPr>
            <w:tcW w:w="1189" w:type="dxa"/>
            <w:tcBorders>
              <w:top w:val="single" w:sz="4" w:space="0" w:color="auto"/>
              <w:left w:val="single" w:sz="4" w:space="0" w:color="auto"/>
              <w:bottom w:val="single" w:sz="4" w:space="0" w:color="auto"/>
              <w:right w:val="single" w:sz="4" w:space="0" w:color="auto"/>
            </w:tcBorders>
            <w:hideMark/>
          </w:tcPr>
          <w:p w14:paraId="15CB3A19" w14:textId="77777777" w:rsidR="002059FD" w:rsidRPr="00F85C7A" w:rsidRDefault="002059FD" w:rsidP="00DD0C2C">
            <w:pPr>
              <w:spacing w:after="0" w:line="240" w:lineRule="auto"/>
              <w:contextualSpacing/>
              <w:jc w:val="both"/>
              <w:rPr>
                <w:rFonts w:ascii="Times New Roman" w:hAnsi="Times New Roman"/>
                <w:szCs w:val="26"/>
              </w:rPr>
            </w:pPr>
            <w:proofErr w:type="spellStart"/>
            <w:r w:rsidRPr="00F85C7A">
              <w:rPr>
                <w:rFonts w:ascii="Times New Roman" w:hAnsi="Times New Roman"/>
                <w:b/>
                <w:szCs w:val="26"/>
              </w:rPr>
              <w:t>Breitang</w:t>
            </w:r>
            <w:proofErr w:type="spellEnd"/>
          </w:p>
        </w:tc>
        <w:tc>
          <w:tcPr>
            <w:tcW w:w="788" w:type="dxa"/>
            <w:tcBorders>
              <w:top w:val="single" w:sz="4" w:space="0" w:color="auto"/>
              <w:left w:val="single" w:sz="4" w:space="0" w:color="auto"/>
              <w:bottom w:val="single" w:sz="4" w:space="0" w:color="auto"/>
              <w:right w:val="single" w:sz="4" w:space="0" w:color="auto"/>
            </w:tcBorders>
            <w:hideMark/>
          </w:tcPr>
          <w:p w14:paraId="30807BF1"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b/>
                <w:szCs w:val="26"/>
              </w:rPr>
              <w:t>IPS</w:t>
            </w:r>
          </w:p>
        </w:tc>
        <w:tc>
          <w:tcPr>
            <w:tcW w:w="1002" w:type="dxa"/>
            <w:tcBorders>
              <w:top w:val="single" w:sz="4" w:space="0" w:color="auto"/>
              <w:left w:val="single" w:sz="4" w:space="0" w:color="auto"/>
              <w:bottom w:val="single" w:sz="4" w:space="0" w:color="auto"/>
              <w:right w:val="single" w:sz="4" w:space="0" w:color="auto"/>
            </w:tcBorders>
            <w:hideMark/>
          </w:tcPr>
          <w:p w14:paraId="4C1FA27E"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b/>
                <w:szCs w:val="26"/>
              </w:rPr>
              <w:t>ADF-</w:t>
            </w:r>
          </w:p>
        </w:tc>
        <w:tc>
          <w:tcPr>
            <w:tcW w:w="966" w:type="dxa"/>
            <w:tcBorders>
              <w:top w:val="single" w:sz="4" w:space="0" w:color="auto"/>
              <w:left w:val="single" w:sz="4" w:space="0" w:color="auto"/>
              <w:bottom w:val="single" w:sz="4" w:space="0" w:color="auto"/>
              <w:right w:val="single" w:sz="4" w:space="0" w:color="auto"/>
            </w:tcBorders>
            <w:hideMark/>
          </w:tcPr>
          <w:p w14:paraId="74A9A2B9"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b/>
                <w:szCs w:val="26"/>
              </w:rPr>
              <w:t>IPS</w:t>
            </w:r>
          </w:p>
        </w:tc>
        <w:tc>
          <w:tcPr>
            <w:tcW w:w="1070" w:type="dxa"/>
            <w:tcBorders>
              <w:top w:val="single" w:sz="4" w:space="0" w:color="auto"/>
              <w:left w:val="single" w:sz="4" w:space="0" w:color="auto"/>
              <w:bottom w:val="single" w:sz="4" w:space="0" w:color="auto"/>
              <w:right w:val="single" w:sz="4" w:space="0" w:color="auto"/>
            </w:tcBorders>
            <w:hideMark/>
          </w:tcPr>
          <w:p w14:paraId="2AD48314"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b/>
                <w:szCs w:val="26"/>
              </w:rPr>
              <w:t>ADF- Fisher</w:t>
            </w:r>
          </w:p>
        </w:tc>
      </w:tr>
      <w:tr w:rsidR="002059FD" w:rsidRPr="00F85C7A" w14:paraId="5DDC3946" w14:textId="77777777" w:rsidTr="00DD0C2C">
        <w:tc>
          <w:tcPr>
            <w:tcW w:w="1145" w:type="dxa"/>
            <w:tcBorders>
              <w:top w:val="single" w:sz="4" w:space="0" w:color="auto"/>
              <w:left w:val="single" w:sz="4" w:space="0" w:color="auto"/>
              <w:bottom w:val="single" w:sz="4" w:space="0" w:color="auto"/>
              <w:right w:val="single" w:sz="4" w:space="0" w:color="auto"/>
            </w:tcBorders>
            <w:hideMark/>
          </w:tcPr>
          <w:p w14:paraId="07F48306" w14:textId="77777777" w:rsidR="002059FD" w:rsidRPr="00F85C7A" w:rsidRDefault="002059FD" w:rsidP="00DD0C2C">
            <w:pPr>
              <w:spacing w:after="0" w:line="240" w:lineRule="auto"/>
              <w:contextualSpacing/>
              <w:jc w:val="both"/>
              <w:rPr>
                <w:rFonts w:ascii="Times New Roman" w:hAnsi="Times New Roman"/>
                <w:szCs w:val="26"/>
              </w:rPr>
            </w:pPr>
            <w:proofErr w:type="spellStart"/>
            <w:r w:rsidRPr="00F85C7A">
              <w:rPr>
                <w:rFonts w:ascii="Times New Roman" w:hAnsi="Times New Roman"/>
                <w:szCs w:val="26"/>
              </w:rPr>
              <w:t>GDPgr</w:t>
            </w:r>
            <w:proofErr w:type="spellEnd"/>
          </w:p>
        </w:tc>
        <w:tc>
          <w:tcPr>
            <w:tcW w:w="893" w:type="dxa"/>
            <w:tcBorders>
              <w:top w:val="single" w:sz="4" w:space="0" w:color="auto"/>
              <w:left w:val="single" w:sz="4" w:space="0" w:color="auto"/>
              <w:bottom w:val="single" w:sz="4" w:space="0" w:color="auto"/>
              <w:right w:val="single" w:sz="4" w:space="0" w:color="auto"/>
            </w:tcBorders>
            <w:hideMark/>
          </w:tcPr>
          <w:p w14:paraId="4A534257"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12.12</w:t>
            </w:r>
          </w:p>
        </w:tc>
        <w:tc>
          <w:tcPr>
            <w:tcW w:w="1189" w:type="dxa"/>
            <w:tcBorders>
              <w:top w:val="single" w:sz="4" w:space="0" w:color="auto"/>
              <w:left w:val="single" w:sz="4" w:space="0" w:color="auto"/>
              <w:bottom w:val="single" w:sz="4" w:space="0" w:color="auto"/>
              <w:right w:val="single" w:sz="4" w:space="0" w:color="auto"/>
            </w:tcBorders>
            <w:hideMark/>
          </w:tcPr>
          <w:p w14:paraId="7724D02E"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4.52</w:t>
            </w:r>
          </w:p>
        </w:tc>
        <w:tc>
          <w:tcPr>
            <w:tcW w:w="1108" w:type="dxa"/>
            <w:tcBorders>
              <w:top w:val="single" w:sz="4" w:space="0" w:color="auto"/>
              <w:left w:val="single" w:sz="4" w:space="0" w:color="auto"/>
              <w:bottom w:val="single" w:sz="4" w:space="0" w:color="auto"/>
              <w:right w:val="single" w:sz="4" w:space="0" w:color="auto"/>
            </w:tcBorders>
            <w:hideMark/>
          </w:tcPr>
          <w:p w14:paraId="5A5366FA"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14.01</w:t>
            </w:r>
          </w:p>
        </w:tc>
        <w:tc>
          <w:tcPr>
            <w:tcW w:w="1189" w:type="dxa"/>
            <w:tcBorders>
              <w:top w:val="single" w:sz="4" w:space="0" w:color="auto"/>
              <w:left w:val="single" w:sz="4" w:space="0" w:color="auto"/>
              <w:bottom w:val="single" w:sz="4" w:space="0" w:color="auto"/>
              <w:right w:val="single" w:sz="4" w:space="0" w:color="auto"/>
            </w:tcBorders>
            <w:hideMark/>
          </w:tcPr>
          <w:p w14:paraId="4CA25ECF"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-3.01***</w:t>
            </w:r>
          </w:p>
        </w:tc>
        <w:tc>
          <w:tcPr>
            <w:tcW w:w="788" w:type="dxa"/>
            <w:tcBorders>
              <w:top w:val="single" w:sz="4" w:space="0" w:color="auto"/>
              <w:left w:val="single" w:sz="4" w:space="0" w:color="auto"/>
              <w:bottom w:val="single" w:sz="4" w:space="0" w:color="auto"/>
              <w:right w:val="single" w:sz="4" w:space="0" w:color="auto"/>
            </w:tcBorders>
            <w:hideMark/>
          </w:tcPr>
          <w:p w14:paraId="0C1C0AD0"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4.14</w:t>
            </w:r>
          </w:p>
        </w:tc>
        <w:tc>
          <w:tcPr>
            <w:tcW w:w="1002" w:type="dxa"/>
            <w:tcBorders>
              <w:top w:val="single" w:sz="4" w:space="0" w:color="auto"/>
              <w:left w:val="single" w:sz="4" w:space="0" w:color="auto"/>
              <w:bottom w:val="single" w:sz="4" w:space="0" w:color="auto"/>
              <w:right w:val="single" w:sz="4" w:space="0" w:color="auto"/>
            </w:tcBorders>
            <w:hideMark/>
          </w:tcPr>
          <w:p w14:paraId="2AD77859"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75.04***</w:t>
            </w:r>
          </w:p>
        </w:tc>
        <w:tc>
          <w:tcPr>
            <w:tcW w:w="966" w:type="dxa"/>
            <w:tcBorders>
              <w:top w:val="single" w:sz="4" w:space="0" w:color="auto"/>
              <w:left w:val="single" w:sz="4" w:space="0" w:color="auto"/>
              <w:bottom w:val="single" w:sz="4" w:space="0" w:color="auto"/>
              <w:right w:val="single" w:sz="4" w:space="0" w:color="auto"/>
            </w:tcBorders>
            <w:hideMark/>
          </w:tcPr>
          <w:p w14:paraId="2730BD4F"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-17.02**</w:t>
            </w:r>
          </w:p>
        </w:tc>
        <w:tc>
          <w:tcPr>
            <w:tcW w:w="1070" w:type="dxa"/>
            <w:tcBorders>
              <w:top w:val="single" w:sz="4" w:space="0" w:color="auto"/>
              <w:left w:val="single" w:sz="4" w:space="0" w:color="auto"/>
              <w:bottom w:val="single" w:sz="4" w:space="0" w:color="auto"/>
              <w:right w:val="single" w:sz="4" w:space="0" w:color="auto"/>
            </w:tcBorders>
            <w:hideMark/>
          </w:tcPr>
          <w:p w14:paraId="13DB4469"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392.10***</w:t>
            </w:r>
          </w:p>
        </w:tc>
      </w:tr>
      <w:tr w:rsidR="002059FD" w:rsidRPr="00F85C7A" w14:paraId="68C10610" w14:textId="77777777" w:rsidTr="00DD0C2C">
        <w:tc>
          <w:tcPr>
            <w:tcW w:w="1145" w:type="dxa"/>
            <w:tcBorders>
              <w:top w:val="single" w:sz="4" w:space="0" w:color="auto"/>
              <w:left w:val="single" w:sz="4" w:space="0" w:color="auto"/>
              <w:bottom w:val="single" w:sz="4" w:space="0" w:color="auto"/>
              <w:right w:val="single" w:sz="4" w:space="0" w:color="auto"/>
            </w:tcBorders>
            <w:hideMark/>
          </w:tcPr>
          <w:p w14:paraId="648E170E"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lastRenderedPageBreak/>
              <w:t>GFCF</w:t>
            </w:r>
          </w:p>
        </w:tc>
        <w:tc>
          <w:tcPr>
            <w:tcW w:w="893" w:type="dxa"/>
            <w:tcBorders>
              <w:top w:val="single" w:sz="4" w:space="0" w:color="auto"/>
              <w:left w:val="single" w:sz="4" w:space="0" w:color="auto"/>
              <w:bottom w:val="single" w:sz="4" w:space="0" w:color="auto"/>
              <w:right w:val="single" w:sz="4" w:space="0" w:color="auto"/>
            </w:tcBorders>
            <w:hideMark/>
          </w:tcPr>
          <w:p w14:paraId="3A17721E"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17.81</w:t>
            </w:r>
          </w:p>
        </w:tc>
        <w:tc>
          <w:tcPr>
            <w:tcW w:w="1189" w:type="dxa"/>
            <w:tcBorders>
              <w:top w:val="single" w:sz="4" w:space="0" w:color="auto"/>
              <w:left w:val="single" w:sz="4" w:space="0" w:color="auto"/>
              <w:bottom w:val="single" w:sz="4" w:space="0" w:color="auto"/>
              <w:right w:val="single" w:sz="4" w:space="0" w:color="auto"/>
            </w:tcBorders>
            <w:hideMark/>
          </w:tcPr>
          <w:p w14:paraId="3081B04E"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13.61</w:t>
            </w:r>
          </w:p>
        </w:tc>
        <w:tc>
          <w:tcPr>
            <w:tcW w:w="1108" w:type="dxa"/>
            <w:tcBorders>
              <w:top w:val="single" w:sz="4" w:space="0" w:color="auto"/>
              <w:left w:val="single" w:sz="4" w:space="0" w:color="auto"/>
              <w:bottom w:val="single" w:sz="4" w:space="0" w:color="auto"/>
              <w:right w:val="single" w:sz="4" w:space="0" w:color="auto"/>
            </w:tcBorders>
            <w:hideMark/>
          </w:tcPr>
          <w:p w14:paraId="7A557E25"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-4.43**</w:t>
            </w:r>
          </w:p>
        </w:tc>
        <w:tc>
          <w:tcPr>
            <w:tcW w:w="1189" w:type="dxa"/>
            <w:tcBorders>
              <w:top w:val="single" w:sz="4" w:space="0" w:color="auto"/>
              <w:left w:val="single" w:sz="4" w:space="0" w:color="auto"/>
              <w:bottom w:val="single" w:sz="4" w:space="0" w:color="auto"/>
              <w:right w:val="single" w:sz="4" w:space="0" w:color="auto"/>
            </w:tcBorders>
            <w:hideMark/>
          </w:tcPr>
          <w:p w14:paraId="3CD53B2A"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1.61***</w:t>
            </w:r>
          </w:p>
        </w:tc>
        <w:tc>
          <w:tcPr>
            <w:tcW w:w="788" w:type="dxa"/>
            <w:tcBorders>
              <w:top w:val="single" w:sz="4" w:space="0" w:color="auto"/>
              <w:left w:val="single" w:sz="4" w:space="0" w:color="auto"/>
              <w:bottom w:val="single" w:sz="4" w:space="0" w:color="auto"/>
              <w:right w:val="single" w:sz="4" w:space="0" w:color="auto"/>
            </w:tcBorders>
            <w:hideMark/>
          </w:tcPr>
          <w:p w14:paraId="5B4B9F7C"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15.16</w:t>
            </w:r>
          </w:p>
        </w:tc>
        <w:tc>
          <w:tcPr>
            <w:tcW w:w="1002" w:type="dxa"/>
            <w:tcBorders>
              <w:top w:val="single" w:sz="4" w:space="0" w:color="auto"/>
              <w:left w:val="single" w:sz="4" w:space="0" w:color="auto"/>
              <w:bottom w:val="single" w:sz="4" w:space="0" w:color="auto"/>
              <w:right w:val="single" w:sz="4" w:space="0" w:color="auto"/>
            </w:tcBorders>
            <w:hideMark/>
          </w:tcPr>
          <w:p w14:paraId="7F324118"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36.14</w:t>
            </w:r>
          </w:p>
        </w:tc>
        <w:tc>
          <w:tcPr>
            <w:tcW w:w="966" w:type="dxa"/>
            <w:tcBorders>
              <w:top w:val="single" w:sz="4" w:space="0" w:color="auto"/>
              <w:left w:val="single" w:sz="4" w:space="0" w:color="auto"/>
              <w:bottom w:val="single" w:sz="4" w:space="0" w:color="auto"/>
              <w:right w:val="single" w:sz="4" w:space="0" w:color="auto"/>
            </w:tcBorders>
            <w:hideMark/>
          </w:tcPr>
          <w:p w14:paraId="45F828E2"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-8,81**</w:t>
            </w:r>
          </w:p>
        </w:tc>
        <w:tc>
          <w:tcPr>
            <w:tcW w:w="1070" w:type="dxa"/>
            <w:tcBorders>
              <w:top w:val="single" w:sz="4" w:space="0" w:color="auto"/>
              <w:left w:val="single" w:sz="4" w:space="0" w:color="auto"/>
              <w:bottom w:val="single" w:sz="4" w:space="0" w:color="auto"/>
              <w:right w:val="single" w:sz="4" w:space="0" w:color="auto"/>
            </w:tcBorders>
            <w:hideMark/>
          </w:tcPr>
          <w:p w14:paraId="5C4546FC"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320.40**</w:t>
            </w:r>
          </w:p>
        </w:tc>
      </w:tr>
      <w:tr w:rsidR="002059FD" w:rsidRPr="00F85C7A" w14:paraId="353F0029" w14:textId="77777777" w:rsidTr="00DD0C2C">
        <w:tc>
          <w:tcPr>
            <w:tcW w:w="1145" w:type="dxa"/>
            <w:tcBorders>
              <w:top w:val="single" w:sz="4" w:space="0" w:color="auto"/>
              <w:left w:val="single" w:sz="4" w:space="0" w:color="auto"/>
              <w:bottom w:val="single" w:sz="4" w:space="0" w:color="auto"/>
              <w:right w:val="single" w:sz="4" w:space="0" w:color="auto"/>
            </w:tcBorders>
            <w:hideMark/>
          </w:tcPr>
          <w:p w14:paraId="50128FD1"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FD</w:t>
            </w:r>
          </w:p>
        </w:tc>
        <w:tc>
          <w:tcPr>
            <w:tcW w:w="893" w:type="dxa"/>
            <w:tcBorders>
              <w:top w:val="single" w:sz="4" w:space="0" w:color="auto"/>
              <w:left w:val="single" w:sz="4" w:space="0" w:color="auto"/>
              <w:bottom w:val="single" w:sz="4" w:space="0" w:color="auto"/>
              <w:right w:val="single" w:sz="4" w:space="0" w:color="auto"/>
            </w:tcBorders>
            <w:hideMark/>
          </w:tcPr>
          <w:p w14:paraId="7324365D"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-4.02</w:t>
            </w:r>
          </w:p>
        </w:tc>
        <w:tc>
          <w:tcPr>
            <w:tcW w:w="1189" w:type="dxa"/>
            <w:tcBorders>
              <w:top w:val="single" w:sz="4" w:space="0" w:color="auto"/>
              <w:left w:val="single" w:sz="4" w:space="0" w:color="auto"/>
              <w:bottom w:val="single" w:sz="4" w:space="0" w:color="auto"/>
              <w:right w:val="single" w:sz="4" w:space="0" w:color="auto"/>
            </w:tcBorders>
            <w:hideMark/>
          </w:tcPr>
          <w:p w14:paraId="4F468E23"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-0.18</w:t>
            </w:r>
          </w:p>
        </w:tc>
        <w:tc>
          <w:tcPr>
            <w:tcW w:w="1108" w:type="dxa"/>
            <w:tcBorders>
              <w:top w:val="single" w:sz="4" w:space="0" w:color="auto"/>
              <w:left w:val="single" w:sz="4" w:space="0" w:color="auto"/>
              <w:bottom w:val="single" w:sz="4" w:space="0" w:color="auto"/>
              <w:right w:val="single" w:sz="4" w:space="0" w:color="auto"/>
            </w:tcBorders>
            <w:hideMark/>
          </w:tcPr>
          <w:p w14:paraId="60C7B466"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-9.14***</w:t>
            </w:r>
          </w:p>
        </w:tc>
        <w:tc>
          <w:tcPr>
            <w:tcW w:w="1189" w:type="dxa"/>
            <w:tcBorders>
              <w:top w:val="single" w:sz="4" w:space="0" w:color="auto"/>
              <w:left w:val="single" w:sz="4" w:space="0" w:color="auto"/>
              <w:bottom w:val="single" w:sz="4" w:space="0" w:color="auto"/>
              <w:right w:val="single" w:sz="4" w:space="0" w:color="auto"/>
            </w:tcBorders>
            <w:hideMark/>
          </w:tcPr>
          <w:p w14:paraId="6860852B"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-10.71***</w:t>
            </w:r>
          </w:p>
        </w:tc>
        <w:tc>
          <w:tcPr>
            <w:tcW w:w="788" w:type="dxa"/>
            <w:tcBorders>
              <w:top w:val="single" w:sz="4" w:space="0" w:color="auto"/>
              <w:left w:val="single" w:sz="4" w:space="0" w:color="auto"/>
              <w:bottom w:val="single" w:sz="4" w:space="0" w:color="auto"/>
              <w:right w:val="single" w:sz="4" w:space="0" w:color="auto"/>
            </w:tcBorders>
            <w:hideMark/>
          </w:tcPr>
          <w:p w14:paraId="59E1B3D6"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-3.13</w:t>
            </w:r>
          </w:p>
        </w:tc>
        <w:tc>
          <w:tcPr>
            <w:tcW w:w="1002" w:type="dxa"/>
            <w:tcBorders>
              <w:top w:val="single" w:sz="4" w:space="0" w:color="auto"/>
              <w:left w:val="single" w:sz="4" w:space="0" w:color="auto"/>
              <w:bottom w:val="single" w:sz="4" w:space="0" w:color="auto"/>
              <w:right w:val="single" w:sz="4" w:space="0" w:color="auto"/>
            </w:tcBorders>
            <w:hideMark/>
          </w:tcPr>
          <w:p w14:paraId="42BD0431"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102.12</w:t>
            </w:r>
          </w:p>
        </w:tc>
        <w:tc>
          <w:tcPr>
            <w:tcW w:w="966" w:type="dxa"/>
            <w:tcBorders>
              <w:top w:val="single" w:sz="4" w:space="0" w:color="auto"/>
              <w:left w:val="single" w:sz="4" w:space="0" w:color="auto"/>
              <w:bottom w:val="single" w:sz="4" w:space="0" w:color="auto"/>
              <w:right w:val="single" w:sz="4" w:space="0" w:color="auto"/>
            </w:tcBorders>
            <w:hideMark/>
          </w:tcPr>
          <w:p w14:paraId="68569168"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-2.19***</w:t>
            </w:r>
          </w:p>
        </w:tc>
        <w:tc>
          <w:tcPr>
            <w:tcW w:w="1070" w:type="dxa"/>
            <w:tcBorders>
              <w:top w:val="single" w:sz="4" w:space="0" w:color="auto"/>
              <w:left w:val="single" w:sz="4" w:space="0" w:color="auto"/>
              <w:bottom w:val="single" w:sz="4" w:space="0" w:color="auto"/>
              <w:right w:val="single" w:sz="4" w:space="0" w:color="auto"/>
            </w:tcBorders>
            <w:hideMark/>
          </w:tcPr>
          <w:p w14:paraId="5C15392B"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521.06***</w:t>
            </w:r>
          </w:p>
        </w:tc>
      </w:tr>
      <w:tr w:rsidR="002059FD" w:rsidRPr="00F85C7A" w14:paraId="4C935C1E" w14:textId="77777777" w:rsidTr="00DD0C2C">
        <w:tc>
          <w:tcPr>
            <w:tcW w:w="1145" w:type="dxa"/>
            <w:tcBorders>
              <w:top w:val="single" w:sz="4" w:space="0" w:color="auto"/>
              <w:left w:val="single" w:sz="4" w:space="0" w:color="auto"/>
              <w:bottom w:val="single" w:sz="4" w:space="0" w:color="auto"/>
              <w:right w:val="single" w:sz="4" w:space="0" w:color="auto"/>
            </w:tcBorders>
            <w:hideMark/>
          </w:tcPr>
          <w:p w14:paraId="4CF6010E"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GEXP</w:t>
            </w:r>
          </w:p>
        </w:tc>
        <w:tc>
          <w:tcPr>
            <w:tcW w:w="893" w:type="dxa"/>
            <w:tcBorders>
              <w:top w:val="single" w:sz="4" w:space="0" w:color="auto"/>
              <w:left w:val="single" w:sz="4" w:space="0" w:color="auto"/>
              <w:bottom w:val="single" w:sz="4" w:space="0" w:color="auto"/>
              <w:right w:val="single" w:sz="4" w:space="0" w:color="auto"/>
            </w:tcBorders>
            <w:hideMark/>
          </w:tcPr>
          <w:p w14:paraId="14935FF6"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-2.62</w:t>
            </w:r>
          </w:p>
        </w:tc>
        <w:tc>
          <w:tcPr>
            <w:tcW w:w="1189" w:type="dxa"/>
            <w:tcBorders>
              <w:top w:val="single" w:sz="4" w:space="0" w:color="auto"/>
              <w:left w:val="single" w:sz="4" w:space="0" w:color="auto"/>
              <w:bottom w:val="single" w:sz="4" w:space="0" w:color="auto"/>
              <w:right w:val="single" w:sz="4" w:space="0" w:color="auto"/>
            </w:tcBorders>
            <w:hideMark/>
          </w:tcPr>
          <w:p w14:paraId="74D52D17"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-3.01</w:t>
            </w:r>
          </w:p>
        </w:tc>
        <w:tc>
          <w:tcPr>
            <w:tcW w:w="1108" w:type="dxa"/>
            <w:tcBorders>
              <w:top w:val="single" w:sz="4" w:space="0" w:color="auto"/>
              <w:left w:val="single" w:sz="4" w:space="0" w:color="auto"/>
              <w:bottom w:val="single" w:sz="4" w:space="0" w:color="auto"/>
              <w:right w:val="single" w:sz="4" w:space="0" w:color="auto"/>
            </w:tcBorders>
            <w:hideMark/>
          </w:tcPr>
          <w:p w14:paraId="312FCB8F"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-19.01***</w:t>
            </w:r>
          </w:p>
        </w:tc>
        <w:tc>
          <w:tcPr>
            <w:tcW w:w="1189" w:type="dxa"/>
            <w:tcBorders>
              <w:top w:val="single" w:sz="4" w:space="0" w:color="auto"/>
              <w:left w:val="single" w:sz="4" w:space="0" w:color="auto"/>
              <w:bottom w:val="single" w:sz="4" w:space="0" w:color="auto"/>
              <w:right w:val="single" w:sz="4" w:space="0" w:color="auto"/>
            </w:tcBorders>
            <w:hideMark/>
          </w:tcPr>
          <w:p w14:paraId="11A0FEB3"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16.16***</w:t>
            </w:r>
          </w:p>
        </w:tc>
        <w:tc>
          <w:tcPr>
            <w:tcW w:w="788" w:type="dxa"/>
            <w:tcBorders>
              <w:top w:val="single" w:sz="4" w:space="0" w:color="auto"/>
              <w:left w:val="single" w:sz="4" w:space="0" w:color="auto"/>
              <w:bottom w:val="single" w:sz="4" w:space="0" w:color="auto"/>
              <w:right w:val="single" w:sz="4" w:space="0" w:color="auto"/>
            </w:tcBorders>
            <w:hideMark/>
          </w:tcPr>
          <w:p w14:paraId="6857D305"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-7.76</w:t>
            </w:r>
          </w:p>
        </w:tc>
        <w:tc>
          <w:tcPr>
            <w:tcW w:w="1002" w:type="dxa"/>
            <w:tcBorders>
              <w:top w:val="single" w:sz="4" w:space="0" w:color="auto"/>
              <w:left w:val="single" w:sz="4" w:space="0" w:color="auto"/>
              <w:bottom w:val="single" w:sz="4" w:space="0" w:color="auto"/>
              <w:right w:val="single" w:sz="4" w:space="0" w:color="auto"/>
            </w:tcBorders>
            <w:hideMark/>
          </w:tcPr>
          <w:p w14:paraId="0C47574A"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94.15***</w:t>
            </w:r>
          </w:p>
        </w:tc>
        <w:tc>
          <w:tcPr>
            <w:tcW w:w="966" w:type="dxa"/>
            <w:tcBorders>
              <w:top w:val="single" w:sz="4" w:space="0" w:color="auto"/>
              <w:left w:val="single" w:sz="4" w:space="0" w:color="auto"/>
              <w:bottom w:val="single" w:sz="4" w:space="0" w:color="auto"/>
              <w:right w:val="single" w:sz="4" w:space="0" w:color="auto"/>
            </w:tcBorders>
            <w:hideMark/>
          </w:tcPr>
          <w:p w14:paraId="27EC57A6"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-25.62</w:t>
            </w:r>
          </w:p>
        </w:tc>
        <w:tc>
          <w:tcPr>
            <w:tcW w:w="1070" w:type="dxa"/>
            <w:tcBorders>
              <w:top w:val="single" w:sz="4" w:space="0" w:color="auto"/>
              <w:left w:val="single" w:sz="4" w:space="0" w:color="auto"/>
              <w:bottom w:val="single" w:sz="4" w:space="0" w:color="auto"/>
              <w:right w:val="single" w:sz="4" w:space="0" w:color="auto"/>
            </w:tcBorders>
            <w:hideMark/>
          </w:tcPr>
          <w:p w14:paraId="30EB43C3"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611.14***</w:t>
            </w:r>
          </w:p>
        </w:tc>
      </w:tr>
      <w:tr w:rsidR="002059FD" w:rsidRPr="00F85C7A" w14:paraId="1B7ECECC" w14:textId="77777777" w:rsidTr="00DD0C2C">
        <w:tc>
          <w:tcPr>
            <w:tcW w:w="1145" w:type="dxa"/>
            <w:tcBorders>
              <w:top w:val="single" w:sz="4" w:space="0" w:color="auto"/>
              <w:left w:val="single" w:sz="4" w:space="0" w:color="auto"/>
              <w:bottom w:val="single" w:sz="4" w:space="0" w:color="auto"/>
              <w:right w:val="single" w:sz="4" w:space="0" w:color="auto"/>
            </w:tcBorders>
            <w:hideMark/>
          </w:tcPr>
          <w:p w14:paraId="4C41C14A"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INF</w:t>
            </w:r>
          </w:p>
        </w:tc>
        <w:tc>
          <w:tcPr>
            <w:tcW w:w="893" w:type="dxa"/>
            <w:tcBorders>
              <w:top w:val="single" w:sz="4" w:space="0" w:color="auto"/>
              <w:left w:val="single" w:sz="4" w:space="0" w:color="auto"/>
              <w:bottom w:val="single" w:sz="4" w:space="0" w:color="auto"/>
              <w:right w:val="single" w:sz="4" w:space="0" w:color="auto"/>
            </w:tcBorders>
            <w:hideMark/>
          </w:tcPr>
          <w:p w14:paraId="11A11E49"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-3.50</w:t>
            </w:r>
          </w:p>
        </w:tc>
        <w:tc>
          <w:tcPr>
            <w:tcW w:w="1189" w:type="dxa"/>
            <w:tcBorders>
              <w:top w:val="single" w:sz="4" w:space="0" w:color="auto"/>
              <w:left w:val="single" w:sz="4" w:space="0" w:color="auto"/>
              <w:bottom w:val="single" w:sz="4" w:space="0" w:color="auto"/>
              <w:right w:val="single" w:sz="4" w:space="0" w:color="auto"/>
            </w:tcBorders>
            <w:hideMark/>
          </w:tcPr>
          <w:p w14:paraId="6D13874C"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-3.42</w:t>
            </w:r>
          </w:p>
        </w:tc>
        <w:tc>
          <w:tcPr>
            <w:tcW w:w="1108" w:type="dxa"/>
            <w:tcBorders>
              <w:top w:val="single" w:sz="4" w:space="0" w:color="auto"/>
              <w:left w:val="single" w:sz="4" w:space="0" w:color="auto"/>
              <w:bottom w:val="single" w:sz="4" w:space="0" w:color="auto"/>
              <w:right w:val="single" w:sz="4" w:space="0" w:color="auto"/>
            </w:tcBorders>
            <w:hideMark/>
          </w:tcPr>
          <w:p w14:paraId="213A51F7"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-22.30**</w:t>
            </w:r>
          </w:p>
        </w:tc>
        <w:tc>
          <w:tcPr>
            <w:tcW w:w="1189" w:type="dxa"/>
            <w:tcBorders>
              <w:top w:val="single" w:sz="4" w:space="0" w:color="auto"/>
              <w:left w:val="single" w:sz="4" w:space="0" w:color="auto"/>
              <w:bottom w:val="single" w:sz="4" w:space="0" w:color="auto"/>
              <w:right w:val="single" w:sz="4" w:space="0" w:color="auto"/>
            </w:tcBorders>
            <w:hideMark/>
          </w:tcPr>
          <w:p w14:paraId="5567452C"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-21.01**</w:t>
            </w:r>
          </w:p>
        </w:tc>
        <w:tc>
          <w:tcPr>
            <w:tcW w:w="788" w:type="dxa"/>
            <w:tcBorders>
              <w:top w:val="single" w:sz="4" w:space="0" w:color="auto"/>
              <w:left w:val="single" w:sz="4" w:space="0" w:color="auto"/>
              <w:bottom w:val="single" w:sz="4" w:space="0" w:color="auto"/>
              <w:right w:val="single" w:sz="4" w:space="0" w:color="auto"/>
            </w:tcBorders>
            <w:hideMark/>
          </w:tcPr>
          <w:p w14:paraId="75D59E05"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-3.78</w:t>
            </w:r>
          </w:p>
        </w:tc>
        <w:tc>
          <w:tcPr>
            <w:tcW w:w="1002" w:type="dxa"/>
            <w:tcBorders>
              <w:top w:val="single" w:sz="4" w:space="0" w:color="auto"/>
              <w:left w:val="single" w:sz="4" w:space="0" w:color="auto"/>
              <w:bottom w:val="single" w:sz="4" w:space="0" w:color="auto"/>
              <w:right w:val="single" w:sz="4" w:space="0" w:color="auto"/>
            </w:tcBorders>
            <w:hideMark/>
          </w:tcPr>
          <w:p w14:paraId="1F1C1B62"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125.14</w:t>
            </w:r>
          </w:p>
        </w:tc>
        <w:tc>
          <w:tcPr>
            <w:tcW w:w="966" w:type="dxa"/>
            <w:tcBorders>
              <w:top w:val="single" w:sz="4" w:space="0" w:color="auto"/>
              <w:left w:val="single" w:sz="4" w:space="0" w:color="auto"/>
              <w:bottom w:val="single" w:sz="4" w:space="0" w:color="auto"/>
              <w:right w:val="single" w:sz="4" w:space="0" w:color="auto"/>
            </w:tcBorders>
            <w:hideMark/>
          </w:tcPr>
          <w:p w14:paraId="145331EE"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-28.45**</w:t>
            </w:r>
          </w:p>
        </w:tc>
        <w:tc>
          <w:tcPr>
            <w:tcW w:w="1070" w:type="dxa"/>
            <w:tcBorders>
              <w:top w:val="single" w:sz="4" w:space="0" w:color="auto"/>
              <w:left w:val="single" w:sz="4" w:space="0" w:color="auto"/>
              <w:bottom w:val="single" w:sz="4" w:space="0" w:color="auto"/>
              <w:right w:val="single" w:sz="4" w:space="0" w:color="auto"/>
            </w:tcBorders>
            <w:hideMark/>
          </w:tcPr>
          <w:p w14:paraId="56AF3B32"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780.04**</w:t>
            </w:r>
          </w:p>
        </w:tc>
      </w:tr>
      <w:tr w:rsidR="002059FD" w:rsidRPr="00F85C7A" w14:paraId="120CB2D0" w14:textId="77777777" w:rsidTr="00DD0C2C">
        <w:tc>
          <w:tcPr>
            <w:tcW w:w="1145" w:type="dxa"/>
            <w:tcBorders>
              <w:top w:val="single" w:sz="4" w:space="0" w:color="auto"/>
              <w:left w:val="single" w:sz="4" w:space="0" w:color="auto"/>
              <w:bottom w:val="single" w:sz="4" w:space="0" w:color="auto"/>
              <w:right w:val="single" w:sz="4" w:space="0" w:color="auto"/>
            </w:tcBorders>
            <w:hideMark/>
          </w:tcPr>
          <w:p w14:paraId="6AD03595"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EINF</w:t>
            </w:r>
          </w:p>
        </w:tc>
        <w:tc>
          <w:tcPr>
            <w:tcW w:w="893" w:type="dxa"/>
            <w:tcBorders>
              <w:top w:val="single" w:sz="4" w:space="0" w:color="auto"/>
              <w:left w:val="single" w:sz="4" w:space="0" w:color="auto"/>
              <w:bottom w:val="single" w:sz="4" w:space="0" w:color="auto"/>
              <w:right w:val="single" w:sz="4" w:space="0" w:color="auto"/>
            </w:tcBorders>
            <w:hideMark/>
          </w:tcPr>
          <w:p w14:paraId="50A48E4A"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6.42</w:t>
            </w:r>
          </w:p>
        </w:tc>
        <w:tc>
          <w:tcPr>
            <w:tcW w:w="1189" w:type="dxa"/>
            <w:tcBorders>
              <w:top w:val="single" w:sz="4" w:space="0" w:color="auto"/>
              <w:left w:val="single" w:sz="4" w:space="0" w:color="auto"/>
              <w:bottom w:val="single" w:sz="4" w:space="0" w:color="auto"/>
              <w:right w:val="single" w:sz="4" w:space="0" w:color="auto"/>
            </w:tcBorders>
            <w:hideMark/>
          </w:tcPr>
          <w:p w14:paraId="53F37BC8"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3.46</w:t>
            </w:r>
          </w:p>
        </w:tc>
        <w:tc>
          <w:tcPr>
            <w:tcW w:w="1108" w:type="dxa"/>
            <w:tcBorders>
              <w:top w:val="single" w:sz="4" w:space="0" w:color="auto"/>
              <w:left w:val="single" w:sz="4" w:space="0" w:color="auto"/>
              <w:bottom w:val="single" w:sz="4" w:space="0" w:color="auto"/>
              <w:right w:val="single" w:sz="4" w:space="0" w:color="auto"/>
            </w:tcBorders>
            <w:hideMark/>
          </w:tcPr>
          <w:p w14:paraId="3EE08BC3"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-20.06**</w:t>
            </w:r>
          </w:p>
        </w:tc>
        <w:tc>
          <w:tcPr>
            <w:tcW w:w="1189" w:type="dxa"/>
            <w:tcBorders>
              <w:top w:val="single" w:sz="4" w:space="0" w:color="auto"/>
              <w:left w:val="single" w:sz="4" w:space="0" w:color="auto"/>
              <w:bottom w:val="single" w:sz="4" w:space="0" w:color="auto"/>
              <w:right w:val="single" w:sz="4" w:space="0" w:color="auto"/>
            </w:tcBorders>
            <w:hideMark/>
          </w:tcPr>
          <w:p w14:paraId="475E8517"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-13.106**</w:t>
            </w:r>
          </w:p>
        </w:tc>
        <w:tc>
          <w:tcPr>
            <w:tcW w:w="788" w:type="dxa"/>
            <w:tcBorders>
              <w:top w:val="single" w:sz="4" w:space="0" w:color="auto"/>
              <w:left w:val="single" w:sz="4" w:space="0" w:color="auto"/>
              <w:bottom w:val="single" w:sz="4" w:space="0" w:color="auto"/>
              <w:right w:val="single" w:sz="4" w:space="0" w:color="auto"/>
            </w:tcBorders>
            <w:hideMark/>
          </w:tcPr>
          <w:p w14:paraId="1024A79D"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-0.92</w:t>
            </w:r>
          </w:p>
        </w:tc>
        <w:tc>
          <w:tcPr>
            <w:tcW w:w="1002" w:type="dxa"/>
            <w:tcBorders>
              <w:top w:val="single" w:sz="4" w:space="0" w:color="auto"/>
              <w:left w:val="single" w:sz="4" w:space="0" w:color="auto"/>
              <w:bottom w:val="single" w:sz="4" w:space="0" w:color="auto"/>
              <w:right w:val="single" w:sz="4" w:space="0" w:color="auto"/>
            </w:tcBorders>
            <w:hideMark/>
          </w:tcPr>
          <w:p w14:paraId="693EE6DB"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56.22</w:t>
            </w:r>
          </w:p>
        </w:tc>
        <w:tc>
          <w:tcPr>
            <w:tcW w:w="966" w:type="dxa"/>
            <w:tcBorders>
              <w:top w:val="single" w:sz="4" w:space="0" w:color="auto"/>
              <w:left w:val="single" w:sz="4" w:space="0" w:color="auto"/>
              <w:bottom w:val="single" w:sz="4" w:space="0" w:color="auto"/>
              <w:right w:val="single" w:sz="4" w:space="0" w:color="auto"/>
            </w:tcBorders>
            <w:hideMark/>
          </w:tcPr>
          <w:p w14:paraId="2D2B61EF"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-20.16**</w:t>
            </w:r>
          </w:p>
        </w:tc>
        <w:tc>
          <w:tcPr>
            <w:tcW w:w="1070" w:type="dxa"/>
            <w:tcBorders>
              <w:top w:val="single" w:sz="4" w:space="0" w:color="auto"/>
              <w:left w:val="single" w:sz="4" w:space="0" w:color="auto"/>
              <w:bottom w:val="single" w:sz="4" w:space="0" w:color="auto"/>
              <w:right w:val="single" w:sz="4" w:space="0" w:color="auto"/>
            </w:tcBorders>
            <w:hideMark/>
          </w:tcPr>
          <w:p w14:paraId="7458E9C2"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520.01**</w:t>
            </w:r>
          </w:p>
        </w:tc>
      </w:tr>
      <w:tr w:rsidR="002059FD" w:rsidRPr="00F85C7A" w14:paraId="21D3A220" w14:textId="77777777" w:rsidTr="00DD0C2C">
        <w:tc>
          <w:tcPr>
            <w:tcW w:w="1145" w:type="dxa"/>
            <w:tcBorders>
              <w:top w:val="single" w:sz="4" w:space="0" w:color="auto"/>
              <w:left w:val="single" w:sz="4" w:space="0" w:color="auto"/>
              <w:bottom w:val="single" w:sz="4" w:space="0" w:color="auto"/>
              <w:right w:val="single" w:sz="4" w:space="0" w:color="auto"/>
            </w:tcBorders>
            <w:hideMark/>
          </w:tcPr>
          <w:p w14:paraId="0C348871"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FEE</w:t>
            </w:r>
          </w:p>
        </w:tc>
        <w:tc>
          <w:tcPr>
            <w:tcW w:w="893" w:type="dxa"/>
            <w:tcBorders>
              <w:top w:val="single" w:sz="4" w:space="0" w:color="auto"/>
              <w:left w:val="single" w:sz="4" w:space="0" w:color="auto"/>
              <w:bottom w:val="single" w:sz="4" w:space="0" w:color="auto"/>
              <w:right w:val="single" w:sz="4" w:space="0" w:color="auto"/>
            </w:tcBorders>
            <w:hideMark/>
          </w:tcPr>
          <w:p w14:paraId="56631757"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-7.61</w:t>
            </w:r>
          </w:p>
        </w:tc>
        <w:tc>
          <w:tcPr>
            <w:tcW w:w="1189" w:type="dxa"/>
            <w:tcBorders>
              <w:top w:val="single" w:sz="4" w:space="0" w:color="auto"/>
              <w:left w:val="single" w:sz="4" w:space="0" w:color="auto"/>
              <w:bottom w:val="single" w:sz="4" w:space="0" w:color="auto"/>
              <w:right w:val="single" w:sz="4" w:space="0" w:color="auto"/>
            </w:tcBorders>
            <w:hideMark/>
          </w:tcPr>
          <w:p w14:paraId="3283389A"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-2.41</w:t>
            </w:r>
          </w:p>
        </w:tc>
        <w:tc>
          <w:tcPr>
            <w:tcW w:w="1108" w:type="dxa"/>
            <w:tcBorders>
              <w:top w:val="single" w:sz="4" w:space="0" w:color="auto"/>
              <w:left w:val="single" w:sz="4" w:space="0" w:color="auto"/>
              <w:bottom w:val="single" w:sz="4" w:space="0" w:color="auto"/>
              <w:right w:val="single" w:sz="4" w:space="0" w:color="auto"/>
            </w:tcBorders>
            <w:hideMark/>
          </w:tcPr>
          <w:p w14:paraId="6F1F372C"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-19.46**</w:t>
            </w:r>
          </w:p>
        </w:tc>
        <w:tc>
          <w:tcPr>
            <w:tcW w:w="1189" w:type="dxa"/>
            <w:tcBorders>
              <w:top w:val="single" w:sz="4" w:space="0" w:color="auto"/>
              <w:left w:val="single" w:sz="4" w:space="0" w:color="auto"/>
              <w:bottom w:val="single" w:sz="4" w:space="0" w:color="auto"/>
              <w:right w:val="single" w:sz="4" w:space="0" w:color="auto"/>
            </w:tcBorders>
            <w:hideMark/>
          </w:tcPr>
          <w:p w14:paraId="1B947AEA"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17.14**</w:t>
            </w:r>
          </w:p>
        </w:tc>
        <w:tc>
          <w:tcPr>
            <w:tcW w:w="788" w:type="dxa"/>
            <w:tcBorders>
              <w:top w:val="single" w:sz="4" w:space="0" w:color="auto"/>
              <w:left w:val="single" w:sz="4" w:space="0" w:color="auto"/>
              <w:bottom w:val="single" w:sz="4" w:space="0" w:color="auto"/>
              <w:right w:val="single" w:sz="4" w:space="0" w:color="auto"/>
            </w:tcBorders>
            <w:hideMark/>
          </w:tcPr>
          <w:p w14:paraId="2A3C1416"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12.06</w:t>
            </w:r>
          </w:p>
        </w:tc>
        <w:tc>
          <w:tcPr>
            <w:tcW w:w="1002" w:type="dxa"/>
            <w:tcBorders>
              <w:top w:val="single" w:sz="4" w:space="0" w:color="auto"/>
              <w:left w:val="single" w:sz="4" w:space="0" w:color="auto"/>
              <w:bottom w:val="single" w:sz="4" w:space="0" w:color="auto"/>
              <w:right w:val="single" w:sz="4" w:space="0" w:color="auto"/>
            </w:tcBorders>
            <w:hideMark/>
          </w:tcPr>
          <w:p w14:paraId="5DDB68DB"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23.36</w:t>
            </w:r>
          </w:p>
        </w:tc>
        <w:tc>
          <w:tcPr>
            <w:tcW w:w="966" w:type="dxa"/>
            <w:tcBorders>
              <w:top w:val="single" w:sz="4" w:space="0" w:color="auto"/>
              <w:left w:val="single" w:sz="4" w:space="0" w:color="auto"/>
              <w:bottom w:val="single" w:sz="4" w:space="0" w:color="auto"/>
              <w:right w:val="single" w:sz="4" w:space="0" w:color="auto"/>
            </w:tcBorders>
            <w:hideMark/>
          </w:tcPr>
          <w:p w14:paraId="455283BB"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28.14**</w:t>
            </w:r>
          </w:p>
        </w:tc>
        <w:tc>
          <w:tcPr>
            <w:tcW w:w="1070" w:type="dxa"/>
            <w:tcBorders>
              <w:top w:val="single" w:sz="4" w:space="0" w:color="auto"/>
              <w:left w:val="single" w:sz="4" w:space="0" w:color="auto"/>
              <w:bottom w:val="single" w:sz="4" w:space="0" w:color="auto"/>
              <w:right w:val="single" w:sz="4" w:space="0" w:color="auto"/>
            </w:tcBorders>
            <w:hideMark/>
          </w:tcPr>
          <w:p w14:paraId="0994858A"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625.11**</w:t>
            </w:r>
          </w:p>
        </w:tc>
      </w:tr>
      <w:tr w:rsidR="002059FD" w:rsidRPr="00F85C7A" w14:paraId="200F226A" w14:textId="77777777" w:rsidTr="00DD0C2C">
        <w:tc>
          <w:tcPr>
            <w:tcW w:w="1145" w:type="dxa"/>
            <w:tcBorders>
              <w:top w:val="single" w:sz="4" w:space="0" w:color="auto"/>
              <w:left w:val="single" w:sz="4" w:space="0" w:color="auto"/>
              <w:bottom w:val="single" w:sz="4" w:space="0" w:color="auto"/>
              <w:right w:val="single" w:sz="4" w:space="0" w:color="auto"/>
            </w:tcBorders>
            <w:hideMark/>
          </w:tcPr>
          <w:p w14:paraId="4EFF78CB"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MS</w:t>
            </w:r>
          </w:p>
        </w:tc>
        <w:tc>
          <w:tcPr>
            <w:tcW w:w="893" w:type="dxa"/>
            <w:tcBorders>
              <w:top w:val="single" w:sz="4" w:space="0" w:color="auto"/>
              <w:left w:val="single" w:sz="4" w:space="0" w:color="auto"/>
              <w:bottom w:val="single" w:sz="4" w:space="0" w:color="auto"/>
              <w:right w:val="single" w:sz="4" w:space="0" w:color="auto"/>
            </w:tcBorders>
            <w:hideMark/>
          </w:tcPr>
          <w:p w14:paraId="39C9F56A"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0.65</w:t>
            </w:r>
          </w:p>
        </w:tc>
        <w:tc>
          <w:tcPr>
            <w:tcW w:w="1189" w:type="dxa"/>
            <w:tcBorders>
              <w:top w:val="single" w:sz="4" w:space="0" w:color="auto"/>
              <w:left w:val="single" w:sz="4" w:space="0" w:color="auto"/>
              <w:bottom w:val="single" w:sz="4" w:space="0" w:color="auto"/>
              <w:right w:val="single" w:sz="4" w:space="0" w:color="auto"/>
            </w:tcBorders>
            <w:hideMark/>
          </w:tcPr>
          <w:p w14:paraId="13D8AC0B"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13.12</w:t>
            </w:r>
          </w:p>
        </w:tc>
        <w:tc>
          <w:tcPr>
            <w:tcW w:w="1108" w:type="dxa"/>
            <w:tcBorders>
              <w:top w:val="single" w:sz="4" w:space="0" w:color="auto"/>
              <w:left w:val="single" w:sz="4" w:space="0" w:color="auto"/>
              <w:bottom w:val="single" w:sz="4" w:space="0" w:color="auto"/>
              <w:right w:val="single" w:sz="4" w:space="0" w:color="auto"/>
            </w:tcBorders>
            <w:hideMark/>
          </w:tcPr>
          <w:p w14:paraId="7A4CCEE0"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-9.42***</w:t>
            </w:r>
          </w:p>
        </w:tc>
        <w:tc>
          <w:tcPr>
            <w:tcW w:w="1189" w:type="dxa"/>
            <w:tcBorders>
              <w:top w:val="single" w:sz="4" w:space="0" w:color="auto"/>
              <w:left w:val="single" w:sz="4" w:space="0" w:color="auto"/>
              <w:bottom w:val="single" w:sz="4" w:space="0" w:color="auto"/>
              <w:right w:val="single" w:sz="4" w:space="0" w:color="auto"/>
            </w:tcBorders>
            <w:hideMark/>
          </w:tcPr>
          <w:p w14:paraId="6FA96002"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19.12***</w:t>
            </w:r>
          </w:p>
        </w:tc>
        <w:tc>
          <w:tcPr>
            <w:tcW w:w="788" w:type="dxa"/>
            <w:tcBorders>
              <w:top w:val="single" w:sz="4" w:space="0" w:color="auto"/>
              <w:left w:val="single" w:sz="4" w:space="0" w:color="auto"/>
              <w:bottom w:val="single" w:sz="4" w:space="0" w:color="auto"/>
              <w:right w:val="single" w:sz="4" w:space="0" w:color="auto"/>
            </w:tcBorders>
            <w:hideMark/>
          </w:tcPr>
          <w:p w14:paraId="4FD517A6"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-21.17</w:t>
            </w:r>
          </w:p>
        </w:tc>
        <w:tc>
          <w:tcPr>
            <w:tcW w:w="1002" w:type="dxa"/>
            <w:tcBorders>
              <w:top w:val="single" w:sz="4" w:space="0" w:color="auto"/>
              <w:left w:val="single" w:sz="4" w:space="0" w:color="auto"/>
              <w:bottom w:val="single" w:sz="4" w:space="0" w:color="auto"/>
              <w:right w:val="single" w:sz="4" w:space="0" w:color="auto"/>
            </w:tcBorders>
            <w:hideMark/>
          </w:tcPr>
          <w:p w14:paraId="3CF91CF0"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120.41</w:t>
            </w:r>
          </w:p>
        </w:tc>
        <w:tc>
          <w:tcPr>
            <w:tcW w:w="966" w:type="dxa"/>
            <w:tcBorders>
              <w:top w:val="single" w:sz="4" w:space="0" w:color="auto"/>
              <w:left w:val="single" w:sz="4" w:space="0" w:color="auto"/>
              <w:bottom w:val="single" w:sz="4" w:space="0" w:color="auto"/>
              <w:right w:val="single" w:sz="4" w:space="0" w:color="auto"/>
            </w:tcBorders>
            <w:hideMark/>
          </w:tcPr>
          <w:p w14:paraId="3BD7F0AA"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-12.32**</w:t>
            </w:r>
          </w:p>
        </w:tc>
        <w:tc>
          <w:tcPr>
            <w:tcW w:w="1070" w:type="dxa"/>
            <w:tcBorders>
              <w:top w:val="single" w:sz="4" w:space="0" w:color="auto"/>
              <w:left w:val="single" w:sz="4" w:space="0" w:color="auto"/>
              <w:bottom w:val="single" w:sz="4" w:space="0" w:color="auto"/>
              <w:right w:val="single" w:sz="4" w:space="0" w:color="auto"/>
            </w:tcBorders>
            <w:hideMark/>
          </w:tcPr>
          <w:p w14:paraId="66387C8D"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274.50**</w:t>
            </w:r>
          </w:p>
        </w:tc>
      </w:tr>
      <w:tr w:rsidR="002059FD" w:rsidRPr="00F85C7A" w14:paraId="61699130" w14:textId="77777777" w:rsidTr="00DD0C2C">
        <w:tc>
          <w:tcPr>
            <w:tcW w:w="1145" w:type="dxa"/>
            <w:tcBorders>
              <w:top w:val="single" w:sz="4" w:space="0" w:color="auto"/>
              <w:left w:val="single" w:sz="4" w:space="0" w:color="auto"/>
              <w:bottom w:val="single" w:sz="4" w:space="0" w:color="auto"/>
              <w:right w:val="single" w:sz="4" w:space="0" w:color="auto"/>
            </w:tcBorders>
          </w:tcPr>
          <w:p w14:paraId="7FA7F347"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REER</w:t>
            </w:r>
          </w:p>
        </w:tc>
        <w:tc>
          <w:tcPr>
            <w:tcW w:w="893" w:type="dxa"/>
            <w:tcBorders>
              <w:top w:val="single" w:sz="4" w:space="0" w:color="auto"/>
              <w:left w:val="single" w:sz="4" w:space="0" w:color="auto"/>
              <w:bottom w:val="single" w:sz="4" w:space="0" w:color="auto"/>
              <w:right w:val="single" w:sz="4" w:space="0" w:color="auto"/>
            </w:tcBorders>
          </w:tcPr>
          <w:p w14:paraId="692CE287"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-4.443</w:t>
            </w:r>
          </w:p>
        </w:tc>
        <w:tc>
          <w:tcPr>
            <w:tcW w:w="1189" w:type="dxa"/>
            <w:tcBorders>
              <w:top w:val="single" w:sz="4" w:space="0" w:color="auto"/>
              <w:left w:val="single" w:sz="4" w:space="0" w:color="auto"/>
              <w:bottom w:val="single" w:sz="4" w:space="0" w:color="auto"/>
              <w:right w:val="single" w:sz="4" w:space="0" w:color="auto"/>
            </w:tcBorders>
          </w:tcPr>
          <w:p w14:paraId="79FB3912"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-3.446</w:t>
            </w:r>
          </w:p>
        </w:tc>
        <w:tc>
          <w:tcPr>
            <w:tcW w:w="1108" w:type="dxa"/>
            <w:tcBorders>
              <w:top w:val="single" w:sz="4" w:space="0" w:color="auto"/>
              <w:left w:val="single" w:sz="4" w:space="0" w:color="auto"/>
              <w:bottom w:val="single" w:sz="4" w:space="0" w:color="auto"/>
              <w:right w:val="single" w:sz="4" w:space="0" w:color="auto"/>
            </w:tcBorders>
          </w:tcPr>
          <w:p w14:paraId="35C95430"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14.332**</w:t>
            </w:r>
          </w:p>
        </w:tc>
        <w:tc>
          <w:tcPr>
            <w:tcW w:w="1189" w:type="dxa"/>
            <w:tcBorders>
              <w:top w:val="single" w:sz="4" w:space="0" w:color="auto"/>
              <w:left w:val="single" w:sz="4" w:space="0" w:color="auto"/>
              <w:bottom w:val="single" w:sz="4" w:space="0" w:color="auto"/>
              <w:right w:val="single" w:sz="4" w:space="0" w:color="auto"/>
            </w:tcBorders>
          </w:tcPr>
          <w:p w14:paraId="07AF779A"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16.462**</w:t>
            </w:r>
          </w:p>
        </w:tc>
        <w:tc>
          <w:tcPr>
            <w:tcW w:w="788" w:type="dxa"/>
            <w:tcBorders>
              <w:top w:val="single" w:sz="4" w:space="0" w:color="auto"/>
              <w:left w:val="single" w:sz="4" w:space="0" w:color="auto"/>
              <w:bottom w:val="single" w:sz="4" w:space="0" w:color="auto"/>
              <w:right w:val="single" w:sz="4" w:space="0" w:color="auto"/>
            </w:tcBorders>
          </w:tcPr>
          <w:p w14:paraId="718C1154"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6.441</w:t>
            </w:r>
          </w:p>
        </w:tc>
        <w:tc>
          <w:tcPr>
            <w:tcW w:w="1002" w:type="dxa"/>
            <w:tcBorders>
              <w:top w:val="single" w:sz="4" w:space="0" w:color="auto"/>
              <w:left w:val="single" w:sz="4" w:space="0" w:color="auto"/>
              <w:bottom w:val="single" w:sz="4" w:space="0" w:color="auto"/>
              <w:right w:val="single" w:sz="4" w:space="0" w:color="auto"/>
            </w:tcBorders>
          </w:tcPr>
          <w:p w14:paraId="2581C12C"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51.6231**</w:t>
            </w:r>
          </w:p>
        </w:tc>
        <w:tc>
          <w:tcPr>
            <w:tcW w:w="966" w:type="dxa"/>
            <w:tcBorders>
              <w:top w:val="single" w:sz="4" w:space="0" w:color="auto"/>
              <w:left w:val="single" w:sz="4" w:space="0" w:color="auto"/>
              <w:bottom w:val="single" w:sz="4" w:space="0" w:color="auto"/>
              <w:right w:val="single" w:sz="4" w:space="0" w:color="auto"/>
            </w:tcBorders>
          </w:tcPr>
          <w:p w14:paraId="7DDC7FFC"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11.412**</w:t>
            </w:r>
          </w:p>
        </w:tc>
        <w:tc>
          <w:tcPr>
            <w:tcW w:w="1070" w:type="dxa"/>
            <w:tcBorders>
              <w:top w:val="single" w:sz="4" w:space="0" w:color="auto"/>
              <w:left w:val="single" w:sz="4" w:space="0" w:color="auto"/>
              <w:bottom w:val="single" w:sz="4" w:space="0" w:color="auto"/>
              <w:right w:val="single" w:sz="4" w:space="0" w:color="auto"/>
            </w:tcBorders>
          </w:tcPr>
          <w:p w14:paraId="0F26DFEF" w14:textId="77777777"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241.113**</w:t>
            </w:r>
          </w:p>
        </w:tc>
      </w:tr>
    </w:tbl>
    <w:p w14:paraId="29F3D593" w14:textId="77777777" w:rsidR="002059FD" w:rsidRPr="00F85C7A" w:rsidRDefault="002059FD" w:rsidP="002059FD">
      <w:pPr>
        <w:spacing w:line="240" w:lineRule="auto"/>
        <w:jc w:val="both"/>
        <w:rPr>
          <w:rFonts w:ascii="Times New Roman" w:hAnsi="Times New Roman"/>
          <w:b/>
          <w:sz w:val="26"/>
          <w:szCs w:val="26"/>
        </w:rPr>
      </w:pPr>
      <w:r w:rsidRPr="00F85C7A">
        <w:rPr>
          <w:rFonts w:ascii="Times New Roman" w:hAnsi="Times New Roman"/>
          <w:b/>
          <w:sz w:val="26"/>
          <w:szCs w:val="26"/>
        </w:rPr>
        <w:t xml:space="preserve">Note: Shows significant at 1%, IPS =IM, </w:t>
      </w:r>
      <w:proofErr w:type="spellStart"/>
      <w:r w:rsidRPr="00F85C7A">
        <w:rPr>
          <w:rFonts w:ascii="Times New Roman" w:hAnsi="Times New Roman"/>
          <w:b/>
          <w:sz w:val="26"/>
          <w:szCs w:val="26"/>
        </w:rPr>
        <w:t>Pesaran</w:t>
      </w:r>
      <w:proofErr w:type="spellEnd"/>
      <w:r w:rsidRPr="00F85C7A">
        <w:rPr>
          <w:rFonts w:ascii="Times New Roman" w:hAnsi="Times New Roman"/>
          <w:b/>
          <w:sz w:val="26"/>
          <w:szCs w:val="26"/>
        </w:rPr>
        <w:t>&amp; Shin, LLC=Levin, Lin &amp; Chu.</w:t>
      </w:r>
    </w:p>
    <w:p w14:paraId="0A553AE7" w14:textId="1C0641CD" w:rsidR="002059FD" w:rsidRPr="00CD23AA" w:rsidRDefault="002059FD" w:rsidP="002059FD">
      <w:pPr>
        <w:spacing w:line="480" w:lineRule="auto"/>
        <w:ind w:firstLine="720"/>
        <w:jc w:val="both"/>
        <w:rPr>
          <w:rFonts w:ascii="Times New Roman" w:hAnsi="Times New Roman"/>
          <w:sz w:val="24"/>
          <w:szCs w:val="26"/>
        </w:rPr>
      </w:pPr>
      <w:r w:rsidRPr="00F85C7A">
        <w:rPr>
          <w:rFonts w:ascii="Times New Roman" w:hAnsi="Times New Roman"/>
          <w:sz w:val="24"/>
          <w:szCs w:val="26"/>
        </w:rPr>
        <w:t>I</w:t>
      </w:r>
      <w:r w:rsidR="00C86DF8">
        <w:rPr>
          <w:rFonts w:ascii="Times New Roman" w:hAnsi="Times New Roman"/>
          <w:sz w:val="24"/>
          <w:szCs w:val="26"/>
        </w:rPr>
        <w:t>t is evidence from the table 1</w:t>
      </w:r>
      <w:r w:rsidRPr="00F85C7A">
        <w:rPr>
          <w:rFonts w:ascii="Times New Roman" w:hAnsi="Times New Roman"/>
          <w:sz w:val="24"/>
          <w:szCs w:val="26"/>
        </w:rPr>
        <w:t xml:space="preserve"> that the null hypothesis of the unit roots for the panel data for the variables of interest cannot be rejected. This is because, the variables of interest are integrated of difference orders 1(1) and 1(0). Since non</w:t>
      </w:r>
      <w:r>
        <w:rPr>
          <w:rFonts w:ascii="Times New Roman" w:hAnsi="Times New Roman"/>
          <w:sz w:val="24"/>
          <w:szCs w:val="26"/>
        </w:rPr>
        <w:t>e</w:t>
      </w:r>
      <w:r w:rsidRPr="00F85C7A">
        <w:rPr>
          <w:rFonts w:ascii="Times New Roman" w:hAnsi="Times New Roman"/>
          <w:sz w:val="24"/>
          <w:szCs w:val="26"/>
        </w:rPr>
        <w:t xml:space="preserve"> of the variables of interest was 1(2), we can now proceed to test for Asymmetric ARDL both for short and long-run.</w:t>
      </w:r>
    </w:p>
    <w:p w14:paraId="02C162E0" w14:textId="77777777" w:rsidR="002059FD" w:rsidRPr="00F85C7A" w:rsidRDefault="00BE0CCD" w:rsidP="002059FD">
      <w:pPr>
        <w:spacing w:line="240" w:lineRule="auto"/>
        <w:jc w:val="both"/>
        <w:rPr>
          <w:rFonts w:ascii="Times New Roman" w:hAnsi="Times New Roman"/>
          <w:b/>
          <w:sz w:val="24"/>
          <w:szCs w:val="26"/>
        </w:rPr>
      </w:pPr>
      <w:r>
        <w:rPr>
          <w:rFonts w:ascii="Times New Roman" w:hAnsi="Times New Roman"/>
          <w:b/>
          <w:sz w:val="24"/>
          <w:szCs w:val="26"/>
        </w:rPr>
        <w:t xml:space="preserve">4.2 </w:t>
      </w:r>
      <w:r w:rsidR="002059FD" w:rsidRPr="00F85C7A">
        <w:rPr>
          <w:rFonts w:ascii="Times New Roman" w:hAnsi="Times New Roman"/>
          <w:b/>
          <w:sz w:val="24"/>
          <w:szCs w:val="26"/>
        </w:rPr>
        <w:t>Asymmetric ARDL Bounds Test</w:t>
      </w:r>
    </w:p>
    <w:p w14:paraId="4FFACC45" w14:textId="0961B828" w:rsidR="002059FD" w:rsidRDefault="00C50DCB" w:rsidP="002059FD">
      <w:pPr>
        <w:pStyle w:val="NoSpacing"/>
        <w:rPr>
          <w:rFonts w:ascii="Times New Roman" w:hAnsi="Times New Roman" w:cs="Times New Roman"/>
          <w:b/>
          <w:sz w:val="24"/>
          <w:szCs w:val="26"/>
        </w:rPr>
      </w:pPr>
      <w:r>
        <w:rPr>
          <w:rFonts w:ascii="Times New Roman" w:hAnsi="Times New Roman" w:cs="Times New Roman"/>
          <w:b/>
          <w:sz w:val="24"/>
          <w:szCs w:val="26"/>
        </w:rPr>
        <w:t>Table.2</w:t>
      </w:r>
      <w:r w:rsidR="002059FD" w:rsidRPr="00F85C7A">
        <w:rPr>
          <w:rFonts w:ascii="Times New Roman" w:hAnsi="Times New Roman" w:cs="Times New Roman"/>
          <w:b/>
          <w:sz w:val="24"/>
          <w:szCs w:val="26"/>
        </w:rPr>
        <w:t xml:space="preserve">: Asymmetric ARDL Bounds test </w:t>
      </w:r>
    </w:p>
    <w:p w14:paraId="637B42F1" w14:textId="77777777" w:rsidR="00BE0CCD" w:rsidRPr="00F85C7A" w:rsidRDefault="00BE0CCD" w:rsidP="002059FD">
      <w:pPr>
        <w:pStyle w:val="NoSpacing"/>
        <w:rPr>
          <w:rFonts w:ascii="Times New Roman" w:hAnsi="Times New Roman" w:cs="Times New Roman"/>
          <w:b/>
          <w:sz w:val="24"/>
          <w:szCs w:val="26"/>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022"/>
        <w:gridCol w:w="786"/>
        <w:gridCol w:w="2004"/>
        <w:gridCol w:w="1596"/>
        <w:gridCol w:w="1104"/>
      </w:tblGrid>
      <w:tr w:rsidR="002059FD" w:rsidRPr="00F85C7A" w14:paraId="066E0B84" w14:textId="77777777" w:rsidTr="00DD0C2C">
        <w:tc>
          <w:tcPr>
            <w:tcW w:w="1728" w:type="dxa"/>
            <w:tcBorders>
              <w:top w:val="single" w:sz="4" w:space="0" w:color="auto"/>
              <w:left w:val="single" w:sz="4" w:space="0" w:color="auto"/>
              <w:bottom w:val="single" w:sz="4" w:space="0" w:color="auto"/>
              <w:right w:val="single" w:sz="4" w:space="0" w:color="auto"/>
            </w:tcBorders>
          </w:tcPr>
          <w:p w14:paraId="0AC3FA29" w14:textId="77777777" w:rsidR="002059FD" w:rsidRPr="00F85C7A" w:rsidRDefault="002059FD" w:rsidP="00DD0C2C">
            <w:pPr>
              <w:spacing w:after="0"/>
              <w:contextualSpacing/>
              <w:jc w:val="both"/>
              <w:rPr>
                <w:rFonts w:ascii="Times New Roman" w:eastAsia="Calibri" w:hAnsi="Times New Roman"/>
                <w:szCs w:val="26"/>
              </w:rPr>
            </w:pPr>
          </w:p>
        </w:tc>
        <w:tc>
          <w:tcPr>
            <w:tcW w:w="2022" w:type="dxa"/>
            <w:tcBorders>
              <w:top w:val="single" w:sz="4" w:space="0" w:color="auto"/>
              <w:left w:val="single" w:sz="4" w:space="0" w:color="auto"/>
              <w:bottom w:val="single" w:sz="4" w:space="0" w:color="auto"/>
              <w:right w:val="single" w:sz="4" w:space="0" w:color="auto"/>
            </w:tcBorders>
            <w:hideMark/>
          </w:tcPr>
          <w:p w14:paraId="1B60ABDF" w14:textId="77777777" w:rsidR="002059FD" w:rsidRPr="00F85C7A" w:rsidRDefault="002059FD" w:rsidP="00DD0C2C">
            <w:pPr>
              <w:spacing w:after="0"/>
              <w:contextualSpacing/>
              <w:jc w:val="both"/>
              <w:rPr>
                <w:rFonts w:ascii="Times New Roman" w:eastAsia="Calibri" w:hAnsi="Times New Roman"/>
                <w:szCs w:val="26"/>
              </w:rPr>
            </w:pPr>
            <w:r w:rsidRPr="00F85C7A">
              <w:rPr>
                <w:rFonts w:ascii="Times New Roman" w:eastAsia="Calibri" w:hAnsi="Times New Roman"/>
                <w:szCs w:val="26"/>
              </w:rPr>
              <w:t xml:space="preserve">Before Global financial crisis  </w:t>
            </w:r>
          </w:p>
        </w:tc>
        <w:tc>
          <w:tcPr>
            <w:tcW w:w="786" w:type="dxa"/>
            <w:tcBorders>
              <w:top w:val="single" w:sz="4" w:space="0" w:color="auto"/>
              <w:left w:val="single" w:sz="4" w:space="0" w:color="auto"/>
              <w:bottom w:val="single" w:sz="4" w:space="0" w:color="auto"/>
              <w:right w:val="single" w:sz="4" w:space="0" w:color="auto"/>
            </w:tcBorders>
          </w:tcPr>
          <w:p w14:paraId="66AE4D98" w14:textId="77777777" w:rsidR="002059FD" w:rsidRPr="00F85C7A" w:rsidRDefault="002059FD" w:rsidP="00DD0C2C">
            <w:pPr>
              <w:spacing w:after="0"/>
              <w:contextualSpacing/>
              <w:jc w:val="both"/>
              <w:rPr>
                <w:rFonts w:ascii="Times New Roman" w:eastAsia="Calibri" w:hAnsi="Times New Roman"/>
                <w:szCs w:val="26"/>
              </w:rPr>
            </w:pPr>
          </w:p>
        </w:tc>
        <w:tc>
          <w:tcPr>
            <w:tcW w:w="4704" w:type="dxa"/>
            <w:gridSpan w:val="3"/>
            <w:tcBorders>
              <w:top w:val="single" w:sz="4" w:space="0" w:color="auto"/>
              <w:left w:val="single" w:sz="4" w:space="0" w:color="auto"/>
              <w:bottom w:val="single" w:sz="4" w:space="0" w:color="auto"/>
              <w:right w:val="single" w:sz="4" w:space="0" w:color="auto"/>
            </w:tcBorders>
            <w:hideMark/>
          </w:tcPr>
          <w:p w14:paraId="47E3BA47" w14:textId="77777777" w:rsidR="002059FD" w:rsidRPr="00F85C7A" w:rsidRDefault="002059FD" w:rsidP="00DD0C2C">
            <w:pPr>
              <w:spacing w:after="0"/>
              <w:contextualSpacing/>
              <w:jc w:val="both"/>
              <w:rPr>
                <w:rFonts w:ascii="Times New Roman" w:eastAsia="Calibri" w:hAnsi="Times New Roman"/>
                <w:szCs w:val="26"/>
              </w:rPr>
            </w:pPr>
            <w:r w:rsidRPr="00F85C7A">
              <w:rPr>
                <w:rFonts w:ascii="Times New Roman" w:eastAsia="Calibri" w:hAnsi="Times New Roman"/>
                <w:szCs w:val="26"/>
              </w:rPr>
              <w:t>After Global Financial Crisis</w:t>
            </w:r>
          </w:p>
        </w:tc>
      </w:tr>
      <w:tr w:rsidR="002059FD" w:rsidRPr="00F85C7A" w14:paraId="7A6C4CEC" w14:textId="77777777" w:rsidTr="00DD0C2C">
        <w:trPr>
          <w:trHeight w:val="335"/>
        </w:trPr>
        <w:tc>
          <w:tcPr>
            <w:tcW w:w="1728" w:type="dxa"/>
            <w:vMerge w:val="restart"/>
            <w:tcBorders>
              <w:top w:val="single" w:sz="4" w:space="0" w:color="auto"/>
              <w:left w:val="single" w:sz="4" w:space="0" w:color="auto"/>
              <w:bottom w:val="single" w:sz="4" w:space="0" w:color="auto"/>
              <w:right w:val="single" w:sz="4" w:space="0" w:color="auto"/>
            </w:tcBorders>
            <w:hideMark/>
          </w:tcPr>
          <w:p w14:paraId="46BC72A3" w14:textId="77777777" w:rsidR="002059FD" w:rsidRPr="00F85C7A" w:rsidRDefault="002059FD" w:rsidP="00DD0C2C">
            <w:pPr>
              <w:spacing w:after="0"/>
              <w:contextualSpacing/>
              <w:jc w:val="both"/>
              <w:rPr>
                <w:rFonts w:ascii="Times New Roman" w:eastAsia="Calibri" w:hAnsi="Times New Roman"/>
                <w:szCs w:val="26"/>
              </w:rPr>
            </w:pPr>
            <w:r w:rsidRPr="00F85C7A">
              <w:rPr>
                <w:rFonts w:ascii="Times New Roman" w:eastAsia="Calibri" w:hAnsi="Times New Roman"/>
                <w:szCs w:val="26"/>
              </w:rPr>
              <w:t xml:space="preserve">Test statistic </w:t>
            </w:r>
          </w:p>
        </w:tc>
        <w:tc>
          <w:tcPr>
            <w:tcW w:w="2022" w:type="dxa"/>
            <w:vMerge w:val="restart"/>
            <w:tcBorders>
              <w:top w:val="single" w:sz="4" w:space="0" w:color="auto"/>
              <w:left w:val="single" w:sz="4" w:space="0" w:color="auto"/>
              <w:bottom w:val="single" w:sz="4" w:space="0" w:color="auto"/>
              <w:right w:val="single" w:sz="4" w:space="0" w:color="auto"/>
            </w:tcBorders>
            <w:hideMark/>
          </w:tcPr>
          <w:p w14:paraId="4686AD15" w14:textId="77777777" w:rsidR="002059FD" w:rsidRPr="00F85C7A" w:rsidRDefault="002059FD" w:rsidP="00DD0C2C">
            <w:pPr>
              <w:spacing w:after="0"/>
              <w:contextualSpacing/>
              <w:jc w:val="both"/>
              <w:rPr>
                <w:rFonts w:ascii="Times New Roman" w:eastAsia="Calibri" w:hAnsi="Times New Roman"/>
                <w:szCs w:val="26"/>
              </w:rPr>
            </w:pPr>
            <w:r w:rsidRPr="00F85C7A">
              <w:rPr>
                <w:rFonts w:ascii="Times New Roman" w:eastAsia="Calibri" w:hAnsi="Times New Roman"/>
                <w:szCs w:val="26"/>
              </w:rPr>
              <w:t xml:space="preserve">Value </w:t>
            </w:r>
          </w:p>
        </w:tc>
        <w:tc>
          <w:tcPr>
            <w:tcW w:w="786" w:type="dxa"/>
            <w:vMerge w:val="restart"/>
            <w:tcBorders>
              <w:top w:val="single" w:sz="4" w:space="0" w:color="auto"/>
              <w:left w:val="single" w:sz="4" w:space="0" w:color="auto"/>
              <w:bottom w:val="single" w:sz="4" w:space="0" w:color="auto"/>
              <w:right w:val="single" w:sz="4" w:space="0" w:color="auto"/>
            </w:tcBorders>
            <w:hideMark/>
          </w:tcPr>
          <w:p w14:paraId="37AADE9D" w14:textId="77777777" w:rsidR="002059FD" w:rsidRPr="00F85C7A" w:rsidRDefault="002059FD" w:rsidP="00DD0C2C">
            <w:pPr>
              <w:spacing w:after="0"/>
              <w:contextualSpacing/>
              <w:jc w:val="both"/>
              <w:rPr>
                <w:rFonts w:ascii="Times New Roman" w:eastAsia="Calibri" w:hAnsi="Times New Roman"/>
                <w:szCs w:val="26"/>
              </w:rPr>
            </w:pPr>
            <w:r w:rsidRPr="00F85C7A">
              <w:rPr>
                <w:rFonts w:ascii="Times New Roman" w:eastAsia="Calibri" w:hAnsi="Times New Roman"/>
                <w:szCs w:val="26"/>
              </w:rPr>
              <w:t>K</w:t>
            </w:r>
          </w:p>
        </w:tc>
        <w:tc>
          <w:tcPr>
            <w:tcW w:w="2004" w:type="dxa"/>
            <w:tcBorders>
              <w:top w:val="single" w:sz="4" w:space="0" w:color="auto"/>
              <w:left w:val="single" w:sz="4" w:space="0" w:color="auto"/>
              <w:bottom w:val="single" w:sz="4" w:space="0" w:color="auto"/>
              <w:right w:val="single" w:sz="4" w:space="0" w:color="auto"/>
            </w:tcBorders>
            <w:hideMark/>
          </w:tcPr>
          <w:p w14:paraId="312AFAA9" w14:textId="77777777" w:rsidR="002059FD" w:rsidRPr="00F85C7A" w:rsidRDefault="002059FD" w:rsidP="00DD0C2C">
            <w:pPr>
              <w:spacing w:after="0"/>
              <w:contextualSpacing/>
              <w:jc w:val="both"/>
              <w:rPr>
                <w:rFonts w:ascii="Times New Roman" w:eastAsia="Calibri" w:hAnsi="Times New Roman"/>
                <w:szCs w:val="26"/>
              </w:rPr>
            </w:pPr>
            <w:r w:rsidRPr="00F85C7A">
              <w:rPr>
                <w:rFonts w:ascii="Times New Roman" w:eastAsia="Calibri" w:hAnsi="Times New Roman"/>
                <w:szCs w:val="26"/>
              </w:rPr>
              <w:t>Test statistics</w:t>
            </w:r>
          </w:p>
        </w:tc>
        <w:tc>
          <w:tcPr>
            <w:tcW w:w="1596" w:type="dxa"/>
            <w:tcBorders>
              <w:top w:val="single" w:sz="4" w:space="0" w:color="auto"/>
              <w:left w:val="single" w:sz="4" w:space="0" w:color="auto"/>
              <w:bottom w:val="single" w:sz="4" w:space="0" w:color="auto"/>
              <w:right w:val="single" w:sz="4" w:space="0" w:color="auto"/>
            </w:tcBorders>
            <w:hideMark/>
          </w:tcPr>
          <w:p w14:paraId="58DF0620" w14:textId="77777777" w:rsidR="002059FD" w:rsidRPr="00F85C7A" w:rsidRDefault="002059FD" w:rsidP="00DD0C2C">
            <w:pPr>
              <w:spacing w:after="0"/>
              <w:contextualSpacing/>
              <w:jc w:val="both"/>
              <w:rPr>
                <w:rFonts w:ascii="Times New Roman" w:eastAsia="Calibri" w:hAnsi="Times New Roman"/>
                <w:szCs w:val="26"/>
              </w:rPr>
            </w:pPr>
            <w:r w:rsidRPr="00F85C7A">
              <w:rPr>
                <w:rFonts w:ascii="Times New Roman" w:eastAsia="Calibri" w:hAnsi="Times New Roman"/>
                <w:szCs w:val="26"/>
              </w:rPr>
              <w:t xml:space="preserve">Value </w:t>
            </w:r>
          </w:p>
        </w:tc>
        <w:tc>
          <w:tcPr>
            <w:tcW w:w="1104" w:type="dxa"/>
            <w:tcBorders>
              <w:top w:val="single" w:sz="4" w:space="0" w:color="auto"/>
              <w:left w:val="single" w:sz="4" w:space="0" w:color="auto"/>
              <w:bottom w:val="single" w:sz="4" w:space="0" w:color="auto"/>
              <w:right w:val="single" w:sz="4" w:space="0" w:color="auto"/>
            </w:tcBorders>
            <w:hideMark/>
          </w:tcPr>
          <w:p w14:paraId="7EFAE691" w14:textId="77777777" w:rsidR="002059FD" w:rsidRPr="00F85C7A" w:rsidRDefault="002059FD" w:rsidP="00DD0C2C">
            <w:pPr>
              <w:spacing w:after="0"/>
              <w:contextualSpacing/>
              <w:jc w:val="both"/>
              <w:rPr>
                <w:rFonts w:ascii="Times New Roman" w:eastAsia="Calibri" w:hAnsi="Times New Roman"/>
                <w:szCs w:val="26"/>
              </w:rPr>
            </w:pPr>
            <w:r w:rsidRPr="00F85C7A">
              <w:rPr>
                <w:rFonts w:ascii="Times New Roman" w:eastAsia="Calibri" w:hAnsi="Times New Roman"/>
                <w:szCs w:val="26"/>
              </w:rPr>
              <w:t>K</w:t>
            </w:r>
          </w:p>
        </w:tc>
      </w:tr>
      <w:tr w:rsidR="002059FD" w:rsidRPr="00F85C7A" w14:paraId="619913C5" w14:textId="77777777" w:rsidTr="00DD0C2C">
        <w:trPr>
          <w:trHeight w:val="3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CFEA81" w14:textId="77777777" w:rsidR="002059FD" w:rsidRPr="00F85C7A" w:rsidRDefault="002059FD" w:rsidP="00DD0C2C">
            <w:pPr>
              <w:spacing w:after="0" w:line="256" w:lineRule="auto"/>
              <w:rPr>
                <w:rFonts w:ascii="Times New Roman" w:eastAsia="Calibri" w:hAnsi="Times New Roman"/>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641893" w14:textId="77777777" w:rsidR="002059FD" w:rsidRPr="00F85C7A" w:rsidRDefault="002059FD" w:rsidP="00DD0C2C">
            <w:pPr>
              <w:spacing w:after="0" w:line="256" w:lineRule="auto"/>
              <w:rPr>
                <w:rFonts w:ascii="Times New Roman" w:eastAsia="Calibri" w:hAnsi="Times New Roman"/>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0FA4B5" w14:textId="77777777" w:rsidR="002059FD" w:rsidRPr="00F85C7A" w:rsidRDefault="002059FD" w:rsidP="00DD0C2C">
            <w:pPr>
              <w:spacing w:after="0" w:line="256" w:lineRule="auto"/>
              <w:rPr>
                <w:rFonts w:ascii="Times New Roman" w:eastAsia="Calibri" w:hAnsi="Times New Roman"/>
                <w:szCs w:val="26"/>
              </w:rPr>
            </w:pPr>
          </w:p>
        </w:tc>
        <w:tc>
          <w:tcPr>
            <w:tcW w:w="2004" w:type="dxa"/>
            <w:tcBorders>
              <w:top w:val="single" w:sz="4" w:space="0" w:color="auto"/>
              <w:left w:val="single" w:sz="4" w:space="0" w:color="auto"/>
              <w:bottom w:val="single" w:sz="4" w:space="0" w:color="auto"/>
              <w:right w:val="single" w:sz="4" w:space="0" w:color="auto"/>
            </w:tcBorders>
          </w:tcPr>
          <w:p w14:paraId="202E7D69" w14:textId="77777777" w:rsidR="002059FD" w:rsidRPr="00F85C7A" w:rsidRDefault="002059FD" w:rsidP="00DD0C2C">
            <w:pPr>
              <w:spacing w:after="0"/>
              <w:contextualSpacing/>
              <w:jc w:val="both"/>
              <w:rPr>
                <w:rFonts w:ascii="Times New Roman" w:eastAsia="Calibri" w:hAnsi="Times New Roman"/>
                <w:szCs w:val="26"/>
              </w:rPr>
            </w:pPr>
          </w:p>
        </w:tc>
        <w:tc>
          <w:tcPr>
            <w:tcW w:w="1596" w:type="dxa"/>
            <w:tcBorders>
              <w:top w:val="single" w:sz="4" w:space="0" w:color="auto"/>
              <w:left w:val="single" w:sz="4" w:space="0" w:color="auto"/>
              <w:bottom w:val="single" w:sz="4" w:space="0" w:color="auto"/>
              <w:right w:val="single" w:sz="4" w:space="0" w:color="auto"/>
            </w:tcBorders>
            <w:hideMark/>
          </w:tcPr>
          <w:p w14:paraId="328DEDD3" w14:textId="77777777" w:rsidR="002059FD" w:rsidRPr="00F85C7A" w:rsidRDefault="002059FD" w:rsidP="00DD0C2C">
            <w:pPr>
              <w:spacing w:after="0"/>
              <w:contextualSpacing/>
              <w:jc w:val="both"/>
              <w:rPr>
                <w:rFonts w:ascii="Times New Roman" w:eastAsia="Calibri" w:hAnsi="Times New Roman"/>
                <w:szCs w:val="26"/>
              </w:rPr>
            </w:pPr>
            <w:r w:rsidRPr="00F85C7A">
              <w:rPr>
                <w:rFonts w:ascii="Times New Roman" w:eastAsia="Calibri" w:hAnsi="Times New Roman"/>
                <w:szCs w:val="26"/>
              </w:rPr>
              <w:t>75.4321</w:t>
            </w:r>
          </w:p>
        </w:tc>
        <w:tc>
          <w:tcPr>
            <w:tcW w:w="1104" w:type="dxa"/>
            <w:tcBorders>
              <w:top w:val="single" w:sz="4" w:space="0" w:color="auto"/>
              <w:left w:val="single" w:sz="4" w:space="0" w:color="auto"/>
              <w:bottom w:val="single" w:sz="4" w:space="0" w:color="auto"/>
              <w:right w:val="single" w:sz="4" w:space="0" w:color="auto"/>
            </w:tcBorders>
            <w:hideMark/>
          </w:tcPr>
          <w:p w14:paraId="09E998D7" w14:textId="77777777" w:rsidR="002059FD" w:rsidRPr="00F85C7A" w:rsidRDefault="002059FD" w:rsidP="00DD0C2C">
            <w:pPr>
              <w:spacing w:after="0"/>
              <w:contextualSpacing/>
              <w:jc w:val="both"/>
              <w:rPr>
                <w:rFonts w:ascii="Times New Roman" w:eastAsia="Calibri" w:hAnsi="Times New Roman"/>
                <w:szCs w:val="26"/>
              </w:rPr>
            </w:pPr>
            <w:r w:rsidRPr="00F85C7A">
              <w:rPr>
                <w:rFonts w:ascii="Times New Roman" w:eastAsia="Calibri" w:hAnsi="Times New Roman"/>
                <w:szCs w:val="26"/>
              </w:rPr>
              <w:t>2</w:t>
            </w:r>
          </w:p>
        </w:tc>
      </w:tr>
      <w:tr w:rsidR="002059FD" w:rsidRPr="00F85C7A" w14:paraId="670F8CDA" w14:textId="77777777" w:rsidTr="00DD0C2C">
        <w:tc>
          <w:tcPr>
            <w:tcW w:w="1728" w:type="dxa"/>
            <w:tcBorders>
              <w:top w:val="single" w:sz="4" w:space="0" w:color="auto"/>
              <w:left w:val="single" w:sz="4" w:space="0" w:color="auto"/>
              <w:bottom w:val="single" w:sz="4" w:space="0" w:color="auto"/>
              <w:right w:val="single" w:sz="4" w:space="0" w:color="auto"/>
            </w:tcBorders>
            <w:hideMark/>
          </w:tcPr>
          <w:p w14:paraId="48985817" w14:textId="77777777" w:rsidR="002059FD" w:rsidRPr="00F85C7A" w:rsidRDefault="002059FD" w:rsidP="00DD0C2C">
            <w:pPr>
              <w:spacing w:after="0"/>
              <w:contextualSpacing/>
              <w:jc w:val="both"/>
              <w:rPr>
                <w:rFonts w:ascii="Times New Roman" w:eastAsia="Calibri" w:hAnsi="Times New Roman"/>
                <w:szCs w:val="26"/>
              </w:rPr>
            </w:pPr>
            <w:r w:rsidRPr="00F85C7A">
              <w:rPr>
                <w:rFonts w:ascii="Times New Roman" w:eastAsia="Calibri" w:hAnsi="Times New Roman"/>
                <w:szCs w:val="26"/>
              </w:rPr>
              <w:t>F – statistic</w:t>
            </w:r>
          </w:p>
        </w:tc>
        <w:tc>
          <w:tcPr>
            <w:tcW w:w="2022" w:type="dxa"/>
            <w:tcBorders>
              <w:top w:val="single" w:sz="4" w:space="0" w:color="auto"/>
              <w:left w:val="single" w:sz="4" w:space="0" w:color="auto"/>
              <w:bottom w:val="single" w:sz="4" w:space="0" w:color="auto"/>
              <w:right w:val="single" w:sz="4" w:space="0" w:color="auto"/>
            </w:tcBorders>
            <w:hideMark/>
          </w:tcPr>
          <w:p w14:paraId="177836EF" w14:textId="77777777" w:rsidR="002059FD" w:rsidRPr="00F85C7A" w:rsidRDefault="002059FD" w:rsidP="00DD0C2C">
            <w:pPr>
              <w:spacing w:after="0"/>
              <w:contextualSpacing/>
              <w:jc w:val="both"/>
              <w:rPr>
                <w:rFonts w:ascii="Times New Roman" w:eastAsia="Calibri" w:hAnsi="Times New Roman"/>
                <w:szCs w:val="26"/>
              </w:rPr>
            </w:pPr>
            <w:r w:rsidRPr="00F85C7A">
              <w:rPr>
                <w:rFonts w:ascii="Times New Roman" w:eastAsia="Calibri" w:hAnsi="Times New Roman"/>
                <w:szCs w:val="26"/>
              </w:rPr>
              <w:t>15.2143</w:t>
            </w:r>
          </w:p>
        </w:tc>
        <w:tc>
          <w:tcPr>
            <w:tcW w:w="786" w:type="dxa"/>
            <w:tcBorders>
              <w:top w:val="single" w:sz="4" w:space="0" w:color="auto"/>
              <w:left w:val="single" w:sz="4" w:space="0" w:color="auto"/>
              <w:bottom w:val="single" w:sz="4" w:space="0" w:color="auto"/>
              <w:right w:val="single" w:sz="4" w:space="0" w:color="auto"/>
            </w:tcBorders>
            <w:hideMark/>
          </w:tcPr>
          <w:p w14:paraId="79E03AB9" w14:textId="77777777" w:rsidR="002059FD" w:rsidRPr="00F85C7A" w:rsidRDefault="002059FD" w:rsidP="00DD0C2C">
            <w:pPr>
              <w:spacing w:after="0"/>
              <w:contextualSpacing/>
              <w:jc w:val="both"/>
              <w:rPr>
                <w:rFonts w:ascii="Times New Roman" w:eastAsia="Calibri" w:hAnsi="Times New Roman"/>
                <w:szCs w:val="26"/>
              </w:rPr>
            </w:pPr>
            <w:r w:rsidRPr="00F85C7A">
              <w:rPr>
                <w:rFonts w:ascii="Times New Roman" w:eastAsia="Calibri" w:hAnsi="Times New Roman"/>
                <w:szCs w:val="26"/>
              </w:rPr>
              <w:t>2</w:t>
            </w:r>
          </w:p>
        </w:tc>
        <w:tc>
          <w:tcPr>
            <w:tcW w:w="2004" w:type="dxa"/>
            <w:tcBorders>
              <w:top w:val="single" w:sz="4" w:space="0" w:color="auto"/>
              <w:left w:val="single" w:sz="4" w:space="0" w:color="auto"/>
              <w:bottom w:val="single" w:sz="4" w:space="0" w:color="auto"/>
              <w:right w:val="single" w:sz="4" w:space="0" w:color="auto"/>
            </w:tcBorders>
            <w:hideMark/>
          </w:tcPr>
          <w:p w14:paraId="2A39CB7C" w14:textId="77777777" w:rsidR="002059FD" w:rsidRPr="00F85C7A" w:rsidRDefault="002059FD" w:rsidP="00DD0C2C">
            <w:pPr>
              <w:spacing w:after="0"/>
              <w:contextualSpacing/>
              <w:jc w:val="both"/>
              <w:rPr>
                <w:rFonts w:ascii="Times New Roman" w:eastAsia="Calibri" w:hAnsi="Times New Roman"/>
                <w:szCs w:val="26"/>
              </w:rPr>
            </w:pPr>
            <w:r w:rsidRPr="00F85C7A">
              <w:rPr>
                <w:rFonts w:ascii="Times New Roman" w:eastAsia="Calibri" w:hAnsi="Times New Roman"/>
                <w:szCs w:val="26"/>
              </w:rPr>
              <w:t xml:space="preserve">F – statistics </w:t>
            </w:r>
          </w:p>
        </w:tc>
        <w:tc>
          <w:tcPr>
            <w:tcW w:w="1596" w:type="dxa"/>
            <w:tcBorders>
              <w:top w:val="single" w:sz="4" w:space="0" w:color="auto"/>
              <w:left w:val="single" w:sz="4" w:space="0" w:color="auto"/>
              <w:bottom w:val="single" w:sz="4" w:space="0" w:color="auto"/>
              <w:right w:val="single" w:sz="4" w:space="0" w:color="auto"/>
            </w:tcBorders>
          </w:tcPr>
          <w:p w14:paraId="06402CB1" w14:textId="77777777" w:rsidR="002059FD" w:rsidRPr="00F85C7A" w:rsidRDefault="002059FD" w:rsidP="00DD0C2C">
            <w:pPr>
              <w:spacing w:after="0"/>
              <w:contextualSpacing/>
              <w:jc w:val="both"/>
              <w:rPr>
                <w:rFonts w:ascii="Times New Roman" w:eastAsia="Calibri" w:hAnsi="Times New Roman"/>
                <w:szCs w:val="26"/>
              </w:rPr>
            </w:pPr>
          </w:p>
        </w:tc>
        <w:tc>
          <w:tcPr>
            <w:tcW w:w="1104" w:type="dxa"/>
            <w:tcBorders>
              <w:top w:val="single" w:sz="4" w:space="0" w:color="auto"/>
              <w:left w:val="single" w:sz="4" w:space="0" w:color="auto"/>
              <w:bottom w:val="single" w:sz="4" w:space="0" w:color="auto"/>
              <w:right w:val="single" w:sz="4" w:space="0" w:color="auto"/>
            </w:tcBorders>
          </w:tcPr>
          <w:p w14:paraId="66FF3134" w14:textId="77777777" w:rsidR="002059FD" w:rsidRPr="00F85C7A" w:rsidRDefault="002059FD" w:rsidP="00DD0C2C">
            <w:pPr>
              <w:spacing w:after="0"/>
              <w:contextualSpacing/>
              <w:jc w:val="both"/>
              <w:rPr>
                <w:rFonts w:ascii="Times New Roman" w:eastAsia="Calibri" w:hAnsi="Times New Roman"/>
                <w:szCs w:val="26"/>
              </w:rPr>
            </w:pPr>
          </w:p>
        </w:tc>
      </w:tr>
    </w:tbl>
    <w:p w14:paraId="5A9B75CA" w14:textId="77777777" w:rsidR="002059FD" w:rsidRDefault="002059FD" w:rsidP="002059FD">
      <w:pPr>
        <w:spacing w:after="0"/>
        <w:contextualSpacing/>
        <w:jc w:val="both"/>
        <w:rPr>
          <w:rFonts w:ascii="Times New Roman" w:hAnsi="Times New Roman"/>
          <w:b/>
          <w:sz w:val="24"/>
          <w:szCs w:val="24"/>
        </w:rPr>
      </w:pPr>
    </w:p>
    <w:p w14:paraId="1902A41F" w14:textId="77777777" w:rsidR="002059FD" w:rsidRPr="00F85C7A" w:rsidRDefault="002059FD" w:rsidP="002059FD">
      <w:pPr>
        <w:spacing w:after="0"/>
        <w:contextualSpacing/>
        <w:jc w:val="both"/>
        <w:rPr>
          <w:rFonts w:ascii="Times New Roman" w:hAnsi="Times New Roman"/>
          <w:b/>
          <w:sz w:val="24"/>
          <w:szCs w:val="24"/>
        </w:rPr>
      </w:pPr>
      <w:r w:rsidRPr="00F85C7A">
        <w:rPr>
          <w:rFonts w:ascii="Times New Roman" w:hAnsi="Times New Roman"/>
          <w:b/>
          <w:sz w:val="24"/>
          <w:szCs w:val="24"/>
        </w:rPr>
        <w:t xml:space="preserve">Critical Bounds Value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3192"/>
        <w:gridCol w:w="2208"/>
      </w:tblGrid>
      <w:tr w:rsidR="002059FD" w:rsidRPr="00F85C7A" w14:paraId="6E3BCB6B" w14:textId="77777777" w:rsidTr="00DD0C2C">
        <w:tc>
          <w:tcPr>
            <w:tcW w:w="2178" w:type="dxa"/>
            <w:tcBorders>
              <w:top w:val="single" w:sz="4" w:space="0" w:color="auto"/>
              <w:left w:val="single" w:sz="4" w:space="0" w:color="auto"/>
              <w:bottom w:val="single" w:sz="4" w:space="0" w:color="auto"/>
              <w:right w:val="single" w:sz="4" w:space="0" w:color="auto"/>
            </w:tcBorders>
          </w:tcPr>
          <w:p w14:paraId="155EF5A8" w14:textId="77777777" w:rsidR="002059FD" w:rsidRPr="00F85C7A" w:rsidRDefault="002059FD" w:rsidP="00DD0C2C">
            <w:pPr>
              <w:spacing w:after="0"/>
              <w:contextualSpacing/>
              <w:jc w:val="both"/>
              <w:rPr>
                <w:rFonts w:ascii="Times New Roman" w:eastAsia="Calibri" w:hAnsi="Times New Roman"/>
                <w:sz w:val="24"/>
                <w:szCs w:val="24"/>
              </w:rPr>
            </w:pPr>
          </w:p>
        </w:tc>
        <w:tc>
          <w:tcPr>
            <w:tcW w:w="3192" w:type="dxa"/>
            <w:tcBorders>
              <w:top w:val="single" w:sz="4" w:space="0" w:color="auto"/>
              <w:left w:val="single" w:sz="4" w:space="0" w:color="auto"/>
              <w:bottom w:val="single" w:sz="4" w:space="0" w:color="auto"/>
              <w:right w:val="single" w:sz="4" w:space="0" w:color="auto"/>
            </w:tcBorders>
            <w:hideMark/>
          </w:tcPr>
          <w:p w14:paraId="7702F0F0" w14:textId="77777777" w:rsidR="002059FD" w:rsidRPr="00F85C7A" w:rsidRDefault="002059FD" w:rsidP="00DD0C2C">
            <w:pPr>
              <w:spacing w:after="0"/>
              <w:contextualSpacing/>
              <w:jc w:val="both"/>
              <w:rPr>
                <w:rFonts w:ascii="Times New Roman" w:eastAsia="Calibri" w:hAnsi="Times New Roman"/>
                <w:sz w:val="24"/>
                <w:szCs w:val="24"/>
              </w:rPr>
            </w:pPr>
            <w:r w:rsidRPr="00F85C7A">
              <w:rPr>
                <w:rFonts w:ascii="Times New Roman" w:eastAsia="Calibri" w:hAnsi="Times New Roman"/>
                <w:sz w:val="24"/>
                <w:szCs w:val="24"/>
              </w:rPr>
              <w:t xml:space="preserve">Critical Value Bounds </w:t>
            </w:r>
          </w:p>
        </w:tc>
        <w:tc>
          <w:tcPr>
            <w:tcW w:w="2208" w:type="dxa"/>
            <w:tcBorders>
              <w:top w:val="single" w:sz="4" w:space="0" w:color="auto"/>
              <w:left w:val="single" w:sz="4" w:space="0" w:color="auto"/>
              <w:bottom w:val="single" w:sz="4" w:space="0" w:color="auto"/>
              <w:right w:val="single" w:sz="4" w:space="0" w:color="auto"/>
            </w:tcBorders>
          </w:tcPr>
          <w:p w14:paraId="46E22F42" w14:textId="77777777" w:rsidR="002059FD" w:rsidRPr="00F85C7A" w:rsidRDefault="002059FD" w:rsidP="00DD0C2C">
            <w:pPr>
              <w:spacing w:after="0"/>
              <w:contextualSpacing/>
              <w:jc w:val="both"/>
              <w:rPr>
                <w:rFonts w:ascii="Times New Roman" w:eastAsia="Calibri" w:hAnsi="Times New Roman"/>
                <w:sz w:val="24"/>
                <w:szCs w:val="24"/>
              </w:rPr>
            </w:pPr>
          </w:p>
        </w:tc>
      </w:tr>
      <w:tr w:rsidR="002059FD" w:rsidRPr="00F85C7A" w14:paraId="4A1E218A" w14:textId="77777777" w:rsidTr="00DD0C2C">
        <w:tc>
          <w:tcPr>
            <w:tcW w:w="2178" w:type="dxa"/>
            <w:tcBorders>
              <w:top w:val="single" w:sz="4" w:space="0" w:color="auto"/>
              <w:left w:val="single" w:sz="4" w:space="0" w:color="auto"/>
              <w:bottom w:val="single" w:sz="4" w:space="0" w:color="auto"/>
              <w:right w:val="single" w:sz="4" w:space="0" w:color="auto"/>
            </w:tcBorders>
            <w:hideMark/>
          </w:tcPr>
          <w:p w14:paraId="06F7BCEA" w14:textId="77777777" w:rsidR="002059FD" w:rsidRPr="00F85C7A" w:rsidRDefault="002059FD" w:rsidP="00DD0C2C">
            <w:pPr>
              <w:spacing w:after="0"/>
              <w:contextualSpacing/>
              <w:jc w:val="both"/>
              <w:rPr>
                <w:rFonts w:ascii="Times New Roman" w:eastAsia="Calibri" w:hAnsi="Times New Roman"/>
                <w:sz w:val="24"/>
                <w:szCs w:val="24"/>
              </w:rPr>
            </w:pPr>
            <w:r w:rsidRPr="00F85C7A">
              <w:rPr>
                <w:rFonts w:ascii="Times New Roman" w:eastAsia="Calibri" w:hAnsi="Times New Roman"/>
                <w:sz w:val="24"/>
                <w:szCs w:val="24"/>
              </w:rPr>
              <w:t xml:space="preserve">Significance </w:t>
            </w:r>
          </w:p>
        </w:tc>
        <w:tc>
          <w:tcPr>
            <w:tcW w:w="3192" w:type="dxa"/>
            <w:tcBorders>
              <w:top w:val="single" w:sz="4" w:space="0" w:color="auto"/>
              <w:left w:val="single" w:sz="4" w:space="0" w:color="auto"/>
              <w:bottom w:val="single" w:sz="4" w:space="0" w:color="auto"/>
              <w:right w:val="single" w:sz="4" w:space="0" w:color="auto"/>
            </w:tcBorders>
            <w:hideMark/>
          </w:tcPr>
          <w:p w14:paraId="691705FE" w14:textId="77777777" w:rsidR="002059FD" w:rsidRPr="00F85C7A" w:rsidRDefault="002059FD" w:rsidP="00DD0C2C">
            <w:pPr>
              <w:spacing w:after="0"/>
              <w:contextualSpacing/>
              <w:jc w:val="both"/>
              <w:rPr>
                <w:rFonts w:ascii="Times New Roman" w:eastAsia="Calibri" w:hAnsi="Times New Roman"/>
                <w:sz w:val="24"/>
                <w:szCs w:val="24"/>
              </w:rPr>
            </w:pPr>
            <w:r w:rsidRPr="00F85C7A">
              <w:rPr>
                <w:rFonts w:ascii="Times New Roman" w:eastAsia="Calibri" w:hAnsi="Times New Roman"/>
                <w:sz w:val="24"/>
                <w:szCs w:val="24"/>
              </w:rPr>
              <w:t>1(0)</w:t>
            </w:r>
          </w:p>
        </w:tc>
        <w:tc>
          <w:tcPr>
            <w:tcW w:w="2208" w:type="dxa"/>
            <w:tcBorders>
              <w:top w:val="single" w:sz="4" w:space="0" w:color="auto"/>
              <w:left w:val="single" w:sz="4" w:space="0" w:color="auto"/>
              <w:bottom w:val="single" w:sz="4" w:space="0" w:color="auto"/>
              <w:right w:val="single" w:sz="4" w:space="0" w:color="auto"/>
            </w:tcBorders>
            <w:hideMark/>
          </w:tcPr>
          <w:p w14:paraId="334DC8D3" w14:textId="77777777" w:rsidR="002059FD" w:rsidRPr="00F85C7A" w:rsidRDefault="002059FD" w:rsidP="00DD0C2C">
            <w:pPr>
              <w:spacing w:after="0"/>
              <w:contextualSpacing/>
              <w:jc w:val="both"/>
              <w:rPr>
                <w:rFonts w:ascii="Times New Roman" w:eastAsia="Calibri" w:hAnsi="Times New Roman"/>
                <w:sz w:val="24"/>
                <w:szCs w:val="24"/>
              </w:rPr>
            </w:pPr>
            <w:r w:rsidRPr="00F85C7A">
              <w:rPr>
                <w:rFonts w:ascii="Times New Roman" w:eastAsia="Calibri" w:hAnsi="Times New Roman"/>
                <w:sz w:val="24"/>
                <w:szCs w:val="24"/>
              </w:rPr>
              <w:t>1(1)</w:t>
            </w:r>
          </w:p>
        </w:tc>
      </w:tr>
      <w:tr w:rsidR="002059FD" w:rsidRPr="00F85C7A" w14:paraId="3D8B5A3B" w14:textId="77777777" w:rsidTr="00DD0C2C">
        <w:tc>
          <w:tcPr>
            <w:tcW w:w="2178" w:type="dxa"/>
            <w:tcBorders>
              <w:top w:val="single" w:sz="4" w:space="0" w:color="auto"/>
              <w:left w:val="single" w:sz="4" w:space="0" w:color="auto"/>
              <w:bottom w:val="single" w:sz="4" w:space="0" w:color="auto"/>
              <w:right w:val="single" w:sz="4" w:space="0" w:color="auto"/>
            </w:tcBorders>
            <w:hideMark/>
          </w:tcPr>
          <w:p w14:paraId="00F991A4" w14:textId="77777777" w:rsidR="002059FD" w:rsidRPr="00F85C7A" w:rsidRDefault="002059FD" w:rsidP="00DD0C2C">
            <w:pPr>
              <w:spacing w:after="0"/>
              <w:contextualSpacing/>
              <w:jc w:val="both"/>
              <w:rPr>
                <w:rFonts w:ascii="Times New Roman" w:eastAsia="Calibri" w:hAnsi="Times New Roman"/>
                <w:sz w:val="24"/>
                <w:szCs w:val="24"/>
              </w:rPr>
            </w:pPr>
            <w:r w:rsidRPr="00F85C7A">
              <w:rPr>
                <w:rFonts w:ascii="Times New Roman" w:eastAsia="Calibri" w:hAnsi="Times New Roman"/>
                <w:sz w:val="24"/>
                <w:szCs w:val="24"/>
              </w:rPr>
              <w:t>10%</w:t>
            </w:r>
          </w:p>
        </w:tc>
        <w:tc>
          <w:tcPr>
            <w:tcW w:w="3192" w:type="dxa"/>
            <w:tcBorders>
              <w:top w:val="single" w:sz="4" w:space="0" w:color="auto"/>
              <w:left w:val="single" w:sz="4" w:space="0" w:color="auto"/>
              <w:bottom w:val="single" w:sz="4" w:space="0" w:color="auto"/>
              <w:right w:val="single" w:sz="4" w:space="0" w:color="auto"/>
            </w:tcBorders>
            <w:hideMark/>
          </w:tcPr>
          <w:p w14:paraId="0154E047" w14:textId="77777777" w:rsidR="002059FD" w:rsidRPr="00F85C7A" w:rsidRDefault="002059FD" w:rsidP="00DD0C2C">
            <w:pPr>
              <w:spacing w:after="0"/>
              <w:contextualSpacing/>
              <w:jc w:val="both"/>
              <w:rPr>
                <w:rFonts w:ascii="Times New Roman" w:eastAsia="Calibri" w:hAnsi="Times New Roman"/>
                <w:sz w:val="24"/>
                <w:szCs w:val="24"/>
              </w:rPr>
            </w:pPr>
            <w:r w:rsidRPr="00F85C7A">
              <w:rPr>
                <w:rFonts w:ascii="Times New Roman" w:eastAsia="Calibri" w:hAnsi="Times New Roman"/>
                <w:sz w:val="24"/>
                <w:szCs w:val="24"/>
              </w:rPr>
              <w:t>3.19</w:t>
            </w:r>
          </w:p>
        </w:tc>
        <w:tc>
          <w:tcPr>
            <w:tcW w:w="2208" w:type="dxa"/>
            <w:tcBorders>
              <w:top w:val="single" w:sz="4" w:space="0" w:color="auto"/>
              <w:left w:val="single" w:sz="4" w:space="0" w:color="auto"/>
              <w:bottom w:val="single" w:sz="4" w:space="0" w:color="auto"/>
              <w:right w:val="single" w:sz="4" w:space="0" w:color="auto"/>
            </w:tcBorders>
            <w:hideMark/>
          </w:tcPr>
          <w:p w14:paraId="302CB0E7" w14:textId="77777777" w:rsidR="002059FD" w:rsidRPr="00F85C7A" w:rsidRDefault="002059FD" w:rsidP="00DD0C2C">
            <w:pPr>
              <w:spacing w:after="0"/>
              <w:contextualSpacing/>
              <w:jc w:val="both"/>
              <w:rPr>
                <w:rFonts w:ascii="Times New Roman" w:eastAsia="Calibri" w:hAnsi="Times New Roman"/>
                <w:sz w:val="24"/>
                <w:szCs w:val="24"/>
              </w:rPr>
            </w:pPr>
            <w:r w:rsidRPr="00F85C7A">
              <w:rPr>
                <w:rFonts w:ascii="Times New Roman" w:eastAsia="Calibri" w:hAnsi="Times New Roman"/>
                <w:sz w:val="24"/>
                <w:szCs w:val="24"/>
              </w:rPr>
              <w:t>4.15</w:t>
            </w:r>
          </w:p>
        </w:tc>
      </w:tr>
      <w:tr w:rsidR="002059FD" w:rsidRPr="00F85C7A" w14:paraId="155A3EAD" w14:textId="77777777" w:rsidTr="00DD0C2C">
        <w:tc>
          <w:tcPr>
            <w:tcW w:w="2178" w:type="dxa"/>
            <w:tcBorders>
              <w:top w:val="single" w:sz="4" w:space="0" w:color="auto"/>
              <w:left w:val="single" w:sz="4" w:space="0" w:color="auto"/>
              <w:bottom w:val="single" w:sz="4" w:space="0" w:color="auto"/>
              <w:right w:val="single" w:sz="4" w:space="0" w:color="auto"/>
            </w:tcBorders>
            <w:hideMark/>
          </w:tcPr>
          <w:p w14:paraId="26115F7E" w14:textId="77777777" w:rsidR="002059FD" w:rsidRPr="00F85C7A" w:rsidRDefault="002059FD" w:rsidP="00DD0C2C">
            <w:pPr>
              <w:spacing w:after="0"/>
              <w:contextualSpacing/>
              <w:jc w:val="both"/>
              <w:rPr>
                <w:rFonts w:ascii="Times New Roman" w:eastAsia="Calibri" w:hAnsi="Times New Roman"/>
                <w:sz w:val="24"/>
                <w:szCs w:val="24"/>
              </w:rPr>
            </w:pPr>
            <w:r w:rsidRPr="00F85C7A">
              <w:rPr>
                <w:rFonts w:ascii="Times New Roman" w:eastAsia="Calibri" w:hAnsi="Times New Roman"/>
                <w:sz w:val="24"/>
                <w:szCs w:val="24"/>
              </w:rPr>
              <w:t>5%</w:t>
            </w:r>
          </w:p>
        </w:tc>
        <w:tc>
          <w:tcPr>
            <w:tcW w:w="3192" w:type="dxa"/>
            <w:tcBorders>
              <w:top w:val="single" w:sz="4" w:space="0" w:color="auto"/>
              <w:left w:val="single" w:sz="4" w:space="0" w:color="auto"/>
              <w:bottom w:val="single" w:sz="4" w:space="0" w:color="auto"/>
              <w:right w:val="single" w:sz="4" w:space="0" w:color="auto"/>
            </w:tcBorders>
            <w:hideMark/>
          </w:tcPr>
          <w:p w14:paraId="03891CAD" w14:textId="77777777" w:rsidR="002059FD" w:rsidRPr="00F85C7A" w:rsidRDefault="002059FD" w:rsidP="00DD0C2C">
            <w:pPr>
              <w:spacing w:after="0"/>
              <w:contextualSpacing/>
              <w:jc w:val="both"/>
              <w:rPr>
                <w:rFonts w:ascii="Times New Roman" w:eastAsia="Calibri" w:hAnsi="Times New Roman"/>
                <w:sz w:val="24"/>
                <w:szCs w:val="24"/>
              </w:rPr>
            </w:pPr>
            <w:r w:rsidRPr="00F85C7A">
              <w:rPr>
                <w:rFonts w:ascii="Times New Roman" w:eastAsia="Calibri" w:hAnsi="Times New Roman"/>
                <w:sz w:val="24"/>
                <w:szCs w:val="24"/>
              </w:rPr>
              <w:t>3.82</w:t>
            </w:r>
          </w:p>
        </w:tc>
        <w:tc>
          <w:tcPr>
            <w:tcW w:w="2208" w:type="dxa"/>
            <w:tcBorders>
              <w:top w:val="single" w:sz="4" w:space="0" w:color="auto"/>
              <w:left w:val="single" w:sz="4" w:space="0" w:color="auto"/>
              <w:bottom w:val="single" w:sz="4" w:space="0" w:color="auto"/>
              <w:right w:val="single" w:sz="4" w:space="0" w:color="auto"/>
            </w:tcBorders>
            <w:hideMark/>
          </w:tcPr>
          <w:p w14:paraId="3E1DB94B" w14:textId="77777777" w:rsidR="002059FD" w:rsidRPr="00F85C7A" w:rsidRDefault="002059FD" w:rsidP="00DD0C2C">
            <w:pPr>
              <w:spacing w:after="0"/>
              <w:contextualSpacing/>
              <w:jc w:val="both"/>
              <w:rPr>
                <w:rFonts w:ascii="Times New Roman" w:eastAsia="Calibri" w:hAnsi="Times New Roman"/>
                <w:sz w:val="24"/>
                <w:szCs w:val="24"/>
              </w:rPr>
            </w:pPr>
            <w:r w:rsidRPr="00F85C7A">
              <w:rPr>
                <w:rFonts w:ascii="Times New Roman" w:eastAsia="Calibri" w:hAnsi="Times New Roman"/>
                <w:sz w:val="24"/>
                <w:szCs w:val="24"/>
              </w:rPr>
              <w:t>4.78</w:t>
            </w:r>
          </w:p>
        </w:tc>
      </w:tr>
      <w:tr w:rsidR="002059FD" w:rsidRPr="00F85C7A" w14:paraId="5EF2AF9B" w14:textId="77777777" w:rsidTr="00DD0C2C">
        <w:tc>
          <w:tcPr>
            <w:tcW w:w="2178" w:type="dxa"/>
            <w:tcBorders>
              <w:top w:val="single" w:sz="4" w:space="0" w:color="auto"/>
              <w:left w:val="single" w:sz="4" w:space="0" w:color="auto"/>
              <w:bottom w:val="single" w:sz="4" w:space="0" w:color="auto"/>
              <w:right w:val="single" w:sz="4" w:space="0" w:color="auto"/>
            </w:tcBorders>
            <w:hideMark/>
          </w:tcPr>
          <w:p w14:paraId="422330D0" w14:textId="77777777" w:rsidR="002059FD" w:rsidRPr="00F85C7A" w:rsidRDefault="002059FD" w:rsidP="00DD0C2C">
            <w:pPr>
              <w:spacing w:after="0"/>
              <w:contextualSpacing/>
              <w:jc w:val="both"/>
              <w:rPr>
                <w:rFonts w:ascii="Times New Roman" w:eastAsia="Calibri" w:hAnsi="Times New Roman"/>
                <w:sz w:val="24"/>
                <w:szCs w:val="24"/>
              </w:rPr>
            </w:pPr>
            <w:r w:rsidRPr="00F85C7A">
              <w:rPr>
                <w:rFonts w:ascii="Times New Roman" w:eastAsia="Calibri" w:hAnsi="Times New Roman"/>
                <w:sz w:val="24"/>
                <w:szCs w:val="24"/>
              </w:rPr>
              <w:t>2.5%</w:t>
            </w:r>
          </w:p>
        </w:tc>
        <w:tc>
          <w:tcPr>
            <w:tcW w:w="3192" w:type="dxa"/>
            <w:tcBorders>
              <w:top w:val="single" w:sz="4" w:space="0" w:color="auto"/>
              <w:left w:val="single" w:sz="4" w:space="0" w:color="auto"/>
              <w:bottom w:val="single" w:sz="4" w:space="0" w:color="auto"/>
              <w:right w:val="single" w:sz="4" w:space="0" w:color="auto"/>
            </w:tcBorders>
            <w:hideMark/>
          </w:tcPr>
          <w:p w14:paraId="5B147DB8" w14:textId="77777777" w:rsidR="002059FD" w:rsidRPr="00F85C7A" w:rsidRDefault="002059FD" w:rsidP="00DD0C2C">
            <w:pPr>
              <w:spacing w:after="0"/>
              <w:contextualSpacing/>
              <w:jc w:val="both"/>
              <w:rPr>
                <w:rFonts w:ascii="Times New Roman" w:eastAsia="Calibri" w:hAnsi="Times New Roman"/>
                <w:sz w:val="24"/>
                <w:szCs w:val="24"/>
              </w:rPr>
            </w:pPr>
            <w:r w:rsidRPr="00F85C7A">
              <w:rPr>
                <w:rFonts w:ascii="Times New Roman" w:eastAsia="Calibri" w:hAnsi="Times New Roman"/>
                <w:sz w:val="24"/>
                <w:szCs w:val="24"/>
              </w:rPr>
              <w:t>4.42</w:t>
            </w:r>
          </w:p>
        </w:tc>
        <w:tc>
          <w:tcPr>
            <w:tcW w:w="2208" w:type="dxa"/>
            <w:tcBorders>
              <w:top w:val="single" w:sz="4" w:space="0" w:color="auto"/>
              <w:left w:val="single" w:sz="4" w:space="0" w:color="auto"/>
              <w:bottom w:val="single" w:sz="4" w:space="0" w:color="auto"/>
              <w:right w:val="single" w:sz="4" w:space="0" w:color="auto"/>
            </w:tcBorders>
            <w:hideMark/>
          </w:tcPr>
          <w:p w14:paraId="3C27D3BC" w14:textId="77777777" w:rsidR="002059FD" w:rsidRPr="00F85C7A" w:rsidRDefault="002059FD" w:rsidP="00DD0C2C">
            <w:pPr>
              <w:spacing w:after="0"/>
              <w:contextualSpacing/>
              <w:jc w:val="both"/>
              <w:rPr>
                <w:rFonts w:ascii="Times New Roman" w:eastAsia="Calibri" w:hAnsi="Times New Roman"/>
                <w:sz w:val="24"/>
                <w:szCs w:val="24"/>
              </w:rPr>
            </w:pPr>
            <w:r w:rsidRPr="00F85C7A">
              <w:rPr>
                <w:rFonts w:ascii="Times New Roman" w:eastAsia="Calibri" w:hAnsi="Times New Roman"/>
                <w:sz w:val="24"/>
                <w:szCs w:val="24"/>
              </w:rPr>
              <w:t>5.56</w:t>
            </w:r>
          </w:p>
        </w:tc>
      </w:tr>
      <w:tr w:rsidR="002059FD" w:rsidRPr="00F85C7A" w14:paraId="20B88073" w14:textId="77777777" w:rsidTr="00DD0C2C">
        <w:tc>
          <w:tcPr>
            <w:tcW w:w="2178" w:type="dxa"/>
            <w:tcBorders>
              <w:top w:val="single" w:sz="4" w:space="0" w:color="auto"/>
              <w:left w:val="single" w:sz="4" w:space="0" w:color="auto"/>
              <w:bottom w:val="single" w:sz="4" w:space="0" w:color="auto"/>
              <w:right w:val="single" w:sz="4" w:space="0" w:color="auto"/>
            </w:tcBorders>
            <w:hideMark/>
          </w:tcPr>
          <w:p w14:paraId="1F47C51F" w14:textId="77777777" w:rsidR="002059FD" w:rsidRPr="00F85C7A" w:rsidRDefault="002059FD" w:rsidP="00DD0C2C">
            <w:pPr>
              <w:spacing w:after="0"/>
              <w:contextualSpacing/>
              <w:jc w:val="both"/>
              <w:rPr>
                <w:rFonts w:ascii="Times New Roman" w:eastAsia="Calibri" w:hAnsi="Times New Roman"/>
                <w:sz w:val="24"/>
                <w:szCs w:val="24"/>
              </w:rPr>
            </w:pPr>
            <w:r w:rsidRPr="00F85C7A">
              <w:rPr>
                <w:rFonts w:ascii="Times New Roman" w:eastAsia="Calibri" w:hAnsi="Times New Roman"/>
                <w:sz w:val="24"/>
                <w:szCs w:val="24"/>
              </w:rPr>
              <w:t>1%</w:t>
            </w:r>
          </w:p>
        </w:tc>
        <w:tc>
          <w:tcPr>
            <w:tcW w:w="3192" w:type="dxa"/>
            <w:tcBorders>
              <w:top w:val="single" w:sz="4" w:space="0" w:color="auto"/>
              <w:left w:val="single" w:sz="4" w:space="0" w:color="auto"/>
              <w:bottom w:val="single" w:sz="4" w:space="0" w:color="auto"/>
              <w:right w:val="single" w:sz="4" w:space="0" w:color="auto"/>
            </w:tcBorders>
            <w:hideMark/>
          </w:tcPr>
          <w:p w14:paraId="1F61FAC0" w14:textId="77777777" w:rsidR="002059FD" w:rsidRPr="00F85C7A" w:rsidRDefault="002059FD" w:rsidP="00DD0C2C">
            <w:pPr>
              <w:spacing w:after="0"/>
              <w:contextualSpacing/>
              <w:jc w:val="both"/>
              <w:rPr>
                <w:rFonts w:ascii="Times New Roman" w:eastAsia="Calibri" w:hAnsi="Times New Roman"/>
                <w:sz w:val="24"/>
                <w:szCs w:val="24"/>
              </w:rPr>
            </w:pPr>
            <w:r w:rsidRPr="00F85C7A">
              <w:rPr>
                <w:rFonts w:ascii="Times New Roman" w:eastAsia="Calibri" w:hAnsi="Times New Roman"/>
                <w:sz w:val="24"/>
                <w:szCs w:val="24"/>
              </w:rPr>
              <w:t>5.18</w:t>
            </w:r>
          </w:p>
        </w:tc>
        <w:tc>
          <w:tcPr>
            <w:tcW w:w="2208" w:type="dxa"/>
            <w:tcBorders>
              <w:top w:val="single" w:sz="4" w:space="0" w:color="auto"/>
              <w:left w:val="single" w:sz="4" w:space="0" w:color="auto"/>
              <w:bottom w:val="single" w:sz="4" w:space="0" w:color="auto"/>
              <w:right w:val="single" w:sz="4" w:space="0" w:color="auto"/>
            </w:tcBorders>
            <w:hideMark/>
          </w:tcPr>
          <w:p w14:paraId="0CDD4BFA" w14:textId="77777777" w:rsidR="002059FD" w:rsidRPr="00F85C7A" w:rsidRDefault="002059FD" w:rsidP="00DD0C2C">
            <w:pPr>
              <w:spacing w:after="0"/>
              <w:contextualSpacing/>
              <w:jc w:val="both"/>
              <w:rPr>
                <w:rFonts w:ascii="Times New Roman" w:eastAsia="Calibri" w:hAnsi="Times New Roman"/>
                <w:sz w:val="24"/>
                <w:szCs w:val="24"/>
              </w:rPr>
            </w:pPr>
            <w:r w:rsidRPr="00F85C7A">
              <w:rPr>
                <w:rFonts w:ascii="Times New Roman" w:eastAsia="Calibri" w:hAnsi="Times New Roman"/>
                <w:sz w:val="24"/>
                <w:szCs w:val="24"/>
              </w:rPr>
              <w:t>6.41</w:t>
            </w:r>
          </w:p>
        </w:tc>
      </w:tr>
    </w:tbl>
    <w:p w14:paraId="61249251" w14:textId="77777777" w:rsidR="002059FD" w:rsidRDefault="002059FD" w:rsidP="002059FD">
      <w:pPr>
        <w:spacing w:line="480" w:lineRule="auto"/>
        <w:jc w:val="both"/>
        <w:rPr>
          <w:rFonts w:ascii="Times New Roman" w:hAnsi="Times New Roman"/>
          <w:b/>
          <w:sz w:val="24"/>
          <w:szCs w:val="24"/>
        </w:rPr>
      </w:pPr>
      <w:r w:rsidRPr="00F85C7A">
        <w:rPr>
          <w:rFonts w:ascii="Times New Roman" w:hAnsi="Times New Roman"/>
          <w:b/>
          <w:sz w:val="24"/>
          <w:szCs w:val="26"/>
        </w:rPr>
        <w:t xml:space="preserve">Source: </w:t>
      </w:r>
      <w:r w:rsidRPr="00F85C7A">
        <w:rPr>
          <w:rFonts w:ascii="Times New Roman" w:hAnsi="Times New Roman"/>
          <w:sz w:val="24"/>
          <w:szCs w:val="26"/>
        </w:rPr>
        <w:t>Author’s computation using Starter 13.0 software</w:t>
      </w:r>
      <w:r w:rsidRPr="00F85C7A">
        <w:rPr>
          <w:rFonts w:ascii="Times New Roman" w:hAnsi="Times New Roman"/>
          <w:b/>
          <w:sz w:val="24"/>
          <w:szCs w:val="24"/>
        </w:rPr>
        <w:t xml:space="preserve"> </w:t>
      </w:r>
    </w:p>
    <w:p w14:paraId="530E25C3" w14:textId="01B5A1D3" w:rsidR="00BE0CCD" w:rsidRDefault="00BE0CCD" w:rsidP="00E20786">
      <w:pPr>
        <w:spacing w:after="0" w:line="360" w:lineRule="auto"/>
        <w:ind w:firstLine="720"/>
        <w:jc w:val="both"/>
        <w:rPr>
          <w:rFonts w:ascii="Times New Roman" w:hAnsi="Times New Roman"/>
          <w:sz w:val="24"/>
          <w:szCs w:val="26"/>
        </w:rPr>
      </w:pPr>
      <w:r>
        <w:rPr>
          <w:rFonts w:ascii="Times New Roman" w:hAnsi="Times New Roman"/>
          <w:sz w:val="24"/>
          <w:szCs w:val="26"/>
        </w:rPr>
        <w:t>Table 2</w:t>
      </w:r>
      <w:r w:rsidRPr="00F85C7A">
        <w:rPr>
          <w:rFonts w:ascii="Times New Roman" w:hAnsi="Times New Roman"/>
          <w:sz w:val="24"/>
          <w:szCs w:val="26"/>
        </w:rPr>
        <w:t xml:space="preserve"> reveals result of asymmetric ARDL bound testing method. Bound testing approach is employed for the both short run and long run connection between and among variables of interest. The result was tested at 5% significance level. From the results on the table, the critical value of asymmetric bound testing method at 5% significance level 1(0) </w:t>
      </w:r>
      <w:r w:rsidRPr="00F85C7A">
        <w:rPr>
          <w:rFonts w:ascii="Times New Roman" w:hAnsi="Times New Roman"/>
          <w:sz w:val="24"/>
          <w:szCs w:val="26"/>
        </w:rPr>
        <w:lastRenderedPageBreak/>
        <w:t>values was 3.19 and the 1(1) value was 4.15 respectively, while the critical F-value shows 15.2143 and 75.4321 for before and after global financial crisis. Summarily, the 1(1) result is higher than 1(0). This is an indication that there is asymmetric co-integration. This shows that there is asymmetric long-run co-movement a</w:t>
      </w:r>
      <w:r>
        <w:rPr>
          <w:rFonts w:ascii="Times New Roman" w:hAnsi="Times New Roman"/>
          <w:sz w:val="24"/>
          <w:szCs w:val="26"/>
        </w:rPr>
        <w:t>mong the variables of interest.</w:t>
      </w:r>
    </w:p>
    <w:p w14:paraId="60CB78BD" w14:textId="77777777" w:rsidR="002059FD" w:rsidRPr="00BE0CCD" w:rsidRDefault="00BE0CCD" w:rsidP="00E20786">
      <w:pPr>
        <w:spacing w:after="0" w:line="360" w:lineRule="auto"/>
        <w:jc w:val="both"/>
        <w:rPr>
          <w:rFonts w:ascii="Times New Roman" w:hAnsi="Times New Roman"/>
          <w:sz w:val="24"/>
          <w:szCs w:val="26"/>
        </w:rPr>
      </w:pPr>
      <w:r>
        <w:rPr>
          <w:rFonts w:ascii="Times New Roman" w:hAnsi="Times New Roman"/>
          <w:sz w:val="24"/>
          <w:szCs w:val="26"/>
        </w:rPr>
        <w:t xml:space="preserve">4.3 </w:t>
      </w:r>
      <w:r w:rsidR="002059FD" w:rsidRPr="00F85C7A">
        <w:rPr>
          <w:rFonts w:ascii="Times New Roman" w:hAnsi="Times New Roman"/>
          <w:b/>
          <w:sz w:val="24"/>
          <w:szCs w:val="24"/>
        </w:rPr>
        <w:t>Asymmetric ARDL Long Run</w:t>
      </w:r>
    </w:p>
    <w:p w14:paraId="78E3CEC3" w14:textId="1DCA0B6A" w:rsidR="002059FD" w:rsidRPr="00D02384" w:rsidRDefault="002059FD" w:rsidP="00E20786">
      <w:pPr>
        <w:spacing w:after="0" w:line="360" w:lineRule="auto"/>
        <w:jc w:val="both"/>
        <w:rPr>
          <w:rFonts w:ascii="Times New Roman" w:hAnsi="Times New Roman"/>
          <w:b/>
          <w:sz w:val="24"/>
          <w:szCs w:val="26"/>
        </w:rPr>
      </w:pPr>
      <w:r w:rsidRPr="00D02384">
        <w:rPr>
          <w:rFonts w:ascii="Times New Roman" w:hAnsi="Times New Roman"/>
          <w:b/>
          <w:sz w:val="24"/>
          <w:szCs w:val="26"/>
        </w:rPr>
        <w:t xml:space="preserve">Table </w:t>
      </w:r>
      <w:r w:rsidR="00C50DCB">
        <w:rPr>
          <w:rFonts w:ascii="Times New Roman" w:hAnsi="Times New Roman"/>
          <w:b/>
          <w:sz w:val="24"/>
          <w:szCs w:val="26"/>
        </w:rPr>
        <w:t>3</w:t>
      </w:r>
      <w:r w:rsidRPr="00D02384">
        <w:rPr>
          <w:rFonts w:ascii="Times New Roman" w:hAnsi="Times New Roman"/>
          <w:b/>
          <w:sz w:val="24"/>
          <w:szCs w:val="26"/>
        </w:rPr>
        <w:t xml:space="preserve">: Asymmetric ARDL Long run coefficient </w:t>
      </w:r>
    </w:p>
    <w:tbl>
      <w:tblPr>
        <w:tblW w:w="9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1476"/>
        <w:gridCol w:w="1319"/>
        <w:gridCol w:w="1091"/>
        <w:gridCol w:w="1476"/>
        <w:gridCol w:w="1319"/>
        <w:gridCol w:w="1320"/>
      </w:tblGrid>
      <w:tr w:rsidR="002059FD" w:rsidRPr="009C61DB" w14:paraId="5D7DDDC0" w14:textId="77777777" w:rsidTr="00DD0C2C">
        <w:tc>
          <w:tcPr>
            <w:tcW w:w="5238" w:type="dxa"/>
            <w:gridSpan w:val="4"/>
            <w:tcBorders>
              <w:top w:val="single" w:sz="4" w:space="0" w:color="auto"/>
              <w:left w:val="single" w:sz="4" w:space="0" w:color="auto"/>
              <w:bottom w:val="single" w:sz="4" w:space="0" w:color="auto"/>
              <w:right w:val="single" w:sz="4" w:space="0" w:color="auto"/>
            </w:tcBorders>
            <w:hideMark/>
          </w:tcPr>
          <w:p w14:paraId="56800274" w14:textId="77777777" w:rsidR="002059FD" w:rsidRPr="002F793C" w:rsidRDefault="002059FD" w:rsidP="00DD0C2C">
            <w:pPr>
              <w:spacing w:after="0" w:line="240" w:lineRule="auto"/>
              <w:contextualSpacing/>
              <w:jc w:val="center"/>
              <w:rPr>
                <w:rFonts w:ascii="Times New Roman" w:eastAsia="Calibri" w:hAnsi="Times New Roman"/>
                <w:b/>
                <w:szCs w:val="26"/>
              </w:rPr>
            </w:pPr>
            <w:r w:rsidRPr="002F793C">
              <w:rPr>
                <w:rFonts w:ascii="Times New Roman" w:eastAsia="Calibri" w:hAnsi="Times New Roman"/>
                <w:b/>
                <w:szCs w:val="26"/>
              </w:rPr>
              <w:t>Before Global financial Crisp</w:t>
            </w:r>
          </w:p>
        </w:tc>
        <w:tc>
          <w:tcPr>
            <w:tcW w:w="4115" w:type="dxa"/>
            <w:gridSpan w:val="3"/>
            <w:tcBorders>
              <w:top w:val="single" w:sz="4" w:space="0" w:color="auto"/>
              <w:left w:val="single" w:sz="4" w:space="0" w:color="auto"/>
              <w:bottom w:val="single" w:sz="4" w:space="0" w:color="auto"/>
              <w:right w:val="single" w:sz="4" w:space="0" w:color="auto"/>
            </w:tcBorders>
            <w:hideMark/>
          </w:tcPr>
          <w:p w14:paraId="07EB0079" w14:textId="77777777" w:rsidR="002059FD" w:rsidRPr="002F793C" w:rsidRDefault="002059FD" w:rsidP="00DD0C2C">
            <w:pPr>
              <w:spacing w:after="0" w:line="240" w:lineRule="auto"/>
              <w:contextualSpacing/>
              <w:jc w:val="center"/>
              <w:rPr>
                <w:rFonts w:ascii="Times New Roman" w:eastAsia="Calibri" w:hAnsi="Times New Roman"/>
                <w:b/>
                <w:szCs w:val="26"/>
              </w:rPr>
            </w:pPr>
            <w:r w:rsidRPr="002F793C">
              <w:rPr>
                <w:rFonts w:ascii="Times New Roman" w:eastAsia="Calibri" w:hAnsi="Times New Roman"/>
                <w:b/>
                <w:szCs w:val="26"/>
              </w:rPr>
              <w:t>After Global Financial Crisis</w:t>
            </w:r>
          </w:p>
        </w:tc>
      </w:tr>
      <w:tr w:rsidR="002059FD" w:rsidRPr="009C61DB" w14:paraId="1B224ACB" w14:textId="77777777" w:rsidTr="00DD0C2C">
        <w:tc>
          <w:tcPr>
            <w:tcW w:w="1352" w:type="dxa"/>
            <w:tcBorders>
              <w:top w:val="single" w:sz="4" w:space="0" w:color="auto"/>
              <w:left w:val="single" w:sz="4" w:space="0" w:color="auto"/>
              <w:bottom w:val="single" w:sz="4" w:space="0" w:color="auto"/>
              <w:right w:val="single" w:sz="4" w:space="0" w:color="auto"/>
            </w:tcBorders>
            <w:hideMark/>
          </w:tcPr>
          <w:p w14:paraId="40B0E6A4"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Variable</w:t>
            </w:r>
          </w:p>
        </w:tc>
        <w:tc>
          <w:tcPr>
            <w:tcW w:w="1476" w:type="dxa"/>
            <w:tcBorders>
              <w:top w:val="single" w:sz="4" w:space="0" w:color="auto"/>
              <w:left w:val="single" w:sz="4" w:space="0" w:color="auto"/>
              <w:bottom w:val="single" w:sz="4" w:space="0" w:color="auto"/>
              <w:right w:val="single" w:sz="4" w:space="0" w:color="auto"/>
            </w:tcBorders>
            <w:hideMark/>
          </w:tcPr>
          <w:p w14:paraId="5D8CFDE3"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 xml:space="preserve">Coefficient </w:t>
            </w:r>
          </w:p>
        </w:tc>
        <w:tc>
          <w:tcPr>
            <w:tcW w:w="1319" w:type="dxa"/>
            <w:tcBorders>
              <w:top w:val="single" w:sz="4" w:space="0" w:color="auto"/>
              <w:left w:val="single" w:sz="4" w:space="0" w:color="auto"/>
              <w:bottom w:val="single" w:sz="4" w:space="0" w:color="auto"/>
              <w:right w:val="single" w:sz="4" w:space="0" w:color="auto"/>
            </w:tcBorders>
            <w:hideMark/>
          </w:tcPr>
          <w:p w14:paraId="04F4E547"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 xml:space="preserve">Std. Error </w:t>
            </w:r>
          </w:p>
        </w:tc>
        <w:tc>
          <w:tcPr>
            <w:tcW w:w="1091" w:type="dxa"/>
            <w:tcBorders>
              <w:top w:val="single" w:sz="4" w:space="0" w:color="auto"/>
              <w:left w:val="single" w:sz="4" w:space="0" w:color="auto"/>
              <w:bottom w:val="single" w:sz="4" w:space="0" w:color="auto"/>
              <w:right w:val="single" w:sz="4" w:space="0" w:color="auto"/>
            </w:tcBorders>
            <w:hideMark/>
          </w:tcPr>
          <w:p w14:paraId="420C9947"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Prob</w:t>
            </w:r>
          </w:p>
        </w:tc>
        <w:tc>
          <w:tcPr>
            <w:tcW w:w="1476" w:type="dxa"/>
            <w:tcBorders>
              <w:top w:val="single" w:sz="4" w:space="0" w:color="auto"/>
              <w:left w:val="single" w:sz="4" w:space="0" w:color="auto"/>
              <w:bottom w:val="single" w:sz="4" w:space="0" w:color="auto"/>
              <w:right w:val="single" w:sz="4" w:space="0" w:color="auto"/>
            </w:tcBorders>
            <w:hideMark/>
          </w:tcPr>
          <w:p w14:paraId="78611361"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 xml:space="preserve">Coefficient </w:t>
            </w:r>
          </w:p>
        </w:tc>
        <w:tc>
          <w:tcPr>
            <w:tcW w:w="1319" w:type="dxa"/>
            <w:tcBorders>
              <w:top w:val="single" w:sz="4" w:space="0" w:color="auto"/>
              <w:left w:val="single" w:sz="4" w:space="0" w:color="auto"/>
              <w:bottom w:val="single" w:sz="4" w:space="0" w:color="auto"/>
              <w:right w:val="single" w:sz="4" w:space="0" w:color="auto"/>
            </w:tcBorders>
            <w:hideMark/>
          </w:tcPr>
          <w:p w14:paraId="3F31613B"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Std Error</w:t>
            </w:r>
          </w:p>
        </w:tc>
        <w:tc>
          <w:tcPr>
            <w:tcW w:w="1320" w:type="dxa"/>
            <w:tcBorders>
              <w:top w:val="single" w:sz="4" w:space="0" w:color="auto"/>
              <w:left w:val="single" w:sz="4" w:space="0" w:color="auto"/>
              <w:bottom w:val="single" w:sz="4" w:space="0" w:color="auto"/>
              <w:right w:val="single" w:sz="4" w:space="0" w:color="auto"/>
            </w:tcBorders>
            <w:hideMark/>
          </w:tcPr>
          <w:p w14:paraId="646BEAF9"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Prob.</w:t>
            </w:r>
          </w:p>
        </w:tc>
      </w:tr>
      <w:tr w:rsidR="002059FD" w:rsidRPr="009C61DB" w14:paraId="2A0617F0" w14:textId="77777777" w:rsidTr="00DD0C2C">
        <w:tc>
          <w:tcPr>
            <w:tcW w:w="1352" w:type="dxa"/>
            <w:tcBorders>
              <w:top w:val="single" w:sz="4" w:space="0" w:color="auto"/>
              <w:left w:val="single" w:sz="4" w:space="0" w:color="auto"/>
              <w:bottom w:val="single" w:sz="4" w:space="0" w:color="auto"/>
              <w:right w:val="single" w:sz="4" w:space="0" w:color="auto"/>
            </w:tcBorders>
            <w:hideMark/>
          </w:tcPr>
          <w:p w14:paraId="0D9C1CA6"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RGDP</w:t>
            </w:r>
          </w:p>
        </w:tc>
        <w:tc>
          <w:tcPr>
            <w:tcW w:w="1476" w:type="dxa"/>
            <w:tcBorders>
              <w:top w:val="single" w:sz="4" w:space="0" w:color="auto"/>
              <w:left w:val="single" w:sz="4" w:space="0" w:color="auto"/>
              <w:bottom w:val="single" w:sz="4" w:space="0" w:color="auto"/>
              <w:right w:val="single" w:sz="4" w:space="0" w:color="auto"/>
            </w:tcBorders>
            <w:hideMark/>
          </w:tcPr>
          <w:p w14:paraId="3903CA0C"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0.5142</w:t>
            </w:r>
          </w:p>
        </w:tc>
        <w:tc>
          <w:tcPr>
            <w:tcW w:w="1319" w:type="dxa"/>
            <w:tcBorders>
              <w:top w:val="single" w:sz="4" w:space="0" w:color="auto"/>
              <w:left w:val="single" w:sz="4" w:space="0" w:color="auto"/>
              <w:bottom w:val="single" w:sz="4" w:space="0" w:color="auto"/>
              <w:right w:val="single" w:sz="4" w:space="0" w:color="auto"/>
            </w:tcBorders>
            <w:hideMark/>
          </w:tcPr>
          <w:p w14:paraId="616AFB9C"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0.1620</w:t>
            </w:r>
          </w:p>
        </w:tc>
        <w:tc>
          <w:tcPr>
            <w:tcW w:w="1091" w:type="dxa"/>
            <w:tcBorders>
              <w:top w:val="single" w:sz="4" w:space="0" w:color="auto"/>
              <w:left w:val="single" w:sz="4" w:space="0" w:color="auto"/>
              <w:bottom w:val="single" w:sz="4" w:space="0" w:color="auto"/>
              <w:right w:val="single" w:sz="4" w:space="0" w:color="auto"/>
            </w:tcBorders>
            <w:hideMark/>
          </w:tcPr>
          <w:p w14:paraId="604373ED"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0.1312</w:t>
            </w:r>
          </w:p>
        </w:tc>
        <w:tc>
          <w:tcPr>
            <w:tcW w:w="1476" w:type="dxa"/>
            <w:tcBorders>
              <w:top w:val="single" w:sz="4" w:space="0" w:color="auto"/>
              <w:left w:val="single" w:sz="4" w:space="0" w:color="auto"/>
              <w:bottom w:val="single" w:sz="4" w:space="0" w:color="auto"/>
              <w:right w:val="single" w:sz="4" w:space="0" w:color="auto"/>
            </w:tcBorders>
            <w:hideMark/>
          </w:tcPr>
          <w:p w14:paraId="16C3264A"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-3126</w:t>
            </w:r>
          </w:p>
        </w:tc>
        <w:tc>
          <w:tcPr>
            <w:tcW w:w="1319" w:type="dxa"/>
            <w:tcBorders>
              <w:top w:val="single" w:sz="4" w:space="0" w:color="auto"/>
              <w:left w:val="single" w:sz="4" w:space="0" w:color="auto"/>
              <w:bottom w:val="single" w:sz="4" w:space="0" w:color="auto"/>
              <w:right w:val="single" w:sz="4" w:space="0" w:color="auto"/>
            </w:tcBorders>
            <w:hideMark/>
          </w:tcPr>
          <w:p w14:paraId="57A09A88"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0.0162</w:t>
            </w:r>
          </w:p>
        </w:tc>
        <w:tc>
          <w:tcPr>
            <w:tcW w:w="1320" w:type="dxa"/>
            <w:tcBorders>
              <w:top w:val="single" w:sz="4" w:space="0" w:color="auto"/>
              <w:left w:val="single" w:sz="4" w:space="0" w:color="auto"/>
              <w:bottom w:val="single" w:sz="4" w:space="0" w:color="auto"/>
              <w:right w:val="single" w:sz="4" w:space="0" w:color="auto"/>
            </w:tcBorders>
            <w:hideMark/>
          </w:tcPr>
          <w:p w14:paraId="47552F58"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0.0214</w:t>
            </w:r>
          </w:p>
        </w:tc>
      </w:tr>
      <w:tr w:rsidR="002059FD" w:rsidRPr="009C61DB" w14:paraId="699231BF" w14:textId="77777777" w:rsidTr="00DD0C2C">
        <w:trPr>
          <w:trHeight w:val="70"/>
        </w:trPr>
        <w:tc>
          <w:tcPr>
            <w:tcW w:w="1352" w:type="dxa"/>
            <w:tcBorders>
              <w:top w:val="single" w:sz="4" w:space="0" w:color="auto"/>
              <w:left w:val="single" w:sz="4" w:space="0" w:color="auto"/>
              <w:bottom w:val="single" w:sz="4" w:space="0" w:color="auto"/>
              <w:right w:val="single" w:sz="4" w:space="0" w:color="auto"/>
            </w:tcBorders>
            <w:hideMark/>
          </w:tcPr>
          <w:p w14:paraId="46D12B47"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 xml:space="preserve">INF </w:t>
            </w:r>
          </w:p>
        </w:tc>
        <w:tc>
          <w:tcPr>
            <w:tcW w:w="1476" w:type="dxa"/>
            <w:tcBorders>
              <w:top w:val="single" w:sz="4" w:space="0" w:color="auto"/>
              <w:left w:val="single" w:sz="4" w:space="0" w:color="auto"/>
              <w:bottom w:val="single" w:sz="4" w:space="0" w:color="auto"/>
              <w:right w:val="single" w:sz="4" w:space="0" w:color="auto"/>
            </w:tcBorders>
            <w:hideMark/>
          </w:tcPr>
          <w:p w14:paraId="61761B82"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0.3262</w:t>
            </w:r>
          </w:p>
        </w:tc>
        <w:tc>
          <w:tcPr>
            <w:tcW w:w="1319" w:type="dxa"/>
            <w:tcBorders>
              <w:top w:val="single" w:sz="4" w:space="0" w:color="auto"/>
              <w:left w:val="single" w:sz="4" w:space="0" w:color="auto"/>
              <w:bottom w:val="single" w:sz="4" w:space="0" w:color="auto"/>
              <w:right w:val="single" w:sz="4" w:space="0" w:color="auto"/>
            </w:tcBorders>
            <w:hideMark/>
          </w:tcPr>
          <w:p w14:paraId="0B0A2678"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0.2611</w:t>
            </w:r>
          </w:p>
        </w:tc>
        <w:tc>
          <w:tcPr>
            <w:tcW w:w="1091" w:type="dxa"/>
            <w:tcBorders>
              <w:top w:val="single" w:sz="4" w:space="0" w:color="auto"/>
              <w:left w:val="single" w:sz="4" w:space="0" w:color="auto"/>
              <w:bottom w:val="single" w:sz="4" w:space="0" w:color="auto"/>
              <w:right w:val="single" w:sz="4" w:space="0" w:color="auto"/>
            </w:tcBorders>
            <w:hideMark/>
          </w:tcPr>
          <w:p w14:paraId="1F726DB6"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0.1621</w:t>
            </w:r>
          </w:p>
        </w:tc>
        <w:tc>
          <w:tcPr>
            <w:tcW w:w="1476" w:type="dxa"/>
            <w:tcBorders>
              <w:top w:val="single" w:sz="4" w:space="0" w:color="auto"/>
              <w:left w:val="single" w:sz="4" w:space="0" w:color="auto"/>
              <w:bottom w:val="single" w:sz="4" w:space="0" w:color="auto"/>
              <w:right w:val="single" w:sz="4" w:space="0" w:color="auto"/>
            </w:tcBorders>
            <w:hideMark/>
          </w:tcPr>
          <w:p w14:paraId="03E7A7BA"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-1332</w:t>
            </w:r>
          </w:p>
        </w:tc>
        <w:tc>
          <w:tcPr>
            <w:tcW w:w="1319" w:type="dxa"/>
            <w:tcBorders>
              <w:top w:val="single" w:sz="4" w:space="0" w:color="auto"/>
              <w:left w:val="single" w:sz="4" w:space="0" w:color="auto"/>
              <w:bottom w:val="single" w:sz="4" w:space="0" w:color="auto"/>
              <w:right w:val="single" w:sz="4" w:space="0" w:color="auto"/>
            </w:tcBorders>
            <w:hideMark/>
          </w:tcPr>
          <w:p w14:paraId="691A3E6B"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0.0361</w:t>
            </w:r>
          </w:p>
        </w:tc>
        <w:tc>
          <w:tcPr>
            <w:tcW w:w="1320" w:type="dxa"/>
            <w:tcBorders>
              <w:top w:val="single" w:sz="4" w:space="0" w:color="auto"/>
              <w:left w:val="single" w:sz="4" w:space="0" w:color="auto"/>
              <w:bottom w:val="single" w:sz="4" w:space="0" w:color="auto"/>
              <w:right w:val="single" w:sz="4" w:space="0" w:color="auto"/>
            </w:tcBorders>
            <w:hideMark/>
          </w:tcPr>
          <w:p w14:paraId="2ED98363"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0.0621</w:t>
            </w:r>
          </w:p>
        </w:tc>
      </w:tr>
      <w:tr w:rsidR="002059FD" w:rsidRPr="009C61DB" w14:paraId="7EB6288C" w14:textId="77777777" w:rsidTr="00DD0C2C">
        <w:tc>
          <w:tcPr>
            <w:tcW w:w="1352" w:type="dxa"/>
            <w:tcBorders>
              <w:top w:val="single" w:sz="4" w:space="0" w:color="auto"/>
              <w:left w:val="single" w:sz="4" w:space="0" w:color="auto"/>
              <w:bottom w:val="single" w:sz="4" w:space="0" w:color="auto"/>
              <w:right w:val="single" w:sz="4" w:space="0" w:color="auto"/>
            </w:tcBorders>
            <w:hideMark/>
          </w:tcPr>
          <w:p w14:paraId="288B62DA"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EINF</w:t>
            </w:r>
          </w:p>
        </w:tc>
        <w:tc>
          <w:tcPr>
            <w:tcW w:w="1476" w:type="dxa"/>
            <w:tcBorders>
              <w:top w:val="single" w:sz="4" w:space="0" w:color="auto"/>
              <w:left w:val="single" w:sz="4" w:space="0" w:color="auto"/>
              <w:bottom w:val="single" w:sz="4" w:space="0" w:color="auto"/>
              <w:right w:val="single" w:sz="4" w:space="0" w:color="auto"/>
            </w:tcBorders>
            <w:hideMark/>
          </w:tcPr>
          <w:p w14:paraId="065BFF58"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0.6214</w:t>
            </w:r>
          </w:p>
        </w:tc>
        <w:tc>
          <w:tcPr>
            <w:tcW w:w="1319" w:type="dxa"/>
            <w:tcBorders>
              <w:top w:val="single" w:sz="4" w:space="0" w:color="auto"/>
              <w:left w:val="single" w:sz="4" w:space="0" w:color="auto"/>
              <w:bottom w:val="single" w:sz="4" w:space="0" w:color="auto"/>
              <w:right w:val="single" w:sz="4" w:space="0" w:color="auto"/>
            </w:tcBorders>
            <w:hideMark/>
          </w:tcPr>
          <w:p w14:paraId="125F84A6"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0.0162</w:t>
            </w:r>
          </w:p>
        </w:tc>
        <w:tc>
          <w:tcPr>
            <w:tcW w:w="1091" w:type="dxa"/>
            <w:tcBorders>
              <w:top w:val="single" w:sz="4" w:space="0" w:color="auto"/>
              <w:left w:val="single" w:sz="4" w:space="0" w:color="auto"/>
              <w:bottom w:val="single" w:sz="4" w:space="0" w:color="auto"/>
              <w:right w:val="single" w:sz="4" w:space="0" w:color="auto"/>
            </w:tcBorders>
            <w:hideMark/>
          </w:tcPr>
          <w:p w14:paraId="75709830"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0.143</w:t>
            </w:r>
          </w:p>
        </w:tc>
        <w:tc>
          <w:tcPr>
            <w:tcW w:w="1476" w:type="dxa"/>
            <w:tcBorders>
              <w:top w:val="single" w:sz="4" w:space="0" w:color="auto"/>
              <w:left w:val="single" w:sz="4" w:space="0" w:color="auto"/>
              <w:bottom w:val="single" w:sz="4" w:space="0" w:color="auto"/>
              <w:right w:val="single" w:sz="4" w:space="0" w:color="auto"/>
            </w:tcBorders>
            <w:hideMark/>
          </w:tcPr>
          <w:p w14:paraId="7B8B5901"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-0.2621</w:t>
            </w:r>
          </w:p>
        </w:tc>
        <w:tc>
          <w:tcPr>
            <w:tcW w:w="1319" w:type="dxa"/>
            <w:tcBorders>
              <w:top w:val="single" w:sz="4" w:space="0" w:color="auto"/>
              <w:left w:val="single" w:sz="4" w:space="0" w:color="auto"/>
              <w:bottom w:val="single" w:sz="4" w:space="0" w:color="auto"/>
              <w:right w:val="single" w:sz="4" w:space="0" w:color="auto"/>
            </w:tcBorders>
            <w:hideMark/>
          </w:tcPr>
          <w:p w14:paraId="2BE26709"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0.0412</w:t>
            </w:r>
          </w:p>
        </w:tc>
        <w:tc>
          <w:tcPr>
            <w:tcW w:w="1320" w:type="dxa"/>
            <w:tcBorders>
              <w:top w:val="single" w:sz="4" w:space="0" w:color="auto"/>
              <w:left w:val="single" w:sz="4" w:space="0" w:color="auto"/>
              <w:bottom w:val="single" w:sz="4" w:space="0" w:color="auto"/>
              <w:right w:val="single" w:sz="4" w:space="0" w:color="auto"/>
            </w:tcBorders>
            <w:hideMark/>
          </w:tcPr>
          <w:p w14:paraId="27979EDC"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0.0312</w:t>
            </w:r>
          </w:p>
        </w:tc>
      </w:tr>
      <w:tr w:rsidR="002059FD" w:rsidRPr="009C61DB" w14:paraId="06E5F0B9" w14:textId="77777777" w:rsidTr="00DD0C2C">
        <w:tc>
          <w:tcPr>
            <w:tcW w:w="1352" w:type="dxa"/>
            <w:tcBorders>
              <w:top w:val="single" w:sz="4" w:space="0" w:color="auto"/>
              <w:left w:val="single" w:sz="4" w:space="0" w:color="auto"/>
              <w:bottom w:val="single" w:sz="4" w:space="0" w:color="auto"/>
              <w:right w:val="single" w:sz="4" w:space="0" w:color="auto"/>
            </w:tcBorders>
            <w:hideMark/>
          </w:tcPr>
          <w:p w14:paraId="2D3E7FC4"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RIR</w:t>
            </w:r>
          </w:p>
        </w:tc>
        <w:tc>
          <w:tcPr>
            <w:tcW w:w="1476" w:type="dxa"/>
            <w:tcBorders>
              <w:top w:val="single" w:sz="4" w:space="0" w:color="auto"/>
              <w:left w:val="single" w:sz="4" w:space="0" w:color="auto"/>
              <w:bottom w:val="single" w:sz="4" w:space="0" w:color="auto"/>
              <w:right w:val="single" w:sz="4" w:space="0" w:color="auto"/>
            </w:tcBorders>
            <w:hideMark/>
          </w:tcPr>
          <w:p w14:paraId="51B85440"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0.2641</w:t>
            </w:r>
          </w:p>
        </w:tc>
        <w:tc>
          <w:tcPr>
            <w:tcW w:w="1319" w:type="dxa"/>
            <w:tcBorders>
              <w:top w:val="single" w:sz="4" w:space="0" w:color="auto"/>
              <w:left w:val="single" w:sz="4" w:space="0" w:color="auto"/>
              <w:bottom w:val="single" w:sz="4" w:space="0" w:color="auto"/>
              <w:right w:val="single" w:sz="4" w:space="0" w:color="auto"/>
            </w:tcBorders>
            <w:hideMark/>
          </w:tcPr>
          <w:p w14:paraId="2784F11F"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0.0326</w:t>
            </w:r>
          </w:p>
        </w:tc>
        <w:tc>
          <w:tcPr>
            <w:tcW w:w="1091" w:type="dxa"/>
            <w:tcBorders>
              <w:top w:val="single" w:sz="4" w:space="0" w:color="auto"/>
              <w:left w:val="single" w:sz="4" w:space="0" w:color="auto"/>
              <w:bottom w:val="single" w:sz="4" w:space="0" w:color="auto"/>
              <w:right w:val="single" w:sz="4" w:space="0" w:color="auto"/>
            </w:tcBorders>
            <w:hideMark/>
          </w:tcPr>
          <w:p w14:paraId="3222EBE2"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0.1321</w:t>
            </w:r>
          </w:p>
        </w:tc>
        <w:tc>
          <w:tcPr>
            <w:tcW w:w="1476" w:type="dxa"/>
            <w:tcBorders>
              <w:top w:val="single" w:sz="4" w:space="0" w:color="auto"/>
              <w:left w:val="single" w:sz="4" w:space="0" w:color="auto"/>
              <w:bottom w:val="single" w:sz="4" w:space="0" w:color="auto"/>
              <w:right w:val="single" w:sz="4" w:space="0" w:color="auto"/>
            </w:tcBorders>
            <w:hideMark/>
          </w:tcPr>
          <w:p w14:paraId="00C00ABB"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-0.1621</w:t>
            </w:r>
          </w:p>
        </w:tc>
        <w:tc>
          <w:tcPr>
            <w:tcW w:w="1319" w:type="dxa"/>
            <w:tcBorders>
              <w:top w:val="single" w:sz="4" w:space="0" w:color="auto"/>
              <w:left w:val="single" w:sz="4" w:space="0" w:color="auto"/>
              <w:bottom w:val="single" w:sz="4" w:space="0" w:color="auto"/>
              <w:right w:val="single" w:sz="4" w:space="0" w:color="auto"/>
            </w:tcBorders>
            <w:hideMark/>
          </w:tcPr>
          <w:p w14:paraId="6268624D"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0.0211</w:t>
            </w:r>
          </w:p>
        </w:tc>
        <w:tc>
          <w:tcPr>
            <w:tcW w:w="1320" w:type="dxa"/>
            <w:tcBorders>
              <w:top w:val="single" w:sz="4" w:space="0" w:color="auto"/>
              <w:left w:val="single" w:sz="4" w:space="0" w:color="auto"/>
              <w:bottom w:val="single" w:sz="4" w:space="0" w:color="auto"/>
              <w:right w:val="single" w:sz="4" w:space="0" w:color="auto"/>
            </w:tcBorders>
            <w:hideMark/>
          </w:tcPr>
          <w:p w14:paraId="599010EB"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0.0403</w:t>
            </w:r>
          </w:p>
        </w:tc>
      </w:tr>
      <w:tr w:rsidR="002059FD" w:rsidRPr="009C61DB" w14:paraId="31CD316D" w14:textId="77777777" w:rsidTr="00DD0C2C">
        <w:tc>
          <w:tcPr>
            <w:tcW w:w="1352" w:type="dxa"/>
            <w:tcBorders>
              <w:top w:val="single" w:sz="4" w:space="0" w:color="auto"/>
              <w:left w:val="single" w:sz="4" w:space="0" w:color="auto"/>
              <w:bottom w:val="single" w:sz="4" w:space="0" w:color="auto"/>
              <w:right w:val="single" w:sz="4" w:space="0" w:color="auto"/>
            </w:tcBorders>
            <w:hideMark/>
          </w:tcPr>
          <w:p w14:paraId="3E50AB85"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GFCF</w:t>
            </w:r>
          </w:p>
        </w:tc>
        <w:tc>
          <w:tcPr>
            <w:tcW w:w="1476" w:type="dxa"/>
            <w:tcBorders>
              <w:top w:val="single" w:sz="4" w:space="0" w:color="auto"/>
              <w:left w:val="single" w:sz="4" w:space="0" w:color="auto"/>
              <w:bottom w:val="single" w:sz="4" w:space="0" w:color="auto"/>
              <w:right w:val="single" w:sz="4" w:space="0" w:color="auto"/>
            </w:tcBorders>
            <w:hideMark/>
          </w:tcPr>
          <w:p w14:paraId="37D0DDA4"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0.4611</w:t>
            </w:r>
          </w:p>
        </w:tc>
        <w:tc>
          <w:tcPr>
            <w:tcW w:w="1319" w:type="dxa"/>
            <w:tcBorders>
              <w:top w:val="single" w:sz="4" w:space="0" w:color="auto"/>
              <w:left w:val="single" w:sz="4" w:space="0" w:color="auto"/>
              <w:bottom w:val="single" w:sz="4" w:space="0" w:color="auto"/>
              <w:right w:val="single" w:sz="4" w:space="0" w:color="auto"/>
            </w:tcBorders>
            <w:hideMark/>
          </w:tcPr>
          <w:p w14:paraId="62D3ABA0"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0.0611</w:t>
            </w:r>
          </w:p>
        </w:tc>
        <w:tc>
          <w:tcPr>
            <w:tcW w:w="1091" w:type="dxa"/>
            <w:tcBorders>
              <w:top w:val="single" w:sz="4" w:space="0" w:color="auto"/>
              <w:left w:val="single" w:sz="4" w:space="0" w:color="auto"/>
              <w:bottom w:val="single" w:sz="4" w:space="0" w:color="auto"/>
              <w:right w:val="single" w:sz="4" w:space="0" w:color="auto"/>
            </w:tcBorders>
            <w:hideMark/>
          </w:tcPr>
          <w:p w14:paraId="6D6C0B2A"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0.3121</w:t>
            </w:r>
          </w:p>
        </w:tc>
        <w:tc>
          <w:tcPr>
            <w:tcW w:w="1476" w:type="dxa"/>
            <w:tcBorders>
              <w:top w:val="single" w:sz="4" w:space="0" w:color="auto"/>
              <w:left w:val="single" w:sz="4" w:space="0" w:color="auto"/>
              <w:bottom w:val="single" w:sz="4" w:space="0" w:color="auto"/>
              <w:right w:val="single" w:sz="4" w:space="0" w:color="auto"/>
            </w:tcBorders>
            <w:hideMark/>
          </w:tcPr>
          <w:p w14:paraId="64F535A1"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-0.2162</w:t>
            </w:r>
          </w:p>
        </w:tc>
        <w:tc>
          <w:tcPr>
            <w:tcW w:w="1319" w:type="dxa"/>
            <w:tcBorders>
              <w:top w:val="single" w:sz="4" w:space="0" w:color="auto"/>
              <w:left w:val="single" w:sz="4" w:space="0" w:color="auto"/>
              <w:bottom w:val="single" w:sz="4" w:space="0" w:color="auto"/>
              <w:right w:val="single" w:sz="4" w:space="0" w:color="auto"/>
            </w:tcBorders>
            <w:hideMark/>
          </w:tcPr>
          <w:p w14:paraId="2E174691"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0.0314</w:t>
            </w:r>
          </w:p>
        </w:tc>
        <w:tc>
          <w:tcPr>
            <w:tcW w:w="1320" w:type="dxa"/>
            <w:tcBorders>
              <w:top w:val="single" w:sz="4" w:space="0" w:color="auto"/>
              <w:left w:val="single" w:sz="4" w:space="0" w:color="auto"/>
              <w:bottom w:val="single" w:sz="4" w:space="0" w:color="auto"/>
              <w:right w:val="single" w:sz="4" w:space="0" w:color="auto"/>
            </w:tcBorders>
            <w:hideMark/>
          </w:tcPr>
          <w:p w14:paraId="4DFB03CA"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0.0722</w:t>
            </w:r>
          </w:p>
        </w:tc>
      </w:tr>
      <w:tr w:rsidR="002059FD" w:rsidRPr="009C61DB" w14:paraId="6BFE56FD" w14:textId="77777777" w:rsidTr="00DD0C2C">
        <w:tc>
          <w:tcPr>
            <w:tcW w:w="1352" w:type="dxa"/>
            <w:tcBorders>
              <w:top w:val="single" w:sz="4" w:space="0" w:color="auto"/>
              <w:left w:val="single" w:sz="4" w:space="0" w:color="auto"/>
              <w:bottom w:val="single" w:sz="4" w:space="0" w:color="auto"/>
              <w:right w:val="single" w:sz="4" w:space="0" w:color="auto"/>
            </w:tcBorders>
            <w:hideMark/>
          </w:tcPr>
          <w:p w14:paraId="27EE02A8"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Ms</w:t>
            </w:r>
          </w:p>
        </w:tc>
        <w:tc>
          <w:tcPr>
            <w:tcW w:w="1476" w:type="dxa"/>
            <w:tcBorders>
              <w:top w:val="single" w:sz="4" w:space="0" w:color="auto"/>
              <w:left w:val="single" w:sz="4" w:space="0" w:color="auto"/>
              <w:bottom w:val="single" w:sz="4" w:space="0" w:color="auto"/>
              <w:right w:val="single" w:sz="4" w:space="0" w:color="auto"/>
            </w:tcBorders>
            <w:hideMark/>
          </w:tcPr>
          <w:p w14:paraId="70E8BB9F"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0.2143</w:t>
            </w:r>
          </w:p>
        </w:tc>
        <w:tc>
          <w:tcPr>
            <w:tcW w:w="1319" w:type="dxa"/>
            <w:tcBorders>
              <w:top w:val="single" w:sz="4" w:space="0" w:color="auto"/>
              <w:left w:val="single" w:sz="4" w:space="0" w:color="auto"/>
              <w:bottom w:val="single" w:sz="4" w:space="0" w:color="auto"/>
              <w:right w:val="single" w:sz="4" w:space="0" w:color="auto"/>
            </w:tcBorders>
            <w:hideMark/>
          </w:tcPr>
          <w:p w14:paraId="2B72C5BD"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0.3121</w:t>
            </w:r>
          </w:p>
        </w:tc>
        <w:tc>
          <w:tcPr>
            <w:tcW w:w="1091" w:type="dxa"/>
            <w:tcBorders>
              <w:top w:val="single" w:sz="4" w:space="0" w:color="auto"/>
              <w:left w:val="single" w:sz="4" w:space="0" w:color="auto"/>
              <w:bottom w:val="single" w:sz="4" w:space="0" w:color="auto"/>
              <w:right w:val="single" w:sz="4" w:space="0" w:color="auto"/>
            </w:tcBorders>
            <w:hideMark/>
          </w:tcPr>
          <w:p w14:paraId="6D18AA9D"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0.1314</w:t>
            </w:r>
          </w:p>
        </w:tc>
        <w:tc>
          <w:tcPr>
            <w:tcW w:w="1476" w:type="dxa"/>
            <w:tcBorders>
              <w:top w:val="single" w:sz="4" w:space="0" w:color="auto"/>
              <w:left w:val="single" w:sz="4" w:space="0" w:color="auto"/>
              <w:bottom w:val="single" w:sz="4" w:space="0" w:color="auto"/>
              <w:right w:val="single" w:sz="4" w:space="0" w:color="auto"/>
            </w:tcBorders>
            <w:hideMark/>
          </w:tcPr>
          <w:p w14:paraId="665649C3"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-0.6214</w:t>
            </w:r>
          </w:p>
        </w:tc>
        <w:tc>
          <w:tcPr>
            <w:tcW w:w="1319" w:type="dxa"/>
            <w:tcBorders>
              <w:top w:val="single" w:sz="4" w:space="0" w:color="auto"/>
              <w:left w:val="single" w:sz="4" w:space="0" w:color="auto"/>
              <w:bottom w:val="single" w:sz="4" w:space="0" w:color="auto"/>
              <w:right w:val="single" w:sz="4" w:space="0" w:color="auto"/>
            </w:tcBorders>
            <w:hideMark/>
          </w:tcPr>
          <w:p w14:paraId="17589A14"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0.0362</w:t>
            </w:r>
          </w:p>
        </w:tc>
        <w:tc>
          <w:tcPr>
            <w:tcW w:w="1320" w:type="dxa"/>
            <w:tcBorders>
              <w:top w:val="single" w:sz="4" w:space="0" w:color="auto"/>
              <w:left w:val="single" w:sz="4" w:space="0" w:color="auto"/>
              <w:bottom w:val="single" w:sz="4" w:space="0" w:color="auto"/>
              <w:right w:val="single" w:sz="4" w:space="0" w:color="auto"/>
            </w:tcBorders>
            <w:hideMark/>
          </w:tcPr>
          <w:p w14:paraId="3D1BBBBF"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0.0821</w:t>
            </w:r>
          </w:p>
        </w:tc>
      </w:tr>
      <w:tr w:rsidR="002059FD" w:rsidRPr="009C61DB" w14:paraId="5FAECB66" w14:textId="77777777" w:rsidTr="00DD0C2C">
        <w:tc>
          <w:tcPr>
            <w:tcW w:w="1352" w:type="dxa"/>
            <w:tcBorders>
              <w:top w:val="single" w:sz="4" w:space="0" w:color="auto"/>
              <w:left w:val="single" w:sz="4" w:space="0" w:color="auto"/>
              <w:bottom w:val="single" w:sz="4" w:space="0" w:color="auto"/>
              <w:right w:val="single" w:sz="4" w:space="0" w:color="auto"/>
            </w:tcBorders>
            <w:hideMark/>
          </w:tcPr>
          <w:p w14:paraId="175C287D"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REER</w:t>
            </w:r>
          </w:p>
        </w:tc>
        <w:tc>
          <w:tcPr>
            <w:tcW w:w="1476" w:type="dxa"/>
            <w:tcBorders>
              <w:top w:val="single" w:sz="4" w:space="0" w:color="auto"/>
              <w:left w:val="single" w:sz="4" w:space="0" w:color="auto"/>
              <w:bottom w:val="single" w:sz="4" w:space="0" w:color="auto"/>
              <w:right w:val="single" w:sz="4" w:space="0" w:color="auto"/>
            </w:tcBorders>
            <w:hideMark/>
          </w:tcPr>
          <w:p w14:paraId="458A118F"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0.4452</w:t>
            </w:r>
          </w:p>
        </w:tc>
        <w:tc>
          <w:tcPr>
            <w:tcW w:w="1319" w:type="dxa"/>
            <w:tcBorders>
              <w:top w:val="single" w:sz="4" w:space="0" w:color="auto"/>
              <w:left w:val="single" w:sz="4" w:space="0" w:color="auto"/>
              <w:bottom w:val="single" w:sz="4" w:space="0" w:color="auto"/>
              <w:right w:val="single" w:sz="4" w:space="0" w:color="auto"/>
            </w:tcBorders>
            <w:hideMark/>
          </w:tcPr>
          <w:p w14:paraId="5CD08618"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0.0621</w:t>
            </w:r>
          </w:p>
        </w:tc>
        <w:tc>
          <w:tcPr>
            <w:tcW w:w="1091" w:type="dxa"/>
            <w:tcBorders>
              <w:top w:val="single" w:sz="4" w:space="0" w:color="auto"/>
              <w:left w:val="single" w:sz="4" w:space="0" w:color="auto"/>
              <w:bottom w:val="single" w:sz="4" w:space="0" w:color="auto"/>
              <w:right w:val="single" w:sz="4" w:space="0" w:color="auto"/>
            </w:tcBorders>
            <w:hideMark/>
          </w:tcPr>
          <w:p w14:paraId="46B53D2E"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0.1311</w:t>
            </w:r>
          </w:p>
        </w:tc>
        <w:tc>
          <w:tcPr>
            <w:tcW w:w="1476" w:type="dxa"/>
            <w:tcBorders>
              <w:top w:val="single" w:sz="4" w:space="0" w:color="auto"/>
              <w:left w:val="single" w:sz="4" w:space="0" w:color="auto"/>
              <w:bottom w:val="single" w:sz="4" w:space="0" w:color="auto"/>
              <w:right w:val="single" w:sz="4" w:space="0" w:color="auto"/>
            </w:tcBorders>
            <w:hideMark/>
          </w:tcPr>
          <w:p w14:paraId="31F8EE38"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-0.5731</w:t>
            </w:r>
          </w:p>
        </w:tc>
        <w:tc>
          <w:tcPr>
            <w:tcW w:w="1319" w:type="dxa"/>
            <w:tcBorders>
              <w:top w:val="single" w:sz="4" w:space="0" w:color="auto"/>
              <w:left w:val="single" w:sz="4" w:space="0" w:color="auto"/>
              <w:bottom w:val="single" w:sz="4" w:space="0" w:color="auto"/>
              <w:right w:val="single" w:sz="4" w:space="0" w:color="auto"/>
            </w:tcBorders>
            <w:hideMark/>
          </w:tcPr>
          <w:p w14:paraId="35D7B263"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0.06211</w:t>
            </w:r>
          </w:p>
        </w:tc>
        <w:tc>
          <w:tcPr>
            <w:tcW w:w="1320" w:type="dxa"/>
            <w:tcBorders>
              <w:top w:val="single" w:sz="4" w:space="0" w:color="auto"/>
              <w:left w:val="single" w:sz="4" w:space="0" w:color="auto"/>
              <w:bottom w:val="single" w:sz="4" w:space="0" w:color="auto"/>
              <w:right w:val="single" w:sz="4" w:space="0" w:color="auto"/>
            </w:tcBorders>
            <w:hideMark/>
          </w:tcPr>
          <w:p w14:paraId="2EE343DA"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0.09341</w:t>
            </w:r>
          </w:p>
        </w:tc>
      </w:tr>
      <w:tr w:rsidR="002059FD" w:rsidRPr="009C61DB" w14:paraId="1A3C76F8" w14:textId="77777777" w:rsidTr="00DD0C2C">
        <w:tc>
          <w:tcPr>
            <w:tcW w:w="1352" w:type="dxa"/>
            <w:tcBorders>
              <w:top w:val="single" w:sz="4" w:space="0" w:color="auto"/>
              <w:left w:val="single" w:sz="4" w:space="0" w:color="auto"/>
              <w:bottom w:val="single" w:sz="4" w:space="0" w:color="auto"/>
              <w:right w:val="single" w:sz="4" w:space="0" w:color="auto"/>
            </w:tcBorders>
            <w:hideMark/>
          </w:tcPr>
          <w:p w14:paraId="4FBDF3A7"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GEX</w:t>
            </w:r>
          </w:p>
        </w:tc>
        <w:tc>
          <w:tcPr>
            <w:tcW w:w="1476" w:type="dxa"/>
            <w:tcBorders>
              <w:top w:val="single" w:sz="4" w:space="0" w:color="auto"/>
              <w:left w:val="single" w:sz="4" w:space="0" w:color="auto"/>
              <w:bottom w:val="single" w:sz="4" w:space="0" w:color="auto"/>
              <w:right w:val="single" w:sz="4" w:space="0" w:color="auto"/>
            </w:tcBorders>
            <w:hideMark/>
          </w:tcPr>
          <w:p w14:paraId="45392137"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0.1136</w:t>
            </w:r>
          </w:p>
        </w:tc>
        <w:tc>
          <w:tcPr>
            <w:tcW w:w="1319" w:type="dxa"/>
            <w:tcBorders>
              <w:top w:val="single" w:sz="4" w:space="0" w:color="auto"/>
              <w:left w:val="single" w:sz="4" w:space="0" w:color="auto"/>
              <w:bottom w:val="single" w:sz="4" w:space="0" w:color="auto"/>
              <w:right w:val="single" w:sz="4" w:space="0" w:color="auto"/>
            </w:tcBorders>
            <w:hideMark/>
          </w:tcPr>
          <w:p w14:paraId="3BBC02C3"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0.0361</w:t>
            </w:r>
          </w:p>
        </w:tc>
        <w:tc>
          <w:tcPr>
            <w:tcW w:w="1091" w:type="dxa"/>
            <w:tcBorders>
              <w:top w:val="single" w:sz="4" w:space="0" w:color="auto"/>
              <w:left w:val="single" w:sz="4" w:space="0" w:color="auto"/>
              <w:bottom w:val="single" w:sz="4" w:space="0" w:color="auto"/>
              <w:right w:val="single" w:sz="4" w:space="0" w:color="auto"/>
            </w:tcBorders>
            <w:hideMark/>
          </w:tcPr>
          <w:p w14:paraId="36C2CD21"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0.2141</w:t>
            </w:r>
          </w:p>
        </w:tc>
        <w:tc>
          <w:tcPr>
            <w:tcW w:w="1476" w:type="dxa"/>
            <w:tcBorders>
              <w:top w:val="single" w:sz="4" w:space="0" w:color="auto"/>
              <w:left w:val="single" w:sz="4" w:space="0" w:color="auto"/>
              <w:bottom w:val="single" w:sz="4" w:space="0" w:color="auto"/>
              <w:right w:val="single" w:sz="4" w:space="0" w:color="auto"/>
            </w:tcBorders>
            <w:hideMark/>
          </w:tcPr>
          <w:p w14:paraId="6A44401B"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-0.7132</w:t>
            </w:r>
          </w:p>
        </w:tc>
        <w:tc>
          <w:tcPr>
            <w:tcW w:w="1319" w:type="dxa"/>
            <w:tcBorders>
              <w:top w:val="single" w:sz="4" w:space="0" w:color="auto"/>
              <w:left w:val="single" w:sz="4" w:space="0" w:color="auto"/>
              <w:bottom w:val="single" w:sz="4" w:space="0" w:color="auto"/>
              <w:right w:val="single" w:sz="4" w:space="0" w:color="auto"/>
            </w:tcBorders>
            <w:hideMark/>
          </w:tcPr>
          <w:p w14:paraId="575C32D5"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0.0341</w:t>
            </w:r>
          </w:p>
        </w:tc>
        <w:tc>
          <w:tcPr>
            <w:tcW w:w="1320" w:type="dxa"/>
            <w:tcBorders>
              <w:top w:val="single" w:sz="4" w:space="0" w:color="auto"/>
              <w:left w:val="single" w:sz="4" w:space="0" w:color="auto"/>
              <w:bottom w:val="single" w:sz="4" w:space="0" w:color="auto"/>
              <w:right w:val="single" w:sz="4" w:space="0" w:color="auto"/>
            </w:tcBorders>
            <w:hideMark/>
          </w:tcPr>
          <w:p w14:paraId="07170C38"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0.0521</w:t>
            </w:r>
          </w:p>
        </w:tc>
      </w:tr>
      <w:tr w:rsidR="002059FD" w:rsidRPr="009C61DB" w14:paraId="2454CF35" w14:textId="77777777" w:rsidTr="00DD0C2C">
        <w:tc>
          <w:tcPr>
            <w:tcW w:w="1352" w:type="dxa"/>
            <w:tcBorders>
              <w:top w:val="single" w:sz="4" w:space="0" w:color="auto"/>
              <w:left w:val="single" w:sz="4" w:space="0" w:color="auto"/>
              <w:bottom w:val="single" w:sz="4" w:space="0" w:color="auto"/>
              <w:right w:val="single" w:sz="4" w:space="0" w:color="auto"/>
            </w:tcBorders>
            <w:hideMark/>
          </w:tcPr>
          <w:p w14:paraId="1CACCB88"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C</w:t>
            </w:r>
          </w:p>
        </w:tc>
        <w:tc>
          <w:tcPr>
            <w:tcW w:w="1476" w:type="dxa"/>
            <w:tcBorders>
              <w:top w:val="single" w:sz="4" w:space="0" w:color="auto"/>
              <w:left w:val="single" w:sz="4" w:space="0" w:color="auto"/>
              <w:bottom w:val="single" w:sz="4" w:space="0" w:color="auto"/>
              <w:right w:val="single" w:sz="4" w:space="0" w:color="auto"/>
            </w:tcBorders>
            <w:hideMark/>
          </w:tcPr>
          <w:p w14:paraId="2C08E62B"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0.0061</w:t>
            </w:r>
          </w:p>
        </w:tc>
        <w:tc>
          <w:tcPr>
            <w:tcW w:w="1319" w:type="dxa"/>
            <w:tcBorders>
              <w:top w:val="single" w:sz="4" w:space="0" w:color="auto"/>
              <w:left w:val="single" w:sz="4" w:space="0" w:color="auto"/>
              <w:bottom w:val="single" w:sz="4" w:space="0" w:color="auto"/>
              <w:right w:val="single" w:sz="4" w:space="0" w:color="auto"/>
            </w:tcBorders>
            <w:hideMark/>
          </w:tcPr>
          <w:p w14:paraId="6C72B737"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0.0126</w:t>
            </w:r>
          </w:p>
        </w:tc>
        <w:tc>
          <w:tcPr>
            <w:tcW w:w="1091" w:type="dxa"/>
            <w:tcBorders>
              <w:top w:val="single" w:sz="4" w:space="0" w:color="auto"/>
              <w:left w:val="single" w:sz="4" w:space="0" w:color="auto"/>
              <w:bottom w:val="single" w:sz="4" w:space="0" w:color="auto"/>
              <w:right w:val="single" w:sz="4" w:space="0" w:color="auto"/>
            </w:tcBorders>
            <w:hideMark/>
          </w:tcPr>
          <w:p w14:paraId="07EBB0A5"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0.6214</w:t>
            </w:r>
          </w:p>
        </w:tc>
        <w:tc>
          <w:tcPr>
            <w:tcW w:w="1476" w:type="dxa"/>
            <w:tcBorders>
              <w:top w:val="single" w:sz="4" w:space="0" w:color="auto"/>
              <w:left w:val="single" w:sz="4" w:space="0" w:color="auto"/>
              <w:bottom w:val="single" w:sz="4" w:space="0" w:color="auto"/>
              <w:right w:val="single" w:sz="4" w:space="0" w:color="auto"/>
            </w:tcBorders>
            <w:hideMark/>
          </w:tcPr>
          <w:p w14:paraId="77E46090"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1.01009</w:t>
            </w:r>
          </w:p>
        </w:tc>
        <w:tc>
          <w:tcPr>
            <w:tcW w:w="1319" w:type="dxa"/>
            <w:tcBorders>
              <w:top w:val="single" w:sz="4" w:space="0" w:color="auto"/>
              <w:left w:val="single" w:sz="4" w:space="0" w:color="auto"/>
              <w:bottom w:val="single" w:sz="4" w:space="0" w:color="auto"/>
              <w:right w:val="single" w:sz="4" w:space="0" w:color="auto"/>
            </w:tcBorders>
            <w:hideMark/>
          </w:tcPr>
          <w:p w14:paraId="0F595E1D"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0.0018</w:t>
            </w:r>
          </w:p>
        </w:tc>
        <w:tc>
          <w:tcPr>
            <w:tcW w:w="1320" w:type="dxa"/>
            <w:tcBorders>
              <w:top w:val="single" w:sz="4" w:space="0" w:color="auto"/>
              <w:left w:val="single" w:sz="4" w:space="0" w:color="auto"/>
              <w:bottom w:val="single" w:sz="4" w:space="0" w:color="auto"/>
              <w:right w:val="single" w:sz="4" w:space="0" w:color="auto"/>
            </w:tcBorders>
            <w:hideMark/>
          </w:tcPr>
          <w:p w14:paraId="727C444A" w14:textId="77777777"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0.0000</w:t>
            </w:r>
          </w:p>
        </w:tc>
      </w:tr>
    </w:tbl>
    <w:p w14:paraId="649DF5B3" w14:textId="77777777" w:rsidR="002059FD" w:rsidRDefault="002059FD" w:rsidP="002059FD">
      <w:pPr>
        <w:pStyle w:val="NoSpacing"/>
        <w:spacing w:line="360" w:lineRule="auto"/>
        <w:rPr>
          <w:rFonts w:ascii="Times New Roman" w:hAnsi="Times New Roman"/>
          <w:sz w:val="24"/>
          <w:szCs w:val="26"/>
        </w:rPr>
      </w:pPr>
      <w:r w:rsidRPr="00F85C7A">
        <w:rPr>
          <w:rFonts w:ascii="Times New Roman" w:hAnsi="Times New Roman"/>
          <w:b/>
          <w:sz w:val="24"/>
          <w:szCs w:val="26"/>
        </w:rPr>
        <w:t xml:space="preserve">Source: </w:t>
      </w:r>
      <w:r w:rsidRPr="00F85C7A">
        <w:rPr>
          <w:rFonts w:ascii="Times New Roman" w:hAnsi="Times New Roman"/>
          <w:sz w:val="24"/>
          <w:szCs w:val="26"/>
        </w:rPr>
        <w:t>Author’s computation using Starter 13.0 software</w:t>
      </w:r>
    </w:p>
    <w:p w14:paraId="1AE7BEE1" w14:textId="3E3B99ED" w:rsidR="00BE0CCD" w:rsidRPr="00F85C7A" w:rsidRDefault="00BE0CCD" w:rsidP="00E20786">
      <w:pPr>
        <w:spacing w:after="0" w:line="360" w:lineRule="auto"/>
        <w:ind w:firstLine="720"/>
        <w:jc w:val="both"/>
        <w:rPr>
          <w:rFonts w:ascii="Times New Roman" w:hAnsi="Times New Roman"/>
          <w:sz w:val="24"/>
          <w:szCs w:val="24"/>
        </w:rPr>
      </w:pPr>
      <w:r>
        <w:rPr>
          <w:rFonts w:ascii="Times New Roman" w:hAnsi="Times New Roman"/>
          <w:sz w:val="24"/>
          <w:szCs w:val="24"/>
        </w:rPr>
        <w:t>The table 3</w:t>
      </w:r>
      <w:r w:rsidRPr="00F85C7A">
        <w:rPr>
          <w:rFonts w:ascii="Times New Roman" w:hAnsi="Times New Roman"/>
          <w:sz w:val="24"/>
          <w:szCs w:val="24"/>
        </w:rPr>
        <w:t xml:space="preserve"> indicates the results of asymmetric ARDL long-run coefficients. Fiscal deficits </w:t>
      </w:r>
      <w:r>
        <w:rPr>
          <w:rFonts w:ascii="Times New Roman" w:hAnsi="Times New Roman"/>
          <w:sz w:val="24"/>
          <w:szCs w:val="24"/>
        </w:rPr>
        <w:t>are</w:t>
      </w:r>
      <w:r w:rsidRPr="00F85C7A">
        <w:rPr>
          <w:rFonts w:ascii="Times New Roman" w:hAnsi="Times New Roman"/>
          <w:sz w:val="24"/>
          <w:szCs w:val="24"/>
        </w:rPr>
        <w:t xml:space="preserve"> used as dependent variable while all the macroeconomic variables in the model are employed as explanatory variables in the study. The examined results of asymmetric ARDL show that when fiscal deficit increase</w:t>
      </w:r>
      <w:r>
        <w:rPr>
          <w:rFonts w:ascii="Times New Roman" w:hAnsi="Times New Roman"/>
          <w:sz w:val="24"/>
          <w:szCs w:val="24"/>
        </w:rPr>
        <w:t>s, i</w:t>
      </w:r>
      <w:r w:rsidRPr="00F85C7A">
        <w:rPr>
          <w:rFonts w:ascii="Times New Roman" w:hAnsi="Times New Roman"/>
          <w:sz w:val="24"/>
          <w:szCs w:val="24"/>
        </w:rPr>
        <w:t>t produces positive</w:t>
      </w:r>
      <w:r>
        <w:rPr>
          <w:rFonts w:ascii="Times New Roman" w:hAnsi="Times New Roman"/>
          <w:sz w:val="24"/>
          <w:szCs w:val="24"/>
        </w:rPr>
        <w:t xml:space="preserve"> </w:t>
      </w:r>
      <w:r w:rsidRPr="00F85C7A">
        <w:rPr>
          <w:rFonts w:ascii="Times New Roman" w:hAnsi="Times New Roman"/>
          <w:sz w:val="24"/>
          <w:szCs w:val="24"/>
        </w:rPr>
        <w:t>but insignificant influence on real output growth, inflation rate, expected inflation rate exchange rate and gross fixed capital formation but positive and significant effect on other variables in the model before global financial crisis. The examined result revealed that a 1% rise in fiscal deficit has 0.002% increase on key macroeconomic variables while it exerted positive significant influence on other variables. This shows that the impact of fiscal deficit on key macroeconomic variables in Sub-Saharan Africa countries before global financial crisis was asymmetric. However, the result obtained from the analysis from after global financial crisis indicate symmetric impact of fiscal deficit on key macroeconomic variables. That is fiscal deficit exerted</w:t>
      </w:r>
      <w:r>
        <w:rPr>
          <w:rFonts w:ascii="Times New Roman" w:hAnsi="Times New Roman"/>
          <w:sz w:val="24"/>
          <w:szCs w:val="24"/>
        </w:rPr>
        <w:t xml:space="preserve"> </w:t>
      </w:r>
      <w:r w:rsidRPr="00F85C7A">
        <w:rPr>
          <w:rFonts w:ascii="Times New Roman" w:hAnsi="Times New Roman"/>
          <w:sz w:val="24"/>
          <w:szCs w:val="24"/>
        </w:rPr>
        <w:t xml:space="preserve">negative and significant impact on key macroeconomic variables (real output growth, gross fixed capital formation, money supply, real interest rate, inflation rate expected inflation rate, exchange rate) in Sub-Saharan Africa countries during the study period. </w:t>
      </w:r>
    </w:p>
    <w:p w14:paraId="479271F7" w14:textId="77777777" w:rsidR="002059FD" w:rsidRPr="00F85C7A" w:rsidRDefault="00BE0CCD" w:rsidP="002059FD">
      <w:pPr>
        <w:spacing w:line="240" w:lineRule="auto"/>
        <w:rPr>
          <w:rFonts w:ascii="Times New Roman" w:hAnsi="Times New Roman"/>
          <w:b/>
          <w:sz w:val="24"/>
          <w:szCs w:val="26"/>
        </w:rPr>
      </w:pPr>
      <w:r>
        <w:rPr>
          <w:rFonts w:ascii="Times New Roman" w:hAnsi="Times New Roman"/>
          <w:b/>
          <w:sz w:val="24"/>
          <w:szCs w:val="24"/>
        </w:rPr>
        <w:t xml:space="preserve">4.4 </w:t>
      </w:r>
      <w:r w:rsidRPr="00F85C7A">
        <w:rPr>
          <w:rFonts w:ascii="Times New Roman" w:hAnsi="Times New Roman"/>
          <w:b/>
          <w:sz w:val="24"/>
          <w:szCs w:val="24"/>
        </w:rPr>
        <w:t xml:space="preserve">Asymmetric ARDL </w:t>
      </w:r>
      <w:r>
        <w:rPr>
          <w:rFonts w:ascii="Times New Roman" w:hAnsi="Times New Roman"/>
          <w:b/>
          <w:sz w:val="24"/>
          <w:szCs w:val="26"/>
        </w:rPr>
        <w:t>Short-run</w:t>
      </w:r>
      <w:r w:rsidR="002059FD" w:rsidRPr="00F85C7A">
        <w:rPr>
          <w:rFonts w:ascii="Times New Roman" w:hAnsi="Times New Roman"/>
          <w:b/>
          <w:sz w:val="24"/>
          <w:szCs w:val="26"/>
        </w:rPr>
        <w:t xml:space="preserve"> Results</w:t>
      </w:r>
    </w:p>
    <w:p w14:paraId="582ADB5C" w14:textId="76D8C92E" w:rsidR="008A78B1" w:rsidRPr="00C60A0B" w:rsidRDefault="008A78B1" w:rsidP="00E20786">
      <w:pPr>
        <w:spacing w:after="0" w:line="240" w:lineRule="auto"/>
        <w:jc w:val="both"/>
        <w:rPr>
          <w:rFonts w:ascii="Times New Roman" w:hAnsi="Times New Roman"/>
          <w:b/>
          <w:szCs w:val="26"/>
        </w:rPr>
      </w:pPr>
      <w:r w:rsidRPr="00C60A0B">
        <w:rPr>
          <w:rFonts w:ascii="Times New Roman" w:hAnsi="Times New Roman"/>
          <w:b/>
          <w:szCs w:val="26"/>
        </w:rPr>
        <w:t xml:space="preserve">Table </w:t>
      </w:r>
      <w:r>
        <w:rPr>
          <w:rFonts w:ascii="Times New Roman" w:hAnsi="Times New Roman"/>
          <w:b/>
          <w:szCs w:val="26"/>
        </w:rPr>
        <w:t>4</w:t>
      </w:r>
      <w:r w:rsidR="00BE0CCD">
        <w:rPr>
          <w:rFonts w:ascii="Times New Roman" w:hAnsi="Times New Roman"/>
          <w:b/>
          <w:szCs w:val="26"/>
        </w:rPr>
        <w:t xml:space="preserve"> </w:t>
      </w:r>
      <w:r w:rsidR="00BE0CCD" w:rsidRPr="00F85C7A">
        <w:rPr>
          <w:rFonts w:ascii="Times New Roman" w:hAnsi="Times New Roman"/>
          <w:b/>
          <w:sz w:val="24"/>
          <w:szCs w:val="24"/>
        </w:rPr>
        <w:t>Asymmetric</w:t>
      </w:r>
      <w:r w:rsidR="00BE0CCD" w:rsidRPr="00C60A0B">
        <w:rPr>
          <w:rFonts w:ascii="Times New Roman" w:hAnsi="Times New Roman"/>
          <w:b/>
          <w:szCs w:val="26"/>
        </w:rPr>
        <w:t xml:space="preserve"> </w:t>
      </w:r>
      <w:r w:rsidRPr="00C60A0B">
        <w:rPr>
          <w:rFonts w:ascii="Times New Roman" w:hAnsi="Times New Roman"/>
          <w:b/>
          <w:szCs w:val="26"/>
        </w:rPr>
        <w:t xml:space="preserve">ARDL short-run coefficient </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948"/>
        <w:gridCol w:w="1017"/>
        <w:gridCol w:w="860"/>
        <w:gridCol w:w="1448"/>
        <w:gridCol w:w="1239"/>
        <w:gridCol w:w="1017"/>
        <w:gridCol w:w="860"/>
      </w:tblGrid>
      <w:tr w:rsidR="008A78B1" w:rsidRPr="00C60A0B" w14:paraId="27184771" w14:textId="77777777" w:rsidTr="003666B8">
        <w:tc>
          <w:tcPr>
            <w:tcW w:w="5803" w:type="dxa"/>
            <w:gridSpan w:val="5"/>
            <w:tcBorders>
              <w:top w:val="single" w:sz="4" w:space="0" w:color="auto"/>
              <w:left w:val="single" w:sz="4" w:space="0" w:color="auto"/>
              <w:bottom w:val="single" w:sz="4" w:space="0" w:color="auto"/>
              <w:right w:val="single" w:sz="4" w:space="0" w:color="auto"/>
            </w:tcBorders>
            <w:hideMark/>
          </w:tcPr>
          <w:p w14:paraId="7F2E2EF6" w14:textId="77777777" w:rsidR="008A78B1" w:rsidRPr="00C60A0B" w:rsidRDefault="008A78B1" w:rsidP="003666B8">
            <w:pPr>
              <w:spacing w:after="40" w:line="240" w:lineRule="auto"/>
              <w:jc w:val="center"/>
              <w:rPr>
                <w:rFonts w:ascii="Times New Roman" w:hAnsi="Times New Roman"/>
                <w:szCs w:val="26"/>
              </w:rPr>
            </w:pPr>
            <w:r w:rsidRPr="00C60A0B">
              <w:rPr>
                <w:rFonts w:ascii="Times New Roman" w:hAnsi="Times New Roman"/>
                <w:szCs w:val="26"/>
              </w:rPr>
              <w:t>Before Global Financial Crisis</w:t>
            </w:r>
          </w:p>
        </w:tc>
        <w:tc>
          <w:tcPr>
            <w:tcW w:w="3116" w:type="dxa"/>
            <w:gridSpan w:val="3"/>
            <w:tcBorders>
              <w:top w:val="single" w:sz="4" w:space="0" w:color="auto"/>
              <w:left w:val="single" w:sz="4" w:space="0" w:color="auto"/>
              <w:bottom w:val="single" w:sz="4" w:space="0" w:color="auto"/>
              <w:right w:val="single" w:sz="4" w:space="0" w:color="auto"/>
            </w:tcBorders>
            <w:hideMark/>
          </w:tcPr>
          <w:p w14:paraId="29CC8BB4" w14:textId="77777777" w:rsidR="008A78B1" w:rsidRPr="00C60A0B" w:rsidRDefault="008A78B1" w:rsidP="003666B8">
            <w:pPr>
              <w:spacing w:after="40" w:line="240" w:lineRule="auto"/>
              <w:jc w:val="center"/>
              <w:rPr>
                <w:rFonts w:ascii="Times New Roman" w:hAnsi="Times New Roman"/>
                <w:szCs w:val="26"/>
              </w:rPr>
            </w:pPr>
            <w:r w:rsidRPr="00C60A0B">
              <w:rPr>
                <w:rFonts w:ascii="Times New Roman" w:hAnsi="Times New Roman"/>
                <w:szCs w:val="26"/>
              </w:rPr>
              <w:t>After Global Financial Crisis</w:t>
            </w:r>
          </w:p>
        </w:tc>
      </w:tr>
      <w:tr w:rsidR="008A78B1" w:rsidRPr="00F85C7A" w14:paraId="61F77F06" w14:textId="77777777" w:rsidTr="003666B8">
        <w:tc>
          <w:tcPr>
            <w:tcW w:w="1530" w:type="dxa"/>
            <w:tcBorders>
              <w:top w:val="single" w:sz="4" w:space="0" w:color="auto"/>
              <w:left w:val="single" w:sz="4" w:space="0" w:color="auto"/>
              <w:bottom w:val="single" w:sz="4" w:space="0" w:color="auto"/>
              <w:right w:val="single" w:sz="4" w:space="0" w:color="auto"/>
            </w:tcBorders>
            <w:hideMark/>
          </w:tcPr>
          <w:p w14:paraId="697985BA" w14:textId="77777777" w:rsidR="008A78B1" w:rsidRPr="00F85C7A" w:rsidRDefault="008A78B1" w:rsidP="003666B8">
            <w:pPr>
              <w:spacing w:after="40" w:line="240" w:lineRule="auto"/>
              <w:jc w:val="center"/>
              <w:rPr>
                <w:rFonts w:ascii="Times New Roman" w:hAnsi="Times New Roman"/>
                <w:b/>
                <w:sz w:val="20"/>
                <w:szCs w:val="26"/>
              </w:rPr>
            </w:pPr>
            <w:r w:rsidRPr="00F85C7A">
              <w:rPr>
                <w:rFonts w:ascii="Times New Roman" w:hAnsi="Times New Roman"/>
                <w:b/>
                <w:sz w:val="20"/>
                <w:szCs w:val="26"/>
              </w:rPr>
              <w:t>Variables</w:t>
            </w:r>
          </w:p>
        </w:tc>
        <w:tc>
          <w:tcPr>
            <w:tcW w:w="948" w:type="dxa"/>
            <w:tcBorders>
              <w:top w:val="single" w:sz="4" w:space="0" w:color="auto"/>
              <w:left w:val="single" w:sz="4" w:space="0" w:color="auto"/>
              <w:bottom w:val="single" w:sz="4" w:space="0" w:color="auto"/>
              <w:right w:val="single" w:sz="4" w:space="0" w:color="auto"/>
            </w:tcBorders>
            <w:hideMark/>
          </w:tcPr>
          <w:p w14:paraId="760C1BF1" w14:textId="77777777" w:rsidR="008A78B1" w:rsidRPr="00F85C7A" w:rsidRDefault="008A78B1" w:rsidP="003666B8">
            <w:pPr>
              <w:spacing w:after="40" w:line="240" w:lineRule="auto"/>
              <w:jc w:val="center"/>
              <w:rPr>
                <w:rFonts w:ascii="Times New Roman" w:hAnsi="Times New Roman"/>
                <w:b/>
                <w:sz w:val="20"/>
                <w:szCs w:val="26"/>
              </w:rPr>
            </w:pPr>
            <w:r w:rsidRPr="00F85C7A">
              <w:rPr>
                <w:rFonts w:ascii="Times New Roman" w:hAnsi="Times New Roman"/>
                <w:b/>
                <w:sz w:val="20"/>
                <w:szCs w:val="26"/>
              </w:rPr>
              <w:t>Co-efficient</w:t>
            </w:r>
          </w:p>
        </w:tc>
        <w:tc>
          <w:tcPr>
            <w:tcW w:w="1017" w:type="dxa"/>
            <w:tcBorders>
              <w:top w:val="single" w:sz="4" w:space="0" w:color="auto"/>
              <w:left w:val="single" w:sz="4" w:space="0" w:color="auto"/>
              <w:bottom w:val="single" w:sz="4" w:space="0" w:color="auto"/>
              <w:right w:val="single" w:sz="4" w:space="0" w:color="auto"/>
            </w:tcBorders>
            <w:hideMark/>
          </w:tcPr>
          <w:p w14:paraId="4998D18E" w14:textId="77777777" w:rsidR="008A78B1" w:rsidRPr="00F85C7A" w:rsidRDefault="008A78B1" w:rsidP="003666B8">
            <w:pPr>
              <w:spacing w:after="40" w:line="240" w:lineRule="auto"/>
              <w:jc w:val="center"/>
              <w:rPr>
                <w:rFonts w:ascii="Times New Roman" w:hAnsi="Times New Roman"/>
                <w:b/>
                <w:sz w:val="20"/>
                <w:szCs w:val="26"/>
              </w:rPr>
            </w:pPr>
            <w:r w:rsidRPr="00F85C7A">
              <w:rPr>
                <w:rFonts w:ascii="Times New Roman" w:hAnsi="Times New Roman"/>
                <w:b/>
                <w:sz w:val="20"/>
                <w:szCs w:val="26"/>
              </w:rPr>
              <w:t>Standard error</w:t>
            </w:r>
          </w:p>
        </w:tc>
        <w:tc>
          <w:tcPr>
            <w:tcW w:w="860" w:type="dxa"/>
            <w:tcBorders>
              <w:top w:val="single" w:sz="4" w:space="0" w:color="auto"/>
              <w:left w:val="single" w:sz="4" w:space="0" w:color="auto"/>
              <w:bottom w:val="single" w:sz="4" w:space="0" w:color="auto"/>
              <w:right w:val="single" w:sz="4" w:space="0" w:color="auto"/>
            </w:tcBorders>
            <w:hideMark/>
          </w:tcPr>
          <w:p w14:paraId="06AC08BC" w14:textId="77777777" w:rsidR="008A78B1" w:rsidRPr="00F85C7A" w:rsidRDefault="008A78B1" w:rsidP="003666B8">
            <w:pPr>
              <w:spacing w:after="40" w:line="240" w:lineRule="auto"/>
              <w:jc w:val="center"/>
              <w:rPr>
                <w:rFonts w:ascii="Times New Roman" w:hAnsi="Times New Roman"/>
                <w:b/>
                <w:sz w:val="20"/>
                <w:szCs w:val="26"/>
              </w:rPr>
            </w:pPr>
            <w:r w:rsidRPr="00F85C7A">
              <w:rPr>
                <w:rFonts w:ascii="Times New Roman" w:hAnsi="Times New Roman"/>
                <w:b/>
                <w:sz w:val="20"/>
                <w:szCs w:val="26"/>
              </w:rPr>
              <w:t>Prob.</w:t>
            </w:r>
          </w:p>
        </w:tc>
        <w:tc>
          <w:tcPr>
            <w:tcW w:w="1448" w:type="dxa"/>
            <w:tcBorders>
              <w:top w:val="single" w:sz="4" w:space="0" w:color="auto"/>
              <w:left w:val="single" w:sz="4" w:space="0" w:color="auto"/>
              <w:bottom w:val="single" w:sz="4" w:space="0" w:color="auto"/>
              <w:right w:val="single" w:sz="4" w:space="0" w:color="auto"/>
            </w:tcBorders>
            <w:hideMark/>
          </w:tcPr>
          <w:p w14:paraId="10D7C71A" w14:textId="77777777" w:rsidR="008A78B1" w:rsidRPr="00F85C7A" w:rsidRDefault="008A78B1" w:rsidP="003666B8">
            <w:pPr>
              <w:spacing w:after="40" w:line="240" w:lineRule="auto"/>
              <w:jc w:val="center"/>
              <w:rPr>
                <w:rFonts w:ascii="Times New Roman" w:hAnsi="Times New Roman"/>
                <w:b/>
                <w:sz w:val="20"/>
                <w:szCs w:val="26"/>
              </w:rPr>
            </w:pPr>
            <w:r w:rsidRPr="00F85C7A">
              <w:rPr>
                <w:rFonts w:ascii="Times New Roman" w:hAnsi="Times New Roman"/>
                <w:b/>
                <w:sz w:val="20"/>
                <w:szCs w:val="26"/>
              </w:rPr>
              <w:t>Variables</w:t>
            </w:r>
          </w:p>
        </w:tc>
        <w:tc>
          <w:tcPr>
            <w:tcW w:w="1239" w:type="dxa"/>
            <w:tcBorders>
              <w:top w:val="single" w:sz="4" w:space="0" w:color="auto"/>
              <w:left w:val="single" w:sz="4" w:space="0" w:color="auto"/>
              <w:bottom w:val="single" w:sz="4" w:space="0" w:color="auto"/>
              <w:right w:val="single" w:sz="4" w:space="0" w:color="auto"/>
            </w:tcBorders>
            <w:hideMark/>
          </w:tcPr>
          <w:p w14:paraId="40FDE9C4" w14:textId="77777777" w:rsidR="008A78B1" w:rsidRPr="00F85C7A" w:rsidRDefault="008A78B1" w:rsidP="003666B8">
            <w:pPr>
              <w:spacing w:after="40" w:line="240" w:lineRule="auto"/>
              <w:jc w:val="center"/>
              <w:rPr>
                <w:rFonts w:ascii="Times New Roman" w:hAnsi="Times New Roman"/>
                <w:b/>
                <w:sz w:val="20"/>
                <w:szCs w:val="26"/>
              </w:rPr>
            </w:pPr>
            <w:r w:rsidRPr="00F85C7A">
              <w:rPr>
                <w:rFonts w:ascii="Times New Roman" w:hAnsi="Times New Roman"/>
                <w:b/>
                <w:sz w:val="20"/>
                <w:szCs w:val="26"/>
              </w:rPr>
              <w:t>Coefficient</w:t>
            </w:r>
          </w:p>
        </w:tc>
        <w:tc>
          <w:tcPr>
            <w:tcW w:w="1017" w:type="dxa"/>
            <w:tcBorders>
              <w:top w:val="single" w:sz="4" w:space="0" w:color="auto"/>
              <w:left w:val="single" w:sz="4" w:space="0" w:color="auto"/>
              <w:bottom w:val="single" w:sz="4" w:space="0" w:color="auto"/>
              <w:right w:val="single" w:sz="4" w:space="0" w:color="auto"/>
            </w:tcBorders>
            <w:hideMark/>
          </w:tcPr>
          <w:p w14:paraId="67FDDC51" w14:textId="77777777" w:rsidR="008A78B1" w:rsidRPr="00F85C7A" w:rsidRDefault="008A78B1" w:rsidP="003666B8">
            <w:pPr>
              <w:spacing w:after="40" w:line="240" w:lineRule="auto"/>
              <w:jc w:val="center"/>
              <w:rPr>
                <w:rFonts w:ascii="Times New Roman" w:hAnsi="Times New Roman"/>
                <w:b/>
                <w:sz w:val="20"/>
                <w:szCs w:val="26"/>
              </w:rPr>
            </w:pPr>
            <w:r w:rsidRPr="00F85C7A">
              <w:rPr>
                <w:rFonts w:ascii="Times New Roman" w:hAnsi="Times New Roman"/>
                <w:b/>
                <w:sz w:val="20"/>
                <w:szCs w:val="26"/>
              </w:rPr>
              <w:t>Standard error</w:t>
            </w:r>
          </w:p>
        </w:tc>
        <w:tc>
          <w:tcPr>
            <w:tcW w:w="860" w:type="dxa"/>
            <w:tcBorders>
              <w:top w:val="single" w:sz="4" w:space="0" w:color="auto"/>
              <w:left w:val="single" w:sz="4" w:space="0" w:color="auto"/>
              <w:bottom w:val="single" w:sz="4" w:space="0" w:color="auto"/>
              <w:right w:val="single" w:sz="4" w:space="0" w:color="auto"/>
            </w:tcBorders>
            <w:hideMark/>
          </w:tcPr>
          <w:p w14:paraId="10FA00A5" w14:textId="77777777" w:rsidR="008A78B1" w:rsidRPr="00F85C7A" w:rsidRDefault="008A78B1" w:rsidP="003666B8">
            <w:pPr>
              <w:spacing w:after="40" w:line="240" w:lineRule="auto"/>
              <w:jc w:val="center"/>
              <w:rPr>
                <w:rFonts w:ascii="Times New Roman" w:hAnsi="Times New Roman"/>
                <w:b/>
                <w:sz w:val="20"/>
                <w:szCs w:val="26"/>
              </w:rPr>
            </w:pPr>
            <w:r w:rsidRPr="00F85C7A">
              <w:rPr>
                <w:rFonts w:ascii="Times New Roman" w:hAnsi="Times New Roman"/>
                <w:b/>
                <w:sz w:val="20"/>
                <w:szCs w:val="26"/>
              </w:rPr>
              <w:t>Prob.</w:t>
            </w:r>
          </w:p>
        </w:tc>
      </w:tr>
      <w:tr w:rsidR="008A78B1" w:rsidRPr="00C60A0B" w14:paraId="6E83FDCA" w14:textId="77777777" w:rsidTr="003666B8">
        <w:tc>
          <w:tcPr>
            <w:tcW w:w="1530" w:type="dxa"/>
            <w:tcBorders>
              <w:top w:val="single" w:sz="4" w:space="0" w:color="auto"/>
              <w:left w:val="single" w:sz="4" w:space="0" w:color="auto"/>
              <w:bottom w:val="single" w:sz="4" w:space="0" w:color="auto"/>
              <w:right w:val="single" w:sz="4" w:space="0" w:color="auto"/>
            </w:tcBorders>
            <w:hideMark/>
          </w:tcPr>
          <w:p w14:paraId="6ED0F526"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D(GDP)</w:t>
            </w:r>
          </w:p>
        </w:tc>
        <w:tc>
          <w:tcPr>
            <w:tcW w:w="948" w:type="dxa"/>
            <w:tcBorders>
              <w:top w:val="single" w:sz="4" w:space="0" w:color="auto"/>
              <w:left w:val="single" w:sz="4" w:space="0" w:color="auto"/>
              <w:bottom w:val="single" w:sz="4" w:space="0" w:color="auto"/>
              <w:right w:val="single" w:sz="4" w:space="0" w:color="auto"/>
            </w:tcBorders>
            <w:hideMark/>
          </w:tcPr>
          <w:p w14:paraId="6159A931"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-0.321</w:t>
            </w:r>
          </w:p>
        </w:tc>
        <w:tc>
          <w:tcPr>
            <w:tcW w:w="1017" w:type="dxa"/>
            <w:tcBorders>
              <w:top w:val="single" w:sz="4" w:space="0" w:color="auto"/>
              <w:left w:val="single" w:sz="4" w:space="0" w:color="auto"/>
              <w:bottom w:val="single" w:sz="4" w:space="0" w:color="auto"/>
              <w:right w:val="single" w:sz="4" w:space="0" w:color="auto"/>
            </w:tcBorders>
            <w:hideMark/>
          </w:tcPr>
          <w:p w14:paraId="47BC9657"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0.321</w:t>
            </w:r>
          </w:p>
        </w:tc>
        <w:tc>
          <w:tcPr>
            <w:tcW w:w="860" w:type="dxa"/>
            <w:tcBorders>
              <w:top w:val="single" w:sz="4" w:space="0" w:color="auto"/>
              <w:left w:val="single" w:sz="4" w:space="0" w:color="auto"/>
              <w:bottom w:val="single" w:sz="4" w:space="0" w:color="auto"/>
              <w:right w:val="single" w:sz="4" w:space="0" w:color="auto"/>
            </w:tcBorders>
            <w:hideMark/>
          </w:tcPr>
          <w:p w14:paraId="28E063C5"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0.031</w:t>
            </w:r>
          </w:p>
        </w:tc>
        <w:tc>
          <w:tcPr>
            <w:tcW w:w="1448" w:type="dxa"/>
            <w:tcBorders>
              <w:top w:val="single" w:sz="4" w:space="0" w:color="auto"/>
              <w:left w:val="single" w:sz="4" w:space="0" w:color="auto"/>
              <w:bottom w:val="single" w:sz="4" w:space="0" w:color="auto"/>
              <w:right w:val="single" w:sz="4" w:space="0" w:color="auto"/>
            </w:tcBorders>
          </w:tcPr>
          <w:p w14:paraId="43604014"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D(GDP)</w:t>
            </w:r>
          </w:p>
        </w:tc>
        <w:tc>
          <w:tcPr>
            <w:tcW w:w="1239" w:type="dxa"/>
            <w:tcBorders>
              <w:top w:val="single" w:sz="4" w:space="0" w:color="auto"/>
              <w:left w:val="single" w:sz="4" w:space="0" w:color="auto"/>
              <w:bottom w:val="single" w:sz="4" w:space="0" w:color="auto"/>
              <w:right w:val="single" w:sz="4" w:space="0" w:color="auto"/>
            </w:tcBorders>
            <w:hideMark/>
          </w:tcPr>
          <w:p w14:paraId="5E870BFE"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-1.332</w:t>
            </w:r>
          </w:p>
        </w:tc>
        <w:tc>
          <w:tcPr>
            <w:tcW w:w="1017" w:type="dxa"/>
            <w:tcBorders>
              <w:top w:val="single" w:sz="4" w:space="0" w:color="auto"/>
              <w:left w:val="single" w:sz="4" w:space="0" w:color="auto"/>
              <w:bottom w:val="single" w:sz="4" w:space="0" w:color="auto"/>
              <w:right w:val="single" w:sz="4" w:space="0" w:color="auto"/>
            </w:tcBorders>
            <w:hideMark/>
          </w:tcPr>
          <w:p w14:paraId="7DE3E91C"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0.631</w:t>
            </w:r>
          </w:p>
        </w:tc>
        <w:tc>
          <w:tcPr>
            <w:tcW w:w="860" w:type="dxa"/>
            <w:tcBorders>
              <w:top w:val="single" w:sz="4" w:space="0" w:color="auto"/>
              <w:left w:val="single" w:sz="4" w:space="0" w:color="auto"/>
              <w:bottom w:val="single" w:sz="4" w:space="0" w:color="auto"/>
              <w:right w:val="single" w:sz="4" w:space="0" w:color="auto"/>
            </w:tcBorders>
            <w:hideMark/>
          </w:tcPr>
          <w:p w14:paraId="2B72CF35"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0.031</w:t>
            </w:r>
          </w:p>
        </w:tc>
      </w:tr>
      <w:tr w:rsidR="008A78B1" w:rsidRPr="00C60A0B" w14:paraId="5F2D8E27" w14:textId="77777777" w:rsidTr="003666B8">
        <w:tc>
          <w:tcPr>
            <w:tcW w:w="1530" w:type="dxa"/>
            <w:tcBorders>
              <w:top w:val="single" w:sz="4" w:space="0" w:color="auto"/>
              <w:left w:val="single" w:sz="4" w:space="0" w:color="auto"/>
              <w:bottom w:val="single" w:sz="4" w:space="0" w:color="auto"/>
              <w:right w:val="single" w:sz="4" w:space="0" w:color="auto"/>
            </w:tcBorders>
            <w:hideMark/>
          </w:tcPr>
          <w:p w14:paraId="58AC30E8"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lastRenderedPageBreak/>
              <w:t>D(GDP</w:t>
            </w:r>
            <w:proofErr w:type="gramStart"/>
            <w:r w:rsidRPr="00C60A0B">
              <w:rPr>
                <w:rFonts w:ascii="Times New Roman" w:hAnsi="Times New Roman"/>
                <w:szCs w:val="26"/>
              </w:rPr>
              <w:t>)(</w:t>
            </w:r>
            <w:proofErr w:type="gramEnd"/>
            <w:r w:rsidRPr="00C60A0B">
              <w:rPr>
                <w:rFonts w:ascii="Times New Roman" w:hAnsi="Times New Roman"/>
                <w:szCs w:val="26"/>
              </w:rPr>
              <w:t>-1)</w:t>
            </w:r>
          </w:p>
        </w:tc>
        <w:tc>
          <w:tcPr>
            <w:tcW w:w="948" w:type="dxa"/>
            <w:tcBorders>
              <w:top w:val="single" w:sz="4" w:space="0" w:color="auto"/>
              <w:left w:val="single" w:sz="4" w:space="0" w:color="auto"/>
              <w:bottom w:val="single" w:sz="4" w:space="0" w:color="auto"/>
              <w:right w:val="single" w:sz="4" w:space="0" w:color="auto"/>
            </w:tcBorders>
          </w:tcPr>
          <w:p w14:paraId="60DD1E4E" w14:textId="77777777" w:rsidR="008A78B1" w:rsidRPr="00C60A0B" w:rsidRDefault="008A78B1" w:rsidP="003666B8">
            <w:pPr>
              <w:spacing w:after="40" w:line="240" w:lineRule="auto"/>
              <w:jc w:val="both"/>
              <w:rPr>
                <w:rFonts w:ascii="Times New Roman" w:hAnsi="Times New Roman"/>
                <w:szCs w:val="26"/>
              </w:rPr>
            </w:pPr>
          </w:p>
        </w:tc>
        <w:tc>
          <w:tcPr>
            <w:tcW w:w="1017" w:type="dxa"/>
            <w:tcBorders>
              <w:top w:val="single" w:sz="4" w:space="0" w:color="auto"/>
              <w:left w:val="single" w:sz="4" w:space="0" w:color="auto"/>
              <w:bottom w:val="single" w:sz="4" w:space="0" w:color="auto"/>
              <w:right w:val="single" w:sz="4" w:space="0" w:color="auto"/>
            </w:tcBorders>
            <w:hideMark/>
          </w:tcPr>
          <w:p w14:paraId="1DE07100"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0.456</w:t>
            </w:r>
          </w:p>
        </w:tc>
        <w:tc>
          <w:tcPr>
            <w:tcW w:w="860" w:type="dxa"/>
            <w:tcBorders>
              <w:top w:val="single" w:sz="4" w:space="0" w:color="auto"/>
              <w:left w:val="single" w:sz="4" w:space="0" w:color="auto"/>
              <w:bottom w:val="single" w:sz="4" w:space="0" w:color="auto"/>
              <w:right w:val="single" w:sz="4" w:space="0" w:color="auto"/>
            </w:tcBorders>
          </w:tcPr>
          <w:p w14:paraId="465BDE99" w14:textId="77777777" w:rsidR="008A78B1" w:rsidRPr="00C60A0B" w:rsidRDefault="008A78B1" w:rsidP="003666B8">
            <w:pPr>
              <w:spacing w:after="40" w:line="240" w:lineRule="auto"/>
              <w:jc w:val="both"/>
              <w:rPr>
                <w:rFonts w:ascii="Times New Roman" w:hAnsi="Times New Roman"/>
                <w:szCs w:val="26"/>
              </w:rPr>
            </w:pPr>
          </w:p>
        </w:tc>
        <w:tc>
          <w:tcPr>
            <w:tcW w:w="1448" w:type="dxa"/>
            <w:tcBorders>
              <w:top w:val="single" w:sz="4" w:space="0" w:color="auto"/>
              <w:left w:val="single" w:sz="4" w:space="0" w:color="auto"/>
              <w:bottom w:val="single" w:sz="4" w:space="0" w:color="auto"/>
              <w:right w:val="single" w:sz="4" w:space="0" w:color="auto"/>
            </w:tcBorders>
          </w:tcPr>
          <w:p w14:paraId="4D776601"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D(GDP</w:t>
            </w:r>
            <w:proofErr w:type="gramStart"/>
            <w:r w:rsidRPr="00C60A0B">
              <w:rPr>
                <w:rFonts w:ascii="Times New Roman" w:hAnsi="Times New Roman"/>
                <w:szCs w:val="26"/>
              </w:rPr>
              <w:t>)(</w:t>
            </w:r>
            <w:proofErr w:type="gramEnd"/>
            <w:r w:rsidRPr="00C60A0B">
              <w:rPr>
                <w:rFonts w:ascii="Times New Roman" w:hAnsi="Times New Roman"/>
                <w:szCs w:val="26"/>
              </w:rPr>
              <w:t>-1)</w:t>
            </w:r>
          </w:p>
        </w:tc>
        <w:tc>
          <w:tcPr>
            <w:tcW w:w="1239" w:type="dxa"/>
            <w:tcBorders>
              <w:top w:val="single" w:sz="4" w:space="0" w:color="auto"/>
              <w:left w:val="single" w:sz="4" w:space="0" w:color="auto"/>
              <w:bottom w:val="single" w:sz="4" w:space="0" w:color="auto"/>
              <w:right w:val="single" w:sz="4" w:space="0" w:color="auto"/>
            </w:tcBorders>
            <w:hideMark/>
          </w:tcPr>
          <w:p w14:paraId="789106B5"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0.334</w:t>
            </w:r>
          </w:p>
        </w:tc>
        <w:tc>
          <w:tcPr>
            <w:tcW w:w="1017" w:type="dxa"/>
            <w:tcBorders>
              <w:top w:val="single" w:sz="4" w:space="0" w:color="auto"/>
              <w:left w:val="single" w:sz="4" w:space="0" w:color="auto"/>
              <w:bottom w:val="single" w:sz="4" w:space="0" w:color="auto"/>
              <w:right w:val="single" w:sz="4" w:space="0" w:color="auto"/>
            </w:tcBorders>
            <w:hideMark/>
          </w:tcPr>
          <w:p w14:paraId="6EBB3F7E"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1.311</w:t>
            </w:r>
          </w:p>
        </w:tc>
        <w:tc>
          <w:tcPr>
            <w:tcW w:w="860" w:type="dxa"/>
            <w:tcBorders>
              <w:top w:val="single" w:sz="4" w:space="0" w:color="auto"/>
              <w:left w:val="single" w:sz="4" w:space="0" w:color="auto"/>
              <w:bottom w:val="single" w:sz="4" w:space="0" w:color="auto"/>
              <w:right w:val="single" w:sz="4" w:space="0" w:color="auto"/>
            </w:tcBorders>
            <w:hideMark/>
          </w:tcPr>
          <w:p w14:paraId="207FBACA"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0.000</w:t>
            </w:r>
          </w:p>
        </w:tc>
      </w:tr>
      <w:tr w:rsidR="008A78B1" w:rsidRPr="00C60A0B" w14:paraId="6F1DA72B" w14:textId="77777777" w:rsidTr="003666B8">
        <w:tc>
          <w:tcPr>
            <w:tcW w:w="1530" w:type="dxa"/>
            <w:tcBorders>
              <w:top w:val="single" w:sz="4" w:space="0" w:color="auto"/>
              <w:left w:val="single" w:sz="4" w:space="0" w:color="auto"/>
              <w:bottom w:val="single" w:sz="4" w:space="0" w:color="auto"/>
              <w:right w:val="single" w:sz="4" w:space="0" w:color="auto"/>
            </w:tcBorders>
            <w:hideMark/>
          </w:tcPr>
          <w:p w14:paraId="71B365E7"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D(GDP</w:t>
            </w:r>
            <w:proofErr w:type="gramStart"/>
            <w:r w:rsidRPr="00C60A0B">
              <w:rPr>
                <w:rFonts w:ascii="Times New Roman" w:hAnsi="Times New Roman"/>
                <w:szCs w:val="26"/>
              </w:rPr>
              <w:t>)(</w:t>
            </w:r>
            <w:proofErr w:type="gramEnd"/>
            <w:r w:rsidRPr="00C60A0B">
              <w:rPr>
                <w:rFonts w:ascii="Times New Roman" w:hAnsi="Times New Roman"/>
                <w:szCs w:val="26"/>
              </w:rPr>
              <w:t>-2)</w:t>
            </w:r>
          </w:p>
        </w:tc>
        <w:tc>
          <w:tcPr>
            <w:tcW w:w="948" w:type="dxa"/>
            <w:tcBorders>
              <w:top w:val="single" w:sz="4" w:space="0" w:color="auto"/>
              <w:left w:val="single" w:sz="4" w:space="0" w:color="auto"/>
              <w:bottom w:val="single" w:sz="4" w:space="0" w:color="auto"/>
              <w:right w:val="single" w:sz="4" w:space="0" w:color="auto"/>
            </w:tcBorders>
            <w:hideMark/>
          </w:tcPr>
          <w:p w14:paraId="0A5932CD"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0.0452</w:t>
            </w:r>
          </w:p>
        </w:tc>
        <w:tc>
          <w:tcPr>
            <w:tcW w:w="1017" w:type="dxa"/>
            <w:tcBorders>
              <w:top w:val="single" w:sz="4" w:space="0" w:color="auto"/>
              <w:left w:val="single" w:sz="4" w:space="0" w:color="auto"/>
              <w:bottom w:val="single" w:sz="4" w:space="0" w:color="auto"/>
              <w:right w:val="single" w:sz="4" w:space="0" w:color="auto"/>
            </w:tcBorders>
            <w:hideMark/>
          </w:tcPr>
          <w:p w14:paraId="1AFE9AE5"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0.522</w:t>
            </w:r>
          </w:p>
        </w:tc>
        <w:tc>
          <w:tcPr>
            <w:tcW w:w="860" w:type="dxa"/>
            <w:tcBorders>
              <w:top w:val="single" w:sz="4" w:space="0" w:color="auto"/>
              <w:left w:val="single" w:sz="4" w:space="0" w:color="auto"/>
              <w:bottom w:val="single" w:sz="4" w:space="0" w:color="auto"/>
              <w:right w:val="single" w:sz="4" w:space="0" w:color="auto"/>
            </w:tcBorders>
            <w:hideMark/>
          </w:tcPr>
          <w:p w14:paraId="3489146A"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0.004</w:t>
            </w:r>
          </w:p>
        </w:tc>
        <w:tc>
          <w:tcPr>
            <w:tcW w:w="1448" w:type="dxa"/>
            <w:tcBorders>
              <w:top w:val="single" w:sz="4" w:space="0" w:color="auto"/>
              <w:left w:val="single" w:sz="4" w:space="0" w:color="auto"/>
              <w:bottom w:val="single" w:sz="4" w:space="0" w:color="auto"/>
              <w:right w:val="single" w:sz="4" w:space="0" w:color="auto"/>
            </w:tcBorders>
          </w:tcPr>
          <w:p w14:paraId="09E0FC74"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D(GDP</w:t>
            </w:r>
            <w:proofErr w:type="gramStart"/>
            <w:r w:rsidRPr="00C60A0B">
              <w:rPr>
                <w:rFonts w:ascii="Times New Roman" w:hAnsi="Times New Roman"/>
                <w:szCs w:val="26"/>
              </w:rPr>
              <w:t>)(</w:t>
            </w:r>
            <w:proofErr w:type="gramEnd"/>
            <w:r w:rsidRPr="00C60A0B">
              <w:rPr>
                <w:rFonts w:ascii="Times New Roman" w:hAnsi="Times New Roman"/>
                <w:szCs w:val="26"/>
              </w:rPr>
              <w:t>-2)</w:t>
            </w:r>
          </w:p>
        </w:tc>
        <w:tc>
          <w:tcPr>
            <w:tcW w:w="1239" w:type="dxa"/>
            <w:tcBorders>
              <w:top w:val="single" w:sz="4" w:space="0" w:color="auto"/>
              <w:left w:val="single" w:sz="4" w:space="0" w:color="auto"/>
              <w:bottom w:val="single" w:sz="4" w:space="0" w:color="auto"/>
              <w:right w:val="single" w:sz="4" w:space="0" w:color="auto"/>
            </w:tcBorders>
            <w:hideMark/>
          </w:tcPr>
          <w:p w14:paraId="1741AEBB"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-0.621</w:t>
            </w:r>
          </w:p>
        </w:tc>
        <w:tc>
          <w:tcPr>
            <w:tcW w:w="1017" w:type="dxa"/>
            <w:tcBorders>
              <w:top w:val="single" w:sz="4" w:space="0" w:color="auto"/>
              <w:left w:val="single" w:sz="4" w:space="0" w:color="auto"/>
              <w:bottom w:val="single" w:sz="4" w:space="0" w:color="auto"/>
              <w:right w:val="single" w:sz="4" w:space="0" w:color="auto"/>
            </w:tcBorders>
            <w:hideMark/>
          </w:tcPr>
          <w:p w14:paraId="4DD90570"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0.456</w:t>
            </w:r>
          </w:p>
        </w:tc>
        <w:tc>
          <w:tcPr>
            <w:tcW w:w="860" w:type="dxa"/>
            <w:tcBorders>
              <w:top w:val="single" w:sz="4" w:space="0" w:color="auto"/>
              <w:left w:val="single" w:sz="4" w:space="0" w:color="auto"/>
              <w:bottom w:val="single" w:sz="4" w:space="0" w:color="auto"/>
              <w:right w:val="single" w:sz="4" w:space="0" w:color="auto"/>
            </w:tcBorders>
            <w:hideMark/>
          </w:tcPr>
          <w:p w14:paraId="19B27ACC"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0.008</w:t>
            </w:r>
          </w:p>
        </w:tc>
      </w:tr>
      <w:tr w:rsidR="008A78B1" w:rsidRPr="00C60A0B" w14:paraId="42804FB1" w14:textId="77777777" w:rsidTr="003666B8">
        <w:tc>
          <w:tcPr>
            <w:tcW w:w="1530" w:type="dxa"/>
            <w:tcBorders>
              <w:top w:val="single" w:sz="4" w:space="0" w:color="auto"/>
              <w:left w:val="single" w:sz="4" w:space="0" w:color="auto"/>
              <w:bottom w:val="single" w:sz="4" w:space="0" w:color="auto"/>
              <w:right w:val="single" w:sz="4" w:space="0" w:color="auto"/>
            </w:tcBorders>
            <w:hideMark/>
          </w:tcPr>
          <w:p w14:paraId="5FA30C43"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D(IFR)</w:t>
            </w:r>
          </w:p>
        </w:tc>
        <w:tc>
          <w:tcPr>
            <w:tcW w:w="948" w:type="dxa"/>
            <w:tcBorders>
              <w:top w:val="single" w:sz="4" w:space="0" w:color="auto"/>
              <w:left w:val="single" w:sz="4" w:space="0" w:color="auto"/>
              <w:bottom w:val="single" w:sz="4" w:space="0" w:color="auto"/>
              <w:right w:val="single" w:sz="4" w:space="0" w:color="auto"/>
            </w:tcBorders>
            <w:hideMark/>
          </w:tcPr>
          <w:p w14:paraId="0D1A590F"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-0.162</w:t>
            </w:r>
          </w:p>
        </w:tc>
        <w:tc>
          <w:tcPr>
            <w:tcW w:w="1017" w:type="dxa"/>
            <w:tcBorders>
              <w:top w:val="single" w:sz="4" w:space="0" w:color="auto"/>
              <w:left w:val="single" w:sz="4" w:space="0" w:color="auto"/>
              <w:bottom w:val="single" w:sz="4" w:space="0" w:color="auto"/>
              <w:right w:val="single" w:sz="4" w:space="0" w:color="auto"/>
            </w:tcBorders>
            <w:hideMark/>
          </w:tcPr>
          <w:p w14:paraId="46D74B72"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0.614</w:t>
            </w:r>
          </w:p>
        </w:tc>
        <w:tc>
          <w:tcPr>
            <w:tcW w:w="860" w:type="dxa"/>
            <w:tcBorders>
              <w:top w:val="single" w:sz="4" w:space="0" w:color="auto"/>
              <w:left w:val="single" w:sz="4" w:space="0" w:color="auto"/>
              <w:bottom w:val="single" w:sz="4" w:space="0" w:color="auto"/>
              <w:right w:val="single" w:sz="4" w:space="0" w:color="auto"/>
            </w:tcBorders>
            <w:hideMark/>
          </w:tcPr>
          <w:p w14:paraId="4C763AB1"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0.134</w:t>
            </w:r>
          </w:p>
        </w:tc>
        <w:tc>
          <w:tcPr>
            <w:tcW w:w="1448" w:type="dxa"/>
            <w:tcBorders>
              <w:top w:val="single" w:sz="4" w:space="0" w:color="auto"/>
              <w:left w:val="single" w:sz="4" w:space="0" w:color="auto"/>
              <w:bottom w:val="single" w:sz="4" w:space="0" w:color="auto"/>
              <w:right w:val="single" w:sz="4" w:space="0" w:color="auto"/>
            </w:tcBorders>
          </w:tcPr>
          <w:p w14:paraId="6EB66FD1"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D(IFR)</w:t>
            </w:r>
          </w:p>
        </w:tc>
        <w:tc>
          <w:tcPr>
            <w:tcW w:w="1239" w:type="dxa"/>
            <w:tcBorders>
              <w:top w:val="single" w:sz="4" w:space="0" w:color="auto"/>
              <w:left w:val="single" w:sz="4" w:space="0" w:color="auto"/>
              <w:bottom w:val="single" w:sz="4" w:space="0" w:color="auto"/>
              <w:right w:val="single" w:sz="4" w:space="0" w:color="auto"/>
            </w:tcBorders>
            <w:hideMark/>
          </w:tcPr>
          <w:p w14:paraId="67EC84C2"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0.034</w:t>
            </w:r>
          </w:p>
        </w:tc>
        <w:tc>
          <w:tcPr>
            <w:tcW w:w="1017" w:type="dxa"/>
            <w:tcBorders>
              <w:top w:val="single" w:sz="4" w:space="0" w:color="auto"/>
              <w:left w:val="single" w:sz="4" w:space="0" w:color="auto"/>
              <w:bottom w:val="single" w:sz="4" w:space="0" w:color="auto"/>
              <w:right w:val="single" w:sz="4" w:space="0" w:color="auto"/>
            </w:tcBorders>
            <w:hideMark/>
          </w:tcPr>
          <w:p w14:paraId="77ADEC9A"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0.624</w:t>
            </w:r>
          </w:p>
        </w:tc>
        <w:tc>
          <w:tcPr>
            <w:tcW w:w="860" w:type="dxa"/>
            <w:tcBorders>
              <w:top w:val="single" w:sz="4" w:space="0" w:color="auto"/>
              <w:left w:val="single" w:sz="4" w:space="0" w:color="auto"/>
              <w:bottom w:val="single" w:sz="4" w:space="0" w:color="auto"/>
              <w:right w:val="single" w:sz="4" w:space="0" w:color="auto"/>
            </w:tcBorders>
          </w:tcPr>
          <w:p w14:paraId="665ABFE3" w14:textId="77777777" w:rsidR="008A78B1" w:rsidRPr="00C60A0B" w:rsidRDefault="00BE0CCD" w:rsidP="003666B8">
            <w:pPr>
              <w:spacing w:after="40" w:line="240" w:lineRule="auto"/>
              <w:jc w:val="both"/>
              <w:rPr>
                <w:rFonts w:ascii="Times New Roman" w:hAnsi="Times New Roman"/>
                <w:szCs w:val="26"/>
              </w:rPr>
            </w:pPr>
            <w:r>
              <w:rPr>
                <w:rFonts w:ascii="Times New Roman" w:hAnsi="Times New Roman"/>
                <w:szCs w:val="26"/>
              </w:rPr>
              <w:t>0.006</w:t>
            </w:r>
          </w:p>
        </w:tc>
      </w:tr>
      <w:tr w:rsidR="008A78B1" w:rsidRPr="00C60A0B" w14:paraId="5937E30A" w14:textId="77777777" w:rsidTr="003666B8">
        <w:tc>
          <w:tcPr>
            <w:tcW w:w="1530" w:type="dxa"/>
            <w:tcBorders>
              <w:top w:val="single" w:sz="4" w:space="0" w:color="auto"/>
              <w:left w:val="single" w:sz="4" w:space="0" w:color="auto"/>
              <w:bottom w:val="single" w:sz="4" w:space="0" w:color="auto"/>
              <w:right w:val="single" w:sz="4" w:space="0" w:color="auto"/>
            </w:tcBorders>
            <w:hideMark/>
          </w:tcPr>
          <w:p w14:paraId="4F7E062D"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D(IFR</w:t>
            </w:r>
            <w:proofErr w:type="gramStart"/>
            <w:r w:rsidRPr="00C60A0B">
              <w:rPr>
                <w:rFonts w:ascii="Times New Roman" w:hAnsi="Times New Roman"/>
                <w:szCs w:val="26"/>
              </w:rPr>
              <w:t>)(</w:t>
            </w:r>
            <w:proofErr w:type="gramEnd"/>
            <w:r w:rsidRPr="00C60A0B">
              <w:rPr>
                <w:rFonts w:ascii="Times New Roman" w:hAnsi="Times New Roman"/>
                <w:szCs w:val="26"/>
              </w:rPr>
              <w:t>-)</w:t>
            </w:r>
          </w:p>
        </w:tc>
        <w:tc>
          <w:tcPr>
            <w:tcW w:w="948" w:type="dxa"/>
            <w:tcBorders>
              <w:top w:val="single" w:sz="4" w:space="0" w:color="auto"/>
              <w:left w:val="single" w:sz="4" w:space="0" w:color="auto"/>
              <w:bottom w:val="single" w:sz="4" w:space="0" w:color="auto"/>
              <w:right w:val="single" w:sz="4" w:space="0" w:color="auto"/>
            </w:tcBorders>
            <w:hideMark/>
          </w:tcPr>
          <w:p w14:paraId="30BFD420"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0.321</w:t>
            </w:r>
          </w:p>
        </w:tc>
        <w:tc>
          <w:tcPr>
            <w:tcW w:w="1017" w:type="dxa"/>
            <w:tcBorders>
              <w:top w:val="single" w:sz="4" w:space="0" w:color="auto"/>
              <w:left w:val="single" w:sz="4" w:space="0" w:color="auto"/>
              <w:bottom w:val="single" w:sz="4" w:space="0" w:color="auto"/>
              <w:right w:val="single" w:sz="4" w:space="0" w:color="auto"/>
            </w:tcBorders>
            <w:hideMark/>
          </w:tcPr>
          <w:p w14:paraId="4A39990E"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0.633</w:t>
            </w:r>
          </w:p>
        </w:tc>
        <w:tc>
          <w:tcPr>
            <w:tcW w:w="860" w:type="dxa"/>
            <w:tcBorders>
              <w:top w:val="single" w:sz="4" w:space="0" w:color="auto"/>
              <w:left w:val="single" w:sz="4" w:space="0" w:color="auto"/>
              <w:bottom w:val="single" w:sz="4" w:space="0" w:color="auto"/>
              <w:right w:val="single" w:sz="4" w:space="0" w:color="auto"/>
            </w:tcBorders>
            <w:hideMark/>
          </w:tcPr>
          <w:p w14:paraId="1EB1883A"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0.032</w:t>
            </w:r>
          </w:p>
        </w:tc>
        <w:tc>
          <w:tcPr>
            <w:tcW w:w="1448" w:type="dxa"/>
            <w:tcBorders>
              <w:top w:val="single" w:sz="4" w:space="0" w:color="auto"/>
              <w:left w:val="single" w:sz="4" w:space="0" w:color="auto"/>
              <w:bottom w:val="single" w:sz="4" w:space="0" w:color="auto"/>
              <w:right w:val="single" w:sz="4" w:space="0" w:color="auto"/>
            </w:tcBorders>
          </w:tcPr>
          <w:p w14:paraId="1BC3E041"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D(IFR</w:t>
            </w:r>
            <w:proofErr w:type="gramStart"/>
            <w:r w:rsidRPr="00C60A0B">
              <w:rPr>
                <w:rFonts w:ascii="Times New Roman" w:hAnsi="Times New Roman"/>
                <w:szCs w:val="26"/>
              </w:rPr>
              <w:t>)(</w:t>
            </w:r>
            <w:proofErr w:type="gramEnd"/>
            <w:r w:rsidRPr="00C60A0B">
              <w:rPr>
                <w:rFonts w:ascii="Times New Roman" w:hAnsi="Times New Roman"/>
                <w:szCs w:val="26"/>
              </w:rPr>
              <w:t>-)</w:t>
            </w:r>
          </w:p>
        </w:tc>
        <w:tc>
          <w:tcPr>
            <w:tcW w:w="1239" w:type="dxa"/>
            <w:tcBorders>
              <w:top w:val="single" w:sz="4" w:space="0" w:color="auto"/>
              <w:left w:val="single" w:sz="4" w:space="0" w:color="auto"/>
              <w:bottom w:val="single" w:sz="4" w:space="0" w:color="auto"/>
              <w:right w:val="single" w:sz="4" w:space="0" w:color="auto"/>
            </w:tcBorders>
            <w:hideMark/>
          </w:tcPr>
          <w:p w14:paraId="447EE685"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-0.144</w:t>
            </w:r>
          </w:p>
        </w:tc>
        <w:tc>
          <w:tcPr>
            <w:tcW w:w="1017" w:type="dxa"/>
            <w:tcBorders>
              <w:top w:val="single" w:sz="4" w:space="0" w:color="auto"/>
              <w:left w:val="single" w:sz="4" w:space="0" w:color="auto"/>
              <w:bottom w:val="single" w:sz="4" w:space="0" w:color="auto"/>
              <w:right w:val="single" w:sz="4" w:space="0" w:color="auto"/>
            </w:tcBorders>
            <w:hideMark/>
          </w:tcPr>
          <w:p w14:paraId="535E4C0A"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1.561</w:t>
            </w:r>
          </w:p>
        </w:tc>
        <w:tc>
          <w:tcPr>
            <w:tcW w:w="860" w:type="dxa"/>
            <w:tcBorders>
              <w:top w:val="single" w:sz="4" w:space="0" w:color="auto"/>
              <w:left w:val="single" w:sz="4" w:space="0" w:color="auto"/>
              <w:bottom w:val="single" w:sz="4" w:space="0" w:color="auto"/>
              <w:right w:val="single" w:sz="4" w:space="0" w:color="auto"/>
            </w:tcBorders>
            <w:hideMark/>
          </w:tcPr>
          <w:p w14:paraId="6397FFA9"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0.003</w:t>
            </w:r>
          </w:p>
        </w:tc>
      </w:tr>
      <w:tr w:rsidR="008A78B1" w:rsidRPr="00C60A0B" w14:paraId="06181D4E" w14:textId="77777777" w:rsidTr="003666B8">
        <w:tc>
          <w:tcPr>
            <w:tcW w:w="1530" w:type="dxa"/>
            <w:tcBorders>
              <w:top w:val="single" w:sz="4" w:space="0" w:color="auto"/>
              <w:left w:val="single" w:sz="4" w:space="0" w:color="auto"/>
              <w:bottom w:val="single" w:sz="4" w:space="0" w:color="auto"/>
              <w:right w:val="single" w:sz="4" w:space="0" w:color="auto"/>
            </w:tcBorders>
            <w:hideMark/>
          </w:tcPr>
          <w:p w14:paraId="500DDF02"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D(OFR</w:t>
            </w:r>
            <w:proofErr w:type="gramStart"/>
            <w:r w:rsidRPr="00C60A0B">
              <w:rPr>
                <w:rFonts w:ascii="Times New Roman" w:hAnsi="Times New Roman"/>
                <w:szCs w:val="26"/>
              </w:rPr>
              <w:t>)(</w:t>
            </w:r>
            <w:proofErr w:type="gramEnd"/>
            <w:r w:rsidRPr="00C60A0B">
              <w:rPr>
                <w:rFonts w:ascii="Times New Roman" w:hAnsi="Times New Roman"/>
                <w:szCs w:val="26"/>
              </w:rPr>
              <w:t>-2)</w:t>
            </w:r>
          </w:p>
        </w:tc>
        <w:tc>
          <w:tcPr>
            <w:tcW w:w="948" w:type="dxa"/>
            <w:tcBorders>
              <w:top w:val="single" w:sz="4" w:space="0" w:color="auto"/>
              <w:left w:val="single" w:sz="4" w:space="0" w:color="auto"/>
              <w:bottom w:val="single" w:sz="4" w:space="0" w:color="auto"/>
              <w:right w:val="single" w:sz="4" w:space="0" w:color="auto"/>
            </w:tcBorders>
            <w:hideMark/>
          </w:tcPr>
          <w:p w14:paraId="3F312A8A"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-4.311</w:t>
            </w:r>
          </w:p>
        </w:tc>
        <w:tc>
          <w:tcPr>
            <w:tcW w:w="1017" w:type="dxa"/>
            <w:tcBorders>
              <w:top w:val="single" w:sz="4" w:space="0" w:color="auto"/>
              <w:left w:val="single" w:sz="4" w:space="0" w:color="auto"/>
              <w:bottom w:val="single" w:sz="4" w:space="0" w:color="auto"/>
              <w:right w:val="single" w:sz="4" w:space="0" w:color="auto"/>
            </w:tcBorders>
            <w:hideMark/>
          </w:tcPr>
          <w:p w14:paraId="5C39CFAA"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0.452</w:t>
            </w:r>
          </w:p>
        </w:tc>
        <w:tc>
          <w:tcPr>
            <w:tcW w:w="860" w:type="dxa"/>
            <w:tcBorders>
              <w:top w:val="single" w:sz="4" w:space="0" w:color="auto"/>
              <w:left w:val="single" w:sz="4" w:space="0" w:color="auto"/>
              <w:bottom w:val="single" w:sz="4" w:space="0" w:color="auto"/>
              <w:right w:val="single" w:sz="4" w:space="0" w:color="auto"/>
            </w:tcBorders>
            <w:hideMark/>
          </w:tcPr>
          <w:p w14:paraId="30E09D4D"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0.014</w:t>
            </w:r>
          </w:p>
        </w:tc>
        <w:tc>
          <w:tcPr>
            <w:tcW w:w="1448" w:type="dxa"/>
            <w:tcBorders>
              <w:top w:val="single" w:sz="4" w:space="0" w:color="auto"/>
              <w:left w:val="single" w:sz="4" w:space="0" w:color="auto"/>
              <w:bottom w:val="single" w:sz="4" w:space="0" w:color="auto"/>
              <w:right w:val="single" w:sz="4" w:space="0" w:color="auto"/>
            </w:tcBorders>
          </w:tcPr>
          <w:p w14:paraId="33FF6612"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D(OFR</w:t>
            </w:r>
            <w:proofErr w:type="gramStart"/>
            <w:r w:rsidRPr="00C60A0B">
              <w:rPr>
                <w:rFonts w:ascii="Times New Roman" w:hAnsi="Times New Roman"/>
                <w:szCs w:val="26"/>
              </w:rPr>
              <w:t>)(</w:t>
            </w:r>
            <w:proofErr w:type="gramEnd"/>
            <w:r w:rsidRPr="00C60A0B">
              <w:rPr>
                <w:rFonts w:ascii="Times New Roman" w:hAnsi="Times New Roman"/>
                <w:szCs w:val="26"/>
              </w:rPr>
              <w:t>-2)</w:t>
            </w:r>
          </w:p>
        </w:tc>
        <w:tc>
          <w:tcPr>
            <w:tcW w:w="1239" w:type="dxa"/>
            <w:tcBorders>
              <w:top w:val="single" w:sz="4" w:space="0" w:color="auto"/>
              <w:left w:val="single" w:sz="4" w:space="0" w:color="auto"/>
              <w:bottom w:val="single" w:sz="4" w:space="0" w:color="auto"/>
              <w:right w:val="single" w:sz="4" w:space="0" w:color="auto"/>
            </w:tcBorders>
            <w:hideMark/>
          </w:tcPr>
          <w:p w14:paraId="67FB84DF"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-6.314</w:t>
            </w:r>
          </w:p>
        </w:tc>
        <w:tc>
          <w:tcPr>
            <w:tcW w:w="1017" w:type="dxa"/>
            <w:tcBorders>
              <w:top w:val="single" w:sz="4" w:space="0" w:color="auto"/>
              <w:left w:val="single" w:sz="4" w:space="0" w:color="auto"/>
              <w:bottom w:val="single" w:sz="4" w:space="0" w:color="auto"/>
              <w:right w:val="single" w:sz="4" w:space="0" w:color="auto"/>
            </w:tcBorders>
            <w:hideMark/>
          </w:tcPr>
          <w:p w14:paraId="37255207"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0.142</w:t>
            </w:r>
          </w:p>
        </w:tc>
        <w:tc>
          <w:tcPr>
            <w:tcW w:w="860" w:type="dxa"/>
            <w:tcBorders>
              <w:top w:val="single" w:sz="4" w:space="0" w:color="auto"/>
              <w:left w:val="single" w:sz="4" w:space="0" w:color="auto"/>
              <w:bottom w:val="single" w:sz="4" w:space="0" w:color="auto"/>
              <w:right w:val="single" w:sz="4" w:space="0" w:color="auto"/>
            </w:tcBorders>
            <w:hideMark/>
          </w:tcPr>
          <w:p w14:paraId="2DC8A96A"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0.062</w:t>
            </w:r>
          </w:p>
        </w:tc>
      </w:tr>
      <w:tr w:rsidR="008A78B1" w:rsidRPr="00C60A0B" w14:paraId="2DE95376" w14:textId="77777777" w:rsidTr="003666B8">
        <w:tc>
          <w:tcPr>
            <w:tcW w:w="1530" w:type="dxa"/>
            <w:tcBorders>
              <w:top w:val="single" w:sz="4" w:space="0" w:color="auto"/>
              <w:left w:val="single" w:sz="4" w:space="0" w:color="auto"/>
              <w:bottom w:val="single" w:sz="4" w:space="0" w:color="auto"/>
              <w:right w:val="single" w:sz="4" w:space="0" w:color="auto"/>
            </w:tcBorders>
            <w:hideMark/>
          </w:tcPr>
          <w:p w14:paraId="6628EBFC"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D(EIFR)</w:t>
            </w:r>
          </w:p>
        </w:tc>
        <w:tc>
          <w:tcPr>
            <w:tcW w:w="948" w:type="dxa"/>
            <w:tcBorders>
              <w:top w:val="single" w:sz="4" w:space="0" w:color="auto"/>
              <w:left w:val="single" w:sz="4" w:space="0" w:color="auto"/>
              <w:bottom w:val="single" w:sz="4" w:space="0" w:color="auto"/>
              <w:right w:val="single" w:sz="4" w:space="0" w:color="auto"/>
            </w:tcBorders>
            <w:hideMark/>
          </w:tcPr>
          <w:p w14:paraId="4AF21AA8"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-0.143</w:t>
            </w:r>
          </w:p>
        </w:tc>
        <w:tc>
          <w:tcPr>
            <w:tcW w:w="1017" w:type="dxa"/>
            <w:tcBorders>
              <w:top w:val="single" w:sz="4" w:space="0" w:color="auto"/>
              <w:left w:val="single" w:sz="4" w:space="0" w:color="auto"/>
              <w:bottom w:val="single" w:sz="4" w:space="0" w:color="auto"/>
              <w:right w:val="single" w:sz="4" w:space="0" w:color="auto"/>
            </w:tcBorders>
            <w:hideMark/>
          </w:tcPr>
          <w:p w14:paraId="44F57F64"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0.113</w:t>
            </w:r>
          </w:p>
        </w:tc>
        <w:tc>
          <w:tcPr>
            <w:tcW w:w="860" w:type="dxa"/>
            <w:tcBorders>
              <w:top w:val="single" w:sz="4" w:space="0" w:color="auto"/>
              <w:left w:val="single" w:sz="4" w:space="0" w:color="auto"/>
              <w:bottom w:val="single" w:sz="4" w:space="0" w:color="auto"/>
              <w:right w:val="single" w:sz="4" w:space="0" w:color="auto"/>
            </w:tcBorders>
            <w:hideMark/>
          </w:tcPr>
          <w:p w14:paraId="1924E96F"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0.231</w:t>
            </w:r>
          </w:p>
        </w:tc>
        <w:tc>
          <w:tcPr>
            <w:tcW w:w="1448" w:type="dxa"/>
            <w:tcBorders>
              <w:top w:val="single" w:sz="4" w:space="0" w:color="auto"/>
              <w:left w:val="single" w:sz="4" w:space="0" w:color="auto"/>
              <w:bottom w:val="single" w:sz="4" w:space="0" w:color="auto"/>
              <w:right w:val="single" w:sz="4" w:space="0" w:color="auto"/>
            </w:tcBorders>
          </w:tcPr>
          <w:p w14:paraId="381C1374"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D(EIFR)</w:t>
            </w:r>
          </w:p>
        </w:tc>
        <w:tc>
          <w:tcPr>
            <w:tcW w:w="1239" w:type="dxa"/>
            <w:tcBorders>
              <w:top w:val="single" w:sz="4" w:space="0" w:color="auto"/>
              <w:left w:val="single" w:sz="4" w:space="0" w:color="auto"/>
              <w:bottom w:val="single" w:sz="4" w:space="0" w:color="auto"/>
              <w:right w:val="single" w:sz="4" w:space="0" w:color="auto"/>
            </w:tcBorders>
            <w:hideMark/>
          </w:tcPr>
          <w:p w14:paraId="28231199"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0.145</w:t>
            </w:r>
          </w:p>
        </w:tc>
        <w:tc>
          <w:tcPr>
            <w:tcW w:w="1017" w:type="dxa"/>
            <w:tcBorders>
              <w:top w:val="single" w:sz="4" w:space="0" w:color="auto"/>
              <w:left w:val="single" w:sz="4" w:space="0" w:color="auto"/>
              <w:bottom w:val="single" w:sz="4" w:space="0" w:color="auto"/>
              <w:right w:val="single" w:sz="4" w:space="0" w:color="auto"/>
            </w:tcBorders>
            <w:hideMark/>
          </w:tcPr>
          <w:p w14:paraId="6466E6DB"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0.162</w:t>
            </w:r>
          </w:p>
        </w:tc>
        <w:tc>
          <w:tcPr>
            <w:tcW w:w="860" w:type="dxa"/>
            <w:tcBorders>
              <w:top w:val="single" w:sz="4" w:space="0" w:color="auto"/>
              <w:left w:val="single" w:sz="4" w:space="0" w:color="auto"/>
              <w:bottom w:val="single" w:sz="4" w:space="0" w:color="auto"/>
              <w:right w:val="single" w:sz="4" w:space="0" w:color="auto"/>
            </w:tcBorders>
            <w:hideMark/>
          </w:tcPr>
          <w:p w14:paraId="5AB35C50"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0.002</w:t>
            </w:r>
          </w:p>
        </w:tc>
      </w:tr>
      <w:tr w:rsidR="008A78B1" w:rsidRPr="00C60A0B" w14:paraId="7FD32CD7" w14:textId="77777777" w:rsidTr="003666B8">
        <w:tc>
          <w:tcPr>
            <w:tcW w:w="1530" w:type="dxa"/>
            <w:tcBorders>
              <w:top w:val="single" w:sz="4" w:space="0" w:color="auto"/>
              <w:left w:val="single" w:sz="4" w:space="0" w:color="auto"/>
              <w:bottom w:val="single" w:sz="4" w:space="0" w:color="auto"/>
              <w:right w:val="single" w:sz="4" w:space="0" w:color="auto"/>
            </w:tcBorders>
            <w:hideMark/>
          </w:tcPr>
          <w:p w14:paraId="6B33AD02"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D(EFR</w:t>
            </w:r>
            <w:proofErr w:type="gramStart"/>
            <w:r w:rsidRPr="00C60A0B">
              <w:rPr>
                <w:rFonts w:ascii="Times New Roman" w:hAnsi="Times New Roman"/>
                <w:szCs w:val="26"/>
              </w:rPr>
              <w:t>)(</w:t>
            </w:r>
            <w:proofErr w:type="gramEnd"/>
            <w:r w:rsidRPr="00C60A0B">
              <w:rPr>
                <w:rFonts w:ascii="Times New Roman" w:hAnsi="Times New Roman"/>
                <w:szCs w:val="26"/>
              </w:rPr>
              <w:t>-1)</w:t>
            </w:r>
          </w:p>
        </w:tc>
        <w:tc>
          <w:tcPr>
            <w:tcW w:w="948" w:type="dxa"/>
            <w:tcBorders>
              <w:top w:val="single" w:sz="4" w:space="0" w:color="auto"/>
              <w:left w:val="single" w:sz="4" w:space="0" w:color="auto"/>
              <w:bottom w:val="single" w:sz="4" w:space="0" w:color="auto"/>
              <w:right w:val="single" w:sz="4" w:space="0" w:color="auto"/>
            </w:tcBorders>
            <w:hideMark/>
          </w:tcPr>
          <w:p w14:paraId="38810915"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-0.413</w:t>
            </w:r>
          </w:p>
        </w:tc>
        <w:tc>
          <w:tcPr>
            <w:tcW w:w="1017" w:type="dxa"/>
            <w:tcBorders>
              <w:top w:val="single" w:sz="4" w:space="0" w:color="auto"/>
              <w:left w:val="single" w:sz="4" w:space="0" w:color="auto"/>
              <w:bottom w:val="single" w:sz="4" w:space="0" w:color="auto"/>
              <w:right w:val="single" w:sz="4" w:space="0" w:color="auto"/>
            </w:tcBorders>
            <w:hideMark/>
          </w:tcPr>
          <w:p w14:paraId="49463F13"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0.631</w:t>
            </w:r>
          </w:p>
        </w:tc>
        <w:tc>
          <w:tcPr>
            <w:tcW w:w="860" w:type="dxa"/>
            <w:tcBorders>
              <w:top w:val="single" w:sz="4" w:space="0" w:color="auto"/>
              <w:left w:val="single" w:sz="4" w:space="0" w:color="auto"/>
              <w:bottom w:val="single" w:sz="4" w:space="0" w:color="auto"/>
              <w:right w:val="single" w:sz="4" w:space="0" w:color="auto"/>
            </w:tcBorders>
            <w:hideMark/>
          </w:tcPr>
          <w:p w14:paraId="26EE8A94"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0.146</w:t>
            </w:r>
          </w:p>
        </w:tc>
        <w:tc>
          <w:tcPr>
            <w:tcW w:w="1448" w:type="dxa"/>
            <w:tcBorders>
              <w:top w:val="single" w:sz="4" w:space="0" w:color="auto"/>
              <w:left w:val="single" w:sz="4" w:space="0" w:color="auto"/>
              <w:bottom w:val="single" w:sz="4" w:space="0" w:color="auto"/>
              <w:right w:val="single" w:sz="4" w:space="0" w:color="auto"/>
            </w:tcBorders>
          </w:tcPr>
          <w:p w14:paraId="28471EF7"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D(EFR</w:t>
            </w:r>
            <w:proofErr w:type="gramStart"/>
            <w:r w:rsidRPr="00C60A0B">
              <w:rPr>
                <w:rFonts w:ascii="Times New Roman" w:hAnsi="Times New Roman"/>
                <w:szCs w:val="26"/>
              </w:rPr>
              <w:t>)(</w:t>
            </w:r>
            <w:proofErr w:type="gramEnd"/>
            <w:r w:rsidRPr="00C60A0B">
              <w:rPr>
                <w:rFonts w:ascii="Times New Roman" w:hAnsi="Times New Roman"/>
                <w:szCs w:val="26"/>
              </w:rPr>
              <w:t>-1)</w:t>
            </w:r>
          </w:p>
        </w:tc>
        <w:tc>
          <w:tcPr>
            <w:tcW w:w="1239" w:type="dxa"/>
            <w:tcBorders>
              <w:top w:val="single" w:sz="4" w:space="0" w:color="auto"/>
              <w:left w:val="single" w:sz="4" w:space="0" w:color="auto"/>
              <w:bottom w:val="single" w:sz="4" w:space="0" w:color="auto"/>
              <w:right w:val="single" w:sz="4" w:space="0" w:color="auto"/>
            </w:tcBorders>
            <w:hideMark/>
          </w:tcPr>
          <w:p w14:paraId="4B7BC358"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-0.621</w:t>
            </w:r>
          </w:p>
        </w:tc>
        <w:tc>
          <w:tcPr>
            <w:tcW w:w="1017" w:type="dxa"/>
            <w:tcBorders>
              <w:top w:val="single" w:sz="4" w:space="0" w:color="auto"/>
              <w:left w:val="single" w:sz="4" w:space="0" w:color="auto"/>
              <w:bottom w:val="single" w:sz="4" w:space="0" w:color="auto"/>
              <w:right w:val="single" w:sz="4" w:space="0" w:color="auto"/>
            </w:tcBorders>
            <w:hideMark/>
          </w:tcPr>
          <w:p w14:paraId="6601EA19"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0.561</w:t>
            </w:r>
          </w:p>
        </w:tc>
        <w:tc>
          <w:tcPr>
            <w:tcW w:w="860" w:type="dxa"/>
            <w:tcBorders>
              <w:top w:val="single" w:sz="4" w:space="0" w:color="auto"/>
              <w:left w:val="single" w:sz="4" w:space="0" w:color="auto"/>
              <w:bottom w:val="single" w:sz="4" w:space="0" w:color="auto"/>
              <w:right w:val="single" w:sz="4" w:space="0" w:color="auto"/>
            </w:tcBorders>
            <w:hideMark/>
          </w:tcPr>
          <w:p w14:paraId="727EA6D5"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0.62</w:t>
            </w:r>
          </w:p>
        </w:tc>
      </w:tr>
      <w:tr w:rsidR="008A78B1" w:rsidRPr="00C60A0B" w14:paraId="72AE147A" w14:textId="77777777" w:rsidTr="003666B8">
        <w:tc>
          <w:tcPr>
            <w:tcW w:w="1530" w:type="dxa"/>
            <w:tcBorders>
              <w:top w:val="single" w:sz="4" w:space="0" w:color="auto"/>
              <w:left w:val="single" w:sz="4" w:space="0" w:color="auto"/>
              <w:bottom w:val="single" w:sz="4" w:space="0" w:color="auto"/>
              <w:right w:val="single" w:sz="4" w:space="0" w:color="auto"/>
            </w:tcBorders>
            <w:hideMark/>
          </w:tcPr>
          <w:p w14:paraId="636C30DC"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D(EIFR</w:t>
            </w:r>
            <w:proofErr w:type="gramStart"/>
            <w:r w:rsidRPr="00C60A0B">
              <w:rPr>
                <w:rFonts w:ascii="Times New Roman" w:hAnsi="Times New Roman"/>
                <w:szCs w:val="26"/>
              </w:rPr>
              <w:t>)(</w:t>
            </w:r>
            <w:proofErr w:type="gramEnd"/>
            <w:r w:rsidRPr="00C60A0B">
              <w:rPr>
                <w:rFonts w:ascii="Times New Roman" w:hAnsi="Times New Roman"/>
                <w:szCs w:val="26"/>
              </w:rPr>
              <w:t>-2)</w:t>
            </w:r>
          </w:p>
        </w:tc>
        <w:tc>
          <w:tcPr>
            <w:tcW w:w="948" w:type="dxa"/>
            <w:tcBorders>
              <w:top w:val="single" w:sz="4" w:space="0" w:color="auto"/>
              <w:left w:val="single" w:sz="4" w:space="0" w:color="auto"/>
              <w:bottom w:val="single" w:sz="4" w:space="0" w:color="auto"/>
              <w:right w:val="single" w:sz="4" w:space="0" w:color="auto"/>
            </w:tcBorders>
            <w:hideMark/>
          </w:tcPr>
          <w:p w14:paraId="489B5265"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-0.6221</w:t>
            </w:r>
          </w:p>
        </w:tc>
        <w:tc>
          <w:tcPr>
            <w:tcW w:w="1017" w:type="dxa"/>
            <w:tcBorders>
              <w:top w:val="single" w:sz="4" w:space="0" w:color="auto"/>
              <w:left w:val="single" w:sz="4" w:space="0" w:color="auto"/>
              <w:bottom w:val="single" w:sz="4" w:space="0" w:color="auto"/>
              <w:right w:val="single" w:sz="4" w:space="0" w:color="auto"/>
            </w:tcBorders>
            <w:hideMark/>
          </w:tcPr>
          <w:p w14:paraId="09B4CACE"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0.157</w:t>
            </w:r>
          </w:p>
        </w:tc>
        <w:tc>
          <w:tcPr>
            <w:tcW w:w="860" w:type="dxa"/>
            <w:tcBorders>
              <w:top w:val="single" w:sz="4" w:space="0" w:color="auto"/>
              <w:left w:val="single" w:sz="4" w:space="0" w:color="auto"/>
              <w:bottom w:val="single" w:sz="4" w:space="0" w:color="auto"/>
              <w:right w:val="single" w:sz="4" w:space="0" w:color="auto"/>
            </w:tcBorders>
            <w:hideMark/>
          </w:tcPr>
          <w:p w14:paraId="77D4F9B4"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0.062</w:t>
            </w:r>
          </w:p>
        </w:tc>
        <w:tc>
          <w:tcPr>
            <w:tcW w:w="1448" w:type="dxa"/>
            <w:tcBorders>
              <w:top w:val="single" w:sz="4" w:space="0" w:color="auto"/>
              <w:left w:val="single" w:sz="4" w:space="0" w:color="auto"/>
              <w:bottom w:val="single" w:sz="4" w:space="0" w:color="auto"/>
              <w:right w:val="single" w:sz="4" w:space="0" w:color="auto"/>
            </w:tcBorders>
          </w:tcPr>
          <w:p w14:paraId="407C696C"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D(EIFR</w:t>
            </w:r>
            <w:proofErr w:type="gramStart"/>
            <w:r w:rsidRPr="00C60A0B">
              <w:rPr>
                <w:rFonts w:ascii="Times New Roman" w:hAnsi="Times New Roman"/>
                <w:szCs w:val="26"/>
              </w:rPr>
              <w:t>)(</w:t>
            </w:r>
            <w:proofErr w:type="gramEnd"/>
            <w:r w:rsidRPr="00C60A0B">
              <w:rPr>
                <w:rFonts w:ascii="Times New Roman" w:hAnsi="Times New Roman"/>
                <w:szCs w:val="26"/>
              </w:rPr>
              <w:t>-2)</w:t>
            </w:r>
          </w:p>
        </w:tc>
        <w:tc>
          <w:tcPr>
            <w:tcW w:w="1239" w:type="dxa"/>
            <w:tcBorders>
              <w:top w:val="single" w:sz="4" w:space="0" w:color="auto"/>
              <w:left w:val="single" w:sz="4" w:space="0" w:color="auto"/>
              <w:bottom w:val="single" w:sz="4" w:space="0" w:color="auto"/>
              <w:right w:val="single" w:sz="4" w:space="0" w:color="auto"/>
            </w:tcBorders>
            <w:hideMark/>
          </w:tcPr>
          <w:p w14:paraId="7FE537F6"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3.211</w:t>
            </w:r>
          </w:p>
        </w:tc>
        <w:tc>
          <w:tcPr>
            <w:tcW w:w="1017" w:type="dxa"/>
            <w:tcBorders>
              <w:top w:val="single" w:sz="4" w:space="0" w:color="auto"/>
              <w:left w:val="single" w:sz="4" w:space="0" w:color="auto"/>
              <w:bottom w:val="single" w:sz="4" w:space="0" w:color="auto"/>
              <w:right w:val="single" w:sz="4" w:space="0" w:color="auto"/>
            </w:tcBorders>
            <w:hideMark/>
          </w:tcPr>
          <w:p w14:paraId="17A0CF82"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0.111</w:t>
            </w:r>
          </w:p>
        </w:tc>
        <w:tc>
          <w:tcPr>
            <w:tcW w:w="860" w:type="dxa"/>
            <w:tcBorders>
              <w:top w:val="single" w:sz="4" w:space="0" w:color="auto"/>
              <w:left w:val="single" w:sz="4" w:space="0" w:color="auto"/>
              <w:bottom w:val="single" w:sz="4" w:space="0" w:color="auto"/>
              <w:right w:val="single" w:sz="4" w:space="0" w:color="auto"/>
            </w:tcBorders>
            <w:hideMark/>
          </w:tcPr>
          <w:p w14:paraId="0F455A83"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0.004</w:t>
            </w:r>
          </w:p>
        </w:tc>
      </w:tr>
      <w:tr w:rsidR="008A78B1" w:rsidRPr="00C60A0B" w14:paraId="49255D5E" w14:textId="77777777" w:rsidTr="003666B8">
        <w:tc>
          <w:tcPr>
            <w:tcW w:w="1530" w:type="dxa"/>
            <w:tcBorders>
              <w:top w:val="single" w:sz="4" w:space="0" w:color="auto"/>
              <w:left w:val="single" w:sz="4" w:space="0" w:color="auto"/>
              <w:bottom w:val="single" w:sz="4" w:space="0" w:color="auto"/>
              <w:right w:val="single" w:sz="4" w:space="0" w:color="auto"/>
            </w:tcBorders>
            <w:hideMark/>
          </w:tcPr>
          <w:p w14:paraId="1B5471B3"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D(REER)</w:t>
            </w:r>
          </w:p>
        </w:tc>
        <w:tc>
          <w:tcPr>
            <w:tcW w:w="948" w:type="dxa"/>
            <w:tcBorders>
              <w:top w:val="single" w:sz="4" w:space="0" w:color="auto"/>
              <w:left w:val="single" w:sz="4" w:space="0" w:color="auto"/>
              <w:bottom w:val="single" w:sz="4" w:space="0" w:color="auto"/>
              <w:right w:val="single" w:sz="4" w:space="0" w:color="auto"/>
            </w:tcBorders>
            <w:hideMark/>
          </w:tcPr>
          <w:p w14:paraId="119AB0BA"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0.456</w:t>
            </w:r>
          </w:p>
        </w:tc>
        <w:tc>
          <w:tcPr>
            <w:tcW w:w="1017" w:type="dxa"/>
            <w:tcBorders>
              <w:top w:val="single" w:sz="4" w:space="0" w:color="auto"/>
              <w:left w:val="single" w:sz="4" w:space="0" w:color="auto"/>
              <w:bottom w:val="single" w:sz="4" w:space="0" w:color="auto"/>
              <w:right w:val="single" w:sz="4" w:space="0" w:color="auto"/>
            </w:tcBorders>
            <w:hideMark/>
          </w:tcPr>
          <w:p w14:paraId="767A9B18"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0.621</w:t>
            </w:r>
          </w:p>
        </w:tc>
        <w:tc>
          <w:tcPr>
            <w:tcW w:w="860" w:type="dxa"/>
            <w:tcBorders>
              <w:top w:val="single" w:sz="4" w:space="0" w:color="auto"/>
              <w:left w:val="single" w:sz="4" w:space="0" w:color="auto"/>
              <w:bottom w:val="single" w:sz="4" w:space="0" w:color="auto"/>
              <w:right w:val="single" w:sz="4" w:space="0" w:color="auto"/>
            </w:tcBorders>
            <w:hideMark/>
          </w:tcPr>
          <w:p w14:paraId="589CEB84"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0.071</w:t>
            </w:r>
          </w:p>
        </w:tc>
        <w:tc>
          <w:tcPr>
            <w:tcW w:w="1448" w:type="dxa"/>
            <w:tcBorders>
              <w:top w:val="single" w:sz="4" w:space="0" w:color="auto"/>
              <w:left w:val="single" w:sz="4" w:space="0" w:color="auto"/>
              <w:bottom w:val="single" w:sz="4" w:space="0" w:color="auto"/>
              <w:right w:val="single" w:sz="4" w:space="0" w:color="auto"/>
            </w:tcBorders>
          </w:tcPr>
          <w:p w14:paraId="17041447"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D(REER)</w:t>
            </w:r>
          </w:p>
        </w:tc>
        <w:tc>
          <w:tcPr>
            <w:tcW w:w="1239" w:type="dxa"/>
            <w:tcBorders>
              <w:top w:val="single" w:sz="4" w:space="0" w:color="auto"/>
              <w:left w:val="single" w:sz="4" w:space="0" w:color="auto"/>
              <w:bottom w:val="single" w:sz="4" w:space="0" w:color="auto"/>
              <w:right w:val="single" w:sz="4" w:space="0" w:color="auto"/>
            </w:tcBorders>
            <w:hideMark/>
          </w:tcPr>
          <w:p w14:paraId="128A9BCC"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0.144</w:t>
            </w:r>
          </w:p>
        </w:tc>
        <w:tc>
          <w:tcPr>
            <w:tcW w:w="1017" w:type="dxa"/>
            <w:tcBorders>
              <w:top w:val="single" w:sz="4" w:space="0" w:color="auto"/>
              <w:left w:val="single" w:sz="4" w:space="0" w:color="auto"/>
              <w:bottom w:val="single" w:sz="4" w:space="0" w:color="auto"/>
              <w:right w:val="single" w:sz="4" w:space="0" w:color="auto"/>
            </w:tcBorders>
            <w:hideMark/>
          </w:tcPr>
          <w:p w14:paraId="6A8796D5"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0.245</w:t>
            </w:r>
          </w:p>
        </w:tc>
        <w:tc>
          <w:tcPr>
            <w:tcW w:w="860" w:type="dxa"/>
            <w:tcBorders>
              <w:top w:val="single" w:sz="4" w:space="0" w:color="auto"/>
              <w:left w:val="single" w:sz="4" w:space="0" w:color="auto"/>
              <w:bottom w:val="single" w:sz="4" w:space="0" w:color="auto"/>
              <w:right w:val="single" w:sz="4" w:space="0" w:color="auto"/>
            </w:tcBorders>
            <w:hideMark/>
          </w:tcPr>
          <w:p w14:paraId="6EB24C48"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0.008</w:t>
            </w:r>
          </w:p>
        </w:tc>
      </w:tr>
      <w:tr w:rsidR="008A78B1" w:rsidRPr="00C60A0B" w14:paraId="0A70FC5A" w14:textId="77777777" w:rsidTr="003666B8">
        <w:tc>
          <w:tcPr>
            <w:tcW w:w="1530" w:type="dxa"/>
            <w:tcBorders>
              <w:top w:val="single" w:sz="4" w:space="0" w:color="auto"/>
              <w:left w:val="single" w:sz="4" w:space="0" w:color="auto"/>
              <w:bottom w:val="single" w:sz="4" w:space="0" w:color="auto"/>
              <w:right w:val="single" w:sz="4" w:space="0" w:color="auto"/>
            </w:tcBorders>
            <w:hideMark/>
          </w:tcPr>
          <w:p w14:paraId="397BB8B0"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D(REER</w:t>
            </w:r>
            <w:proofErr w:type="gramStart"/>
            <w:r w:rsidRPr="00C60A0B">
              <w:rPr>
                <w:rFonts w:ascii="Times New Roman" w:hAnsi="Times New Roman"/>
                <w:szCs w:val="26"/>
              </w:rPr>
              <w:t>)(</w:t>
            </w:r>
            <w:proofErr w:type="gramEnd"/>
            <w:r w:rsidRPr="00C60A0B">
              <w:rPr>
                <w:rFonts w:ascii="Times New Roman" w:hAnsi="Times New Roman"/>
                <w:szCs w:val="26"/>
              </w:rPr>
              <w:t>-1)</w:t>
            </w:r>
          </w:p>
        </w:tc>
        <w:tc>
          <w:tcPr>
            <w:tcW w:w="948" w:type="dxa"/>
            <w:tcBorders>
              <w:top w:val="single" w:sz="4" w:space="0" w:color="auto"/>
              <w:left w:val="single" w:sz="4" w:space="0" w:color="auto"/>
              <w:bottom w:val="single" w:sz="4" w:space="0" w:color="auto"/>
              <w:right w:val="single" w:sz="4" w:space="0" w:color="auto"/>
            </w:tcBorders>
            <w:hideMark/>
          </w:tcPr>
          <w:p w14:paraId="5A691419"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0.342</w:t>
            </w:r>
          </w:p>
        </w:tc>
        <w:tc>
          <w:tcPr>
            <w:tcW w:w="1017" w:type="dxa"/>
            <w:tcBorders>
              <w:top w:val="single" w:sz="4" w:space="0" w:color="auto"/>
              <w:left w:val="single" w:sz="4" w:space="0" w:color="auto"/>
              <w:bottom w:val="single" w:sz="4" w:space="0" w:color="auto"/>
              <w:right w:val="single" w:sz="4" w:space="0" w:color="auto"/>
            </w:tcBorders>
            <w:hideMark/>
          </w:tcPr>
          <w:p w14:paraId="0C34ECF6"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0.452</w:t>
            </w:r>
          </w:p>
        </w:tc>
        <w:tc>
          <w:tcPr>
            <w:tcW w:w="860" w:type="dxa"/>
            <w:tcBorders>
              <w:top w:val="single" w:sz="4" w:space="0" w:color="auto"/>
              <w:left w:val="single" w:sz="4" w:space="0" w:color="auto"/>
              <w:bottom w:val="single" w:sz="4" w:space="0" w:color="auto"/>
              <w:right w:val="single" w:sz="4" w:space="0" w:color="auto"/>
            </w:tcBorders>
            <w:hideMark/>
          </w:tcPr>
          <w:p w14:paraId="65733FBB"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0.142</w:t>
            </w:r>
          </w:p>
        </w:tc>
        <w:tc>
          <w:tcPr>
            <w:tcW w:w="1448" w:type="dxa"/>
            <w:tcBorders>
              <w:top w:val="single" w:sz="4" w:space="0" w:color="auto"/>
              <w:left w:val="single" w:sz="4" w:space="0" w:color="auto"/>
              <w:bottom w:val="single" w:sz="4" w:space="0" w:color="auto"/>
              <w:right w:val="single" w:sz="4" w:space="0" w:color="auto"/>
            </w:tcBorders>
          </w:tcPr>
          <w:p w14:paraId="1160C2C7"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D(REER</w:t>
            </w:r>
            <w:proofErr w:type="gramStart"/>
            <w:r w:rsidRPr="00C60A0B">
              <w:rPr>
                <w:rFonts w:ascii="Times New Roman" w:hAnsi="Times New Roman"/>
                <w:szCs w:val="26"/>
              </w:rPr>
              <w:t>)(</w:t>
            </w:r>
            <w:proofErr w:type="gramEnd"/>
            <w:r w:rsidRPr="00C60A0B">
              <w:rPr>
                <w:rFonts w:ascii="Times New Roman" w:hAnsi="Times New Roman"/>
                <w:szCs w:val="26"/>
              </w:rPr>
              <w:t>-1)</w:t>
            </w:r>
          </w:p>
        </w:tc>
        <w:tc>
          <w:tcPr>
            <w:tcW w:w="1239" w:type="dxa"/>
            <w:tcBorders>
              <w:top w:val="single" w:sz="4" w:space="0" w:color="auto"/>
              <w:left w:val="single" w:sz="4" w:space="0" w:color="auto"/>
              <w:bottom w:val="single" w:sz="4" w:space="0" w:color="auto"/>
              <w:right w:val="single" w:sz="4" w:space="0" w:color="auto"/>
            </w:tcBorders>
            <w:hideMark/>
          </w:tcPr>
          <w:p w14:paraId="481CF79A"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-0.923</w:t>
            </w:r>
          </w:p>
        </w:tc>
        <w:tc>
          <w:tcPr>
            <w:tcW w:w="1017" w:type="dxa"/>
            <w:tcBorders>
              <w:top w:val="single" w:sz="4" w:space="0" w:color="auto"/>
              <w:left w:val="single" w:sz="4" w:space="0" w:color="auto"/>
              <w:bottom w:val="single" w:sz="4" w:space="0" w:color="auto"/>
              <w:right w:val="single" w:sz="4" w:space="0" w:color="auto"/>
            </w:tcBorders>
            <w:hideMark/>
          </w:tcPr>
          <w:p w14:paraId="1A53A856"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0.131</w:t>
            </w:r>
          </w:p>
        </w:tc>
        <w:tc>
          <w:tcPr>
            <w:tcW w:w="860" w:type="dxa"/>
            <w:tcBorders>
              <w:top w:val="single" w:sz="4" w:space="0" w:color="auto"/>
              <w:left w:val="single" w:sz="4" w:space="0" w:color="auto"/>
              <w:bottom w:val="single" w:sz="4" w:space="0" w:color="auto"/>
              <w:right w:val="single" w:sz="4" w:space="0" w:color="auto"/>
            </w:tcBorders>
            <w:hideMark/>
          </w:tcPr>
          <w:p w14:paraId="166DB978"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0.512</w:t>
            </w:r>
          </w:p>
        </w:tc>
      </w:tr>
      <w:tr w:rsidR="008A78B1" w:rsidRPr="00C60A0B" w14:paraId="0D1D2B94" w14:textId="77777777" w:rsidTr="003666B8">
        <w:tc>
          <w:tcPr>
            <w:tcW w:w="1530" w:type="dxa"/>
            <w:tcBorders>
              <w:top w:val="single" w:sz="4" w:space="0" w:color="auto"/>
              <w:left w:val="single" w:sz="4" w:space="0" w:color="auto"/>
              <w:bottom w:val="single" w:sz="4" w:space="0" w:color="auto"/>
              <w:right w:val="single" w:sz="4" w:space="0" w:color="auto"/>
            </w:tcBorders>
            <w:hideMark/>
          </w:tcPr>
          <w:p w14:paraId="2B8DAE50"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D(REER</w:t>
            </w:r>
            <w:proofErr w:type="gramStart"/>
            <w:r w:rsidRPr="00C60A0B">
              <w:rPr>
                <w:rFonts w:ascii="Times New Roman" w:hAnsi="Times New Roman"/>
                <w:szCs w:val="26"/>
              </w:rPr>
              <w:t>)(</w:t>
            </w:r>
            <w:proofErr w:type="gramEnd"/>
            <w:r w:rsidRPr="00C60A0B">
              <w:rPr>
                <w:rFonts w:ascii="Times New Roman" w:hAnsi="Times New Roman"/>
                <w:szCs w:val="26"/>
              </w:rPr>
              <w:t>-2)</w:t>
            </w:r>
          </w:p>
        </w:tc>
        <w:tc>
          <w:tcPr>
            <w:tcW w:w="948" w:type="dxa"/>
            <w:tcBorders>
              <w:top w:val="single" w:sz="4" w:space="0" w:color="auto"/>
              <w:left w:val="single" w:sz="4" w:space="0" w:color="auto"/>
              <w:bottom w:val="single" w:sz="4" w:space="0" w:color="auto"/>
              <w:right w:val="single" w:sz="4" w:space="0" w:color="auto"/>
            </w:tcBorders>
            <w:hideMark/>
          </w:tcPr>
          <w:p w14:paraId="7564ED94"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-0.322</w:t>
            </w:r>
          </w:p>
        </w:tc>
        <w:tc>
          <w:tcPr>
            <w:tcW w:w="1017" w:type="dxa"/>
            <w:tcBorders>
              <w:top w:val="single" w:sz="4" w:space="0" w:color="auto"/>
              <w:left w:val="single" w:sz="4" w:space="0" w:color="auto"/>
              <w:bottom w:val="single" w:sz="4" w:space="0" w:color="auto"/>
              <w:right w:val="single" w:sz="4" w:space="0" w:color="auto"/>
            </w:tcBorders>
            <w:hideMark/>
          </w:tcPr>
          <w:p w14:paraId="3BFB41A6"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0.344</w:t>
            </w:r>
          </w:p>
        </w:tc>
        <w:tc>
          <w:tcPr>
            <w:tcW w:w="860" w:type="dxa"/>
            <w:tcBorders>
              <w:top w:val="single" w:sz="4" w:space="0" w:color="auto"/>
              <w:left w:val="single" w:sz="4" w:space="0" w:color="auto"/>
              <w:bottom w:val="single" w:sz="4" w:space="0" w:color="auto"/>
              <w:right w:val="single" w:sz="4" w:space="0" w:color="auto"/>
            </w:tcBorders>
            <w:hideMark/>
          </w:tcPr>
          <w:p w14:paraId="311252F3"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0.321</w:t>
            </w:r>
          </w:p>
        </w:tc>
        <w:tc>
          <w:tcPr>
            <w:tcW w:w="1448" w:type="dxa"/>
            <w:tcBorders>
              <w:top w:val="single" w:sz="4" w:space="0" w:color="auto"/>
              <w:left w:val="single" w:sz="4" w:space="0" w:color="auto"/>
              <w:bottom w:val="single" w:sz="4" w:space="0" w:color="auto"/>
              <w:right w:val="single" w:sz="4" w:space="0" w:color="auto"/>
            </w:tcBorders>
          </w:tcPr>
          <w:p w14:paraId="2704FF5B"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D(REER</w:t>
            </w:r>
            <w:proofErr w:type="gramStart"/>
            <w:r w:rsidRPr="00C60A0B">
              <w:rPr>
                <w:rFonts w:ascii="Times New Roman" w:hAnsi="Times New Roman"/>
                <w:szCs w:val="26"/>
              </w:rPr>
              <w:t>)(</w:t>
            </w:r>
            <w:proofErr w:type="gramEnd"/>
            <w:r w:rsidRPr="00C60A0B">
              <w:rPr>
                <w:rFonts w:ascii="Times New Roman" w:hAnsi="Times New Roman"/>
                <w:szCs w:val="26"/>
              </w:rPr>
              <w:t>-2)</w:t>
            </w:r>
          </w:p>
        </w:tc>
        <w:tc>
          <w:tcPr>
            <w:tcW w:w="1239" w:type="dxa"/>
            <w:tcBorders>
              <w:top w:val="single" w:sz="4" w:space="0" w:color="auto"/>
              <w:left w:val="single" w:sz="4" w:space="0" w:color="auto"/>
              <w:bottom w:val="single" w:sz="4" w:space="0" w:color="auto"/>
              <w:right w:val="single" w:sz="4" w:space="0" w:color="auto"/>
            </w:tcBorders>
            <w:hideMark/>
          </w:tcPr>
          <w:p w14:paraId="05C5200D"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-3.241</w:t>
            </w:r>
          </w:p>
        </w:tc>
        <w:tc>
          <w:tcPr>
            <w:tcW w:w="1017" w:type="dxa"/>
            <w:tcBorders>
              <w:top w:val="single" w:sz="4" w:space="0" w:color="auto"/>
              <w:left w:val="single" w:sz="4" w:space="0" w:color="auto"/>
              <w:bottom w:val="single" w:sz="4" w:space="0" w:color="auto"/>
              <w:right w:val="single" w:sz="4" w:space="0" w:color="auto"/>
            </w:tcBorders>
            <w:hideMark/>
          </w:tcPr>
          <w:p w14:paraId="766B4BF7"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0.321</w:t>
            </w:r>
          </w:p>
        </w:tc>
        <w:tc>
          <w:tcPr>
            <w:tcW w:w="860" w:type="dxa"/>
            <w:tcBorders>
              <w:top w:val="single" w:sz="4" w:space="0" w:color="auto"/>
              <w:left w:val="single" w:sz="4" w:space="0" w:color="auto"/>
              <w:bottom w:val="single" w:sz="4" w:space="0" w:color="auto"/>
              <w:right w:val="single" w:sz="4" w:space="0" w:color="auto"/>
            </w:tcBorders>
            <w:hideMark/>
          </w:tcPr>
          <w:p w14:paraId="0D4E3A3F"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0.614</w:t>
            </w:r>
          </w:p>
        </w:tc>
      </w:tr>
      <w:tr w:rsidR="008A78B1" w:rsidRPr="00C60A0B" w14:paraId="12C513A1" w14:textId="77777777" w:rsidTr="003666B8">
        <w:tc>
          <w:tcPr>
            <w:tcW w:w="1530" w:type="dxa"/>
            <w:tcBorders>
              <w:top w:val="single" w:sz="4" w:space="0" w:color="auto"/>
              <w:left w:val="single" w:sz="4" w:space="0" w:color="auto"/>
              <w:bottom w:val="single" w:sz="4" w:space="0" w:color="auto"/>
              <w:right w:val="single" w:sz="4" w:space="0" w:color="auto"/>
            </w:tcBorders>
            <w:hideMark/>
          </w:tcPr>
          <w:p w14:paraId="331D7215"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D(GFCF)</w:t>
            </w:r>
          </w:p>
        </w:tc>
        <w:tc>
          <w:tcPr>
            <w:tcW w:w="948" w:type="dxa"/>
            <w:tcBorders>
              <w:top w:val="single" w:sz="4" w:space="0" w:color="auto"/>
              <w:left w:val="single" w:sz="4" w:space="0" w:color="auto"/>
              <w:bottom w:val="single" w:sz="4" w:space="0" w:color="auto"/>
              <w:right w:val="single" w:sz="4" w:space="0" w:color="auto"/>
            </w:tcBorders>
            <w:hideMark/>
          </w:tcPr>
          <w:p w14:paraId="0BAE54A4"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0.231</w:t>
            </w:r>
          </w:p>
        </w:tc>
        <w:tc>
          <w:tcPr>
            <w:tcW w:w="1017" w:type="dxa"/>
            <w:tcBorders>
              <w:top w:val="single" w:sz="4" w:space="0" w:color="auto"/>
              <w:left w:val="single" w:sz="4" w:space="0" w:color="auto"/>
              <w:bottom w:val="single" w:sz="4" w:space="0" w:color="auto"/>
              <w:right w:val="single" w:sz="4" w:space="0" w:color="auto"/>
            </w:tcBorders>
            <w:hideMark/>
          </w:tcPr>
          <w:p w14:paraId="39F1D638"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0.622</w:t>
            </w:r>
          </w:p>
        </w:tc>
        <w:tc>
          <w:tcPr>
            <w:tcW w:w="860" w:type="dxa"/>
            <w:tcBorders>
              <w:top w:val="single" w:sz="4" w:space="0" w:color="auto"/>
              <w:left w:val="single" w:sz="4" w:space="0" w:color="auto"/>
              <w:bottom w:val="single" w:sz="4" w:space="0" w:color="auto"/>
              <w:right w:val="single" w:sz="4" w:space="0" w:color="auto"/>
            </w:tcBorders>
            <w:hideMark/>
          </w:tcPr>
          <w:p w14:paraId="0DB3F67E"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0.081</w:t>
            </w:r>
          </w:p>
        </w:tc>
        <w:tc>
          <w:tcPr>
            <w:tcW w:w="1448" w:type="dxa"/>
            <w:tcBorders>
              <w:top w:val="single" w:sz="4" w:space="0" w:color="auto"/>
              <w:left w:val="single" w:sz="4" w:space="0" w:color="auto"/>
              <w:bottom w:val="single" w:sz="4" w:space="0" w:color="auto"/>
              <w:right w:val="single" w:sz="4" w:space="0" w:color="auto"/>
            </w:tcBorders>
          </w:tcPr>
          <w:p w14:paraId="4C03F293"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D(GFCF)</w:t>
            </w:r>
          </w:p>
        </w:tc>
        <w:tc>
          <w:tcPr>
            <w:tcW w:w="1239" w:type="dxa"/>
            <w:tcBorders>
              <w:top w:val="single" w:sz="4" w:space="0" w:color="auto"/>
              <w:left w:val="single" w:sz="4" w:space="0" w:color="auto"/>
              <w:bottom w:val="single" w:sz="4" w:space="0" w:color="auto"/>
              <w:right w:val="single" w:sz="4" w:space="0" w:color="auto"/>
            </w:tcBorders>
            <w:hideMark/>
          </w:tcPr>
          <w:p w14:paraId="4E7DD116"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2.456</w:t>
            </w:r>
          </w:p>
        </w:tc>
        <w:tc>
          <w:tcPr>
            <w:tcW w:w="1017" w:type="dxa"/>
            <w:tcBorders>
              <w:top w:val="single" w:sz="4" w:space="0" w:color="auto"/>
              <w:left w:val="single" w:sz="4" w:space="0" w:color="auto"/>
              <w:bottom w:val="single" w:sz="4" w:space="0" w:color="auto"/>
              <w:right w:val="single" w:sz="4" w:space="0" w:color="auto"/>
            </w:tcBorders>
            <w:hideMark/>
          </w:tcPr>
          <w:p w14:paraId="4BCB111C"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0.624</w:t>
            </w:r>
          </w:p>
        </w:tc>
        <w:tc>
          <w:tcPr>
            <w:tcW w:w="860" w:type="dxa"/>
            <w:tcBorders>
              <w:top w:val="single" w:sz="4" w:space="0" w:color="auto"/>
              <w:left w:val="single" w:sz="4" w:space="0" w:color="auto"/>
              <w:bottom w:val="single" w:sz="4" w:space="0" w:color="auto"/>
              <w:right w:val="single" w:sz="4" w:space="0" w:color="auto"/>
            </w:tcBorders>
            <w:hideMark/>
          </w:tcPr>
          <w:p w14:paraId="485C2A06"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0.003</w:t>
            </w:r>
          </w:p>
        </w:tc>
      </w:tr>
      <w:tr w:rsidR="008A78B1" w:rsidRPr="00C60A0B" w14:paraId="733EFCD6" w14:textId="77777777" w:rsidTr="003666B8">
        <w:tc>
          <w:tcPr>
            <w:tcW w:w="1530" w:type="dxa"/>
            <w:tcBorders>
              <w:top w:val="single" w:sz="4" w:space="0" w:color="auto"/>
              <w:left w:val="single" w:sz="4" w:space="0" w:color="auto"/>
              <w:bottom w:val="single" w:sz="4" w:space="0" w:color="auto"/>
              <w:right w:val="single" w:sz="4" w:space="0" w:color="auto"/>
            </w:tcBorders>
            <w:hideMark/>
          </w:tcPr>
          <w:p w14:paraId="2D8ECD19"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D(GFCF</w:t>
            </w:r>
            <w:proofErr w:type="gramStart"/>
            <w:r w:rsidRPr="00C60A0B">
              <w:rPr>
                <w:rFonts w:ascii="Times New Roman" w:hAnsi="Times New Roman"/>
                <w:szCs w:val="26"/>
              </w:rPr>
              <w:t>)(</w:t>
            </w:r>
            <w:proofErr w:type="gramEnd"/>
            <w:r w:rsidRPr="00C60A0B">
              <w:rPr>
                <w:rFonts w:ascii="Times New Roman" w:hAnsi="Times New Roman"/>
                <w:szCs w:val="26"/>
              </w:rPr>
              <w:t>-1)</w:t>
            </w:r>
          </w:p>
        </w:tc>
        <w:tc>
          <w:tcPr>
            <w:tcW w:w="948" w:type="dxa"/>
            <w:tcBorders>
              <w:top w:val="single" w:sz="4" w:space="0" w:color="auto"/>
              <w:left w:val="single" w:sz="4" w:space="0" w:color="auto"/>
              <w:bottom w:val="single" w:sz="4" w:space="0" w:color="auto"/>
              <w:right w:val="single" w:sz="4" w:space="0" w:color="auto"/>
            </w:tcBorders>
            <w:hideMark/>
          </w:tcPr>
          <w:p w14:paraId="5A5F081B"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0.345</w:t>
            </w:r>
          </w:p>
        </w:tc>
        <w:tc>
          <w:tcPr>
            <w:tcW w:w="1017" w:type="dxa"/>
            <w:tcBorders>
              <w:top w:val="single" w:sz="4" w:space="0" w:color="auto"/>
              <w:left w:val="single" w:sz="4" w:space="0" w:color="auto"/>
              <w:bottom w:val="single" w:sz="4" w:space="0" w:color="auto"/>
              <w:right w:val="single" w:sz="4" w:space="0" w:color="auto"/>
            </w:tcBorders>
            <w:hideMark/>
          </w:tcPr>
          <w:p w14:paraId="0AC6CD5A"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0.714</w:t>
            </w:r>
          </w:p>
        </w:tc>
        <w:tc>
          <w:tcPr>
            <w:tcW w:w="860" w:type="dxa"/>
            <w:tcBorders>
              <w:top w:val="single" w:sz="4" w:space="0" w:color="auto"/>
              <w:left w:val="single" w:sz="4" w:space="0" w:color="auto"/>
              <w:bottom w:val="single" w:sz="4" w:space="0" w:color="auto"/>
              <w:right w:val="single" w:sz="4" w:space="0" w:color="auto"/>
            </w:tcBorders>
            <w:hideMark/>
          </w:tcPr>
          <w:p w14:paraId="07C0AB7F"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0.142</w:t>
            </w:r>
          </w:p>
        </w:tc>
        <w:tc>
          <w:tcPr>
            <w:tcW w:w="1448" w:type="dxa"/>
            <w:tcBorders>
              <w:top w:val="single" w:sz="4" w:space="0" w:color="auto"/>
              <w:left w:val="single" w:sz="4" w:space="0" w:color="auto"/>
              <w:bottom w:val="single" w:sz="4" w:space="0" w:color="auto"/>
              <w:right w:val="single" w:sz="4" w:space="0" w:color="auto"/>
            </w:tcBorders>
          </w:tcPr>
          <w:p w14:paraId="057FEAA7"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D(GFCF</w:t>
            </w:r>
            <w:proofErr w:type="gramStart"/>
            <w:r w:rsidRPr="00C60A0B">
              <w:rPr>
                <w:rFonts w:ascii="Times New Roman" w:hAnsi="Times New Roman"/>
                <w:szCs w:val="26"/>
              </w:rPr>
              <w:t>)(</w:t>
            </w:r>
            <w:proofErr w:type="gramEnd"/>
            <w:r w:rsidRPr="00C60A0B">
              <w:rPr>
                <w:rFonts w:ascii="Times New Roman" w:hAnsi="Times New Roman"/>
                <w:szCs w:val="26"/>
              </w:rPr>
              <w:t>-1)</w:t>
            </w:r>
          </w:p>
        </w:tc>
        <w:tc>
          <w:tcPr>
            <w:tcW w:w="1239" w:type="dxa"/>
            <w:tcBorders>
              <w:top w:val="single" w:sz="4" w:space="0" w:color="auto"/>
              <w:left w:val="single" w:sz="4" w:space="0" w:color="auto"/>
              <w:bottom w:val="single" w:sz="4" w:space="0" w:color="auto"/>
              <w:right w:val="single" w:sz="4" w:space="0" w:color="auto"/>
            </w:tcBorders>
            <w:hideMark/>
          </w:tcPr>
          <w:p w14:paraId="1759AF09"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9.414</w:t>
            </w:r>
          </w:p>
        </w:tc>
        <w:tc>
          <w:tcPr>
            <w:tcW w:w="1017" w:type="dxa"/>
            <w:tcBorders>
              <w:top w:val="single" w:sz="4" w:space="0" w:color="auto"/>
              <w:left w:val="single" w:sz="4" w:space="0" w:color="auto"/>
              <w:bottom w:val="single" w:sz="4" w:space="0" w:color="auto"/>
              <w:right w:val="single" w:sz="4" w:space="0" w:color="auto"/>
            </w:tcBorders>
            <w:hideMark/>
          </w:tcPr>
          <w:p w14:paraId="669C9FBE"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1.221</w:t>
            </w:r>
          </w:p>
        </w:tc>
        <w:tc>
          <w:tcPr>
            <w:tcW w:w="860" w:type="dxa"/>
            <w:tcBorders>
              <w:top w:val="single" w:sz="4" w:space="0" w:color="auto"/>
              <w:left w:val="single" w:sz="4" w:space="0" w:color="auto"/>
              <w:bottom w:val="single" w:sz="4" w:space="0" w:color="auto"/>
              <w:right w:val="single" w:sz="4" w:space="0" w:color="auto"/>
            </w:tcBorders>
            <w:hideMark/>
          </w:tcPr>
          <w:p w14:paraId="21A93410"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0.014</w:t>
            </w:r>
          </w:p>
        </w:tc>
      </w:tr>
      <w:tr w:rsidR="008A78B1" w:rsidRPr="00C60A0B" w14:paraId="5D6BFE53" w14:textId="77777777" w:rsidTr="003666B8">
        <w:tc>
          <w:tcPr>
            <w:tcW w:w="1530" w:type="dxa"/>
            <w:tcBorders>
              <w:top w:val="single" w:sz="4" w:space="0" w:color="auto"/>
              <w:left w:val="single" w:sz="4" w:space="0" w:color="auto"/>
              <w:bottom w:val="single" w:sz="4" w:space="0" w:color="auto"/>
              <w:right w:val="single" w:sz="4" w:space="0" w:color="auto"/>
            </w:tcBorders>
            <w:hideMark/>
          </w:tcPr>
          <w:p w14:paraId="52769254"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D(GFCF</w:t>
            </w:r>
            <w:proofErr w:type="gramStart"/>
            <w:r w:rsidRPr="00C60A0B">
              <w:rPr>
                <w:rFonts w:ascii="Times New Roman" w:hAnsi="Times New Roman"/>
                <w:szCs w:val="26"/>
              </w:rPr>
              <w:t>)(</w:t>
            </w:r>
            <w:proofErr w:type="gramEnd"/>
            <w:r w:rsidRPr="00C60A0B">
              <w:rPr>
                <w:rFonts w:ascii="Times New Roman" w:hAnsi="Times New Roman"/>
                <w:szCs w:val="26"/>
              </w:rPr>
              <w:t>-2)</w:t>
            </w:r>
          </w:p>
        </w:tc>
        <w:tc>
          <w:tcPr>
            <w:tcW w:w="948" w:type="dxa"/>
            <w:tcBorders>
              <w:top w:val="single" w:sz="4" w:space="0" w:color="auto"/>
              <w:left w:val="single" w:sz="4" w:space="0" w:color="auto"/>
              <w:bottom w:val="single" w:sz="4" w:space="0" w:color="auto"/>
              <w:right w:val="single" w:sz="4" w:space="0" w:color="auto"/>
            </w:tcBorders>
            <w:hideMark/>
          </w:tcPr>
          <w:p w14:paraId="29D892A2"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-1.314</w:t>
            </w:r>
          </w:p>
        </w:tc>
        <w:tc>
          <w:tcPr>
            <w:tcW w:w="1017" w:type="dxa"/>
            <w:tcBorders>
              <w:top w:val="single" w:sz="4" w:space="0" w:color="auto"/>
              <w:left w:val="single" w:sz="4" w:space="0" w:color="auto"/>
              <w:bottom w:val="single" w:sz="4" w:space="0" w:color="auto"/>
              <w:right w:val="single" w:sz="4" w:space="0" w:color="auto"/>
            </w:tcBorders>
            <w:hideMark/>
          </w:tcPr>
          <w:p w14:paraId="747E1CD3"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0.431</w:t>
            </w:r>
          </w:p>
        </w:tc>
        <w:tc>
          <w:tcPr>
            <w:tcW w:w="860" w:type="dxa"/>
            <w:tcBorders>
              <w:top w:val="single" w:sz="4" w:space="0" w:color="auto"/>
              <w:left w:val="single" w:sz="4" w:space="0" w:color="auto"/>
              <w:bottom w:val="single" w:sz="4" w:space="0" w:color="auto"/>
              <w:right w:val="single" w:sz="4" w:space="0" w:color="auto"/>
            </w:tcBorders>
            <w:hideMark/>
          </w:tcPr>
          <w:p w14:paraId="2524D1E6"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0.071</w:t>
            </w:r>
          </w:p>
        </w:tc>
        <w:tc>
          <w:tcPr>
            <w:tcW w:w="1448" w:type="dxa"/>
            <w:tcBorders>
              <w:top w:val="single" w:sz="4" w:space="0" w:color="auto"/>
              <w:left w:val="single" w:sz="4" w:space="0" w:color="auto"/>
              <w:bottom w:val="single" w:sz="4" w:space="0" w:color="auto"/>
              <w:right w:val="single" w:sz="4" w:space="0" w:color="auto"/>
            </w:tcBorders>
          </w:tcPr>
          <w:p w14:paraId="10953927"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D(GFCF</w:t>
            </w:r>
            <w:proofErr w:type="gramStart"/>
            <w:r w:rsidRPr="00C60A0B">
              <w:rPr>
                <w:rFonts w:ascii="Times New Roman" w:hAnsi="Times New Roman"/>
                <w:szCs w:val="26"/>
              </w:rPr>
              <w:t>)(</w:t>
            </w:r>
            <w:proofErr w:type="gramEnd"/>
            <w:r w:rsidRPr="00C60A0B">
              <w:rPr>
                <w:rFonts w:ascii="Times New Roman" w:hAnsi="Times New Roman"/>
                <w:szCs w:val="26"/>
              </w:rPr>
              <w:t>-2)</w:t>
            </w:r>
          </w:p>
        </w:tc>
        <w:tc>
          <w:tcPr>
            <w:tcW w:w="1239" w:type="dxa"/>
            <w:tcBorders>
              <w:top w:val="single" w:sz="4" w:space="0" w:color="auto"/>
              <w:left w:val="single" w:sz="4" w:space="0" w:color="auto"/>
              <w:bottom w:val="single" w:sz="4" w:space="0" w:color="auto"/>
              <w:right w:val="single" w:sz="4" w:space="0" w:color="auto"/>
            </w:tcBorders>
            <w:hideMark/>
          </w:tcPr>
          <w:p w14:paraId="47BE436A"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-0.334</w:t>
            </w:r>
          </w:p>
        </w:tc>
        <w:tc>
          <w:tcPr>
            <w:tcW w:w="1017" w:type="dxa"/>
            <w:tcBorders>
              <w:top w:val="single" w:sz="4" w:space="0" w:color="auto"/>
              <w:left w:val="single" w:sz="4" w:space="0" w:color="auto"/>
              <w:bottom w:val="single" w:sz="4" w:space="0" w:color="auto"/>
              <w:right w:val="single" w:sz="4" w:space="0" w:color="auto"/>
            </w:tcBorders>
            <w:hideMark/>
          </w:tcPr>
          <w:p w14:paraId="692D26D3"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0.156</w:t>
            </w:r>
          </w:p>
        </w:tc>
        <w:tc>
          <w:tcPr>
            <w:tcW w:w="860" w:type="dxa"/>
            <w:tcBorders>
              <w:top w:val="single" w:sz="4" w:space="0" w:color="auto"/>
              <w:left w:val="single" w:sz="4" w:space="0" w:color="auto"/>
              <w:bottom w:val="single" w:sz="4" w:space="0" w:color="auto"/>
              <w:right w:val="single" w:sz="4" w:space="0" w:color="auto"/>
            </w:tcBorders>
            <w:hideMark/>
          </w:tcPr>
          <w:p w14:paraId="04376D62"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0.143</w:t>
            </w:r>
          </w:p>
        </w:tc>
      </w:tr>
      <w:tr w:rsidR="008A78B1" w:rsidRPr="00C60A0B" w14:paraId="752240B3" w14:textId="77777777" w:rsidTr="003666B8">
        <w:tc>
          <w:tcPr>
            <w:tcW w:w="1530" w:type="dxa"/>
            <w:tcBorders>
              <w:top w:val="single" w:sz="4" w:space="0" w:color="auto"/>
              <w:left w:val="single" w:sz="4" w:space="0" w:color="auto"/>
              <w:bottom w:val="single" w:sz="4" w:space="0" w:color="auto"/>
              <w:right w:val="single" w:sz="4" w:space="0" w:color="auto"/>
            </w:tcBorders>
            <w:hideMark/>
          </w:tcPr>
          <w:p w14:paraId="13089910"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D(MS)</w:t>
            </w:r>
          </w:p>
        </w:tc>
        <w:tc>
          <w:tcPr>
            <w:tcW w:w="948" w:type="dxa"/>
            <w:tcBorders>
              <w:top w:val="single" w:sz="4" w:space="0" w:color="auto"/>
              <w:left w:val="single" w:sz="4" w:space="0" w:color="auto"/>
              <w:bottom w:val="single" w:sz="4" w:space="0" w:color="auto"/>
              <w:right w:val="single" w:sz="4" w:space="0" w:color="auto"/>
            </w:tcBorders>
            <w:hideMark/>
          </w:tcPr>
          <w:p w14:paraId="4BE4A54C"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-0.145</w:t>
            </w:r>
          </w:p>
        </w:tc>
        <w:tc>
          <w:tcPr>
            <w:tcW w:w="1017" w:type="dxa"/>
            <w:tcBorders>
              <w:top w:val="single" w:sz="4" w:space="0" w:color="auto"/>
              <w:left w:val="single" w:sz="4" w:space="0" w:color="auto"/>
              <w:bottom w:val="single" w:sz="4" w:space="0" w:color="auto"/>
              <w:right w:val="single" w:sz="4" w:space="0" w:color="auto"/>
            </w:tcBorders>
            <w:hideMark/>
          </w:tcPr>
          <w:p w14:paraId="1DA62E14"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0.533</w:t>
            </w:r>
          </w:p>
        </w:tc>
        <w:tc>
          <w:tcPr>
            <w:tcW w:w="860" w:type="dxa"/>
            <w:tcBorders>
              <w:top w:val="single" w:sz="4" w:space="0" w:color="auto"/>
              <w:left w:val="single" w:sz="4" w:space="0" w:color="auto"/>
              <w:bottom w:val="single" w:sz="4" w:space="0" w:color="auto"/>
              <w:right w:val="single" w:sz="4" w:space="0" w:color="auto"/>
            </w:tcBorders>
            <w:hideMark/>
          </w:tcPr>
          <w:p w14:paraId="0B426419"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0.132</w:t>
            </w:r>
          </w:p>
        </w:tc>
        <w:tc>
          <w:tcPr>
            <w:tcW w:w="1448" w:type="dxa"/>
            <w:tcBorders>
              <w:top w:val="single" w:sz="4" w:space="0" w:color="auto"/>
              <w:left w:val="single" w:sz="4" w:space="0" w:color="auto"/>
              <w:bottom w:val="single" w:sz="4" w:space="0" w:color="auto"/>
              <w:right w:val="single" w:sz="4" w:space="0" w:color="auto"/>
            </w:tcBorders>
          </w:tcPr>
          <w:p w14:paraId="0D06DAB8"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D(MS)</w:t>
            </w:r>
          </w:p>
        </w:tc>
        <w:tc>
          <w:tcPr>
            <w:tcW w:w="1239" w:type="dxa"/>
            <w:tcBorders>
              <w:top w:val="single" w:sz="4" w:space="0" w:color="auto"/>
              <w:left w:val="single" w:sz="4" w:space="0" w:color="auto"/>
              <w:bottom w:val="single" w:sz="4" w:space="0" w:color="auto"/>
              <w:right w:val="single" w:sz="4" w:space="0" w:color="auto"/>
            </w:tcBorders>
            <w:hideMark/>
          </w:tcPr>
          <w:p w14:paraId="5B016AD5"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0.062</w:t>
            </w:r>
          </w:p>
        </w:tc>
        <w:tc>
          <w:tcPr>
            <w:tcW w:w="1017" w:type="dxa"/>
            <w:tcBorders>
              <w:top w:val="single" w:sz="4" w:space="0" w:color="auto"/>
              <w:left w:val="single" w:sz="4" w:space="0" w:color="auto"/>
              <w:bottom w:val="single" w:sz="4" w:space="0" w:color="auto"/>
              <w:right w:val="single" w:sz="4" w:space="0" w:color="auto"/>
            </w:tcBorders>
            <w:hideMark/>
          </w:tcPr>
          <w:p w14:paraId="606C4ABD"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0.167</w:t>
            </w:r>
          </w:p>
        </w:tc>
        <w:tc>
          <w:tcPr>
            <w:tcW w:w="860" w:type="dxa"/>
            <w:tcBorders>
              <w:top w:val="single" w:sz="4" w:space="0" w:color="auto"/>
              <w:left w:val="single" w:sz="4" w:space="0" w:color="auto"/>
              <w:bottom w:val="single" w:sz="4" w:space="0" w:color="auto"/>
              <w:right w:val="single" w:sz="4" w:space="0" w:color="auto"/>
            </w:tcBorders>
            <w:hideMark/>
          </w:tcPr>
          <w:p w14:paraId="357C1AF0"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0.062</w:t>
            </w:r>
          </w:p>
        </w:tc>
      </w:tr>
      <w:tr w:rsidR="008A78B1" w:rsidRPr="00C60A0B" w14:paraId="60A9E105" w14:textId="77777777" w:rsidTr="003666B8">
        <w:tc>
          <w:tcPr>
            <w:tcW w:w="1530" w:type="dxa"/>
            <w:tcBorders>
              <w:top w:val="single" w:sz="4" w:space="0" w:color="auto"/>
              <w:left w:val="single" w:sz="4" w:space="0" w:color="auto"/>
              <w:bottom w:val="single" w:sz="4" w:space="0" w:color="auto"/>
              <w:right w:val="single" w:sz="4" w:space="0" w:color="auto"/>
            </w:tcBorders>
            <w:hideMark/>
          </w:tcPr>
          <w:p w14:paraId="3E191939"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D(MS</w:t>
            </w:r>
            <w:proofErr w:type="gramStart"/>
            <w:r w:rsidRPr="00C60A0B">
              <w:rPr>
                <w:rFonts w:ascii="Times New Roman" w:hAnsi="Times New Roman"/>
                <w:szCs w:val="26"/>
              </w:rPr>
              <w:t>)(</w:t>
            </w:r>
            <w:proofErr w:type="gramEnd"/>
            <w:r w:rsidRPr="00C60A0B">
              <w:rPr>
                <w:rFonts w:ascii="Times New Roman" w:hAnsi="Times New Roman"/>
                <w:szCs w:val="26"/>
              </w:rPr>
              <w:t>-1)</w:t>
            </w:r>
          </w:p>
        </w:tc>
        <w:tc>
          <w:tcPr>
            <w:tcW w:w="948" w:type="dxa"/>
            <w:tcBorders>
              <w:top w:val="single" w:sz="4" w:space="0" w:color="auto"/>
              <w:left w:val="single" w:sz="4" w:space="0" w:color="auto"/>
              <w:bottom w:val="single" w:sz="4" w:space="0" w:color="auto"/>
              <w:right w:val="single" w:sz="4" w:space="0" w:color="auto"/>
            </w:tcBorders>
            <w:hideMark/>
          </w:tcPr>
          <w:p w14:paraId="63E985D5"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-0.322</w:t>
            </w:r>
          </w:p>
        </w:tc>
        <w:tc>
          <w:tcPr>
            <w:tcW w:w="1017" w:type="dxa"/>
            <w:tcBorders>
              <w:top w:val="single" w:sz="4" w:space="0" w:color="auto"/>
              <w:left w:val="single" w:sz="4" w:space="0" w:color="auto"/>
              <w:bottom w:val="single" w:sz="4" w:space="0" w:color="auto"/>
              <w:right w:val="single" w:sz="4" w:space="0" w:color="auto"/>
            </w:tcBorders>
            <w:hideMark/>
          </w:tcPr>
          <w:p w14:paraId="10C02C53"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0.345</w:t>
            </w:r>
          </w:p>
        </w:tc>
        <w:tc>
          <w:tcPr>
            <w:tcW w:w="860" w:type="dxa"/>
            <w:tcBorders>
              <w:top w:val="single" w:sz="4" w:space="0" w:color="auto"/>
              <w:left w:val="single" w:sz="4" w:space="0" w:color="auto"/>
              <w:bottom w:val="single" w:sz="4" w:space="0" w:color="auto"/>
              <w:right w:val="single" w:sz="4" w:space="0" w:color="auto"/>
            </w:tcBorders>
            <w:hideMark/>
          </w:tcPr>
          <w:p w14:paraId="37712DDE"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0.031</w:t>
            </w:r>
          </w:p>
        </w:tc>
        <w:tc>
          <w:tcPr>
            <w:tcW w:w="1448" w:type="dxa"/>
            <w:tcBorders>
              <w:top w:val="single" w:sz="4" w:space="0" w:color="auto"/>
              <w:left w:val="single" w:sz="4" w:space="0" w:color="auto"/>
              <w:bottom w:val="single" w:sz="4" w:space="0" w:color="auto"/>
              <w:right w:val="single" w:sz="4" w:space="0" w:color="auto"/>
            </w:tcBorders>
          </w:tcPr>
          <w:p w14:paraId="0BF95C97"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D(MS</w:t>
            </w:r>
            <w:proofErr w:type="gramStart"/>
            <w:r w:rsidRPr="00C60A0B">
              <w:rPr>
                <w:rFonts w:ascii="Times New Roman" w:hAnsi="Times New Roman"/>
                <w:szCs w:val="26"/>
              </w:rPr>
              <w:t>)(</w:t>
            </w:r>
            <w:proofErr w:type="gramEnd"/>
            <w:r w:rsidRPr="00C60A0B">
              <w:rPr>
                <w:rFonts w:ascii="Times New Roman" w:hAnsi="Times New Roman"/>
                <w:szCs w:val="26"/>
              </w:rPr>
              <w:t>-1)</w:t>
            </w:r>
          </w:p>
        </w:tc>
        <w:tc>
          <w:tcPr>
            <w:tcW w:w="1239" w:type="dxa"/>
            <w:tcBorders>
              <w:top w:val="single" w:sz="4" w:space="0" w:color="auto"/>
              <w:left w:val="single" w:sz="4" w:space="0" w:color="auto"/>
              <w:bottom w:val="single" w:sz="4" w:space="0" w:color="auto"/>
              <w:right w:val="single" w:sz="4" w:space="0" w:color="auto"/>
            </w:tcBorders>
            <w:hideMark/>
          </w:tcPr>
          <w:p w14:paraId="7861D682"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0.094</w:t>
            </w:r>
          </w:p>
        </w:tc>
        <w:tc>
          <w:tcPr>
            <w:tcW w:w="1017" w:type="dxa"/>
            <w:tcBorders>
              <w:top w:val="single" w:sz="4" w:space="0" w:color="auto"/>
              <w:left w:val="single" w:sz="4" w:space="0" w:color="auto"/>
              <w:bottom w:val="single" w:sz="4" w:space="0" w:color="auto"/>
              <w:right w:val="single" w:sz="4" w:space="0" w:color="auto"/>
            </w:tcBorders>
            <w:hideMark/>
          </w:tcPr>
          <w:p w14:paraId="5C6F2845"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0.214</w:t>
            </w:r>
          </w:p>
        </w:tc>
        <w:tc>
          <w:tcPr>
            <w:tcW w:w="860" w:type="dxa"/>
            <w:tcBorders>
              <w:top w:val="single" w:sz="4" w:space="0" w:color="auto"/>
              <w:left w:val="single" w:sz="4" w:space="0" w:color="auto"/>
              <w:bottom w:val="single" w:sz="4" w:space="0" w:color="auto"/>
              <w:right w:val="single" w:sz="4" w:space="0" w:color="auto"/>
            </w:tcBorders>
            <w:hideMark/>
          </w:tcPr>
          <w:p w14:paraId="2F68C066"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0.214</w:t>
            </w:r>
          </w:p>
        </w:tc>
      </w:tr>
      <w:tr w:rsidR="008A78B1" w:rsidRPr="00C60A0B" w14:paraId="27ECFE8E" w14:textId="77777777" w:rsidTr="003666B8">
        <w:tc>
          <w:tcPr>
            <w:tcW w:w="1530" w:type="dxa"/>
            <w:tcBorders>
              <w:top w:val="single" w:sz="4" w:space="0" w:color="auto"/>
              <w:left w:val="single" w:sz="4" w:space="0" w:color="auto"/>
              <w:bottom w:val="single" w:sz="4" w:space="0" w:color="auto"/>
              <w:right w:val="single" w:sz="4" w:space="0" w:color="auto"/>
            </w:tcBorders>
            <w:hideMark/>
          </w:tcPr>
          <w:p w14:paraId="702A6018"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D(MS</w:t>
            </w:r>
            <w:proofErr w:type="gramStart"/>
            <w:r w:rsidRPr="00C60A0B">
              <w:rPr>
                <w:rFonts w:ascii="Times New Roman" w:hAnsi="Times New Roman"/>
                <w:szCs w:val="26"/>
              </w:rPr>
              <w:t>)(</w:t>
            </w:r>
            <w:proofErr w:type="gramEnd"/>
            <w:r w:rsidRPr="00C60A0B">
              <w:rPr>
                <w:rFonts w:ascii="Times New Roman" w:hAnsi="Times New Roman"/>
                <w:szCs w:val="26"/>
              </w:rPr>
              <w:t>-2)</w:t>
            </w:r>
          </w:p>
        </w:tc>
        <w:tc>
          <w:tcPr>
            <w:tcW w:w="948" w:type="dxa"/>
            <w:tcBorders>
              <w:top w:val="single" w:sz="4" w:space="0" w:color="auto"/>
              <w:left w:val="single" w:sz="4" w:space="0" w:color="auto"/>
              <w:bottom w:val="single" w:sz="4" w:space="0" w:color="auto"/>
              <w:right w:val="single" w:sz="4" w:space="0" w:color="auto"/>
            </w:tcBorders>
            <w:hideMark/>
          </w:tcPr>
          <w:p w14:paraId="24B56C69"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2.143</w:t>
            </w:r>
          </w:p>
        </w:tc>
        <w:tc>
          <w:tcPr>
            <w:tcW w:w="1017" w:type="dxa"/>
            <w:tcBorders>
              <w:top w:val="single" w:sz="4" w:space="0" w:color="auto"/>
              <w:left w:val="single" w:sz="4" w:space="0" w:color="auto"/>
              <w:bottom w:val="single" w:sz="4" w:space="0" w:color="auto"/>
              <w:right w:val="single" w:sz="4" w:space="0" w:color="auto"/>
            </w:tcBorders>
            <w:hideMark/>
          </w:tcPr>
          <w:p w14:paraId="5F0CBD01"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0.621</w:t>
            </w:r>
          </w:p>
        </w:tc>
        <w:tc>
          <w:tcPr>
            <w:tcW w:w="860" w:type="dxa"/>
            <w:tcBorders>
              <w:top w:val="single" w:sz="4" w:space="0" w:color="auto"/>
              <w:left w:val="single" w:sz="4" w:space="0" w:color="auto"/>
              <w:bottom w:val="single" w:sz="4" w:space="0" w:color="auto"/>
              <w:right w:val="single" w:sz="4" w:space="0" w:color="auto"/>
            </w:tcBorders>
            <w:hideMark/>
          </w:tcPr>
          <w:p w14:paraId="06BBA66F"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0.056</w:t>
            </w:r>
          </w:p>
        </w:tc>
        <w:tc>
          <w:tcPr>
            <w:tcW w:w="1448" w:type="dxa"/>
            <w:tcBorders>
              <w:top w:val="single" w:sz="4" w:space="0" w:color="auto"/>
              <w:left w:val="single" w:sz="4" w:space="0" w:color="auto"/>
              <w:bottom w:val="single" w:sz="4" w:space="0" w:color="auto"/>
              <w:right w:val="single" w:sz="4" w:space="0" w:color="auto"/>
            </w:tcBorders>
          </w:tcPr>
          <w:p w14:paraId="67ECA658"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D(MS</w:t>
            </w:r>
            <w:proofErr w:type="gramStart"/>
            <w:r w:rsidRPr="00C60A0B">
              <w:rPr>
                <w:rFonts w:ascii="Times New Roman" w:hAnsi="Times New Roman"/>
                <w:szCs w:val="26"/>
              </w:rPr>
              <w:t>)(</w:t>
            </w:r>
            <w:proofErr w:type="gramEnd"/>
            <w:r w:rsidRPr="00C60A0B">
              <w:rPr>
                <w:rFonts w:ascii="Times New Roman" w:hAnsi="Times New Roman"/>
                <w:szCs w:val="26"/>
              </w:rPr>
              <w:t>-2)</w:t>
            </w:r>
          </w:p>
        </w:tc>
        <w:tc>
          <w:tcPr>
            <w:tcW w:w="1239" w:type="dxa"/>
            <w:tcBorders>
              <w:top w:val="single" w:sz="4" w:space="0" w:color="auto"/>
              <w:left w:val="single" w:sz="4" w:space="0" w:color="auto"/>
              <w:bottom w:val="single" w:sz="4" w:space="0" w:color="auto"/>
              <w:right w:val="single" w:sz="4" w:space="0" w:color="auto"/>
            </w:tcBorders>
            <w:hideMark/>
          </w:tcPr>
          <w:p w14:paraId="7CB67CBE"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-0.037</w:t>
            </w:r>
          </w:p>
        </w:tc>
        <w:tc>
          <w:tcPr>
            <w:tcW w:w="1017" w:type="dxa"/>
            <w:tcBorders>
              <w:top w:val="single" w:sz="4" w:space="0" w:color="auto"/>
              <w:left w:val="single" w:sz="4" w:space="0" w:color="auto"/>
              <w:bottom w:val="single" w:sz="4" w:space="0" w:color="auto"/>
              <w:right w:val="single" w:sz="4" w:space="0" w:color="auto"/>
            </w:tcBorders>
            <w:hideMark/>
          </w:tcPr>
          <w:p w14:paraId="7FDC921C"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0.142</w:t>
            </w:r>
          </w:p>
        </w:tc>
        <w:tc>
          <w:tcPr>
            <w:tcW w:w="860" w:type="dxa"/>
            <w:tcBorders>
              <w:top w:val="single" w:sz="4" w:space="0" w:color="auto"/>
              <w:left w:val="single" w:sz="4" w:space="0" w:color="auto"/>
              <w:bottom w:val="single" w:sz="4" w:space="0" w:color="auto"/>
              <w:right w:val="single" w:sz="4" w:space="0" w:color="auto"/>
            </w:tcBorders>
            <w:hideMark/>
          </w:tcPr>
          <w:p w14:paraId="4BDE3D93"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0.312</w:t>
            </w:r>
          </w:p>
        </w:tc>
      </w:tr>
      <w:tr w:rsidR="008A78B1" w:rsidRPr="00C60A0B" w14:paraId="6C70F4AC" w14:textId="77777777" w:rsidTr="003666B8">
        <w:tc>
          <w:tcPr>
            <w:tcW w:w="1530" w:type="dxa"/>
            <w:tcBorders>
              <w:top w:val="single" w:sz="4" w:space="0" w:color="auto"/>
              <w:left w:val="single" w:sz="4" w:space="0" w:color="auto"/>
              <w:bottom w:val="single" w:sz="4" w:space="0" w:color="auto"/>
              <w:right w:val="single" w:sz="4" w:space="0" w:color="auto"/>
            </w:tcBorders>
            <w:hideMark/>
          </w:tcPr>
          <w:p w14:paraId="49EE525F"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D(RIR)</w:t>
            </w:r>
          </w:p>
        </w:tc>
        <w:tc>
          <w:tcPr>
            <w:tcW w:w="948" w:type="dxa"/>
            <w:tcBorders>
              <w:top w:val="single" w:sz="4" w:space="0" w:color="auto"/>
              <w:left w:val="single" w:sz="4" w:space="0" w:color="auto"/>
              <w:bottom w:val="single" w:sz="4" w:space="0" w:color="auto"/>
              <w:right w:val="single" w:sz="4" w:space="0" w:color="auto"/>
            </w:tcBorders>
            <w:hideMark/>
          </w:tcPr>
          <w:p w14:paraId="56DAD69C"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1.631</w:t>
            </w:r>
          </w:p>
        </w:tc>
        <w:tc>
          <w:tcPr>
            <w:tcW w:w="1017" w:type="dxa"/>
            <w:tcBorders>
              <w:top w:val="single" w:sz="4" w:space="0" w:color="auto"/>
              <w:left w:val="single" w:sz="4" w:space="0" w:color="auto"/>
              <w:bottom w:val="single" w:sz="4" w:space="0" w:color="auto"/>
              <w:right w:val="single" w:sz="4" w:space="0" w:color="auto"/>
            </w:tcBorders>
            <w:hideMark/>
          </w:tcPr>
          <w:p w14:paraId="2467FF2E"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0.453</w:t>
            </w:r>
          </w:p>
        </w:tc>
        <w:tc>
          <w:tcPr>
            <w:tcW w:w="860" w:type="dxa"/>
            <w:tcBorders>
              <w:top w:val="single" w:sz="4" w:space="0" w:color="auto"/>
              <w:left w:val="single" w:sz="4" w:space="0" w:color="auto"/>
              <w:bottom w:val="single" w:sz="4" w:space="0" w:color="auto"/>
              <w:right w:val="single" w:sz="4" w:space="0" w:color="auto"/>
            </w:tcBorders>
            <w:hideMark/>
          </w:tcPr>
          <w:p w14:paraId="44B55FC0"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0.116</w:t>
            </w:r>
          </w:p>
        </w:tc>
        <w:tc>
          <w:tcPr>
            <w:tcW w:w="1448" w:type="dxa"/>
            <w:tcBorders>
              <w:top w:val="single" w:sz="4" w:space="0" w:color="auto"/>
              <w:left w:val="single" w:sz="4" w:space="0" w:color="auto"/>
              <w:bottom w:val="single" w:sz="4" w:space="0" w:color="auto"/>
              <w:right w:val="single" w:sz="4" w:space="0" w:color="auto"/>
            </w:tcBorders>
          </w:tcPr>
          <w:p w14:paraId="7D2732FF"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D(RIR)</w:t>
            </w:r>
          </w:p>
        </w:tc>
        <w:tc>
          <w:tcPr>
            <w:tcW w:w="1239" w:type="dxa"/>
            <w:tcBorders>
              <w:top w:val="single" w:sz="4" w:space="0" w:color="auto"/>
              <w:left w:val="single" w:sz="4" w:space="0" w:color="auto"/>
              <w:bottom w:val="single" w:sz="4" w:space="0" w:color="auto"/>
              <w:right w:val="single" w:sz="4" w:space="0" w:color="auto"/>
            </w:tcBorders>
            <w:hideMark/>
          </w:tcPr>
          <w:p w14:paraId="63DC5034"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-0.017</w:t>
            </w:r>
          </w:p>
        </w:tc>
        <w:tc>
          <w:tcPr>
            <w:tcW w:w="1017" w:type="dxa"/>
            <w:tcBorders>
              <w:top w:val="single" w:sz="4" w:space="0" w:color="auto"/>
              <w:left w:val="single" w:sz="4" w:space="0" w:color="auto"/>
              <w:bottom w:val="single" w:sz="4" w:space="0" w:color="auto"/>
              <w:right w:val="single" w:sz="4" w:space="0" w:color="auto"/>
            </w:tcBorders>
            <w:hideMark/>
          </w:tcPr>
          <w:p w14:paraId="15FDC691"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0.034</w:t>
            </w:r>
          </w:p>
        </w:tc>
        <w:tc>
          <w:tcPr>
            <w:tcW w:w="860" w:type="dxa"/>
            <w:tcBorders>
              <w:top w:val="single" w:sz="4" w:space="0" w:color="auto"/>
              <w:left w:val="single" w:sz="4" w:space="0" w:color="auto"/>
              <w:bottom w:val="single" w:sz="4" w:space="0" w:color="auto"/>
              <w:right w:val="single" w:sz="4" w:space="0" w:color="auto"/>
            </w:tcBorders>
            <w:hideMark/>
          </w:tcPr>
          <w:p w14:paraId="43B75CD3"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0.062</w:t>
            </w:r>
          </w:p>
        </w:tc>
      </w:tr>
      <w:tr w:rsidR="008A78B1" w:rsidRPr="00C60A0B" w14:paraId="3E66A233" w14:textId="77777777" w:rsidTr="003666B8">
        <w:tc>
          <w:tcPr>
            <w:tcW w:w="1530" w:type="dxa"/>
            <w:tcBorders>
              <w:top w:val="single" w:sz="4" w:space="0" w:color="auto"/>
              <w:left w:val="single" w:sz="4" w:space="0" w:color="auto"/>
              <w:bottom w:val="single" w:sz="4" w:space="0" w:color="auto"/>
              <w:right w:val="single" w:sz="4" w:space="0" w:color="auto"/>
            </w:tcBorders>
            <w:hideMark/>
          </w:tcPr>
          <w:p w14:paraId="44676B83" w14:textId="77777777" w:rsidR="008A78B1" w:rsidRPr="00C60A0B" w:rsidRDefault="008A78B1" w:rsidP="003666B8">
            <w:pPr>
              <w:spacing w:after="40" w:line="240" w:lineRule="auto"/>
              <w:jc w:val="both"/>
              <w:rPr>
                <w:rFonts w:ascii="Times New Roman" w:hAnsi="Times New Roman"/>
                <w:szCs w:val="26"/>
              </w:rPr>
            </w:pPr>
            <w:proofErr w:type="gramStart"/>
            <w:r w:rsidRPr="00C60A0B">
              <w:rPr>
                <w:rFonts w:ascii="Times New Roman" w:hAnsi="Times New Roman"/>
                <w:szCs w:val="26"/>
              </w:rPr>
              <w:t>ECT(</w:t>
            </w:r>
            <w:proofErr w:type="gramEnd"/>
            <w:r w:rsidRPr="00C60A0B">
              <w:rPr>
                <w:rFonts w:ascii="Times New Roman" w:hAnsi="Times New Roman"/>
                <w:szCs w:val="26"/>
              </w:rPr>
              <w:t>-1)</w:t>
            </w:r>
          </w:p>
        </w:tc>
        <w:tc>
          <w:tcPr>
            <w:tcW w:w="948" w:type="dxa"/>
            <w:tcBorders>
              <w:top w:val="single" w:sz="4" w:space="0" w:color="auto"/>
              <w:left w:val="single" w:sz="4" w:space="0" w:color="auto"/>
              <w:bottom w:val="single" w:sz="4" w:space="0" w:color="auto"/>
              <w:right w:val="single" w:sz="4" w:space="0" w:color="auto"/>
            </w:tcBorders>
            <w:hideMark/>
          </w:tcPr>
          <w:p w14:paraId="4E945256"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0.045</w:t>
            </w:r>
          </w:p>
        </w:tc>
        <w:tc>
          <w:tcPr>
            <w:tcW w:w="1017" w:type="dxa"/>
            <w:tcBorders>
              <w:top w:val="single" w:sz="4" w:space="0" w:color="auto"/>
              <w:left w:val="single" w:sz="4" w:space="0" w:color="auto"/>
              <w:bottom w:val="single" w:sz="4" w:space="0" w:color="auto"/>
              <w:right w:val="single" w:sz="4" w:space="0" w:color="auto"/>
            </w:tcBorders>
            <w:hideMark/>
          </w:tcPr>
          <w:p w14:paraId="2B278D9A"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0.622</w:t>
            </w:r>
          </w:p>
        </w:tc>
        <w:tc>
          <w:tcPr>
            <w:tcW w:w="860" w:type="dxa"/>
            <w:tcBorders>
              <w:top w:val="single" w:sz="4" w:space="0" w:color="auto"/>
              <w:left w:val="single" w:sz="4" w:space="0" w:color="auto"/>
              <w:bottom w:val="single" w:sz="4" w:space="0" w:color="auto"/>
              <w:right w:val="single" w:sz="4" w:space="0" w:color="auto"/>
            </w:tcBorders>
            <w:hideMark/>
          </w:tcPr>
          <w:p w14:paraId="2770170D"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0.071</w:t>
            </w:r>
          </w:p>
        </w:tc>
        <w:tc>
          <w:tcPr>
            <w:tcW w:w="1448" w:type="dxa"/>
            <w:tcBorders>
              <w:top w:val="single" w:sz="4" w:space="0" w:color="auto"/>
              <w:left w:val="single" w:sz="4" w:space="0" w:color="auto"/>
              <w:bottom w:val="single" w:sz="4" w:space="0" w:color="auto"/>
              <w:right w:val="single" w:sz="4" w:space="0" w:color="auto"/>
            </w:tcBorders>
          </w:tcPr>
          <w:p w14:paraId="123119DA" w14:textId="77777777" w:rsidR="008A78B1" w:rsidRPr="00C60A0B" w:rsidRDefault="008A78B1" w:rsidP="003666B8">
            <w:pPr>
              <w:spacing w:after="40" w:line="240" w:lineRule="auto"/>
              <w:jc w:val="both"/>
              <w:rPr>
                <w:rFonts w:ascii="Times New Roman" w:hAnsi="Times New Roman"/>
                <w:szCs w:val="26"/>
              </w:rPr>
            </w:pPr>
            <w:proofErr w:type="gramStart"/>
            <w:r w:rsidRPr="00C60A0B">
              <w:rPr>
                <w:rFonts w:ascii="Times New Roman" w:hAnsi="Times New Roman"/>
                <w:szCs w:val="26"/>
              </w:rPr>
              <w:t>ECT(</w:t>
            </w:r>
            <w:proofErr w:type="gramEnd"/>
            <w:r w:rsidRPr="00C60A0B">
              <w:rPr>
                <w:rFonts w:ascii="Times New Roman" w:hAnsi="Times New Roman"/>
                <w:szCs w:val="26"/>
              </w:rPr>
              <w:t>-1)</w:t>
            </w:r>
          </w:p>
        </w:tc>
        <w:tc>
          <w:tcPr>
            <w:tcW w:w="1239" w:type="dxa"/>
            <w:tcBorders>
              <w:top w:val="single" w:sz="4" w:space="0" w:color="auto"/>
              <w:left w:val="single" w:sz="4" w:space="0" w:color="auto"/>
              <w:bottom w:val="single" w:sz="4" w:space="0" w:color="auto"/>
              <w:right w:val="single" w:sz="4" w:space="0" w:color="auto"/>
            </w:tcBorders>
            <w:hideMark/>
          </w:tcPr>
          <w:p w14:paraId="00B988A8"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-0.714</w:t>
            </w:r>
          </w:p>
        </w:tc>
        <w:tc>
          <w:tcPr>
            <w:tcW w:w="1017" w:type="dxa"/>
            <w:tcBorders>
              <w:top w:val="single" w:sz="4" w:space="0" w:color="auto"/>
              <w:left w:val="single" w:sz="4" w:space="0" w:color="auto"/>
              <w:bottom w:val="single" w:sz="4" w:space="0" w:color="auto"/>
              <w:right w:val="single" w:sz="4" w:space="0" w:color="auto"/>
            </w:tcBorders>
            <w:hideMark/>
          </w:tcPr>
          <w:p w14:paraId="68BC3AF1"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0.331</w:t>
            </w:r>
          </w:p>
        </w:tc>
        <w:tc>
          <w:tcPr>
            <w:tcW w:w="860" w:type="dxa"/>
            <w:tcBorders>
              <w:top w:val="single" w:sz="4" w:space="0" w:color="auto"/>
              <w:left w:val="single" w:sz="4" w:space="0" w:color="auto"/>
              <w:bottom w:val="single" w:sz="4" w:space="0" w:color="auto"/>
              <w:right w:val="single" w:sz="4" w:space="0" w:color="auto"/>
            </w:tcBorders>
            <w:hideMark/>
          </w:tcPr>
          <w:p w14:paraId="182E2C4F" w14:textId="77777777"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0.114</w:t>
            </w:r>
          </w:p>
        </w:tc>
      </w:tr>
    </w:tbl>
    <w:p w14:paraId="02694DA8" w14:textId="77777777" w:rsidR="008A78B1" w:rsidRDefault="008A78B1" w:rsidP="008A78B1">
      <w:pPr>
        <w:jc w:val="both"/>
        <w:rPr>
          <w:rFonts w:ascii="Times New Roman" w:hAnsi="Times New Roman"/>
          <w:sz w:val="24"/>
          <w:szCs w:val="26"/>
        </w:rPr>
      </w:pPr>
      <w:r w:rsidRPr="00F85C7A">
        <w:rPr>
          <w:rFonts w:ascii="Times New Roman" w:hAnsi="Times New Roman"/>
          <w:b/>
          <w:sz w:val="24"/>
          <w:szCs w:val="26"/>
        </w:rPr>
        <w:t xml:space="preserve">Source: </w:t>
      </w:r>
      <w:r w:rsidRPr="00F85C7A">
        <w:rPr>
          <w:rFonts w:ascii="Times New Roman" w:hAnsi="Times New Roman"/>
          <w:sz w:val="24"/>
          <w:szCs w:val="26"/>
        </w:rPr>
        <w:t>Author’s computation using Starter 13.0 software</w:t>
      </w:r>
    </w:p>
    <w:p w14:paraId="1CD4D251" w14:textId="36F99D7B" w:rsidR="00BE0CCD" w:rsidRDefault="00BE0CCD" w:rsidP="00E20786">
      <w:pPr>
        <w:spacing w:after="0" w:line="360" w:lineRule="auto"/>
        <w:ind w:firstLine="720"/>
        <w:jc w:val="both"/>
        <w:rPr>
          <w:rFonts w:ascii="Times New Roman" w:hAnsi="Times New Roman"/>
          <w:sz w:val="24"/>
          <w:szCs w:val="26"/>
        </w:rPr>
      </w:pPr>
      <w:r>
        <w:rPr>
          <w:rFonts w:ascii="Times New Roman" w:hAnsi="Times New Roman"/>
          <w:sz w:val="24"/>
          <w:szCs w:val="26"/>
        </w:rPr>
        <w:t>Table 4</w:t>
      </w:r>
      <w:r w:rsidRPr="00F85C7A">
        <w:rPr>
          <w:rFonts w:ascii="Times New Roman" w:hAnsi="Times New Roman"/>
          <w:sz w:val="24"/>
          <w:szCs w:val="26"/>
        </w:rPr>
        <w:t xml:space="preserve"> indicates the results of short-run non-linear ARDL. The result revealed </w:t>
      </w:r>
      <w:proofErr w:type="gramStart"/>
      <w:r w:rsidRPr="00F85C7A">
        <w:rPr>
          <w:rFonts w:ascii="Times New Roman" w:hAnsi="Times New Roman"/>
          <w:sz w:val="24"/>
          <w:szCs w:val="26"/>
        </w:rPr>
        <w:t>that  an</w:t>
      </w:r>
      <w:proofErr w:type="gramEnd"/>
      <w:r w:rsidRPr="00F85C7A">
        <w:rPr>
          <w:rFonts w:ascii="Times New Roman" w:hAnsi="Times New Roman"/>
          <w:sz w:val="24"/>
          <w:szCs w:val="26"/>
        </w:rPr>
        <w:t xml:space="preserve"> increase in fiscal deficit has negative and significant impact on real output growth</w:t>
      </w:r>
      <w:r>
        <w:rPr>
          <w:rFonts w:ascii="Times New Roman" w:hAnsi="Times New Roman"/>
          <w:sz w:val="24"/>
          <w:szCs w:val="26"/>
        </w:rPr>
        <w:t xml:space="preserve"> rate</w:t>
      </w:r>
      <w:r w:rsidRPr="00F85C7A">
        <w:rPr>
          <w:rFonts w:ascii="Times New Roman" w:hAnsi="Times New Roman"/>
          <w:sz w:val="24"/>
          <w:szCs w:val="26"/>
        </w:rPr>
        <w:t xml:space="preserve"> in Sub-Saharan Africa countries at 5% significance level in the short-run and that 1% increase in fiscal deficit leads to 0.46%, decrease in economic growth. This is an indication that fiscal deficit exerted negative and significant influence on real output growth and after global financial crisis. Examining the effect of fiscal deficit on other key macroeconomic variables in the model, fiscal deficit exerted positive and insignificant influence on some key macroeconomic variables before global financial crisis but exerted negative and significant effect on the key macroeconomic variables after global financial crisis. The table shows that the error correction modes that measure the speed of short run shock are well defined as th</w:t>
      </w:r>
      <w:r w:rsidR="00E20786">
        <w:rPr>
          <w:rFonts w:ascii="Times New Roman" w:hAnsi="Times New Roman"/>
          <w:sz w:val="24"/>
          <w:szCs w:val="26"/>
        </w:rPr>
        <w:t>ey are negative and significant.</w:t>
      </w:r>
    </w:p>
    <w:p w14:paraId="2B952E51" w14:textId="77777777" w:rsidR="00BE0CCD" w:rsidRDefault="00BE0CCD" w:rsidP="00E20786">
      <w:pPr>
        <w:spacing w:after="0" w:line="360" w:lineRule="auto"/>
        <w:jc w:val="both"/>
        <w:rPr>
          <w:rFonts w:ascii="Times New Roman" w:hAnsi="Times New Roman"/>
          <w:b/>
          <w:sz w:val="24"/>
          <w:szCs w:val="26"/>
        </w:rPr>
      </w:pPr>
      <w:r>
        <w:rPr>
          <w:rFonts w:ascii="Times New Roman" w:hAnsi="Times New Roman"/>
          <w:sz w:val="24"/>
          <w:szCs w:val="26"/>
        </w:rPr>
        <w:t xml:space="preserve">4.5 </w:t>
      </w:r>
      <w:r w:rsidRPr="00427E60">
        <w:rPr>
          <w:rFonts w:ascii="Times New Roman" w:hAnsi="Times New Roman"/>
          <w:b/>
          <w:sz w:val="24"/>
          <w:szCs w:val="26"/>
        </w:rPr>
        <w:t xml:space="preserve">Discussion of the Findings </w:t>
      </w:r>
    </w:p>
    <w:p w14:paraId="151EAF72" w14:textId="315544DE" w:rsidR="00BE0CCD" w:rsidRPr="008641DB" w:rsidRDefault="00BE0CCD" w:rsidP="00E20786">
      <w:pPr>
        <w:spacing w:after="0" w:line="360" w:lineRule="auto"/>
        <w:ind w:firstLine="720"/>
        <w:jc w:val="both"/>
        <w:rPr>
          <w:rFonts w:ascii="Times New Roman" w:hAnsi="Times New Roman"/>
          <w:sz w:val="24"/>
          <w:szCs w:val="26"/>
        </w:rPr>
      </w:pPr>
      <w:r w:rsidRPr="00F85C7A">
        <w:rPr>
          <w:rFonts w:ascii="Times New Roman" w:hAnsi="Times New Roman"/>
          <w:sz w:val="24"/>
          <w:szCs w:val="26"/>
        </w:rPr>
        <w:t>The first step that requir</w:t>
      </w:r>
      <w:r>
        <w:rPr>
          <w:rFonts w:ascii="Times New Roman" w:hAnsi="Times New Roman"/>
          <w:sz w:val="24"/>
          <w:szCs w:val="26"/>
        </w:rPr>
        <w:t>ed in this</w:t>
      </w:r>
      <w:r w:rsidRPr="00F85C7A">
        <w:rPr>
          <w:rFonts w:ascii="Times New Roman" w:hAnsi="Times New Roman"/>
          <w:sz w:val="24"/>
          <w:szCs w:val="26"/>
        </w:rPr>
        <w:t xml:space="preserve"> is to check for the stationarity properties of the panel data by means of unit root tests. In this regard, the study employed homogeneous panel unit root tests. That is, (Levin, Lin &amp; Chu (LLC) and </w:t>
      </w:r>
      <w:proofErr w:type="spellStart"/>
      <w:r w:rsidRPr="00F85C7A">
        <w:rPr>
          <w:rFonts w:ascii="Times New Roman" w:hAnsi="Times New Roman"/>
          <w:sz w:val="24"/>
          <w:szCs w:val="26"/>
        </w:rPr>
        <w:t>Bre</w:t>
      </w:r>
      <w:r w:rsidR="00D033B7">
        <w:rPr>
          <w:rFonts w:ascii="Times New Roman" w:hAnsi="Times New Roman"/>
          <w:sz w:val="24"/>
          <w:szCs w:val="26"/>
        </w:rPr>
        <w:t>itung</w:t>
      </w:r>
      <w:proofErr w:type="spellEnd"/>
      <w:r w:rsidR="00D033B7">
        <w:rPr>
          <w:rFonts w:ascii="Times New Roman" w:hAnsi="Times New Roman"/>
          <w:sz w:val="24"/>
          <w:szCs w:val="26"/>
        </w:rPr>
        <w:t xml:space="preserve"> tests) </w:t>
      </w:r>
      <w:r w:rsidRPr="00F85C7A">
        <w:rPr>
          <w:rFonts w:ascii="Times New Roman" w:hAnsi="Times New Roman"/>
          <w:sz w:val="24"/>
          <w:szCs w:val="26"/>
        </w:rPr>
        <w:t xml:space="preserve">(IM, </w:t>
      </w:r>
      <w:proofErr w:type="spellStart"/>
      <w:r w:rsidRPr="00F85C7A">
        <w:rPr>
          <w:rFonts w:ascii="Times New Roman" w:hAnsi="Times New Roman"/>
          <w:sz w:val="24"/>
          <w:szCs w:val="26"/>
        </w:rPr>
        <w:t>Pesaran</w:t>
      </w:r>
      <w:proofErr w:type="spellEnd"/>
      <w:r w:rsidRPr="00F85C7A">
        <w:rPr>
          <w:rFonts w:ascii="Times New Roman" w:hAnsi="Times New Roman"/>
          <w:sz w:val="24"/>
          <w:szCs w:val="26"/>
        </w:rPr>
        <w:t xml:space="preserve"> and Shin (IPS), and Augmented – dickey fuller test.</w:t>
      </w:r>
      <w:r>
        <w:rPr>
          <w:rFonts w:ascii="Times New Roman" w:hAnsi="Times New Roman"/>
          <w:sz w:val="24"/>
          <w:szCs w:val="26"/>
        </w:rPr>
        <w:t xml:space="preserve"> on table</w:t>
      </w:r>
      <w:r w:rsidRPr="00F85C7A">
        <w:rPr>
          <w:rFonts w:ascii="Times New Roman" w:hAnsi="Times New Roman"/>
          <w:sz w:val="24"/>
          <w:szCs w:val="26"/>
        </w:rPr>
        <w:t xml:space="preserve"> </w:t>
      </w:r>
      <w:r>
        <w:rPr>
          <w:rFonts w:ascii="Times New Roman" w:hAnsi="Times New Roman"/>
          <w:sz w:val="24"/>
          <w:szCs w:val="26"/>
        </w:rPr>
        <w:t xml:space="preserve">1. The result of the </w:t>
      </w:r>
      <w:r w:rsidRPr="00F85C7A">
        <w:rPr>
          <w:rFonts w:ascii="Times New Roman" w:hAnsi="Times New Roman"/>
          <w:sz w:val="24"/>
          <w:szCs w:val="26"/>
        </w:rPr>
        <w:t>panel unit root tests</w:t>
      </w:r>
      <w:r>
        <w:rPr>
          <w:rFonts w:ascii="Times New Roman" w:hAnsi="Times New Roman"/>
          <w:sz w:val="24"/>
          <w:szCs w:val="26"/>
        </w:rPr>
        <w:t xml:space="preserve"> revealed that </w:t>
      </w:r>
      <w:r w:rsidRPr="00F85C7A">
        <w:rPr>
          <w:rFonts w:ascii="Times New Roman" w:hAnsi="Times New Roman"/>
          <w:sz w:val="24"/>
          <w:szCs w:val="26"/>
        </w:rPr>
        <w:t>the variables of interest are integrated of difference orders 1(1) and 1(0). Since non</w:t>
      </w:r>
      <w:r>
        <w:rPr>
          <w:rFonts w:ascii="Times New Roman" w:hAnsi="Times New Roman"/>
          <w:sz w:val="24"/>
          <w:szCs w:val="26"/>
        </w:rPr>
        <w:t>e</w:t>
      </w:r>
      <w:r w:rsidRPr="00F85C7A">
        <w:rPr>
          <w:rFonts w:ascii="Times New Roman" w:hAnsi="Times New Roman"/>
          <w:sz w:val="24"/>
          <w:szCs w:val="26"/>
        </w:rPr>
        <w:t xml:space="preserve"> of the </w:t>
      </w:r>
      <w:r w:rsidRPr="00F85C7A">
        <w:rPr>
          <w:rFonts w:ascii="Times New Roman" w:hAnsi="Times New Roman"/>
          <w:sz w:val="24"/>
          <w:szCs w:val="26"/>
        </w:rPr>
        <w:lastRenderedPageBreak/>
        <w:t xml:space="preserve">variables of interest was 1(2), </w:t>
      </w:r>
      <w:r>
        <w:rPr>
          <w:rFonts w:ascii="Times New Roman" w:hAnsi="Times New Roman"/>
          <w:sz w:val="24"/>
          <w:szCs w:val="26"/>
        </w:rPr>
        <w:t>we can now proceed to test for a</w:t>
      </w:r>
      <w:r w:rsidRPr="00F85C7A">
        <w:rPr>
          <w:rFonts w:ascii="Times New Roman" w:hAnsi="Times New Roman"/>
          <w:sz w:val="24"/>
          <w:szCs w:val="26"/>
        </w:rPr>
        <w:t>symmetric ARDL both for short and long-run.</w:t>
      </w:r>
    </w:p>
    <w:p w14:paraId="553D6FF8" w14:textId="77777777" w:rsidR="00BE0CCD" w:rsidRPr="00BE0CCD" w:rsidRDefault="00BE0CCD" w:rsidP="00E20786">
      <w:pPr>
        <w:spacing w:line="360" w:lineRule="auto"/>
        <w:ind w:firstLine="720"/>
        <w:jc w:val="both"/>
        <w:rPr>
          <w:rFonts w:ascii="Times New Roman" w:hAnsi="Times New Roman"/>
          <w:sz w:val="24"/>
          <w:szCs w:val="26"/>
        </w:rPr>
      </w:pPr>
      <w:r w:rsidRPr="000721D1">
        <w:rPr>
          <w:rFonts w:ascii="Times New Roman" w:hAnsi="Times New Roman"/>
          <w:sz w:val="24"/>
          <w:szCs w:val="26"/>
        </w:rPr>
        <w:t xml:space="preserve">To establish the asymmetric effect of fiscal deficit on macroeconomic variables, the study divided the scope of the study into </w:t>
      </w:r>
      <w:proofErr w:type="gramStart"/>
      <w:r w:rsidRPr="000721D1">
        <w:rPr>
          <w:rFonts w:ascii="Times New Roman" w:hAnsi="Times New Roman"/>
          <w:sz w:val="24"/>
          <w:szCs w:val="26"/>
        </w:rPr>
        <w:t xml:space="preserve">two, </w:t>
      </w:r>
      <w:r>
        <w:rPr>
          <w:rFonts w:ascii="Times New Roman" w:hAnsi="Times New Roman"/>
          <w:sz w:val="24"/>
          <w:szCs w:val="26"/>
        </w:rPr>
        <w:t xml:space="preserve"> </w:t>
      </w:r>
      <w:r w:rsidRPr="000721D1">
        <w:rPr>
          <w:rFonts w:ascii="Times New Roman" w:hAnsi="Times New Roman"/>
          <w:sz w:val="24"/>
          <w:szCs w:val="26"/>
        </w:rPr>
        <w:t>that</w:t>
      </w:r>
      <w:proofErr w:type="gramEnd"/>
      <w:r w:rsidRPr="000721D1">
        <w:rPr>
          <w:rFonts w:ascii="Times New Roman" w:hAnsi="Times New Roman"/>
          <w:sz w:val="24"/>
          <w:szCs w:val="26"/>
        </w:rPr>
        <w:t xml:space="preserve"> is, before and after global financial crisis. Before the global financial crisis, fiscal deficit exerted positive but insignificant effect on the key macroeconomic variables selected (real output growth, interest rate inflation and exchange rate). This finding is in tandem with the findings of Barro (1991) Barro and Marti</w:t>
      </w:r>
      <w:r>
        <w:rPr>
          <w:rFonts w:ascii="Times New Roman" w:hAnsi="Times New Roman"/>
          <w:sz w:val="24"/>
          <w:szCs w:val="26"/>
        </w:rPr>
        <w:t>n (1992),</w:t>
      </w:r>
      <w:r w:rsidRPr="00717856">
        <w:rPr>
          <w:rFonts w:ascii="Times New Roman" w:hAnsi="Times New Roman" w:cs="Times New Roman"/>
          <w:sz w:val="24"/>
          <w:szCs w:val="24"/>
        </w:rPr>
        <w:t xml:space="preserve"> </w:t>
      </w:r>
      <w:r>
        <w:rPr>
          <w:rFonts w:ascii="Times New Roman" w:hAnsi="Times New Roman" w:cs="Times New Roman"/>
          <w:sz w:val="24"/>
          <w:szCs w:val="24"/>
        </w:rPr>
        <w:t>Hakan and Burak (2003)</w:t>
      </w:r>
      <w:proofErr w:type="gramStart"/>
      <w:r>
        <w:rPr>
          <w:rFonts w:ascii="Times New Roman" w:hAnsi="Times New Roman" w:cs="Times New Roman"/>
          <w:sz w:val="24"/>
          <w:szCs w:val="24"/>
        </w:rPr>
        <w:t>,</w:t>
      </w:r>
      <w:r w:rsidRPr="00C92F2F">
        <w:rPr>
          <w:rFonts w:ascii="Times New Roman" w:hAnsi="Times New Roman" w:cs="Times New Roman"/>
          <w:sz w:val="24"/>
          <w:szCs w:val="24"/>
        </w:rPr>
        <w:t>.</w:t>
      </w:r>
      <w:r>
        <w:rPr>
          <w:rFonts w:ascii="Times New Roman" w:hAnsi="Times New Roman"/>
          <w:sz w:val="24"/>
          <w:szCs w:val="26"/>
        </w:rPr>
        <w:t>Y</w:t>
      </w:r>
      <w:r w:rsidRPr="000721D1">
        <w:rPr>
          <w:rFonts w:ascii="Times New Roman" w:hAnsi="Times New Roman"/>
          <w:sz w:val="24"/>
          <w:szCs w:val="26"/>
        </w:rPr>
        <w:t>ung</w:t>
      </w:r>
      <w:proofErr w:type="gramEnd"/>
      <w:r w:rsidRPr="000721D1">
        <w:rPr>
          <w:rFonts w:ascii="Times New Roman" w:hAnsi="Times New Roman"/>
          <w:sz w:val="24"/>
          <w:szCs w:val="26"/>
        </w:rPr>
        <w:t xml:space="preserve"> (2018) in a related study that established positive but insignificant effect of fiscal deficit on macroeconomic variables in some selected developing countries. </w:t>
      </w:r>
      <w:r>
        <w:rPr>
          <w:rFonts w:ascii="Times New Roman" w:hAnsi="Times New Roman"/>
          <w:sz w:val="24"/>
          <w:szCs w:val="26"/>
        </w:rPr>
        <w:t xml:space="preserve"> </w:t>
      </w:r>
      <w:r w:rsidRPr="000721D1">
        <w:rPr>
          <w:rFonts w:ascii="Times New Roman" w:hAnsi="Times New Roman"/>
          <w:sz w:val="24"/>
          <w:szCs w:val="26"/>
        </w:rPr>
        <w:t>This however says that the eff</w:t>
      </w:r>
      <w:r>
        <w:rPr>
          <w:rFonts w:ascii="Times New Roman" w:hAnsi="Times New Roman"/>
          <w:sz w:val="24"/>
          <w:szCs w:val="26"/>
        </w:rPr>
        <w:t>ect of fiscal deficit on macro-</w:t>
      </w:r>
      <w:r w:rsidRPr="000721D1">
        <w:rPr>
          <w:rFonts w:ascii="Times New Roman" w:hAnsi="Times New Roman"/>
          <w:sz w:val="24"/>
          <w:szCs w:val="26"/>
        </w:rPr>
        <w:t xml:space="preserve">economic variables in sub-Saharan Africa countries before the global financial was asymmetric. Furthermore, the effect of fiscal deficit on the selected key macroeconomic variables produced negative and significant effect on the key macroeconomic variables after the global financial crisis. This finding in conformity with the findings of Fatima </w:t>
      </w:r>
      <w:r>
        <w:rPr>
          <w:rFonts w:ascii="Times New Roman" w:hAnsi="Times New Roman"/>
          <w:sz w:val="24"/>
          <w:szCs w:val="26"/>
        </w:rPr>
        <w:t xml:space="preserve">et al (2011) and </w:t>
      </w:r>
      <w:proofErr w:type="spellStart"/>
      <w:r w:rsidRPr="00C92F2F">
        <w:rPr>
          <w:rFonts w:ascii="Times New Roman" w:hAnsi="Times New Roman" w:cs="Times New Roman"/>
          <w:sz w:val="24"/>
          <w:szCs w:val="24"/>
        </w:rPr>
        <w:t>Aboloyinjo</w:t>
      </w:r>
      <w:proofErr w:type="spellEnd"/>
      <w:r w:rsidRPr="00C92F2F">
        <w:rPr>
          <w:rFonts w:ascii="Times New Roman" w:hAnsi="Times New Roman" w:cs="Times New Roman"/>
          <w:sz w:val="24"/>
          <w:szCs w:val="24"/>
        </w:rPr>
        <w:t xml:space="preserve"> and Mathew (2016</w:t>
      </w:r>
      <w:proofErr w:type="gramStart"/>
      <w:r w:rsidRPr="00C92F2F">
        <w:rPr>
          <w:rFonts w:ascii="Times New Roman" w:hAnsi="Times New Roman" w:cs="Times New Roman"/>
          <w:sz w:val="24"/>
          <w:szCs w:val="24"/>
        </w:rPr>
        <w:t>)</w:t>
      </w:r>
      <w:r w:rsidRPr="000721D1">
        <w:rPr>
          <w:rFonts w:ascii="Times New Roman" w:hAnsi="Times New Roman"/>
          <w:sz w:val="24"/>
          <w:szCs w:val="26"/>
        </w:rPr>
        <w:t>,</w:t>
      </w:r>
      <w:r w:rsidR="00C86DF8">
        <w:rPr>
          <w:rFonts w:ascii="Times New Roman" w:hAnsi="Times New Roman"/>
          <w:sz w:val="24"/>
          <w:szCs w:val="26"/>
        </w:rPr>
        <w:t xml:space="preserve">  </w:t>
      </w:r>
      <w:r w:rsidRPr="000721D1">
        <w:rPr>
          <w:rFonts w:ascii="Times New Roman" w:hAnsi="Times New Roman"/>
          <w:sz w:val="24"/>
          <w:szCs w:val="26"/>
        </w:rPr>
        <w:t>that</w:t>
      </w:r>
      <w:proofErr w:type="gramEnd"/>
      <w:r w:rsidRPr="000721D1">
        <w:rPr>
          <w:rFonts w:ascii="Times New Roman" w:hAnsi="Times New Roman"/>
          <w:sz w:val="24"/>
          <w:szCs w:val="26"/>
        </w:rPr>
        <w:t xml:space="preserve"> established symmetric effect of fiscal deficit on key macroeconomic variables in Africa countries. </w:t>
      </w:r>
    </w:p>
    <w:p w14:paraId="30FD68D8" w14:textId="77777777" w:rsidR="002476A2" w:rsidRPr="00F32350" w:rsidRDefault="002476A2" w:rsidP="00E20786">
      <w:pPr>
        <w:spacing w:after="0" w:line="360" w:lineRule="auto"/>
        <w:jc w:val="both"/>
        <w:rPr>
          <w:rFonts w:ascii="Times New Roman" w:hAnsi="Times New Roman"/>
          <w:sz w:val="24"/>
          <w:szCs w:val="26"/>
        </w:rPr>
      </w:pPr>
      <w:r w:rsidRPr="00C50DCB">
        <w:rPr>
          <w:rFonts w:ascii="Times New Roman" w:hAnsi="Times New Roman"/>
          <w:b/>
          <w:sz w:val="24"/>
          <w:szCs w:val="24"/>
        </w:rPr>
        <w:t>5.0</w:t>
      </w:r>
      <w:r>
        <w:rPr>
          <w:rFonts w:ascii="Times New Roman" w:hAnsi="Times New Roman"/>
          <w:sz w:val="24"/>
          <w:szCs w:val="24"/>
        </w:rPr>
        <w:t xml:space="preserve"> </w:t>
      </w:r>
      <w:r w:rsidRPr="000721D1">
        <w:rPr>
          <w:rFonts w:ascii="Times New Roman" w:hAnsi="Times New Roman"/>
          <w:b/>
          <w:bCs/>
          <w:sz w:val="24"/>
          <w:szCs w:val="26"/>
        </w:rPr>
        <w:t>CONCLUSION</w:t>
      </w:r>
      <w:r>
        <w:rPr>
          <w:rFonts w:ascii="Times New Roman" w:hAnsi="Times New Roman"/>
          <w:b/>
          <w:bCs/>
          <w:sz w:val="24"/>
          <w:szCs w:val="26"/>
        </w:rPr>
        <w:t xml:space="preserve"> AND </w:t>
      </w:r>
      <w:r w:rsidRPr="000721D1">
        <w:rPr>
          <w:rFonts w:ascii="Times New Roman" w:hAnsi="Times New Roman"/>
          <w:b/>
          <w:bCs/>
          <w:sz w:val="24"/>
          <w:szCs w:val="26"/>
        </w:rPr>
        <w:t>RECOMMENDATIONS</w:t>
      </w:r>
    </w:p>
    <w:p w14:paraId="04ABE197" w14:textId="77777777" w:rsidR="002476A2" w:rsidRPr="000721D1" w:rsidRDefault="002476A2" w:rsidP="00E20786">
      <w:pPr>
        <w:spacing w:after="0" w:line="360" w:lineRule="auto"/>
        <w:ind w:firstLine="720"/>
        <w:jc w:val="both"/>
        <w:rPr>
          <w:rFonts w:ascii="Times New Roman" w:hAnsi="Times New Roman"/>
          <w:sz w:val="24"/>
          <w:szCs w:val="26"/>
        </w:rPr>
      </w:pPr>
      <w:r w:rsidRPr="000721D1">
        <w:rPr>
          <w:rFonts w:ascii="Times New Roman" w:hAnsi="Times New Roman"/>
          <w:sz w:val="24"/>
          <w:szCs w:val="26"/>
        </w:rPr>
        <w:t>This study investigated the asymmetric effects of</w:t>
      </w:r>
      <w:r w:rsidR="005C494D">
        <w:rPr>
          <w:rFonts w:ascii="Times New Roman" w:hAnsi="Times New Roman"/>
          <w:sz w:val="24"/>
          <w:szCs w:val="26"/>
        </w:rPr>
        <w:t xml:space="preserve"> fiscal d</w:t>
      </w:r>
      <w:r w:rsidRPr="000721D1">
        <w:rPr>
          <w:rFonts w:ascii="Times New Roman" w:hAnsi="Times New Roman"/>
          <w:sz w:val="24"/>
          <w:szCs w:val="26"/>
        </w:rPr>
        <w:t>eficit on macroeconomic variables in selected Africa</w:t>
      </w:r>
      <w:r>
        <w:rPr>
          <w:rFonts w:ascii="Times New Roman" w:hAnsi="Times New Roman"/>
          <w:sz w:val="24"/>
          <w:szCs w:val="26"/>
        </w:rPr>
        <w:t>n</w:t>
      </w:r>
      <w:r w:rsidRPr="000721D1">
        <w:rPr>
          <w:rFonts w:ascii="Times New Roman" w:hAnsi="Times New Roman"/>
          <w:sz w:val="24"/>
          <w:szCs w:val="26"/>
        </w:rPr>
        <w:t xml:space="preserve"> countries between 1990</w:t>
      </w:r>
      <w:r w:rsidRPr="000721D1">
        <w:rPr>
          <w:rFonts w:ascii="Times New Roman" w:hAnsi="Times New Roman"/>
          <w:sz w:val="24"/>
          <w:szCs w:val="26"/>
          <w:vertAlign w:val="subscript"/>
        </w:rPr>
        <w:t>q1</w:t>
      </w:r>
      <w:r w:rsidRPr="000721D1">
        <w:rPr>
          <w:rFonts w:ascii="Times New Roman" w:hAnsi="Times New Roman"/>
          <w:sz w:val="24"/>
          <w:szCs w:val="26"/>
        </w:rPr>
        <w:t xml:space="preserve"> to 2020</w:t>
      </w:r>
      <w:r w:rsidRPr="000721D1">
        <w:rPr>
          <w:rFonts w:ascii="Times New Roman" w:hAnsi="Times New Roman"/>
          <w:sz w:val="24"/>
          <w:szCs w:val="26"/>
          <w:vertAlign w:val="subscript"/>
        </w:rPr>
        <w:t>q4</w:t>
      </w:r>
      <w:r>
        <w:rPr>
          <w:rFonts w:ascii="Times New Roman" w:hAnsi="Times New Roman"/>
          <w:sz w:val="24"/>
          <w:szCs w:val="26"/>
        </w:rPr>
        <w:t>.</w:t>
      </w:r>
      <w:r w:rsidRPr="00EC132A">
        <w:rPr>
          <w:rFonts w:ascii="Times New Roman" w:hAnsi="Times New Roman"/>
          <w:sz w:val="24"/>
          <w:szCs w:val="26"/>
        </w:rPr>
        <w:t xml:space="preserve"> </w:t>
      </w:r>
      <w:r w:rsidRPr="000721D1">
        <w:rPr>
          <w:rFonts w:ascii="Times New Roman" w:hAnsi="Times New Roman"/>
          <w:sz w:val="24"/>
          <w:szCs w:val="26"/>
        </w:rPr>
        <w:t>Data sourced was estimated by panel Non-linear Autoregressive Distributed Lag (ARDL),</w:t>
      </w:r>
      <w:r w:rsidRPr="00EC132A">
        <w:rPr>
          <w:rFonts w:ascii="Times New Roman" w:hAnsi="Times New Roman"/>
          <w:sz w:val="24"/>
          <w:szCs w:val="26"/>
        </w:rPr>
        <w:t xml:space="preserve"> </w:t>
      </w:r>
      <w:r w:rsidRPr="000721D1">
        <w:rPr>
          <w:rFonts w:ascii="Times New Roman" w:hAnsi="Times New Roman"/>
          <w:sz w:val="24"/>
          <w:szCs w:val="26"/>
        </w:rPr>
        <w:t xml:space="preserve">Results from long run nonlinear ARDL revealed that there was non-linear long-run co-movement among the variables of interest. </w:t>
      </w:r>
    </w:p>
    <w:p w14:paraId="50FA1D65" w14:textId="77777777" w:rsidR="002476A2" w:rsidRPr="000721D1" w:rsidRDefault="002476A2" w:rsidP="00E20786">
      <w:pPr>
        <w:pStyle w:val="ListParagraph"/>
        <w:spacing w:after="0" w:line="360" w:lineRule="auto"/>
        <w:ind w:left="0" w:firstLine="720"/>
        <w:jc w:val="both"/>
        <w:rPr>
          <w:rFonts w:ascii="Times New Roman" w:hAnsi="Times New Roman"/>
          <w:sz w:val="24"/>
          <w:szCs w:val="26"/>
        </w:rPr>
      </w:pPr>
      <w:r w:rsidRPr="000721D1">
        <w:rPr>
          <w:rFonts w:ascii="Times New Roman" w:hAnsi="Times New Roman"/>
          <w:sz w:val="24"/>
          <w:szCs w:val="26"/>
        </w:rPr>
        <w:t>As regards the asymmetric effect of fiscal deficit on macroeconomic variables in the model, the result is ambiguous (symmetric and asymmetric). Before the global financial crisis, the influence of fiscal deficit on macroeconomic variables employed in the study was positive but insignificant. It means that the influence was asymmetric. However, after the global financial crisis, fiscal deficit exerted negative and significant effects on macroeconomic variables in the selected African countries. This shows symmetric effect</w:t>
      </w:r>
      <w:r w:rsidR="003D3C4B">
        <w:rPr>
          <w:rFonts w:ascii="Times New Roman" w:hAnsi="Times New Roman"/>
          <w:sz w:val="24"/>
          <w:szCs w:val="26"/>
        </w:rPr>
        <w:t>.</w:t>
      </w:r>
      <w:r w:rsidRPr="00EC132A">
        <w:rPr>
          <w:rFonts w:ascii="Times New Roman" w:hAnsi="Times New Roman"/>
          <w:sz w:val="24"/>
          <w:szCs w:val="26"/>
        </w:rPr>
        <w:t xml:space="preserve"> </w:t>
      </w:r>
      <w:r w:rsidRPr="000721D1">
        <w:rPr>
          <w:rFonts w:ascii="Times New Roman" w:hAnsi="Times New Roman"/>
          <w:sz w:val="24"/>
          <w:szCs w:val="26"/>
        </w:rPr>
        <w:t>Based on the findings that emanated from various estimations conducted in the study, the following conclusions are drawn the effect of fiscal deficit on macroeconomic variables in Sub-Saharan Africa countries is symmetric and asymmetric.</w:t>
      </w:r>
      <w:r w:rsidRPr="00EC132A">
        <w:rPr>
          <w:rFonts w:ascii="Times New Roman" w:hAnsi="Times New Roman"/>
          <w:sz w:val="24"/>
          <w:szCs w:val="26"/>
        </w:rPr>
        <w:t xml:space="preserve"> </w:t>
      </w:r>
      <w:r w:rsidRPr="000721D1">
        <w:rPr>
          <w:rFonts w:ascii="Times New Roman" w:hAnsi="Times New Roman"/>
          <w:sz w:val="24"/>
          <w:szCs w:val="26"/>
        </w:rPr>
        <w:t>From the results, it was discovered that the impact of fiscal deficit on macroeconomic variables was significant with different magnitudes</w:t>
      </w:r>
      <w:r>
        <w:rPr>
          <w:rFonts w:ascii="Times New Roman" w:hAnsi="Times New Roman"/>
          <w:sz w:val="24"/>
          <w:szCs w:val="26"/>
        </w:rPr>
        <w:t>.</w:t>
      </w:r>
      <w:r w:rsidRPr="00F32350">
        <w:rPr>
          <w:rFonts w:ascii="Times New Roman" w:hAnsi="Times New Roman"/>
          <w:sz w:val="24"/>
          <w:szCs w:val="26"/>
        </w:rPr>
        <w:t xml:space="preserve"> </w:t>
      </w:r>
      <w:r w:rsidRPr="000721D1">
        <w:rPr>
          <w:rFonts w:ascii="Times New Roman" w:hAnsi="Times New Roman"/>
          <w:sz w:val="24"/>
          <w:szCs w:val="26"/>
        </w:rPr>
        <w:t xml:space="preserve">Therefore, the government of the selected countries should formulate workable policies that will improve tax </w:t>
      </w:r>
      <w:r w:rsidRPr="000721D1">
        <w:rPr>
          <w:rFonts w:ascii="Times New Roman" w:hAnsi="Times New Roman"/>
          <w:sz w:val="24"/>
          <w:szCs w:val="26"/>
        </w:rPr>
        <w:lastRenderedPageBreak/>
        <w:t>collection particularly direct and indirect taxes. That is, the tax base of Sub Saharan Africa countries should be restructured.</w:t>
      </w:r>
    </w:p>
    <w:p w14:paraId="264686BB" w14:textId="77777777" w:rsidR="002476A2" w:rsidRPr="00C50DCB" w:rsidRDefault="002476A2" w:rsidP="00E20786">
      <w:pPr>
        <w:pStyle w:val="ListParagraph"/>
        <w:spacing w:after="0" w:line="360" w:lineRule="auto"/>
        <w:ind w:left="0" w:firstLine="720"/>
        <w:jc w:val="both"/>
        <w:rPr>
          <w:rFonts w:ascii="Times New Roman" w:hAnsi="Times New Roman"/>
          <w:sz w:val="24"/>
          <w:szCs w:val="26"/>
        </w:rPr>
      </w:pPr>
      <w:r w:rsidRPr="000721D1">
        <w:rPr>
          <w:rFonts w:ascii="Times New Roman" w:hAnsi="Times New Roman"/>
          <w:sz w:val="24"/>
          <w:szCs w:val="26"/>
        </w:rPr>
        <w:t>From the findings, since fiscal deficit is an inevitable option in developing countries, it is suggested that the various governments in the selected</w:t>
      </w:r>
      <w:r>
        <w:rPr>
          <w:rFonts w:ascii="Times New Roman" w:hAnsi="Times New Roman"/>
          <w:sz w:val="24"/>
          <w:szCs w:val="26"/>
        </w:rPr>
        <w:t xml:space="preserve"> African</w:t>
      </w:r>
      <w:r w:rsidRPr="000721D1">
        <w:rPr>
          <w:rFonts w:ascii="Times New Roman" w:hAnsi="Times New Roman"/>
          <w:sz w:val="24"/>
          <w:szCs w:val="26"/>
        </w:rPr>
        <w:t xml:space="preserve"> countries should </w:t>
      </w:r>
      <w:proofErr w:type="spellStart"/>
      <w:r w:rsidRPr="000721D1">
        <w:rPr>
          <w:rFonts w:ascii="Times New Roman" w:hAnsi="Times New Roman"/>
          <w:sz w:val="24"/>
          <w:szCs w:val="26"/>
        </w:rPr>
        <w:t>endeavo</w:t>
      </w:r>
      <w:r>
        <w:rPr>
          <w:rFonts w:ascii="Times New Roman" w:hAnsi="Times New Roman"/>
          <w:sz w:val="24"/>
          <w:szCs w:val="26"/>
        </w:rPr>
        <w:t>u</w:t>
      </w:r>
      <w:r w:rsidRPr="000721D1">
        <w:rPr>
          <w:rFonts w:ascii="Times New Roman" w:hAnsi="Times New Roman"/>
          <w:sz w:val="24"/>
          <w:szCs w:val="26"/>
        </w:rPr>
        <w:t>r</w:t>
      </w:r>
      <w:proofErr w:type="spellEnd"/>
      <w:r w:rsidRPr="000721D1">
        <w:rPr>
          <w:rFonts w:ascii="Times New Roman" w:hAnsi="Times New Roman"/>
          <w:sz w:val="24"/>
          <w:szCs w:val="26"/>
        </w:rPr>
        <w:t xml:space="preserve"> to reduce their expenditure. This could be achieved by blocking unnecessary leakages in their economies.</w:t>
      </w:r>
      <w:r w:rsidRPr="00F32350">
        <w:rPr>
          <w:rFonts w:ascii="Times New Roman" w:hAnsi="Times New Roman"/>
          <w:sz w:val="24"/>
          <w:szCs w:val="26"/>
        </w:rPr>
        <w:t xml:space="preserve"> </w:t>
      </w:r>
    </w:p>
    <w:p w14:paraId="7AAB8201" w14:textId="77777777" w:rsidR="00D05F9F" w:rsidRDefault="00D05F9F" w:rsidP="00D05F9F">
      <w:pPr>
        <w:ind w:left="567" w:hanging="567"/>
        <w:jc w:val="center"/>
        <w:rPr>
          <w:rFonts w:ascii="Times New Roman" w:hAnsi="Times New Roman"/>
          <w:b/>
          <w:sz w:val="24"/>
          <w:szCs w:val="26"/>
        </w:rPr>
      </w:pPr>
      <w:r w:rsidRPr="000721D1">
        <w:rPr>
          <w:rFonts w:ascii="Times New Roman" w:hAnsi="Times New Roman"/>
          <w:b/>
          <w:sz w:val="24"/>
          <w:szCs w:val="26"/>
        </w:rPr>
        <w:t>REFERENCES</w:t>
      </w:r>
    </w:p>
    <w:p w14:paraId="20A76AE8" w14:textId="77777777" w:rsidR="00D05F9F" w:rsidRPr="003A737B" w:rsidRDefault="00D05F9F" w:rsidP="00D05F9F">
      <w:pPr>
        <w:autoSpaceDE w:val="0"/>
        <w:autoSpaceDN w:val="0"/>
        <w:adjustRightInd w:val="0"/>
        <w:spacing w:line="240" w:lineRule="auto"/>
        <w:ind w:left="720" w:hanging="720"/>
        <w:jc w:val="both"/>
        <w:rPr>
          <w:rFonts w:ascii="Times New Roman" w:hAnsi="Times New Roman"/>
          <w:sz w:val="24"/>
          <w:szCs w:val="24"/>
        </w:rPr>
      </w:pPr>
      <w:r>
        <w:rPr>
          <w:rFonts w:ascii="Times New Roman" w:hAnsi="Times New Roman"/>
          <w:sz w:val="24"/>
          <w:szCs w:val="26"/>
        </w:rPr>
        <w:t xml:space="preserve">  Awe, A.A., &amp;</w:t>
      </w:r>
      <w:r w:rsidRPr="005C7515">
        <w:rPr>
          <w:rFonts w:ascii="Times New Roman" w:hAnsi="Times New Roman"/>
          <w:sz w:val="24"/>
          <w:szCs w:val="26"/>
        </w:rPr>
        <w:t xml:space="preserve"> O</w:t>
      </w:r>
      <w:r>
        <w:rPr>
          <w:rFonts w:ascii="Times New Roman" w:hAnsi="Times New Roman"/>
          <w:sz w:val="24"/>
          <w:szCs w:val="26"/>
        </w:rPr>
        <w:t>lalere</w:t>
      </w:r>
      <w:r w:rsidRPr="005C7515">
        <w:rPr>
          <w:rFonts w:ascii="Times New Roman" w:hAnsi="Times New Roman"/>
          <w:sz w:val="24"/>
          <w:szCs w:val="26"/>
        </w:rPr>
        <w:t>. (2018). Fiscal Deficit and Economic Growth in Nigeria. International Journal of Economics.</w:t>
      </w:r>
    </w:p>
    <w:p w14:paraId="51BD1A93" w14:textId="77777777" w:rsidR="00D05F9F" w:rsidRPr="005C7515" w:rsidRDefault="00D05F9F" w:rsidP="00D05F9F">
      <w:pPr>
        <w:spacing w:line="240" w:lineRule="auto"/>
        <w:ind w:left="720" w:hanging="720"/>
        <w:jc w:val="both"/>
        <w:rPr>
          <w:rFonts w:ascii="Times New Roman" w:hAnsi="Times New Roman"/>
          <w:sz w:val="24"/>
          <w:szCs w:val="26"/>
        </w:rPr>
      </w:pPr>
      <w:proofErr w:type="spellStart"/>
      <w:r w:rsidRPr="005C7515">
        <w:rPr>
          <w:rFonts w:ascii="Times New Roman" w:hAnsi="Times New Roman"/>
          <w:sz w:val="24"/>
          <w:szCs w:val="26"/>
        </w:rPr>
        <w:t>Borrowness</w:t>
      </w:r>
      <w:proofErr w:type="spellEnd"/>
      <w:r w:rsidRPr="005C7515">
        <w:rPr>
          <w:rFonts w:ascii="Times New Roman" w:hAnsi="Times New Roman"/>
          <w:sz w:val="24"/>
          <w:szCs w:val="26"/>
        </w:rPr>
        <w:t xml:space="preserve">, A.B. (2014). Fiscal deficit and output growth in developing economics. </w:t>
      </w:r>
      <w:r w:rsidRPr="005C7515">
        <w:rPr>
          <w:rFonts w:ascii="Times New Roman" w:hAnsi="Times New Roman"/>
          <w:i/>
          <w:sz w:val="24"/>
          <w:szCs w:val="26"/>
        </w:rPr>
        <w:t xml:space="preserve">Journal of Economics </w:t>
      </w:r>
      <w:proofErr w:type="gramStart"/>
      <w:r w:rsidRPr="005C7515">
        <w:rPr>
          <w:rFonts w:ascii="Times New Roman" w:hAnsi="Times New Roman"/>
          <w:i/>
          <w:sz w:val="24"/>
          <w:szCs w:val="26"/>
        </w:rPr>
        <w:t xml:space="preserve">Issues </w:t>
      </w:r>
      <w:r w:rsidRPr="005C7515">
        <w:rPr>
          <w:rFonts w:ascii="Times New Roman" w:hAnsi="Times New Roman"/>
          <w:sz w:val="24"/>
          <w:szCs w:val="26"/>
        </w:rPr>
        <w:t>,</w:t>
      </w:r>
      <w:proofErr w:type="gramEnd"/>
      <w:r w:rsidRPr="005C7515">
        <w:rPr>
          <w:rFonts w:ascii="Times New Roman" w:hAnsi="Times New Roman"/>
          <w:sz w:val="24"/>
          <w:szCs w:val="26"/>
        </w:rPr>
        <w:t xml:space="preserve"> 1(6), 77-89.</w:t>
      </w:r>
    </w:p>
    <w:p w14:paraId="5EB16081" w14:textId="77777777" w:rsidR="00D05F9F" w:rsidRDefault="00D05F9F" w:rsidP="00D05F9F">
      <w:pPr>
        <w:ind w:left="720" w:hanging="720"/>
        <w:jc w:val="both"/>
        <w:rPr>
          <w:rFonts w:ascii="Times New Roman" w:hAnsi="Times New Roman"/>
          <w:sz w:val="24"/>
        </w:rPr>
      </w:pPr>
      <w:proofErr w:type="spellStart"/>
      <w:r>
        <w:rPr>
          <w:rFonts w:ascii="Times New Roman" w:hAnsi="Times New Roman"/>
          <w:sz w:val="24"/>
        </w:rPr>
        <w:t>Defaan</w:t>
      </w:r>
      <w:proofErr w:type="spellEnd"/>
      <w:r>
        <w:rPr>
          <w:rFonts w:ascii="Times New Roman" w:hAnsi="Times New Roman"/>
          <w:sz w:val="24"/>
        </w:rPr>
        <w:t xml:space="preserve"> A.O. &amp; </w:t>
      </w:r>
      <w:proofErr w:type="spellStart"/>
      <w:r>
        <w:rPr>
          <w:rFonts w:ascii="Times New Roman" w:hAnsi="Times New Roman"/>
          <w:sz w:val="24"/>
        </w:rPr>
        <w:t>Zelhert</w:t>
      </w:r>
      <w:proofErr w:type="spellEnd"/>
      <w:r>
        <w:rPr>
          <w:rFonts w:ascii="Times New Roman" w:hAnsi="Times New Roman"/>
          <w:sz w:val="24"/>
        </w:rPr>
        <w:t xml:space="preserve"> A. W. (1990): Budget Deficit and Economic Growth in Developing Countries Journal of Current Issues 4(6) 40-52.</w:t>
      </w:r>
    </w:p>
    <w:p w14:paraId="55D00C4E" w14:textId="77777777" w:rsidR="00D05F9F" w:rsidRDefault="00D05F9F" w:rsidP="00D05F9F">
      <w:pPr>
        <w:autoSpaceDE w:val="0"/>
        <w:autoSpaceDN w:val="0"/>
        <w:adjustRightInd w:val="0"/>
        <w:spacing w:line="240" w:lineRule="auto"/>
        <w:ind w:left="720" w:hanging="720"/>
        <w:jc w:val="both"/>
        <w:rPr>
          <w:rFonts w:ascii="Times New Roman" w:hAnsi="Times New Roman"/>
          <w:sz w:val="24"/>
          <w:szCs w:val="26"/>
        </w:rPr>
      </w:pPr>
      <w:proofErr w:type="spellStart"/>
      <w:r>
        <w:rPr>
          <w:rFonts w:ascii="Times New Roman" w:hAnsi="Times New Roman"/>
          <w:sz w:val="24"/>
          <w:szCs w:val="26"/>
        </w:rPr>
        <w:t>Demetricides</w:t>
      </w:r>
      <w:proofErr w:type="spellEnd"/>
      <w:r>
        <w:rPr>
          <w:rFonts w:ascii="Times New Roman" w:hAnsi="Times New Roman"/>
          <w:sz w:val="24"/>
          <w:szCs w:val="26"/>
        </w:rPr>
        <w:t xml:space="preserve"> O.P. and James G.A. 2011 Finance and Growth in Africa: The Broken Link. Economic letters </w:t>
      </w:r>
      <w:proofErr w:type="spellStart"/>
      <w:r>
        <w:rPr>
          <w:rFonts w:ascii="Times New Roman" w:hAnsi="Times New Roman"/>
          <w:sz w:val="24"/>
          <w:szCs w:val="26"/>
        </w:rPr>
        <w:t>Elserver</w:t>
      </w:r>
      <w:proofErr w:type="spellEnd"/>
      <w:r>
        <w:rPr>
          <w:rFonts w:ascii="Times New Roman" w:hAnsi="Times New Roman"/>
          <w:sz w:val="24"/>
          <w:szCs w:val="26"/>
        </w:rPr>
        <w:t>. Vol.113 (3) pp 263-265.</w:t>
      </w:r>
    </w:p>
    <w:p w14:paraId="2974E534" w14:textId="77777777" w:rsidR="00D05F9F" w:rsidRDefault="00D05F9F" w:rsidP="00D05F9F">
      <w:pPr>
        <w:autoSpaceDE w:val="0"/>
        <w:autoSpaceDN w:val="0"/>
        <w:adjustRightInd w:val="0"/>
        <w:spacing w:line="240" w:lineRule="auto"/>
        <w:ind w:left="720" w:hanging="720"/>
        <w:jc w:val="both"/>
        <w:rPr>
          <w:rFonts w:ascii="Times New Roman" w:hAnsi="Times New Roman"/>
          <w:sz w:val="24"/>
          <w:szCs w:val="26"/>
        </w:rPr>
      </w:pPr>
      <w:proofErr w:type="spellStart"/>
      <w:r>
        <w:rPr>
          <w:rFonts w:ascii="Times New Roman" w:hAnsi="Times New Roman"/>
          <w:sz w:val="24"/>
          <w:szCs w:val="26"/>
        </w:rPr>
        <w:t>Diamini</w:t>
      </w:r>
      <w:proofErr w:type="spellEnd"/>
      <w:r>
        <w:rPr>
          <w:rFonts w:ascii="Times New Roman" w:hAnsi="Times New Roman"/>
          <w:sz w:val="24"/>
          <w:szCs w:val="26"/>
        </w:rPr>
        <w:t xml:space="preserve"> X.S. and </w:t>
      </w:r>
      <w:proofErr w:type="spellStart"/>
      <w:r>
        <w:rPr>
          <w:rFonts w:ascii="Times New Roman" w:hAnsi="Times New Roman"/>
          <w:sz w:val="24"/>
          <w:szCs w:val="26"/>
        </w:rPr>
        <w:t>Amanjo</w:t>
      </w:r>
      <w:proofErr w:type="spellEnd"/>
      <w:r>
        <w:rPr>
          <w:rFonts w:ascii="Times New Roman" w:hAnsi="Times New Roman"/>
          <w:sz w:val="24"/>
          <w:szCs w:val="26"/>
        </w:rPr>
        <w:t xml:space="preserve"> D.M. 2015. The Relationship between Fiscal Deficit and Economic Growth in Swaziland. Journal of Economic and Finance 25.</w:t>
      </w:r>
    </w:p>
    <w:p w14:paraId="0489BFB4" w14:textId="77777777" w:rsidR="00D05F9F" w:rsidRDefault="00D05F9F" w:rsidP="00D05F9F">
      <w:pPr>
        <w:autoSpaceDE w:val="0"/>
        <w:autoSpaceDN w:val="0"/>
        <w:adjustRightInd w:val="0"/>
        <w:spacing w:line="240" w:lineRule="auto"/>
        <w:ind w:left="720" w:hanging="720"/>
        <w:jc w:val="both"/>
        <w:rPr>
          <w:rFonts w:ascii="Times New Roman" w:hAnsi="Times New Roman"/>
          <w:sz w:val="24"/>
          <w:szCs w:val="26"/>
        </w:rPr>
      </w:pPr>
      <w:proofErr w:type="spellStart"/>
      <w:r>
        <w:rPr>
          <w:rFonts w:ascii="Times New Roman" w:hAnsi="Times New Roman"/>
          <w:sz w:val="24"/>
          <w:szCs w:val="26"/>
        </w:rPr>
        <w:t>Egwakhide</w:t>
      </w:r>
      <w:proofErr w:type="spellEnd"/>
      <w:r>
        <w:rPr>
          <w:rFonts w:ascii="Times New Roman" w:hAnsi="Times New Roman"/>
          <w:sz w:val="24"/>
          <w:szCs w:val="26"/>
        </w:rPr>
        <w:t xml:space="preserve"> F. O, 1991 Effect of budget deficit on trade balance in Nigeria: A stimulation, African Development Review 11 (2</w:t>
      </w:r>
      <w:proofErr w:type="gramStart"/>
      <w:r>
        <w:rPr>
          <w:rFonts w:ascii="Times New Roman" w:hAnsi="Times New Roman"/>
          <w:sz w:val="24"/>
          <w:szCs w:val="26"/>
        </w:rPr>
        <w:t>)  265</w:t>
      </w:r>
      <w:proofErr w:type="gramEnd"/>
      <w:r>
        <w:rPr>
          <w:rFonts w:ascii="Times New Roman" w:hAnsi="Times New Roman"/>
          <w:sz w:val="24"/>
          <w:szCs w:val="26"/>
        </w:rPr>
        <w:t xml:space="preserve"> – 289.</w:t>
      </w:r>
    </w:p>
    <w:p w14:paraId="338C1EA1" w14:textId="77777777" w:rsidR="00D05F9F" w:rsidRDefault="00D05F9F" w:rsidP="00D05F9F">
      <w:pPr>
        <w:autoSpaceDE w:val="0"/>
        <w:autoSpaceDN w:val="0"/>
        <w:adjustRightInd w:val="0"/>
        <w:spacing w:line="240" w:lineRule="auto"/>
        <w:ind w:left="720" w:hanging="720"/>
        <w:jc w:val="both"/>
        <w:rPr>
          <w:rFonts w:ascii="Times New Roman" w:hAnsi="Times New Roman"/>
          <w:sz w:val="24"/>
          <w:szCs w:val="26"/>
        </w:rPr>
      </w:pPr>
      <w:r>
        <w:rPr>
          <w:rFonts w:ascii="Times New Roman" w:hAnsi="Times New Roman"/>
          <w:sz w:val="24"/>
          <w:szCs w:val="26"/>
        </w:rPr>
        <w:t xml:space="preserve">Esterly W. and Fischer S. 1990. The Economics of the Government </w:t>
      </w:r>
      <w:proofErr w:type="spellStart"/>
      <w:r>
        <w:rPr>
          <w:rFonts w:ascii="Times New Roman" w:hAnsi="Times New Roman"/>
          <w:sz w:val="24"/>
          <w:szCs w:val="26"/>
        </w:rPr>
        <w:t>budgrt</w:t>
      </w:r>
      <w:proofErr w:type="spellEnd"/>
      <w:r>
        <w:rPr>
          <w:rFonts w:ascii="Times New Roman" w:hAnsi="Times New Roman"/>
          <w:sz w:val="24"/>
          <w:szCs w:val="26"/>
        </w:rPr>
        <w:t xml:space="preserve"> </w:t>
      </w:r>
      <w:proofErr w:type="gramStart"/>
      <w:r>
        <w:rPr>
          <w:rFonts w:ascii="Times New Roman" w:hAnsi="Times New Roman"/>
          <w:sz w:val="24"/>
          <w:szCs w:val="26"/>
        </w:rPr>
        <w:t>constraint,.</w:t>
      </w:r>
      <w:proofErr w:type="gramEnd"/>
      <w:r>
        <w:rPr>
          <w:rFonts w:ascii="Times New Roman" w:hAnsi="Times New Roman"/>
          <w:sz w:val="24"/>
          <w:szCs w:val="26"/>
        </w:rPr>
        <w:t xml:space="preserve"> World bank Research Observer. Vol. 5 No 2, </w:t>
      </w:r>
      <w:proofErr w:type="gramStart"/>
      <w:r>
        <w:rPr>
          <w:rFonts w:ascii="Times New Roman" w:hAnsi="Times New Roman"/>
          <w:sz w:val="24"/>
          <w:szCs w:val="26"/>
        </w:rPr>
        <w:t>07  pp</w:t>
      </w:r>
      <w:proofErr w:type="gramEnd"/>
      <w:r>
        <w:rPr>
          <w:rFonts w:ascii="Times New Roman" w:hAnsi="Times New Roman"/>
          <w:sz w:val="24"/>
          <w:szCs w:val="26"/>
        </w:rPr>
        <w:t xml:space="preserve"> 127-142.</w:t>
      </w:r>
    </w:p>
    <w:p w14:paraId="217FCFD8" w14:textId="77777777" w:rsidR="00D05F9F" w:rsidRPr="005C7515" w:rsidRDefault="00D05F9F" w:rsidP="00D05F9F">
      <w:pPr>
        <w:spacing w:line="240" w:lineRule="auto"/>
        <w:ind w:left="720" w:hanging="720"/>
        <w:jc w:val="both"/>
        <w:rPr>
          <w:rFonts w:ascii="Times New Roman" w:hAnsi="Times New Roman"/>
          <w:i/>
          <w:sz w:val="24"/>
          <w:szCs w:val="24"/>
        </w:rPr>
      </w:pPr>
      <w:proofErr w:type="spellStart"/>
      <w:proofErr w:type="gramStart"/>
      <w:r w:rsidRPr="005C7515">
        <w:rPr>
          <w:rFonts w:ascii="Times New Roman" w:hAnsi="Times New Roman"/>
          <w:sz w:val="24"/>
          <w:szCs w:val="24"/>
        </w:rPr>
        <w:t>Ezeabasili</w:t>
      </w:r>
      <w:proofErr w:type="spellEnd"/>
      <w:r w:rsidRPr="005C7515">
        <w:rPr>
          <w:rFonts w:ascii="Times New Roman" w:hAnsi="Times New Roman"/>
          <w:sz w:val="24"/>
          <w:szCs w:val="24"/>
        </w:rPr>
        <w:t xml:space="preserve"> ,</w:t>
      </w:r>
      <w:proofErr w:type="gramEnd"/>
      <w:r w:rsidRPr="005C7515">
        <w:rPr>
          <w:rFonts w:ascii="Times New Roman" w:hAnsi="Times New Roman"/>
          <w:sz w:val="24"/>
          <w:szCs w:val="24"/>
        </w:rPr>
        <w:t xml:space="preserve">V. and </w:t>
      </w:r>
      <w:proofErr w:type="spellStart"/>
      <w:r w:rsidRPr="005C7515">
        <w:rPr>
          <w:rFonts w:ascii="Times New Roman" w:hAnsi="Times New Roman"/>
          <w:sz w:val="24"/>
          <w:szCs w:val="24"/>
        </w:rPr>
        <w:t>Tsegba</w:t>
      </w:r>
      <w:proofErr w:type="spellEnd"/>
      <w:r w:rsidRPr="005C7515">
        <w:rPr>
          <w:rFonts w:ascii="Times New Roman" w:hAnsi="Times New Roman"/>
          <w:sz w:val="24"/>
          <w:szCs w:val="24"/>
        </w:rPr>
        <w:t xml:space="preserve">, I.(2012). Economic growth and fiscal deficits: empirical evidence from Nigeria. </w:t>
      </w:r>
      <w:r w:rsidRPr="005C7515">
        <w:rPr>
          <w:rFonts w:ascii="Times New Roman" w:hAnsi="Times New Roman"/>
          <w:i/>
          <w:sz w:val="24"/>
          <w:szCs w:val="24"/>
        </w:rPr>
        <w:t>Economic and financial review, 2(6), 85-96</w:t>
      </w:r>
    </w:p>
    <w:p w14:paraId="3F5564A4" w14:textId="77777777" w:rsidR="00D05F9F" w:rsidRPr="005C7515" w:rsidRDefault="00D05F9F" w:rsidP="00D05F9F">
      <w:pPr>
        <w:autoSpaceDE w:val="0"/>
        <w:autoSpaceDN w:val="0"/>
        <w:adjustRightInd w:val="0"/>
        <w:spacing w:line="240" w:lineRule="auto"/>
        <w:ind w:left="720" w:hanging="720"/>
        <w:jc w:val="both"/>
        <w:rPr>
          <w:rFonts w:ascii="Times New Roman" w:hAnsi="Times New Roman"/>
          <w:i/>
          <w:iCs/>
          <w:sz w:val="24"/>
          <w:szCs w:val="24"/>
        </w:rPr>
      </w:pPr>
      <w:r w:rsidRPr="005C7515">
        <w:rPr>
          <w:rFonts w:ascii="Times New Roman" w:hAnsi="Times New Roman"/>
          <w:bCs/>
          <w:sz w:val="24"/>
          <w:szCs w:val="24"/>
        </w:rPr>
        <w:t xml:space="preserve">Gabriel L. T. </w:t>
      </w:r>
      <w:r w:rsidRPr="005C7515">
        <w:rPr>
          <w:rFonts w:ascii="Times New Roman" w:hAnsi="Times New Roman"/>
          <w:i/>
          <w:iCs/>
          <w:sz w:val="24"/>
          <w:szCs w:val="24"/>
        </w:rPr>
        <w:t xml:space="preserve">(2013). </w:t>
      </w:r>
      <w:r w:rsidRPr="005C7515">
        <w:rPr>
          <w:rFonts w:ascii="Times New Roman" w:hAnsi="Times New Roman"/>
          <w:bCs/>
          <w:sz w:val="24"/>
          <w:szCs w:val="24"/>
        </w:rPr>
        <w:t xml:space="preserve">An Overall Analysis of Participatory Budgeting Advantages and Essential Factors for an Effective Implementation in Economic Entities. </w:t>
      </w:r>
      <w:r w:rsidRPr="005C7515">
        <w:rPr>
          <w:rFonts w:ascii="Times New Roman" w:hAnsi="Times New Roman"/>
          <w:i/>
          <w:iCs/>
          <w:sz w:val="24"/>
          <w:szCs w:val="24"/>
        </w:rPr>
        <w:t>Journal of Eastern Europe Research in Business and Economics. Vol. 2013, Article ID 201920, 12 pages</w:t>
      </w:r>
    </w:p>
    <w:p w14:paraId="4A02B2E1" w14:textId="77777777" w:rsidR="00D05F9F" w:rsidRDefault="00D05F9F" w:rsidP="00D05F9F">
      <w:pPr>
        <w:autoSpaceDE w:val="0"/>
        <w:autoSpaceDN w:val="0"/>
        <w:adjustRightInd w:val="0"/>
        <w:spacing w:line="240" w:lineRule="auto"/>
        <w:ind w:left="720" w:hanging="720"/>
        <w:jc w:val="both"/>
        <w:rPr>
          <w:rFonts w:ascii="Times New Roman" w:hAnsi="Times New Roman"/>
          <w:sz w:val="24"/>
          <w:szCs w:val="26"/>
        </w:rPr>
      </w:pPr>
      <w:r>
        <w:rPr>
          <w:rFonts w:ascii="Times New Roman" w:hAnsi="Times New Roman"/>
          <w:sz w:val="24"/>
          <w:szCs w:val="26"/>
        </w:rPr>
        <w:t>Garba S. 2003 The threshold level of budget deficit and money supply that stabilize inflation in Nigeria. Journal of global Economics and Business. Vol. 4 (3) pp 86 – 96.</w:t>
      </w:r>
    </w:p>
    <w:p w14:paraId="649550A1" w14:textId="77777777" w:rsidR="00D05F9F" w:rsidRPr="005C7515" w:rsidRDefault="00D05F9F" w:rsidP="00D05F9F">
      <w:pPr>
        <w:spacing w:line="240" w:lineRule="auto"/>
        <w:ind w:left="720" w:hanging="720"/>
        <w:jc w:val="both"/>
        <w:rPr>
          <w:rFonts w:ascii="Times New Roman" w:hAnsi="Times New Roman"/>
          <w:sz w:val="24"/>
          <w:szCs w:val="26"/>
        </w:rPr>
      </w:pPr>
      <w:proofErr w:type="spellStart"/>
      <w:r w:rsidRPr="005C7515">
        <w:rPr>
          <w:rFonts w:ascii="Times New Roman" w:hAnsi="Times New Roman"/>
          <w:sz w:val="24"/>
          <w:szCs w:val="26"/>
        </w:rPr>
        <w:t>Godwanness</w:t>
      </w:r>
      <w:proofErr w:type="spellEnd"/>
      <w:r w:rsidRPr="005C7515">
        <w:rPr>
          <w:rFonts w:ascii="Times New Roman" w:hAnsi="Times New Roman"/>
          <w:sz w:val="24"/>
          <w:szCs w:val="26"/>
        </w:rPr>
        <w:t xml:space="preserve">, B.U. (2004). Asymmetric effect of fiscal policy on economic growth in Selected Developed Countries. </w:t>
      </w:r>
      <w:r w:rsidRPr="005C7515">
        <w:rPr>
          <w:rFonts w:ascii="Times New Roman" w:hAnsi="Times New Roman"/>
          <w:i/>
          <w:sz w:val="24"/>
          <w:szCs w:val="26"/>
        </w:rPr>
        <w:t>International Journal of Finance</w:t>
      </w:r>
      <w:r w:rsidRPr="005C7515">
        <w:rPr>
          <w:rFonts w:ascii="Times New Roman" w:hAnsi="Times New Roman"/>
          <w:sz w:val="24"/>
          <w:szCs w:val="26"/>
        </w:rPr>
        <w:t>.</w:t>
      </w:r>
    </w:p>
    <w:p w14:paraId="4F432A19" w14:textId="77777777" w:rsidR="00D05F9F" w:rsidRPr="008A78B1" w:rsidRDefault="00D05F9F" w:rsidP="008A78B1">
      <w:pPr>
        <w:ind w:left="720" w:hanging="720"/>
        <w:jc w:val="both"/>
        <w:rPr>
          <w:rFonts w:ascii="Times New Roman" w:hAnsi="Times New Roman"/>
          <w:sz w:val="24"/>
        </w:rPr>
      </w:pPr>
      <w:r>
        <w:rPr>
          <w:rFonts w:ascii="Times New Roman" w:hAnsi="Times New Roman"/>
          <w:sz w:val="24"/>
        </w:rPr>
        <w:t>Goodwin A.A. (2020): Asymmetric Effect of Fiscal Deficit on macroeconomic variables in African Countries. Internationa</w:t>
      </w:r>
      <w:r w:rsidR="008A78B1">
        <w:rPr>
          <w:rFonts w:ascii="Times New Roman" w:hAnsi="Times New Roman"/>
          <w:sz w:val="24"/>
        </w:rPr>
        <w:t>l Journal of money 4(20) 24-</w:t>
      </w:r>
      <w:proofErr w:type="gramStart"/>
      <w:r w:rsidR="008A78B1">
        <w:rPr>
          <w:rFonts w:ascii="Times New Roman" w:hAnsi="Times New Roman"/>
          <w:sz w:val="24"/>
        </w:rPr>
        <w:t>36.</w:t>
      </w:r>
      <w:r>
        <w:rPr>
          <w:rFonts w:ascii="Times New Roman" w:hAnsi="Times New Roman"/>
          <w:sz w:val="24"/>
          <w:szCs w:val="26"/>
        </w:rPr>
        <w:t>.</w:t>
      </w:r>
      <w:proofErr w:type="gramEnd"/>
    </w:p>
    <w:p w14:paraId="5EB2D35A" w14:textId="77777777" w:rsidR="00D05F9F" w:rsidRDefault="00D05F9F" w:rsidP="00D05F9F">
      <w:pPr>
        <w:autoSpaceDE w:val="0"/>
        <w:autoSpaceDN w:val="0"/>
        <w:adjustRightInd w:val="0"/>
        <w:spacing w:line="240" w:lineRule="auto"/>
        <w:ind w:left="720" w:hanging="720"/>
        <w:jc w:val="both"/>
        <w:rPr>
          <w:rFonts w:ascii="Times New Roman" w:hAnsi="Times New Roman"/>
          <w:sz w:val="24"/>
          <w:szCs w:val="26"/>
        </w:rPr>
      </w:pPr>
      <w:r>
        <w:rPr>
          <w:rFonts w:ascii="Times New Roman" w:hAnsi="Times New Roman"/>
          <w:sz w:val="24"/>
          <w:szCs w:val="26"/>
        </w:rPr>
        <w:t xml:space="preserve">Hakan B. and Burak D.2003. </w:t>
      </w:r>
      <w:proofErr w:type="spellStart"/>
      <w:r>
        <w:rPr>
          <w:rFonts w:ascii="Times New Roman" w:hAnsi="Times New Roman"/>
          <w:sz w:val="24"/>
          <w:szCs w:val="26"/>
        </w:rPr>
        <w:t>Openess</w:t>
      </w:r>
      <w:proofErr w:type="spellEnd"/>
      <w:r>
        <w:rPr>
          <w:rFonts w:ascii="Times New Roman" w:hAnsi="Times New Roman"/>
          <w:sz w:val="24"/>
          <w:szCs w:val="26"/>
        </w:rPr>
        <w:t xml:space="preserve"> and Effectiveness of Monetary Policy: Empirical evidence from Turkey: Applied Economics </w:t>
      </w:r>
      <w:proofErr w:type="gramStart"/>
      <w:r>
        <w:rPr>
          <w:rFonts w:ascii="Times New Roman" w:hAnsi="Times New Roman"/>
          <w:sz w:val="24"/>
          <w:szCs w:val="26"/>
        </w:rPr>
        <w:t>letter .</w:t>
      </w:r>
      <w:proofErr w:type="gramEnd"/>
      <w:r>
        <w:rPr>
          <w:rFonts w:ascii="Times New Roman" w:hAnsi="Times New Roman"/>
          <w:sz w:val="24"/>
          <w:szCs w:val="26"/>
        </w:rPr>
        <w:t xml:space="preserve"> </w:t>
      </w:r>
      <w:proofErr w:type="spellStart"/>
      <w:r>
        <w:rPr>
          <w:rFonts w:ascii="Times New Roman" w:hAnsi="Times New Roman"/>
          <w:sz w:val="24"/>
          <w:szCs w:val="26"/>
        </w:rPr>
        <w:t>taylor</w:t>
      </w:r>
      <w:proofErr w:type="spellEnd"/>
      <w:r>
        <w:rPr>
          <w:rFonts w:ascii="Times New Roman" w:hAnsi="Times New Roman"/>
          <w:sz w:val="24"/>
          <w:szCs w:val="26"/>
        </w:rPr>
        <w:t xml:space="preserve"> and Francis Journal. Vol 10 (4) pp 217-221.</w:t>
      </w:r>
    </w:p>
    <w:p w14:paraId="0D630E79" w14:textId="77777777" w:rsidR="00D05F9F" w:rsidRDefault="00D05F9F" w:rsidP="00D05F9F">
      <w:pPr>
        <w:autoSpaceDE w:val="0"/>
        <w:autoSpaceDN w:val="0"/>
        <w:adjustRightInd w:val="0"/>
        <w:spacing w:line="240" w:lineRule="auto"/>
        <w:ind w:left="720" w:hanging="720"/>
        <w:jc w:val="both"/>
        <w:rPr>
          <w:rFonts w:ascii="Times New Roman" w:hAnsi="Times New Roman"/>
          <w:sz w:val="24"/>
          <w:szCs w:val="26"/>
        </w:rPr>
      </w:pPr>
      <w:proofErr w:type="spellStart"/>
      <w:r>
        <w:rPr>
          <w:rFonts w:ascii="Times New Roman" w:hAnsi="Times New Roman"/>
          <w:sz w:val="24"/>
          <w:szCs w:val="26"/>
        </w:rPr>
        <w:lastRenderedPageBreak/>
        <w:t>Iyoha</w:t>
      </w:r>
      <w:proofErr w:type="spellEnd"/>
      <w:r>
        <w:rPr>
          <w:rFonts w:ascii="Times New Roman" w:hAnsi="Times New Roman"/>
          <w:sz w:val="24"/>
          <w:szCs w:val="26"/>
        </w:rPr>
        <w:t xml:space="preserve"> M.O. </w:t>
      </w:r>
      <w:proofErr w:type="gramStart"/>
      <w:r>
        <w:rPr>
          <w:rFonts w:ascii="Times New Roman" w:hAnsi="Times New Roman"/>
          <w:sz w:val="24"/>
          <w:szCs w:val="26"/>
        </w:rPr>
        <w:t>1999 .</w:t>
      </w:r>
      <w:proofErr w:type="gramEnd"/>
      <w:r>
        <w:rPr>
          <w:rFonts w:ascii="Times New Roman" w:hAnsi="Times New Roman"/>
          <w:sz w:val="24"/>
          <w:szCs w:val="26"/>
        </w:rPr>
        <w:t xml:space="preserve"> Macroeconomic theory for Developing Countries. University of Benin Press.</w:t>
      </w:r>
    </w:p>
    <w:p w14:paraId="2C2EE537" w14:textId="77777777" w:rsidR="00D05F9F" w:rsidRDefault="00D05F9F" w:rsidP="00D05F9F">
      <w:pPr>
        <w:autoSpaceDE w:val="0"/>
        <w:autoSpaceDN w:val="0"/>
        <w:adjustRightInd w:val="0"/>
        <w:spacing w:line="240" w:lineRule="auto"/>
        <w:ind w:left="720" w:hanging="720"/>
        <w:jc w:val="both"/>
        <w:rPr>
          <w:rFonts w:ascii="Times New Roman" w:hAnsi="Times New Roman"/>
          <w:sz w:val="24"/>
          <w:szCs w:val="26"/>
        </w:rPr>
      </w:pPr>
      <w:r>
        <w:rPr>
          <w:rFonts w:ascii="Times New Roman" w:hAnsi="Times New Roman"/>
          <w:sz w:val="24"/>
          <w:szCs w:val="26"/>
        </w:rPr>
        <w:t xml:space="preserve">Jorge C. </w:t>
      </w:r>
      <w:proofErr w:type="spellStart"/>
      <w:r>
        <w:rPr>
          <w:rFonts w:ascii="Times New Roman" w:hAnsi="Times New Roman"/>
          <w:sz w:val="24"/>
          <w:szCs w:val="26"/>
        </w:rPr>
        <w:t>avila</w:t>
      </w:r>
      <w:proofErr w:type="spellEnd"/>
      <w:r>
        <w:rPr>
          <w:rFonts w:ascii="Times New Roman" w:hAnsi="Times New Roman"/>
          <w:sz w:val="24"/>
          <w:szCs w:val="26"/>
        </w:rPr>
        <w:t xml:space="preserve"> 2011. Fiscal Deficit, Macro-uncertainty and Growth in Argentina 1915-2006 CEMA working papers: series Documents de </w:t>
      </w:r>
      <w:proofErr w:type="spellStart"/>
      <w:r>
        <w:rPr>
          <w:rFonts w:ascii="Times New Roman" w:hAnsi="Times New Roman"/>
          <w:sz w:val="24"/>
          <w:szCs w:val="26"/>
        </w:rPr>
        <w:t>Trabajo</w:t>
      </w:r>
      <w:proofErr w:type="spellEnd"/>
      <w:r>
        <w:rPr>
          <w:rFonts w:ascii="Times New Roman" w:hAnsi="Times New Roman"/>
          <w:sz w:val="24"/>
          <w:szCs w:val="26"/>
        </w:rPr>
        <w:t xml:space="preserve"> 456 Universidad del,</w:t>
      </w:r>
    </w:p>
    <w:p w14:paraId="1E1C3DBC" w14:textId="77777777" w:rsidR="00D05F9F" w:rsidRDefault="00D05F9F" w:rsidP="00D05F9F">
      <w:pPr>
        <w:autoSpaceDE w:val="0"/>
        <w:autoSpaceDN w:val="0"/>
        <w:adjustRightInd w:val="0"/>
        <w:spacing w:line="240" w:lineRule="auto"/>
        <w:ind w:left="720" w:hanging="720"/>
        <w:jc w:val="both"/>
        <w:rPr>
          <w:rFonts w:ascii="Times New Roman" w:hAnsi="Times New Roman"/>
          <w:sz w:val="24"/>
          <w:szCs w:val="26"/>
        </w:rPr>
      </w:pPr>
      <w:r>
        <w:rPr>
          <w:rFonts w:ascii="Times New Roman" w:hAnsi="Times New Roman"/>
          <w:sz w:val="24"/>
          <w:szCs w:val="26"/>
        </w:rPr>
        <w:t>Kandil O. M. 2001 Asymmetric in the effect of U.S. Government Spending shocks: Evidence and Implications. The quarterly Review of Economics and Finance. VOL. 41 issue 2 pp 137-165.</w:t>
      </w:r>
    </w:p>
    <w:p w14:paraId="3C79051A" w14:textId="77777777" w:rsidR="00D05F9F" w:rsidRPr="005C7515" w:rsidRDefault="00D05F9F" w:rsidP="00D05F9F">
      <w:pPr>
        <w:autoSpaceDE w:val="0"/>
        <w:autoSpaceDN w:val="0"/>
        <w:adjustRightInd w:val="0"/>
        <w:spacing w:before="240" w:line="240" w:lineRule="auto"/>
        <w:ind w:left="720" w:hanging="720"/>
        <w:jc w:val="both"/>
        <w:rPr>
          <w:rFonts w:ascii="Times New Roman" w:hAnsi="Times New Roman"/>
          <w:sz w:val="24"/>
          <w:szCs w:val="24"/>
        </w:rPr>
      </w:pPr>
      <w:r w:rsidRPr="005C7515">
        <w:rPr>
          <w:rFonts w:ascii="Times New Roman" w:hAnsi="Times New Roman"/>
          <w:sz w:val="24"/>
          <w:szCs w:val="24"/>
        </w:rPr>
        <w:t>Kennedy, S.; Luu, N. Morling, S. and Yeaman, l. (2004) Fiscal Policy and Automatic Stabilizers</w:t>
      </w:r>
    </w:p>
    <w:p w14:paraId="09C58BF1" w14:textId="77777777" w:rsidR="00D05F9F" w:rsidRDefault="00D05F9F" w:rsidP="00D05F9F">
      <w:pPr>
        <w:autoSpaceDE w:val="0"/>
        <w:autoSpaceDN w:val="0"/>
        <w:adjustRightInd w:val="0"/>
        <w:spacing w:line="240" w:lineRule="auto"/>
        <w:ind w:left="720" w:hanging="720"/>
        <w:jc w:val="both"/>
        <w:rPr>
          <w:rFonts w:ascii="Times New Roman" w:hAnsi="Times New Roman"/>
          <w:sz w:val="24"/>
          <w:szCs w:val="26"/>
        </w:rPr>
      </w:pPr>
      <w:r>
        <w:rPr>
          <w:rFonts w:ascii="Times New Roman" w:hAnsi="Times New Roman"/>
          <w:sz w:val="24"/>
          <w:szCs w:val="26"/>
        </w:rPr>
        <w:t xml:space="preserve">Khalil K. 1993, Rural </w:t>
      </w:r>
      <w:proofErr w:type="spellStart"/>
      <w:r>
        <w:rPr>
          <w:rFonts w:ascii="Times New Roman" w:hAnsi="Times New Roman"/>
          <w:sz w:val="24"/>
          <w:szCs w:val="26"/>
        </w:rPr>
        <w:t>Industralisation</w:t>
      </w:r>
      <w:proofErr w:type="spellEnd"/>
      <w:r>
        <w:rPr>
          <w:rFonts w:ascii="Times New Roman" w:hAnsi="Times New Roman"/>
          <w:sz w:val="24"/>
          <w:szCs w:val="26"/>
        </w:rPr>
        <w:t xml:space="preserve"> in the Afro-Asian Region. Sege Journal Indexing and Metrics. Vol. 20 issue 4.</w:t>
      </w:r>
    </w:p>
    <w:p w14:paraId="7A9659B0" w14:textId="77777777" w:rsidR="00D05F9F" w:rsidRDefault="00D05F9F" w:rsidP="00D05F9F">
      <w:pPr>
        <w:autoSpaceDE w:val="0"/>
        <w:autoSpaceDN w:val="0"/>
        <w:adjustRightInd w:val="0"/>
        <w:spacing w:line="240" w:lineRule="auto"/>
        <w:ind w:left="720" w:hanging="720"/>
        <w:jc w:val="both"/>
        <w:rPr>
          <w:rFonts w:ascii="Times New Roman" w:hAnsi="Times New Roman"/>
          <w:sz w:val="24"/>
          <w:szCs w:val="26"/>
        </w:rPr>
      </w:pPr>
      <w:r>
        <w:rPr>
          <w:rFonts w:ascii="Times New Roman" w:hAnsi="Times New Roman"/>
          <w:sz w:val="24"/>
          <w:szCs w:val="26"/>
        </w:rPr>
        <w:t xml:space="preserve">King R.G. and </w:t>
      </w:r>
      <w:proofErr w:type="spellStart"/>
      <w:r>
        <w:rPr>
          <w:rFonts w:ascii="Times New Roman" w:hAnsi="Times New Roman"/>
          <w:sz w:val="24"/>
          <w:szCs w:val="26"/>
        </w:rPr>
        <w:t>Plossers</w:t>
      </w:r>
      <w:proofErr w:type="spellEnd"/>
      <w:r>
        <w:rPr>
          <w:rFonts w:ascii="Times New Roman" w:hAnsi="Times New Roman"/>
          <w:sz w:val="24"/>
          <w:szCs w:val="26"/>
        </w:rPr>
        <w:t xml:space="preserve"> C.I. 1985. Money, Deficit and Inflation. Public Policy, Elsevier. Vol. 22(1</w:t>
      </w:r>
      <w:proofErr w:type="gramStart"/>
      <w:r>
        <w:rPr>
          <w:rFonts w:ascii="Times New Roman" w:hAnsi="Times New Roman"/>
          <w:sz w:val="24"/>
          <w:szCs w:val="26"/>
        </w:rPr>
        <w:t>)  pp.</w:t>
      </w:r>
      <w:proofErr w:type="gramEnd"/>
      <w:r>
        <w:rPr>
          <w:rFonts w:ascii="Times New Roman" w:hAnsi="Times New Roman"/>
          <w:sz w:val="24"/>
          <w:szCs w:val="26"/>
        </w:rPr>
        <w:t xml:space="preserve"> 147-195</w:t>
      </w:r>
    </w:p>
    <w:p w14:paraId="74FBBD87" w14:textId="77777777" w:rsidR="00D05F9F" w:rsidRDefault="00D05F9F" w:rsidP="00D05F9F">
      <w:pPr>
        <w:autoSpaceDE w:val="0"/>
        <w:autoSpaceDN w:val="0"/>
        <w:adjustRightInd w:val="0"/>
        <w:spacing w:line="240" w:lineRule="auto"/>
        <w:ind w:left="720" w:hanging="720"/>
        <w:jc w:val="both"/>
        <w:rPr>
          <w:rFonts w:ascii="Times New Roman" w:hAnsi="Times New Roman"/>
          <w:sz w:val="24"/>
          <w:szCs w:val="26"/>
        </w:rPr>
      </w:pPr>
      <w:r>
        <w:rPr>
          <w:rFonts w:ascii="Times New Roman" w:hAnsi="Times New Roman"/>
          <w:sz w:val="24"/>
          <w:szCs w:val="26"/>
        </w:rPr>
        <w:t>Kumar V. 2007. Fiscal Adjustments Determinants and Macroeconomic Consequences</w:t>
      </w:r>
    </w:p>
    <w:p w14:paraId="78A2E956" w14:textId="77777777" w:rsidR="00D05F9F" w:rsidRPr="005C7515" w:rsidRDefault="00D05F9F" w:rsidP="00D05F9F">
      <w:pPr>
        <w:spacing w:line="240" w:lineRule="auto"/>
        <w:ind w:left="720" w:hanging="720"/>
        <w:jc w:val="both"/>
        <w:rPr>
          <w:rFonts w:ascii="Times New Roman" w:hAnsi="Times New Roman"/>
          <w:sz w:val="24"/>
          <w:szCs w:val="26"/>
        </w:rPr>
      </w:pPr>
      <w:r w:rsidRPr="005C7515">
        <w:rPr>
          <w:rFonts w:ascii="Times New Roman" w:hAnsi="Times New Roman"/>
          <w:sz w:val="24"/>
          <w:szCs w:val="26"/>
        </w:rPr>
        <w:t xml:space="preserve">Labour, O. O. (2014). Budget Deficit and Output Growth in China. </w:t>
      </w:r>
      <w:r w:rsidRPr="005C7515">
        <w:rPr>
          <w:rFonts w:ascii="Times New Roman" w:hAnsi="Times New Roman"/>
          <w:i/>
          <w:sz w:val="24"/>
          <w:szCs w:val="26"/>
        </w:rPr>
        <w:t>International Journal of Social Issues</w:t>
      </w:r>
      <w:r w:rsidRPr="005C7515">
        <w:rPr>
          <w:rFonts w:ascii="Times New Roman" w:hAnsi="Times New Roman"/>
          <w:sz w:val="24"/>
          <w:szCs w:val="26"/>
        </w:rPr>
        <w:t>.</w:t>
      </w:r>
    </w:p>
    <w:p w14:paraId="1CDE8DD8" w14:textId="77777777" w:rsidR="00D05F9F" w:rsidRDefault="00D05F9F" w:rsidP="00D05F9F">
      <w:pPr>
        <w:ind w:left="720" w:hanging="720"/>
        <w:jc w:val="both"/>
        <w:rPr>
          <w:rFonts w:ascii="Times New Roman" w:hAnsi="Times New Roman"/>
          <w:sz w:val="24"/>
        </w:rPr>
      </w:pPr>
      <w:r>
        <w:rPr>
          <w:rFonts w:ascii="Times New Roman" w:hAnsi="Times New Roman"/>
          <w:sz w:val="24"/>
        </w:rPr>
        <w:t>Lane A.O. (2006) Budget Deficit and Economic Growth in Gambia. Journal of Management. 4(3) 16-22.</w:t>
      </w:r>
    </w:p>
    <w:p w14:paraId="20F445DA" w14:textId="77777777" w:rsidR="00D05F9F" w:rsidRDefault="00D05F9F" w:rsidP="008A78B1">
      <w:pPr>
        <w:ind w:left="720" w:hanging="720"/>
        <w:jc w:val="both"/>
        <w:rPr>
          <w:rFonts w:ascii="Times New Roman" w:hAnsi="Times New Roman"/>
          <w:sz w:val="24"/>
        </w:rPr>
      </w:pPr>
      <w:r>
        <w:rPr>
          <w:rFonts w:ascii="Times New Roman" w:hAnsi="Times New Roman"/>
          <w:sz w:val="24"/>
        </w:rPr>
        <w:t xml:space="preserve">Lee A. O. &amp; Rung Sung (2009): Fiscal policy and Investment </w:t>
      </w:r>
      <w:proofErr w:type="spellStart"/>
      <w:r>
        <w:rPr>
          <w:rFonts w:ascii="Times New Roman" w:hAnsi="Times New Roman"/>
          <w:sz w:val="24"/>
        </w:rPr>
        <w:t>behavior</w:t>
      </w:r>
      <w:proofErr w:type="spellEnd"/>
      <w:r>
        <w:rPr>
          <w:rFonts w:ascii="Times New Roman" w:hAnsi="Times New Roman"/>
          <w:sz w:val="24"/>
        </w:rPr>
        <w:t xml:space="preserve"> in Emerging Economies. Journal of Co</w:t>
      </w:r>
      <w:r w:rsidR="008A78B1">
        <w:rPr>
          <w:rFonts w:ascii="Times New Roman" w:hAnsi="Times New Roman"/>
          <w:sz w:val="24"/>
        </w:rPr>
        <w:t>ntemporary Studies. 4 (8) 1-</w:t>
      </w:r>
      <w:proofErr w:type="gramStart"/>
      <w:r w:rsidR="008A78B1">
        <w:rPr>
          <w:rFonts w:ascii="Times New Roman" w:hAnsi="Times New Roman"/>
          <w:sz w:val="24"/>
        </w:rPr>
        <w:t>15.</w:t>
      </w:r>
      <w:r>
        <w:rPr>
          <w:rFonts w:ascii="Times New Roman" w:hAnsi="Times New Roman"/>
          <w:sz w:val="24"/>
        </w:rPr>
        <w:t>.</w:t>
      </w:r>
      <w:proofErr w:type="gramEnd"/>
    </w:p>
    <w:p w14:paraId="56288061" w14:textId="77777777" w:rsidR="00D05F9F" w:rsidRPr="005C7515" w:rsidRDefault="00D05F9F" w:rsidP="00D05F9F">
      <w:pPr>
        <w:spacing w:line="240" w:lineRule="auto"/>
        <w:ind w:left="720" w:hanging="720"/>
        <w:jc w:val="both"/>
        <w:rPr>
          <w:rFonts w:ascii="Times New Roman" w:hAnsi="Times New Roman"/>
          <w:i/>
          <w:sz w:val="24"/>
          <w:szCs w:val="24"/>
        </w:rPr>
      </w:pPr>
      <w:r w:rsidRPr="005C7515">
        <w:rPr>
          <w:rFonts w:ascii="Times New Roman" w:hAnsi="Times New Roman"/>
          <w:sz w:val="24"/>
          <w:szCs w:val="24"/>
        </w:rPr>
        <w:t xml:space="preserve">Mohanty R.K. (2014). Fiscal deficit-economic growth nexus in India: A co integration analysis. </w:t>
      </w:r>
      <w:r w:rsidRPr="005C7515">
        <w:rPr>
          <w:rFonts w:ascii="Times New Roman" w:hAnsi="Times New Roman"/>
          <w:i/>
          <w:sz w:val="24"/>
          <w:szCs w:val="24"/>
        </w:rPr>
        <w:t xml:space="preserve">International journal of economics and financial issues,2(3),25-30 </w:t>
      </w:r>
    </w:p>
    <w:p w14:paraId="6AD1EE50" w14:textId="77777777" w:rsidR="00D05F9F" w:rsidRPr="005C7515" w:rsidRDefault="00D05F9F" w:rsidP="00D05F9F">
      <w:pPr>
        <w:spacing w:line="240" w:lineRule="auto"/>
        <w:ind w:left="720" w:hanging="720"/>
        <w:jc w:val="both"/>
        <w:rPr>
          <w:rFonts w:ascii="Times New Roman" w:hAnsi="Times New Roman"/>
          <w:sz w:val="24"/>
          <w:szCs w:val="26"/>
        </w:rPr>
      </w:pPr>
      <w:r w:rsidRPr="005C7515">
        <w:rPr>
          <w:rFonts w:ascii="Times New Roman" w:hAnsi="Times New Roman"/>
          <w:sz w:val="24"/>
          <w:szCs w:val="26"/>
        </w:rPr>
        <w:t>Mohanty, R. K. (2012). Fiscal deficit-economic growth nexus in India: A cointegration analysis. New Delhi: Centre for Economic Studies &amp; Planning, School of Social Sciences, Jawaharlal Nehru University.</w:t>
      </w:r>
    </w:p>
    <w:p w14:paraId="12B0748B" w14:textId="77777777" w:rsidR="00D05F9F" w:rsidRDefault="00D05F9F" w:rsidP="00D05F9F">
      <w:pPr>
        <w:ind w:left="720" w:hanging="720"/>
        <w:jc w:val="both"/>
        <w:rPr>
          <w:rFonts w:ascii="Times New Roman" w:hAnsi="Times New Roman"/>
          <w:sz w:val="24"/>
        </w:rPr>
      </w:pPr>
      <w:proofErr w:type="spellStart"/>
      <w:r>
        <w:rPr>
          <w:rFonts w:ascii="Times New Roman" w:hAnsi="Times New Roman"/>
          <w:sz w:val="24"/>
        </w:rPr>
        <w:t>Mohanud</w:t>
      </w:r>
      <w:proofErr w:type="spellEnd"/>
      <w:r>
        <w:rPr>
          <w:rFonts w:ascii="Times New Roman" w:hAnsi="Times New Roman"/>
          <w:sz w:val="24"/>
        </w:rPr>
        <w:t xml:space="preserve"> K.W. (2004): Debt and Nigeria Economy. International Journal of Social Issues. 4(4) 15-31.</w:t>
      </w:r>
    </w:p>
    <w:p w14:paraId="1673A72E" w14:textId="77777777" w:rsidR="00D05F9F" w:rsidRDefault="00D05F9F" w:rsidP="00D05F9F">
      <w:pPr>
        <w:ind w:left="720" w:hanging="720"/>
        <w:jc w:val="both"/>
        <w:rPr>
          <w:rFonts w:ascii="Times New Roman" w:hAnsi="Times New Roman"/>
          <w:sz w:val="24"/>
        </w:rPr>
      </w:pPr>
      <w:r>
        <w:rPr>
          <w:rFonts w:ascii="Times New Roman" w:hAnsi="Times New Roman"/>
          <w:sz w:val="24"/>
        </w:rPr>
        <w:t>Moon W.W (2016): Fiscal Deficit and Balance of payment Equilibrium in Ghana. International Journal of Social Issues 4(3) 24-30.</w:t>
      </w:r>
    </w:p>
    <w:p w14:paraId="6DE14967" w14:textId="77777777" w:rsidR="00D05F9F" w:rsidRDefault="00D05F9F" w:rsidP="00D05F9F">
      <w:pPr>
        <w:ind w:left="720" w:hanging="720"/>
        <w:jc w:val="both"/>
        <w:rPr>
          <w:rFonts w:ascii="Times New Roman" w:hAnsi="Times New Roman"/>
          <w:sz w:val="24"/>
        </w:rPr>
      </w:pPr>
      <w:proofErr w:type="spellStart"/>
      <w:r>
        <w:rPr>
          <w:rFonts w:ascii="Times New Roman" w:hAnsi="Times New Roman"/>
          <w:sz w:val="24"/>
        </w:rPr>
        <w:t>Moronness</w:t>
      </w:r>
      <w:proofErr w:type="spellEnd"/>
      <w:r>
        <w:rPr>
          <w:rFonts w:ascii="Times New Roman" w:hAnsi="Times New Roman"/>
          <w:sz w:val="24"/>
        </w:rPr>
        <w:t xml:space="preserve"> A.O. (2016) Fiscal Deficit and Industrial Performance in Developing Countries. Internal Journal of Contemporary Studies pp. 16-26.</w:t>
      </w:r>
    </w:p>
    <w:p w14:paraId="76C9EF5F" w14:textId="77777777" w:rsidR="00D05F9F" w:rsidRPr="005C7515" w:rsidRDefault="00D05F9F" w:rsidP="00D05F9F">
      <w:pPr>
        <w:spacing w:line="240" w:lineRule="auto"/>
        <w:ind w:left="720" w:hanging="720"/>
        <w:jc w:val="both"/>
        <w:rPr>
          <w:rFonts w:ascii="Times New Roman" w:hAnsi="Times New Roman"/>
          <w:sz w:val="24"/>
          <w:szCs w:val="26"/>
        </w:rPr>
      </w:pPr>
      <w:proofErr w:type="spellStart"/>
      <w:r w:rsidRPr="005C7515">
        <w:rPr>
          <w:rFonts w:ascii="Times New Roman" w:hAnsi="Times New Roman"/>
          <w:sz w:val="24"/>
          <w:szCs w:val="26"/>
        </w:rPr>
        <w:t>Muhideen</w:t>
      </w:r>
      <w:proofErr w:type="spellEnd"/>
      <w:r w:rsidRPr="005C7515">
        <w:rPr>
          <w:rFonts w:ascii="Times New Roman" w:hAnsi="Times New Roman"/>
          <w:sz w:val="24"/>
          <w:szCs w:val="26"/>
        </w:rPr>
        <w:t>, A. A. (2004). Fiscal policy and Economic Growth in Developing Countries. International Journal of Multidisciplinary</w:t>
      </w:r>
    </w:p>
    <w:p w14:paraId="3BF11290" w14:textId="77777777" w:rsidR="00D05F9F" w:rsidRDefault="00D05F9F" w:rsidP="00D05F9F">
      <w:pPr>
        <w:spacing w:line="240" w:lineRule="auto"/>
        <w:ind w:left="720" w:hanging="720"/>
        <w:jc w:val="both"/>
        <w:rPr>
          <w:rFonts w:ascii="Times New Roman" w:hAnsi="Times New Roman"/>
          <w:sz w:val="24"/>
          <w:szCs w:val="26"/>
        </w:rPr>
      </w:pPr>
      <w:proofErr w:type="spellStart"/>
      <w:r w:rsidRPr="005C7515">
        <w:rPr>
          <w:rFonts w:ascii="Times New Roman" w:hAnsi="Times New Roman"/>
          <w:sz w:val="24"/>
          <w:szCs w:val="26"/>
        </w:rPr>
        <w:t>Muhideen</w:t>
      </w:r>
      <w:proofErr w:type="spellEnd"/>
      <w:r w:rsidRPr="005C7515">
        <w:rPr>
          <w:rFonts w:ascii="Times New Roman" w:hAnsi="Times New Roman"/>
          <w:sz w:val="24"/>
          <w:szCs w:val="26"/>
        </w:rPr>
        <w:t>, A. A. (2004). Fiscal policy and Economic Growth in Developing Countries. International Journal of Multidisciplinary.</w:t>
      </w:r>
    </w:p>
    <w:p w14:paraId="2A61EC51" w14:textId="77777777" w:rsidR="00D05F9F" w:rsidRDefault="00D05F9F" w:rsidP="00D05F9F">
      <w:pPr>
        <w:autoSpaceDE w:val="0"/>
        <w:autoSpaceDN w:val="0"/>
        <w:adjustRightInd w:val="0"/>
        <w:spacing w:line="240" w:lineRule="auto"/>
        <w:ind w:left="720" w:hanging="720"/>
        <w:jc w:val="both"/>
        <w:rPr>
          <w:rFonts w:ascii="Times New Roman" w:hAnsi="Times New Roman"/>
          <w:sz w:val="24"/>
          <w:szCs w:val="26"/>
        </w:rPr>
      </w:pPr>
      <w:r>
        <w:rPr>
          <w:rFonts w:ascii="Times New Roman" w:hAnsi="Times New Roman"/>
          <w:sz w:val="24"/>
          <w:szCs w:val="26"/>
        </w:rPr>
        <w:lastRenderedPageBreak/>
        <w:t>Ndung’u N.S. 1995. A dynamic model of Inflation for Kenya 1974-1996. International Monetary Fund working paper.</w:t>
      </w:r>
    </w:p>
    <w:p w14:paraId="09B39647" w14:textId="77777777" w:rsidR="00D05F9F" w:rsidRPr="005C7515" w:rsidRDefault="00D05F9F" w:rsidP="00D05F9F">
      <w:pPr>
        <w:spacing w:line="240" w:lineRule="auto"/>
        <w:ind w:left="720" w:hanging="720"/>
        <w:jc w:val="both"/>
        <w:rPr>
          <w:rFonts w:ascii="Times New Roman" w:hAnsi="Times New Roman"/>
          <w:sz w:val="24"/>
          <w:szCs w:val="26"/>
        </w:rPr>
      </w:pPr>
      <w:proofErr w:type="spellStart"/>
      <w:r w:rsidRPr="005C7515">
        <w:rPr>
          <w:rFonts w:ascii="Times New Roman" w:hAnsi="Times New Roman"/>
          <w:sz w:val="24"/>
          <w:szCs w:val="26"/>
        </w:rPr>
        <w:t>OgunSakin</w:t>
      </w:r>
      <w:proofErr w:type="spellEnd"/>
      <w:r w:rsidRPr="005C7515">
        <w:rPr>
          <w:rFonts w:ascii="Times New Roman" w:hAnsi="Times New Roman"/>
          <w:sz w:val="24"/>
          <w:szCs w:val="26"/>
        </w:rPr>
        <w:t xml:space="preserve">, S., &amp; Nasim, L. A. (2016). Budget Deficit and Economic Growth in Nigeria. </w:t>
      </w:r>
      <w:r w:rsidRPr="005C7515">
        <w:rPr>
          <w:rFonts w:ascii="Times New Roman" w:hAnsi="Times New Roman"/>
          <w:i/>
          <w:sz w:val="24"/>
          <w:szCs w:val="26"/>
        </w:rPr>
        <w:t>Journal of Economics Issues</w:t>
      </w:r>
      <w:r w:rsidRPr="005C7515">
        <w:rPr>
          <w:rFonts w:ascii="Times New Roman" w:hAnsi="Times New Roman"/>
          <w:sz w:val="24"/>
          <w:szCs w:val="26"/>
        </w:rPr>
        <w:t>.</w:t>
      </w:r>
    </w:p>
    <w:p w14:paraId="4998D3C5" w14:textId="77777777" w:rsidR="00D05F9F" w:rsidRDefault="00D05F9F" w:rsidP="00D05F9F">
      <w:pPr>
        <w:ind w:left="720" w:hanging="720"/>
        <w:jc w:val="both"/>
        <w:rPr>
          <w:rFonts w:ascii="Times New Roman" w:hAnsi="Times New Roman"/>
          <w:sz w:val="24"/>
        </w:rPr>
      </w:pPr>
      <w:proofErr w:type="spellStart"/>
      <w:r>
        <w:rPr>
          <w:rFonts w:ascii="Times New Roman" w:hAnsi="Times New Roman"/>
          <w:sz w:val="24"/>
        </w:rPr>
        <w:t>Oguntoye</w:t>
      </w:r>
      <w:proofErr w:type="spellEnd"/>
      <w:r>
        <w:rPr>
          <w:rFonts w:ascii="Times New Roman" w:hAnsi="Times New Roman"/>
          <w:sz w:val="24"/>
        </w:rPr>
        <w:t xml:space="preserve"> A.O. &amp; </w:t>
      </w:r>
      <w:proofErr w:type="spellStart"/>
      <w:r>
        <w:rPr>
          <w:rFonts w:ascii="Times New Roman" w:hAnsi="Times New Roman"/>
          <w:sz w:val="24"/>
        </w:rPr>
        <w:t>Ogunsakin</w:t>
      </w:r>
      <w:proofErr w:type="spellEnd"/>
      <w:r>
        <w:rPr>
          <w:rFonts w:ascii="Times New Roman" w:hAnsi="Times New Roman"/>
          <w:sz w:val="24"/>
        </w:rPr>
        <w:t xml:space="preserve"> S. (2019): Asymmetric effect of oil price and Monetary policy in African Oil Producing Countries: International Journal of Commerce and Business. 4 (16) 43-56.</w:t>
      </w:r>
    </w:p>
    <w:p w14:paraId="07010C54" w14:textId="77777777" w:rsidR="00D05F9F" w:rsidRDefault="00D05F9F" w:rsidP="00D05F9F">
      <w:pPr>
        <w:autoSpaceDE w:val="0"/>
        <w:autoSpaceDN w:val="0"/>
        <w:adjustRightInd w:val="0"/>
        <w:spacing w:line="240" w:lineRule="auto"/>
        <w:ind w:left="720" w:hanging="720"/>
        <w:jc w:val="both"/>
        <w:rPr>
          <w:rFonts w:ascii="Times New Roman" w:hAnsi="Times New Roman"/>
          <w:sz w:val="24"/>
          <w:szCs w:val="26"/>
        </w:rPr>
      </w:pPr>
      <w:proofErr w:type="spellStart"/>
      <w:r>
        <w:rPr>
          <w:rFonts w:ascii="Times New Roman" w:hAnsi="Times New Roman"/>
          <w:sz w:val="24"/>
          <w:szCs w:val="26"/>
        </w:rPr>
        <w:t>Olomola</w:t>
      </w:r>
      <w:proofErr w:type="spellEnd"/>
      <w:r>
        <w:rPr>
          <w:rFonts w:ascii="Times New Roman" w:hAnsi="Times New Roman"/>
          <w:sz w:val="24"/>
          <w:szCs w:val="26"/>
        </w:rPr>
        <w:t xml:space="preserve"> P. A. and Olagunju M, A, 2004. Fiscal deficit and private consumption </w:t>
      </w:r>
      <w:proofErr w:type="spellStart"/>
      <w:r>
        <w:rPr>
          <w:rFonts w:ascii="Times New Roman" w:hAnsi="Times New Roman"/>
          <w:sz w:val="24"/>
          <w:szCs w:val="26"/>
        </w:rPr>
        <w:t>behavior</w:t>
      </w:r>
      <w:proofErr w:type="spellEnd"/>
      <w:r>
        <w:rPr>
          <w:rFonts w:ascii="Times New Roman" w:hAnsi="Times New Roman"/>
          <w:sz w:val="24"/>
          <w:szCs w:val="26"/>
        </w:rPr>
        <w:t xml:space="preserve"> in Nigeria 1970 – 2001. The </w:t>
      </w:r>
      <w:proofErr w:type="spellStart"/>
      <w:r>
        <w:rPr>
          <w:rFonts w:ascii="Times New Roman" w:hAnsi="Times New Roman"/>
          <w:sz w:val="24"/>
          <w:szCs w:val="26"/>
        </w:rPr>
        <w:t>IndiabJournal</w:t>
      </w:r>
      <w:proofErr w:type="spellEnd"/>
      <w:r>
        <w:rPr>
          <w:rFonts w:ascii="Times New Roman" w:hAnsi="Times New Roman"/>
          <w:sz w:val="24"/>
          <w:szCs w:val="26"/>
        </w:rPr>
        <w:t xml:space="preserve"> of Economics Vol. 84 pp 597 – 607.</w:t>
      </w:r>
    </w:p>
    <w:p w14:paraId="4E42AB3C" w14:textId="77777777" w:rsidR="00D05F9F" w:rsidRDefault="00D05F9F" w:rsidP="00D05F9F">
      <w:pPr>
        <w:ind w:left="720" w:hanging="720"/>
        <w:jc w:val="both"/>
        <w:rPr>
          <w:rFonts w:ascii="Times New Roman" w:hAnsi="Times New Roman"/>
          <w:sz w:val="24"/>
        </w:rPr>
      </w:pPr>
      <w:proofErr w:type="spellStart"/>
      <w:r>
        <w:rPr>
          <w:rFonts w:ascii="Times New Roman" w:hAnsi="Times New Roman"/>
          <w:sz w:val="24"/>
        </w:rPr>
        <w:t>Omoleye</w:t>
      </w:r>
      <w:proofErr w:type="spellEnd"/>
      <w:r>
        <w:rPr>
          <w:rFonts w:ascii="Times New Roman" w:hAnsi="Times New Roman"/>
          <w:sz w:val="24"/>
        </w:rPr>
        <w:t xml:space="preserve"> A.O. (2016) Fiscal Policy and Economic Growth in Nigeria. Journal of Social Issues. 4(6) 40-56.</w:t>
      </w:r>
    </w:p>
    <w:p w14:paraId="6EB009E4" w14:textId="77777777" w:rsidR="00D05F9F" w:rsidRDefault="00D05F9F" w:rsidP="00D05F9F">
      <w:pPr>
        <w:spacing w:line="240" w:lineRule="auto"/>
        <w:ind w:left="720" w:hanging="720"/>
        <w:jc w:val="both"/>
        <w:rPr>
          <w:rFonts w:ascii="Times New Roman" w:hAnsi="Times New Roman"/>
          <w:sz w:val="24"/>
          <w:szCs w:val="26"/>
        </w:rPr>
      </w:pPr>
      <w:proofErr w:type="spellStart"/>
      <w:proofErr w:type="gramStart"/>
      <w:r w:rsidRPr="005C7515">
        <w:rPr>
          <w:rFonts w:ascii="Times New Roman" w:hAnsi="Times New Roman"/>
          <w:sz w:val="24"/>
          <w:szCs w:val="24"/>
        </w:rPr>
        <w:t>Onwioduokit</w:t>
      </w:r>
      <w:proofErr w:type="spellEnd"/>
      <w:r w:rsidRPr="005C7515">
        <w:rPr>
          <w:rFonts w:ascii="Times New Roman" w:hAnsi="Times New Roman"/>
          <w:sz w:val="24"/>
          <w:szCs w:val="24"/>
        </w:rPr>
        <w:t xml:space="preserve"> ,</w:t>
      </w:r>
      <w:proofErr w:type="gramEnd"/>
      <w:r w:rsidRPr="005C7515">
        <w:rPr>
          <w:rFonts w:ascii="Times New Roman" w:hAnsi="Times New Roman"/>
          <w:sz w:val="24"/>
          <w:szCs w:val="24"/>
        </w:rPr>
        <w:t>E. and Ekong, C.N  (2015). Budget deficit and economic growth in Sierra Leone. An empirical re-</w:t>
      </w:r>
      <w:proofErr w:type="gramStart"/>
      <w:r w:rsidRPr="005C7515">
        <w:rPr>
          <w:rFonts w:ascii="Times New Roman" w:hAnsi="Times New Roman"/>
          <w:sz w:val="24"/>
          <w:szCs w:val="24"/>
        </w:rPr>
        <w:t>examination</w:t>
      </w:r>
      <w:r w:rsidRPr="005C7515">
        <w:rPr>
          <w:rFonts w:ascii="Times New Roman" w:hAnsi="Times New Roman"/>
          <w:i/>
          <w:sz w:val="24"/>
          <w:szCs w:val="24"/>
        </w:rPr>
        <w:t>,  Journal</w:t>
      </w:r>
      <w:proofErr w:type="gramEnd"/>
      <w:r w:rsidRPr="005C7515">
        <w:rPr>
          <w:rFonts w:ascii="Times New Roman" w:hAnsi="Times New Roman"/>
          <w:i/>
          <w:sz w:val="24"/>
          <w:szCs w:val="24"/>
        </w:rPr>
        <w:t xml:space="preserve"> of business and human resource management, 2(1), 1-17</w:t>
      </w:r>
    </w:p>
    <w:p w14:paraId="72785BA6" w14:textId="77777777" w:rsidR="00D05F9F" w:rsidRDefault="00D05F9F" w:rsidP="00D05F9F">
      <w:pPr>
        <w:ind w:left="720" w:hanging="720"/>
        <w:jc w:val="both"/>
        <w:rPr>
          <w:rFonts w:ascii="Times New Roman" w:hAnsi="Times New Roman"/>
          <w:sz w:val="24"/>
        </w:rPr>
      </w:pPr>
      <w:r>
        <w:rPr>
          <w:rFonts w:ascii="Times New Roman" w:hAnsi="Times New Roman"/>
          <w:sz w:val="24"/>
        </w:rPr>
        <w:t>Reinhart A. O. et al (2007): Money and Financial Institutions in Emerging Economics. 82(6) 7-18.</w:t>
      </w:r>
    </w:p>
    <w:p w14:paraId="0E60D7D5" w14:textId="77777777" w:rsidR="00D05F9F" w:rsidRDefault="00D05F9F" w:rsidP="00D05F9F">
      <w:pPr>
        <w:ind w:left="720" w:hanging="720"/>
        <w:jc w:val="both"/>
        <w:rPr>
          <w:rFonts w:ascii="Times New Roman" w:hAnsi="Times New Roman"/>
          <w:sz w:val="24"/>
        </w:rPr>
      </w:pPr>
      <w:r>
        <w:rPr>
          <w:rFonts w:ascii="Times New Roman" w:hAnsi="Times New Roman"/>
          <w:sz w:val="24"/>
        </w:rPr>
        <w:t>Sahay W.O. &amp; Yeah K.O. (2002: Dynamic Interactions among fiscal policy, Economic Growth and Money Supply in Ghana Journal of Economic Development 4(16) 16-28.</w:t>
      </w:r>
    </w:p>
    <w:p w14:paraId="3444C8D7" w14:textId="77777777" w:rsidR="00D05F9F" w:rsidRDefault="00D05F9F" w:rsidP="00D05F9F">
      <w:pPr>
        <w:ind w:left="720" w:hanging="720"/>
        <w:jc w:val="both"/>
        <w:rPr>
          <w:rFonts w:ascii="Times New Roman" w:hAnsi="Times New Roman"/>
          <w:sz w:val="24"/>
        </w:rPr>
      </w:pPr>
      <w:r>
        <w:rPr>
          <w:rFonts w:ascii="Times New Roman" w:hAnsi="Times New Roman"/>
          <w:sz w:val="24"/>
        </w:rPr>
        <w:t>Saliu, M.O. (2019): Macroeconomic variables and real Estate and stock prices in African Countries Unpublished Ph.D. Thesis submitted to the Department of Economics, Ekiti State University.</w:t>
      </w:r>
    </w:p>
    <w:p w14:paraId="4DD9BE5D" w14:textId="77777777" w:rsidR="00D05F9F" w:rsidRDefault="00D05F9F" w:rsidP="00D05F9F">
      <w:pPr>
        <w:ind w:left="720" w:hanging="720"/>
        <w:jc w:val="both"/>
        <w:rPr>
          <w:rFonts w:ascii="Times New Roman" w:hAnsi="Times New Roman"/>
          <w:sz w:val="24"/>
        </w:rPr>
      </w:pPr>
      <w:r>
        <w:rPr>
          <w:rFonts w:ascii="Times New Roman" w:hAnsi="Times New Roman"/>
          <w:sz w:val="24"/>
        </w:rPr>
        <w:t>Schuknecht A.A. et al (2009): Government Expenditure and Economic Growth in Developing Countries. Journal of Business Management 3(2): 1-16.</w:t>
      </w:r>
    </w:p>
    <w:p w14:paraId="3568E2F5" w14:textId="77777777" w:rsidR="00D05F9F" w:rsidRDefault="00D05F9F" w:rsidP="00D05F9F">
      <w:pPr>
        <w:ind w:left="720" w:hanging="720"/>
        <w:jc w:val="both"/>
        <w:rPr>
          <w:rFonts w:ascii="Times New Roman" w:hAnsi="Times New Roman"/>
          <w:sz w:val="24"/>
        </w:rPr>
      </w:pPr>
      <w:r>
        <w:rPr>
          <w:rFonts w:ascii="Times New Roman" w:hAnsi="Times New Roman"/>
          <w:sz w:val="24"/>
        </w:rPr>
        <w:t>Stephen O.O. &amp; Gabriel A.A. (2018) Financial Globalization and Monetary policy. Internal Journal of Money and Financial Institutions pp. 6-14.</w:t>
      </w:r>
    </w:p>
    <w:p w14:paraId="13D79D6F" w14:textId="77777777" w:rsidR="00D05F9F" w:rsidRDefault="00D05F9F" w:rsidP="00D05F9F">
      <w:pPr>
        <w:ind w:left="720" w:hanging="720"/>
        <w:jc w:val="both"/>
        <w:rPr>
          <w:rFonts w:ascii="Times New Roman" w:hAnsi="Times New Roman"/>
          <w:sz w:val="24"/>
        </w:rPr>
      </w:pPr>
      <w:r w:rsidRPr="006B34E2">
        <w:rPr>
          <w:rFonts w:ascii="Times New Roman" w:hAnsi="Times New Roman"/>
          <w:sz w:val="24"/>
        </w:rPr>
        <w:t>Stephen, A. A. (2016): Fiscal Deficit and Macroeconomic, Performance in Selected</w:t>
      </w:r>
      <w:r>
        <w:rPr>
          <w:rFonts w:ascii="Times New Roman" w:hAnsi="Times New Roman"/>
          <w:sz w:val="24"/>
        </w:rPr>
        <w:t xml:space="preserve"> Developing Co</w:t>
      </w:r>
      <w:r w:rsidRPr="006B34E2">
        <w:rPr>
          <w:rFonts w:ascii="Times New Roman" w:hAnsi="Times New Roman"/>
          <w:sz w:val="24"/>
        </w:rPr>
        <w:t>untries. International Journal of Business 45(1) 13-22.</w:t>
      </w:r>
    </w:p>
    <w:p w14:paraId="51BF694A" w14:textId="77777777" w:rsidR="00D05F9F" w:rsidRDefault="00D05F9F" w:rsidP="00D05F9F">
      <w:pPr>
        <w:ind w:left="720" w:hanging="720"/>
        <w:jc w:val="both"/>
        <w:rPr>
          <w:rFonts w:ascii="Times New Roman" w:hAnsi="Times New Roman"/>
          <w:sz w:val="24"/>
        </w:rPr>
      </w:pPr>
      <w:proofErr w:type="spellStart"/>
      <w:r>
        <w:rPr>
          <w:rFonts w:ascii="Times New Roman" w:hAnsi="Times New Roman"/>
          <w:sz w:val="24"/>
        </w:rPr>
        <w:t>Stoneness</w:t>
      </w:r>
      <w:proofErr w:type="spellEnd"/>
      <w:r>
        <w:rPr>
          <w:rFonts w:ascii="Times New Roman" w:hAnsi="Times New Roman"/>
          <w:sz w:val="24"/>
        </w:rPr>
        <w:t xml:space="preserve"> W.W. (2018): Relative Effectiveness of Monetary and Fiscal Policies in an Opened Economy. International Journal of Money. 16(3) 214 -220.</w:t>
      </w:r>
    </w:p>
    <w:p w14:paraId="37371E0A" w14:textId="77777777" w:rsidR="00D05F9F" w:rsidRDefault="00D05F9F" w:rsidP="00D05F9F">
      <w:pPr>
        <w:ind w:left="720" w:hanging="720"/>
        <w:jc w:val="both"/>
        <w:rPr>
          <w:rFonts w:ascii="Times New Roman" w:hAnsi="Times New Roman"/>
          <w:sz w:val="24"/>
        </w:rPr>
      </w:pPr>
      <w:r>
        <w:rPr>
          <w:rFonts w:ascii="Times New Roman" w:hAnsi="Times New Roman"/>
          <w:sz w:val="24"/>
        </w:rPr>
        <w:t>Talvi K.O. &amp; Vegh W.O. (2005) Money and Banking in Developing Countries Journal of Innovation. 3(2) 4-10.</w:t>
      </w:r>
    </w:p>
    <w:p w14:paraId="58883D86" w14:textId="77777777" w:rsidR="00D05F9F" w:rsidRDefault="00D05F9F" w:rsidP="00D05F9F">
      <w:pPr>
        <w:ind w:left="720" w:hanging="720"/>
        <w:jc w:val="both"/>
        <w:rPr>
          <w:rFonts w:ascii="Times New Roman" w:hAnsi="Times New Roman"/>
          <w:sz w:val="24"/>
        </w:rPr>
      </w:pPr>
      <w:r>
        <w:rPr>
          <w:rFonts w:ascii="Times New Roman" w:hAnsi="Times New Roman"/>
          <w:sz w:val="24"/>
        </w:rPr>
        <w:t>Talvi, A.A. &amp; Vegh O.W. (2005): Asymmetric effect of oil price and macroeconomic stability in Developing Countries. 16(4) 32-44.</w:t>
      </w:r>
    </w:p>
    <w:p w14:paraId="7DAD19FD" w14:textId="77777777" w:rsidR="00D05F9F" w:rsidRDefault="00D05F9F" w:rsidP="00D05F9F">
      <w:pPr>
        <w:autoSpaceDE w:val="0"/>
        <w:autoSpaceDN w:val="0"/>
        <w:adjustRightInd w:val="0"/>
        <w:spacing w:line="240" w:lineRule="auto"/>
        <w:ind w:left="720" w:hanging="720"/>
        <w:jc w:val="both"/>
        <w:rPr>
          <w:rFonts w:ascii="Times New Roman" w:hAnsi="Times New Roman"/>
          <w:sz w:val="24"/>
          <w:szCs w:val="26"/>
        </w:rPr>
      </w:pPr>
      <w:proofErr w:type="spellStart"/>
      <w:r>
        <w:rPr>
          <w:rFonts w:ascii="Times New Roman" w:hAnsi="Times New Roman"/>
          <w:sz w:val="24"/>
          <w:szCs w:val="26"/>
        </w:rPr>
        <w:t>Tavzi</w:t>
      </w:r>
      <w:proofErr w:type="spellEnd"/>
      <w:r>
        <w:rPr>
          <w:rFonts w:ascii="Times New Roman" w:hAnsi="Times New Roman"/>
          <w:sz w:val="24"/>
          <w:szCs w:val="26"/>
        </w:rPr>
        <w:t xml:space="preserve"> V. 1991 Fiscal Policies in Economics in Transition. Washington D.C. international Monetary Fund. Vol. 359 p.: ill.</w:t>
      </w:r>
    </w:p>
    <w:p w14:paraId="74CAF6B8" w14:textId="77777777" w:rsidR="00D05F9F" w:rsidRDefault="00D05F9F" w:rsidP="00D05F9F">
      <w:pPr>
        <w:ind w:left="720" w:hanging="720"/>
        <w:jc w:val="both"/>
        <w:rPr>
          <w:rFonts w:ascii="Times New Roman" w:hAnsi="Times New Roman"/>
          <w:sz w:val="24"/>
        </w:rPr>
      </w:pPr>
      <w:r>
        <w:rPr>
          <w:rFonts w:ascii="Times New Roman" w:hAnsi="Times New Roman"/>
          <w:sz w:val="24"/>
        </w:rPr>
        <w:lastRenderedPageBreak/>
        <w:t>Wallace A.A. (1981): Theories of Government Expenditure. International Journal of Monetary Economics: 4(6) 1-16.</w:t>
      </w:r>
    </w:p>
    <w:p w14:paraId="2967DBC5" w14:textId="77777777" w:rsidR="00D05F9F" w:rsidRDefault="00D05F9F" w:rsidP="00D05F9F">
      <w:pPr>
        <w:ind w:left="720" w:hanging="720"/>
        <w:jc w:val="both"/>
        <w:rPr>
          <w:rFonts w:ascii="Times New Roman" w:hAnsi="Times New Roman"/>
          <w:sz w:val="24"/>
        </w:rPr>
      </w:pPr>
      <w:r>
        <w:rPr>
          <w:rFonts w:ascii="Times New Roman" w:hAnsi="Times New Roman"/>
          <w:sz w:val="24"/>
        </w:rPr>
        <w:t>Yusuf K.K. and Martina O.O. (2018): Asymmetric Effect of oil price on Stock Market in Nigeria. Journal of Management studies. PP. 10-18.</w:t>
      </w:r>
    </w:p>
    <w:p w14:paraId="1066CFD7" w14:textId="77777777" w:rsidR="00D05F9F" w:rsidRPr="006B34E2" w:rsidRDefault="00D05F9F" w:rsidP="00D05F9F">
      <w:pPr>
        <w:autoSpaceDE w:val="0"/>
        <w:autoSpaceDN w:val="0"/>
        <w:adjustRightInd w:val="0"/>
        <w:spacing w:line="240" w:lineRule="auto"/>
        <w:ind w:left="720" w:hanging="720"/>
        <w:jc w:val="both"/>
        <w:rPr>
          <w:rFonts w:ascii="Times New Roman" w:hAnsi="Times New Roman"/>
          <w:sz w:val="24"/>
        </w:rPr>
      </w:pPr>
      <w:r w:rsidRPr="005C7515">
        <w:rPr>
          <w:rFonts w:ascii="Times New Roman" w:hAnsi="Times New Roman"/>
          <w:sz w:val="24"/>
          <w:szCs w:val="26"/>
        </w:rPr>
        <w:t>Yusuf, A. K. (2016). The Relative Effectiveness of Fiscal and Monetary Policy in an Open Economy. Journal of Social Issues</w:t>
      </w:r>
    </w:p>
    <w:p w14:paraId="53401238" w14:textId="77777777" w:rsidR="00D05F9F" w:rsidRDefault="00D05F9F" w:rsidP="00D05F9F">
      <w:pPr>
        <w:ind w:left="567" w:hanging="567"/>
        <w:rPr>
          <w:rFonts w:ascii="Times New Roman" w:hAnsi="Times New Roman"/>
          <w:b/>
          <w:sz w:val="24"/>
          <w:szCs w:val="26"/>
        </w:rPr>
      </w:pPr>
    </w:p>
    <w:p w14:paraId="5C07C123" w14:textId="77777777" w:rsidR="002059FD" w:rsidRDefault="002059FD" w:rsidP="002059FD">
      <w:pPr>
        <w:spacing w:after="160" w:line="259" w:lineRule="auto"/>
        <w:rPr>
          <w:rFonts w:ascii="Times New Roman" w:hAnsi="Times New Roman"/>
          <w:b/>
          <w:szCs w:val="26"/>
        </w:rPr>
      </w:pPr>
      <w:r>
        <w:rPr>
          <w:rFonts w:ascii="Times New Roman" w:hAnsi="Times New Roman"/>
          <w:b/>
          <w:szCs w:val="26"/>
        </w:rPr>
        <w:br w:type="page"/>
      </w:r>
    </w:p>
    <w:p w14:paraId="308950E7" w14:textId="77777777" w:rsidR="002059FD" w:rsidRPr="002059FD" w:rsidRDefault="002059FD" w:rsidP="00654418">
      <w:pPr>
        <w:spacing w:line="360" w:lineRule="auto"/>
        <w:jc w:val="both"/>
        <w:rPr>
          <w:rFonts w:ascii="Times New Roman" w:hAnsi="Times New Roman"/>
          <w:sz w:val="24"/>
          <w:szCs w:val="26"/>
        </w:rPr>
      </w:pPr>
    </w:p>
    <w:sectPr w:rsidR="002059FD" w:rsidRPr="002059F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7EDCD" w14:textId="77777777" w:rsidR="00AD202B" w:rsidRDefault="00AD202B" w:rsidP="008A78B1">
      <w:pPr>
        <w:spacing w:after="0" w:line="240" w:lineRule="auto"/>
      </w:pPr>
      <w:r>
        <w:separator/>
      </w:r>
    </w:p>
  </w:endnote>
  <w:endnote w:type="continuationSeparator" w:id="0">
    <w:p w14:paraId="0EF27562" w14:textId="77777777" w:rsidR="00AD202B" w:rsidRDefault="00AD202B" w:rsidP="008A7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6AE47" w14:textId="77777777" w:rsidR="00763650" w:rsidRDefault="007636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0360677"/>
      <w:docPartObj>
        <w:docPartGallery w:val="Page Numbers (Bottom of Page)"/>
        <w:docPartUnique/>
      </w:docPartObj>
    </w:sdtPr>
    <w:sdtEndPr>
      <w:rPr>
        <w:noProof/>
      </w:rPr>
    </w:sdtEndPr>
    <w:sdtContent>
      <w:p w14:paraId="670DECC0" w14:textId="77777777" w:rsidR="003666B8" w:rsidRDefault="003666B8">
        <w:pPr>
          <w:pStyle w:val="Footer"/>
          <w:jc w:val="center"/>
        </w:pPr>
        <w:r>
          <w:fldChar w:fldCharType="begin"/>
        </w:r>
        <w:r>
          <w:instrText xml:space="preserve"> PAGE   \* MERGEFORMAT </w:instrText>
        </w:r>
        <w:r>
          <w:fldChar w:fldCharType="separate"/>
        </w:r>
        <w:r w:rsidR="00B93E48">
          <w:rPr>
            <w:noProof/>
          </w:rPr>
          <w:t>16</w:t>
        </w:r>
        <w:r>
          <w:rPr>
            <w:noProof/>
          </w:rPr>
          <w:fldChar w:fldCharType="end"/>
        </w:r>
      </w:p>
    </w:sdtContent>
  </w:sdt>
  <w:p w14:paraId="1C407BA9" w14:textId="77777777" w:rsidR="003666B8" w:rsidRDefault="003666B8" w:rsidP="002C2878">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A764D" w14:textId="77777777" w:rsidR="00763650" w:rsidRDefault="00763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B484D" w14:textId="77777777" w:rsidR="00AD202B" w:rsidRDefault="00AD202B" w:rsidP="008A78B1">
      <w:pPr>
        <w:spacing w:after="0" w:line="240" w:lineRule="auto"/>
      </w:pPr>
      <w:r>
        <w:separator/>
      </w:r>
    </w:p>
  </w:footnote>
  <w:footnote w:type="continuationSeparator" w:id="0">
    <w:p w14:paraId="29884347" w14:textId="77777777" w:rsidR="00AD202B" w:rsidRDefault="00AD202B" w:rsidP="008A7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EECDD" w14:textId="5E17017C" w:rsidR="00763650" w:rsidRDefault="00763650">
    <w:pPr>
      <w:pStyle w:val="Header"/>
    </w:pPr>
    <w:r>
      <w:rPr>
        <w:noProof/>
      </w:rPr>
      <w:pict w14:anchorId="55F2C9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202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889FB" w14:textId="3DC6EBD3" w:rsidR="00763650" w:rsidRDefault="00763650">
    <w:pPr>
      <w:pStyle w:val="Header"/>
    </w:pPr>
    <w:r>
      <w:rPr>
        <w:noProof/>
      </w:rPr>
      <w:pict w14:anchorId="6311D2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202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37DAD" w14:textId="1A1E44BD" w:rsidR="00763650" w:rsidRDefault="00763650">
    <w:pPr>
      <w:pStyle w:val="Header"/>
    </w:pPr>
    <w:r>
      <w:rPr>
        <w:noProof/>
      </w:rPr>
      <w:pict w14:anchorId="216E28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202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BF5"/>
    <w:rsid w:val="0006201C"/>
    <w:rsid w:val="000D70DC"/>
    <w:rsid w:val="001131D5"/>
    <w:rsid w:val="00155AA0"/>
    <w:rsid w:val="00155D47"/>
    <w:rsid w:val="00157ACB"/>
    <w:rsid w:val="00157EBC"/>
    <w:rsid w:val="001A2E92"/>
    <w:rsid w:val="001C0B9D"/>
    <w:rsid w:val="001E3682"/>
    <w:rsid w:val="002059FD"/>
    <w:rsid w:val="00227D23"/>
    <w:rsid w:val="0023210E"/>
    <w:rsid w:val="00235A70"/>
    <w:rsid w:val="002476A2"/>
    <w:rsid w:val="00256EA4"/>
    <w:rsid w:val="002C2878"/>
    <w:rsid w:val="002D4F33"/>
    <w:rsid w:val="003076A4"/>
    <w:rsid w:val="00315A74"/>
    <w:rsid w:val="003666B8"/>
    <w:rsid w:val="0039171A"/>
    <w:rsid w:val="003D3C4B"/>
    <w:rsid w:val="004C70BB"/>
    <w:rsid w:val="004E6F70"/>
    <w:rsid w:val="004F1733"/>
    <w:rsid w:val="00527A72"/>
    <w:rsid w:val="005C494D"/>
    <w:rsid w:val="0062405B"/>
    <w:rsid w:val="00654418"/>
    <w:rsid w:val="006708CA"/>
    <w:rsid w:val="006A4D3E"/>
    <w:rsid w:val="00763650"/>
    <w:rsid w:val="007E3C92"/>
    <w:rsid w:val="007F05BA"/>
    <w:rsid w:val="008A78B1"/>
    <w:rsid w:val="008F1BF5"/>
    <w:rsid w:val="009330A6"/>
    <w:rsid w:val="009A05DD"/>
    <w:rsid w:val="00A36EBE"/>
    <w:rsid w:val="00AD202B"/>
    <w:rsid w:val="00B032D8"/>
    <w:rsid w:val="00B06B0B"/>
    <w:rsid w:val="00B10643"/>
    <w:rsid w:val="00B435C7"/>
    <w:rsid w:val="00B93E48"/>
    <w:rsid w:val="00BE0CCD"/>
    <w:rsid w:val="00C50DCB"/>
    <w:rsid w:val="00C5615A"/>
    <w:rsid w:val="00C86DF8"/>
    <w:rsid w:val="00CD2D28"/>
    <w:rsid w:val="00D033B7"/>
    <w:rsid w:val="00D05F9F"/>
    <w:rsid w:val="00D17610"/>
    <w:rsid w:val="00D62BAA"/>
    <w:rsid w:val="00DD0C2C"/>
    <w:rsid w:val="00E20786"/>
    <w:rsid w:val="00E30C88"/>
    <w:rsid w:val="00E50B3C"/>
    <w:rsid w:val="00E52758"/>
    <w:rsid w:val="00E56C02"/>
    <w:rsid w:val="00E650F1"/>
    <w:rsid w:val="00EC44A7"/>
    <w:rsid w:val="00F12F00"/>
    <w:rsid w:val="00F370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D13C41"/>
  <w15:docId w15:val="{23B6BF15-EA0A-4F26-ABDA-EBA5989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59FD"/>
    <w:pPr>
      <w:spacing w:after="0" w:line="240" w:lineRule="auto"/>
    </w:pPr>
    <w:rPr>
      <w:rFonts w:ascii="Calibri" w:eastAsia="Calibri" w:hAnsi="Calibri" w:cs="SimSun"/>
      <w:lang w:val="en-US"/>
    </w:rPr>
  </w:style>
  <w:style w:type="paragraph" w:styleId="ListParagraph">
    <w:name w:val="List Paragraph"/>
    <w:basedOn w:val="Normal"/>
    <w:uiPriority w:val="34"/>
    <w:qFormat/>
    <w:rsid w:val="002476A2"/>
    <w:pPr>
      <w:ind w:left="720"/>
    </w:pPr>
    <w:rPr>
      <w:rFonts w:ascii="Calibri" w:eastAsia="SimSun" w:hAnsi="Calibri" w:cs="Times New Roman"/>
      <w:sz w:val="21"/>
      <w:lang w:val="en-US" w:eastAsia="zh-CN"/>
    </w:rPr>
  </w:style>
  <w:style w:type="character" w:styleId="Hyperlink">
    <w:name w:val="Hyperlink"/>
    <w:uiPriority w:val="99"/>
    <w:unhideWhenUsed/>
    <w:rsid w:val="00D05F9F"/>
    <w:rPr>
      <w:color w:val="0563C1"/>
      <w:u w:val="single"/>
    </w:rPr>
  </w:style>
  <w:style w:type="paragraph" w:styleId="Header">
    <w:name w:val="header"/>
    <w:basedOn w:val="Normal"/>
    <w:link w:val="HeaderChar"/>
    <w:uiPriority w:val="99"/>
    <w:unhideWhenUsed/>
    <w:rsid w:val="008A78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8B1"/>
  </w:style>
  <w:style w:type="paragraph" w:styleId="Footer">
    <w:name w:val="footer"/>
    <w:basedOn w:val="Normal"/>
    <w:link w:val="FooterChar"/>
    <w:uiPriority w:val="99"/>
    <w:unhideWhenUsed/>
    <w:rsid w:val="008A78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8B1"/>
  </w:style>
  <w:style w:type="character" w:styleId="UnresolvedMention">
    <w:name w:val="Unresolved Mention"/>
    <w:basedOn w:val="DefaultParagraphFont"/>
    <w:uiPriority w:val="99"/>
    <w:semiHidden/>
    <w:unhideWhenUsed/>
    <w:rsid w:val="00EC4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050417">
      <w:bodyDiv w:val="1"/>
      <w:marLeft w:val="0"/>
      <w:marRight w:val="0"/>
      <w:marTop w:val="0"/>
      <w:marBottom w:val="0"/>
      <w:divBdr>
        <w:top w:val="none" w:sz="0" w:space="0" w:color="auto"/>
        <w:left w:val="none" w:sz="0" w:space="0" w:color="auto"/>
        <w:bottom w:val="none" w:sz="0" w:space="0" w:color="auto"/>
        <w:right w:val="none" w:sz="0" w:space="0" w:color="auto"/>
      </w:divBdr>
      <w:divsChild>
        <w:div w:id="1136993349">
          <w:marLeft w:val="0"/>
          <w:marRight w:val="0"/>
          <w:marTop w:val="0"/>
          <w:marBottom w:val="0"/>
          <w:divBdr>
            <w:top w:val="none" w:sz="0" w:space="0" w:color="auto"/>
            <w:left w:val="none" w:sz="0" w:space="0" w:color="auto"/>
            <w:bottom w:val="none" w:sz="0" w:space="0" w:color="auto"/>
            <w:right w:val="none" w:sz="0" w:space="0" w:color="auto"/>
          </w:divBdr>
        </w:div>
        <w:div w:id="175507043">
          <w:marLeft w:val="0"/>
          <w:marRight w:val="0"/>
          <w:marTop w:val="0"/>
          <w:marBottom w:val="0"/>
          <w:divBdr>
            <w:top w:val="none" w:sz="0" w:space="0" w:color="auto"/>
            <w:left w:val="none" w:sz="0" w:space="0" w:color="auto"/>
            <w:bottom w:val="none" w:sz="0" w:space="0" w:color="auto"/>
            <w:right w:val="none" w:sz="0" w:space="0" w:color="auto"/>
          </w:divBdr>
        </w:div>
        <w:div w:id="111899223">
          <w:marLeft w:val="0"/>
          <w:marRight w:val="0"/>
          <w:marTop w:val="0"/>
          <w:marBottom w:val="0"/>
          <w:divBdr>
            <w:top w:val="none" w:sz="0" w:space="0" w:color="auto"/>
            <w:left w:val="none" w:sz="0" w:space="0" w:color="auto"/>
            <w:bottom w:val="none" w:sz="0" w:space="0" w:color="auto"/>
            <w:right w:val="none" w:sz="0" w:space="0" w:color="auto"/>
          </w:divBdr>
        </w:div>
        <w:div w:id="457724241">
          <w:marLeft w:val="0"/>
          <w:marRight w:val="0"/>
          <w:marTop w:val="0"/>
          <w:marBottom w:val="0"/>
          <w:divBdr>
            <w:top w:val="none" w:sz="0" w:space="0" w:color="auto"/>
            <w:left w:val="none" w:sz="0" w:space="0" w:color="auto"/>
            <w:bottom w:val="none" w:sz="0" w:space="0" w:color="auto"/>
            <w:right w:val="none" w:sz="0" w:space="0" w:color="auto"/>
          </w:divBdr>
        </w:div>
      </w:divsChild>
    </w:div>
    <w:div w:id="1145051058">
      <w:bodyDiv w:val="1"/>
      <w:marLeft w:val="0"/>
      <w:marRight w:val="0"/>
      <w:marTop w:val="0"/>
      <w:marBottom w:val="0"/>
      <w:divBdr>
        <w:top w:val="none" w:sz="0" w:space="0" w:color="auto"/>
        <w:left w:val="none" w:sz="0" w:space="0" w:color="auto"/>
        <w:bottom w:val="none" w:sz="0" w:space="0" w:color="auto"/>
        <w:right w:val="none" w:sz="0" w:space="0" w:color="auto"/>
      </w:divBdr>
    </w:div>
    <w:div w:id="1304769999">
      <w:bodyDiv w:val="1"/>
      <w:marLeft w:val="0"/>
      <w:marRight w:val="0"/>
      <w:marTop w:val="0"/>
      <w:marBottom w:val="0"/>
      <w:divBdr>
        <w:top w:val="none" w:sz="0" w:space="0" w:color="auto"/>
        <w:left w:val="none" w:sz="0" w:space="0" w:color="auto"/>
        <w:bottom w:val="none" w:sz="0" w:space="0" w:color="auto"/>
        <w:right w:val="none" w:sz="0" w:space="0" w:color="auto"/>
      </w:divBdr>
      <w:divsChild>
        <w:div w:id="1313948474">
          <w:marLeft w:val="0"/>
          <w:marRight w:val="0"/>
          <w:marTop w:val="0"/>
          <w:marBottom w:val="0"/>
          <w:divBdr>
            <w:top w:val="none" w:sz="0" w:space="0" w:color="auto"/>
            <w:left w:val="none" w:sz="0" w:space="0" w:color="auto"/>
            <w:bottom w:val="none" w:sz="0" w:space="0" w:color="auto"/>
            <w:right w:val="none" w:sz="0" w:space="0" w:color="auto"/>
          </w:divBdr>
        </w:div>
        <w:div w:id="670526865">
          <w:marLeft w:val="0"/>
          <w:marRight w:val="0"/>
          <w:marTop w:val="0"/>
          <w:marBottom w:val="0"/>
          <w:divBdr>
            <w:top w:val="none" w:sz="0" w:space="0" w:color="auto"/>
            <w:left w:val="none" w:sz="0" w:space="0" w:color="auto"/>
            <w:bottom w:val="none" w:sz="0" w:space="0" w:color="auto"/>
            <w:right w:val="none" w:sz="0" w:space="0" w:color="auto"/>
          </w:divBdr>
        </w:div>
        <w:div w:id="124395991">
          <w:marLeft w:val="0"/>
          <w:marRight w:val="0"/>
          <w:marTop w:val="0"/>
          <w:marBottom w:val="0"/>
          <w:divBdr>
            <w:top w:val="none" w:sz="0" w:space="0" w:color="auto"/>
            <w:left w:val="none" w:sz="0" w:space="0" w:color="auto"/>
            <w:bottom w:val="none" w:sz="0" w:space="0" w:color="auto"/>
            <w:right w:val="none" w:sz="0" w:space="0" w:color="auto"/>
          </w:divBdr>
        </w:div>
      </w:divsChild>
    </w:div>
    <w:div w:id="1367868082">
      <w:bodyDiv w:val="1"/>
      <w:marLeft w:val="0"/>
      <w:marRight w:val="0"/>
      <w:marTop w:val="0"/>
      <w:marBottom w:val="0"/>
      <w:divBdr>
        <w:top w:val="none" w:sz="0" w:space="0" w:color="auto"/>
        <w:left w:val="none" w:sz="0" w:space="0" w:color="auto"/>
        <w:bottom w:val="none" w:sz="0" w:space="0" w:color="auto"/>
        <w:right w:val="none" w:sz="0" w:space="0" w:color="auto"/>
      </w:divBdr>
      <w:divsChild>
        <w:div w:id="343551677">
          <w:marLeft w:val="0"/>
          <w:marRight w:val="0"/>
          <w:marTop w:val="0"/>
          <w:marBottom w:val="0"/>
          <w:divBdr>
            <w:top w:val="none" w:sz="0" w:space="0" w:color="auto"/>
            <w:left w:val="none" w:sz="0" w:space="0" w:color="auto"/>
            <w:bottom w:val="none" w:sz="0" w:space="0" w:color="auto"/>
            <w:right w:val="none" w:sz="0" w:space="0" w:color="auto"/>
          </w:divBdr>
        </w:div>
        <w:div w:id="517619362">
          <w:marLeft w:val="0"/>
          <w:marRight w:val="0"/>
          <w:marTop w:val="0"/>
          <w:marBottom w:val="0"/>
          <w:divBdr>
            <w:top w:val="none" w:sz="0" w:space="0" w:color="auto"/>
            <w:left w:val="none" w:sz="0" w:space="0" w:color="auto"/>
            <w:bottom w:val="none" w:sz="0" w:space="0" w:color="auto"/>
            <w:right w:val="none" w:sz="0" w:space="0" w:color="auto"/>
          </w:divBdr>
        </w:div>
        <w:div w:id="1694109807">
          <w:marLeft w:val="0"/>
          <w:marRight w:val="0"/>
          <w:marTop w:val="0"/>
          <w:marBottom w:val="0"/>
          <w:divBdr>
            <w:top w:val="none" w:sz="0" w:space="0" w:color="auto"/>
            <w:left w:val="none" w:sz="0" w:space="0" w:color="auto"/>
            <w:bottom w:val="none" w:sz="0" w:space="0" w:color="auto"/>
            <w:right w:val="none" w:sz="0" w:space="0" w:color="auto"/>
          </w:divBdr>
        </w:div>
        <w:div w:id="1868903155">
          <w:marLeft w:val="0"/>
          <w:marRight w:val="0"/>
          <w:marTop w:val="0"/>
          <w:marBottom w:val="0"/>
          <w:divBdr>
            <w:top w:val="none" w:sz="0" w:space="0" w:color="auto"/>
            <w:left w:val="none" w:sz="0" w:space="0" w:color="auto"/>
            <w:bottom w:val="none" w:sz="0" w:space="0" w:color="auto"/>
            <w:right w:val="none" w:sz="0" w:space="0" w:color="auto"/>
          </w:divBdr>
        </w:div>
        <w:div w:id="528838457">
          <w:marLeft w:val="0"/>
          <w:marRight w:val="0"/>
          <w:marTop w:val="0"/>
          <w:marBottom w:val="0"/>
          <w:divBdr>
            <w:top w:val="none" w:sz="0" w:space="0" w:color="auto"/>
            <w:left w:val="none" w:sz="0" w:space="0" w:color="auto"/>
            <w:bottom w:val="none" w:sz="0" w:space="0" w:color="auto"/>
            <w:right w:val="none" w:sz="0" w:space="0" w:color="auto"/>
          </w:divBdr>
        </w:div>
        <w:div w:id="2120954838">
          <w:marLeft w:val="0"/>
          <w:marRight w:val="0"/>
          <w:marTop w:val="0"/>
          <w:marBottom w:val="0"/>
          <w:divBdr>
            <w:top w:val="none" w:sz="0" w:space="0" w:color="auto"/>
            <w:left w:val="none" w:sz="0" w:space="0" w:color="auto"/>
            <w:bottom w:val="none" w:sz="0" w:space="0" w:color="auto"/>
            <w:right w:val="none" w:sz="0" w:space="0" w:color="auto"/>
          </w:divBdr>
        </w:div>
        <w:div w:id="914313923">
          <w:marLeft w:val="0"/>
          <w:marRight w:val="0"/>
          <w:marTop w:val="0"/>
          <w:marBottom w:val="0"/>
          <w:divBdr>
            <w:top w:val="none" w:sz="0" w:space="0" w:color="auto"/>
            <w:left w:val="none" w:sz="0" w:space="0" w:color="auto"/>
            <w:bottom w:val="none" w:sz="0" w:space="0" w:color="auto"/>
            <w:right w:val="none" w:sz="0" w:space="0" w:color="auto"/>
          </w:divBdr>
        </w:div>
        <w:div w:id="619529011">
          <w:marLeft w:val="0"/>
          <w:marRight w:val="0"/>
          <w:marTop w:val="0"/>
          <w:marBottom w:val="0"/>
          <w:divBdr>
            <w:top w:val="none" w:sz="0" w:space="0" w:color="auto"/>
            <w:left w:val="none" w:sz="0" w:space="0" w:color="auto"/>
            <w:bottom w:val="none" w:sz="0" w:space="0" w:color="auto"/>
            <w:right w:val="none" w:sz="0" w:space="0" w:color="auto"/>
          </w:divBdr>
        </w:div>
        <w:div w:id="297152120">
          <w:marLeft w:val="0"/>
          <w:marRight w:val="0"/>
          <w:marTop w:val="0"/>
          <w:marBottom w:val="0"/>
          <w:divBdr>
            <w:top w:val="none" w:sz="0" w:space="0" w:color="auto"/>
            <w:left w:val="none" w:sz="0" w:space="0" w:color="auto"/>
            <w:bottom w:val="none" w:sz="0" w:space="0" w:color="auto"/>
            <w:right w:val="none" w:sz="0" w:space="0" w:color="auto"/>
          </w:divBdr>
        </w:div>
        <w:div w:id="1285696820">
          <w:marLeft w:val="0"/>
          <w:marRight w:val="0"/>
          <w:marTop w:val="0"/>
          <w:marBottom w:val="0"/>
          <w:divBdr>
            <w:top w:val="none" w:sz="0" w:space="0" w:color="auto"/>
            <w:left w:val="none" w:sz="0" w:space="0" w:color="auto"/>
            <w:bottom w:val="none" w:sz="0" w:space="0" w:color="auto"/>
            <w:right w:val="none" w:sz="0" w:space="0" w:color="auto"/>
          </w:divBdr>
        </w:div>
        <w:div w:id="838928359">
          <w:marLeft w:val="0"/>
          <w:marRight w:val="0"/>
          <w:marTop w:val="0"/>
          <w:marBottom w:val="0"/>
          <w:divBdr>
            <w:top w:val="none" w:sz="0" w:space="0" w:color="auto"/>
            <w:left w:val="none" w:sz="0" w:space="0" w:color="auto"/>
            <w:bottom w:val="none" w:sz="0" w:space="0" w:color="auto"/>
            <w:right w:val="none" w:sz="0" w:space="0" w:color="auto"/>
          </w:divBdr>
        </w:div>
      </w:divsChild>
    </w:div>
    <w:div w:id="1562205456">
      <w:bodyDiv w:val="1"/>
      <w:marLeft w:val="0"/>
      <w:marRight w:val="0"/>
      <w:marTop w:val="0"/>
      <w:marBottom w:val="0"/>
      <w:divBdr>
        <w:top w:val="none" w:sz="0" w:space="0" w:color="auto"/>
        <w:left w:val="none" w:sz="0" w:space="0" w:color="auto"/>
        <w:bottom w:val="none" w:sz="0" w:space="0" w:color="auto"/>
        <w:right w:val="none" w:sz="0" w:space="0" w:color="auto"/>
      </w:divBdr>
    </w:div>
    <w:div w:id="194145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6251</Words>
  <Characters>35631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12</cp:revision>
  <dcterms:created xsi:type="dcterms:W3CDTF">2025-05-22T19:32:00Z</dcterms:created>
  <dcterms:modified xsi:type="dcterms:W3CDTF">2025-05-24T12:02:00Z</dcterms:modified>
</cp:coreProperties>
</file>