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BCC18D" w14:textId="2CCFF5B2" w:rsidR="006027D8" w:rsidRDefault="006027D8" w:rsidP="006027D8">
      <w:pPr>
        <w:spacing w:line="360" w:lineRule="auto"/>
        <w:jc w:val="center"/>
        <w:rPr>
          <w:rFonts w:ascii="Times New Roman" w:hAnsi="Times New Roman" w:cs="Times New Roman"/>
          <w:b/>
          <w:bCs/>
          <w:color w:val="000000" w:themeColor="text1"/>
          <w:sz w:val="28"/>
          <w:szCs w:val="28"/>
        </w:rPr>
      </w:pPr>
      <w:r w:rsidRPr="00D518BE">
        <w:rPr>
          <w:rFonts w:ascii="Times New Roman" w:hAnsi="Times New Roman" w:cs="Times New Roman"/>
          <w:b/>
          <w:bCs/>
          <w:color w:val="000000" w:themeColor="text1"/>
          <w:sz w:val="28"/>
          <w:szCs w:val="28"/>
        </w:rPr>
        <w:t>Nutrient dynamics: Influence of nutrient cycles on web/chain</w:t>
      </w:r>
    </w:p>
    <w:p w14:paraId="50F08550" w14:textId="5C55481F" w:rsidR="00A6069D" w:rsidRPr="00A6069D" w:rsidRDefault="00A6069D" w:rsidP="006027D8">
      <w:pPr>
        <w:spacing w:line="360" w:lineRule="auto"/>
        <w:rPr>
          <w:rFonts w:ascii="Times New Roman" w:hAnsi="Times New Roman" w:cs="Times New Roman"/>
          <w:b/>
          <w:bCs/>
          <w:sz w:val="24"/>
          <w:szCs w:val="24"/>
        </w:rPr>
      </w:pPr>
      <w:r w:rsidRPr="00A6069D">
        <w:rPr>
          <w:rFonts w:ascii="Times New Roman" w:hAnsi="Times New Roman" w:cs="Times New Roman"/>
          <w:b/>
          <w:bCs/>
          <w:sz w:val="24"/>
          <w:szCs w:val="24"/>
        </w:rPr>
        <w:t>Abstract</w:t>
      </w:r>
    </w:p>
    <w:p w14:paraId="7F6C9EC8" w14:textId="0DEF7AC1" w:rsidR="00A6069D" w:rsidRPr="00A6069D" w:rsidRDefault="00A6069D" w:rsidP="006027D8">
      <w:pPr>
        <w:spacing w:line="360" w:lineRule="auto"/>
        <w:jc w:val="both"/>
        <w:rPr>
          <w:rFonts w:ascii="Times New Roman" w:hAnsi="Times New Roman" w:cs="Times New Roman"/>
          <w:sz w:val="24"/>
          <w:szCs w:val="24"/>
        </w:rPr>
      </w:pPr>
      <w:r w:rsidRPr="00A6069D">
        <w:rPr>
          <w:rFonts w:ascii="Times New Roman" w:hAnsi="Times New Roman" w:cs="Times New Roman"/>
          <w:sz w:val="24"/>
          <w:szCs w:val="24"/>
        </w:rPr>
        <w:t>Nutrient dynamics are essential in determining the structure, functionality, and long-term stability of food chains and food webs within ecosystems. Through major biogeochemical cycles</w:t>
      </w:r>
      <w:r>
        <w:rPr>
          <w:rFonts w:ascii="Times New Roman" w:hAnsi="Times New Roman" w:cs="Times New Roman"/>
          <w:sz w:val="24"/>
          <w:szCs w:val="24"/>
        </w:rPr>
        <w:t xml:space="preserve">, </w:t>
      </w:r>
      <w:r w:rsidRPr="00A6069D">
        <w:rPr>
          <w:rFonts w:ascii="Times New Roman" w:hAnsi="Times New Roman" w:cs="Times New Roman"/>
          <w:sz w:val="24"/>
          <w:szCs w:val="24"/>
        </w:rPr>
        <w:t>such as those of nitrogen, phosphorus, carbon, and sulphur; nutrients are continually cycled and exchanged between living organisms and their physical environment. These cycles govern the availability of critical nutrients</w:t>
      </w:r>
      <w:bookmarkStart w:id="0" w:name="_GoBack"/>
      <w:bookmarkEnd w:id="0"/>
      <w:r w:rsidRPr="00A6069D">
        <w:rPr>
          <w:rFonts w:ascii="Times New Roman" w:hAnsi="Times New Roman" w:cs="Times New Roman"/>
          <w:sz w:val="24"/>
          <w:szCs w:val="24"/>
        </w:rPr>
        <w:t xml:space="preserve"> necessary for primary producers, thereby shaping the foundational levels of trophic systems and driving the flow of energy through successive trophic levels. Changes in nutrient supply influence species diversity, trophic relationships, and the overall productivity of biomass. While balanced nutrient inputs support biodiversity and promote ecosystem stability, excessive nutrient loading can disrupt food web dynamics, triggering problems such as eutrophication, loss of species, and imbalances across trophic levels; commonly referred to as the "paradox of enrichment." Additionally, nutrient recycling through detritus-based processes and consumer activities creates feedback mechanisms that can either buffer or amplify ecological fluctuations depending on prevailing environmental factors. Overall, the interactions between nutrient cycles and trophic dynamics underscore the critical need to manage nutrient inputs carefully to preserve ecological health across both aquatic and terrestrial ecosystems.</w:t>
      </w:r>
    </w:p>
    <w:p w14:paraId="05145ABE" w14:textId="77777777" w:rsidR="00A6069D" w:rsidRPr="00A6069D" w:rsidRDefault="00A6069D" w:rsidP="006027D8">
      <w:pPr>
        <w:spacing w:line="360" w:lineRule="auto"/>
        <w:jc w:val="both"/>
        <w:rPr>
          <w:rFonts w:ascii="Times New Roman" w:hAnsi="Times New Roman" w:cs="Times New Roman"/>
          <w:b/>
          <w:bCs/>
          <w:sz w:val="24"/>
          <w:szCs w:val="24"/>
        </w:rPr>
      </w:pPr>
      <w:r w:rsidRPr="00A6069D">
        <w:rPr>
          <w:rFonts w:ascii="Times New Roman" w:hAnsi="Times New Roman" w:cs="Times New Roman"/>
          <w:b/>
          <w:bCs/>
          <w:sz w:val="24"/>
          <w:szCs w:val="24"/>
        </w:rPr>
        <w:t>Keywords</w:t>
      </w:r>
    </w:p>
    <w:p w14:paraId="78E9D6B4" w14:textId="3599652C" w:rsidR="00A6069D" w:rsidRDefault="00A6069D" w:rsidP="006027D8">
      <w:pPr>
        <w:spacing w:line="360" w:lineRule="auto"/>
        <w:jc w:val="both"/>
        <w:rPr>
          <w:rFonts w:ascii="Times New Roman" w:hAnsi="Times New Roman" w:cs="Times New Roman"/>
          <w:sz w:val="24"/>
          <w:szCs w:val="24"/>
        </w:rPr>
      </w:pPr>
      <w:r w:rsidRPr="00A6069D">
        <w:rPr>
          <w:rFonts w:ascii="Times New Roman" w:hAnsi="Times New Roman" w:cs="Times New Roman"/>
          <w:sz w:val="24"/>
          <w:szCs w:val="24"/>
        </w:rPr>
        <w:t>Nutrient dynamics</w:t>
      </w:r>
      <w:r>
        <w:rPr>
          <w:rFonts w:ascii="Times New Roman" w:hAnsi="Times New Roman" w:cs="Times New Roman"/>
          <w:sz w:val="24"/>
          <w:szCs w:val="24"/>
        </w:rPr>
        <w:t xml:space="preserve">, </w:t>
      </w:r>
      <w:r w:rsidRPr="00A6069D">
        <w:rPr>
          <w:rFonts w:ascii="Times New Roman" w:hAnsi="Times New Roman" w:cs="Times New Roman"/>
          <w:sz w:val="24"/>
          <w:szCs w:val="24"/>
        </w:rPr>
        <w:t>Biogeochemical cycles</w:t>
      </w:r>
      <w:r>
        <w:rPr>
          <w:rFonts w:ascii="Times New Roman" w:hAnsi="Times New Roman" w:cs="Times New Roman"/>
          <w:sz w:val="24"/>
          <w:szCs w:val="24"/>
        </w:rPr>
        <w:t xml:space="preserve">, </w:t>
      </w:r>
      <w:r w:rsidRPr="00A6069D">
        <w:rPr>
          <w:rFonts w:ascii="Times New Roman" w:hAnsi="Times New Roman" w:cs="Times New Roman"/>
          <w:sz w:val="24"/>
          <w:szCs w:val="24"/>
        </w:rPr>
        <w:t>Primary production</w:t>
      </w:r>
      <w:r>
        <w:rPr>
          <w:rFonts w:ascii="Times New Roman" w:hAnsi="Times New Roman" w:cs="Times New Roman"/>
          <w:sz w:val="24"/>
          <w:szCs w:val="24"/>
        </w:rPr>
        <w:t xml:space="preserve">, </w:t>
      </w:r>
      <w:r w:rsidRPr="00A6069D">
        <w:rPr>
          <w:rFonts w:ascii="Times New Roman" w:hAnsi="Times New Roman" w:cs="Times New Roman"/>
          <w:sz w:val="24"/>
          <w:szCs w:val="24"/>
        </w:rPr>
        <w:t>Nutrient enrichment</w:t>
      </w:r>
      <w:r>
        <w:rPr>
          <w:rFonts w:ascii="Times New Roman" w:hAnsi="Times New Roman" w:cs="Times New Roman"/>
          <w:sz w:val="24"/>
          <w:szCs w:val="24"/>
        </w:rPr>
        <w:t xml:space="preserve">, </w:t>
      </w:r>
      <w:r w:rsidRPr="00A6069D">
        <w:rPr>
          <w:rFonts w:ascii="Times New Roman" w:hAnsi="Times New Roman" w:cs="Times New Roman"/>
          <w:sz w:val="24"/>
          <w:szCs w:val="24"/>
        </w:rPr>
        <w:t>Detritus pathway</w:t>
      </w:r>
      <w:r>
        <w:rPr>
          <w:rFonts w:ascii="Times New Roman" w:hAnsi="Times New Roman" w:cs="Times New Roman"/>
          <w:sz w:val="24"/>
          <w:szCs w:val="24"/>
        </w:rPr>
        <w:t xml:space="preserve">, </w:t>
      </w:r>
      <w:r w:rsidRPr="00A6069D">
        <w:rPr>
          <w:rFonts w:ascii="Times New Roman" w:hAnsi="Times New Roman" w:cs="Times New Roman"/>
          <w:sz w:val="24"/>
          <w:szCs w:val="24"/>
        </w:rPr>
        <w:t>Ecosystem resilience</w:t>
      </w:r>
    </w:p>
    <w:p w14:paraId="3919E527" w14:textId="77777777" w:rsidR="00A6069D" w:rsidRPr="00A6069D" w:rsidRDefault="00A6069D" w:rsidP="006027D8">
      <w:pPr>
        <w:spacing w:line="360" w:lineRule="auto"/>
        <w:jc w:val="both"/>
        <w:rPr>
          <w:rFonts w:ascii="Times New Roman" w:hAnsi="Times New Roman" w:cs="Times New Roman"/>
          <w:b/>
          <w:bCs/>
          <w:sz w:val="24"/>
          <w:szCs w:val="24"/>
        </w:rPr>
      </w:pPr>
      <w:r w:rsidRPr="00A6069D">
        <w:rPr>
          <w:rFonts w:ascii="Times New Roman" w:hAnsi="Times New Roman" w:cs="Times New Roman"/>
          <w:b/>
          <w:bCs/>
          <w:sz w:val="24"/>
          <w:szCs w:val="24"/>
        </w:rPr>
        <w:t>Introduction</w:t>
      </w:r>
    </w:p>
    <w:p w14:paraId="3178E1A9" w14:textId="2C9C457C" w:rsidR="00A6069D" w:rsidRPr="00A6069D" w:rsidRDefault="00A6069D" w:rsidP="006027D8">
      <w:pPr>
        <w:spacing w:line="360" w:lineRule="auto"/>
        <w:jc w:val="both"/>
        <w:rPr>
          <w:rFonts w:ascii="Times New Roman" w:hAnsi="Times New Roman" w:cs="Times New Roman"/>
          <w:sz w:val="24"/>
          <w:szCs w:val="24"/>
        </w:rPr>
      </w:pPr>
      <w:r w:rsidRPr="00A6069D">
        <w:rPr>
          <w:rFonts w:ascii="Times New Roman" w:hAnsi="Times New Roman" w:cs="Times New Roman"/>
          <w:sz w:val="24"/>
          <w:szCs w:val="24"/>
        </w:rPr>
        <w:t>Nutrients, in their broadest sense, refer to all chemical elements essential for biological processes such as growth, survival, and reproduction (DeAngelis et al., 1989). Organisms require macronutrients</w:t>
      </w:r>
      <w:r>
        <w:rPr>
          <w:rFonts w:ascii="Times New Roman" w:hAnsi="Times New Roman" w:cs="Times New Roman"/>
          <w:sz w:val="24"/>
          <w:szCs w:val="24"/>
        </w:rPr>
        <w:t xml:space="preserve"> </w:t>
      </w:r>
      <w:r w:rsidRPr="00A6069D">
        <w:rPr>
          <w:rFonts w:ascii="Times New Roman" w:hAnsi="Times New Roman" w:cs="Times New Roman"/>
          <w:sz w:val="24"/>
          <w:szCs w:val="24"/>
        </w:rPr>
        <w:t xml:space="preserve">including carbon (C), hydrogen (H), nitrogen (N), phosphorus (P), potassium (K), </w:t>
      </w:r>
      <w:proofErr w:type="spellStart"/>
      <w:r w:rsidRPr="00A6069D">
        <w:rPr>
          <w:rFonts w:ascii="Times New Roman" w:hAnsi="Times New Roman" w:cs="Times New Roman"/>
          <w:sz w:val="24"/>
          <w:szCs w:val="24"/>
        </w:rPr>
        <w:t>sulfur</w:t>
      </w:r>
      <w:proofErr w:type="spellEnd"/>
      <w:r w:rsidRPr="00A6069D">
        <w:rPr>
          <w:rFonts w:ascii="Times New Roman" w:hAnsi="Times New Roman" w:cs="Times New Roman"/>
          <w:sz w:val="24"/>
          <w:szCs w:val="24"/>
        </w:rPr>
        <w:t xml:space="preserve"> (S), and calcium (Ca)</w:t>
      </w:r>
      <w:r>
        <w:rPr>
          <w:rFonts w:ascii="Times New Roman" w:hAnsi="Times New Roman" w:cs="Times New Roman"/>
          <w:sz w:val="24"/>
          <w:szCs w:val="24"/>
        </w:rPr>
        <w:t xml:space="preserve"> </w:t>
      </w:r>
      <w:r w:rsidRPr="00A6069D">
        <w:rPr>
          <w:rFonts w:ascii="Times New Roman" w:hAnsi="Times New Roman" w:cs="Times New Roman"/>
          <w:sz w:val="24"/>
          <w:szCs w:val="24"/>
        </w:rPr>
        <w:t xml:space="preserve">in substantial amounts to carry out fundamental physiological functions. Additionally, elements like silicon (Si) play specialized roles in cellular and structural processes. Micronutrients, such as copper (Cu) and zinc (Zn), though needed in much smaller quantities, are equally critical for enzymatic and metabolic activities (Smith and Smith, 1998). In natural environments, the limitation of certain nutrients can constrain the primary productivity of ecosystems depending on spatial and temporal conditions. </w:t>
      </w:r>
      <w:r w:rsidRPr="00A6069D">
        <w:rPr>
          <w:rFonts w:ascii="Times New Roman" w:hAnsi="Times New Roman" w:cs="Times New Roman"/>
          <w:sz w:val="24"/>
          <w:szCs w:val="24"/>
        </w:rPr>
        <w:lastRenderedPageBreak/>
        <w:t xml:space="preserve">Notably, in aquatic systems, the availability, chemical form, and stoichiometric ratios of nitrogen (N) and phosphorus (P) are primary factors regulating productivity (Officer and </w:t>
      </w:r>
      <w:proofErr w:type="spellStart"/>
      <w:r w:rsidRPr="00A6069D">
        <w:rPr>
          <w:rFonts w:ascii="Times New Roman" w:hAnsi="Times New Roman" w:cs="Times New Roman"/>
          <w:sz w:val="24"/>
          <w:szCs w:val="24"/>
        </w:rPr>
        <w:t>Ryther</w:t>
      </w:r>
      <w:proofErr w:type="spellEnd"/>
      <w:r w:rsidRPr="00A6069D">
        <w:rPr>
          <w:rFonts w:ascii="Times New Roman" w:hAnsi="Times New Roman" w:cs="Times New Roman"/>
          <w:sz w:val="24"/>
          <w:szCs w:val="24"/>
        </w:rPr>
        <w:t>, 1980).</w:t>
      </w:r>
    </w:p>
    <w:p w14:paraId="0575D7BB" w14:textId="77777777" w:rsidR="00A6069D" w:rsidRPr="00A6069D" w:rsidRDefault="00A6069D" w:rsidP="006027D8">
      <w:pPr>
        <w:spacing w:line="360" w:lineRule="auto"/>
        <w:jc w:val="both"/>
        <w:rPr>
          <w:rFonts w:ascii="Times New Roman" w:hAnsi="Times New Roman" w:cs="Times New Roman"/>
          <w:sz w:val="24"/>
          <w:szCs w:val="24"/>
        </w:rPr>
      </w:pPr>
      <w:r w:rsidRPr="00A6069D">
        <w:rPr>
          <w:rFonts w:ascii="Times New Roman" w:hAnsi="Times New Roman" w:cs="Times New Roman"/>
          <w:sz w:val="24"/>
          <w:szCs w:val="24"/>
        </w:rPr>
        <w:t xml:space="preserve">The term nutrient dynamics broadly encompasses the mechanisms by which nutrients are absorbed, stored, transformed, and recycled within an ecosystem over time and space. Understanding these nutrient pathways is fundamental to maintaining ecological balance, enhancing ecosystem productivity, and promoting long-term sustainability in terrestrial, aquatic, and </w:t>
      </w:r>
      <w:proofErr w:type="spellStart"/>
      <w:r w:rsidRPr="00A6069D">
        <w:rPr>
          <w:rFonts w:ascii="Times New Roman" w:hAnsi="Times New Roman" w:cs="Times New Roman"/>
          <w:sz w:val="24"/>
          <w:szCs w:val="24"/>
        </w:rPr>
        <w:t>agro</w:t>
      </w:r>
      <w:proofErr w:type="spellEnd"/>
      <w:r w:rsidRPr="00A6069D">
        <w:rPr>
          <w:rFonts w:ascii="Times New Roman" w:hAnsi="Times New Roman" w:cs="Times New Roman"/>
          <w:sz w:val="24"/>
          <w:szCs w:val="24"/>
        </w:rPr>
        <w:t>-ecological systems.</w:t>
      </w:r>
    </w:p>
    <w:p w14:paraId="7D47D6E6" w14:textId="77777777" w:rsidR="00A6069D" w:rsidRPr="00A6069D" w:rsidRDefault="00A6069D" w:rsidP="006027D8">
      <w:pPr>
        <w:spacing w:line="360" w:lineRule="auto"/>
        <w:jc w:val="both"/>
        <w:rPr>
          <w:rFonts w:ascii="Times New Roman" w:hAnsi="Times New Roman" w:cs="Times New Roman"/>
          <w:b/>
          <w:bCs/>
          <w:sz w:val="24"/>
          <w:szCs w:val="24"/>
        </w:rPr>
      </w:pPr>
      <w:r w:rsidRPr="00A6069D">
        <w:rPr>
          <w:rFonts w:ascii="Times New Roman" w:hAnsi="Times New Roman" w:cs="Times New Roman"/>
          <w:b/>
          <w:bCs/>
          <w:sz w:val="24"/>
          <w:szCs w:val="24"/>
        </w:rPr>
        <w:t>Aquatic Ecosystem</w:t>
      </w:r>
    </w:p>
    <w:p w14:paraId="480C324F" w14:textId="77777777" w:rsidR="00A6069D" w:rsidRPr="00A6069D" w:rsidRDefault="00A6069D" w:rsidP="006027D8">
      <w:pPr>
        <w:spacing w:line="360" w:lineRule="auto"/>
        <w:jc w:val="both"/>
        <w:rPr>
          <w:rFonts w:ascii="Times New Roman" w:hAnsi="Times New Roman" w:cs="Times New Roman"/>
          <w:sz w:val="24"/>
          <w:szCs w:val="24"/>
        </w:rPr>
      </w:pPr>
      <w:r w:rsidRPr="00A6069D">
        <w:rPr>
          <w:rFonts w:ascii="Times New Roman" w:hAnsi="Times New Roman" w:cs="Times New Roman"/>
          <w:sz w:val="24"/>
          <w:szCs w:val="24"/>
        </w:rPr>
        <w:t>Nutrient dynamics in aquatic ecosystems refer to the study of how nutrients circulate and interact with biological communities within water bodies. This process is essential because it directly affects the growth and productivity of phytoplankton, the primary producers at the base of aquatic food webs. Phytoplankton play a foundational role in supporting trophic interactions and sustaining ecosystem function. Gaining insights into nutrient dynamics allows researchers to better understand the complex interactions within aquatic environments and to identify the environmental and biological factors that regulate nutrient availability and spatial distribution. These dynamics are fundamental to preserving the health of aquatic systems, as they significantly influence biological productivity, ecosystem stability, and water quality.</w:t>
      </w:r>
    </w:p>
    <w:p w14:paraId="6D8457A2" w14:textId="1BC6AB95" w:rsidR="000D757F" w:rsidRDefault="009054AF" w:rsidP="006027D8">
      <w:pPr>
        <w:spacing w:line="360" w:lineRule="auto"/>
        <w:jc w:val="center"/>
        <w:rPr>
          <w:rFonts w:ascii="Times New Roman" w:hAnsi="Times New Roman" w:cs="Times New Roman"/>
          <w:sz w:val="24"/>
          <w:szCs w:val="24"/>
        </w:rPr>
      </w:pPr>
      <w:r>
        <w:rPr>
          <w:noProof/>
        </w:rPr>
        <w:drawing>
          <wp:inline distT="0" distB="0" distL="0" distR="0" wp14:anchorId="5B184584" wp14:editId="0825E678">
            <wp:extent cx="3886200" cy="3261463"/>
            <wp:effectExtent l="0" t="0" r="0" b="0"/>
            <wp:docPr id="371623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6075"/>
                    <a:stretch>
                      <a:fillRect/>
                    </a:stretch>
                  </pic:blipFill>
                  <pic:spPr bwMode="auto">
                    <a:xfrm>
                      <a:off x="0" y="0"/>
                      <a:ext cx="3895724" cy="3269456"/>
                    </a:xfrm>
                    <a:prstGeom prst="rect">
                      <a:avLst/>
                    </a:prstGeom>
                    <a:noFill/>
                    <a:ln>
                      <a:noFill/>
                    </a:ln>
                    <a:extLst>
                      <a:ext uri="{53640926-AAD7-44D8-BBD7-CCE9431645EC}">
                        <a14:shadowObscured xmlns:a14="http://schemas.microsoft.com/office/drawing/2010/main"/>
                      </a:ext>
                    </a:extLst>
                  </pic:spPr>
                </pic:pic>
              </a:graphicData>
            </a:graphic>
          </wp:inline>
        </w:drawing>
      </w:r>
    </w:p>
    <w:p w14:paraId="4286A8D7" w14:textId="27AD380A" w:rsidR="009054AF" w:rsidRPr="009054AF" w:rsidRDefault="009054AF" w:rsidP="006027D8">
      <w:pPr>
        <w:spacing w:line="360" w:lineRule="auto"/>
        <w:jc w:val="center"/>
        <w:rPr>
          <w:rFonts w:ascii="Times New Roman" w:hAnsi="Times New Roman" w:cs="Times New Roman"/>
          <w:b/>
          <w:bCs/>
          <w:sz w:val="24"/>
          <w:szCs w:val="24"/>
        </w:rPr>
      </w:pPr>
      <w:r w:rsidRPr="009054AF">
        <w:rPr>
          <w:rFonts w:ascii="Times New Roman" w:hAnsi="Times New Roman" w:cs="Times New Roman"/>
          <w:b/>
          <w:bCs/>
          <w:sz w:val="24"/>
          <w:szCs w:val="24"/>
        </w:rPr>
        <w:t>Fig.</w:t>
      </w:r>
      <w:r>
        <w:rPr>
          <w:rFonts w:ascii="Times New Roman" w:hAnsi="Times New Roman" w:cs="Times New Roman"/>
          <w:b/>
          <w:bCs/>
          <w:sz w:val="24"/>
          <w:szCs w:val="24"/>
        </w:rPr>
        <w:t>1</w:t>
      </w:r>
      <w:r w:rsidRPr="009054AF">
        <w:rPr>
          <w:rFonts w:ascii="Times New Roman" w:hAnsi="Times New Roman" w:cs="Times New Roman"/>
          <w:b/>
          <w:bCs/>
          <w:sz w:val="24"/>
          <w:szCs w:val="24"/>
        </w:rPr>
        <w:t xml:space="preserve"> Import of Nutrients into Aquatic Ecosystems</w:t>
      </w:r>
    </w:p>
    <w:p w14:paraId="0454A124" w14:textId="3DB6A597" w:rsidR="009054AF" w:rsidRPr="009054AF" w:rsidRDefault="009054AF" w:rsidP="006027D8">
      <w:pPr>
        <w:spacing w:line="360" w:lineRule="auto"/>
        <w:jc w:val="both"/>
        <w:rPr>
          <w:rFonts w:ascii="Times New Roman" w:hAnsi="Times New Roman" w:cs="Times New Roman"/>
          <w:b/>
          <w:bCs/>
          <w:sz w:val="24"/>
          <w:szCs w:val="24"/>
        </w:rPr>
      </w:pPr>
      <w:r w:rsidRPr="009054AF">
        <w:rPr>
          <w:rFonts w:ascii="Times New Roman" w:hAnsi="Times New Roman" w:cs="Times New Roman"/>
          <w:b/>
          <w:bCs/>
          <w:sz w:val="24"/>
          <w:szCs w:val="24"/>
        </w:rPr>
        <w:lastRenderedPageBreak/>
        <w:t>Nutrient dynamics</w:t>
      </w:r>
    </w:p>
    <w:p w14:paraId="22340A27" w14:textId="64755542" w:rsidR="009054AF" w:rsidRDefault="009054AF" w:rsidP="006027D8">
      <w:pPr>
        <w:spacing w:line="360" w:lineRule="auto"/>
        <w:jc w:val="both"/>
        <w:rPr>
          <w:rFonts w:ascii="Times New Roman" w:hAnsi="Times New Roman" w:cs="Times New Roman"/>
          <w:sz w:val="24"/>
          <w:szCs w:val="24"/>
        </w:rPr>
      </w:pPr>
      <w:r w:rsidRPr="009054AF">
        <w:rPr>
          <w:rFonts w:ascii="Times New Roman" w:hAnsi="Times New Roman" w:cs="Times New Roman"/>
          <w:sz w:val="24"/>
          <w:szCs w:val="24"/>
        </w:rPr>
        <w:t>Nutrient dynamics refer to the processes by which nutrients are absorbed, stored, transported, and recycled within ecosystems across both spatial and temporal scales (Hauer and Lamberti, 2006; Allan and Castillo, 2007). These processes are fundamental to comprehending the ecological equilibrium, biological productivity, and long-term sustainability of terrestrial, aquatic, and agricultural environments.</w:t>
      </w:r>
    </w:p>
    <w:p w14:paraId="2FDE8E61" w14:textId="77777777" w:rsidR="009054AF" w:rsidRPr="009054AF" w:rsidRDefault="009054AF" w:rsidP="006027D8">
      <w:pPr>
        <w:spacing w:line="360" w:lineRule="auto"/>
        <w:jc w:val="both"/>
        <w:rPr>
          <w:rFonts w:ascii="Times New Roman" w:hAnsi="Times New Roman" w:cs="Times New Roman"/>
          <w:b/>
          <w:bCs/>
          <w:sz w:val="24"/>
          <w:szCs w:val="24"/>
        </w:rPr>
      </w:pPr>
      <w:r w:rsidRPr="009054AF">
        <w:rPr>
          <w:rFonts w:ascii="Times New Roman" w:hAnsi="Times New Roman" w:cs="Times New Roman"/>
          <w:b/>
          <w:bCs/>
          <w:sz w:val="24"/>
          <w:szCs w:val="24"/>
        </w:rPr>
        <w:t>Aquatic Ecosystems</w:t>
      </w:r>
    </w:p>
    <w:p w14:paraId="4A0EA162" w14:textId="076CCBA9" w:rsidR="00670FB8" w:rsidRPr="00670FB8" w:rsidRDefault="009054AF" w:rsidP="006027D8">
      <w:pPr>
        <w:spacing w:line="360" w:lineRule="auto"/>
        <w:jc w:val="both"/>
        <w:rPr>
          <w:rFonts w:ascii="Times New Roman" w:hAnsi="Times New Roman" w:cs="Times New Roman"/>
          <w:sz w:val="24"/>
          <w:szCs w:val="24"/>
        </w:rPr>
      </w:pPr>
      <w:r w:rsidRPr="009054AF">
        <w:rPr>
          <w:rFonts w:ascii="Times New Roman" w:hAnsi="Times New Roman" w:cs="Times New Roman"/>
          <w:sz w:val="24"/>
          <w:szCs w:val="24"/>
        </w:rPr>
        <w:t>Nutrient dynamics in aquatic systems focus on how nutrients move through and affect living organisms within these environments. This process is especially important because it governs the growth of phytoplankton, which are critical to supporting aquatic food webs and maintaining ecosystem function. The circulation, transformation, and availability of key nutrients</w:t>
      </w:r>
      <w:r>
        <w:rPr>
          <w:rFonts w:ascii="Times New Roman" w:hAnsi="Times New Roman" w:cs="Times New Roman"/>
          <w:sz w:val="24"/>
          <w:szCs w:val="24"/>
        </w:rPr>
        <w:t xml:space="preserve">, </w:t>
      </w:r>
      <w:r w:rsidRPr="009054AF">
        <w:rPr>
          <w:rFonts w:ascii="Times New Roman" w:hAnsi="Times New Roman" w:cs="Times New Roman"/>
          <w:sz w:val="24"/>
          <w:szCs w:val="24"/>
        </w:rPr>
        <w:t>such as nitrogen and phosphoru</w:t>
      </w:r>
      <w:r>
        <w:rPr>
          <w:rFonts w:ascii="Times New Roman" w:hAnsi="Times New Roman" w:cs="Times New Roman"/>
          <w:sz w:val="24"/>
          <w:szCs w:val="24"/>
        </w:rPr>
        <w:t xml:space="preserve">s, its </w:t>
      </w:r>
      <w:r w:rsidRPr="009054AF">
        <w:rPr>
          <w:rFonts w:ascii="Times New Roman" w:hAnsi="Times New Roman" w:cs="Times New Roman"/>
          <w:sz w:val="24"/>
          <w:szCs w:val="24"/>
        </w:rPr>
        <w:t>directly shape the structure of biological communities and influence energy flow across trophic levels. In this way, nutrient dynamics are vital to maintaining water quality, promoting biological productivity, and preserving the overall health and resilience of aquatic ecosystems.</w:t>
      </w:r>
      <w:r w:rsidR="00670FB8">
        <w:rPr>
          <w:rFonts w:ascii="Times New Roman" w:hAnsi="Times New Roman" w:cs="Times New Roman"/>
          <w:sz w:val="24"/>
          <w:szCs w:val="24"/>
        </w:rPr>
        <w:t xml:space="preserve"> </w:t>
      </w:r>
      <w:r w:rsidR="00670FB8" w:rsidRPr="00670FB8">
        <w:rPr>
          <w:rFonts w:ascii="Times New Roman" w:hAnsi="Times New Roman" w:cs="Times New Roman"/>
          <w:sz w:val="24"/>
          <w:szCs w:val="24"/>
        </w:rPr>
        <w:t>Nutrient dynamics within ecosystems are governed by a series of interconnected processes that determine the availability, mobility, and fate of essential elements. These processes include:</w:t>
      </w:r>
    </w:p>
    <w:p w14:paraId="4EE4446E" w14:textId="77777777" w:rsidR="00670FB8" w:rsidRPr="00D6483B" w:rsidRDefault="00670FB8" w:rsidP="006027D8">
      <w:pPr>
        <w:spacing w:line="360" w:lineRule="auto"/>
        <w:jc w:val="both"/>
        <w:rPr>
          <w:rFonts w:ascii="Times New Roman" w:hAnsi="Times New Roman" w:cs="Times New Roman"/>
          <w:b/>
          <w:bCs/>
          <w:color w:val="000000" w:themeColor="text1"/>
          <w:sz w:val="24"/>
          <w:szCs w:val="24"/>
        </w:rPr>
      </w:pPr>
      <w:r w:rsidRPr="00D6483B">
        <w:rPr>
          <w:rFonts w:ascii="Times New Roman" w:hAnsi="Times New Roman" w:cs="Times New Roman"/>
          <w:b/>
          <w:bCs/>
          <w:color w:val="000000" w:themeColor="text1"/>
          <w:sz w:val="24"/>
          <w:szCs w:val="24"/>
        </w:rPr>
        <w:t>Processes in Nutrient Dynamics:</w:t>
      </w:r>
    </w:p>
    <w:p w14:paraId="26221019" w14:textId="77777777" w:rsidR="00670FB8" w:rsidRPr="00D6483B" w:rsidRDefault="00670FB8" w:rsidP="006027D8">
      <w:pPr>
        <w:pStyle w:val="ListParagraph"/>
        <w:numPr>
          <w:ilvl w:val="0"/>
          <w:numId w:val="6"/>
        </w:numPr>
        <w:spacing w:line="360" w:lineRule="auto"/>
        <w:jc w:val="both"/>
        <w:rPr>
          <w:rFonts w:ascii="Times New Roman" w:hAnsi="Times New Roman" w:cs="Times New Roman"/>
          <w:color w:val="000000" w:themeColor="text1"/>
          <w:sz w:val="24"/>
          <w:szCs w:val="24"/>
        </w:rPr>
      </w:pPr>
      <w:r w:rsidRPr="00D6483B">
        <w:rPr>
          <w:rFonts w:ascii="Times New Roman" w:hAnsi="Times New Roman" w:cs="Times New Roman"/>
          <w:b/>
          <w:bCs/>
          <w:color w:val="000000" w:themeColor="text1"/>
          <w:sz w:val="24"/>
          <w:szCs w:val="24"/>
        </w:rPr>
        <w:t>Input Sources</w:t>
      </w:r>
      <w:r w:rsidRPr="00D6483B">
        <w:rPr>
          <w:rFonts w:ascii="Times New Roman" w:hAnsi="Times New Roman" w:cs="Times New Roman"/>
          <w:color w:val="000000" w:themeColor="text1"/>
          <w:sz w:val="24"/>
          <w:szCs w:val="24"/>
        </w:rPr>
        <w:t>: Natural (weathering, atmospheric deposition) and anthropogenic (agricultural runoff, wastewater discharge).</w:t>
      </w:r>
    </w:p>
    <w:p w14:paraId="03D04449" w14:textId="77777777" w:rsidR="00670FB8" w:rsidRPr="00D6483B" w:rsidRDefault="00670FB8" w:rsidP="006027D8">
      <w:pPr>
        <w:pStyle w:val="ListParagraph"/>
        <w:numPr>
          <w:ilvl w:val="0"/>
          <w:numId w:val="6"/>
        </w:numPr>
        <w:spacing w:line="360" w:lineRule="auto"/>
        <w:jc w:val="both"/>
        <w:rPr>
          <w:rFonts w:ascii="Times New Roman" w:hAnsi="Times New Roman" w:cs="Times New Roman"/>
          <w:color w:val="000000" w:themeColor="text1"/>
          <w:sz w:val="24"/>
          <w:szCs w:val="24"/>
        </w:rPr>
      </w:pPr>
      <w:r w:rsidRPr="00D6483B">
        <w:rPr>
          <w:rFonts w:ascii="Times New Roman" w:hAnsi="Times New Roman" w:cs="Times New Roman"/>
          <w:b/>
          <w:bCs/>
          <w:color w:val="000000" w:themeColor="text1"/>
          <w:sz w:val="24"/>
          <w:szCs w:val="24"/>
        </w:rPr>
        <w:t>Transformation</w:t>
      </w:r>
      <w:r w:rsidRPr="00D6483B">
        <w:rPr>
          <w:rFonts w:ascii="Times New Roman" w:hAnsi="Times New Roman" w:cs="Times New Roman"/>
          <w:color w:val="000000" w:themeColor="text1"/>
          <w:sz w:val="24"/>
          <w:szCs w:val="24"/>
        </w:rPr>
        <w:t>:</w:t>
      </w:r>
    </w:p>
    <w:p w14:paraId="67D856A5" w14:textId="77777777" w:rsidR="00670FB8" w:rsidRPr="00D6483B" w:rsidRDefault="00670FB8" w:rsidP="006027D8">
      <w:pPr>
        <w:numPr>
          <w:ilvl w:val="1"/>
          <w:numId w:val="6"/>
        </w:numPr>
        <w:spacing w:line="360" w:lineRule="auto"/>
        <w:jc w:val="both"/>
        <w:rPr>
          <w:rFonts w:ascii="Times New Roman" w:hAnsi="Times New Roman" w:cs="Times New Roman"/>
          <w:color w:val="000000" w:themeColor="text1"/>
          <w:sz w:val="24"/>
          <w:szCs w:val="24"/>
        </w:rPr>
      </w:pPr>
      <w:r w:rsidRPr="00D6483B">
        <w:rPr>
          <w:rFonts w:ascii="Times New Roman" w:hAnsi="Times New Roman" w:cs="Times New Roman"/>
          <w:b/>
          <w:bCs/>
          <w:color w:val="000000" w:themeColor="text1"/>
          <w:sz w:val="24"/>
          <w:szCs w:val="24"/>
        </w:rPr>
        <w:t>Nitrogen</w:t>
      </w:r>
      <w:r w:rsidRPr="00D6483B">
        <w:rPr>
          <w:rFonts w:ascii="Times New Roman" w:hAnsi="Times New Roman" w:cs="Times New Roman"/>
          <w:color w:val="000000" w:themeColor="text1"/>
          <w:sz w:val="24"/>
          <w:szCs w:val="24"/>
        </w:rPr>
        <w:t>: Fixation, nitrification, denitrification.</w:t>
      </w:r>
    </w:p>
    <w:p w14:paraId="7180E5A2" w14:textId="77777777" w:rsidR="00670FB8" w:rsidRPr="00D6483B" w:rsidRDefault="00670FB8" w:rsidP="006027D8">
      <w:pPr>
        <w:numPr>
          <w:ilvl w:val="1"/>
          <w:numId w:val="6"/>
        </w:numPr>
        <w:spacing w:line="360" w:lineRule="auto"/>
        <w:jc w:val="both"/>
        <w:rPr>
          <w:rFonts w:ascii="Times New Roman" w:hAnsi="Times New Roman" w:cs="Times New Roman"/>
          <w:color w:val="000000" w:themeColor="text1"/>
          <w:sz w:val="24"/>
          <w:szCs w:val="24"/>
        </w:rPr>
      </w:pPr>
      <w:r w:rsidRPr="00D6483B">
        <w:rPr>
          <w:rFonts w:ascii="Times New Roman" w:hAnsi="Times New Roman" w:cs="Times New Roman"/>
          <w:b/>
          <w:bCs/>
          <w:color w:val="000000" w:themeColor="text1"/>
          <w:sz w:val="24"/>
          <w:szCs w:val="24"/>
        </w:rPr>
        <w:t>Phosphorus</w:t>
      </w:r>
      <w:r w:rsidRPr="00D6483B">
        <w:rPr>
          <w:rFonts w:ascii="Times New Roman" w:hAnsi="Times New Roman" w:cs="Times New Roman"/>
          <w:color w:val="000000" w:themeColor="text1"/>
          <w:sz w:val="24"/>
          <w:szCs w:val="24"/>
        </w:rPr>
        <w:t>: Sorption-desorption, mineralization, precipitation.</w:t>
      </w:r>
    </w:p>
    <w:p w14:paraId="78F6750E" w14:textId="77777777" w:rsidR="00670FB8" w:rsidRPr="00D6483B" w:rsidRDefault="00670FB8" w:rsidP="006027D8">
      <w:pPr>
        <w:pStyle w:val="ListParagraph"/>
        <w:numPr>
          <w:ilvl w:val="0"/>
          <w:numId w:val="6"/>
        </w:numPr>
        <w:spacing w:line="360" w:lineRule="auto"/>
        <w:jc w:val="both"/>
        <w:rPr>
          <w:rFonts w:ascii="Times New Roman" w:hAnsi="Times New Roman" w:cs="Times New Roman"/>
          <w:color w:val="000000" w:themeColor="text1"/>
          <w:sz w:val="24"/>
          <w:szCs w:val="24"/>
        </w:rPr>
      </w:pPr>
      <w:r w:rsidRPr="00D6483B">
        <w:rPr>
          <w:rFonts w:ascii="Times New Roman" w:hAnsi="Times New Roman" w:cs="Times New Roman"/>
          <w:b/>
          <w:bCs/>
          <w:color w:val="000000" w:themeColor="text1"/>
          <w:sz w:val="24"/>
          <w:szCs w:val="24"/>
        </w:rPr>
        <w:t>Transport</w:t>
      </w:r>
      <w:r w:rsidRPr="00D6483B">
        <w:rPr>
          <w:rFonts w:ascii="Times New Roman" w:hAnsi="Times New Roman" w:cs="Times New Roman"/>
          <w:color w:val="000000" w:themeColor="text1"/>
          <w:sz w:val="24"/>
          <w:szCs w:val="24"/>
        </w:rPr>
        <w:t>: Through surface runoff, groundwater flow, and sediment transport.</w:t>
      </w:r>
    </w:p>
    <w:p w14:paraId="0BA713A6" w14:textId="7C1A945C" w:rsidR="00670FB8" w:rsidRPr="00E7599C" w:rsidRDefault="00670FB8" w:rsidP="006027D8">
      <w:pPr>
        <w:pStyle w:val="ListParagraph"/>
        <w:numPr>
          <w:ilvl w:val="0"/>
          <w:numId w:val="6"/>
        </w:numPr>
        <w:spacing w:line="360" w:lineRule="auto"/>
        <w:jc w:val="both"/>
        <w:rPr>
          <w:rFonts w:ascii="Times New Roman" w:hAnsi="Times New Roman" w:cs="Times New Roman"/>
          <w:color w:val="000000" w:themeColor="text1"/>
          <w:sz w:val="24"/>
          <w:szCs w:val="24"/>
        </w:rPr>
      </w:pPr>
      <w:r w:rsidRPr="00D6483B">
        <w:rPr>
          <w:rFonts w:ascii="Times New Roman" w:hAnsi="Times New Roman" w:cs="Times New Roman"/>
          <w:b/>
          <w:bCs/>
          <w:color w:val="000000" w:themeColor="text1"/>
          <w:sz w:val="24"/>
          <w:szCs w:val="24"/>
        </w:rPr>
        <w:t>Loss Pathways</w:t>
      </w:r>
      <w:r w:rsidRPr="00D6483B">
        <w:rPr>
          <w:rFonts w:ascii="Times New Roman" w:hAnsi="Times New Roman" w:cs="Times New Roman"/>
          <w:color w:val="000000" w:themeColor="text1"/>
          <w:sz w:val="24"/>
          <w:szCs w:val="24"/>
        </w:rPr>
        <w:t>: Volatilization (for nitrogen), leaching, sedimentation.</w:t>
      </w:r>
    </w:p>
    <w:p w14:paraId="7A23E94C" w14:textId="0BF36CB7" w:rsidR="00E7599C" w:rsidRPr="00E7599C" w:rsidRDefault="00E7599C" w:rsidP="006027D8">
      <w:pPr>
        <w:spacing w:line="360" w:lineRule="auto"/>
        <w:jc w:val="both"/>
        <w:rPr>
          <w:rFonts w:ascii="Times New Roman" w:hAnsi="Times New Roman" w:cs="Times New Roman"/>
          <w:b/>
          <w:bCs/>
          <w:sz w:val="24"/>
          <w:szCs w:val="24"/>
        </w:rPr>
      </w:pPr>
      <w:r w:rsidRPr="00E7599C">
        <w:rPr>
          <w:rFonts w:ascii="Times New Roman" w:hAnsi="Times New Roman" w:cs="Times New Roman"/>
          <w:b/>
          <w:bCs/>
          <w:sz w:val="24"/>
          <w:szCs w:val="24"/>
        </w:rPr>
        <w:t>Nutrient cycle</w:t>
      </w:r>
    </w:p>
    <w:p w14:paraId="4BC22A83" w14:textId="68009A14" w:rsidR="009054AF" w:rsidRDefault="00670FB8" w:rsidP="006027D8">
      <w:pPr>
        <w:spacing w:line="360" w:lineRule="auto"/>
        <w:jc w:val="both"/>
        <w:rPr>
          <w:rFonts w:ascii="Times New Roman" w:hAnsi="Times New Roman" w:cs="Times New Roman"/>
          <w:sz w:val="24"/>
          <w:szCs w:val="24"/>
        </w:rPr>
      </w:pPr>
      <w:r w:rsidRPr="00670FB8">
        <w:rPr>
          <w:rFonts w:ascii="Times New Roman" w:hAnsi="Times New Roman" w:cs="Times New Roman"/>
          <w:sz w:val="24"/>
          <w:szCs w:val="24"/>
        </w:rPr>
        <w:t xml:space="preserve">The nutrient cycle, or biogeochemical cycle, describes the ongoing circulation and recycling of nutrients within Earth's ecosystems, involving both biotic (living) and abiotic (non-living) components. These cycles are vital for sustaining life, as they control the supply of essential elements required for various biological functions. Nutrients are transformed, transported, and </w:t>
      </w:r>
      <w:r w:rsidRPr="00670FB8">
        <w:rPr>
          <w:rFonts w:ascii="Times New Roman" w:hAnsi="Times New Roman" w:cs="Times New Roman"/>
          <w:sz w:val="24"/>
          <w:szCs w:val="24"/>
        </w:rPr>
        <w:lastRenderedPageBreak/>
        <w:t>reused through a series of chemical, biological, and geological processes, including weathering, decomposition, and assimilation.</w:t>
      </w:r>
    </w:p>
    <w:p w14:paraId="5CA508C4" w14:textId="0D1786E7" w:rsidR="00E7599C" w:rsidRDefault="00C6538D" w:rsidP="006027D8">
      <w:pPr>
        <w:spacing w:line="360" w:lineRule="auto"/>
        <w:jc w:val="center"/>
        <w:rPr>
          <w:rFonts w:ascii="Times New Roman" w:hAnsi="Times New Roman" w:cs="Times New Roman"/>
          <w:sz w:val="24"/>
          <w:szCs w:val="24"/>
        </w:rPr>
      </w:pPr>
      <w:r w:rsidRPr="00D6483B">
        <w:rPr>
          <w:rFonts w:ascii="Times New Roman" w:hAnsi="Times New Roman" w:cs="Times New Roman"/>
          <w:noProof/>
          <w:color w:val="000000" w:themeColor="text1"/>
        </w:rPr>
        <w:drawing>
          <wp:inline distT="0" distB="0" distL="0" distR="0" wp14:anchorId="5A9F06BC" wp14:editId="65625C12">
            <wp:extent cx="2695575" cy="2695575"/>
            <wp:effectExtent l="0" t="0" r="0" b="0"/>
            <wp:docPr id="1785492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biLevel thresh="50000"/>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a:ln>
                      <a:noFill/>
                    </a:ln>
                  </pic:spPr>
                </pic:pic>
              </a:graphicData>
            </a:graphic>
          </wp:inline>
        </w:drawing>
      </w:r>
    </w:p>
    <w:p w14:paraId="4FD0E3E7" w14:textId="25F17243" w:rsidR="00C6538D" w:rsidRPr="00096017" w:rsidRDefault="00096017" w:rsidP="00096017">
      <w:pPr>
        <w:spacing w:line="360" w:lineRule="auto"/>
        <w:jc w:val="center"/>
        <w:rPr>
          <w:rFonts w:ascii="Times New Roman" w:hAnsi="Times New Roman" w:cs="Times New Roman"/>
          <w:b/>
          <w:bCs/>
          <w:sz w:val="24"/>
          <w:szCs w:val="24"/>
        </w:rPr>
      </w:pPr>
      <w:r w:rsidRPr="00096017">
        <w:rPr>
          <w:rFonts w:ascii="Times New Roman" w:hAnsi="Times New Roman" w:cs="Times New Roman"/>
          <w:b/>
          <w:bCs/>
          <w:sz w:val="24"/>
          <w:szCs w:val="24"/>
        </w:rPr>
        <w:t>Fig.2 Nutrient cycle</w:t>
      </w:r>
    </w:p>
    <w:p w14:paraId="7116F076" w14:textId="77777777" w:rsidR="00C6538D" w:rsidRDefault="00C6538D" w:rsidP="006027D8">
      <w:pPr>
        <w:spacing w:line="360" w:lineRule="auto"/>
        <w:jc w:val="both"/>
        <w:rPr>
          <w:rFonts w:ascii="Times New Roman" w:hAnsi="Times New Roman" w:cs="Times New Roman"/>
          <w:sz w:val="24"/>
          <w:szCs w:val="24"/>
        </w:rPr>
      </w:pPr>
      <w:r w:rsidRPr="00C6538D">
        <w:rPr>
          <w:rFonts w:ascii="Times New Roman" w:hAnsi="Times New Roman" w:cs="Times New Roman"/>
          <w:b/>
          <w:bCs/>
          <w:sz w:val="24"/>
          <w:szCs w:val="24"/>
        </w:rPr>
        <w:t>Nutrient Cycling and Resource Availability</w:t>
      </w:r>
    </w:p>
    <w:p w14:paraId="1E0E7ED0" w14:textId="5A672ED7" w:rsidR="00C6538D" w:rsidRPr="00C6538D" w:rsidRDefault="00C6538D" w:rsidP="006027D8">
      <w:pPr>
        <w:pStyle w:val="ListParagraph"/>
        <w:numPr>
          <w:ilvl w:val="0"/>
          <w:numId w:val="7"/>
        </w:numPr>
        <w:spacing w:line="360" w:lineRule="auto"/>
        <w:jc w:val="both"/>
        <w:rPr>
          <w:rFonts w:ascii="Times New Roman" w:hAnsi="Times New Roman" w:cs="Times New Roman"/>
          <w:sz w:val="24"/>
          <w:szCs w:val="24"/>
        </w:rPr>
      </w:pPr>
      <w:r w:rsidRPr="00C6538D">
        <w:rPr>
          <w:rFonts w:ascii="Times New Roman" w:hAnsi="Times New Roman" w:cs="Times New Roman"/>
          <w:sz w:val="24"/>
          <w:szCs w:val="24"/>
        </w:rPr>
        <w:t>The process of nutrient cycling enhances the supply of essential, often limiting, nutrients for primary producers by reusing mineral elements, thereby establishing a vital connection between all trophic levels and the foundational energy sources within food webs.</w:t>
      </w:r>
    </w:p>
    <w:p w14:paraId="2049D261" w14:textId="4296A855" w:rsidR="00C6538D" w:rsidRDefault="00C6538D" w:rsidP="006027D8">
      <w:pPr>
        <w:pStyle w:val="ListParagraph"/>
        <w:numPr>
          <w:ilvl w:val="0"/>
          <w:numId w:val="7"/>
        </w:numPr>
        <w:spacing w:line="360" w:lineRule="auto"/>
        <w:jc w:val="both"/>
        <w:rPr>
          <w:rFonts w:ascii="Times New Roman" w:hAnsi="Times New Roman" w:cs="Times New Roman"/>
          <w:sz w:val="24"/>
          <w:szCs w:val="24"/>
        </w:rPr>
      </w:pPr>
      <w:r w:rsidRPr="00C6538D">
        <w:rPr>
          <w:rFonts w:ascii="Times New Roman" w:hAnsi="Times New Roman" w:cs="Times New Roman"/>
          <w:sz w:val="24"/>
          <w:szCs w:val="24"/>
        </w:rPr>
        <w:t>In ecosystems where nutrients are scarce, this recycling mechanism can account for over half of the total nutrient input, significantly supporting the survival and continuity of species.</w:t>
      </w:r>
    </w:p>
    <w:p w14:paraId="68D5A35E" w14:textId="77777777" w:rsidR="00C6538D" w:rsidRDefault="00C6538D" w:rsidP="006027D8">
      <w:pPr>
        <w:spacing w:line="360" w:lineRule="auto"/>
        <w:jc w:val="both"/>
        <w:rPr>
          <w:rFonts w:ascii="Times New Roman" w:hAnsi="Times New Roman" w:cs="Times New Roman"/>
          <w:sz w:val="24"/>
          <w:szCs w:val="24"/>
        </w:rPr>
      </w:pPr>
      <w:r w:rsidRPr="00C6538D">
        <w:rPr>
          <w:rFonts w:ascii="Times New Roman" w:hAnsi="Times New Roman" w:cs="Times New Roman"/>
          <w:b/>
          <w:bCs/>
          <w:sz w:val="24"/>
          <w:szCs w:val="24"/>
        </w:rPr>
        <w:t>Influence of Nutrient Cycles on Food Chains and Webs</w:t>
      </w:r>
    </w:p>
    <w:p w14:paraId="78E998C4" w14:textId="3A590517" w:rsidR="00C6538D" w:rsidRDefault="00C6538D" w:rsidP="006027D8">
      <w:pPr>
        <w:spacing w:line="360" w:lineRule="auto"/>
        <w:jc w:val="both"/>
        <w:rPr>
          <w:rFonts w:ascii="Times New Roman" w:hAnsi="Times New Roman" w:cs="Times New Roman"/>
          <w:sz w:val="24"/>
          <w:szCs w:val="24"/>
        </w:rPr>
      </w:pPr>
      <w:r w:rsidRPr="00C6538D">
        <w:rPr>
          <w:rFonts w:ascii="Times New Roman" w:hAnsi="Times New Roman" w:cs="Times New Roman"/>
          <w:sz w:val="24"/>
          <w:szCs w:val="24"/>
        </w:rPr>
        <w:t>Nutrient cycling plays a critical role in shaping the stability and overall functioning of food webs. Given that food webs are fundamental to ecosystem operations, their structure and behaviour have been extensively examined using both experimental studies and theoretical models. A central focus in this research is identifying the food web features that help maintain essential ecosystem attributes, such as species diversity, primary productivity, and secondary productivity.</w:t>
      </w:r>
    </w:p>
    <w:p w14:paraId="1CA1D293" w14:textId="1D510DC9" w:rsidR="00C6538D" w:rsidRDefault="00C6538D" w:rsidP="006027D8">
      <w:pPr>
        <w:spacing w:line="360" w:lineRule="auto"/>
        <w:jc w:val="both"/>
        <w:rPr>
          <w:rFonts w:ascii="Times New Roman" w:hAnsi="Times New Roman" w:cs="Times New Roman"/>
          <w:sz w:val="24"/>
          <w:szCs w:val="24"/>
        </w:rPr>
      </w:pPr>
      <w:r w:rsidRPr="00C6538D">
        <w:rPr>
          <w:rFonts w:ascii="Times New Roman" w:hAnsi="Times New Roman" w:cs="Times New Roman"/>
          <w:sz w:val="24"/>
          <w:szCs w:val="24"/>
        </w:rPr>
        <w:t>Models of food chains and food webs have been widely applied to explore these aspects. The recycling of vital mineral nutrients</w:t>
      </w:r>
      <w:r>
        <w:rPr>
          <w:rFonts w:ascii="Times New Roman" w:hAnsi="Times New Roman" w:cs="Times New Roman"/>
          <w:sz w:val="24"/>
          <w:szCs w:val="24"/>
        </w:rPr>
        <w:t xml:space="preserve">, </w:t>
      </w:r>
      <w:r w:rsidRPr="00C6538D">
        <w:rPr>
          <w:rFonts w:ascii="Times New Roman" w:hAnsi="Times New Roman" w:cs="Times New Roman"/>
          <w:sz w:val="24"/>
          <w:szCs w:val="24"/>
        </w:rPr>
        <w:t>particularly nitrogen and phosphorus</w:t>
      </w:r>
      <w:r>
        <w:rPr>
          <w:rFonts w:ascii="Times New Roman" w:hAnsi="Times New Roman" w:cs="Times New Roman"/>
          <w:sz w:val="24"/>
          <w:szCs w:val="24"/>
        </w:rPr>
        <w:t xml:space="preserve"> </w:t>
      </w:r>
      <w:r w:rsidRPr="00C6538D">
        <w:rPr>
          <w:rFonts w:ascii="Times New Roman" w:hAnsi="Times New Roman" w:cs="Times New Roman"/>
          <w:sz w:val="24"/>
          <w:szCs w:val="24"/>
        </w:rPr>
        <w:t xml:space="preserve">is thought to closely </w:t>
      </w:r>
      <w:r w:rsidRPr="00C6538D">
        <w:rPr>
          <w:rFonts w:ascii="Times New Roman" w:hAnsi="Times New Roman" w:cs="Times New Roman"/>
          <w:sz w:val="24"/>
          <w:szCs w:val="24"/>
        </w:rPr>
        <w:lastRenderedPageBreak/>
        <w:t>influence food web behaviour and its ability to remain stable. Food web stability can be evaluated through several metrics:</w:t>
      </w:r>
    </w:p>
    <w:p w14:paraId="511F7046" w14:textId="77777777" w:rsidR="00C6538D" w:rsidRPr="00F32B00" w:rsidRDefault="00C6538D" w:rsidP="006027D8">
      <w:pPr>
        <w:spacing w:line="360" w:lineRule="auto"/>
        <w:jc w:val="both"/>
        <w:rPr>
          <w:rFonts w:ascii="Times New Roman" w:hAnsi="Times New Roman" w:cs="Times New Roman"/>
          <w:color w:val="000000" w:themeColor="text1"/>
          <w:sz w:val="24"/>
          <w:szCs w:val="24"/>
        </w:rPr>
      </w:pPr>
      <w:r w:rsidRPr="00F32B00">
        <w:rPr>
          <w:rFonts w:ascii="Times New Roman" w:hAnsi="Times New Roman" w:cs="Times New Roman"/>
          <w:color w:val="000000" w:themeColor="text1"/>
          <w:sz w:val="24"/>
          <w:szCs w:val="24"/>
        </w:rPr>
        <w:t xml:space="preserve">The cycling of mineral nutrients such as nitrogen and phosphorus likely tightly interacts with food web dynamics and stability. Stability can be measured in different ways: </w:t>
      </w:r>
    </w:p>
    <w:p w14:paraId="3E2303DC" w14:textId="77777777" w:rsidR="00C6538D" w:rsidRPr="00F32B00" w:rsidRDefault="00C6538D" w:rsidP="006027D8">
      <w:pPr>
        <w:numPr>
          <w:ilvl w:val="0"/>
          <w:numId w:val="9"/>
        </w:numPr>
        <w:spacing w:line="360" w:lineRule="auto"/>
        <w:jc w:val="both"/>
        <w:rPr>
          <w:rFonts w:ascii="Times New Roman" w:hAnsi="Times New Roman" w:cs="Times New Roman"/>
          <w:color w:val="000000" w:themeColor="text1"/>
          <w:sz w:val="24"/>
          <w:szCs w:val="24"/>
        </w:rPr>
      </w:pPr>
      <w:r w:rsidRPr="00F32B00">
        <w:rPr>
          <w:rFonts w:ascii="Times New Roman" w:hAnsi="Times New Roman" w:cs="Times New Roman"/>
          <w:b/>
          <w:bCs/>
          <w:color w:val="000000" w:themeColor="text1"/>
          <w:sz w:val="24"/>
          <w:szCs w:val="24"/>
        </w:rPr>
        <w:t>Resilience:</w:t>
      </w:r>
      <w:r w:rsidRPr="00F32B00">
        <w:rPr>
          <w:rFonts w:ascii="Times New Roman" w:hAnsi="Times New Roman" w:cs="Times New Roman"/>
          <w:color w:val="000000" w:themeColor="text1"/>
          <w:sz w:val="24"/>
          <w:szCs w:val="24"/>
        </w:rPr>
        <w:t xml:space="preserve"> represents the ability of the system to return to its equilibrium after a disturbance </w:t>
      </w:r>
    </w:p>
    <w:p w14:paraId="6057E995" w14:textId="77777777" w:rsidR="00C6538D" w:rsidRDefault="00C6538D" w:rsidP="006027D8">
      <w:pPr>
        <w:numPr>
          <w:ilvl w:val="0"/>
          <w:numId w:val="9"/>
        </w:numPr>
        <w:spacing w:line="360" w:lineRule="auto"/>
        <w:jc w:val="both"/>
        <w:rPr>
          <w:rFonts w:ascii="Times New Roman" w:hAnsi="Times New Roman" w:cs="Times New Roman"/>
          <w:color w:val="000000" w:themeColor="text1"/>
          <w:sz w:val="24"/>
          <w:szCs w:val="24"/>
        </w:rPr>
      </w:pPr>
      <w:r w:rsidRPr="00F32B00">
        <w:rPr>
          <w:rFonts w:ascii="Times New Roman" w:hAnsi="Times New Roman" w:cs="Times New Roman"/>
          <w:b/>
          <w:bCs/>
          <w:color w:val="000000" w:themeColor="text1"/>
          <w:sz w:val="24"/>
          <w:szCs w:val="24"/>
        </w:rPr>
        <w:t>Resistance:</w:t>
      </w:r>
      <w:r w:rsidRPr="00F32B00">
        <w:rPr>
          <w:rFonts w:ascii="Times New Roman" w:hAnsi="Times New Roman" w:cs="Times New Roman"/>
          <w:color w:val="000000" w:themeColor="text1"/>
          <w:sz w:val="24"/>
          <w:szCs w:val="24"/>
        </w:rPr>
        <w:t xml:space="preserve"> measures the degree to which a variable change after a disturbance and temporal variability represents the variance of population densities over time (McCann, 2000). </w:t>
      </w:r>
    </w:p>
    <w:p w14:paraId="1806D14E" w14:textId="785EE13A" w:rsidR="00C6538D" w:rsidRPr="00C6538D" w:rsidRDefault="00C6538D" w:rsidP="006027D8">
      <w:pPr>
        <w:spacing w:line="360" w:lineRule="auto"/>
        <w:jc w:val="both"/>
        <w:rPr>
          <w:rFonts w:ascii="Times New Roman" w:hAnsi="Times New Roman" w:cs="Times New Roman"/>
          <w:b/>
          <w:bCs/>
          <w:color w:val="000000" w:themeColor="text1"/>
          <w:sz w:val="24"/>
          <w:szCs w:val="24"/>
        </w:rPr>
      </w:pPr>
      <w:r w:rsidRPr="00C6538D">
        <w:rPr>
          <w:rFonts w:ascii="Times New Roman" w:hAnsi="Times New Roman" w:cs="Times New Roman"/>
          <w:b/>
          <w:bCs/>
          <w:color w:val="000000" w:themeColor="text1"/>
          <w:sz w:val="24"/>
          <w:szCs w:val="24"/>
        </w:rPr>
        <w:t>Impact of Nutrient Cycling on Food Web Stability via Various Mechanisms</w:t>
      </w:r>
    </w:p>
    <w:p w14:paraId="0F522986" w14:textId="0500EB56" w:rsidR="00C6538D" w:rsidRDefault="00C6538D" w:rsidP="006027D8">
      <w:pPr>
        <w:spacing w:line="360" w:lineRule="auto"/>
        <w:jc w:val="both"/>
        <w:rPr>
          <w:rFonts w:ascii="Times New Roman" w:hAnsi="Times New Roman" w:cs="Times New Roman"/>
          <w:sz w:val="24"/>
          <w:szCs w:val="24"/>
        </w:rPr>
      </w:pPr>
      <w:r w:rsidRPr="00C6538D">
        <w:rPr>
          <w:rFonts w:ascii="Times New Roman" w:hAnsi="Times New Roman" w:cs="Times New Roman"/>
          <w:sz w:val="24"/>
          <w:szCs w:val="24"/>
        </w:rPr>
        <w:t>Recycled nutrients supplement external mineral nutrient inputs, potentially causing an enrichment effect within ecosystems (</w:t>
      </w:r>
      <w:proofErr w:type="spellStart"/>
      <w:r w:rsidRPr="00C6538D">
        <w:rPr>
          <w:rFonts w:ascii="Times New Roman" w:hAnsi="Times New Roman" w:cs="Times New Roman"/>
          <w:sz w:val="24"/>
          <w:szCs w:val="24"/>
        </w:rPr>
        <w:t>Loreau</w:t>
      </w:r>
      <w:proofErr w:type="spellEnd"/>
      <w:r w:rsidRPr="00C6538D">
        <w:rPr>
          <w:rFonts w:ascii="Times New Roman" w:hAnsi="Times New Roman" w:cs="Times New Roman"/>
          <w:sz w:val="24"/>
          <w:szCs w:val="24"/>
        </w:rPr>
        <w:t>, 2010). By enhancing nutrient availability, nutrient cycling promotes primary production (</w:t>
      </w:r>
      <w:proofErr w:type="spellStart"/>
      <w:r w:rsidRPr="00C6538D">
        <w:rPr>
          <w:rFonts w:ascii="Times New Roman" w:hAnsi="Times New Roman" w:cs="Times New Roman"/>
          <w:sz w:val="24"/>
          <w:szCs w:val="24"/>
        </w:rPr>
        <w:t>Loreau</w:t>
      </w:r>
      <w:proofErr w:type="spellEnd"/>
      <w:r w:rsidRPr="00C6538D">
        <w:rPr>
          <w:rFonts w:ascii="Times New Roman" w:hAnsi="Times New Roman" w:cs="Times New Roman"/>
          <w:sz w:val="24"/>
          <w:szCs w:val="24"/>
        </w:rPr>
        <w:t xml:space="preserve">, 2010), which in turn increases energy flow to consumer organisms. This boost in energy transfer can support the survival of more species and help maintain higher trophic levels (Abrams, 1993; </w:t>
      </w:r>
      <w:proofErr w:type="spellStart"/>
      <w:r w:rsidRPr="00C6538D">
        <w:rPr>
          <w:rFonts w:ascii="Times New Roman" w:hAnsi="Times New Roman" w:cs="Times New Roman"/>
          <w:sz w:val="24"/>
          <w:szCs w:val="24"/>
        </w:rPr>
        <w:t>Binzer</w:t>
      </w:r>
      <w:proofErr w:type="spellEnd"/>
      <w:r w:rsidRPr="00C6538D">
        <w:rPr>
          <w:rFonts w:ascii="Times New Roman" w:hAnsi="Times New Roman" w:cs="Times New Roman"/>
          <w:sz w:val="24"/>
          <w:szCs w:val="24"/>
        </w:rPr>
        <w:t xml:space="preserve"> et al., 2011).</w:t>
      </w:r>
      <w:r w:rsidR="00CB2EC2">
        <w:rPr>
          <w:rFonts w:ascii="Times New Roman" w:hAnsi="Times New Roman" w:cs="Times New Roman"/>
          <w:sz w:val="24"/>
          <w:szCs w:val="24"/>
        </w:rPr>
        <w:t xml:space="preserve"> </w:t>
      </w:r>
      <w:r w:rsidRPr="00C6538D">
        <w:rPr>
          <w:rFonts w:ascii="Times New Roman" w:hAnsi="Times New Roman" w:cs="Times New Roman"/>
          <w:sz w:val="24"/>
          <w:szCs w:val="24"/>
        </w:rPr>
        <w:t>However, nutrient cycling can also have destabilizing consequences for food web dynamics by elevating the availability of basal resources. When resource levels rise excessively, it may amplify population fluctuations, thereby raising the likelihood of species extinctions. In ecosystems where nutrients are limited, nutrient cycling typically enhances food web stability by promoting species survival and supporting upper trophic levels. Conversely, in nutrient-rich environments, this process may disrupt stability.</w:t>
      </w:r>
      <w:r>
        <w:rPr>
          <w:rFonts w:ascii="Times New Roman" w:hAnsi="Times New Roman" w:cs="Times New Roman"/>
          <w:sz w:val="24"/>
          <w:szCs w:val="24"/>
        </w:rPr>
        <w:t xml:space="preserve"> </w:t>
      </w:r>
      <w:r w:rsidRPr="00C6538D">
        <w:rPr>
          <w:rFonts w:ascii="Times New Roman" w:hAnsi="Times New Roman" w:cs="Times New Roman"/>
          <w:sz w:val="24"/>
          <w:szCs w:val="24"/>
        </w:rPr>
        <w:t>Additionally, nutrient cycling introduces direct feedback mechanisms from all trophic levels back to the base of the food web. These feedback loops, beyond merely increasing nutrient levels, may significantly influence biomass fluctuations across the ecosystem.</w:t>
      </w:r>
    </w:p>
    <w:p w14:paraId="6CC1E11D" w14:textId="77777777" w:rsidR="00CB2EC2" w:rsidRDefault="00CB2EC2" w:rsidP="006027D8">
      <w:pPr>
        <w:spacing w:line="360" w:lineRule="auto"/>
        <w:jc w:val="both"/>
        <w:rPr>
          <w:rFonts w:ascii="Times New Roman" w:hAnsi="Times New Roman" w:cs="Times New Roman"/>
          <w:sz w:val="24"/>
          <w:szCs w:val="24"/>
        </w:rPr>
      </w:pPr>
      <w:r w:rsidRPr="00CB2EC2">
        <w:rPr>
          <w:rFonts w:ascii="Times New Roman" w:hAnsi="Times New Roman" w:cs="Times New Roman"/>
          <w:b/>
          <w:bCs/>
          <w:sz w:val="24"/>
          <w:szCs w:val="24"/>
        </w:rPr>
        <w:t>Allometric Food Web Model</w:t>
      </w:r>
    </w:p>
    <w:p w14:paraId="32A1467B" w14:textId="4C58264B" w:rsidR="00CB2EC2" w:rsidRPr="00C6538D" w:rsidRDefault="00CB2EC2" w:rsidP="006027D8">
      <w:pPr>
        <w:spacing w:line="360" w:lineRule="auto"/>
        <w:jc w:val="both"/>
        <w:rPr>
          <w:rFonts w:ascii="Times New Roman" w:hAnsi="Times New Roman" w:cs="Times New Roman"/>
          <w:sz w:val="24"/>
          <w:szCs w:val="24"/>
        </w:rPr>
      </w:pPr>
      <w:r w:rsidRPr="00CB2EC2">
        <w:rPr>
          <w:rFonts w:ascii="Times New Roman" w:hAnsi="Times New Roman" w:cs="Times New Roman"/>
          <w:sz w:val="24"/>
          <w:szCs w:val="24"/>
        </w:rPr>
        <w:t xml:space="preserve">In an allometric food web model, multiple primary producers and consumers are interconnected through a complex web of interactions. Alongside these living components, the system also includes two non-living compartments: mineral nutrients and detritus. Organisms contribute to nutrient recycling either by directly releasing mineral nutrients or indirectly through the generation of decomposable detritus. The flow between the carbon-based biological </w:t>
      </w:r>
      <w:r w:rsidRPr="00CB2EC2">
        <w:rPr>
          <w:rFonts w:ascii="Times New Roman" w:hAnsi="Times New Roman" w:cs="Times New Roman"/>
          <w:sz w:val="24"/>
          <w:szCs w:val="24"/>
        </w:rPr>
        <w:lastRenderedPageBreak/>
        <w:t>components and the nutrient-based compartments is governed by stoichiometric principles that regulate the balance and conversion of elements.</w:t>
      </w:r>
    </w:p>
    <w:p w14:paraId="43C338BF" w14:textId="6D642348" w:rsidR="00C6538D" w:rsidRDefault="00CB2EC2" w:rsidP="006027D8">
      <w:pPr>
        <w:spacing w:line="360" w:lineRule="auto"/>
        <w:jc w:val="center"/>
        <w:rPr>
          <w:rFonts w:ascii="Times New Roman" w:hAnsi="Times New Roman" w:cs="Times New Roman"/>
          <w:sz w:val="24"/>
          <w:szCs w:val="24"/>
        </w:rPr>
      </w:pPr>
      <w:r w:rsidRPr="00D6483B">
        <w:rPr>
          <w:rFonts w:ascii="Times New Roman" w:hAnsi="Times New Roman" w:cs="Times New Roman"/>
          <w:noProof/>
          <w:color w:val="000000" w:themeColor="text1"/>
          <w:sz w:val="24"/>
          <w:szCs w:val="24"/>
        </w:rPr>
        <w:drawing>
          <wp:inline distT="0" distB="0" distL="0" distR="0" wp14:anchorId="35AA70BA" wp14:editId="66B354E0">
            <wp:extent cx="2000250" cy="2401348"/>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a:srcRect l="16757" r="15066"/>
                    <a:stretch>
                      <a:fillRect/>
                    </a:stretch>
                  </pic:blipFill>
                  <pic:spPr>
                    <a:xfrm>
                      <a:off x="0" y="0"/>
                      <a:ext cx="2010585" cy="2413755"/>
                    </a:xfrm>
                    <a:prstGeom prst="rect">
                      <a:avLst/>
                    </a:prstGeom>
                  </pic:spPr>
                </pic:pic>
              </a:graphicData>
            </a:graphic>
          </wp:inline>
        </w:drawing>
      </w:r>
    </w:p>
    <w:p w14:paraId="0D4874BA" w14:textId="77F0F094" w:rsidR="00CB2EC2" w:rsidRPr="00096017" w:rsidRDefault="00096017" w:rsidP="006027D8">
      <w:pPr>
        <w:spacing w:line="360" w:lineRule="auto"/>
        <w:jc w:val="center"/>
        <w:rPr>
          <w:rFonts w:ascii="Times New Roman" w:hAnsi="Times New Roman" w:cs="Times New Roman"/>
          <w:b/>
          <w:bCs/>
          <w:color w:val="000000" w:themeColor="text1"/>
          <w:sz w:val="24"/>
          <w:szCs w:val="24"/>
        </w:rPr>
      </w:pPr>
      <w:r w:rsidRPr="00096017">
        <w:rPr>
          <w:rFonts w:ascii="Times New Roman" w:hAnsi="Times New Roman" w:cs="Times New Roman"/>
          <w:b/>
          <w:bCs/>
          <w:color w:val="000000" w:themeColor="text1"/>
          <w:sz w:val="24"/>
          <w:szCs w:val="24"/>
        </w:rPr>
        <w:t xml:space="preserve">Fig.3 </w:t>
      </w:r>
      <w:r w:rsidR="00CB2EC2" w:rsidRPr="00096017">
        <w:rPr>
          <w:rFonts w:ascii="Times New Roman" w:hAnsi="Times New Roman" w:cs="Times New Roman"/>
          <w:b/>
          <w:bCs/>
          <w:color w:val="000000" w:themeColor="text1"/>
          <w:sz w:val="24"/>
          <w:szCs w:val="24"/>
        </w:rPr>
        <w:t>Schematic diagram of the modelled food web</w:t>
      </w:r>
    </w:p>
    <w:p w14:paraId="6EEDF1D6" w14:textId="3D437F32" w:rsidR="00CB2EC2" w:rsidRDefault="00CB2EC2" w:rsidP="006027D8">
      <w:pPr>
        <w:spacing w:line="360" w:lineRule="auto"/>
        <w:jc w:val="both"/>
        <w:rPr>
          <w:rFonts w:ascii="Times New Roman" w:hAnsi="Times New Roman" w:cs="Times New Roman"/>
          <w:sz w:val="24"/>
          <w:szCs w:val="24"/>
        </w:rPr>
      </w:pPr>
      <w:r w:rsidRPr="00CB2EC2">
        <w:rPr>
          <w:rFonts w:ascii="Times New Roman" w:hAnsi="Times New Roman" w:cs="Times New Roman"/>
          <w:sz w:val="24"/>
          <w:szCs w:val="24"/>
        </w:rPr>
        <w:t xml:space="preserve">Models incorporating allometric relationships have become increasingly popular for examining the dynamics and stability of food webs, as they can successfully replicate observed patterns and </w:t>
      </w:r>
      <w:proofErr w:type="spellStart"/>
      <w:r w:rsidRPr="00CB2EC2">
        <w:rPr>
          <w:rFonts w:ascii="Times New Roman" w:hAnsi="Times New Roman" w:cs="Times New Roman"/>
          <w:sz w:val="24"/>
          <w:szCs w:val="24"/>
        </w:rPr>
        <w:t>behaviors</w:t>
      </w:r>
      <w:proofErr w:type="spellEnd"/>
      <w:r w:rsidRPr="00CB2EC2">
        <w:rPr>
          <w:rFonts w:ascii="Times New Roman" w:hAnsi="Times New Roman" w:cs="Times New Roman"/>
          <w:sz w:val="24"/>
          <w:szCs w:val="24"/>
        </w:rPr>
        <w:t xml:space="preserve"> in complex ecosystems. Although the current model is calibrated for nitrogen, it can also be adapted to represent other essential limiting nutrients like phosphorus. A simplified version of this food web model is represented by a three-species food chain, consisting of a primary producer, an herbivore, and a carnivore. By including nutrient cycling in the model, it becomes possible to more effectively connect species population dynamics with broader ecosystem processes and functions.</w:t>
      </w:r>
    </w:p>
    <w:p w14:paraId="7176DA19" w14:textId="77777777" w:rsidR="00CB2EC2" w:rsidRDefault="00CB2EC2" w:rsidP="006027D8">
      <w:pPr>
        <w:spacing w:line="360" w:lineRule="auto"/>
        <w:jc w:val="both"/>
        <w:rPr>
          <w:rFonts w:ascii="Times New Roman" w:hAnsi="Times New Roman" w:cs="Times New Roman"/>
          <w:sz w:val="24"/>
          <w:szCs w:val="24"/>
        </w:rPr>
      </w:pPr>
      <w:r w:rsidRPr="00CB2EC2">
        <w:rPr>
          <w:rFonts w:ascii="Times New Roman" w:hAnsi="Times New Roman" w:cs="Times New Roman"/>
          <w:b/>
          <w:bCs/>
          <w:sz w:val="24"/>
          <w:szCs w:val="24"/>
        </w:rPr>
        <w:t>Nutrient Cycling and Enrichment Effects</w:t>
      </w:r>
    </w:p>
    <w:p w14:paraId="51BC70F1" w14:textId="77777777" w:rsidR="00CB2EC2" w:rsidRPr="00CB2EC2" w:rsidRDefault="00CB2EC2" w:rsidP="006027D8">
      <w:pPr>
        <w:pStyle w:val="ListParagraph"/>
        <w:numPr>
          <w:ilvl w:val="0"/>
          <w:numId w:val="10"/>
        </w:numPr>
        <w:spacing w:line="360" w:lineRule="auto"/>
        <w:jc w:val="both"/>
        <w:rPr>
          <w:rFonts w:ascii="Times New Roman" w:hAnsi="Times New Roman" w:cs="Times New Roman"/>
          <w:sz w:val="24"/>
          <w:szCs w:val="24"/>
        </w:rPr>
      </w:pPr>
      <w:r w:rsidRPr="00CB2EC2">
        <w:rPr>
          <w:rFonts w:ascii="Times New Roman" w:hAnsi="Times New Roman" w:cs="Times New Roman"/>
          <w:sz w:val="24"/>
          <w:szCs w:val="24"/>
        </w:rPr>
        <w:t>The influence of nutrient cycling on food web stability is primarily driven by how it alters nutrient availability within ecosystems.</w:t>
      </w:r>
    </w:p>
    <w:p w14:paraId="694A131C" w14:textId="6E13FEF2" w:rsidR="00CB2EC2" w:rsidRPr="00CB2EC2" w:rsidRDefault="00CB2EC2" w:rsidP="006027D8">
      <w:pPr>
        <w:pStyle w:val="ListParagraph"/>
        <w:numPr>
          <w:ilvl w:val="0"/>
          <w:numId w:val="10"/>
        </w:numPr>
        <w:spacing w:line="360" w:lineRule="auto"/>
        <w:jc w:val="both"/>
        <w:rPr>
          <w:rFonts w:ascii="Times New Roman" w:hAnsi="Times New Roman" w:cs="Times New Roman"/>
          <w:sz w:val="24"/>
          <w:szCs w:val="24"/>
        </w:rPr>
      </w:pPr>
      <w:r w:rsidRPr="00CB2EC2">
        <w:rPr>
          <w:rFonts w:ascii="Times New Roman" w:hAnsi="Times New Roman" w:cs="Times New Roman"/>
          <w:sz w:val="24"/>
          <w:szCs w:val="24"/>
        </w:rPr>
        <w:t>This process creates an enrichment effect that supports species survival under low nutrient conditions but may disrupt ecosystem stability when nutrient levels are high.</w:t>
      </w:r>
    </w:p>
    <w:p w14:paraId="3D0466C2" w14:textId="4DEB8A53" w:rsidR="00096017" w:rsidRPr="00311C90" w:rsidRDefault="00CB2EC2" w:rsidP="006027D8">
      <w:pPr>
        <w:pStyle w:val="ListParagraph"/>
        <w:numPr>
          <w:ilvl w:val="0"/>
          <w:numId w:val="10"/>
        </w:numPr>
        <w:spacing w:line="360" w:lineRule="auto"/>
        <w:jc w:val="both"/>
        <w:rPr>
          <w:rFonts w:ascii="Times New Roman" w:hAnsi="Times New Roman" w:cs="Times New Roman"/>
          <w:b/>
          <w:bCs/>
          <w:sz w:val="24"/>
          <w:szCs w:val="24"/>
        </w:rPr>
      </w:pPr>
      <w:r w:rsidRPr="00CB2EC2">
        <w:rPr>
          <w:rFonts w:ascii="Times New Roman" w:hAnsi="Times New Roman" w:cs="Times New Roman"/>
          <w:sz w:val="24"/>
          <w:szCs w:val="24"/>
        </w:rPr>
        <w:t>In nutrient-rich environments, excessive primary production can occur, often resulting in species loss and a decline in the overall complexity of the food web.</w:t>
      </w:r>
    </w:p>
    <w:p w14:paraId="18738B2D" w14:textId="2DB9692B" w:rsidR="00CB2EC2" w:rsidRDefault="00CB2EC2" w:rsidP="006027D8">
      <w:pPr>
        <w:spacing w:line="360" w:lineRule="auto"/>
        <w:jc w:val="both"/>
        <w:rPr>
          <w:rFonts w:ascii="Times New Roman" w:hAnsi="Times New Roman" w:cs="Times New Roman"/>
          <w:sz w:val="24"/>
          <w:szCs w:val="24"/>
        </w:rPr>
      </w:pPr>
      <w:r w:rsidRPr="00CB2EC2">
        <w:rPr>
          <w:rFonts w:ascii="Times New Roman" w:hAnsi="Times New Roman" w:cs="Times New Roman"/>
          <w:b/>
          <w:bCs/>
          <w:sz w:val="24"/>
          <w:szCs w:val="24"/>
        </w:rPr>
        <w:t>Influence of the Detrital Food Chain on Nutrient Distribution</w:t>
      </w:r>
    </w:p>
    <w:p w14:paraId="3A2C5DD6" w14:textId="77777777" w:rsidR="00CB2EC2" w:rsidRDefault="00CB2EC2" w:rsidP="006027D8">
      <w:pPr>
        <w:spacing w:line="360" w:lineRule="auto"/>
        <w:jc w:val="both"/>
        <w:rPr>
          <w:rFonts w:ascii="Times New Roman" w:hAnsi="Times New Roman" w:cs="Times New Roman"/>
          <w:sz w:val="24"/>
          <w:szCs w:val="24"/>
        </w:rPr>
      </w:pPr>
      <w:r w:rsidRPr="00CB2EC2">
        <w:rPr>
          <w:rFonts w:ascii="Times New Roman" w:hAnsi="Times New Roman" w:cs="Times New Roman"/>
          <w:sz w:val="24"/>
          <w:szCs w:val="24"/>
        </w:rPr>
        <w:lastRenderedPageBreak/>
        <w:t>Detritus acts as a vital nutrient reservoir that supports higher trophic levels, though it is frequently neglected in ecological research. It facilitates the return of nutrients to the grazing food chain by recycling organic materials.</w:t>
      </w:r>
    </w:p>
    <w:p w14:paraId="7FDCEF69" w14:textId="77777777" w:rsidR="00CB2EC2" w:rsidRDefault="00CB2EC2" w:rsidP="006027D8">
      <w:pPr>
        <w:spacing w:line="360" w:lineRule="auto"/>
        <w:jc w:val="both"/>
        <w:rPr>
          <w:rFonts w:ascii="Times New Roman" w:hAnsi="Times New Roman" w:cs="Times New Roman"/>
          <w:sz w:val="24"/>
          <w:szCs w:val="24"/>
        </w:rPr>
      </w:pPr>
      <w:r w:rsidRPr="00CB2EC2">
        <w:rPr>
          <w:rFonts w:ascii="Times New Roman" w:hAnsi="Times New Roman" w:cs="Times New Roman"/>
          <w:b/>
          <w:bCs/>
          <w:sz w:val="24"/>
          <w:szCs w:val="24"/>
        </w:rPr>
        <w:t>The transformation of dead organic matter occurs in two main stages:</w:t>
      </w:r>
    </w:p>
    <w:p w14:paraId="1A3079CD" w14:textId="77777777" w:rsidR="00CB2EC2" w:rsidRDefault="00CB2EC2" w:rsidP="006027D8">
      <w:pPr>
        <w:spacing w:line="360" w:lineRule="auto"/>
        <w:jc w:val="both"/>
        <w:rPr>
          <w:rFonts w:ascii="Times New Roman" w:hAnsi="Times New Roman" w:cs="Times New Roman"/>
          <w:sz w:val="24"/>
          <w:szCs w:val="24"/>
        </w:rPr>
      </w:pPr>
      <w:r w:rsidRPr="00CB2EC2">
        <w:rPr>
          <w:rFonts w:ascii="Times New Roman" w:hAnsi="Times New Roman" w:cs="Times New Roman"/>
          <w:b/>
          <w:bCs/>
          <w:sz w:val="24"/>
          <w:szCs w:val="24"/>
        </w:rPr>
        <w:t>Decomposition</w:t>
      </w:r>
      <w:r w:rsidRPr="00CB2EC2">
        <w:rPr>
          <w:rFonts w:ascii="Times New Roman" w:hAnsi="Times New Roman" w:cs="Times New Roman"/>
          <w:sz w:val="24"/>
          <w:szCs w:val="24"/>
        </w:rPr>
        <w:t xml:space="preserve"> – a stepwise breakdown process that eventually results in nutrient release.</w:t>
      </w:r>
    </w:p>
    <w:p w14:paraId="792D35D8" w14:textId="77777777" w:rsidR="00CB2EC2" w:rsidRDefault="00CB2EC2" w:rsidP="006027D8">
      <w:pPr>
        <w:spacing w:line="360" w:lineRule="auto"/>
        <w:jc w:val="both"/>
        <w:rPr>
          <w:rFonts w:ascii="Times New Roman" w:hAnsi="Times New Roman" w:cs="Times New Roman"/>
          <w:sz w:val="24"/>
          <w:szCs w:val="24"/>
        </w:rPr>
      </w:pPr>
      <w:r w:rsidRPr="00CB2EC2">
        <w:rPr>
          <w:rFonts w:ascii="Times New Roman" w:hAnsi="Times New Roman" w:cs="Times New Roman"/>
          <w:b/>
          <w:bCs/>
          <w:sz w:val="24"/>
          <w:szCs w:val="24"/>
        </w:rPr>
        <w:t>Mineralization</w:t>
      </w:r>
      <w:r w:rsidRPr="00CB2EC2">
        <w:rPr>
          <w:rFonts w:ascii="Times New Roman" w:hAnsi="Times New Roman" w:cs="Times New Roman"/>
          <w:sz w:val="24"/>
          <w:szCs w:val="24"/>
        </w:rPr>
        <w:t xml:space="preserve"> – the process of converting organic nutrients into inorganic mineral forms.</w:t>
      </w:r>
    </w:p>
    <w:p w14:paraId="64A96ED0" w14:textId="77777777" w:rsidR="00CB2EC2" w:rsidRPr="00CB2EC2" w:rsidRDefault="00CB2EC2" w:rsidP="006027D8">
      <w:pPr>
        <w:pStyle w:val="ListParagraph"/>
        <w:numPr>
          <w:ilvl w:val="0"/>
          <w:numId w:val="11"/>
        </w:numPr>
        <w:spacing w:line="360" w:lineRule="auto"/>
        <w:jc w:val="both"/>
        <w:rPr>
          <w:rFonts w:ascii="Times New Roman" w:hAnsi="Times New Roman" w:cs="Times New Roman"/>
          <w:sz w:val="24"/>
          <w:szCs w:val="24"/>
        </w:rPr>
      </w:pPr>
      <w:r w:rsidRPr="00CB2EC2">
        <w:rPr>
          <w:rFonts w:ascii="Times New Roman" w:hAnsi="Times New Roman" w:cs="Times New Roman"/>
          <w:sz w:val="24"/>
          <w:szCs w:val="24"/>
        </w:rPr>
        <w:t>The decomposition rate is largely influenced by environmental conditions such as temperature, oxygen levels, and moisture.</w:t>
      </w:r>
    </w:p>
    <w:p w14:paraId="1FC416C2" w14:textId="4D0219ED" w:rsidR="00CB2EC2" w:rsidRDefault="00CB2EC2" w:rsidP="006027D8">
      <w:pPr>
        <w:pStyle w:val="ListParagraph"/>
        <w:numPr>
          <w:ilvl w:val="0"/>
          <w:numId w:val="11"/>
        </w:numPr>
        <w:spacing w:line="360" w:lineRule="auto"/>
        <w:jc w:val="both"/>
        <w:rPr>
          <w:rFonts w:ascii="Times New Roman" w:hAnsi="Times New Roman" w:cs="Times New Roman"/>
          <w:sz w:val="24"/>
          <w:szCs w:val="24"/>
        </w:rPr>
      </w:pPr>
      <w:r w:rsidRPr="00CB2EC2">
        <w:rPr>
          <w:rFonts w:ascii="Times New Roman" w:hAnsi="Times New Roman" w:cs="Times New Roman"/>
          <w:sz w:val="24"/>
          <w:szCs w:val="24"/>
        </w:rPr>
        <w:t>The detritivore food chain consists of heterotrophs that consume decaying organic matter, thereby playing a key role in supplying nutrients that feed into and sustain the herbivore food chain.</w:t>
      </w:r>
    </w:p>
    <w:p w14:paraId="7A7E62EB" w14:textId="77777777" w:rsidR="00CB2EC2" w:rsidRPr="00CB2EC2" w:rsidRDefault="00CB2EC2" w:rsidP="006027D8">
      <w:pPr>
        <w:spacing w:line="360" w:lineRule="auto"/>
        <w:jc w:val="both"/>
        <w:rPr>
          <w:rFonts w:ascii="Times New Roman" w:hAnsi="Times New Roman" w:cs="Times New Roman"/>
          <w:sz w:val="24"/>
          <w:szCs w:val="24"/>
        </w:rPr>
      </w:pPr>
      <w:proofErr w:type="spellStart"/>
      <w:r w:rsidRPr="00CB2EC2">
        <w:rPr>
          <w:rFonts w:ascii="Times New Roman" w:hAnsi="Times New Roman" w:cs="Times New Roman"/>
          <w:b/>
          <w:bCs/>
          <w:sz w:val="24"/>
          <w:szCs w:val="24"/>
        </w:rPr>
        <w:t>Fragmenters</w:t>
      </w:r>
      <w:proofErr w:type="spellEnd"/>
      <w:r w:rsidRPr="00CB2EC2">
        <w:rPr>
          <w:rFonts w:ascii="Times New Roman" w:hAnsi="Times New Roman" w:cs="Times New Roman"/>
          <w:b/>
          <w:bCs/>
          <w:sz w:val="24"/>
          <w:szCs w:val="24"/>
        </w:rPr>
        <w:t>:</w:t>
      </w:r>
    </w:p>
    <w:p w14:paraId="5DA5D698" w14:textId="77777777" w:rsidR="00CB2EC2" w:rsidRPr="00CB2EC2" w:rsidRDefault="00CB2EC2" w:rsidP="006027D8">
      <w:pPr>
        <w:spacing w:line="360" w:lineRule="auto"/>
        <w:jc w:val="both"/>
        <w:rPr>
          <w:rFonts w:ascii="Times New Roman" w:hAnsi="Times New Roman" w:cs="Times New Roman"/>
          <w:sz w:val="24"/>
          <w:szCs w:val="24"/>
        </w:rPr>
      </w:pPr>
      <w:proofErr w:type="spellStart"/>
      <w:r w:rsidRPr="00CB2EC2">
        <w:rPr>
          <w:rFonts w:ascii="Times New Roman" w:hAnsi="Times New Roman" w:cs="Times New Roman"/>
          <w:b/>
          <w:bCs/>
          <w:sz w:val="24"/>
          <w:szCs w:val="24"/>
        </w:rPr>
        <w:t>Microfauna</w:t>
      </w:r>
      <w:proofErr w:type="spellEnd"/>
      <w:r w:rsidRPr="00CB2EC2">
        <w:rPr>
          <w:rFonts w:ascii="Times New Roman" w:hAnsi="Times New Roman" w:cs="Times New Roman"/>
          <w:b/>
          <w:bCs/>
          <w:sz w:val="24"/>
          <w:szCs w:val="24"/>
        </w:rPr>
        <w:t xml:space="preserve"> and Microflora</w:t>
      </w:r>
      <w:r w:rsidRPr="00CB2EC2">
        <w:rPr>
          <w:rFonts w:ascii="Times New Roman" w:hAnsi="Times New Roman" w:cs="Times New Roman"/>
          <w:sz w:val="24"/>
          <w:szCs w:val="24"/>
        </w:rPr>
        <w:t xml:space="preserve"> – These organisms, typically under 2 mm in size, include millipedes, earthworms, snails, amphipods, and isopods. They break down large pieces of organic matter into smaller fragments, making it more accessible for decomposers.</w:t>
      </w:r>
    </w:p>
    <w:p w14:paraId="3E265D8F" w14:textId="77777777" w:rsidR="00CB2EC2" w:rsidRPr="00CB2EC2" w:rsidRDefault="00CB2EC2" w:rsidP="006027D8">
      <w:pPr>
        <w:spacing w:line="360" w:lineRule="auto"/>
        <w:jc w:val="both"/>
        <w:rPr>
          <w:rFonts w:ascii="Times New Roman" w:hAnsi="Times New Roman" w:cs="Times New Roman"/>
          <w:sz w:val="24"/>
          <w:szCs w:val="24"/>
        </w:rPr>
      </w:pPr>
      <w:r w:rsidRPr="00CB2EC2">
        <w:rPr>
          <w:rFonts w:ascii="Times New Roman" w:hAnsi="Times New Roman" w:cs="Times New Roman"/>
          <w:b/>
          <w:bCs/>
          <w:sz w:val="24"/>
          <w:szCs w:val="24"/>
        </w:rPr>
        <w:t>Decomposers:</w:t>
      </w:r>
      <w:r w:rsidRPr="00CB2EC2">
        <w:rPr>
          <w:rFonts w:ascii="Times New Roman" w:hAnsi="Times New Roman" w:cs="Times New Roman"/>
          <w:sz w:val="24"/>
          <w:szCs w:val="24"/>
        </w:rPr>
        <w:br/>
        <w:t>These include bacteria and fungi, which further break down fragmented organic material into simpler compounds through biochemical processes.</w:t>
      </w:r>
    </w:p>
    <w:p w14:paraId="3C8E2682" w14:textId="77777777" w:rsidR="00311C90" w:rsidRDefault="00311C90" w:rsidP="006027D8">
      <w:pPr>
        <w:spacing w:line="360" w:lineRule="auto"/>
        <w:jc w:val="both"/>
        <w:rPr>
          <w:rFonts w:ascii="Times New Roman" w:hAnsi="Times New Roman" w:cs="Times New Roman"/>
          <w:b/>
          <w:bCs/>
          <w:sz w:val="24"/>
          <w:szCs w:val="24"/>
        </w:rPr>
      </w:pPr>
    </w:p>
    <w:p w14:paraId="1106146F" w14:textId="602668C5" w:rsidR="00CB2EC2" w:rsidRDefault="00CB2EC2" w:rsidP="006027D8">
      <w:pPr>
        <w:spacing w:line="360" w:lineRule="auto"/>
        <w:jc w:val="both"/>
        <w:rPr>
          <w:rFonts w:ascii="Times New Roman" w:hAnsi="Times New Roman" w:cs="Times New Roman"/>
          <w:sz w:val="24"/>
          <w:szCs w:val="24"/>
        </w:rPr>
      </w:pPr>
      <w:r w:rsidRPr="00CB2EC2">
        <w:rPr>
          <w:rFonts w:ascii="Times New Roman" w:hAnsi="Times New Roman" w:cs="Times New Roman"/>
          <w:b/>
          <w:bCs/>
          <w:sz w:val="24"/>
          <w:szCs w:val="24"/>
        </w:rPr>
        <w:t>Decomposition in Aquatic Environments:</w:t>
      </w:r>
    </w:p>
    <w:p w14:paraId="60E016B5" w14:textId="17039340" w:rsidR="00CB2EC2" w:rsidRPr="00CB2EC2" w:rsidRDefault="00CB2EC2" w:rsidP="006027D8">
      <w:pPr>
        <w:spacing w:line="360" w:lineRule="auto"/>
        <w:jc w:val="both"/>
        <w:rPr>
          <w:rFonts w:ascii="Times New Roman" w:hAnsi="Times New Roman" w:cs="Times New Roman"/>
          <w:sz w:val="24"/>
          <w:szCs w:val="24"/>
        </w:rPr>
      </w:pPr>
      <w:r w:rsidRPr="00CB2EC2">
        <w:rPr>
          <w:rFonts w:ascii="Times New Roman" w:hAnsi="Times New Roman" w:cs="Times New Roman"/>
          <w:sz w:val="24"/>
          <w:szCs w:val="24"/>
        </w:rPr>
        <w:t>In aquatic systems, decomposition is influenced by environmental factors. Photosynthesis occurs primarily at the surface, while organic detritus sinks to the benthic zone. In this lower zone, reduced oxygen levels and cooler temperatures slow decomposition. Seasonal changes affect water movement</w:t>
      </w:r>
      <w:r>
        <w:rPr>
          <w:rFonts w:ascii="Times New Roman" w:hAnsi="Times New Roman" w:cs="Times New Roman"/>
          <w:sz w:val="24"/>
          <w:szCs w:val="24"/>
        </w:rPr>
        <w:t xml:space="preserve"> </w:t>
      </w:r>
      <w:r w:rsidRPr="00CB2EC2">
        <w:rPr>
          <w:rFonts w:ascii="Times New Roman" w:hAnsi="Times New Roman" w:cs="Times New Roman"/>
          <w:sz w:val="24"/>
          <w:szCs w:val="24"/>
        </w:rPr>
        <w:t>stratification typically occurs in summer, creating distinct layers, while mixing happens during fall/autumn turnovers, redistributing nutrients and oxygen throughout the water column.</w:t>
      </w:r>
    </w:p>
    <w:p w14:paraId="6CCE59D9" w14:textId="059E2AA7" w:rsidR="00CB2EC2" w:rsidRDefault="00CB2EC2" w:rsidP="006027D8">
      <w:pPr>
        <w:spacing w:line="360" w:lineRule="auto"/>
        <w:jc w:val="both"/>
        <w:rPr>
          <w:rFonts w:ascii="Times New Roman" w:hAnsi="Times New Roman" w:cs="Times New Roman"/>
          <w:color w:val="000000" w:themeColor="text1"/>
          <w:sz w:val="24"/>
          <w:szCs w:val="24"/>
        </w:rPr>
      </w:pPr>
      <w:r w:rsidRPr="00CB2EC2">
        <w:rPr>
          <w:rFonts w:ascii="Times New Roman" w:hAnsi="Times New Roman" w:cs="Times New Roman"/>
          <w:b/>
          <w:bCs/>
          <w:sz w:val="24"/>
          <w:szCs w:val="24"/>
        </w:rPr>
        <w:t>Conclusion</w:t>
      </w:r>
      <w:r w:rsidRPr="00CB2EC2">
        <w:rPr>
          <w:rFonts w:ascii="Times New Roman" w:hAnsi="Times New Roman" w:cs="Times New Roman"/>
          <w:sz w:val="24"/>
          <w:szCs w:val="24"/>
        </w:rPr>
        <w:br/>
      </w:r>
      <w:r w:rsidRPr="00D26CC5">
        <w:rPr>
          <w:rFonts w:ascii="Times New Roman" w:hAnsi="Times New Roman" w:cs="Times New Roman"/>
          <w:color w:val="000000" w:themeColor="text1"/>
          <w:sz w:val="24"/>
          <w:szCs w:val="24"/>
        </w:rPr>
        <w:t xml:space="preserve">In an ecosystem model linking population dynamics in a food web to ecosystem functioning, we found strong effects of nutrient cycling on food web stability. Real ecosystems are known </w:t>
      </w:r>
      <w:r w:rsidRPr="00D26CC5">
        <w:rPr>
          <w:rFonts w:ascii="Times New Roman" w:hAnsi="Times New Roman" w:cs="Times New Roman"/>
          <w:color w:val="000000" w:themeColor="text1"/>
          <w:sz w:val="24"/>
          <w:szCs w:val="24"/>
        </w:rPr>
        <w:lastRenderedPageBreak/>
        <w:t xml:space="preserve">to differ by their dependence on external inputs of mineral nutrients, and ecosystems relying less on such inputs likely depend more on nutrient cycling than ecosystems depending more on external inputs. Therefore, nutrient cycling, as suggested by our results, could influence the food webs of these ecosystems in contrasted ways. It would also be interesting to compare food webs of different types of natural ecosystem with contrasting nutrient cycling and mineralisation rates. In fact, detritus </w:t>
      </w:r>
      <w:r w:rsidR="006027D8" w:rsidRPr="00D26CC5">
        <w:rPr>
          <w:rFonts w:ascii="Times New Roman" w:hAnsi="Times New Roman" w:cs="Times New Roman"/>
          <w:color w:val="000000" w:themeColor="text1"/>
          <w:sz w:val="24"/>
          <w:szCs w:val="24"/>
        </w:rPr>
        <w:t>is</w:t>
      </w:r>
      <w:r w:rsidRPr="00D26CC5">
        <w:rPr>
          <w:rFonts w:ascii="Times New Roman" w:hAnsi="Times New Roman" w:cs="Times New Roman"/>
          <w:color w:val="000000" w:themeColor="text1"/>
          <w:sz w:val="24"/>
          <w:szCs w:val="24"/>
        </w:rPr>
        <w:t xml:space="preserve"> more than a transient pool for nutrients since, in real food webs, they are resources for decomposers and are recycled through the whole brown food web (Moore et al., 2004).</w:t>
      </w:r>
    </w:p>
    <w:p w14:paraId="1B6B8FFD" w14:textId="0C03803E" w:rsidR="00CB2EC2" w:rsidRDefault="00CB2EC2" w:rsidP="006027D8">
      <w:pPr>
        <w:spacing w:line="360" w:lineRule="auto"/>
        <w:jc w:val="both"/>
        <w:rPr>
          <w:rFonts w:ascii="Times New Roman" w:hAnsi="Times New Roman" w:cs="Times New Roman"/>
          <w:b/>
          <w:bCs/>
          <w:color w:val="000000" w:themeColor="text1"/>
          <w:sz w:val="24"/>
          <w:szCs w:val="24"/>
        </w:rPr>
      </w:pPr>
      <w:r w:rsidRPr="006027D8">
        <w:rPr>
          <w:rFonts w:ascii="Times New Roman" w:hAnsi="Times New Roman" w:cs="Times New Roman"/>
          <w:b/>
          <w:bCs/>
          <w:color w:val="000000" w:themeColor="text1"/>
          <w:sz w:val="24"/>
          <w:szCs w:val="24"/>
        </w:rPr>
        <w:t>Reference</w:t>
      </w:r>
    </w:p>
    <w:p w14:paraId="5433969C" w14:textId="77777777" w:rsidR="006027D8" w:rsidRPr="00D6483B" w:rsidRDefault="006027D8" w:rsidP="006027D8">
      <w:pPr>
        <w:spacing w:line="360" w:lineRule="auto"/>
        <w:jc w:val="both"/>
        <w:rPr>
          <w:rFonts w:ascii="Times New Roman" w:hAnsi="Times New Roman" w:cs="Times New Roman"/>
          <w:color w:val="000000" w:themeColor="text1"/>
          <w:sz w:val="24"/>
          <w:szCs w:val="24"/>
        </w:rPr>
      </w:pPr>
      <w:r w:rsidRPr="00D6483B">
        <w:rPr>
          <w:rFonts w:ascii="Times New Roman" w:hAnsi="Times New Roman" w:cs="Times New Roman"/>
          <w:color w:val="000000" w:themeColor="text1"/>
          <w:sz w:val="24"/>
          <w:szCs w:val="24"/>
        </w:rPr>
        <w:t xml:space="preserve">Harrison, M.D. (2016). Nutrient Dynamics. In: </w:t>
      </w:r>
      <w:proofErr w:type="spellStart"/>
      <w:r w:rsidRPr="00D6483B">
        <w:rPr>
          <w:rFonts w:ascii="Times New Roman" w:hAnsi="Times New Roman" w:cs="Times New Roman"/>
          <w:color w:val="000000" w:themeColor="text1"/>
          <w:sz w:val="24"/>
          <w:szCs w:val="24"/>
        </w:rPr>
        <w:t>Kennish</w:t>
      </w:r>
      <w:proofErr w:type="spellEnd"/>
      <w:r w:rsidRPr="00D6483B">
        <w:rPr>
          <w:rFonts w:ascii="Times New Roman" w:hAnsi="Times New Roman" w:cs="Times New Roman"/>
          <w:color w:val="000000" w:themeColor="text1"/>
          <w:sz w:val="24"/>
          <w:szCs w:val="24"/>
        </w:rPr>
        <w:t xml:space="preserve">, M.J. (eds) </w:t>
      </w:r>
      <w:proofErr w:type="spellStart"/>
      <w:r w:rsidRPr="00D6483B">
        <w:rPr>
          <w:rFonts w:ascii="Times New Roman" w:hAnsi="Times New Roman" w:cs="Times New Roman"/>
          <w:color w:val="000000" w:themeColor="text1"/>
          <w:sz w:val="24"/>
          <w:szCs w:val="24"/>
        </w:rPr>
        <w:t>Encyclopedia</w:t>
      </w:r>
      <w:proofErr w:type="spellEnd"/>
      <w:r w:rsidRPr="00D6483B">
        <w:rPr>
          <w:rFonts w:ascii="Times New Roman" w:hAnsi="Times New Roman" w:cs="Times New Roman"/>
          <w:color w:val="000000" w:themeColor="text1"/>
          <w:sz w:val="24"/>
          <w:szCs w:val="24"/>
        </w:rPr>
        <w:t xml:space="preserve"> of Estuaries. </w:t>
      </w:r>
      <w:proofErr w:type="spellStart"/>
      <w:r w:rsidRPr="00D6483B">
        <w:rPr>
          <w:rFonts w:ascii="Times New Roman" w:hAnsi="Times New Roman" w:cs="Times New Roman"/>
          <w:color w:val="000000" w:themeColor="text1"/>
          <w:sz w:val="24"/>
          <w:szCs w:val="24"/>
        </w:rPr>
        <w:t>Encyclopedia</w:t>
      </w:r>
      <w:proofErr w:type="spellEnd"/>
      <w:r w:rsidRPr="00D6483B">
        <w:rPr>
          <w:rFonts w:ascii="Times New Roman" w:hAnsi="Times New Roman" w:cs="Times New Roman"/>
          <w:color w:val="000000" w:themeColor="text1"/>
          <w:sz w:val="24"/>
          <w:szCs w:val="24"/>
        </w:rPr>
        <w:t xml:space="preserve"> of Earth Sciences Series. Springer, Dordrecht. </w:t>
      </w:r>
      <w:hyperlink r:id="rId11" w:history="1">
        <w:r w:rsidRPr="00D6483B">
          <w:rPr>
            <w:rStyle w:val="Hyperlink"/>
            <w:rFonts w:ascii="Times New Roman" w:hAnsi="Times New Roman" w:cs="Times New Roman"/>
            <w:color w:val="000000" w:themeColor="text1"/>
            <w:sz w:val="24"/>
            <w:szCs w:val="24"/>
            <w:u w:val="none"/>
          </w:rPr>
          <w:t>https://doi.org/10.1007/978-94-017-8801-4_75</w:t>
        </w:r>
      </w:hyperlink>
    </w:p>
    <w:p w14:paraId="5A25CE8A" w14:textId="77777777" w:rsidR="006027D8" w:rsidRPr="00D6483B" w:rsidRDefault="006027D8" w:rsidP="006027D8">
      <w:pPr>
        <w:spacing w:line="360" w:lineRule="auto"/>
        <w:jc w:val="both"/>
        <w:rPr>
          <w:rFonts w:ascii="Times New Roman" w:hAnsi="Times New Roman" w:cs="Times New Roman"/>
          <w:color w:val="000000" w:themeColor="text1"/>
          <w:sz w:val="24"/>
          <w:szCs w:val="24"/>
        </w:rPr>
      </w:pPr>
      <w:r w:rsidRPr="00D6483B">
        <w:rPr>
          <w:rFonts w:ascii="Times New Roman" w:hAnsi="Times New Roman" w:cs="Times New Roman"/>
          <w:color w:val="000000" w:themeColor="text1"/>
          <w:sz w:val="24"/>
          <w:szCs w:val="24"/>
        </w:rPr>
        <w:t>Allan, J. D., Castillo, M. M., &amp; Capps, K. A. (2021). </w:t>
      </w:r>
      <w:r w:rsidRPr="00D6483B">
        <w:rPr>
          <w:rFonts w:ascii="Times New Roman" w:hAnsi="Times New Roman" w:cs="Times New Roman"/>
          <w:i/>
          <w:iCs/>
          <w:color w:val="000000" w:themeColor="text1"/>
          <w:sz w:val="24"/>
          <w:szCs w:val="24"/>
        </w:rPr>
        <w:t>Stream ecology: structure and function of running waters</w:t>
      </w:r>
      <w:r w:rsidRPr="00D6483B">
        <w:rPr>
          <w:rFonts w:ascii="Times New Roman" w:hAnsi="Times New Roman" w:cs="Times New Roman"/>
          <w:color w:val="000000" w:themeColor="text1"/>
          <w:sz w:val="24"/>
          <w:szCs w:val="24"/>
        </w:rPr>
        <w:t>. Springer Nature.</w:t>
      </w:r>
    </w:p>
    <w:p w14:paraId="7771653D" w14:textId="77777777" w:rsidR="006027D8" w:rsidRPr="00D6483B" w:rsidRDefault="006027D8" w:rsidP="006027D8">
      <w:pPr>
        <w:spacing w:line="360" w:lineRule="auto"/>
        <w:jc w:val="both"/>
        <w:rPr>
          <w:rFonts w:ascii="Times New Roman" w:hAnsi="Times New Roman" w:cs="Times New Roman"/>
          <w:color w:val="000000" w:themeColor="text1"/>
          <w:sz w:val="24"/>
          <w:szCs w:val="24"/>
        </w:rPr>
      </w:pPr>
      <w:r w:rsidRPr="00D6483B">
        <w:rPr>
          <w:rFonts w:ascii="Times New Roman" w:hAnsi="Times New Roman" w:cs="Times New Roman"/>
          <w:color w:val="000000" w:themeColor="text1"/>
          <w:sz w:val="24"/>
          <w:szCs w:val="24"/>
        </w:rPr>
        <w:t>Hauer, F. R., &amp; Lamberti, G. (Eds.). (2017). </w:t>
      </w:r>
      <w:r w:rsidRPr="00D6483B">
        <w:rPr>
          <w:rFonts w:ascii="Times New Roman" w:hAnsi="Times New Roman" w:cs="Times New Roman"/>
          <w:i/>
          <w:iCs/>
          <w:color w:val="000000" w:themeColor="text1"/>
          <w:sz w:val="24"/>
          <w:szCs w:val="24"/>
        </w:rPr>
        <w:t>Methods in stream ecology: Volume 1: Ecosystem structure</w:t>
      </w:r>
      <w:r w:rsidRPr="00D6483B">
        <w:rPr>
          <w:rFonts w:ascii="Times New Roman" w:hAnsi="Times New Roman" w:cs="Times New Roman"/>
          <w:color w:val="000000" w:themeColor="text1"/>
          <w:sz w:val="24"/>
          <w:szCs w:val="24"/>
        </w:rPr>
        <w:t>. Academic press.</w:t>
      </w:r>
    </w:p>
    <w:p w14:paraId="5445BE95" w14:textId="77777777" w:rsidR="006027D8" w:rsidRPr="00D6483B" w:rsidRDefault="006027D8" w:rsidP="006027D8">
      <w:pPr>
        <w:spacing w:line="360" w:lineRule="auto"/>
        <w:jc w:val="both"/>
        <w:rPr>
          <w:rFonts w:ascii="Times New Roman" w:hAnsi="Times New Roman" w:cs="Times New Roman"/>
          <w:color w:val="000000" w:themeColor="text1"/>
          <w:sz w:val="24"/>
          <w:szCs w:val="24"/>
        </w:rPr>
      </w:pPr>
      <w:r w:rsidRPr="00D6483B">
        <w:rPr>
          <w:rFonts w:ascii="Times New Roman" w:hAnsi="Times New Roman" w:cs="Times New Roman"/>
          <w:color w:val="000000" w:themeColor="text1"/>
          <w:sz w:val="24"/>
          <w:szCs w:val="24"/>
        </w:rPr>
        <w:t>DeAngelis, D. L., Mulholland, P. J., Palumbo, A. V., Steinman, A. D., Huston, M. A., &amp; Elwood, J. W. (1989). Nutrient dynamics and food-web stability. </w:t>
      </w:r>
      <w:r w:rsidRPr="00D6483B">
        <w:rPr>
          <w:rFonts w:ascii="Times New Roman" w:hAnsi="Times New Roman" w:cs="Times New Roman"/>
          <w:i/>
          <w:iCs/>
          <w:color w:val="000000" w:themeColor="text1"/>
          <w:sz w:val="24"/>
          <w:szCs w:val="24"/>
        </w:rPr>
        <w:t>Annual review of Ecology and Systematics</w:t>
      </w:r>
      <w:r w:rsidRPr="00D6483B">
        <w:rPr>
          <w:rFonts w:ascii="Times New Roman" w:hAnsi="Times New Roman" w:cs="Times New Roman"/>
          <w:color w:val="000000" w:themeColor="text1"/>
          <w:sz w:val="24"/>
          <w:szCs w:val="24"/>
        </w:rPr>
        <w:t>, 71-95.</w:t>
      </w:r>
    </w:p>
    <w:p w14:paraId="12AD49DA" w14:textId="77777777" w:rsidR="006027D8" w:rsidRPr="00D6483B" w:rsidRDefault="006027D8" w:rsidP="006027D8">
      <w:pPr>
        <w:spacing w:line="360" w:lineRule="auto"/>
        <w:jc w:val="both"/>
        <w:rPr>
          <w:rFonts w:ascii="Times New Roman" w:hAnsi="Times New Roman" w:cs="Times New Roman"/>
          <w:color w:val="000000" w:themeColor="text1"/>
          <w:sz w:val="24"/>
          <w:szCs w:val="24"/>
        </w:rPr>
      </w:pPr>
      <w:r w:rsidRPr="00D6483B">
        <w:rPr>
          <w:rFonts w:ascii="Times New Roman" w:hAnsi="Times New Roman" w:cs="Times New Roman"/>
          <w:color w:val="000000" w:themeColor="text1"/>
          <w:sz w:val="24"/>
          <w:szCs w:val="24"/>
        </w:rPr>
        <w:t>Smith, R. L., Smith, R. L., Hickman, G. C., &amp; Hickman, S. M. (1998). Elements of ecology.</w:t>
      </w:r>
    </w:p>
    <w:p w14:paraId="1CF6DD01" w14:textId="77777777" w:rsidR="006027D8" w:rsidRPr="00D6483B" w:rsidRDefault="006027D8" w:rsidP="006027D8">
      <w:pPr>
        <w:spacing w:line="360" w:lineRule="auto"/>
        <w:jc w:val="both"/>
        <w:rPr>
          <w:rFonts w:ascii="Times New Roman" w:hAnsi="Times New Roman" w:cs="Times New Roman"/>
          <w:color w:val="000000" w:themeColor="text1"/>
          <w:sz w:val="24"/>
          <w:szCs w:val="24"/>
        </w:rPr>
      </w:pPr>
      <w:r w:rsidRPr="00D6483B">
        <w:rPr>
          <w:rFonts w:ascii="Times New Roman" w:hAnsi="Times New Roman" w:cs="Times New Roman"/>
          <w:color w:val="000000" w:themeColor="text1"/>
          <w:sz w:val="24"/>
          <w:szCs w:val="24"/>
        </w:rPr>
        <w:t xml:space="preserve">Officer, C. B., &amp; </w:t>
      </w:r>
      <w:proofErr w:type="spellStart"/>
      <w:r w:rsidRPr="00D6483B">
        <w:rPr>
          <w:rFonts w:ascii="Times New Roman" w:hAnsi="Times New Roman" w:cs="Times New Roman"/>
          <w:color w:val="000000" w:themeColor="text1"/>
          <w:sz w:val="24"/>
          <w:szCs w:val="24"/>
        </w:rPr>
        <w:t>Ryther</w:t>
      </w:r>
      <w:proofErr w:type="spellEnd"/>
      <w:r w:rsidRPr="00D6483B">
        <w:rPr>
          <w:rFonts w:ascii="Times New Roman" w:hAnsi="Times New Roman" w:cs="Times New Roman"/>
          <w:color w:val="000000" w:themeColor="text1"/>
          <w:sz w:val="24"/>
          <w:szCs w:val="24"/>
        </w:rPr>
        <w:t>, J. H. (1980). The possible importance of silicon in marine eutrophication. </w:t>
      </w:r>
      <w:r w:rsidRPr="00D6483B">
        <w:rPr>
          <w:rFonts w:ascii="Times New Roman" w:hAnsi="Times New Roman" w:cs="Times New Roman"/>
          <w:i/>
          <w:iCs/>
          <w:color w:val="000000" w:themeColor="text1"/>
          <w:sz w:val="24"/>
          <w:szCs w:val="24"/>
        </w:rPr>
        <w:t>Marine Ecology Progress Series</w:t>
      </w:r>
      <w:r w:rsidRPr="00D6483B">
        <w:rPr>
          <w:rFonts w:ascii="Times New Roman" w:hAnsi="Times New Roman" w:cs="Times New Roman"/>
          <w:color w:val="000000" w:themeColor="text1"/>
          <w:sz w:val="24"/>
          <w:szCs w:val="24"/>
        </w:rPr>
        <w:t>, </w:t>
      </w:r>
      <w:r w:rsidRPr="00D6483B">
        <w:rPr>
          <w:rFonts w:ascii="Times New Roman" w:hAnsi="Times New Roman" w:cs="Times New Roman"/>
          <w:i/>
          <w:iCs/>
          <w:color w:val="000000" w:themeColor="text1"/>
          <w:sz w:val="24"/>
          <w:szCs w:val="24"/>
        </w:rPr>
        <w:t>3</w:t>
      </w:r>
      <w:r w:rsidRPr="00D6483B">
        <w:rPr>
          <w:rFonts w:ascii="Times New Roman" w:hAnsi="Times New Roman" w:cs="Times New Roman"/>
          <w:color w:val="000000" w:themeColor="text1"/>
          <w:sz w:val="24"/>
          <w:szCs w:val="24"/>
        </w:rPr>
        <w:t>(1), 83-91.</w:t>
      </w:r>
    </w:p>
    <w:p w14:paraId="17DE4EBC" w14:textId="77777777" w:rsidR="006027D8" w:rsidRDefault="006027D8" w:rsidP="006027D8">
      <w:pPr>
        <w:spacing w:line="360" w:lineRule="auto"/>
        <w:jc w:val="both"/>
        <w:rPr>
          <w:rFonts w:ascii="Times New Roman" w:hAnsi="Times New Roman" w:cs="Times New Roman"/>
          <w:b/>
          <w:bCs/>
          <w:color w:val="000000" w:themeColor="text1"/>
          <w:sz w:val="24"/>
          <w:szCs w:val="24"/>
        </w:rPr>
      </w:pPr>
    </w:p>
    <w:p w14:paraId="17757B65" w14:textId="77777777" w:rsidR="006027D8" w:rsidRPr="006027D8" w:rsidRDefault="006027D8" w:rsidP="006027D8">
      <w:pPr>
        <w:spacing w:line="360" w:lineRule="auto"/>
        <w:jc w:val="both"/>
        <w:rPr>
          <w:rFonts w:ascii="Times New Roman" w:hAnsi="Times New Roman" w:cs="Times New Roman"/>
          <w:b/>
          <w:bCs/>
          <w:color w:val="000000" w:themeColor="text1"/>
          <w:sz w:val="24"/>
          <w:szCs w:val="24"/>
        </w:rPr>
      </w:pPr>
    </w:p>
    <w:p w14:paraId="1D6D81AC" w14:textId="4359CB80" w:rsidR="00CB2EC2" w:rsidRPr="00CB2EC2" w:rsidRDefault="00CB2EC2" w:rsidP="006027D8">
      <w:pPr>
        <w:spacing w:line="360" w:lineRule="auto"/>
        <w:jc w:val="both"/>
        <w:rPr>
          <w:rFonts w:ascii="Times New Roman" w:hAnsi="Times New Roman" w:cs="Times New Roman"/>
          <w:sz w:val="24"/>
          <w:szCs w:val="24"/>
        </w:rPr>
      </w:pPr>
    </w:p>
    <w:p w14:paraId="4BA2C1D5" w14:textId="77777777" w:rsidR="00CB2EC2" w:rsidRPr="00CB2EC2" w:rsidRDefault="00CB2EC2" w:rsidP="006027D8">
      <w:pPr>
        <w:spacing w:line="360" w:lineRule="auto"/>
        <w:jc w:val="both"/>
        <w:rPr>
          <w:rFonts w:ascii="Times New Roman" w:hAnsi="Times New Roman" w:cs="Times New Roman"/>
          <w:sz w:val="24"/>
          <w:szCs w:val="24"/>
        </w:rPr>
      </w:pPr>
    </w:p>
    <w:sectPr w:rsidR="00CB2EC2" w:rsidRPr="00CB2EC2" w:rsidSect="00F1188A">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pgBorders w:offsetFrom="page">
        <w:top w:val="double" w:sz="18" w:space="24" w:color="auto"/>
        <w:left w:val="double" w:sz="18" w:space="24" w:color="auto"/>
        <w:bottom w:val="double" w:sz="18" w:space="24" w:color="auto"/>
        <w:right w:val="doub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B0A25B" w14:textId="77777777" w:rsidR="00661945" w:rsidRDefault="00661945" w:rsidP="008B3D72">
      <w:pPr>
        <w:spacing w:after="0" w:line="240" w:lineRule="auto"/>
      </w:pPr>
      <w:r>
        <w:separator/>
      </w:r>
    </w:p>
  </w:endnote>
  <w:endnote w:type="continuationSeparator" w:id="0">
    <w:p w14:paraId="190CB7EA" w14:textId="77777777" w:rsidR="00661945" w:rsidRDefault="00661945" w:rsidP="008B3D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06E75" w14:textId="77777777" w:rsidR="008B3D72" w:rsidRDefault="008B3D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D349D" w14:textId="77777777" w:rsidR="008B3D72" w:rsidRDefault="008B3D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93123" w14:textId="77777777" w:rsidR="008B3D72" w:rsidRDefault="008B3D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388809" w14:textId="77777777" w:rsidR="00661945" w:rsidRDefault="00661945" w:rsidP="008B3D72">
      <w:pPr>
        <w:spacing w:after="0" w:line="240" w:lineRule="auto"/>
      </w:pPr>
      <w:r>
        <w:separator/>
      </w:r>
    </w:p>
  </w:footnote>
  <w:footnote w:type="continuationSeparator" w:id="0">
    <w:p w14:paraId="536DE925" w14:textId="77777777" w:rsidR="00661945" w:rsidRDefault="00661945" w:rsidP="008B3D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B34A9" w14:textId="6A80FF52" w:rsidR="008B3D72" w:rsidRDefault="008B3D72">
    <w:pPr>
      <w:pStyle w:val="Header"/>
    </w:pPr>
    <w:r>
      <w:rPr>
        <w:noProof/>
      </w:rPr>
      <w:pict w14:anchorId="4A6046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7A768" w14:textId="2752A639" w:rsidR="008B3D72" w:rsidRDefault="008B3D72">
    <w:pPr>
      <w:pStyle w:val="Header"/>
    </w:pPr>
    <w:r>
      <w:rPr>
        <w:noProof/>
      </w:rPr>
      <w:pict w14:anchorId="4C7108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ED8DC" w14:textId="4F6D755C" w:rsidR="008B3D72" w:rsidRDefault="008B3D72">
    <w:pPr>
      <w:pStyle w:val="Header"/>
    </w:pPr>
    <w:r>
      <w:rPr>
        <w:noProof/>
      </w:rPr>
      <w:pict w14:anchorId="54294C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06636"/>
    <w:multiLevelType w:val="multilevel"/>
    <w:tmpl w:val="D916D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903703"/>
    <w:multiLevelType w:val="multilevel"/>
    <w:tmpl w:val="45566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9B35B2"/>
    <w:multiLevelType w:val="multilevel"/>
    <w:tmpl w:val="463A9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C64D28"/>
    <w:multiLevelType w:val="hybridMultilevel"/>
    <w:tmpl w:val="756E8BF4"/>
    <w:lvl w:ilvl="0" w:tplc="A4A85556">
      <w:start w:val="1"/>
      <w:numFmt w:val="bullet"/>
      <w:lvlText w:val=""/>
      <w:lvlJc w:val="left"/>
      <w:pPr>
        <w:tabs>
          <w:tab w:val="num" w:pos="720"/>
        </w:tabs>
        <w:ind w:left="720" w:hanging="360"/>
      </w:pPr>
      <w:rPr>
        <w:rFonts w:ascii="Wingdings" w:hAnsi="Wingdings" w:hint="default"/>
      </w:rPr>
    </w:lvl>
    <w:lvl w:ilvl="1" w:tplc="2A6A75D6" w:tentative="1">
      <w:start w:val="1"/>
      <w:numFmt w:val="bullet"/>
      <w:lvlText w:val=""/>
      <w:lvlJc w:val="left"/>
      <w:pPr>
        <w:tabs>
          <w:tab w:val="num" w:pos="1440"/>
        </w:tabs>
        <w:ind w:left="1440" w:hanging="360"/>
      </w:pPr>
      <w:rPr>
        <w:rFonts w:ascii="Wingdings" w:hAnsi="Wingdings" w:hint="default"/>
      </w:rPr>
    </w:lvl>
    <w:lvl w:ilvl="2" w:tplc="11D0B538" w:tentative="1">
      <w:start w:val="1"/>
      <w:numFmt w:val="bullet"/>
      <w:lvlText w:val=""/>
      <w:lvlJc w:val="left"/>
      <w:pPr>
        <w:tabs>
          <w:tab w:val="num" w:pos="2160"/>
        </w:tabs>
        <w:ind w:left="2160" w:hanging="360"/>
      </w:pPr>
      <w:rPr>
        <w:rFonts w:ascii="Wingdings" w:hAnsi="Wingdings" w:hint="default"/>
      </w:rPr>
    </w:lvl>
    <w:lvl w:ilvl="3" w:tplc="DDCC7288" w:tentative="1">
      <w:start w:val="1"/>
      <w:numFmt w:val="bullet"/>
      <w:lvlText w:val=""/>
      <w:lvlJc w:val="left"/>
      <w:pPr>
        <w:tabs>
          <w:tab w:val="num" w:pos="2880"/>
        </w:tabs>
        <w:ind w:left="2880" w:hanging="360"/>
      </w:pPr>
      <w:rPr>
        <w:rFonts w:ascii="Wingdings" w:hAnsi="Wingdings" w:hint="default"/>
      </w:rPr>
    </w:lvl>
    <w:lvl w:ilvl="4" w:tplc="3692F420" w:tentative="1">
      <w:start w:val="1"/>
      <w:numFmt w:val="bullet"/>
      <w:lvlText w:val=""/>
      <w:lvlJc w:val="left"/>
      <w:pPr>
        <w:tabs>
          <w:tab w:val="num" w:pos="3600"/>
        </w:tabs>
        <w:ind w:left="3600" w:hanging="360"/>
      </w:pPr>
      <w:rPr>
        <w:rFonts w:ascii="Wingdings" w:hAnsi="Wingdings" w:hint="default"/>
      </w:rPr>
    </w:lvl>
    <w:lvl w:ilvl="5" w:tplc="0488158E" w:tentative="1">
      <w:start w:val="1"/>
      <w:numFmt w:val="bullet"/>
      <w:lvlText w:val=""/>
      <w:lvlJc w:val="left"/>
      <w:pPr>
        <w:tabs>
          <w:tab w:val="num" w:pos="4320"/>
        </w:tabs>
        <w:ind w:left="4320" w:hanging="360"/>
      </w:pPr>
      <w:rPr>
        <w:rFonts w:ascii="Wingdings" w:hAnsi="Wingdings" w:hint="default"/>
      </w:rPr>
    </w:lvl>
    <w:lvl w:ilvl="6" w:tplc="2CCC0A70" w:tentative="1">
      <w:start w:val="1"/>
      <w:numFmt w:val="bullet"/>
      <w:lvlText w:val=""/>
      <w:lvlJc w:val="left"/>
      <w:pPr>
        <w:tabs>
          <w:tab w:val="num" w:pos="5040"/>
        </w:tabs>
        <w:ind w:left="5040" w:hanging="360"/>
      </w:pPr>
      <w:rPr>
        <w:rFonts w:ascii="Wingdings" w:hAnsi="Wingdings" w:hint="default"/>
      </w:rPr>
    </w:lvl>
    <w:lvl w:ilvl="7" w:tplc="E20457F8" w:tentative="1">
      <w:start w:val="1"/>
      <w:numFmt w:val="bullet"/>
      <w:lvlText w:val=""/>
      <w:lvlJc w:val="left"/>
      <w:pPr>
        <w:tabs>
          <w:tab w:val="num" w:pos="5760"/>
        </w:tabs>
        <w:ind w:left="5760" w:hanging="360"/>
      </w:pPr>
      <w:rPr>
        <w:rFonts w:ascii="Wingdings" w:hAnsi="Wingdings" w:hint="default"/>
      </w:rPr>
    </w:lvl>
    <w:lvl w:ilvl="8" w:tplc="20247C9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5586033"/>
    <w:multiLevelType w:val="hybridMultilevel"/>
    <w:tmpl w:val="16F4D298"/>
    <w:lvl w:ilvl="0" w:tplc="C21C5A00">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B940908"/>
    <w:multiLevelType w:val="multilevel"/>
    <w:tmpl w:val="3D7C3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45D08D2"/>
    <w:multiLevelType w:val="hybridMultilevel"/>
    <w:tmpl w:val="FC26FD86"/>
    <w:lvl w:ilvl="0" w:tplc="C21C5A00">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4AF85C4F"/>
    <w:multiLevelType w:val="hybridMultilevel"/>
    <w:tmpl w:val="F790D910"/>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56431479"/>
    <w:multiLevelType w:val="hybridMultilevel"/>
    <w:tmpl w:val="15FCB4A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B81278A"/>
    <w:multiLevelType w:val="hybridMultilevel"/>
    <w:tmpl w:val="42F401DA"/>
    <w:lvl w:ilvl="0" w:tplc="C21C5A00">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61611BE8"/>
    <w:multiLevelType w:val="multilevel"/>
    <w:tmpl w:val="9D66C1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9028AC"/>
    <w:multiLevelType w:val="multilevel"/>
    <w:tmpl w:val="2E4C62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0"/>
  </w:num>
  <w:num w:numId="3">
    <w:abstractNumId w:val="0"/>
  </w:num>
  <w:num w:numId="4">
    <w:abstractNumId w:val="1"/>
  </w:num>
  <w:num w:numId="5">
    <w:abstractNumId w:val="11"/>
  </w:num>
  <w:num w:numId="6">
    <w:abstractNumId w:val="7"/>
  </w:num>
  <w:num w:numId="7">
    <w:abstractNumId w:val="8"/>
  </w:num>
  <w:num w:numId="8">
    <w:abstractNumId w:val="4"/>
  </w:num>
  <w:num w:numId="9">
    <w:abstractNumId w:val="3"/>
  </w:num>
  <w:num w:numId="10">
    <w:abstractNumId w:val="6"/>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69D"/>
    <w:rsid w:val="00096017"/>
    <w:rsid w:val="000D757F"/>
    <w:rsid w:val="00311C90"/>
    <w:rsid w:val="00596F0C"/>
    <w:rsid w:val="005A17A3"/>
    <w:rsid w:val="006027D8"/>
    <w:rsid w:val="00661945"/>
    <w:rsid w:val="00670FB8"/>
    <w:rsid w:val="007032E8"/>
    <w:rsid w:val="008B3D72"/>
    <w:rsid w:val="009054AF"/>
    <w:rsid w:val="0092113B"/>
    <w:rsid w:val="00A6069D"/>
    <w:rsid w:val="00BA2B10"/>
    <w:rsid w:val="00C6538D"/>
    <w:rsid w:val="00CA2D7A"/>
    <w:rsid w:val="00CB2EC2"/>
    <w:rsid w:val="00E7599C"/>
    <w:rsid w:val="00EE51FB"/>
    <w:rsid w:val="00F1188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F864567"/>
  <w15:chartTrackingRefBased/>
  <w15:docId w15:val="{A755491F-2E53-4F1F-9B49-61862C590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6069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6069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6069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6069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6069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6069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6069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6069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6069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069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6069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6069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6069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6069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606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606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606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6069D"/>
    <w:rPr>
      <w:rFonts w:eastAsiaTheme="majorEastAsia" w:cstheme="majorBidi"/>
      <w:color w:val="272727" w:themeColor="text1" w:themeTint="D8"/>
    </w:rPr>
  </w:style>
  <w:style w:type="paragraph" w:styleId="Title">
    <w:name w:val="Title"/>
    <w:basedOn w:val="Normal"/>
    <w:next w:val="Normal"/>
    <w:link w:val="TitleChar"/>
    <w:uiPriority w:val="10"/>
    <w:qFormat/>
    <w:rsid w:val="00A606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06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069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606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6069D"/>
    <w:pPr>
      <w:spacing w:before="160"/>
      <w:jc w:val="center"/>
    </w:pPr>
    <w:rPr>
      <w:i/>
      <w:iCs/>
      <w:color w:val="404040" w:themeColor="text1" w:themeTint="BF"/>
    </w:rPr>
  </w:style>
  <w:style w:type="character" w:customStyle="1" w:styleId="QuoteChar">
    <w:name w:val="Quote Char"/>
    <w:basedOn w:val="DefaultParagraphFont"/>
    <w:link w:val="Quote"/>
    <w:uiPriority w:val="29"/>
    <w:rsid w:val="00A6069D"/>
    <w:rPr>
      <w:i/>
      <w:iCs/>
      <w:color w:val="404040" w:themeColor="text1" w:themeTint="BF"/>
    </w:rPr>
  </w:style>
  <w:style w:type="paragraph" w:styleId="ListParagraph">
    <w:name w:val="List Paragraph"/>
    <w:basedOn w:val="Normal"/>
    <w:uiPriority w:val="34"/>
    <w:qFormat/>
    <w:rsid w:val="00A6069D"/>
    <w:pPr>
      <w:ind w:left="720"/>
      <w:contextualSpacing/>
    </w:pPr>
  </w:style>
  <w:style w:type="character" w:styleId="IntenseEmphasis">
    <w:name w:val="Intense Emphasis"/>
    <w:basedOn w:val="DefaultParagraphFont"/>
    <w:uiPriority w:val="21"/>
    <w:qFormat/>
    <w:rsid w:val="00A6069D"/>
    <w:rPr>
      <w:i/>
      <w:iCs/>
      <w:color w:val="2F5496" w:themeColor="accent1" w:themeShade="BF"/>
    </w:rPr>
  </w:style>
  <w:style w:type="paragraph" w:styleId="IntenseQuote">
    <w:name w:val="Intense Quote"/>
    <w:basedOn w:val="Normal"/>
    <w:next w:val="Normal"/>
    <w:link w:val="IntenseQuoteChar"/>
    <w:uiPriority w:val="30"/>
    <w:qFormat/>
    <w:rsid w:val="00A6069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6069D"/>
    <w:rPr>
      <w:i/>
      <w:iCs/>
      <w:color w:val="2F5496" w:themeColor="accent1" w:themeShade="BF"/>
    </w:rPr>
  </w:style>
  <w:style w:type="character" w:styleId="IntenseReference">
    <w:name w:val="Intense Reference"/>
    <w:basedOn w:val="DefaultParagraphFont"/>
    <w:uiPriority w:val="32"/>
    <w:qFormat/>
    <w:rsid w:val="00A6069D"/>
    <w:rPr>
      <w:b/>
      <w:bCs/>
      <w:smallCaps/>
      <w:color w:val="2F5496" w:themeColor="accent1" w:themeShade="BF"/>
      <w:spacing w:val="5"/>
    </w:rPr>
  </w:style>
  <w:style w:type="character" w:styleId="Hyperlink">
    <w:name w:val="Hyperlink"/>
    <w:basedOn w:val="DefaultParagraphFont"/>
    <w:uiPriority w:val="99"/>
    <w:unhideWhenUsed/>
    <w:rsid w:val="006027D8"/>
    <w:rPr>
      <w:color w:val="0563C1" w:themeColor="hyperlink"/>
      <w:u w:val="single"/>
    </w:rPr>
  </w:style>
  <w:style w:type="character" w:styleId="UnresolvedMention">
    <w:name w:val="Unresolved Mention"/>
    <w:basedOn w:val="DefaultParagraphFont"/>
    <w:uiPriority w:val="99"/>
    <w:semiHidden/>
    <w:unhideWhenUsed/>
    <w:rsid w:val="00CA2D7A"/>
    <w:rPr>
      <w:color w:val="605E5C"/>
      <w:shd w:val="clear" w:color="auto" w:fill="E1DFDD"/>
    </w:rPr>
  </w:style>
  <w:style w:type="paragraph" w:styleId="Header">
    <w:name w:val="header"/>
    <w:basedOn w:val="Normal"/>
    <w:link w:val="HeaderChar"/>
    <w:uiPriority w:val="99"/>
    <w:unhideWhenUsed/>
    <w:rsid w:val="008B3D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3D72"/>
  </w:style>
  <w:style w:type="paragraph" w:styleId="Footer">
    <w:name w:val="footer"/>
    <w:basedOn w:val="Normal"/>
    <w:link w:val="FooterChar"/>
    <w:uiPriority w:val="99"/>
    <w:unhideWhenUsed/>
    <w:rsid w:val="008B3D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3D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69821">
      <w:bodyDiv w:val="1"/>
      <w:marLeft w:val="0"/>
      <w:marRight w:val="0"/>
      <w:marTop w:val="0"/>
      <w:marBottom w:val="0"/>
      <w:divBdr>
        <w:top w:val="none" w:sz="0" w:space="0" w:color="auto"/>
        <w:left w:val="none" w:sz="0" w:space="0" w:color="auto"/>
        <w:bottom w:val="none" w:sz="0" w:space="0" w:color="auto"/>
        <w:right w:val="none" w:sz="0" w:space="0" w:color="auto"/>
      </w:divBdr>
    </w:div>
    <w:div w:id="75563579">
      <w:bodyDiv w:val="1"/>
      <w:marLeft w:val="0"/>
      <w:marRight w:val="0"/>
      <w:marTop w:val="0"/>
      <w:marBottom w:val="0"/>
      <w:divBdr>
        <w:top w:val="none" w:sz="0" w:space="0" w:color="auto"/>
        <w:left w:val="none" w:sz="0" w:space="0" w:color="auto"/>
        <w:bottom w:val="none" w:sz="0" w:space="0" w:color="auto"/>
        <w:right w:val="none" w:sz="0" w:space="0" w:color="auto"/>
      </w:divBdr>
    </w:div>
    <w:div w:id="203832598">
      <w:bodyDiv w:val="1"/>
      <w:marLeft w:val="0"/>
      <w:marRight w:val="0"/>
      <w:marTop w:val="0"/>
      <w:marBottom w:val="0"/>
      <w:divBdr>
        <w:top w:val="none" w:sz="0" w:space="0" w:color="auto"/>
        <w:left w:val="none" w:sz="0" w:space="0" w:color="auto"/>
        <w:bottom w:val="none" w:sz="0" w:space="0" w:color="auto"/>
        <w:right w:val="none" w:sz="0" w:space="0" w:color="auto"/>
      </w:divBdr>
    </w:div>
    <w:div w:id="253174745">
      <w:bodyDiv w:val="1"/>
      <w:marLeft w:val="0"/>
      <w:marRight w:val="0"/>
      <w:marTop w:val="0"/>
      <w:marBottom w:val="0"/>
      <w:divBdr>
        <w:top w:val="none" w:sz="0" w:space="0" w:color="auto"/>
        <w:left w:val="none" w:sz="0" w:space="0" w:color="auto"/>
        <w:bottom w:val="none" w:sz="0" w:space="0" w:color="auto"/>
        <w:right w:val="none" w:sz="0" w:space="0" w:color="auto"/>
      </w:divBdr>
    </w:div>
    <w:div w:id="302585406">
      <w:bodyDiv w:val="1"/>
      <w:marLeft w:val="0"/>
      <w:marRight w:val="0"/>
      <w:marTop w:val="0"/>
      <w:marBottom w:val="0"/>
      <w:divBdr>
        <w:top w:val="none" w:sz="0" w:space="0" w:color="auto"/>
        <w:left w:val="none" w:sz="0" w:space="0" w:color="auto"/>
        <w:bottom w:val="none" w:sz="0" w:space="0" w:color="auto"/>
        <w:right w:val="none" w:sz="0" w:space="0" w:color="auto"/>
      </w:divBdr>
      <w:divsChild>
        <w:div w:id="8602193">
          <w:marLeft w:val="0"/>
          <w:marRight w:val="0"/>
          <w:marTop w:val="0"/>
          <w:marBottom w:val="0"/>
          <w:divBdr>
            <w:top w:val="none" w:sz="0" w:space="0" w:color="auto"/>
            <w:left w:val="none" w:sz="0" w:space="0" w:color="auto"/>
            <w:bottom w:val="none" w:sz="0" w:space="0" w:color="auto"/>
            <w:right w:val="none" w:sz="0" w:space="0" w:color="auto"/>
          </w:divBdr>
          <w:divsChild>
            <w:div w:id="569658233">
              <w:marLeft w:val="0"/>
              <w:marRight w:val="0"/>
              <w:marTop w:val="0"/>
              <w:marBottom w:val="0"/>
              <w:divBdr>
                <w:top w:val="none" w:sz="0" w:space="0" w:color="auto"/>
                <w:left w:val="none" w:sz="0" w:space="0" w:color="auto"/>
                <w:bottom w:val="none" w:sz="0" w:space="0" w:color="auto"/>
                <w:right w:val="none" w:sz="0" w:space="0" w:color="auto"/>
              </w:divBdr>
              <w:divsChild>
                <w:div w:id="1673948402">
                  <w:marLeft w:val="0"/>
                  <w:marRight w:val="0"/>
                  <w:marTop w:val="0"/>
                  <w:marBottom w:val="0"/>
                  <w:divBdr>
                    <w:top w:val="none" w:sz="0" w:space="0" w:color="auto"/>
                    <w:left w:val="none" w:sz="0" w:space="0" w:color="auto"/>
                    <w:bottom w:val="none" w:sz="0" w:space="0" w:color="auto"/>
                    <w:right w:val="none" w:sz="0" w:space="0" w:color="auto"/>
                  </w:divBdr>
                  <w:divsChild>
                    <w:div w:id="24403213">
                      <w:marLeft w:val="0"/>
                      <w:marRight w:val="0"/>
                      <w:marTop w:val="0"/>
                      <w:marBottom w:val="0"/>
                      <w:divBdr>
                        <w:top w:val="none" w:sz="0" w:space="0" w:color="auto"/>
                        <w:left w:val="none" w:sz="0" w:space="0" w:color="auto"/>
                        <w:bottom w:val="none" w:sz="0" w:space="0" w:color="auto"/>
                        <w:right w:val="none" w:sz="0" w:space="0" w:color="auto"/>
                      </w:divBdr>
                      <w:divsChild>
                        <w:div w:id="364209699">
                          <w:marLeft w:val="0"/>
                          <w:marRight w:val="0"/>
                          <w:marTop w:val="0"/>
                          <w:marBottom w:val="0"/>
                          <w:divBdr>
                            <w:top w:val="none" w:sz="0" w:space="0" w:color="auto"/>
                            <w:left w:val="none" w:sz="0" w:space="0" w:color="auto"/>
                            <w:bottom w:val="none" w:sz="0" w:space="0" w:color="auto"/>
                            <w:right w:val="none" w:sz="0" w:space="0" w:color="auto"/>
                          </w:divBdr>
                          <w:divsChild>
                            <w:div w:id="280111915">
                              <w:marLeft w:val="0"/>
                              <w:marRight w:val="0"/>
                              <w:marTop w:val="0"/>
                              <w:marBottom w:val="0"/>
                              <w:divBdr>
                                <w:top w:val="none" w:sz="0" w:space="0" w:color="auto"/>
                                <w:left w:val="none" w:sz="0" w:space="0" w:color="auto"/>
                                <w:bottom w:val="none" w:sz="0" w:space="0" w:color="auto"/>
                                <w:right w:val="none" w:sz="0" w:space="0" w:color="auto"/>
                              </w:divBdr>
                              <w:divsChild>
                                <w:div w:id="2121872366">
                                  <w:marLeft w:val="0"/>
                                  <w:marRight w:val="0"/>
                                  <w:marTop w:val="0"/>
                                  <w:marBottom w:val="0"/>
                                  <w:divBdr>
                                    <w:top w:val="none" w:sz="0" w:space="0" w:color="auto"/>
                                    <w:left w:val="none" w:sz="0" w:space="0" w:color="auto"/>
                                    <w:bottom w:val="none" w:sz="0" w:space="0" w:color="auto"/>
                                    <w:right w:val="none" w:sz="0" w:space="0" w:color="auto"/>
                                  </w:divBdr>
                                  <w:divsChild>
                                    <w:div w:id="172888082">
                                      <w:marLeft w:val="0"/>
                                      <w:marRight w:val="0"/>
                                      <w:marTop w:val="0"/>
                                      <w:marBottom w:val="0"/>
                                      <w:divBdr>
                                        <w:top w:val="none" w:sz="0" w:space="0" w:color="auto"/>
                                        <w:left w:val="none" w:sz="0" w:space="0" w:color="auto"/>
                                        <w:bottom w:val="none" w:sz="0" w:space="0" w:color="auto"/>
                                        <w:right w:val="none" w:sz="0" w:space="0" w:color="auto"/>
                                      </w:divBdr>
                                      <w:divsChild>
                                        <w:div w:id="349719204">
                                          <w:marLeft w:val="0"/>
                                          <w:marRight w:val="0"/>
                                          <w:marTop w:val="0"/>
                                          <w:marBottom w:val="0"/>
                                          <w:divBdr>
                                            <w:top w:val="none" w:sz="0" w:space="0" w:color="auto"/>
                                            <w:left w:val="none" w:sz="0" w:space="0" w:color="auto"/>
                                            <w:bottom w:val="none" w:sz="0" w:space="0" w:color="auto"/>
                                            <w:right w:val="none" w:sz="0" w:space="0" w:color="auto"/>
                                          </w:divBdr>
                                          <w:divsChild>
                                            <w:div w:id="79541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868867">
                                  <w:marLeft w:val="0"/>
                                  <w:marRight w:val="0"/>
                                  <w:marTop w:val="0"/>
                                  <w:marBottom w:val="0"/>
                                  <w:divBdr>
                                    <w:top w:val="none" w:sz="0" w:space="0" w:color="auto"/>
                                    <w:left w:val="none" w:sz="0" w:space="0" w:color="auto"/>
                                    <w:bottom w:val="none" w:sz="0" w:space="0" w:color="auto"/>
                                    <w:right w:val="none" w:sz="0" w:space="0" w:color="auto"/>
                                  </w:divBdr>
                                  <w:divsChild>
                                    <w:div w:id="140622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1934337">
          <w:marLeft w:val="0"/>
          <w:marRight w:val="0"/>
          <w:marTop w:val="0"/>
          <w:marBottom w:val="0"/>
          <w:divBdr>
            <w:top w:val="none" w:sz="0" w:space="0" w:color="auto"/>
            <w:left w:val="none" w:sz="0" w:space="0" w:color="auto"/>
            <w:bottom w:val="none" w:sz="0" w:space="0" w:color="auto"/>
            <w:right w:val="none" w:sz="0" w:space="0" w:color="auto"/>
          </w:divBdr>
          <w:divsChild>
            <w:div w:id="1058741935">
              <w:marLeft w:val="0"/>
              <w:marRight w:val="0"/>
              <w:marTop w:val="0"/>
              <w:marBottom w:val="0"/>
              <w:divBdr>
                <w:top w:val="none" w:sz="0" w:space="0" w:color="auto"/>
                <w:left w:val="none" w:sz="0" w:space="0" w:color="auto"/>
                <w:bottom w:val="none" w:sz="0" w:space="0" w:color="auto"/>
                <w:right w:val="none" w:sz="0" w:space="0" w:color="auto"/>
              </w:divBdr>
              <w:divsChild>
                <w:div w:id="1843423478">
                  <w:marLeft w:val="0"/>
                  <w:marRight w:val="0"/>
                  <w:marTop w:val="0"/>
                  <w:marBottom w:val="0"/>
                  <w:divBdr>
                    <w:top w:val="none" w:sz="0" w:space="0" w:color="auto"/>
                    <w:left w:val="none" w:sz="0" w:space="0" w:color="auto"/>
                    <w:bottom w:val="none" w:sz="0" w:space="0" w:color="auto"/>
                    <w:right w:val="none" w:sz="0" w:space="0" w:color="auto"/>
                  </w:divBdr>
                  <w:divsChild>
                    <w:div w:id="1209994961">
                      <w:marLeft w:val="0"/>
                      <w:marRight w:val="0"/>
                      <w:marTop w:val="0"/>
                      <w:marBottom w:val="0"/>
                      <w:divBdr>
                        <w:top w:val="none" w:sz="0" w:space="0" w:color="auto"/>
                        <w:left w:val="none" w:sz="0" w:space="0" w:color="auto"/>
                        <w:bottom w:val="none" w:sz="0" w:space="0" w:color="auto"/>
                        <w:right w:val="none" w:sz="0" w:space="0" w:color="auto"/>
                      </w:divBdr>
                      <w:divsChild>
                        <w:div w:id="12697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7609389">
      <w:bodyDiv w:val="1"/>
      <w:marLeft w:val="0"/>
      <w:marRight w:val="0"/>
      <w:marTop w:val="0"/>
      <w:marBottom w:val="0"/>
      <w:divBdr>
        <w:top w:val="none" w:sz="0" w:space="0" w:color="auto"/>
        <w:left w:val="none" w:sz="0" w:space="0" w:color="auto"/>
        <w:bottom w:val="none" w:sz="0" w:space="0" w:color="auto"/>
        <w:right w:val="none" w:sz="0" w:space="0" w:color="auto"/>
      </w:divBdr>
    </w:div>
    <w:div w:id="550726872">
      <w:bodyDiv w:val="1"/>
      <w:marLeft w:val="0"/>
      <w:marRight w:val="0"/>
      <w:marTop w:val="0"/>
      <w:marBottom w:val="0"/>
      <w:divBdr>
        <w:top w:val="none" w:sz="0" w:space="0" w:color="auto"/>
        <w:left w:val="none" w:sz="0" w:space="0" w:color="auto"/>
        <w:bottom w:val="none" w:sz="0" w:space="0" w:color="auto"/>
        <w:right w:val="none" w:sz="0" w:space="0" w:color="auto"/>
      </w:divBdr>
    </w:div>
    <w:div w:id="682510030">
      <w:bodyDiv w:val="1"/>
      <w:marLeft w:val="0"/>
      <w:marRight w:val="0"/>
      <w:marTop w:val="0"/>
      <w:marBottom w:val="0"/>
      <w:divBdr>
        <w:top w:val="none" w:sz="0" w:space="0" w:color="auto"/>
        <w:left w:val="none" w:sz="0" w:space="0" w:color="auto"/>
        <w:bottom w:val="none" w:sz="0" w:space="0" w:color="auto"/>
        <w:right w:val="none" w:sz="0" w:space="0" w:color="auto"/>
      </w:divBdr>
    </w:div>
    <w:div w:id="810827692">
      <w:bodyDiv w:val="1"/>
      <w:marLeft w:val="0"/>
      <w:marRight w:val="0"/>
      <w:marTop w:val="0"/>
      <w:marBottom w:val="0"/>
      <w:divBdr>
        <w:top w:val="none" w:sz="0" w:space="0" w:color="auto"/>
        <w:left w:val="none" w:sz="0" w:space="0" w:color="auto"/>
        <w:bottom w:val="none" w:sz="0" w:space="0" w:color="auto"/>
        <w:right w:val="none" w:sz="0" w:space="0" w:color="auto"/>
      </w:divBdr>
    </w:div>
    <w:div w:id="920866839">
      <w:bodyDiv w:val="1"/>
      <w:marLeft w:val="0"/>
      <w:marRight w:val="0"/>
      <w:marTop w:val="0"/>
      <w:marBottom w:val="0"/>
      <w:divBdr>
        <w:top w:val="none" w:sz="0" w:space="0" w:color="auto"/>
        <w:left w:val="none" w:sz="0" w:space="0" w:color="auto"/>
        <w:bottom w:val="none" w:sz="0" w:space="0" w:color="auto"/>
        <w:right w:val="none" w:sz="0" w:space="0" w:color="auto"/>
      </w:divBdr>
    </w:div>
    <w:div w:id="953826202">
      <w:bodyDiv w:val="1"/>
      <w:marLeft w:val="0"/>
      <w:marRight w:val="0"/>
      <w:marTop w:val="0"/>
      <w:marBottom w:val="0"/>
      <w:divBdr>
        <w:top w:val="none" w:sz="0" w:space="0" w:color="auto"/>
        <w:left w:val="none" w:sz="0" w:space="0" w:color="auto"/>
        <w:bottom w:val="none" w:sz="0" w:space="0" w:color="auto"/>
        <w:right w:val="none" w:sz="0" w:space="0" w:color="auto"/>
      </w:divBdr>
    </w:div>
    <w:div w:id="1134324588">
      <w:bodyDiv w:val="1"/>
      <w:marLeft w:val="0"/>
      <w:marRight w:val="0"/>
      <w:marTop w:val="0"/>
      <w:marBottom w:val="0"/>
      <w:divBdr>
        <w:top w:val="none" w:sz="0" w:space="0" w:color="auto"/>
        <w:left w:val="none" w:sz="0" w:space="0" w:color="auto"/>
        <w:bottom w:val="none" w:sz="0" w:space="0" w:color="auto"/>
        <w:right w:val="none" w:sz="0" w:space="0" w:color="auto"/>
      </w:divBdr>
      <w:divsChild>
        <w:div w:id="1525822913">
          <w:marLeft w:val="0"/>
          <w:marRight w:val="0"/>
          <w:marTop w:val="0"/>
          <w:marBottom w:val="0"/>
          <w:divBdr>
            <w:top w:val="none" w:sz="0" w:space="0" w:color="auto"/>
            <w:left w:val="none" w:sz="0" w:space="0" w:color="auto"/>
            <w:bottom w:val="none" w:sz="0" w:space="0" w:color="auto"/>
            <w:right w:val="none" w:sz="0" w:space="0" w:color="auto"/>
          </w:divBdr>
          <w:divsChild>
            <w:div w:id="567963775">
              <w:marLeft w:val="0"/>
              <w:marRight w:val="0"/>
              <w:marTop w:val="0"/>
              <w:marBottom w:val="0"/>
              <w:divBdr>
                <w:top w:val="none" w:sz="0" w:space="0" w:color="auto"/>
                <w:left w:val="none" w:sz="0" w:space="0" w:color="auto"/>
                <w:bottom w:val="none" w:sz="0" w:space="0" w:color="auto"/>
                <w:right w:val="none" w:sz="0" w:space="0" w:color="auto"/>
              </w:divBdr>
              <w:divsChild>
                <w:div w:id="2068797640">
                  <w:marLeft w:val="0"/>
                  <w:marRight w:val="0"/>
                  <w:marTop w:val="0"/>
                  <w:marBottom w:val="0"/>
                  <w:divBdr>
                    <w:top w:val="none" w:sz="0" w:space="0" w:color="auto"/>
                    <w:left w:val="none" w:sz="0" w:space="0" w:color="auto"/>
                    <w:bottom w:val="none" w:sz="0" w:space="0" w:color="auto"/>
                    <w:right w:val="none" w:sz="0" w:space="0" w:color="auto"/>
                  </w:divBdr>
                  <w:divsChild>
                    <w:div w:id="1818035353">
                      <w:marLeft w:val="0"/>
                      <w:marRight w:val="0"/>
                      <w:marTop w:val="0"/>
                      <w:marBottom w:val="0"/>
                      <w:divBdr>
                        <w:top w:val="none" w:sz="0" w:space="0" w:color="auto"/>
                        <w:left w:val="none" w:sz="0" w:space="0" w:color="auto"/>
                        <w:bottom w:val="none" w:sz="0" w:space="0" w:color="auto"/>
                        <w:right w:val="none" w:sz="0" w:space="0" w:color="auto"/>
                      </w:divBdr>
                      <w:divsChild>
                        <w:div w:id="977806435">
                          <w:marLeft w:val="0"/>
                          <w:marRight w:val="0"/>
                          <w:marTop w:val="0"/>
                          <w:marBottom w:val="0"/>
                          <w:divBdr>
                            <w:top w:val="none" w:sz="0" w:space="0" w:color="auto"/>
                            <w:left w:val="none" w:sz="0" w:space="0" w:color="auto"/>
                            <w:bottom w:val="none" w:sz="0" w:space="0" w:color="auto"/>
                            <w:right w:val="none" w:sz="0" w:space="0" w:color="auto"/>
                          </w:divBdr>
                          <w:divsChild>
                            <w:div w:id="35214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03234">
                  <w:marLeft w:val="0"/>
                  <w:marRight w:val="0"/>
                  <w:marTop w:val="0"/>
                  <w:marBottom w:val="0"/>
                  <w:divBdr>
                    <w:top w:val="none" w:sz="0" w:space="0" w:color="auto"/>
                    <w:left w:val="none" w:sz="0" w:space="0" w:color="auto"/>
                    <w:bottom w:val="none" w:sz="0" w:space="0" w:color="auto"/>
                    <w:right w:val="none" w:sz="0" w:space="0" w:color="auto"/>
                  </w:divBdr>
                  <w:divsChild>
                    <w:div w:id="32794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331965">
      <w:bodyDiv w:val="1"/>
      <w:marLeft w:val="0"/>
      <w:marRight w:val="0"/>
      <w:marTop w:val="0"/>
      <w:marBottom w:val="0"/>
      <w:divBdr>
        <w:top w:val="none" w:sz="0" w:space="0" w:color="auto"/>
        <w:left w:val="none" w:sz="0" w:space="0" w:color="auto"/>
        <w:bottom w:val="none" w:sz="0" w:space="0" w:color="auto"/>
        <w:right w:val="none" w:sz="0" w:space="0" w:color="auto"/>
      </w:divBdr>
    </w:div>
    <w:div w:id="1319067312">
      <w:bodyDiv w:val="1"/>
      <w:marLeft w:val="0"/>
      <w:marRight w:val="0"/>
      <w:marTop w:val="0"/>
      <w:marBottom w:val="0"/>
      <w:divBdr>
        <w:top w:val="none" w:sz="0" w:space="0" w:color="auto"/>
        <w:left w:val="none" w:sz="0" w:space="0" w:color="auto"/>
        <w:bottom w:val="none" w:sz="0" w:space="0" w:color="auto"/>
        <w:right w:val="none" w:sz="0" w:space="0" w:color="auto"/>
      </w:divBdr>
    </w:div>
    <w:div w:id="1455758711">
      <w:bodyDiv w:val="1"/>
      <w:marLeft w:val="0"/>
      <w:marRight w:val="0"/>
      <w:marTop w:val="0"/>
      <w:marBottom w:val="0"/>
      <w:divBdr>
        <w:top w:val="none" w:sz="0" w:space="0" w:color="auto"/>
        <w:left w:val="none" w:sz="0" w:space="0" w:color="auto"/>
        <w:bottom w:val="none" w:sz="0" w:space="0" w:color="auto"/>
        <w:right w:val="none" w:sz="0" w:space="0" w:color="auto"/>
      </w:divBdr>
      <w:divsChild>
        <w:div w:id="583220474">
          <w:marLeft w:val="0"/>
          <w:marRight w:val="0"/>
          <w:marTop w:val="0"/>
          <w:marBottom w:val="0"/>
          <w:divBdr>
            <w:top w:val="none" w:sz="0" w:space="0" w:color="auto"/>
            <w:left w:val="none" w:sz="0" w:space="0" w:color="auto"/>
            <w:bottom w:val="none" w:sz="0" w:space="0" w:color="auto"/>
            <w:right w:val="none" w:sz="0" w:space="0" w:color="auto"/>
          </w:divBdr>
          <w:divsChild>
            <w:div w:id="1565753207">
              <w:marLeft w:val="0"/>
              <w:marRight w:val="0"/>
              <w:marTop w:val="0"/>
              <w:marBottom w:val="0"/>
              <w:divBdr>
                <w:top w:val="none" w:sz="0" w:space="0" w:color="auto"/>
                <w:left w:val="none" w:sz="0" w:space="0" w:color="auto"/>
                <w:bottom w:val="none" w:sz="0" w:space="0" w:color="auto"/>
                <w:right w:val="none" w:sz="0" w:space="0" w:color="auto"/>
              </w:divBdr>
              <w:divsChild>
                <w:div w:id="1057586004">
                  <w:marLeft w:val="0"/>
                  <w:marRight w:val="0"/>
                  <w:marTop w:val="0"/>
                  <w:marBottom w:val="0"/>
                  <w:divBdr>
                    <w:top w:val="none" w:sz="0" w:space="0" w:color="auto"/>
                    <w:left w:val="none" w:sz="0" w:space="0" w:color="auto"/>
                    <w:bottom w:val="none" w:sz="0" w:space="0" w:color="auto"/>
                    <w:right w:val="none" w:sz="0" w:space="0" w:color="auto"/>
                  </w:divBdr>
                  <w:divsChild>
                    <w:div w:id="383331803">
                      <w:marLeft w:val="0"/>
                      <w:marRight w:val="0"/>
                      <w:marTop w:val="0"/>
                      <w:marBottom w:val="0"/>
                      <w:divBdr>
                        <w:top w:val="none" w:sz="0" w:space="0" w:color="auto"/>
                        <w:left w:val="none" w:sz="0" w:space="0" w:color="auto"/>
                        <w:bottom w:val="none" w:sz="0" w:space="0" w:color="auto"/>
                        <w:right w:val="none" w:sz="0" w:space="0" w:color="auto"/>
                      </w:divBdr>
                      <w:divsChild>
                        <w:div w:id="925578678">
                          <w:marLeft w:val="0"/>
                          <w:marRight w:val="0"/>
                          <w:marTop w:val="0"/>
                          <w:marBottom w:val="0"/>
                          <w:divBdr>
                            <w:top w:val="none" w:sz="0" w:space="0" w:color="auto"/>
                            <w:left w:val="none" w:sz="0" w:space="0" w:color="auto"/>
                            <w:bottom w:val="none" w:sz="0" w:space="0" w:color="auto"/>
                            <w:right w:val="none" w:sz="0" w:space="0" w:color="auto"/>
                          </w:divBdr>
                          <w:divsChild>
                            <w:div w:id="57490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564016">
                  <w:marLeft w:val="0"/>
                  <w:marRight w:val="0"/>
                  <w:marTop w:val="0"/>
                  <w:marBottom w:val="0"/>
                  <w:divBdr>
                    <w:top w:val="none" w:sz="0" w:space="0" w:color="auto"/>
                    <w:left w:val="none" w:sz="0" w:space="0" w:color="auto"/>
                    <w:bottom w:val="none" w:sz="0" w:space="0" w:color="auto"/>
                    <w:right w:val="none" w:sz="0" w:space="0" w:color="auto"/>
                  </w:divBdr>
                  <w:divsChild>
                    <w:div w:id="200161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611450">
      <w:bodyDiv w:val="1"/>
      <w:marLeft w:val="0"/>
      <w:marRight w:val="0"/>
      <w:marTop w:val="0"/>
      <w:marBottom w:val="0"/>
      <w:divBdr>
        <w:top w:val="none" w:sz="0" w:space="0" w:color="auto"/>
        <w:left w:val="none" w:sz="0" w:space="0" w:color="auto"/>
        <w:bottom w:val="none" w:sz="0" w:space="0" w:color="auto"/>
        <w:right w:val="none" w:sz="0" w:space="0" w:color="auto"/>
      </w:divBdr>
    </w:div>
    <w:div w:id="1528565973">
      <w:bodyDiv w:val="1"/>
      <w:marLeft w:val="0"/>
      <w:marRight w:val="0"/>
      <w:marTop w:val="0"/>
      <w:marBottom w:val="0"/>
      <w:divBdr>
        <w:top w:val="none" w:sz="0" w:space="0" w:color="auto"/>
        <w:left w:val="none" w:sz="0" w:space="0" w:color="auto"/>
        <w:bottom w:val="none" w:sz="0" w:space="0" w:color="auto"/>
        <w:right w:val="none" w:sz="0" w:space="0" w:color="auto"/>
      </w:divBdr>
      <w:divsChild>
        <w:div w:id="1214544633">
          <w:marLeft w:val="0"/>
          <w:marRight w:val="0"/>
          <w:marTop w:val="0"/>
          <w:marBottom w:val="0"/>
          <w:divBdr>
            <w:top w:val="none" w:sz="0" w:space="0" w:color="auto"/>
            <w:left w:val="none" w:sz="0" w:space="0" w:color="auto"/>
            <w:bottom w:val="none" w:sz="0" w:space="0" w:color="auto"/>
            <w:right w:val="none" w:sz="0" w:space="0" w:color="auto"/>
          </w:divBdr>
          <w:divsChild>
            <w:div w:id="577054404">
              <w:marLeft w:val="0"/>
              <w:marRight w:val="0"/>
              <w:marTop w:val="0"/>
              <w:marBottom w:val="0"/>
              <w:divBdr>
                <w:top w:val="none" w:sz="0" w:space="0" w:color="auto"/>
                <w:left w:val="none" w:sz="0" w:space="0" w:color="auto"/>
                <w:bottom w:val="none" w:sz="0" w:space="0" w:color="auto"/>
                <w:right w:val="none" w:sz="0" w:space="0" w:color="auto"/>
              </w:divBdr>
              <w:divsChild>
                <w:div w:id="858932570">
                  <w:marLeft w:val="0"/>
                  <w:marRight w:val="0"/>
                  <w:marTop w:val="0"/>
                  <w:marBottom w:val="0"/>
                  <w:divBdr>
                    <w:top w:val="none" w:sz="0" w:space="0" w:color="auto"/>
                    <w:left w:val="none" w:sz="0" w:space="0" w:color="auto"/>
                    <w:bottom w:val="none" w:sz="0" w:space="0" w:color="auto"/>
                    <w:right w:val="none" w:sz="0" w:space="0" w:color="auto"/>
                  </w:divBdr>
                  <w:divsChild>
                    <w:div w:id="467238438">
                      <w:marLeft w:val="0"/>
                      <w:marRight w:val="0"/>
                      <w:marTop w:val="0"/>
                      <w:marBottom w:val="0"/>
                      <w:divBdr>
                        <w:top w:val="none" w:sz="0" w:space="0" w:color="auto"/>
                        <w:left w:val="none" w:sz="0" w:space="0" w:color="auto"/>
                        <w:bottom w:val="none" w:sz="0" w:space="0" w:color="auto"/>
                        <w:right w:val="none" w:sz="0" w:space="0" w:color="auto"/>
                      </w:divBdr>
                      <w:divsChild>
                        <w:div w:id="999652435">
                          <w:marLeft w:val="0"/>
                          <w:marRight w:val="0"/>
                          <w:marTop w:val="0"/>
                          <w:marBottom w:val="0"/>
                          <w:divBdr>
                            <w:top w:val="none" w:sz="0" w:space="0" w:color="auto"/>
                            <w:left w:val="none" w:sz="0" w:space="0" w:color="auto"/>
                            <w:bottom w:val="none" w:sz="0" w:space="0" w:color="auto"/>
                            <w:right w:val="none" w:sz="0" w:space="0" w:color="auto"/>
                          </w:divBdr>
                          <w:divsChild>
                            <w:div w:id="2038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435716">
                  <w:marLeft w:val="0"/>
                  <w:marRight w:val="0"/>
                  <w:marTop w:val="0"/>
                  <w:marBottom w:val="0"/>
                  <w:divBdr>
                    <w:top w:val="none" w:sz="0" w:space="0" w:color="auto"/>
                    <w:left w:val="none" w:sz="0" w:space="0" w:color="auto"/>
                    <w:bottom w:val="none" w:sz="0" w:space="0" w:color="auto"/>
                    <w:right w:val="none" w:sz="0" w:space="0" w:color="auto"/>
                  </w:divBdr>
                  <w:divsChild>
                    <w:div w:id="71731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590239">
      <w:bodyDiv w:val="1"/>
      <w:marLeft w:val="0"/>
      <w:marRight w:val="0"/>
      <w:marTop w:val="0"/>
      <w:marBottom w:val="0"/>
      <w:divBdr>
        <w:top w:val="none" w:sz="0" w:space="0" w:color="auto"/>
        <w:left w:val="none" w:sz="0" w:space="0" w:color="auto"/>
        <w:bottom w:val="none" w:sz="0" w:space="0" w:color="auto"/>
        <w:right w:val="none" w:sz="0" w:space="0" w:color="auto"/>
      </w:divBdr>
    </w:div>
    <w:div w:id="1705404691">
      <w:bodyDiv w:val="1"/>
      <w:marLeft w:val="0"/>
      <w:marRight w:val="0"/>
      <w:marTop w:val="0"/>
      <w:marBottom w:val="0"/>
      <w:divBdr>
        <w:top w:val="none" w:sz="0" w:space="0" w:color="auto"/>
        <w:left w:val="none" w:sz="0" w:space="0" w:color="auto"/>
        <w:bottom w:val="none" w:sz="0" w:space="0" w:color="auto"/>
        <w:right w:val="none" w:sz="0" w:space="0" w:color="auto"/>
      </w:divBdr>
      <w:divsChild>
        <w:div w:id="1103957252">
          <w:marLeft w:val="0"/>
          <w:marRight w:val="0"/>
          <w:marTop w:val="0"/>
          <w:marBottom w:val="0"/>
          <w:divBdr>
            <w:top w:val="none" w:sz="0" w:space="0" w:color="auto"/>
            <w:left w:val="none" w:sz="0" w:space="0" w:color="auto"/>
            <w:bottom w:val="none" w:sz="0" w:space="0" w:color="auto"/>
            <w:right w:val="none" w:sz="0" w:space="0" w:color="auto"/>
          </w:divBdr>
          <w:divsChild>
            <w:div w:id="2111578760">
              <w:marLeft w:val="0"/>
              <w:marRight w:val="0"/>
              <w:marTop w:val="0"/>
              <w:marBottom w:val="0"/>
              <w:divBdr>
                <w:top w:val="none" w:sz="0" w:space="0" w:color="auto"/>
                <w:left w:val="none" w:sz="0" w:space="0" w:color="auto"/>
                <w:bottom w:val="none" w:sz="0" w:space="0" w:color="auto"/>
                <w:right w:val="none" w:sz="0" w:space="0" w:color="auto"/>
              </w:divBdr>
              <w:divsChild>
                <w:div w:id="643390891">
                  <w:marLeft w:val="0"/>
                  <w:marRight w:val="0"/>
                  <w:marTop w:val="0"/>
                  <w:marBottom w:val="0"/>
                  <w:divBdr>
                    <w:top w:val="none" w:sz="0" w:space="0" w:color="auto"/>
                    <w:left w:val="none" w:sz="0" w:space="0" w:color="auto"/>
                    <w:bottom w:val="none" w:sz="0" w:space="0" w:color="auto"/>
                    <w:right w:val="none" w:sz="0" w:space="0" w:color="auto"/>
                  </w:divBdr>
                  <w:divsChild>
                    <w:div w:id="509569529">
                      <w:marLeft w:val="0"/>
                      <w:marRight w:val="0"/>
                      <w:marTop w:val="0"/>
                      <w:marBottom w:val="0"/>
                      <w:divBdr>
                        <w:top w:val="none" w:sz="0" w:space="0" w:color="auto"/>
                        <w:left w:val="none" w:sz="0" w:space="0" w:color="auto"/>
                        <w:bottom w:val="none" w:sz="0" w:space="0" w:color="auto"/>
                        <w:right w:val="none" w:sz="0" w:space="0" w:color="auto"/>
                      </w:divBdr>
                      <w:divsChild>
                        <w:div w:id="734624057">
                          <w:marLeft w:val="0"/>
                          <w:marRight w:val="0"/>
                          <w:marTop w:val="0"/>
                          <w:marBottom w:val="0"/>
                          <w:divBdr>
                            <w:top w:val="none" w:sz="0" w:space="0" w:color="auto"/>
                            <w:left w:val="none" w:sz="0" w:space="0" w:color="auto"/>
                            <w:bottom w:val="none" w:sz="0" w:space="0" w:color="auto"/>
                            <w:right w:val="none" w:sz="0" w:space="0" w:color="auto"/>
                          </w:divBdr>
                          <w:divsChild>
                            <w:div w:id="1630474432">
                              <w:marLeft w:val="0"/>
                              <w:marRight w:val="0"/>
                              <w:marTop w:val="0"/>
                              <w:marBottom w:val="0"/>
                              <w:divBdr>
                                <w:top w:val="none" w:sz="0" w:space="0" w:color="auto"/>
                                <w:left w:val="none" w:sz="0" w:space="0" w:color="auto"/>
                                <w:bottom w:val="none" w:sz="0" w:space="0" w:color="auto"/>
                                <w:right w:val="none" w:sz="0" w:space="0" w:color="auto"/>
                              </w:divBdr>
                              <w:divsChild>
                                <w:div w:id="2129549210">
                                  <w:marLeft w:val="0"/>
                                  <w:marRight w:val="0"/>
                                  <w:marTop w:val="0"/>
                                  <w:marBottom w:val="0"/>
                                  <w:divBdr>
                                    <w:top w:val="none" w:sz="0" w:space="0" w:color="auto"/>
                                    <w:left w:val="none" w:sz="0" w:space="0" w:color="auto"/>
                                    <w:bottom w:val="none" w:sz="0" w:space="0" w:color="auto"/>
                                    <w:right w:val="none" w:sz="0" w:space="0" w:color="auto"/>
                                  </w:divBdr>
                                  <w:divsChild>
                                    <w:div w:id="1463383145">
                                      <w:marLeft w:val="0"/>
                                      <w:marRight w:val="0"/>
                                      <w:marTop w:val="0"/>
                                      <w:marBottom w:val="0"/>
                                      <w:divBdr>
                                        <w:top w:val="none" w:sz="0" w:space="0" w:color="auto"/>
                                        <w:left w:val="none" w:sz="0" w:space="0" w:color="auto"/>
                                        <w:bottom w:val="none" w:sz="0" w:space="0" w:color="auto"/>
                                        <w:right w:val="none" w:sz="0" w:space="0" w:color="auto"/>
                                      </w:divBdr>
                                      <w:divsChild>
                                        <w:div w:id="2089039718">
                                          <w:marLeft w:val="0"/>
                                          <w:marRight w:val="0"/>
                                          <w:marTop w:val="0"/>
                                          <w:marBottom w:val="0"/>
                                          <w:divBdr>
                                            <w:top w:val="none" w:sz="0" w:space="0" w:color="auto"/>
                                            <w:left w:val="none" w:sz="0" w:space="0" w:color="auto"/>
                                            <w:bottom w:val="none" w:sz="0" w:space="0" w:color="auto"/>
                                            <w:right w:val="none" w:sz="0" w:space="0" w:color="auto"/>
                                          </w:divBdr>
                                          <w:divsChild>
                                            <w:div w:id="11634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36998">
                                  <w:marLeft w:val="0"/>
                                  <w:marRight w:val="0"/>
                                  <w:marTop w:val="0"/>
                                  <w:marBottom w:val="0"/>
                                  <w:divBdr>
                                    <w:top w:val="none" w:sz="0" w:space="0" w:color="auto"/>
                                    <w:left w:val="none" w:sz="0" w:space="0" w:color="auto"/>
                                    <w:bottom w:val="none" w:sz="0" w:space="0" w:color="auto"/>
                                    <w:right w:val="none" w:sz="0" w:space="0" w:color="auto"/>
                                  </w:divBdr>
                                  <w:divsChild>
                                    <w:div w:id="165217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6269065">
          <w:marLeft w:val="0"/>
          <w:marRight w:val="0"/>
          <w:marTop w:val="0"/>
          <w:marBottom w:val="0"/>
          <w:divBdr>
            <w:top w:val="none" w:sz="0" w:space="0" w:color="auto"/>
            <w:left w:val="none" w:sz="0" w:space="0" w:color="auto"/>
            <w:bottom w:val="none" w:sz="0" w:space="0" w:color="auto"/>
            <w:right w:val="none" w:sz="0" w:space="0" w:color="auto"/>
          </w:divBdr>
          <w:divsChild>
            <w:div w:id="1575043483">
              <w:marLeft w:val="0"/>
              <w:marRight w:val="0"/>
              <w:marTop w:val="0"/>
              <w:marBottom w:val="0"/>
              <w:divBdr>
                <w:top w:val="none" w:sz="0" w:space="0" w:color="auto"/>
                <w:left w:val="none" w:sz="0" w:space="0" w:color="auto"/>
                <w:bottom w:val="none" w:sz="0" w:space="0" w:color="auto"/>
                <w:right w:val="none" w:sz="0" w:space="0" w:color="auto"/>
              </w:divBdr>
              <w:divsChild>
                <w:div w:id="1019430969">
                  <w:marLeft w:val="0"/>
                  <w:marRight w:val="0"/>
                  <w:marTop w:val="0"/>
                  <w:marBottom w:val="0"/>
                  <w:divBdr>
                    <w:top w:val="none" w:sz="0" w:space="0" w:color="auto"/>
                    <w:left w:val="none" w:sz="0" w:space="0" w:color="auto"/>
                    <w:bottom w:val="none" w:sz="0" w:space="0" w:color="auto"/>
                    <w:right w:val="none" w:sz="0" w:space="0" w:color="auto"/>
                  </w:divBdr>
                  <w:divsChild>
                    <w:div w:id="822937372">
                      <w:marLeft w:val="0"/>
                      <w:marRight w:val="0"/>
                      <w:marTop w:val="0"/>
                      <w:marBottom w:val="0"/>
                      <w:divBdr>
                        <w:top w:val="none" w:sz="0" w:space="0" w:color="auto"/>
                        <w:left w:val="none" w:sz="0" w:space="0" w:color="auto"/>
                        <w:bottom w:val="none" w:sz="0" w:space="0" w:color="auto"/>
                        <w:right w:val="none" w:sz="0" w:space="0" w:color="auto"/>
                      </w:divBdr>
                      <w:divsChild>
                        <w:div w:id="12228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379963">
      <w:bodyDiv w:val="1"/>
      <w:marLeft w:val="0"/>
      <w:marRight w:val="0"/>
      <w:marTop w:val="0"/>
      <w:marBottom w:val="0"/>
      <w:divBdr>
        <w:top w:val="none" w:sz="0" w:space="0" w:color="auto"/>
        <w:left w:val="none" w:sz="0" w:space="0" w:color="auto"/>
        <w:bottom w:val="none" w:sz="0" w:space="0" w:color="auto"/>
        <w:right w:val="none" w:sz="0" w:space="0" w:color="auto"/>
      </w:divBdr>
    </w:div>
    <w:div w:id="1818298474">
      <w:bodyDiv w:val="1"/>
      <w:marLeft w:val="0"/>
      <w:marRight w:val="0"/>
      <w:marTop w:val="0"/>
      <w:marBottom w:val="0"/>
      <w:divBdr>
        <w:top w:val="none" w:sz="0" w:space="0" w:color="auto"/>
        <w:left w:val="none" w:sz="0" w:space="0" w:color="auto"/>
        <w:bottom w:val="none" w:sz="0" w:space="0" w:color="auto"/>
        <w:right w:val="none" w:sz="0" w:space="0" w:color="auto"/>
      </w:divBdr>
    </w:div>
    <w:div w:id="1912615919">
      <w:bodyDiv w:val="1"/>
      <w:marLeft w:val="0"/>
      <w:marRight w:val="0"/>
      <w:marTop w:val="0"/>
      <w:marBottom w:val="0"/>
      <w:divBdr>
        <w:top w:val="none" w:sz="0" w:space="0" w:color="auto"/>
        <w:left w:val="none" w:sz="0" w:space="0" w:color="auto"/>
        <w:bottom w:val="none" w:sz="0" w:space="0" w:color="auto"/>
        <w:right w:val="none" w:sz="0" w:space="0" w:color="auto"/>
      </w:divBdr>
    </w:div>
    <w:div w:id="1929339070">
      <w:bodyDiv w:val="1"/>
      <w:marLeft w:val="0"/>
      <w:marRight w:val="0"/>
      <w:marTop w:val="0"/>
      <w:marBottom w:val="0"/>
      <w:divBdr>
        <w:top w:val="none" w:sz="0" w:space="0" w:color="auto"/>
        <w:left w:val="none" w:sz="0" w:space="0" w:color="auto"/>
        <w:bottom w:val="none" w:sz="0" w:space="0" w:color="auto"/>
        <w:right w:val="none" w:sz="0" w:space="0" w:color="auto"/>
      </w:divBdr>
    </w:div>
    <w:div w:id="2009163402">
      <w:bodyDiv w:val="1"/>
      <w:marLeft w:val="0"/>
      <w:marRight w:val="0"/>
      <w:marTop w:val="0"/>
      <w:marBottom w:val="0"/>
      <w:divBdr>
        <w:top w:val="none" w:sz="0" w:space="0" w:color="auto"/>
        <w:left w:val="none" w:sz="0" w:space="0" w:color="auto"/>
        <w:bottom w:val="none" w:sz="0" w:space="0" w:color="auto"/>
        <w:right w:val="none" w:sz="0" w:space="0" w:color="auto"/>
      </w:divBdr>
    </w:div>
    <w:div w:id="2050688693">
      <w:bodyDiv w:val="1"/>
      <w:marLeft w:val="0"/>
      <w:marRight w:val="0"/>
      <w:marTop w:val="0"/>
      <w:marBottom w:val="0"/>
      <w:divBdr>
        <w:top w:val="none" w:sz="0" w:space="0" w:color="auto"/>
        <w:left w:val="none" w:sz="0" w:space="0" w:color="auto"/>
        <w:bottom w:val="none" w:sz="0" w:space="0" w:color="auto"/>
        <w:right w:val="none" w:sz="0" w:space="0" w:color="auto"/>
      </w:divBdr>
      <w:divsChild>
        <w:div w:id="1833914513">
          <w:marLeft w:val="0"/>
          <w:marRight w:val="0"/>
          <w:marTop w:val="0"/>
          <w:marBottom w:val="0"/>
          <w:divBdr>
            <w:top w:val="none" w:sz="0" w:space="0" w:color="auto"/>
            <w:left w:val="none" w:sz="0" w:space="0" w:color="auto"/>
            <w:bottom w:val="none" w:sz="0" w:space="0" w:color="auto"/>
            <w:right w:val="none" w:sz="0" w:space="0" w:color="auto"/>
          </w:divBdr>
          <w:divsChild>
            <w:div w:id="1288391701">
              <w:marLeft w:val="0"/>
              <w:marRight w:val="0"/>
              <w:marTop w:val="0"/>
              <w:marBottom w:val="0"/>
              <w:divBdr>
                <w:top w:val="none" w:sz="0" w:space="0" w:color="auto"/>
                <w:left w:val="none" w:sz="0" w:space="0" w:color="auto"/>
                <w:bottom w:val="none" w:sz="0" w:space="0" w:color="auto"/>
                <w:right w:val="none" w:sz="0" w:space="0" w:color="auto"/>
              </w:divBdr>
              <w:divsChild>
                <w:div w:id="2091609403">
                  <w:marLeft w:val="0"/>
                  <w:marRight w:val="0"/>
                  <w:marTop w:val="0"/>
                  <w:marBottom w:val="0"/>
                  <w:divBdr>
                    <w:top w:val="none" w:sz="0" w:space="0" w:color="auto"/>
                    <w:left w:val="none" w:sz="0" w:space="0" w:color="auto"/>
                    <w:bottom w:val="none" w:sz="0" w:space="0" w:color="auto"/>
                    <w:right w:val="none" w:sz="0" w:space="0" w:color="auto"/>
                  </w:divBdr>
                  <w:divsChild>
                    <w:div w:id="923536978">
                      <w:marLeft w:val="0"/>
                      <w:marRight w:val="0"/>
                      <w:marTop w:val="0"/>
                      <w:marBottom w:val="0"/>
                      <w:divBdr>
                        <w:top w:val="none" w:sz="0" w:space="0" w:color="auto"/>
                        <w:left w:val="none" w:sz="0" w:space="0" w:color="auto"/>
                        <w:bottom w:val="none" w:sz="0" w:space="0" w:color="auto"/>
                        <w:right w:val="none" w:sz="0" w:space="0" w:color="auto"/>
                      </w:divBdr>
                      <w:divsChild>
                        <w:div w:id="456484329">
                          <w:marLeft w:val="0"/>
                          <w:marRight w:val="0"/>
                          <w:marTop w:val="0"/>
                          <w:marBottom w:val="0"/>
                          <w:divBdr>
                            <w:top w:val="none" w:sz="0" w:space="0" w:color="auto"/>
                            <w:left w:val="none" w:sz="0" w:space="0" w:color="auto"/>
                            <w:bottom w:val="none" w:sz="0" w:space="0" w:color="auto"/>
                            <w:right w:val="none" w:sz="0" w:space="0" w:color="auto"/>
                          </w:divBdr>
                          <w:divsChild>
                            <w:div w:id="38668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590041">
                  <w:marLeft w:val="0"/>
                  <w:marRight w:val="0"/>
                  <w:marTop w:val="0"/>
                  <w:marBottom w:val="0"/>
                  <w:divBdr>
                    <w:top w:val="none" w:sz="0" w:space="0" w:color="auto"/>
                    <w:left w:val="none" w:sz="0" w:space="0" w:color="auto"/>
                    <w:bottom w:val="none" w:sz="0" w:space="0" w:color="auto"/>
                    <w:right w:val="none" w:sz="0" w:space="0" w:color="auto"/>
                  </w:divBdr>
                  <w:divsChild>
                    <w:div w:id="60111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07/978-94-017-8801-4_75"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8</Pages>
  <Words>2214</Words>
  <Characters>12620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1180</cp:lastModifiedBy>
  <cp:revision>11</cp:revision>
  <dcterms:created xsi:type="dcterms:W3CDTF">2025-08-05T05:12:00Z</dcterms:created>
  <dcterms:modified xsi:type="dcterms:W3CDTF">2025-08-06T05:57:00Z</dcterms:modified>
</cp:coreProperties>
</file>