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2AA90" w14:textId="0FA8B4CF" w:rsidR="007C3182" w:rsidRPr="002B2D3C" w:rsidRDefault="00350703" w:rsidP="00055D83">
      <w:pPr>
        <w:spacing w:before="0" w:line="240" w:lineRule="auto"/>
        <w:jc w:val="center"/>
        <w:rPr>
          <w:rFonts w:cs="Times New Roman"/>
          <w:color w:val="000000" w:themeColor="text1"/>
          <w:szCs w:val="24"/>
        </w:rPr>
      </w:pPr>
      <w:r w:rsidRPr="00350703">
        <w:rPr>
          <w:rFonts w:cs="Times New Roman"/>
          <w:b/>
          <w:bCs/>
          <w:color w:val="000000" w:themeColor="text1"/>
          <w:sz w:val="36"/>
          <w:szCs w:val="36"/>
          <w:highlight w:val="green"/>
        </w:rPr>
        <w:t>Evaluating the Role of ERP, Cloud, and Blockchain Systems in Improving Financial Efficiency of NGOs in Kenya</w:t>
      </w:r>
    </w:p>
    <w:p w14:paraId="42946DD8" w14:textId="77777777" w:rsidR="00055D83" w:rsidRPr="002B2D3C" w:rsidRDefault="00055D83" w:rsidP="00055D83">
      <w:pPr>
        <w:pStyle w:val="Heading1"/>
      </w:pPr>
      <w:bookmarkStart w:id="0" w:name="_Toc488404692"/>
      <w:bookmarkStart w:id="1" w:name="_Toc102409737"/>
      <w:r w:rsidRPr="002B2D3C">
        <w:t>ABSTRACT</w:t>
      </w:r>
      <w:bookmarkEnd w:id="0"/>
      <w:bookmarkEnd w:id="1"/>
    </w:p>
    <w:p w14:paraId="6207EB90" w14:textId="50565104" w:rsidR="00857BF9" w:rsidRPr="00857BF9" w:rsidRDefault="00652895" w:rsidP="003C1EB2">
      <w:pPr>
        <w:spacing w:line="240" w:lineRule="auto"/>
        <w:rPr>
          <w:rFonts w:cs="Times New Roman"/>
          <w:szCs w:val="24"/>
        </w:rPr>
      </w:pPr>
      <w:r w:rsidRPr="00652895">
        <w:rPr>
          <w:rFonts w:cs="Times New Roman"/>
          <w:szCs w:val="24"/>
          <w:highlight w:val="green"/>
        </w:rPr>
        <w:t>This study explored the impact of technological financial systems</w:t>
      </w:r>
      <w:r w:rsidR="00897A35">
        <w:rPr>
          <w:rFonts w:cs="Times New Roman"/>
          <w:szCs w:val="24"/>
          <w:highlight w:val="green"/>
        </w:rPr>
        <w:t xml:space="preserve"> </w:t>
      </w:r>
      <w:r w:rsidRPr="00652895">
        <w:rPr>
          <w:rFonts w:cs="Times New Roman"/>
          <w:szCs w:val="24"/>
          <w:highlight w:val="green"/>
        </w:rPr>
        <w:t>including ERP, cloud accounting, and blockchain</w:t>
      </w:r>
      <w:r w:rsidR="00897A35">
        <w:rPr>
          <w:rFonts w:cs="Times New Roman"/>
          <w:szCs w:val="24"/>
          <w:highlight w:val="green"/>
        </w:rPr>
        <w:t xml:space="preserve"> </w:t>
      </w:r>
      <w:r w:rsidRPr="00652895">
        <w:rPr>
          <w:rFonts w:cs="Times New Roman"/>
          <w:szCs w:val="24"/>
          <w:highlight w:val="green"/>
        </w:rPr>
        <w:t>on the financial efficiency of humanitarian organizations in Kenya. Grounded in the Technology Acceptance Model (TAM), Resource-Based View (RBV), and Institutional Theory, it examined how these digital tools influence budgeting, reporting, and internal control within the nonprofit sector. A mixed-methods cross-sectional design was adopted, combining surveys and interviews with 120 participants from finance, IT, procurement, and operations departments. Data was analyzed using SPSS, with results presented through tables and graphical summaries. The findings revealed mixed perceptions of these technologies: while adoption significantly enhanced the accuracy, timeliness, and transparency of financial reporting, challenges emerged around system integration, inconsistent user acceptance, security concerns, and high implementation costs. Not all departments experienced equal benefits, and cost-effectiveness remained a concern. The study concluded that the effectiveness of digital financial systems depends on organizational culture, institutional support, and user competence. Recommendations included tailored implementation, enhanced staff training, better system integration, and user-centered design of financial tools. The research was limited to Kenyan NGOs, which may affect the generalizability of the findings to other contexts. Nonetheless, the results highlight the potential of technology to foster transparency and accountability in humanitarian financial management, with future studies encouraged to assess long-term impacts and effectiveness in areas such as procurement and project monitoring</w:t>
      </w:r>
      <w:r w:rsidR="003C1EB2" w:rsidRPr="003C1EB2">
        <w:rPr>
          <w:rFonts w:cs="Times New Roman"/>
          <w:szCs w:val="24"/>
          <w:highlight w:val="green"/>
        </w:rPr>
        <w:t>.</w:t>
      </w:r>
    </w:p>
    <w:p w14:paraId="64E4CDE6" w14:textId="77777777" w:rsidR="00857BF9" w:rsidRPr="00857BF9" w:rsidRDefault="00857BF9" w:rsidP="00857BF9">
      <w:pPr>
        <w:spacing w:line="240" w:lineRule="auto"/>
        <w:rPr>
          <w:rFonts w:cs="Times New Roman"/>
          <w:szCs w:val="24"/>
        </w:rPr>
      </w:pPr>
    </w:p>
    <w:p w14:paraId="75CEC440" w14:textId="50B8238F" w:rsidR="00342FD9" w:rsidRPr="00342FD9" w:rsidRDefault="00857BF9" w:rsidP="00857BF9">
      <w:pPr>
        <w:spacing w:line="240" w:lineRule="auto"/>
        <w:rPr>
          <w:rFonts w:cs="Times New Roman"/>
          <w:szCs w:val="24"/>
        </w:rPr>
      </w:pPr>
      <w:r w:rsidRPr="00857BF9">
        <w:rPr>
          <w:rFonts w:cs="Times New Roman"/>
          <w:b/>
          <w:bCs/>
          <w:szCs w:val="24"/>
        </w:rPr>
        <w:t>Keywords:</w:t>
      </w:r>
      <w:r w:rsidRPr="00857BF9">
        <w:rPr>
          <w:rFonts w:cs="Times New Roman"/>
          <w:i/>
          <w:iCs/>
          <w:szCs w:val="24"/>
        </w:rPr>
        <w:t xml:space="preserve"> </w:t>
      </w:r>
      <w:r w:rsidRPr="00724261">
        <w:rPr>
          <w:rFonts w:cs="Times New Roman"/>
          <w:i/>
          <w:iCs/>
          <w:szCs w:val="24"/>
          <w:highlight w:val="green"/>
        </w:rPr>
        <w:t>Financial Efficiency, Digital Systems, Humanitarian Organizations, ERP Systems, Capacity Building, Transparency</w:t>
      </w:r>
      <w:r w:rsidR="00342FD9" w:rsidRPr="00724261">
        <w:rPr>
          <w:rFonts w:cs="Times New Roman"/>
          <w:i/>
          <w:iCs/>
          <w:szCs w:val="24"/>
          <w:highlight w:val="green"/>
        </w:rPr>
        <w:t>.</w:t>
      </w:r>
    </w:p>
    <w:p w14:paraId="184BC1B7" w14:textId="77777777" w:rsidR="00342FD9" w:rsidRPr="00342FD9" w:rsidRDefault="00342FD9" w:rsidP="00342FD9">
      <w:pPr>
        <w:spacing w:line="240" w:lineRule="auto"/>
        <w:rPr>
          <w:rFonts w:cs="Times New Roman"/>
          <w:szCs w:val="24"/>
        </w:rPr>
      </w:pPr>
    </w:p>
    <w:p w14:paraId="60C890DF" w14:textId="77777777" w:rsidR="00055D83" w:rsidRPr="002B2D3C"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1.0 INTRODUCTION</w:t>
      </w:r>
    </w:p>
    <w:p w14:paraId="74DEF375" w14:textId="361EB4F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The growth of humanitarian organizations (NGOs) worldwide reflects a strong dedication to addressing social challenges and improving livelihoods. However, despite this expansion, many NGOs continue to grapple with operational inefficiencies, especially in financial management. Approximately 60% of NGOs globally still rely on manual accounting systems, leading to delayed financial reporting and poor decision-making processes. This has resulted in around 30% of NGOs facing challenges in timely resource allocation. In Africa, these inefficiencies are particularly problematic. The African Economic Outlook highlights that up to 30% of NGO funds are misallocated or lost due to accounting errors, significantly hampering the ability of these organizations to deliver services to those in need.</w:t>
      </w:r>
      <w:r>
        <w:rPr>
          <w:rFonts w:cs="Times New Roman"/>
          <w:color w:val="000000" w:themeColor="text1"/>
          <w:szCs w:val="24"/>
        </w:rPr>
        <w:t xml:space="preserve"> </w:t>
      </w:r>
      <w:r w:rsidRPr="00857BF9">
        <w:rPr>
          <w:rFonts w:cs="Times New Roman"/>
          <w:color w:val="000000" w:themeColor="text1"/>
          <w:szCs w:val="24"/>
        </w:rPr>
        <w:t>In Kenya, the situation mirrors the broader continental context. Despite advancements in financial technology, nearly 70% of NGOs in Kenya still depend on manual financial systems, which often results in inaccurate financial records and limited transparency. As a result, about 40% of NGOs in Kenya face delays in reporting to donors, thereby weakening trust and reducing funding sustainability. These issues threaten not only financial transparency but also the effectiveness of humanitarian initiatives. Recognizing these persistent problems, this study explores the role of technological financial systems in improving financial efficiency among well-established NGOs operating in Kenya.</w:t>
      </w:r>
    </w:p>
    <w:p w14:paraId="17F7E1A2" w14:textId="4D730CC6"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 xml:space="preserve">Technological financial systems have become increasingly important in enhancing the financial operations of NGOs. These systems have transformed how organizations manage their financial transactions, enabling </w:t>
      </w:r>
      <w:r w:rsidRPr="00857BF9">
        <w:rPr>
          <w:rFonts w:cs="Times New Roman"/>
          <w:color w:val="000000" w:themeColor="text1"/>
          <w:szCs w:val="24"/>
        </w:rPr>
        <w:lastRenderedPageBreak/>
        <w:t>streamlined processes, enhanced transparency, and greater accountability. By adopting financial technologies, some NGOs have significantly improved their financial reporting, increased donor confidence, and optimized resource allocation. Tools like Enterprise Resource Planning (ERP) systems, cloud-based accounting software, and automated donor management systems have allowed NGOs to modernize and integrate their financial processes, reducing errors and inefficiencies.</w:t>
      </w:r>
      <w:r>
        <w:rPr>
          <w:rFonts w:cs="Times New Roman"/>
          <w:color w:val="000000" w:themeColor="text1"/>
          <w:szCs w:val="24"/>
        </w:rPr>
        <w:t xml:space="preserve"> </w:t>
      </w:r>
      <w:r w:rsidRPr="00857BF9">
        <w:rPr>
          <w:rFonts w:cs="Times New Roman"/>
          <w:color w:val="000000" w:themeColor="text1"/>
          <w:szCs w:val="24"/>
        </w:rPr>
        <w:t>Various NGOs in Kenya have already begun adopting such technologies with positive outcomes. For instance, some organizations use ERP systems such as Horizon for budgeting and Sun System for financial reporting, along with integrated platforms that manage requisitions, approvals, electronic purchase orders, payments, and fund transfers. These systems offer accuracy, traceability, and timely financial data, promoting efficient fund utilization and strengthening donor relationships. Save the Children, which has operated in Kenya for over 30 years, employs blockchain technology to ensure transparency in fund tracking and donor management. This has improved accountability and enhanced stakeholder confidence.</w:t>
      </w:r>
    </w:p>
    <w:p w14:paraId="78D2488D" w14:textId="17E967EB"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CARE International, with its focus on poverty alleviation and healthcare, has implemented automated donor management systems and cloud-based accounting tools. These enable accurate, real-time financial reporting and better project budgeting, supporting both transparency and efficiency. Similarly, Plan International leverages data analytics tools to make data-driven decisions, which helps in precise resource allocation, project assessment, and impact evaluation. This ensures that resources are used effectively and outcomes are measurable.</w:t>
      </w:r>
      <w:r>
        <w:rPr>
          <w:rFonts w:cs="Times New Roman"/>
          <w:color w:val="000000" w:themeColor="text1"/>
          <w:szCs w:val="24"/>
        </w:rPr>
        <w:t xml:space="preserve"> </w:t>
      </w:r>
      <w:r w:rsidRPr="00857BF9">
        <w:rPr>
          <w:rFonts w:cs="Times New Roman"/>
          <w:color w:val="000000" w:themeColor="text1"/>
          <w:szCs w:val="24"/>
        </w:rPr>
        <w:t>Oxfam uses mobile payment solutions to improve the efficiency of aid distribution, particularly in remote regions. These technologies have enhanced accessibility and ensured that financial aid reaches intended beneficiaries without delays. Oxfam also uses digital platforms to monitor fund utilization in real time, fostering transparency and accountability. ActionAid has diversified its funding sources through digital crowdfunding platforms. These platforms connect with global donor networks and ensure sustainable funding streams, allowing ActionAid to maintain long-term programs addressing poverty, education, and women’s empowerment.</w:t>
      </w:r>
    </w:p>
    <w:p w14:paraId="5AEB14EF" w14:textId="3391D46A"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 xml:space="preserve">The World Food </w:t>
      </w:r>
      <w:proofErr w:type="spellStart"/>
      <w:r w:rsidRPr="00857BF9">
        <w:rPr>
          <w:rFonts w:cs="Times New Roman"/>
          <w:color w:val="000000" w:themeColor="text1"/>
          <w:szCs w:val="24"/>
        </w:rPr>
        <w:t>Programme</w:t>
      </w:r>
      <w:proofErr w:type="spellEnd"/>
      <w:r w:rsidRPr="00857BF9">
        <w:rPr>
          <w:rFonts w:cs="Times New Roman"/>
          <w:color w:val="000000" w:themeColor="text1"/>
          <w:szCs w:val="24"/>
        </w:rPr>
        <w:t xml:space="preserve"> (WFP) in Kenya applies artificial intelligence (AI)-powered supply chain management systems to streamline food distribution. These systems optimize logistics, reduce waste, and allow real-time resource tracking. By leveraging AI, WFP ensures that food aid reaches vulnerable communities promptly, thereby maximizing impact and improving operational outcomes. These technological innovations across different NGOs highlight the potential of financial systems to resolve longstanding inefficiencies. Their adoption aligns with this study’s main objective</w:t>
      </w:r>
      <w:r w:rsidR="00154669">
        <w:rPr>
          <w:rFonts w:cs="Times New Roman"/>
          <w:color w:val="000000" w:themeColor="text1"/>
          <w:szCs w:val="24"/>
        </w:rPr>
        <w:t xml:space="preserve"> </w:t>
      </w:r>
      <w:r w:rsidRPr="00857BF9">
        <w:rPr>
          <w:rFonts w:cs="Times New Roman"/>
          <w:color w:val="000000" w:themeColor="text1"/>
          <w:szCs w:val="24"/>
        </w:rPr>
        <w:t>to assess how such innovations enhance financial efficiency within Kenya’s NGO sector.</w:t>
      </w:r>
    </w:p>
    <w:p w14:paraId="0DDC7830" w14:textId="65F8042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Financial efficiency, as examined in this study, is a multidimensional concept measured by four key indicators: timeliness in resource allocation, transparency in fund utilization, cost-effectiveness in program implementation, and accuracy in financial reporting. Timeliness in resource allocation reflects how quickly funds are disbursed for various projects. This is critical in humanitarian work, where delays can jeopardize the welfare of affected populations. By ensuring timely allocation of resources, NGOs can address urgent needs more effectively and improve their service delivery.</w:t>
      </w:r>
      <w:r>
        <w:rPr>
          <w:rFonts w:cs="Times New Roman"/>
          <w:color w:val="000000" w:themeColor="text1"/>
          <w:szCs w:val="24"/>
        </w:rPr>
        <w:t xml:space="preserve"> </w:t>
      </w:r>
      <w:r w:rsidRPr="00857BF9">
        <w:rPr>
          <w:rFonts w:cs="Times New Roman"/>
          <w:color w:val="000000" w:themeColor="text1"/>
          <w:szCs w:val="24"/>
        </w:rPr>
        <w:t>Transparency in fund utilization assesses whether funds are used as intended and are traceable throughout the project cycle. High transparency builds trust among stakeholders, including donors, beneficiaries, and regulatory agencies. It also reinforces ethical financial practices and helps organizations meet compliance standards. Cost-effectiveness in program implementation evaluates whether an NGO achieves its program goals with minimal expenditure. This involves optimizing resource usage and focusing on strategies that deliver maximum value at the lowest cost. Organizations that excel in cost-effectiveness are better positioned to achieve sustainable impact with limited resources.</w:t>
      </w:r>
    </w:p>
    <w:p w14:paraId="13729481"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Accuracy in financial reporting is the final pillar of financial efficiency. It emphasizes the importance of producing reliable, error-free financial documents that comply with established accounting standards. Accurate reporting ensures that stakeholders have a clear view of the organization’s financial health, enabling informed decision-making and promoting transparency. Each of these indicators collectively reflects an NGO’s ability to manage its financial resources responsibly, transparently, and efficiently, which is essential for fulfilling their humanitarian missions.</w:t>
      </w:r>
    </w:p>
    <w:p w14:paraId="7E21630B"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lastRenderedPageBreak/>
        <w:t>Kenya hosts a diverse array of humanitarian organizations that play a vital role in tackling socio-economic challenges and responding to crises. These include international NGOs, national and local NGOs, community-based organizations (CBOs), and government-affiliated humanitarian bodies. International NGOs like World Vision, CARE International, and Save the Children are heavily involved in sectors such as healthcare, education, food security, and emergency response. Their widespread presence and experience make them central players in Kenya’s humanitarian landscape.</w:t>
      </w:r>
    </w:p>
    <w:p w14:paraId="25FCAF00" w14:textId="77777777" w:rsidR="00857BF9" w:rsidRPr="00857BF9"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Local NGOs and CBOs complement international efforts by focusing on grassroots issues and ensuring that aid is tailored to community-specific needs. These organizations often work closely with communities, making them more responsive and adaptable to local challenges. In addition, governmental agencies like the Kenya Red Cross and the National Drought Management Authority (NDMA) play key roles in disaster preparedness and emergency relief. These bodies often act as the first line of response during national emergencies such as droughts, floods, or refugee influxes.</w:t>
      </w:r>
    </w:p>
    <w:p w14:paraId="396BE585" w14:textId="4C7E9FAB" w:rsidR="00973355" w:rsidRDefault="00857BF9" w:rsidP="00857BF9">
      <w:pPr>
        <w:shd w:val="clear" w:color="auto" w:fill="FFFFFF"/>
        <w:spacing w:line="240" w:lineRule="auto"/>
        <w:rPr>
          <w:rFonts w:cs="Times New Roman"/>
          <w:color w:val="000000" w:themeColor="text1"/>
          <w:szCs w:val="24"/>
        </w:rPr>
      </w:pPr>
      <w:r w:rsidRPr="00857BF9">
        <w:rPr>
          <w:rFonts w:cs="Times New Roman"/>
          <w:color w:val="000000" w:themeColor="text1"/>
          <w:szCs w:val="24"/>
        </w:rPr>
        <w:t>Kenya’s humanitarian organizations operate in a complex environment marked by chronic issues such as poverty, hunger, disease, and natural disasters. The country also frequently experiences unexpected emergencies, such as drought-induced food shortages or regional conflicts leading to refugee crises. In such a context, the importance of timely and efficient humanitarian intervention cannot be overstated. NGOs, therefore, face the dual challenge of addressing ongoing development needs while maintaining the flexibility to respond to sudden emergencies.</w:t>
      </w:r>
      <w:r>
        <w:rPr>
          <w:rFonts w:cs="Times New Roman"/>
          <w:color w:val="000000" w:themeColor="text1"/>
          <w:szCs w:val="24"/>
        </w:rPr>
        <w:t xml:space="preserve"> </w:t>
      </w:r>
      <w:r w:rsidRPr="00857BF9">
        <w:rPr>
          <w:rFonts w:cs="Times New Roman"/>
          <w:color w:val="000000" w:themeColor="text1"/>
          <w:szCs w:val="24"/>
        </w:rPr>
        <w:t>The operational success of these organizations hinges significantly on their financial efficiency. With limited funding and increasing needs, effective financial management ensures that resources are used where they are most needed and have the greatest impact. By integrating technological financial systems, humanitarian organizations in Kenya can overcome many of the traditional challenges associated with manual financial management. These systems not only reduce operational bottlenecks but also promote a culture of accountability and transparency, both of which are essential for long-term success and donor retention.</w:t>
      </w:r>
      <w:r>
        <w:rPr>
          <w:rFonts w:cs="Times New Roman"/>
          <w:color w:val="000000" w:themeColor="text1"/>
          <w:szCs w:val="24"/>
        </w:rPr>
        <w:t xml:space="preserve"> </w:t>
      </w:r>
      <w:r w:rsidRPr="00857BF9">
        <w:rPr>
          <w:rFonts w:cs="Times New Roman"/>
          <w:color w:val="000000" w:themeColor="text1"/>
          <w:szCs w:val="24"/>
        </w:rPr>
        <w:t>Ultimately, the study will contribute to understanding how financial technology systems influence financial efficiency within long-standing NGOs in Kenya. By examining current practices and identifying effective strategies, the research aims to provide actionable insights that could guide other NGOs in transitioning to more efficient financial management systems. This will not only improve their financial health but also enhance their ability to serve communities more effectively and sustainably</w:t>
      </w:r>
      <w:r w:rsidR="00A91ACF" w:rsidRPr="00A91ACF">
        <w:rPr>
          <w:rFonts w:cs="Times New Roman"/>
          <w:color w:val="000000" w:themeColor="text1"/>
          <w:szCs w:val="24"/>
        </w:rPr>
        <w:t>.</w:t>
      </w:r>
    </w:p>
    <w:p w14:paraId="48C38FDC" w14:textId="4C473802" w:rsidR="00055D83" w:rsidRPr="002B2D3C" w:rsidRDefault="00055D83" w:rsidP="00CE4C91">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1.1 Research Problem</w:t>
      </w:r>
    </w:p>
    <w:p w14:paraId="17E29A75" w14:textId="5E872C28" w:rsidR="00B717D1" w:rsidRPr="002B2D3C" w:rsidRDefault="00421CF2" w:rsidP="00274AC6">
      <w:pPr>
        <w:spacing w:line="240" w:lineRule="auto"/>
        <w:rPr>
          <w:rFonts w:cs="Times New Roman"/>
          <w:color w:val="000000" w:themeColor="text1"/>
          <w:szCs w:val="24"/>
        </w:rPr>
      </w:pPr>
      <w:r w:rsidRPr="00421CF2">
        <w:rPr>
          <w:rFonts w:cs="Times New Roman"/>
          <w:color w:val="000000" w:themeColor="text1"/>
          <w:szCs w:val="24"/>
        </w:rPr>
        <w:t>Despite significant global technological advancements, many long-established NGOs in Kenya continue to grapple with financial inefficiencies. Around 60% of NGOs worldwide, and nearly 70% in Kenya, still rely on manual accounting systems, leading to inaccurate record-keeping, delayed reporting, poor resource allocation, and increased risks of fraud and mismanagement. These outdated systems result in up to 20% of funds being misallocated or lost due to human error, severely impacting service delivery and donor confidence. Although technology offers solutions to streamline financial processes, only about 40% of Kenyan NGOs effectively utilize such tools. This technological underutilization contributes to persistent issues in financial management, including lack of transparency, inefficiency, and limited scalability. Furthermore, inconsistencies in applying key financial management indicators</w:t>
      </w:r>
      <w:r w:rsidR="00154669">
        <w:rPr>
          <w:rFonts w:cs="Times New Roman"/>
          <w:color w:val="000000" w:themeColor="text1"/>
          <w:szCs w:val="24"/>
        </w:rPr>
        <w:t xml:space="preserve"> </w:t>
      </w:r>
      <w:r w:rsidRPr="00421CF2">
        <w:rPr>
          <w:rFonts w:cs="Times New Roman"/>
          <w:color w:val="000000" w:themeColor="text1"/>
          <w:szCs w:val="24"/>
        </w:rPr>
        <w:t>such as timeliness, cost-effectiveness, transparency, and accuracy</w:t>
      </w:r>
      <w:r w:rsidR="00154669">
        <w:rPr>
          <w:rFonts w:cs="Times New Roman"/>
          <w:color w:val="000000" w:themeColor="text1"/>
          <w:szCs w:val="24"/>
        </w:rPr>
        <w:t xml:space="preserve"> </w:t>
      </w:r>
      <w:r w:rsidRPr="00421CF2">
        <w:rPr>
          <w:rFonts w:cs="Times New Roman"/>
          <w:color w:val="000000" w:themeColor="text1"/>
          <w:szCs w:val="24"/>
        </w:rPr>
        <w:t>continue to hinder optimal resource use. Many NGOs face challenges in balancing prompt fund disbursement with comprehensive financial accountability. This study seeks to address these critical inefficiencies by investigating the underlying causes of poor financial performance in humanitarian organizations, particularly focusing on the gap between the availability of modern financial technologies and their limited implementation. Ultimately, the study aims to explore how leveraging appropriate technological solutions can enhance financial efficiency, strengthen stakeholder trust, and improve service outcomes for communities in need across Kenya’s NGO sector.</w:t>
      </w:r>
      <w:r w:rsidR="00A85B82" w:rsidRPr="00A85B82">
        <w:rPr>
          <w:rFonts w:cs="Times New Roman"/>
          <w:color w:val="000000" w:themeColor="text1"/>
          <w:szCs w:val="24"/>
        </w:rPr>
        <w:t xml:space="preserve"> </w:t>
      </w:r>
    </w:p>
    <w:p w14:paraId="7860FC20" w14:textId="564AFDA6" w:rsidR="00055D83" w:rsidRPr="002B2D3C" w:rsidRDefault="00055D83" w:rsidP="00E5141C">
      <w:pPr>
        <w:spacing w:line="240" w:lineRule="auto"/>
        <w:rPr>
          <w:rFonts w:cs="Times New Roman"/>
          <w:b/>
          <w:bCs/>
          <w:color w:val="000000" w:themeColor="text1"/>
          <w:sz w:val="28"/>
          <w:szCs w:val="28"/>
        </w:rPr>
      </w:pPr>
      <w:r w:rsidRPr="002B2D3C">
        <w:rPr>
          <w:rFonts w:cs="Times New Roman"/>
          <w:b/>
          <w:bCs/>
          <w:color w:val="000000" w:themeColor="text1"/>
          <w:sz w:val="28"/>
          <w:szCs w:val="28"/>
        </w:rPr>
        <w:t>1.2 Research Objective</w:t>
      </w:r>
    </w:p>
    <w:p w14:paraId="3A006523" w14:textId="42006B25" w:rsidR="0054398C" w:rsidRPr="002B2D3C" w:rsidRDefault="00055D83" w:rsidP="0054398C">
      <w:pPr>
        <w:spacing w:line="240" w:lineRule="auto"/>
        <w:rPr>
          <w:rFonts w:cs="Times New Roman"/>
          <w:color w:val="000000" w:themeColor="text1"/>
          <w:szCs w:val="24"/>
        </w:rPr>
      </w:pPr>
      <w:r w:rsidRPr="002B2D3C">
        <w:rPr>
          <w:rFonts w:cs="Times New Roman"/>
          <w:color w:val="000000" w:themeColor="text1"/>
          <w:szCs w:val="24"/>
        </w:rPr>
        <w:lastRenderedPageBreak/>
        <w:t>This study was guided by the following general objective to:</w:t>
      </w:r>
      <w:r w:rsidR="00784B96" w:rsidRPr="00784B96">
        <w:rPr>
          <w:rFonts w:cs="Times New Roman"/>
          <w:color w:val="000000" w:themeColor="text1"/>
          <w:szCs w:val="24"/>
        </w:rPr>
        <w:t xml:space="preserve"> </w:t>
      </w:r>
      <w:r w:rsidR="00F42A52" w:rsidRPr="00F42A52">
        <w:rPr>
          <w:rFonts w:cs="Times New Roman"/>
          <w:color w:val="000000" w:themeColor="text1"/>
          <w:szCs w:val="24"/>
        </w:rPr>
        <w:t>enhance financial efficiency within humanitarian organizations operating in Kenya by leveraging technological financial systems solutions</w:t>
      </w:r>
      <w:r w:rsidR="0054398C" w:rsidRPr="002B2D3C">
        <w:rPr>
          <w:rFonts w:cs="Times New Roman"/>
          <w:color w:val="000000" w:themeColor="text1"/>
          <w:szCs w:val="24"/>
        </w:rPr>
        <w:t>.</w:t>
      </w:r>
    </w:p>
    <w:p w14:paraId="3CEA4A91" w14:textId="5C3F5F19" w:rsidR="006C41A9" w:rsidRPr="002B2D3C" w:rsidRDefault="0054398C" w:rsidP="00F42A52">
      <w:pPr>
        <w:spacing w:line="240" w:lineRule="auto"/>
        <w:rPr>
          <w:rFonts w:cs="Times New Roman"/>
          <w:color w:val="000000" w:themeColor="text1"/>
          <w:szCs w:val="24"/>
        </w:rPr>
      </w:pPr>
      <w:r w:rsidRPr="002B2D3C">
        <w:rPr>
          <w:rFonts w:cs="Times New Roman"/>
          <w:color w:val="000000" w:themeColor="text1"/>
          <w:szCs w:val="24"/>
        </w:rPr>
        <w:t>Specific Objectives were to;</w:t>
      </w:r>
      <w:r w:rsidR="00784B96" w:rsidRPr="00784B96">
        <w:rPr>
          <w:rFonts w:cs="Times New Roman"/>
          <w:color w:val="000000" w:themeColor="text1"/>
          <w:szCs w:val="24"/>
        </w:rPr>
        <w:t xml:space="preserve"> </w:t>
      </w:r>
      <w:r w:rsidR="00F42A52" w:rsidRPr="00F42A52">
        <w:rPr>
          <w:rFonts w:cs="Times New Roman"/>
          <w:color w:val="000000" w:themeColor="text1"/>
          <w:szCs w:val="24"/>
        </w:rPr>
        <w:t>establish the effect of ERP systems such as, sun system and provision on financial efficiency of humanitarian organizations</w:t>
      </w:r>
      <w:r w:rsidR="00F42A52">
        <w:rPr>
          <w:rFonts w:cs="Times New Roman"/>
          <w:color w:val="000000" w:themeColor="text1"/>
          <w:szCs w:val="24"/>
        </w:rPr>
        <w:t>, t</w:t>
      </w:r>
      <w:r w:rsidR="00F42A52" w:rsidRPr="00F42A52">
        <w:rPr>
          <w:rFonts w:cs="Times New Roman"/>
          <w:color w:val="000000" w:themeColor="text1"/>
          <w:szCs w:val="24"/>
        </w:rPr>
        <w:t>o assess the effect of cloud-based accounting software on financial efficiency of humanitarian organizations</w:t>
      </w:r>
      <w:r w:rsidR="00F42A52">
        <w:rPr>
          <w:rFonts w:cs="Times New Roman"/>
          <w:color w:val="000000" w:themeColor="text1"/>
          <w:szCs w:val="24"/>
        </w:rPr>
        <w:t xml:space="preserve"> and t</w:t>
      </w:r>
      <w:r w:rsidR="00F42A52" w:rsidRPr="00F42A52">
        <w:rPr>
          <w:rFonts w:cs="Times New Roman"/>
          <w:color w:val="000000" w:themeColor="text1"/>
          <w:szCs w:val="24"/>
        </w:rPr>
        <w:t>o determine the effect of block chain technology on financial efficiency of humanitarian organizations</w:t>
      </w:r>
      <w:r w:rsidR="009C11BB" w:rsidRPr="002B2D3C">
        <w:rPr>
          <w:rFonts w:cs="Times New Roman"/>
          <w:color w:val="000000" w:themeColor="text1"/>
          <w:szCs w:val="24"/>
        </w:rPr>
        <w:t>.</w:t>
      </w:r>
    </w:p>
    <w:p w14:paraId="06BA9B23" w14:textId="5B77F9A3" w:rsidR="001450C8" w:rsidRPr="001450C8" w:rsidRDefault="00055D83" w:rsidP="001450C8">
      <w:pPr>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 xml:space="preserve">1.3 </w:t>
      </w:r>
      <w:r w:rsidR="00F00D01" w:rsidRPr="00F00D01">
        <w:rPr>
          <w:rFonts w:eastAsia="Times New Roman" w:cs="Times New Roman"/>
          <w:b/>
          <w:bCs/>
          <w:color w:val="000000" w:themeColor="text1"/>
          <w:sz w:val="28"/>
          <w:szCs w:val="28"/>
        </w:rPr>
        <w:t>Research Questions</w:t>
      </w:r>
    </w:p>
    <w:p w14:paraId="131E8F7A" w14:textId="4CC6CEFE"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What is the effect of ERP systems such as Sun Systems and Provision on the financial efficiency of humanitarian organizations?</w:t>
      </w:r>
    </w:p>
    <w:p w14:paraId="1673086D" w14:textId="262BDF9D"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How does the use of cloud-based accounting software impact the financial efficiency of humanitarian organizations?</w:t>
      </w:r>
    </w:p>
    <w:p w14:paraId="5B126AEE" w14:textId="2D032077" w:rsidR="00F00D01" w:rsidRPr="00F00D01" w:rsidRDefault="00F00D01" w:rsidP="00F00D01">
      <w:pPr>
        <w:pStyle w:val="ListParagraph"/>
        <w:numPr>
          <w:ilvl w:val="0"/>
          <w:numId w:val="9"/>
        </w:numPr>
        <w:shd w:val="clear" w:color="auto" w:fill="FFFFFF"/>
        <w:spacing w:line="240" w:lineRule="auto"/>
        <w:rPr>
          <w:rFonts w:ascii="Times New Roman" w:eastAsia="Times New Roman" w:hAnsi="Times New Roman"/>
          <w:color w:val="000000" w:themeColor="text1"/>
          <w:sz w:val="24"/>
          <w:szCs w:val="28"/>
        </w:rPr>
      </w:pPr>
      <w:r w:rsidRPr="00F00D01">
        <w:rPr>
          <w:rFonts w:ascii="Times New Roman" w:eastAsia="Times New Roman" w:hAnsi="Times New Roman"/>
          <w:color w:val="000000" w:themeColor="text1"/>
          <w:sz w:val="24"/>
          <w:szCs w:val="28"/>
        </w:rPr>
        <w:t>What is the impact of blockchain technology on the financial efficiency of humanitarian organizations?</w:t>
      </w:r>
    </w:p>
    <w:p w14:paraId="35FF4706" w14:textId="48A41DA7" w:rsidR="00055D83" w:rsidRPr="002B2D3C" w:rsidRDefault="00055D83" w:rsidP="00F00D01">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1.4 Justification of the Study</w:t>
      </w:r>
    </w:p>
    <w:p w14:paraId="456D9359" w14:textId="2E76EF9B" w:rsidR="00AD0959" w:rsidRDefault="00372DCB" w:rsidP="00AD0959">
      <w:pPr>
        <w:autoSpaceDE w:val="0"/>
        <w:autoSpaceDN w:val="0"/>
        <w:adjustRightInd w:val="0"/>
        <w:spacing w:before="0" w:after="240" w:line="240" w:lineRule="auto"/>
        <w:rPr>
          <w:color w:val="000000" w:themeColor="text1"/>
          <w:szCs w:val="24"/>
        </w:rPr>
      </w:pPr>
      <w:r w:rsidRPr="00372DCB">
        <w:rPr>
          <w:color w:val="000000" w:themeColor="text1"/>
          <w:szCs w:val="24"/>
        </w:rPr>
        <w:t>This study is significant for its potential to transform financial management in humanitarian organizations in Kenya through the adoption of technological financial solutions. It fills a crucial knowledge gap by examining how technology can enhance financial efficiency, focusing on aspects such as timely resource allocation, real-time data access, financial data security, scalability, transparency in fund utilization, cost-effectiveness, and accurate reporting. These insights are expected to help optimize resource use and improve accountability. Additionally, the study provides practical guidance for NGOs seeking to strengthen their financial systems, offering best practices that can be replicated across the sector. Improved financial efficiency can increase the impact of humanitarian programs by enabling timely and effective resource distribution, thus reaching more beneficiaries. The research also highlights the importance of transparency and accountability, which are essential to maintaining donor trust and attracting sustainable funding. By demonstrating how technological financial integration supports efficient operations, NGOs may enhance their credibility and secure continued donor support. Ultimately, the study’s implications extend beyond Kenya, offering valuable lessons to humanitarian organizations globally. It underscores the transformative potential of technological financial solutions in addressing long-standing financial management challenges in the humanitarian sector and paves the way for more innovative, responsive, and accountable systems that align with donor expectations and beneficiary needs.</w:t>
      </w:r>
    </w:p>
    <w:p w14:paraId="2F66289A" w14:textId="77777777" w:rsidR="003E0D69" w:rsidRDefault="003E0D69" w:rsidP="00AD0959">
      <w:pPr>
        <w:autoSpaceDE w:val="0"/>
        <w:autoSpaceDN w:val="0"/>
        <w:adjustRightInd w:val="0"/>
        <w:spacing w:before="0" w:after="240" w:line="240" w:lineRule="auto"/>
        <w:rPr>
          <w:color w:val="000000" w:themeColor="text1"/>
          <w:szCs w:val="24"/>
        </w:rPr>
      </w:pPr>
    </w:p>
    <w:p w14:paraId="0B892AC5" w14:textId="565CE0DD" w:rsidR="00AE4AA5" w:rsidRPr="002B2D3C" w:rsidRDefault="00AE4AA5" w:rsidP="00AE4AA5">
      <w:pPr>
        <w:rPr>
          <w:rFonts w:cs="Times New Roman"/>
          <w:b/>
          <w:bCs/>
          <w:sz w:val="28"/>
          <w:szCs w:val="24"/>
        </w:rPr>
      </w:pPr>
      <w:r w:rsidRPr="002B2D3C">
        <w:rPr>
          <w:rFonts w:cs="Times New Roman"/>
          <w:b/>
          <w:bCs/>
          <w:sz w:val="28"/>
          <w:szCs w:val="24"/>
        </w:rPr>
        <w:t>1.5 Study Limitations</w:t>
      </w:r>
    </w:p>
    <w:p w14:paraId="01448711" w14:textId="3A3843B7" w:rsidR="001E21F0" w:rsidRPr="002B2D3C" w:rsidRDefault="003E0D69" w:rsidP="00AE4AA5">
      <w:pPr>
        <w:spacing w:before="0" w:line="240" w:lineRule="auto"/>
        <w:rPr>
          <w:rFonts w:cs="Times New Roman"/>
        </w:rPr>
      </w:pPr>
      <w:r w:rsidRPr="003E0D69">
        <w:rPr>
          <w:rFonts w:cs="Times New Roman"/>
          <w:lang w:val="en-GB"/>
        </w:rPr>
        <w:t>This study faced the limitation of limited generalizability, as it focused on selected NGOs in Kenya, potentially reducing its relevance to broader contexts or other regions. To address this, the study used detailed case studies from diverse departments to capture varied insights. It combined qualitative and quantitative methods to ensure depth and balance in interpretation. Rigorous analysis techniques enhanced the validity, reliability, and credibility of the findings. These methodological strategies aimed to strengthen the study’s transferability and offer lessons and principles applicable beyond the original setting, despite its contextual constraints.</w:t>
      </w:r>
      <w:r w:rsidR="001E21F0" w:rsidRPr="002B2D3C">
        <w:rPr>
          <w:rFonts w:cs="Times New Roman"/>
        </w:rPr>
        <w:br w:type="page"/>
      </w:r>
    </w:p>
    <w:p w14:paraId="60555E06" w14:textId="2D326474" w:rsidR="00055D83" w:rsidRPr="002B2D3C" w:rsidRDefault="00055D83" w:rsidP="00055D83">
      <w:pPr>
        <w:pStyle w:val="ListParagraph"/>
        <w:autoSpaceDE w:val="0"/>
        <w:autoSpaceDN w:val="0"/>
        <w:adjustRightInd w:val="0"/>
        <w:spacing w:before="480" w:after="240" w:line="240" w:lineRule="auto"/>
        <w:ind w:left="0"/>
        <w:rPr>
          <w:rFonts w:ascii="Times New Roman" w:hAnsi="Times New Roman"/>
          <w:b/>
          <w:color w:val="000000" w:themeColor="text1"/>
          <w:sz w:val="28"/>
          <w:szCs w:val="28"/>
          <w:lang w:val="en-GB"/>
        </w:rPr>
      </w:pPr>
      <w:r w:rsidRPr="002B2D3C">
        <w:rPr>
          <w:rFonts w:ascii="Times New Roman" w:hAnsi="Times New Roman"/>
          <w:b/>
          <w:color w:val="000000" w:themeColor="text1"/>
          <w:sz w:val="28"/>
          <w:szCs w:val="28"/>
          <w:lang w:val="en-GB"/>
        </w:rPr>
        <w:lastRenderedPageBreak/>
        <w:t xml:space="preserve">2.0 LITERATURE REVIEW  </w:t>
      </w:r>
    </w:p>
    <w:p w14:paraId="089D3367" w14:textId="77777777" w:rsidR="00755EB5" w:rsidRPr="00755EB5" w:rsidRDefault="00755EB5" w:rsidP="00755EB5">
      <w:pPr>
        <w:spacing w:before="0" w:after="160" w:line="259" w:lineRule="auto"/>
        <w:rPr>
          <w:rFonts w:cs="Times New Roman"/>
          <w:color w:val="000000" w:themeColor="text1"/>
          <w:szCs w:val="24"/>
          <w:highlight w:val="green"/>
        </w:rPr>
      </w:pPr>
      <w:r w:rsidRPr="00755EB5">
        <w:rPr>
          <w:rFonts w:cs="Times New Roman"/>
          <w:color w:val="000000" w:themeColor="text1"/>
          <w:szCs w:val="24"/>
          <w:highlight w:val="green"/>
        </w:rPr>
        <w:t>The theoretical review of the study was guided by three key theories: the Technology Acceptance Model (TAM), the Resource-Based View (RBV), and Institutional Theory. The Technology Acceptance Model (TAM), developed by Fred Davis in 1989, posits that the adoption and use of technology are influenced by perceived usefulness and ease of use. Over time, the model was expanded to TAM 2, which incorporated elements such as social influence and cognitive processes, and later to the Unified Theory of Acceptance and Use of Technology (UTAUT), which introduced social pressure and facilitating conditions. In this study, TAM provided the foundation for analyzing how staff in NGOs accepted and adopted financial technologies. The model helped interpret how staff perceptions influenced effective implementation and usage of financial tools, contributing to improved financial efficiency in NGOs. In addition to the core TAM framework, recent studies on digital transformation in nonprofit governance, ERP integration challenges in humanitarian contexts, and technology adoption reviews in NGOs (2020–2023) provided valuable context. To further enhance the theoretical base, insights from Tapscott &amp; Tapscott (2016) on blockchain’s transformative potential in financial services, World Economic Forum reports on blockchain for social impact (e.g., transparency, cost efficiency, identity solutions), and recent review literature on blockchain for social impact in non-profit settings can be integrated to explore transparency and trust-building mechanisms in NGO operations.</w:t>
      </w:r>
    </w:p>
    <w:p w14:paraId="002E6BE0" w14:textId="2B37D387" w:rsidR="00755EB5" w:rsidRPr="00755EB5" w:rsidRDefault="00755EB5" w:rsidP="00755EB5">
      <w:pPr>
        <w:spacing w:before="0" w:after="160" w:line="259" w:lineRule="auto"/>
        <w:rPr>
          <w:rFonts w:cs="Times New Roman"/>
          <w:color w:val="000000" w:themeColor="text1"/>
          <w:szCs w:val="24"/>
          <w:highlight w:val="green"/>
        </w:rPr>
      </w:pPr>
      <w:r w:rsidRPr="00755EB5">
        <w:rPr>
          <w:rFonts w:cs="Times New Roman"/>
          <w:color w:val="000000" w:themeColor="text1"/>
          <w:szCs w:val="24"/>
          <w:highlight w:val="green"/>
        </w:rPr>
        <w:t xml:space="preserve">The Resource-Based View (RBV) theory, first introduced by Wernerfelt in 1984 and expanded by Barney in 1991, emphasizes that organizations gain competitive advantage through the possession and strategic use of valuable, rare, inimitable, and well-organized resources. Further developments by scholars such as </w:t>
      </w:r>
      <w:proofErr w:type="spellStart"/>
      <w:r w:rsidRPr="00755EB5">
        <w:rPr>
          <w:rFonts w:cs="Times New Roman"/>
          <w:color w:val="000000" w:themeColor="text1"/>
          <w:szCs w:val="24"/>
          <w:highlight w:val="green"/>
        </w:rPr>
        <w:t>Peteraf</w:t>
      </w:r>
      <w:proofErr w:type="spellEnd"/>
      <w:r w:rsidRPr="00755EB5">
        <w:rPr>
          <w:rFonts w:cs="Times New Roman"/>
          <w:color w:val="000000" w:themeColor="text1"/>
          <w:szCs w:val="24"/>
          <w:highlight w:val="green"/>
        </w:rPr>
        <w:t xml:space="preserve"> and Penrose highlight the importance of organizational capabilities, tacit knowledge, and dynamic competencies in sustaining competitive advantage. In the context of this study, RBV is relevant for understanding NGO performance in relation to internal resources such as effective financial technologies, blockchain-enabled transparency tools, and skilled staff</w:t>
      </w:r>
      <w:r w:rsidR="00897A35">
        <w:rPr>
          <w:rFonts w:cs="Times New Roman"/>
          <w:color w:val="000000" w:themeColor="text1"/>
          <w:szCs w:val="24"/>
          <w:highlight w:val="green"/>
        </w:rPr>
        <w:t xml:space="preserve"> </w:t>
      </w:r>
      <w:r w:rsidRPr="00755EB5">
        <w:rPr>
          <w:rFonts w:cs="Times New Roman"/>
          <w:color w:val="000000" w:themeColor="text1"/>
          <w:szCs w:val="24"/>
          <w:highlight w:val="green"/>
        </w:rPr>
        <w:t>all linked to improved financial management outcomes like accuracy, transparency, timeliness, and cost-effectiveness. RBV thus explains how leveraging unique internal capabilities can lead to superior financial performance among NGOs.</w:t>
      </w:r>
    </w:p>
    <w:p w14:paraId="6C213BBC" w14:textId="33FF4003" w:rsidR="00B449E1" w:rsidRPr="00B449E1" w:rsidRDefault="00755EB5" w:rsidP="00755EB5">
      <w:pPr>
        <w:spacing w:before="0" w:after="160" w:line="259" w:lineRule="auto"/>
        <w:rPr>
          <w:rFonts w:cs="Times New Roman"/>
          <w:color w:val="000000" w:themeColor="text1"/>
          <w:szCs w:val="24"/>
        </w:rPr>
      </w:pPr>
      <w:r w:rsidRPr="00755EB5">
        <w:rPr>
          <w:rFonts w:cs="Times New Roman"/>
          <w:color w:val="000000" w:themeColor="text1"/>
          <w:szCs w:val="24"/>
          <w:highlight w:val="green"/>
        </w:rPr>
        <w:t>Institutional Theory, formulated by DiMaggio and Powell in 1983 and built on Meyer and Rowan’s (1977) concept of isomorphism</w:t>
      </w:r>
      <w:r w:rsidR="00897A35">
        <w:rPr>
          <w:rFonts w:cs="Times New Roman"/>
          <w:color w:val="000000" w:themeColor="text1"/>
          <w:szCs w:val="24"/>
          <w:highlight w:val="green"/>
        </w:rPr>
        <w:t xml:space="preserve"> </w:t>
      </w:r>
      <w:r w:rsidRPr="00755EB5">
        <w:rPr>
          <w:rFonts w:cs="Times New Roman"/>
          <w:color w:val="000000" w:themeColor="text1"/>
          <w:szCs w:val="24"/>
          <w:highlight w:val="green"/>
        </w:rPr>
        <w:t>with Scott (1995) further categorizing coercive, mimetic, and normative pressures</w:t>
      </w:r>
      <w:r w:rsidR="00897A35">
        <w:rPr>
          <w:rFonts w:cs="Times New Roman"/>
          <w:color w:val="000000" w:themeColor="text1"/>
          <w:szCs w:val="24"/>
          <w:highlight w:val="green"/>
        </w:rPr>
        <w:t xml:space="preserve"> </w:t>
      </w:r>
      <w:r w:rsidRPr="00755EB5">
        <w:rPr>
          <w:rFonts w:cs="Times New Roman"/>
          <w:color w:val="000000" w:themeColor="text1"/>
          <w:szCs w:val="24"/>
          <w:highlight w:val="green"/>
        </w:rPr>
        <w:t>helps us understand how NGOs adopt financial technologies, including blockchain solutions, in response to regulatory requirements, peer influence, and professional standards. It explains how such pressures influence NGO practices in areas like financial reporting and resource utilization, aligning them with broader institutional expectations. Ultimately, Institutional Theory contextualizes the relationship between external conformity, technology adoption, and improved financial efficiency in the Kenyan NGO sector.</w:t>
      </w:r>
    </w:p>
    <w:p w14:paraId="0236764D" w14:textId="19E3A4FA" w:rsidR="0025635B" w:rsidRPr="004A5357" w:rsidRDefault="00E0554F" w:rsidP="0025635B">
      <w:pPr>
        <w:spacing w:before="0" w:after="160" w:line="259" w:lineRule="auto"/>
        <w:rPr>
          <w:rFonts w:cs="Times New Roman"/>
          <w:b/>
          <w:bCs/>
          <w:color w:val="000000" w:themeColor="text1"/>
          <w:sz w:val="28"/>
          <w:szCs w:val="28"/>
        </w:rPr>
      </w:pPr>
      <w:r>
        <w:rPr>
          <w:rFonts w:cs="Times New Roman"/>
          <w:b/>
          <w:bCs/>
          <w:color w:val="000000" w:themeColor="text1"/>
          <w:sz w:val="28"/>
          <w:szCs w:val="28"/>
        </w:rPr>
        <w:t xml:space="preserve">2.1 </w:t>
      </w:r>
      <w:r w:rsidR="00CB6E82" w:rsidRPr="002B2D3C">
        <w:rPr>
          <w:rFonts w:cs="Times New Roman"/>
          <w:b/>
          <w:bCs/>
          <w:color w:val="000000" w:themeColor="text1"/>
          <w:sz w:val="28"/>
          <w:szCs w:val="28"/>
        </w:rPr>
        <w:t>Empirical Review</w:t>
      </w:r>
    </w:p>
    <w:p w14:paraId="0220FE1E" w14:textId="57EBD680"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The empirical review explores how modern digital technologies</w:t>
      </w:r>
      <w:r w:rsidR="00154669">
        <w:rPr>
          <w:rFonts w:cs="Times New Roman"/>
          <w:color w:val="000000" w:themeColor="text1"/>
          <w:szCs w:val="24"/>
        </w:rPr>
        <w:t xml:space="preserve"> </w:t>
      </w:r>
      <w:r w:rsidRPr="003E0D69">
        <w:rPr>
          <w:rFonts w:cs="Times New Roman"/>
          <w:color w:val="000000" w:themeColor="text1"/>
          <w:szCs w:val="24"/>
        </w:rPr>
        <w:t>including ERP systems, cloud-based accounting software, and blockchain technology</w:t>
      </w:r>
      <w:r w:rsidR="00154669">
        <w:rPr>
          <w:rFonts w:cs="Times New Roman"/>
          <w:color w:val="000000" w:themeColor="text1"/>
          <w:szCs w:val="24"/>
        </w:rPr>
        <w:t xml:space="preserve"> </w:t>
      </w:r>
      <w:r w:rsidRPr="003E0D69">
        <w:rPr>
          <w:rFonts w:cs="Times New Roman"/>
          <w:color w:val="000000" w:themeColor="text1"/>
          <w:szCs w:val="24"/>
        </w:rPr>
        <w:t>affect the financial efficiency of humanitarian organizations. The review summarizes a wide range of global and local studies and identifies gaps that the current research seeks to address, particularly within the context of humanitarian NGOs in Kenya.</w:t>
      </w:r>
    </w:p>
    <w:p w14:paraId="051484FF" w14:textId="1A175680"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ERP Systems and Financial Efficiency of Humanitarian Organizations</w:t>
      </w:r>
    </w:p>
    <w:p w14:paraId="293AD773"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Lukyanova, </w:t>
      </w:r>
      <w:proofErr w:type="spellStart"/>
      <w:r w:rsidRPr="003E0D69">
        <w:rPr>
          <w:rFonts w:cs="Times New Roman"/>
          <w:color w:val="000000" w:themeColor="text1"/>
          <w:szCs w:val="24"/>
        </w:rPr>
        <w:t>Haddud</w:t>
      </w:r>
      <w:proofErr w:type="spellEnd"/>
      <w:r w:rsidRPr="003E0D69">
        <w:rPr>
          <w:rFonts w:cs="Times New Roman"/>
          <w:color w:val="000000" w:themeColor="text1"/>
          <w:szCs w:val="24"/>
        </w:rPr>
        <w:t xml:space="preserve">, and Khare (2022) conducted a study that analyzed the influence of ERP (Enterprise Resource Planning) systems, such as Sun Systems and Provision, on the performance of supply chains in both humanitarian and private sectors. Using an online anonymous survey, they collected data from 50 individuals in humanitarian organizations and 53 in private companies. Their findings demonstrated that ERP systems significantly enhanced supply chain transparency, real-time financial reporting, and resource allocation. Interestingly, 70% of humanitarian </w:t>
      </w:r>
      <w:r w:rsidRPr="003E0D69">
        <w:rPr>
          <w:rFonts w:cs="Times New Roman"/>
          <w:color w:val="000000" w:themeColor="text1"/>
          <w:szCs w:val="24"/>
        </w:rPr>
        <w:lastRenderedPageBreak/>
        <w:t>respondents preferred customized ERP systems, while 75% of private sector participants favored off-the-shelf solutions. This underscored the importance of tailored ERP solutions depending on organizational needs. Despite its valuable insights, the study was limited by its small sample size, reliance on self-reported data, and lack of examination into how ERP systems scale within larger humanitarian operations. These gaps informed the present study, which specifically investigates how ERP systems can be optimized to improve the financial efficiency of large NGOs in Kenya.</w:t>
      </w:r>
    </w:p>
    <w:p w14:paraId="25296E8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A subsequent study by the same authors, presented at the 2022 Decision Sciences Institute conference, involved 103 supply chain professionals and employed descriptive statistics along with Mann-Whitney tests. They identified 14 essential functions of ERP systems, ranging from improved decision-making to enhanced logistics. Eighty percent of respondents reported better delivery timeliness and faster donor reporting due to ERP use. Nonetheless, this study lacked a geographic focus and did not evaluate the long-term financial implications of ERP systems, gaps the current research aims to fill by analyzing these aspects in Kenyan humanitarian settings.</w:t>
      </w:r>
    </w:p>
    <w:p w14:paraId="5A9CDF7F"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Muthuka</w:t>
      </w:r>
      <w:proofErr w:type="spellEnd"/>
      <w:r w:rsidRPr="003E0D69">
        <w:rPr>
          <w:rFonts w:cs="Times New Roman"/>
          <w:color w:val="000000" w:themeColor="text1"/>
          <w:szCs w:val="24"/>
        </w:rPr>
        <w:t xml:space="preserve"> (2021) focused on financial innovations within NGOs in Nairobi County, examining product, process, and institutional innovations among 34 NGOs through a combination of organizational reports and websites. Using regression and correlation analysis, the study found that all types of innovation significantly impacted financial performance, with process innovation delivering benefits to 80% of organizations surveyed. However, the research was limited to a single region and one sector. It also failed to examine how financial outcomes were influenced by these innovations. To address these limitations, the present study expands both scope and focus, looking at humanitarian NGOs across Kenya and emphasizing financial efficiency as influenced by ERP systems.</w:t>
      </w:r>
    </w:p>
    <w:p w14:paraId="09820AE8"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Falagara</w:t>
      </w:r>
      <w:proofErr w:type="spellEnd"/>
      <w:r w:rsidRPr="003E0D69">
        <w:rPr>
          <w:rFonts w:cs="Times New Roman"/>
          <w:color w:val="000000" w:themeColor="text1"/>
          <w:szCs w:val="24"/>
        </w:rPr>
        <w:t xml:space="preserve"> Sigala, Kettinger, and </w:t>
      </w:r>
      <w:proofErr w:type="spellStart"/>
      <w:r w:rsidRPr="003E0D69">
        <w:rPr>
          <w:rFonts w:cs="Times New Roman"/>
          <w:color w:val="000000" w:themeColor="text1"/>
          <w:szCs w:val="24"/>
        </w:rPr>
        <w:t>Wakolbinger</w:t>
      </w:r>
      <w:proofErr w:type="spellEnd"/>
      <w:r w:rsidRPr="003E0D69">
        <w:rPr>
          <w:rFonts w:cs="Times New Roman"/>
          <w:color w:val="000000" w:themeColor="text1"/>
          <w:szCs w:val="24"/>
        </w:rPr>
        <w:t xml:space="preserve"> (2020) presented an embedded case study focusing on Médecins Sans Frontières (MSF), where they identified 12 ERP design principles vital for Agile, Adaptive, and Aligned (Triple-A) humanitarian supply chains. Sixty-five percent of MSF operational managers noted increased system adaptability and mission alignment following the adoption of these principles. While insightful, this study was limited to one organization and didn’t explore the direct financial outcomes. The current study builds upon these design principles by implementing them in Kenyan humanitarian NGOs to measure their effects on financial efficiency.</w:t>
      </w:r>
    </w:p>
    <w:p w14:paraId="77BBA00E" w14:textId="77777777"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t>Peterken</w:t>
      </w:r>
      <w:proofErr w:type="spellEnd"/>
      <w:r w:rsidRPr="003E0D69">
        <w:rPr>
          <w:rFonts w:cs="Times New Roman"/>
          <w:color w:val="000000" w:themeColor="text1"/>
          <w:szCs w:val="24"/>
        </w:rPr>
        <w:t xml:space="preserve"> and Bandara (2018) examined business process management (BPM) in international humanitarian aid, emphasizing its integration with ERP systems. They found that such integration improved financial transparency and efficiency, with 55% of respondents confirming better financial management post-ERP implementation. However, the study provided limited empirical evidence and focused narrowly on BPM rather than the broader technological solutions. This research addresses that by analyzing ERP’s overall impact on financial efficiency within Kenyan humanitarian contexts.</w:t>
      </w:r>
    </w:p>
    <w:p w14:paraId="159513CE" w14:textId="0AFA48AF"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Cloud-Based Accounting Software and Financial Efficiency</w:t>
      </w:r>
    </w:p>
    <w:p w14:paraId="1FB74338"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Thakker and </w:t>
      </w:r>
      <w:proofErr w:type="spellStart"/>
      <w:r w:rsidRPr="003E0D69">
        <w:rPr>
          <w:rFonts w:cs="Times New Roman"/>
          <w:color w:val="000000" w:themeColor="text1"/>
          <w:szCs w:val="24"/>
        </w:rPr>
        <w:t>Japee</w:t>
      </w:r>
      <w:proofErr w:type="spellEnd"/>
      <w:r w:rsidRPr="003E0D69">
        <w:rPr>
          <w:rFonts w:cs="Times New Roman"/>
          <w:color w:val="000000" w:themeColor="text1"/>
          <w:szCs w:val="24"/>
        </w:rPr>
        <w:t xml:space="preserve"> (2023) conducted a review focused on how cloud-based accounting technologies affect financial management in terms of efficiency, scalability, and data security. They concluded that cloud platforms significantly improved task management and allowed for flexible resource use, with 78% of firms reporting operational improvements. However, 65% also faced privacy and compliance issues despite using advanced encryption. The study lacked a sector-specific focus, which the current research addresses by examining how these platforms improve financial efficiency in humanitarian organizations.</w:t>
      </w:r>
    </w:p>
    <w:p w14:paraId="46D05AF9"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 xml:space="preserve">Vo Van, Abu Afifa, and Saleh (2024) investigated cloud-based Accounting Information Systems (AIS) and their impact on SME performance. Surveying 193 chief accountants and using structural equation modeling, they found that cloud AIS improved profitability and operational workflows for 72% of respondents. Larger firms reported greater benefits, including automation and better data access. Nevertheless, the study was limited to Vietnamese </w:t>
      </w:r>
      <w:r w:rsidRPr="003E0D69">
        <w:rPr>
          <w:rFonts w:cs="Times New Roman"/>
          <w:color w:val="000000" w:themeColor="text1"/>
          <w:szCs w:val="24"/>
        </w:rPr>
        <w:lastRenderedPageBreak/>
        <w:t>SMEs and ignored the distinct challenges faced by humanitarian organizations. This study addresses those gaps by examining how cloud AIS affects financial efficiency in Kenya's humanitarian sector.</w:t>
      </w:r>
    </w:p>
    <w:p w14:paraId="423EE67D" w14:textId="77777777" w:rsidR="003E0D69" w:rsidRPr="003E0D69" w:rsidRDefault="003E0D69" w:rsidP="003E0D69">
      <w:pPr>
        <w:spacing w:before="0" w:after="160" w:line="259" w:lineRule="auto"/>
        <w:rPr>
          <w:rFonts w:cs="Times New Roman"/>
          <w:color w:val="000000" w:themeColor="text1"/>
          <w:szCs w:val="24"/>
        </w:rPr>
      </w:pPr>
    </w:p>
    <w:p w14:paraId="021D0FB2"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Ahmad et al. (2023) analyzed the influence of cloud-based accounting systems on business performance in Jordan. They used a descriptive research design with 120 business administrators and discovered that such systems helped organizations complete tasks more efficiently, with 80% of respondents citing improved access to real-time data and reliable reporting. However, the study's small sample and narrow geographic focus limited the generalizability of its findings. The current research builds on this by examining a larger and more diverse sample within the humanitarian sector in Kenya.</w:t>
      </w:r>
    </w:p>
    <w:p w14:paraId="20B184AA"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Lutfi (2022) focused on adoption factors for cloud-based AIS among Jordanian SMEs. He surveyed 156 business owners and found that reduced IT investment and scalability were major adoption drivers, with 74% of respondents expressing favorable views toward cloud-based AIS. However, the study did not investigate actual financial outcomes post-adoption and was limited in scope. The present research explores these systems' real financial impact on humanitarian organizations, filling the identified research gaps.</w:t>
      </w:r>
    </w:p>
    <w:p w14:paraId="55EBBF6E" w14:textId="6B8D5DE6"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Manja (2021) studied the use of cloud computing for fund management in Kenyan public schools. He found that while security concerns encouraged adoption, inadequate infrastructure hindered effective implementation, with 60% of schools reporting technological limitations. This research, although local, focused on a narrow educational sector. The current study extends those findings by applying them to humanitarian organizations, offering insights into how cloud accounting software affects their financial operations.</w:t>
      </w:r>
      <w:r>
        <w:rPr>
          <w:rFonts w:cs="Times New Roman"/>
          <w:color w:val="000000" w:themeColor="text1"/>
          <w:szCs w:val="24"/>
        </w:rPr>
        <w:t xml:space="preserve"> </w:t>
      </w:r>
      <w:r w:rsidRPr="003E0D69">
        <w:rPr>
          <w:rFonts w:cs="Times New Roman"/>
          <w:color w:val="000000" w:themeColor="text1"/>
          <w:szCs w:val="24"/>
        </w:rPr>
        <w:t>Together, these studies confirm the potential of cloud-based accounting systems to improve efficiency and data access but highlight significant challenges, especially in data privacy and technological readiness. The present research aims to explore these systems' financial efficiency outcomes within humanitarian organizations, specifically in the Kenyan context.</w:t>
      </w:r>
    </w:p>
    <w:p w14:paraId="5547E2B8" w14:textId="06EAC744" w:rsidR="003E0D69" w:rsidRPr="003E0D69" w:rsidRDefault="003E0D69" w:rsidP="003E0D69">
      <w:pPr>
        <w:spacing w:before="0" w:after="160" w:line="259" w:lineRule="auto"/>
        <w:rPr>
          <w:rFonts w:cs="Times New Roman"/>
          <w:b/>
          <w:bCs/>
          <w:i/>
          <w:iCs/>
          <w:color w:val="000000" w:themeColor="text1"/>
          <w:szCs w:val="24"/>
        </w:rPr>
      </w:pPr>
      <w:r w:rsidRPr="003E0D69">
        <w:rPr>
          <w:rFonts w:cs="Times New Roman"/>
          <w:b/>
          <w:bCs/>
          <w:i/>
          <w:iCs/>
          <w:color w:val="000000" w:themeColor="text1"/>
          <w:szCs w:val="24"/>
        </w:rPr>
        <w:t>Blockchain Technology and Financial Efficiency</w:t>
      </w:r>
    </w:p>
    <w:p w14:paraId="1D7F20E1"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Negi (2024) conducted a qualitative study on the application of blockchain technology in humanitarian supply chains. Based on literature reviews and 12 expert interviews, the study found blockchain enabled faster, more secure transactions, improved donor financing, and reduced costs in delivering cash programs. Eighty-five percent of experts supported its use for secure data exchange and transaction efficiency. However, high implementation costs, regulatory challenges, and limited scalability remained significant hurdles. The study’s qualitative nature and small sample limited its broader applicability. The current research compensates for these limitations by incorporating quantitative data and broader stakeholder input to evaluate blockchain’s real impact on financial efficiency.</w:t>
      </w:r>
    </w:p>
    <w:p w14:paraId="4424190E"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Shin, Kang, and Bae (2020) explored how blockchain supports sustainable development in non-profit organizations by improving donation processes and governance. Using literature and case studies, the research showed that decentralized ledgers and smart contracts reduced operational costs and enhanced transparency. About 78% of projects demonstrated increased donations and better governance. However, the study relied on early-stage case studies and lacked quantitative metrics. The current research overcomes this by using empirical data to assess blockchain’s financial efficiency within humanitarian organizations in Kenya.</w:t>
      </w:r>
    </w:p>
    <w:p w14:paraId="759EBD89" w14:textId="77777777" w:rsidR="003E0D69" w:rsidRPr="003E0D69"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Reinsberg (2019) reviewed blockchain’s potential to improve the governance of foreign aid. The study noted that blockchain improved the reliability of event verification, enhanced aid tracking, and increased transparency. Sixty-five percent of case reviews indicated improved credibility and funding efficiency. However, the research lacked data from real-world implementations, focusing instead on theoretical discussions. The current study addresses this shortcoming by including real-life applications and measuring their financial impact within humanitarian settings.</w:t>
      </w:r>
    </w:p>
    <w:p w14:paraId="160EB403" w14:textId="11F146BE" w:rsidR="003E0D69" w:rsidRPr="003E0D69" w:rsidRDefault="003E0D69" w:rsidP="003E0D69">
      <w:pPr>
        <w:spacing w:before="0" w:after="160" w:line="259" w:lineRule="auto"/>
        <w:rPr>
          <w:rFonts w:cs="Times New Roman"/>
          <w:color w:val="000000" w:themeColor="text1"/>
          <w:szCs w:val="24"/>
        </w:rPr>
      </w:pPr>
      <w:proofErr w:type="spellStart"/>
      <w:r w:rsidRPr="003E0D69">
        <w:rPr>
          <w:rFonts w:cs="Times New Roman"/>
          <w:color w:val="000000" w:themeColor="text1"/>
          <w:szCs w:val="24"/>
        </w:rPr>
        <w:lastRenderedPageBreak/>
        <w:t>Seyedsayamdost</w:t>
      </w:r>
      <w:proofErr w:type="spellEnd"/>
      <w:r w:rsidRPr="003E0D69">
        <w:rPr>
          <w:rFonts w:cs="Times New Roman"/>
          <w:color w:val="000000" w:themeColor="text1"/>
          <w:szCs w:val="24"/>
        </w:rPr>
        <w:t xml:space="preserve"> and Vanderwal (2020) studied blockchain’s effects on governance and social impact through multiple development project case studies. Eighty percent of the analyzed projects reported improved transparency and operational efficiency. However, some projects demonstrated centralizing tendencies that undermined blockchain’s decentralized nature. The study also failed to measure financial efficiency outcomes. To address this, the current research uses empirical methods to explore blockchain’s financial impact, offering practical guidance on its application in humanitarian contexts.</w:t>
      </w:r>
      <w:r>
        <w:rPr>
          <w:rFonts w:cs="Times New Roman"/>
          <w:color w:val="000000" w:themeColor="text1"/>
          <w:szCs w:val="24"/>
        </w:rPr>
        <w:t xml:space="preserve"> </w:t>
      </w:r>
      <w:r w:rsidRPr="003E0D69">
        <w:rPr>
          <w:rFonts w:cs="Times New Roman"/>
          <w:color w:val="000000" w:themeColor="text1"/>
          <w:szCs w:val="24"/>
        </w:rPr>
        <w:t>Collectively, the blockchain-related studies highlight its transformative potential in transparency, data security, and operational efficiency. However, recurring gaps include limited empirical data, narrow case-based evidence, and an absence of financial efficiency metrics. The present study seeks to fill these gaps by providing broader, evidence-based assessments of blockchain’s role in enhancing financial operations in Kenyan humanitarian organizations.</w:t>
      </w:r>
    </w:p>
    <w:p w14:paraId="12356E20" w14:textId="070FDE08" w:rsidR="00CB6E82" w:rsidRPr="002B2D3C" w:rsidRDefault="003E0D69" w:rsidP="003E0D69">
      <w:pPr>
        <w:spacing w:before="0" w:after="160" w:line="259" w:lineRule="auto"/>
        <w:rPr>
          <w:rFonts w:cs="Times New Roman"/>
          <w:color w:val="000000" w:themeColor="text1"/>
          <w:szCs w:val="24"/>
        </w:rPr>
      </w:pPr>
      <w:r w:rsidRPr="003E0D69">
        <w:rPr>
          <w:rFonts w:cs="Times New Roman"/>
          <w:color w:val="000000" w:themeColor="text1"/>
          <w:szCs w:val="24"/>
        </w:rPr>
        <w:t>The empirical literature reviewed demonstrates a strong potential for ERP systems, cloud-based accounting software, and blockchain technology to significantly enhance the financial efficiency of humanitarian organizations. However, most prior studies suffer from limitations such as narrow geographical scope, sectoral focus, small sample sizes, or a lack of quantitative data. These shortcomings limit their applicability to broader contexts</w:t>
      </w:r>
      <w:r w:rsidR="00154669">
        <w:rPr>
          <w:rFonts w:cs="Times New Roman"/>
          <w:color w:val="000000" w:themeColor="text1"/>
          <w:szCs w:val="24"/>
        </w:rPr>
        <w:t xml:space="preserve"> </w:t>
      </w:r>
      <w:r w:rsidRPr="003E0D69">
        <w:rPr>
          <w:rFonts w:cs="Times New Roman"/>
          <w:color w:val="000000" w:themeColor="text1"/>
          <w:szCs w:val="24"/>
        </w:rPr>
        <w:t>particularly humanitarian organizations in Kenya.</w:t>
      </w:r>
      <w:r>
        <w:rPr>
          <w:rFonts w:cs="Times New Roman"/>
          <w:color w:val="000000" w:themeColor="text1"/>
          <w:szCs w:val="24"/>
        </w:rPr>
        <w:t xml:space="preserve"> </w:t>
      </w:r>
      <w:r w:rsidRPr="003E0D69">
        <w:rPr>
          <w:rFonts w:cs="Times New Roman"/>
          <w:color w:val="000000" w:themeColor="text1"/>
          <w:szCs w:val="24"/>
        </w:rPr>
        <w:t>The current study was designed to address these gaps by incorporating diverse methodologies, empirical data, and context-specific evaluations. By focusing on Kenya’s humanitarian sector, it offers practical insights into how digital technologies can be strategically deployed to enhance financial management, transparency, and efficiency in an environment often constrained by limited resources and complex operational needs. This research not only contributes to academic knowledge but also informs the development of tailored technological interventions for humanitarian financial systems in Kenya and beyond.</w:t>
      </w:r>
    </w:p>
    <w:p w14:paraId="1211445F" w14:textId="77777777" w:rsidR="00CB6E82" w:rsidRPr="002B2D3C" w:rsidRDefault="00CB6E82" w:rsidP="00CB6E82">
      <w:pPr>
        <w:spacing w:before="0" w:after="160" w:line="259" w:lineRule="auto"/>
        <w:rPr>
          <w:rFonts w:cs="Times New Roman"/>
          <w:color w:val="000000" w:themeColor="text1"/>
          <w:szCs w:val="24"/>
        </w:rPr>
      </w:pPr>
    </w:p>
    <w:p w14:paraId="22F53253" w14:textId="52B6D4BD" w:rsidR="00DE2430" w:rsidRPr="002B2D3C" w:rsidRDefault="00DE2430" w:rsidP="00DE2430">
      <w:pPr>
        <w:spacing w:before="0" w:after="160" w:line="259" w:lineRule="auto"/>
        <w:rPr>
          <w:rFonts w:cs="Times New Roman"/>
          <w:color w:val="000000" w:themeColor="text1"/>
          <w:szCs w:val="24"/>
        </w:rPr>
      </w:pPr>
    </w:p>
    <w:p w14:paraId="5AEEEAAF" w14:textId="77777777" w:rsidR="00F16858" w:rsidRPr="002B2D3C" w:rsidRDefault="00F16858" w:rsidP="008E2312">
      <w:pPr>
        <w:spacing w:before="0" w:after="160" w:line="259" w:lineRule="auto"/>
        <w:rPr>
          <w:rFonts w:cs="Times New Roman"/>
          <w:color w:val="000000" w:themeColor="text1"/>
          <w:szCs w:val="24"/>
        </w:rPr>
      </w:pPr>
    </w:p>
    <w:p w14:paraId="5FD8B6D9" w14:textId="77777777" w:rsidR="008E2312" w:rsidRPr="002B2D3C" w:rsidRDefault="008E2312" w:rsidP="008E2312">
      <w:pPr>
        <w:spacing w:before="0" w:after="160" w:line="259" w:lineRule="auto"/>
        <w:jc w:val="left"/>
        <w:rPr>
          <w:rFonts w:cs="Times New Roman"/>
          <w:b/>
          <w:bCs/>
          <w:color w:val="000000" w:themeColor="text1"/>
          <w:szCs w:val="24"/>
        </w:rPr>
      </w:pPr>
    </w:p>
    <w:p w14:paraId="317A0C3E" w14:textId="5EA89E76" w:rsidR="008E2312" w:rsidRPr="002B2D3C" w:rsidRDefault="008E2312" w:rsidP="008E2312">
      <w:pPr>
        <w:spacing w:before="0" w:after="160" w:line="259" w:lineRule="auto"/>
        <w:jc w:val="left"/>
        <w:rPr>
          <w:rFonts w:cs="Times New Roman"/>
          <w:b/>
          <w:bCs/>
          <w:color w:val="000000" w:themeColor="text1"/>
          <w:sz w:val="28"/>
          <w:szCs w:val="28"/>
        </w:rPr>
      </w:pPr>
      <w:r w:rsidRPr="002B2D3C">
        <w:rPr>
          <w:rFonts w:cs="Times New Roman"/>
          <w:b/>
          <w:bCs/>
          <w:color w:val="000000" w:themeColor="text1"/>
          <w:sz w:val="28"/>
          <w:szCs w:val="28"/>
        </w:rPr>
        <w:br w:type="page"/>
      </w:r>
    </w:p>
    <w:p w14:paraId="35BCEF5F" w14:textId="517B176E" w:rsidR="00055D83" w:rsidRPr="002B2D3C" w:rsidRDefault="00055D83" w:rsidP="002C6F25">
      <w:pPr>
        <w:spacing w:line="240" w:lineRule="auto"/>
        <w:rPr>
          <w:rFonts w:cs="Times New Roman"/>
          <w:b/>
          <w:bCs/>
          <w:color w:val="000000" w:themeColor="text1"/>
          <w:sz w:val="28"/>
          <w:szCs w:val="28"/>
        </w:rPr>
      </w:pPr>
      <w:r w:rsidRPr="002B2D3C">
        <w:rPr>
          <w:rFonts w:cs="Times New Roman"/>
          <w:b/>
          <w:bCs/>
          <w:color w:val="000000" w:themeColor="text1"/>
          <w:sz w:val="28"/>
          <w:szCs w:val="28"/>
        </w:rPr>
        <w:lastRenderedPageBreak/>
        <w:t>3.0 METHODOLOGY</w:t>
      </w:r>
    </w:p>
    <w:p w14:paraId="1CCEC77B" w14:textId="3EEE3469"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research adopted a cross-sectional research design, allowing the collection of data from participants at a single point in time. This design was instrumental in offering a snapshot of current practices and perceptions, thus making it easier to analyze the influence of technological systems on public service governance. Setia (2016) supported this approach by asserting that cross-sectional studies are effective in examining relationships between variables at a specific time. The design was deemed suitable because the study explored how three technological systems</w:t>
      </w:r>
      <w:r w:rsidR="00154669">
        <w:rPr>
          <w:rFonts w:cs="Times New Roman"/>
          <w:color w:val="000000" w:themeColor="text1"/>
          <w:szCs w:val="24"/>
        </w:rPr>
        <w:t xml:space="preserve"> </w:t>
      </w:r>
      <w:r w:rsidRPr="00C053F5">
        <w:rPr>
          <w:rFonts w:cs="Times New Roman"/>
          <w:color w:val="000000" w:themeColor="text1"/>
          <w:szCs w:val="24"/>
        </w:rPr>
        <w:t>Enterprise Resource Planning (ERP), cloud-based accounting software, and blockchain</w:t>
      </w:r>
      <w:r w:rsidR="00154669">
        <w:rPr>
          <w:rFonts w:cs="Times New Roman"/>
          <w:color w:val="000000" w:themeColor="text1"/>
          <w:szCs w:val="24"/>
        </w:rPr>
        <w:t xml:space="preserve"> </w:t>
      </w:r>
      <w:r w:rsidRPr="00C053F5">
        <w:rPr>
          <w:rFonts w:cs="Times New Roman"/>
          <w:color w:val="000000" w:themeColor="text1"/>
          <w:szCs w:val="24"/>
        </w:rPr>
        <w:t>affected public financial management and governance. Additionally, it evaluated the systems currently in use across selected humanitarian organizations. The survey method complemented the design by facilitating structured and consistent data collection from a wide sample, enabling a broad yet detailed understanding of the phenomena under investigation.</w:t>
      </w:r>
    </w:p>
    <w:p w14:paraId="55AAC471" w14:textId="40D90FDA"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study variables were classified into independent and dependent categories. The independent variable was the adoption of technological financial systems</w:t>
      </w:r>
      <w:r w:rsidR="00154669">
        <w:rPr>
          <w:rFonts w:cs="Times New Roman"/>
          <w:color w:val="000000" w:themeColor="text1"/>
          <w:szCs w:val="24"/>
        </w:rPr>
        <w:t xml:space="preserve"> </w:t>
      </w:r>
      <w:r w:rsidRPr="00C053F5">
        <w:rPr>
          <w:rFonts w:cs="Times New Roman"/>
          <w:color w:val="000000" w:themeColor="text1"/>
          <w:szCs w:val="24"/>
        </w:rPr>
        <w:t>specifically ERP, cloud accounting, and blockchain technologies. These technologies represented how digital tools were employed to handle accounting and financial operations within humanitarian organizations, as defined by Berg et al. (2020). The dependent variable was financial efficiency, a multifaceted concept that encompassed transparency in transactions and reporting, timeliness in financial planning, budgeting and implementation, scalability of data storage, real-time access to information, collaboration among departments, and cost-effectiveness. A structured questionnaire targeting accounting and technical personnel was developed to measure these variables. It captured the extent of technological adoption and its influence on financial efficiency. Once collected, the data were analyzed using descriptive and regression statistics to establish the nature and strength of relationships between the variables.</w:t>
      </w:r>
    </w:p>
    <w:p w14:paraId="76C856D6" w14:textId="39607CC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target population for this study consisted of accounting and technical staff in a selected humanitarian organization based in Kenya. These individuals were selected because of their routine interaction with financial technologies. The study focused on those with at least one month of experience in either the accounting or technical departments and who had direct experience using the relevant systems. Staff who had not used the systems, had less than one month of experience, or who declined participation were excluded. The selection process was executed through stratified random sampling to ensure representative inclusion of different subgroups based on job roles and departments, both of which could influence familiarity and perceptions of the systems. This approach ensured the data collected would reflect a wide range of experiences and viewpoints within the organization.</w:t>
      </w:r>
    </w:p>
    <w:p w14:paraId="7E5E99FD" w14:textId="4984E58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 xml:space="preserve">The sampling technique was guided by the </w:t>
      </w:r>
      <w:proofErr w:type="spellStart"/>
      <w:r w:rsidRPr="00C053F5">
        <w:rPr>
          <w:rFonts w:cs="Times New Roman"/>
          <w:color w:val="000000" w:themeColor="text1"/>
          <w:szCs w:val="24"/>
        </w:rPr>
        <w:t>Krejcie</w:t>
      </w:r>
      <w:proofErr w:type="spellEnd"/>
      <w:r w:rsidRPr="00C053F5">
        <w:rPr>
          <w:rFonts w:cs="Times New Roman"/>
          <w:color w:val="000000" w:themeColor="text1"/>
          <w:szCs w:val="24"/>
        </w:rPr>
        <w:t xml:space="preserve"> and Morgan (1970) sample size determination table, which provided a formula for deriving a statistically valid sample size from any population. From a population of approximately 700 employees, a sample of 115 was selected. Stratified random sampling was employed, which involved segmenting the population into subgroups or strata</w:t>
      </w:r>
      <w:r w:rsidR="00154669">
        <w:rPr>
          <w:rFonts w:cs="Times New Roman"/>
          <w:color w:val="000000" w:themeColor="text1"/>
          <w:szCs w:val="24"/>
        </w:rPr>
        <w:t xml:space="preserve"> </w:t>
      </w:r>
      <w:r w:rsidRPr="00C053F5">
        <w:rPr>
          <w:rFonts w:cs="Times New Roman"/>
          <w:color w:val="000000" w:themeColor="text1"/>
          <w:szCs w:val="24"/>
        </w:rPr>
        <w:t>based on job roles and departments such as finance, accounting, project management, and technical support</w:t>
      </w:r>
      <w:r w:rsidR="00154669">
        <w:rPr>
          <w:rFonts w:cs="Times New Roman"/>
          <w:color w:val="000000" w:themeColor="text1"/>
          <w:szCs w:val="24"/>
        </w:rPr>
        <w:t xml:space="preserve"> </w:t>
      </w:r>
      <w:r w:rsidRPr="00C053F5">
        <w:rPr>
          <w:rFonts w:cs="Times New Roman"/>
          <w:color w:val="000000" w:themeColor="text1"/>
          <w:szCs w:val="24"/>
        </w:rPr>
        <w:t>and randomly selecting participants from each subgroup proportionally. This method, supported by Babbie and Mouton (2012), ensured that the sample accurately represented the diverse work roles related to financial technology use. A sampling frame was created using the organization’s human resource database. Participants were contacted through email, and those who consented received links to the online questionnaire.</w:t>
      </w:r>
    </w:p>
    <w:p w14:paraId="63DC3C0B" w14:textId="5212EE46"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 xml:space="preserve">Data collection methods incorporated both quantitative and qualitative tools. Two primary instruments were used: structured survey questionnaires and interview guides. The questionnaire contained a mix of yes/no, Likert-scale, and open-ended questions to capture a broad range of perceptions, experiences, and insights regarding the use of ERP, cloud-based systems, and blockchain. Meanwhile, the interview guide was used to conduct in-depth interviews with selected key informants who had extensive knowledge and experience in using and managing the systems </w:t>
      </w:r>
      <w:r w:rsidRPr="00C053F5">
        <w:rPr>
          <w:rFonts w:cs="Times New Roman"/>
          <w:color w:val="000000" w:themeColor="text1"/>
          <w:szCs w:val="24"/>
        </w:rPr>
        <w:lastRenderedPageBreak/>
        <w:t>under study. These individuals provided richer, more contextualized data that complemented the survey findings.</w:t>
      </w:r>
      <w:r>
        <w:rPr>
          <w:rFonts w:cs="Times New Roman"/>
          <w:color w:val="000000" w:themeColor="text1"/>
          <w:szCs w:val="24"/>
        </w:rPr>
        <w:t xml:space="preserve"> </w:t>
      </w:r>
      <w:r w:rsidRPr="00C053F5">
        <w:rPr>
          <w:rFonts w:cs="Times New Roman"/>
          <w:color w:val="000000" w:themeColor="text1"/>
          <w:szCs w:val="24"/>
        </w:rPr>
        <w:t>Prior to the main study, a pilot test was conducted involving 10 participants with similar characteristics to the main sample. This phase tested the clarity, relevance, and structure of the research instruments. Feedback from the pilot helped to refine both the questionnaire and interview guide, enhancing their clarity and ensuring they effectively captured the necessary information. Participants in the pilot were asked to comment on the structure and content of the tools, and adjustments were made accordingly to eliminate ambiguity and enhance effectiveness.</w:t>
      </w:r>
    </w:p>
    <w:p w14:paraId="5AA1C0FD" w14:textId="3E710877"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To ensure validity and reliability, the study employed several strategies. Validity was supported by the pilot test, which confirmed that the instruments effectively measured the intended concepts. In terms of reliability, Cronbach’s Alpha was used to assess internal consistency, with scores of 0.70 and above regarded as acceptable. Further, test-retest reliability and inter-rater reliability were used to ensure the instruments could yield stable and consistent results over time and across different raters. For qualitative data, inter-coder reliability was evaluated by having two researchers independently code interview transcripts and compare their findings for consistency. These rigorous measures enhanced the credibility of the data and the robustness of the study findings.</w:t>
      </w:r>
    </w:p>
    <w:p w14:paraId="5DEF5902" w14:textId="6C615F65"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data collection procedures involved both online surveys and interviews. Survey links were distributed via email, and each participant was assigned a unique ID to protect confidentiality. Reminders were sent to increase the response rate. For qualitative data, semi-structured interviews were conducted either in person or online through platforms like Zoom and Skype, depending on participant availability and preferences. Interviews were recorded (with consent), then transcribed for analysis. Ethical standards were strictly followed throughout the study. All participants provided informed consent, and their data were kept anonymous and confidential. They were also informed about their right to withdraw at any point without facing any negative consequences. Collected data were securely stored and accessed only by authorized members of the research team.</w:t>
      </w:r>
    </w:p>
    <w:p w14:paraId="42C43218" w14:textId="2B677732" w:rsidR="00C053F5" w:rsidRPr="00C053F5"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Once data collection was complete, the information was subjected to descriptive and inferential statistical analysis using SPSS. Descriptive statistics such as means, frequencies, and percentages were used to summarize participant responses and provide an overview of how financial technologies were being used. Inferential statistics, including regression analysis, were used to test the study's hypotheses and determine whether significant relationships existed between the independent variable (technological financial systems) and the dependent variable (financial efficiency). These statistical tools enabled the researcher to identify key trends, patterns, and associations within the data.</w:t>
      </w:r>
    </w:p>
    <w:p w14:paraId="32AD23D9" w14:textId="24CF5189" w:rsidR="0025635B" w:rsidRPr="0025635B" w:rsidRDefault="00C053F5" w:rsidP="00C053F5">
      <w:pPr>
        <w:spacing w:after="160" w:line="259" w:lineRule="auto"/>
        <w:rPr>
          <w:rFonts w:cs="Times New Roman"/>
          <w:color w:val="000000" w:themeColor="text1"/>
          <w:szCs w:val="24"/>
        </w:rPr>
      </w:pPr>
      <w:r w:rsidRPr="00C053F5">
        <w:rPr>
          <w:rFonts w:cs="Times New Roman"/>
          <w:color w:val="000000" w:themeColor="text1"/>
          <w:szCs w:val="24"/>
        </w:rPr>
        <w:t>The findings were presented using a variety of visual tools, including tables, charts, and graphs, to facilitate clear communication of the results. Each section of the findings was aligned with the specific research questions and hypotheses, providing a structured and logical presentation. The discussion section of the report interpreted the results in light of existing literature and theoretical frameworks. It highlighted the practical implications of the findings for public service governance and the potential benefits of adopting modern financial technologies in humanitarian settings. The study’s comprehensive methodology, from design through data analysis, ensured a rigorous examination of the impact of technological systems on financial efficiency, with valuable insights for practitioners, policymakers, and future researchers alike.</w:t>
      </w:r>
    </w:p>
    <w:p w14:paraId="374510BA" w14:textId="77777777" w:rsidR="0025635B" w:rsidRPr="0025635B" w:rsidRDefault="0025635B" w:rsidP="0025635B">
      <w:pPr>
        <w:spacing w:after="160" w:line="259" w:lineRule="auto"/>
        <w:rPr>
          <w:rFonts w:cs="Times New Roman"/>
          <w:color w:val="000000" w:themeColor="text1"/>
          <w:szCs w:val="24"/>
        </w:rPr>
      </w:pPr>
    </w:p>
    <w:p w14:paraId="4F25BD96" w14:textId="77777777" w:rsidR="003F01AE" w:rsidRPr="003F01AE" w:rsidRDefault="003F01AE" w:rsidP="003F01AE">
      <w:pPr>
        <w:spacing w:after="160" w:line="259" w:lineRule="auto"/>
        <w:rPr>
          <w:rFonts w:cs="Times New Roman"/>
          <w:color w:val="000000" w:themeColor="text1"/>
          <w:szCs w:val="24"/>
        </w:rPr>
      </w:pPr>
    </w:p>
    <w:p w14:paraId="228D62CA" w14:textId="3B6BC236" w:rsidR="00526412" w:rsidRPr="002B2D3C" w:rsidRDefault="00526412" w:rsidP="003F01AE">
      <w:pPr>
        <w:spacing w:after="160" w:line="259" w:lineRule="auto"/>
        <w:rPr>
          <w:rFonts w:cs="Times New Roman"/>
          <w:b/>
          <w:color w:val="000000" w:themeColor="text1"/>
          <w:sz w:val="28"/>
          <w:szCs w:val="28"/>
        </w:rPr>
      </w:pPr>
      <w:r w:rsidRPr="002B2D3C">
        <w:rPr>
          <w:rFonts w:cs="Times New Roman"/>
          <w:b/>
          <w:color w:val="000000" w:themeColor="text1"/>
          <w:sz w:val="28"/>
          <w:szCs w:val="28"/>
        </w:rPr>
        <w:br w:type="page"/>
      </w:r>
    </w:p>
    <w:p w14:paraId="14C2E9C9" w14:textId="5899BD63" w:rsidR="00055D83" w:rsidRDefault="002B2D3C" w:rsidP="002B2D3C">
      <w:pPr>
        <w:rPr>
          <w:b/>
          <w:bCs/>
          <w:sz w:val="28"/>
          <w:szCs w:val="24"/>
        </w:rPr>
      </w:pPr>
      <w:r w:rsidRPr="002B2D3C">
        <w:rPr>
          <w:b/>
          <w:bCs/>
          <w:sz w:val="28"/>
          <w:szCs w:val="24"/>
        </w:rPr>
        <w:lastRenderedPageBreak/>
        <w:t xml:space="preserve">4.0 </w:t>
      </w:r>
      <w:r w:rsidR="00055D83" w:rsidRPr="002B2D3C">
        <w:rPr>
          <w:b/>
          <w:bCs/>
          <w:sz w:val="28"/>
          <w:szCs w:val="24"/>
        </w:rPr>
        <w:t>RESULTS AND DISCUSSION</w:t>
      </w:r>
    </w:p>
    <w:p w14:paraId="695C60A9" w14:textId="6E793842" w:rsidR="00BB3A83" w:rsidRDefault="00BB3A83" w:rsidP="002B2D3C">
      <w:pPr>
        <w:spacing w:before="0" w:line="240" w:lineRule="auto"/>
        <w:rPr>
          <w:rFonts w:cs="Times New Roman"/>
          <w:b/>
          <w:bCs/>
          <w:sz w:val="28"/>
          <w:szCs w:val="24"/>
        </w:rPr>
      </w:pPr>
      <w:r w:rsidRPr="002B2D3C">
        <w:rPr>
          <w:rFonts w:cs="Times New Roman"/>
          <w:b/>
          <w:bCs/>
          <w:sz w:val="28"/>
          <w:szCs w:val="24"/>
        </w:rPr>
        <w:t>4.</w:t>
      </w:r>
      <w:r w:rsidR="00FC4A1C">
        <w:rPr>
          <w:rFonts w:cs="Times New Roman"/>
          <w:b/>
          <w:bCs/>
          <w:sz w:val="28"/>
          <w:szCs w:val="24"/>
        </w:rPr>
        <w:t>1</w:t>
      </w:r>
      <w:r w:rsidRPr="002B2D3C">
        <w:rPr>
          <w:rFonts w:cs="Times New Roman"/>
          <w:b/>
          <w:bCs/>
          <w:sz w:val="28"/>
          <w:szCs w:val="24"/>
        </w:rPr>
        <w:t xml:space="preserve"> Descriptive </w:t>
      </w:r>
      <w:bookmarkStart w:id="2" w:name="_Toc180395353"/>
      <w:r w:rsidR="00A52C12">
        <w:rPr>
          <w:rFonts w:cs="Times New Roman"/>
          <w:b/>
          <w:bCs/>
          <w:sz w:val="28"/>
          <w:szCs w:val="24"/>
        </w:rPr>
        <w:t>Analysis</w:t>
      </w:r>
    </w:p>
    <w:p w14:paraId="47927CD1" w14:textId="77777777" w:rsidR="00C053F5" w:rsidRDefault="00C053F5" w:rsidP="002B2D3C">
      <w:pPr>
        <w:spacing w:before="0" w:line="240" w:lineRule="auto"/>
        <w:rPr>
          <w:b/>
          <w:bCs/>
        </w:rPr>
      </w:pPr>
    </w:p>
    <w:p w14:paraId="4D674938" w14:textId="57899C57" w:rsidR="00C053F5" w:rsidRPr="00C053F5" w:rsidRDefault="00FC4A1C" w:rsidP="002B2D3C">
      <w:pPr>
        <w:spacing w:before="0" w:line="240" w:lineRule="auto"/>
        <w:rPr>
          <w:rFonts w:cs="Times New Roman"/>
          <w:b/>
          <w:bCs/>
          <w:sz w:val="28"/>
          <w:szCs w:val="24"/>
        </w:rPr>
      </w:pPr>
      <w:r>
        <w:rPr>
          <w:b/>
          <w:bCs/>
        </w:rPr>
        <w:t xml:space="preserve">4.1.1 </w:t>
      </w:r>
      <w:r w:rsidR="00C053F5" w:rsidRPr="00C053F5">
        <w:rPr>
          <w:b/>
          <w:bCs/>
        </w:rPr>
        <w:t>Influence of ERP Systems on Financial Management</w:t>
      </w:r>
    </w:p>
    <w:p w14:paraId="68F9B354" w14:textId="5DD1EF2B" w:rsidR="00A52C12" w:rsidRDefault="00A52C12" w:rsidP="002B2D3C">
      <w:pPr>
        <w:spacing w:before="0" w:line="240" w:lineRule="auto"/>
        <w:rPr>
          <w:rFonts w:cs="Times New Roman"/>
          <w:b/>
          <w:bCs/>
          <w:sz w:val="28"/>
          <w:szCs w:val="24"/>
        </w:rPr>
      </w:pPr>
    </w:p>
    <w:p w14:paraId="35704B6F" w14:textId="77777777" w:rsidR="00152E7C" w:rsidRPr="00152E7C" w:rsidRDefault="00152E7C" w:rsidP="00152E7C">
      <w:pPr>
        <w:spacing w:before="0" w:line="240" w:lineRule="auto"/>
        <w:rPr>
          <w:highlight w:val="green"/>
        </w:rPr>
      </w:pPr>
      <w:r w:rsidRPr="00152E7C">
        <w:rPr>
          <w:highlight w:val="green"/>
        </w:rPr>
        <w:t>The study examined the influence of ERP systems on financial management across six international NGOs in Kenya. Data was collected from 120 respondents drawn from departments such as Finance, HR, IT, Operations, Procurement, and Programs. The gender distribution was fairly balanced, with 52.5% male and 47.5% female participants.</w:t>
      </w:r>
    </w:p>
    <w:p w14:paraId="300AA85C" w14:textId="77777777" w:rsidR="00152E7C" w:rsidRPr="00152E7C" w:rsidRDefault="00152E7C" w:rsidP="00152E7C">
      <w:pPr>
        <w:spacing w:before="0" w:line="240" w:lineRule="auto"/>
        <w:rPr>
          <w:highlight w:val="green"/>
        </w:rPr>
      </w:pPr>
    </w:p>
    <w:p w14:paraId="23E98C64" w14:textId="6CABC701" w:rsidR="00152E7C" w:rsidRPr="00152E7C" w:rsidRDefault="00152E7C" w:rsidP="00152E7C">
      <w:pPr>
        <w:spacing w:before="0" w:line="240" w:lineRule="auto"/>
        <w:rPr>
          <w:highlight w:val="green"/>
        </w:rPr>
      </w:pPr>
      <w:r w:rsidRPr="00152E7C">
        <w:rPr>
          <w:highlight w:val="green"/>
        </w:rPr>
        <w:t>Findings revealed mixed perceptions about ERP systems. While 28.3% of respondents strongly agreed that ERPs improved financial transparency, a nearly equal share (30.8%) strongly disagreed</w:t>
      </w:r>
      <w:r w:rsidR="00897A35">
        <w:rPr>
          <w:highlight w:val="green"/>
        </w:rPr>
        <w:t xml:space="preserve"> </w:t>
      </w:r>
      <w:r w:rsidRPr="00152E7C">
        <w:rPr>
          <w:highlight w:val="green"/>
        </w:rPr>
        <w:t>indicating divided opinions. Similar trends emerged in views on real-time financial reporting and resource allocation. About 34.2% strongly agreed that ERPs enhanced efficiency, whereas 20.8% strongly disagreed.</w:t>
      </w:r>
    </w:p>
    <w:p w14:paraId="51BBB04B" w14:textId="77777777" w:rsidR="00152E7C" w:rsidRPr="00152E7C" w:rsidRDefault="00152E7C" w:rsidP="00152E7C">
      <w:pPr>
        <w:spacing w:before="0" w:line="240" w:lineRule="auto"/>
        <w:rPr>
          <w:highlight w:val="green"/>
        </w:rPr>
      </w:pPr>
    </w:p>
    <w:p w14:paraId="59D13337" w14:textId="773A9A95" w:rsidR="00A52C12" w:rsidRDefault="00152E7C" w:rsidP="00152E7C">
      <w:pPr>
        <w:spacing w:before="0" w:line="240" w:lineRule="auto"/>
      </w:pPr>
      <w:r w:rsidRPr="00152E7C">
        <w:rPr>
          <w:highlight w:val="green"/>
        </w:rPr>
        <w:t>Perceptions on cost reduction were more skeptical. A significant proportion (32.5%) strongly disagreed that ERP systems helped reduce operational costs. Regarding donor trust and compliance, 33.3% believed that ERP systems enhanced transparency, while 26.7% disagreed. These disparities in feedback suggest that the effectiveness of ERP systems depends on contextual factors, such as implementation challenges, adequacy of training, and how well the systems are integrated within each NGO’s operations</w:t>
      </w:r>
      <w:r w:rsidR="00C053F5" w:rsidRPr="00C053F5">
        <w:t>.</w:t>
      </w:r>
    </w:p>
    <w:p w14:paraId="269EB40F" w14:textId="77777777" w:rsidR="00C053F5" w:rsidRDefault="00C053F5" w:rsidP="00A52C12">
      <w:pPr>
        <w:spacing w:before="0" w:line="240" w:lineRule="auto"/>
      </w:pPr>
    </w:p>
    <w:p w14:paraId="10E84E05" w14:textId="41A3F3D8" w:rsidR="00C053F5" w:rsidRPr="00F95B0A" w:rsidRDefault="00C053F5" w:rsidP="00C053F5">
      <w:pPr>
        <w:rPr>
          <w:b/>
          <w:bCs/>
          <w:szCs w:val="24"/>
        </w:rPr>
      </w:pPr>
      <w:r>
        <w:rPr>
          <w:b/>
          <w:bCs/>
          <w:szCs w:val="24"/>
        </w:rPr>
        <w:t xml:space="preserve">Table 1: </w:t>
      </w:r>
      <w:r w:rsidRPr="00F95B0A">
        <w:rPr>
          <w:b/>
          <w:bCs/>
          <w:szCs w:val="24"/>
        </w:rPr>
        <w:t>Staff Perceptions on ERP Systems’ Influence on Financial Management (n = 120)</w:t>
      </w:r>
    </w:p>
    <w:tbl>
      <w:tblPr>
        <w:tblStyle w:val="PlainTable5"/>
        <w:tblW w:w="0" w:type="auto"/>
        <w:tblLook w:val="04A0" w:firstRow="1" w:lastRow="0" w:firstColumn="1" w:lastColumn="0" w:noHBand="0" w:noVBand="1"/>
      </w:tblPr>
      <w:tblGrid>
        <w:gridCol w:w="4762"/>
        <w:gridCol w:w="1786"/>
        <w:gridCol w:w="1101"/>
        <w:gridCol w:w="1383"/>
        <w:gridCol w:w="1998"/>
      </w:tblGrid>
      <w:tr w:rsidR="00C053F5" w:rsidRPr="00C053F5" w14:paraId="0F17E353" w14:textId="77777777" w:rsidTr="00C053F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3B05CC97" w14:textId="77777777" w:rsidR="00C053F5" w:rsidRPr="00C053F5" w:rsidRDefault="00C053F5" w:rsidP="00C053F5">
            <w:pPr>
              <w:spacing w:before="0" w:line="240" w:lineRule="auto"/>
              <w:rPr>
                <w:rFonts w:cs="Times New Roman"/>
                <w:b/>
                <w:bCs/>
                <w:szCs w:val="24"/>
              </w:rPr>
            </w:pPr>
            <w:r w:rsidRPr="00C053F5">
              <w:rPr>
                <w:rFonts w:cs="Times New Roman"/>
                <w:b/>
                <w:bCs/>
                <w:szCs w:val="24"/>
              </w:rPr>
              <w:t>Statement (Q#)</w:t>
            </w:r>
          </w:p>
        </w:tc>
        <w:tc>
          <w:tcPr>
            <w:tcW w:w="0" w:type="auto"/>
            <w:tcBorders>
              <w:top w:val="single" w:sz="4" w:space="0" w:color="auto"/>
            </w:tcBorders>
            <w:hideMark/>
          </w:tcPr>
          <w:p w14:paraId="68868E3A"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Strongly Agree (%)</w:t>
            </w:r>
          </w:p>
        </w:tc>
        <w:tc>
          <w:tcPr>
            <w:tcW w:w="0" w:type="auto"/>
            <w:tcBorders>
              <w:top w:val="single" w:sz="4" w:space="0" w:color="auto"/>
            </w:tcBorders>
            <w:hideMark/>
          </w:tcPr>
          <w:p w14:paraId="0D0B2AF4"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Agree (%)</w:t>
            </w:r>
          </w:p>
        </w:tc>
        <w:tc>
          <w:tcPr>
            <w:tcW w:w="0" w:type="auto"/>
            <w:tcBorders>
              <w:top w:val="single" w:sz="4" w:space="0" w:color="auto"/>
            </w:tcBorders>
            <w:hideMark/>
          </w:tcPr>
          <w:p w14:paraId="007B8AFE"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Disagree (%)</w:t>
            </w:r>
          </w:p>
        </w:tc>
        <w:tc>
          <w:tcPr>
            <w:tcW w:w="0" w:type="auto"/>
            <w:tcBorders>
              <w:top w:val="single" w:sz="4" w:space="0" w:color="auto"/>
            </w:tcBorders>
            <w:hideMark/>
          </w:tcPr>
          <w:p w14:paraId="1E8FD62B" w14:textId="77777777" w:rsidR="00C053F5" w:rsidRPr="00C053F5" w:rsidRDefault="00C053F5" w:rsidP="00C053F5">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C053F5">
              <w:rPr>
                <w:rFonts w:cs="Times New Roman"/>
                <w:b/>
                <w:bCs/>
                <w:szCs w:val="24"/>
              </w:rPr>
              <w:t>Strongly Disagree (%)</w:t>
            </w:r>
          </w:p>
        </w:tc>
      </w:tr>
      <w:tr w:rsidR="00C053F5" w:rsidRPr="00C053F5" w14:paraId="5037745A"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78B2DF" w14:textId="77777777" w:rsidR="00C053F5" w:rsidRPr="00C053F5" w:rsidRDefault="00C053F5" w:rsidP="00C053F5">
            <w:pPr>
              <w:spacing w:before="0" w:line="240" w:lineRule="auto"/>
              <w:rPr>
                <w:rFonts w:cs="Times New Roman"/>
                <w:szCs w:val="24"/>
              </w:rPr>
            </w:pPr>
            <w:r w:rsidRPr="00C053F5">
              <w:rPr>
                <w:rFonts w:cs="Times New Roman"/>
                <w:szCs w:val="24"/>
              </w:rPr>
              <w:t>Q1. ERP improves transparency in financial operations</w:t>
            </w:r>
          </w:p>
        </w:tc>
        <w:tc>
          <w:tcPr>
            <w:tcW w:w="0" w:type="auto"/>
            <w:hideMark/>
          </w:tcPr>
          <w:p w14:paraId="0B72CA5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28.3%</w:t>
            </w:r>
          </w:p>
        </w:tc>
        <w:tc>
          <w:tcPr>
            <w:tcW w:w="0" w:type="auto"/>
            <w:hideMark/>
          </w:tcPr>
          <w:p w14:paraId="4DC8A1EA"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20.0%</w:t>
            </w:r>
          </w:p>
        </w:tc>
        <w:tc>
          <w:tcPr>
            <w:tcW w:w="0" w:type="auto"/>
            <w:hideMark/>
          </w:tcPr>
          <w:p w14:paraId="24F8625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c>
          <w:tcPr>
            <w:tcW w:w="0" w:type="auto"/>
            <w:hideMark/>
          </w:tcPr>
          <w:p w14:paraId="67E17AF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30.8%</w:t>
            </w:r>
          </w:p>
        </w:tc>
      </w:tr>
      <w:tr w:rsidR="00C053F5" w:rsidRPr="00C053F5" w14:paraId="466CAB80"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A778EFD" w14:textId="77777777" w:rsidR="00C053F5" w:rsidRPr="00C053F5" w:rsidRDefault="00C053F5" w:rsidP="00C053F5">
            <w:pPr>
              <w:spacing w:before="0" w:line="240" w:lineRule="auto"/>
              <w:rPr>
                <w:rFonts w:cs="Times New Roman"/>
                <w:szCs w:val="24"/>
              </w:rPr>
            </w:pPr>
            <w:r w:rsidRPr="00C053F5">
              <w:rPr>
                <w:rFonts w:cs="Times New Roman"/>
                <w:szCs w:val="24"/>
              </w:rPr>
              <w:t>Q2. ERP enables real-time financial reporting</w:t>
            </w:r>
          </w:p>
        </w:tc>
        <w:tc>
          <w:tcPr>
            <w:tcW w:w="0" w:type="auto"/>
            <w:hideMark/>
          </w:tcPr>
          <w:p w14:paraId="57B5682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28.3%</w:t>
            </w:r>
          </w:p>
        </w:tc>
        <w:tc>
          <w:tcPr>
            <w:tcW w:w="0" w:type="auto"/>
            <w:hideMark/>
          </w:tcPr>
          <w:p w14:paraId="6568D3AA"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25.0%</w:t>
            </w:r>
          </w:p>
        </w:tc>
        <w:tc>
          <w:tcPr>
            <w:tcW w:w="0" w:type="auto"/>
            <w:hideMark/>
          </w:tcPr>
          <w:p w14:paraId="018D0F8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1B988D2D"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20.8%</w:t>
            </w:r>
          </w:p>
        </w:tc>
      </w:tr>
      <w:tr w:rsidR="00C053F5" w:rsidRPr="00C053F5" w14:paraId="7B36721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FC1CA9" w14:textId="77777777" w:rsidR="00C053F5" w:rsidRPr="00C053F5" w:rsidRDefault="00C053F5" w:rsidP="00C053F5">
            <w:pPr>
              <w:spacing w:before="0" w:line="240" w:lineRule="auto"/>
              <w:rPr>
                <w:rFonts w:cs="Times New Roman"/>
                <w:szCs w:val="24"/>
              </w:rPr>
            </w:pPr>
            <w:r w:rsidRPr="00C053F5">
              <w:rPr>
                <w:rFonts w:cs="Times New Roman"/>
                <w:szCs w:val="24"/>
              </w:rPr>
              <w:t>Q3. ERP improves efficiency in resource allocation</w:t>
            </w:r>
          </w:p>
        </w:tc>
        <w:tc>
          <w:tcPr>
            <w:tcW w:w="0" w:type="auto"/>
            <w:hideMark/>
          </w:tcPr>
          <w:p w14:paraId="4FE468B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34.2%</w:t>
            </w:r>
          </w:p>
        </w:tc>
        <w:tc>
          <w:tcPr>
            <w:tcW w:w="0" w:type="auto"/>
            <w:hideMark/>
          </w:tcPr>
          <w:p w14:paraId="089329B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10B3885B"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18.3%</w:t>
            </w:r>
          </w:p>
        </w:tc>
        <w:tc>
          <w:tcPr>
            <w:tcW w:w="0" w:type="auto"/>
            <w:hideMark/>
          </w:tcPr>
          <w:p w14:paraId="5282B3B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r>
      <w:tr w:rsidR="00C053F5" w:rsidRPr="00C053F5" w14:paraId="7E11F84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2C2BB2F" w14:textId="77777777" w:rsidR="00C053F5" w:rsidRPr="00C053F5" w:rsidRDefault="00C053F5" w:rsidP="00C053F5">
            <w:pPr>
              <w:spacing w:before="0" w:line="240" w:lineRule="auto"/>
              <w:rPr>
                <w:rFonts w:cs="Times New Roman"/>
                <w:szCs w:val="24"/>
              </w:rPr>
            </w:pPr>
            <w:r w:rsidRPr="00C053F5">
              <w:rPr>
                <w:rFonts w:cs="Times New Roman"/>
                <w:szCs w:val="24"/>
              </w:rPr>
              <w:t>Q4. ERP contributes to reducing operational costs</w:t>
            </w:r>
          </w:p>
        </w:tc>
        <w:tc>
          <w:tcPr>
            <w:tcW w:w="0" w:type="auto"/>
            <w:hideMark/>
          </w:tcPr>
          <w:p w14:paraId="3393DF2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23.3%</w:t>
            </w:r>
          </w:p>
        </w:tc>
        <w:tc>
          <w:tcPr>
            <w:tcW w:w="0" w:type="auto"/>
            <w:hideMark/>
          </w:tcPr>
          <w:p w14:paraId="4AE4B65B"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27.5%</w:t>
            </w:r>
          </w:p>
        </w:tc>
        <w:tc>
          <w:tcPr>
            <w:tcW w:w="0" w:type="auto"/>
            <w:hideMark/>
          </w:tcPr>
          <w:p w14:paraId="43349D1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16.7%</w:t>
            </w:r>
          </w:p>
        </w:tc>
        <w:tc>
          <w:tcPr>
            <w:tcW w:w="0" w:type="auto"/>
            <w:hideMark/>
          </w:tcPr>
          <w:p w14:paraId="547A977A"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32.5%</w:t>
            </w:r>
          </w:p>
        </w:tc>
      </w:tr>
      <w:tr w:rsidR="00C053F5" w:rsidRPr="00C053F5" w14:paraId="11EF1E95"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26F07FA" w14:textId="77777777" w:rsidR="00C053F5" w:rsidRPr="00C053F5" w:rsidRDefault="00C053F5" w:rsidP="00C053F5">
            <w:pPr>
              <w:spacing w:before="0" w:line="240" w:lineRule="auto"/>
              <w:rPr>
                <w:rFonts w:cs="Times New Roman"/>
                <w:szCs w:val="24"/>
              </w:rPr>
            </w:pPr>
            <w:r w:rsidRPr="00C053F5">
              <w:rPr>
                <w:rFonts w:cs="Times New Roman"/>
                <w:szCs w:val="24"/>
              </w:rPr>
              <w:t>Q5. ERP improves accuracy in financial reporting</w:t>
            </w:r>
          </w:p>
        </w:tc>
        <w:tc>
          <w:tcPr>
            <w:tcW w:w="0" w:type="auto"/>
            <w:hideMark/>
          </w:tcPr>
          <w:p w14:paraId="4891B43F"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24.2%</w:t>
            </w:r>
          </w:p>
        </w:tc>
        <w:tc>
          <w:tcPr>
            <w:tcW w:w="0" w:type="auto"/>
            <w:hideMark/>
          </w:tcPr>
          <w:p w14:paraId="18BCB81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1AEF3714"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30.0%</w:t>
            </w:r>
          </w:p>
        </w:tc>
        <w:tc>
          <w:tcPr>
            <w:tcW w:w="0" w:type="auto"/>
            <w:hideMark/>
          </w:tcPr>
          <w:p w14:paraId="6620C33E"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20.0%</w:t>
            </w:r>
          </w:p>
        </w:tc>
      </w:tr>
      <w:tr w:rsidR="00C053F5" w:rsidRPr="00C053F5" w14:paraId="43D1CCCB"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1D74F3AD" w14:textId="77777777" w:rsidR="00C053F5" w:rsidRPr="00C053F5" w:rsidRDefault="00C053F5" w:rsidP="00C053F5">
            <w:pPr>
              <w:spacing w:before="0" w:line="240" w:lineRule="auto"/>
              <w:rPr>
                <w:rFonts w:cs="Times New Roman"/>
                <w:szCs w:val="24"/>
              </w:rPr>
            </w:pPr>
            <w:r w:rsidRPr="00C053F5">
              <w:rPr>
                <w:rFonts w:cs="Times New Roman"/>
                <w:szCs w:val="24"/>
              </w:rPr>
              <w:t>Q6. ERP enhances donor trust through improved transparency</w:t>
            </w:r>
          </w:p>
        </w:tc>
        <w:tc>
          <w:tcPr>
            <w:tcW w:w="0" w:type="auto"/>
            <w:hideMark/>
          </w:tcPr>
          <w:p w14:paraId="2AB4FA82"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33.3%</w:t>
            </w:r>
          </w:p>
        </w:tc>
        <w:tc>
          <w:tcPr>
            <w:tcW w:w="0" w:type="auto"/>
            <w:hideMark/>
          </w:tcPr>
          <w:p w14:paraId="7BFB0BB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20.0%</w:t>
            </w:r>
          </w:p>
        </w:tc>
        <w:tc>
          <w:tcPr>
            <w:tcW w:w="0" w:type="auto"/>
            <w:hideMark/>
          </w:tcPr>
          <w:p w14:paraId="68FD580D"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5A27CC34"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20.0%</w:t>
            </w:r>
          </w:p>
        </w:tc>
      </w:tr>
      <w:tr w:rsidR="00C053F5" w:rsidRPr="00C053F5" w14:paraId="451AA36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AA62C8" w14:textId="77777777" w:rsidR="00C053F5" w:rsidRPr="00C053F5" w:rsidRDefault="00C053F5" w:rsidP="00C053F5">
            <w:pPr>
              <w:spacing w:before="0" w:line="240" w:lineRule="auto"/>
              <w:rPr>
                <w:rFonts w:cs="Times New Roman"/>
                <w:szCs w:val="24"/>
              </w:rPr>
            </w:pPr>
            <w:r w:rsidRPr="00C053F5">
              <w:rPr>
                <w:rFonts w:cs="Times New Roman"/>
                <w:szCs w:val="24"/>
              </w:rPr>
              <w:t>Q7. ERP enhances timeliness of financial reporting</w:t>
            </w:r>
          </w:p>
        </w:tc>
        <w:tc>
          <w:tcPr>
            <w:tcW w:w="0" w:type="auto"/>
            <w:hideMark/>
          </w:tcPr>
          <w:p w14:paraId="3D9C8718"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21.7%</w:t>
            </w:r>
          </w:p>
        </w:tc>
        <w:tc>
          <w:tcPr>
            <w:tcW w:w="0" w:type="auto"/>
            <w:hideMark/>
          </w:tcPr>
          <w:p w14:paraId="38F787E6"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29.2%</w:t>
            </w:r>
          </w:p>
        </w:tc>
        <w:tc>
          <w:tcPr>
            <w:tcW w:w="0" w:type="auto"/>
            <w:hideMark/>
          </w:tcPr>
          <w:p w14:paraId="0B2556C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25.8%</w:t>
            </w:r>
          </w:p>
        </w:tc>
        <w:tc>
          <w:tcPr>
            <w:tcW w:w="0" w:type="auto"/>
            <w:hideMark/>
          </w:tcPr>
          <w:p w14:paraId="327ECA10"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23.3%</w:t>
            </w:r>
          </w:p>
        </w:tc>
      </w:tr>
      <w:tr w:rsidR="00C053F5" w:rsidRPr="00C053F5" w14:paraId="2D64C51C"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29FA725E" w14:textId="77777777" w:rsidR="00C053F5" w:rsidRPr="00C053F5" w:rsidRDefault="00C053F5" w:rsidP="00C053F5">
            <w:pPr>
              <w:spacing w:before="0" w:line="240" w:lineRule="auto"/>
              <w:rPr>
                <w:rFonts w:cs="Times New Roman"/>
                <w:szCs w:val="24"/>
              </w:rPr>
            </w:pPr>
            <w:r w:rsidRPr="00C053F5">
              <w:rPr>
                <w:rFonts w:cs="Times New Roman"/>
                <w:szCs w:val="24"/>
              </w:rPr>
              <w:t>Q8. ERP streamlines financial management processes</w:t>
            </w:r>
          </w:p>
        </w:tc>
        <w:tc>
          <w:tcPr>
            <w:tcW w:w="0" w:type="auto"/>
            <w:hideMark/>
          </w:tcPr>
          <w:p w14:paraId="0802477C"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21.7%</w:t>
            </w:r>
          </w:p>
        </w:tc>
        <w:tc>
          <w:tcPr>
            <w:tcW w:w="0" w:type="auto"/>
            <w:hideMark/>
          </w:tcPr>
          <w:p w14:paraId="5A7D108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26.7%</w:t>
            </w:r>
          </w:p>
        </w:tc>
        <w:tc>
          <w:tcPr>
            <w:tcW w:w="0" w:type="auto"/>
            <w:hideMark/>
          </w:tcPr>
          <w:p w14:paraId="0AEFD287"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34.2%</w:t>
            </w:r>
          </w:p>
        </w:tc>
        <w:tc>
          <w:tcPr>
            <w:tcW w:w="0" w:type="auto"/>
            <w:hideMark/>
          </w:tcPr>
          <w:p w14:paraId="2D6C437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17.5%</w:t>
            </w:r>
          </w:p>
        </w:tc>
      </w:tr>
      <w:tr w:rsidR="00C053F5" w:rsidRPr="00C053F5" w14:paraId="45F8E3FB" w14:textId="77777777" w:rsidTr="00C053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A8257" w14:textId="77777777" w:rsidR="00C053F5" w:rsidRPr="00C053F5" w:rsidRDefault="00C053F5" w:rsidP="00C053F5">
            <w:pPr>
              <w:spacing w:before="0" w:line="240" w:lineRule="auto"/>
              <w:rPr>
                <w:rFonts w:cs="Times New Roman"/>
                <w:szCs w:val="24"/>
              </w:rPr>
            </w:pPr>
            <w:r w:rsidRPr="00C053F5">
              <w:rPr>
                <w:rFonts w:cs="Times New Roman"/>
                <w:szCs w:val="24"/>
              </w:rPr>
              <w:t>Q9. ERP improves financial compliance</w:t>
            </w:r>
          </w:p>
        </w:tc>
        <w:tc>
          <w:tcPr>
            <w:tcW w:w="0" w:type="auto"/>
            <w:hideMark/>
          </w:tcPr>
          <w:p w14:paraId="7896FBCC"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30.0%</w:t>
            </w:r>
          </w:p>
        </w:tc>
        <w:tc>
          <w:tcPr>
            <w:tcW w:w="0" w:type="auto"/>
            <w:hideMark/>
          </w:tcPr>
          <w:p w14:paraId="5346CA27"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20.8%</w:t>
            </w:r>
          </w:p>
        </w:tc>
        <w:tc>
          <w:tcPr>
            <w:tcW w:w="0" w:type="auto"/>
            <w:hideMark/>
          </w:tcPr>
          <w:p w14:paraId="5DC61C8C"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24.2%</w:t>
            </w:r>
          </w:p>
        </w:tc>
        <w:tc>
          <w:tcPr>
            <w:tcW w:w="0" w:type="auto"/>
            <w:hideMark/>
          </w:tcPr>
          <w:p w14:paraId="144213A9" w14:textId="77777777" w:rsidR="00C053F5" w:rsidRPr="00C053F5" w:rsidRDefault="00C053F5" w:rsidP="00C053F5">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C053F5">
              <w:rPr>
                <w:rFonts w:cs="Times New Roman"/>
                <w:szCs w:val="24"/>
              </w:rPr>
              <w:t>25.0%</w:t>
            </w:r>
          </w:p>
        </w:tc>
      </w:tr>
      <w:tr w:rsidR="00C053F5" w:rsidRPr="00C053F5" w14:paraId="17DBAED7" w14:textId="77777777" w:rsidTr="00C053F5">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tcPr>
          <w:p w14:paraId="784EE6C0" w14:textId="77777777" w:rsidR="00C053F5" w:rsidRPr="00C053F5" w:rsidRDefault="00C053F5" w:rsidP="00C053F5">
            <w:pPr>
              <w:spacing w:before="0" w:line="240" w:lineRule="auto"/>
              <w:rPr>
                <w:rFonts w:cs="Times New Roman"/>
                <w:szCs w:val="24"/>
              </w:rPr>
            </w:pPr>
            <w:r w:rsidRPr="00C053F5">
              <w:rPr>
                <w:rFonts w:cs="Times New Roman"/>
                <w:szCs w:val="24"/>
              </w:rPr>
              <w:t>Q10. ERP improves financial predictability of an organization</w:t>
            </w:r>
          </w:p>
        </w:tc>
        <w:tc>
          <w:tcPr>
            <w:tcW w:w="0" w:type="auto"/>
            <w:tcBorders>
              <w:bottom w:val="single" w:sz="4" w:space="0" w:color="auto"/>
            </w:tcBorders>
          </w:tcPr>
          <w:p w14:paraId="05F75A66"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21.7</w:t>
            </w:r>
          </w:p>
        </w:tc>
        <w:tc>
          <w:tcPr>
            <w:tcW w:w="0" w:type="auto"/>
            <w:tcBorders>
              <w:bottom w:val="single" w:sz="4" w:space="0" w:color="auto"/>
            </w:tcBorders>
          </w:tcPr>
          <w:p w14:paraId="7D53BE43"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29.2</w:t>
            </w:r>
          </w:p>
        </w:tc>
        <w:tc>
          <w:tcPr>
            <w:tcW w:w="0" w:type="auto"/>
            <w:tcBorders>
              <w:bottom w:val="single" w:sz="4" w:space="0" w:color="auto"/>
            </w:tcBorders>
          </w:tcPr>
          <w:p w14:paraId="10B70DEC"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25.8</w:t>
            </w:r>
          </w:p>
        </w:tc>
        <w:tc>
          <w:tcPr>
            <w:tcW w:w="0" w:type="auto"/>
            <w:tcBorders>
              <w:bottom w:val="single" w:sz="4" w:space="0" w:color="auto"/>
            </w:tcBorders>
          </w:tcPr>
          <w:p w14:paraId="599DDAB1" w14:textId="77777777" w:rsidR="00C053F5" w:rsidRPr="00C053F5" w:rsidRDefault="00C053F5" w:rsidP="00C053F5">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C053F5">
              <w:rPr>
                <w:rFonts w:cs="Times New Roman"/>
                <w:szCs w:val="24"/>
              </w:rPr>
              <w:t>23.3</w:t>
            </w:r>
          </w:p>
        </w:tc>
      </w:tr>
    </w:tbl>
    <w:p w14:paraId="74EF06E4" w14:textId="77777777" w:rsidR="00C053F5" w:rsidRDefault="00C053F5" w:rsidP="00A52C12">
      <w:pPr>
        <w:spacing w:before="0" w:line="240" w:lineRule="auto"/>
        <w:rPr>
          <w:rFonts w:cs="Times New Roman"/>
          <w:b/>
          <w:bCs/>
          <w:sz w:val="28"/>
          <w:szCs w:val="24"/>
        </w:rPr>
      </w:pPr>
    </w:p>
    <w:p w14:paraId="78F2E983" w14:textId="2EAC0918" w:rsidR="00A52C12" w:rsidRDefault="00FC4A1C" w:rsidP="002B2D3C">
      <w:pPr>
        <w:spacing w:before="0" w:line="240" w:lineRule="auto"/>
        <w:rPr>
          <w:b/>
          <w:bCs/>
        </w:rPr>
      </w:pPr>
      <w:r>
        <w:rPr>
          <w:b/>
          <w:bCs/>
        </w:rPr>
        <w:t xml:space="preserve">4.1.2 </w:t>
      </w:r>
      <w:r w:rsidR="002D1CB2" w:rsidRPr="002D1CB2">
        <w:rPr>
          <w:b/>
          <w:bCs/>
        </w:rPr>
        <w:t>Influence of ERP Systems on Financial Management</w:t>
      </w:r>
    </w:p>
    <w:p w14:paraId="003D3F38" w14:textId="41E1FB9F" w:rsidR="002D1CB2" w:rsidRDefault="002D1CB2" w:rsidP="00FC4A1C">
      <w:pPr>
        <w:spacing w:before="0" w:line="240" w:lineRule="auto"/>
      </w:pPr>
      <w:r w:rsidRPr="002D1CB2">
        <w:t xml:space="preserve">The survey findings on cloud-based accounting software reveal mixed perspectives regarding its impact on financial efficiency. A majority of respondents (53.4%) agreed it enhances task management efficiency, and 62.5% </w:t>
      </w:r>
      <w:r w:rsidRPr="002D1CB2">
        <w:lastRenderedPageBreak/>
        <w:t>appreciated its scalability, indicating support for operational growth and adaptability. Financial reporting accuracy and team collaboration also saw positive responses, with 56.6% and 50% respectively acknowledging improvements. However, concerns persist about data security and compliance; only 30% agreed security had improved, while 28.3% strongly disagreed. Similarly, 30.8% strongly disagreed with compliance improvements, versus just 22.5% who strongly agreed. Real-time data access and disaster recovery features received moderate support, though a significant minority remained skeptical. These results suggest that while cloud-based accounting systems are valued for their efficiency and scalability, doubts about their reliability in security and regulatory compliance remain. To maximize the software’s benefits, organizations may need to invest in staff training, clearer communication on capabilities, and enhanced security measures.</w:t>
      </w:r>
    </w:p>
    <w:p w14:paraId="011609DF" w14:textId="25515EC1" w:rsidR="002D1CB2" w:rsidRPr="00F95B0A" w:rsidRDefault="00FC4A1C" w:rsidP="002D1CB2">
      <w:pPr>
        <w:rPr>
          <w:b/>
          <w:bCs/>
          <w:szCs w:val="24"/>
        </w:rPr>
      </w:pPr>
      <w:r>
        <w:rPr>
          <w:b/>
          <w:bCs/>
          <w:szCs w:val="24"/>
        </w:rPr>
        <w:t xml:space="preserve">Table 2: </w:t>
      </w:r>
      <w:r w:rsidR="002D1CB2" w:rsidRPr="00F95B0A">
        <w:rPr>
          <w:b/>
          <w:bCs/>
          <w:szCs w:val="24"/>
        </w:rPr>
        <w:t>Cloud-Based Accounting Software on Financial Efficiency</w:t>
      </w:r>
    </w:p>
    <w:tbl>
      <w:tblPr>
        <w:tblStyle w:val="PlainTable5"/>
        <w:tblW w:w="0" w:type="auto"/>
        <w:tblLook w:val="04A0" w:firstRow="1" w:lastRow="0" w:firstColumn="1" w:lastColumn="0" w:noHBand="0" w:noVBand="1"/>
      </w:tblPr>
      <w:tblGrid>
        <w:gridCol w:w="3750"/>
        <w:gridCol w:w="1224"/>
        <w:gridCol w:w="1247"/>
        <w:gridCol w:w="1546"/>
        <w:gridCol w:w="1778"/>
        <w:gridCol w:w="1485"/>
      </w:tblGrid>
      <w:tr w:rsidR="002D1CB2" w:rsidRPr="002D1CB2" w14:paraId="0F589749" w14:textId="77777777" w:rsidTr="002D1CB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45856B6E" w14:textId="77777777" w:rsidR="002D1CB2" w:rsidRPr="002D1CB2" w:rsidRDefault="002D1CB2" w:rsidP="002D1CB2">
            <w:pPr>
              <w:spacing w:before="0" w:line="240" w:lineRule="auto"/>
              <w:rPr>
                <w:rFonts w:cs="Times New Roman"/>
                <w:b/>
                <w:bCs/>
                <w:szCs w:val="24"/>
              </w:rPr>
            </w:pPr>
            <w:r w:rsidRPr="002D1CB2">
              <w:rPr>
                <w:rFonts w:cs="Times New Roman"/>
                <w:b/>
                <w:bCs/>
                <w:szCs w:val="24"/>
              </w:rPr>
              <w:t>Question</w:t>
            </w:r>
          </w:p>
        </w:tc>
        <w:tc>
          <w:tcPr>
            <w:tcW w:w="0" w:type="auto"/>
            <w:tcBorders>
              <w:top w:val="single" w:sz="4" w:space="0" w:color="auto"/>
            </w:tcBorders>
            <w:hideMark/>
          </w:tcPr>
          <w:p w14:paraId="2A773660"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Agree</w:t>
            </w:r>
          </w:p>
        </w:tc>
        <w:tc>
          <w:tcPr>
            <w:tcW w:w="0" w:type="auto"/>
            <w:tcBorders>
              <w:top w:val="single" w:sz="4" w:space="0" w:color="auto"/>
            </w:tcBorders>
            <w:hideMark/>
          </w:tcPr>
          <w:p w14:paraId="3A6DD6E5"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Disagree</w:t>
            </w:r>
          </w:p>
        </w:tc>
        <w:tc>
          <w:tcPr>
            <w:tcW w:w="0" w:type="auto"/>
            <w:tcBorders>
              <w:top w:val="single" w:sz="4" w:space="0" w:color="auto"/>
            </w:tcBorders>
            <w:hideMark/>
          </w:tcPr>
          <w:p w14:paraId="22D9D6C0"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Strongly Agree</w:t>
            </w:r>
          </w:p>
        </w:tc>
        <w:tc>
          <w:tcPr>
            <w:tcW w:w="0" w:type="auto"/>
            <w:tcBorders>
              <w:top w:val="single" w:sz="4" w:space="0" w:color="auto"/>
            </w:tcBorders>
            <w:hideMark/>
          </w:tcPr>
          <w:p w14:paraId="1A104923"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Strongly Disagree</w:t>
            </w:r>
          </w:p>
        </w:tc>
        <w:tc>
          <w:tcPr>
            <w:tcW w:w="0" w:type="auto"/>
            <w:tcBorders>
              <w:top w:val="single" w:sz="4" w:space="0" w:color="auto"/>
            </w:tcBorders>
            <w:hideMark/>
          </w:tcPr>
          <w:p w14:paraId="7DD27ED4" w14:textId="77777777" w:rsidR="002D1CB2" w:rsidRPr="002D1CB2" w:rsidRDefault="002D1CB2" w:rsidP="002D1CB2">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2D1CB2">
              <w:rPr>
                <w:rFonts w:cs="Times New Roman"/>
                <w:b/>
                <w:bCs/>
                <w:szCs w:val="24"/>
              </w:rPr>
              <w:t>Total (N=120)</w:t>
            </w:r>
          </w:p>
        </w:tc>
      </w:tr>
      <w:tr w:rsidR="002D1CB2" w:rsidRPr="002D1CB2" w14:paraId="3805A1C5"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4B08031" w14:textId="77777777" w:rsidR="002D1CB2" w:rsidRPr="002D1CB2" w:rsidRDefault="002D1CB2" w:rsidP="002D1CB2">
            <w:pPr>
              <w:spacing w:before="0" w:line="240" w:lineRule="auto"/>
              <w:rPr>
                <w:rFonts w:cs="Times New Roman"/>
                <w:szCs w:val="24"/>
              </w:rPr>
            </w:pPr>
            <w:r w:rsidRPr="002D1CB2">
              <w:rPr>
                <w:rFonts w:cs="Times New Roman"/>
                <w:b/>
                <w:bCs/>
                <w:szCs w:val="24"/>
              </w:rPr>
              <w:t>Q1. Improves task management efficiency</w:t>
            </w:r>
          </w:p>
        </w:tc>
        <w:tc>
          <w:tcPr>
            <w:tcW w:w="0" w:type="auto"/>
            <w:hideMark/>
          </w:tcPr>
          <w:p w14:paraId="1232CC3E"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23 (19.2%)</w:t>
            </w:r>
          </w:p>
        </w:tc>
        <w:tc>
          <w:tcPr>
            <w:tcW w:w="0" w:type="auto"/>
            <w:hideMark/>
          </w:tcPr>
          <w:p w14:paraId="41D22457"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30 (25.0%)</w:t>
            </w:r>
          </w:p>
        </w:tc>
        <w:tc>
          <w:tcPr>
            <w:tcW w:w="0" w:type="auto"/>
            <w:hideMark/>
          </w:tcPr>
          <w:p w14:paraId="35C8F1D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41 (34.2%)</w:t>
            </w:r>
          </w:p>
        </w:tc>
        <w:tc>
          <w:tcPr>
            <w:tcW w:w="0" w:type="auto"/>
            <w:hideMark/>
          </w:tcPr>
          <w:p w14:paraId="78F20BC8"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78BAF994"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2F82D15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4B1BD7E9" w14:textId="77777777" w:rsidR="002D1CB2" w:rsidRPr="002D1CB2" w:rsidRDefault="002D1CB2" w:rsidP="002D1CB2">
            <w:pPr>
              <w:spacing w:before="0" w:line="240" w:lineRule="auto"/>
              <w:rPr>
                <w:rFonts w:cs="Times New Roman"/>
                <w:szCs w:val="24"/>
              </w:rPr>
            </w:pPr>
            <w:r w:rsidRPr="002D1CB2">
              <w:rPr>
                <w:rFonts w:cs="Times New Roman"/>
                <w:b/>
                <w:bCs/>
                <w:szCs w:val="24"/>
              </w:rPr>
              <w:t>Q2. Scalability is beneficial</w:t>
            </w:r>
          </w:p>
        </w:tc>
        <w:tc>
          <w:tcPr>
            <w:tcW w:w="0" w:type="auto"/>
            <w:hideMark/>
          </w:tcPr>
          <w:p w14:paraId="0636DB3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01849118"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33 (27.5%)</w:t>
            </w:r>
          </w:p>
        </w:tc>
        <w:tc>
          <w:tcPr>
            <w:tcW w:w="0" w:type="auto"/>
            <w:hideMark/>
          </w:tcPr>
          <w:p w14:paraId="55BEFD7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1B0E9D78"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25 (20.8%)</w:t>
            </w:r>
          </w:p>
        </w:tc>
        <w:tc>
          <w:tcPr>
            <w:tcW w:w="0" w:type="auto"/>
            <w:hideMark/>
          </w:tcPr>
          <w:p w14:paraId="1ABBBE5E"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4C261EC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A61BD2" w14:textId="77777777" w:rsidR="002D1CB2" w:rsidRPr="002D1CB2" w:rsidRDefault="002D1CB2" w:rsidP="002D1CB2">
            <w:pPr>
              <w:spacing w:before="0" w:line="240" w:lineRule="auto"/>
              <w:rPr>
                <w:rFonts w:cs="Times New Roman"/>
                <w:szCs w:val="24"/>
              </w:rPr>
            </w:pPr>
            <w:r w:rsidRPr="002D1CB2">
              <w:rPr>
                <w:rFonts w:cs="Times New Roman"/>
                <w:b/>
                <w:bCs/>
                <w:szCs w:val="24"/>
              </w:rPr>
              <w:t>Q3. Improved data security</w:t>
            </w:r>
          </w:p>
        </w:tc>
        <w:tc>
          <w:tcPr>
            <w:tcW w:w="0" w:type="auto"/>
            <w:hideMark/>
          </w:tcPr>
          <w:p w14:paraId="278634FC"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62AB7E6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681C89CF"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22 (18.3%)</w:t>
            </w:r>
          </w:p>
        </w:tc>
        <w:tc>
          <w:tcPr>
            <w:tcW w:w="0" w:type="auto"/>
            <w:hideMark/>
          </w:tcPr>
          <w:p w14:paraId="29DFAEFB"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548926D"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1A0D257"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6D76FD66" w14:textId="77777777" w:rsidR="002D1CB2" w:rsidRPr="002D1CB2" w:rsidRDefault="002D1CB2" w:rsidP="002D1CB2">
            <w:pPr>
              <w:spacing w:before="0" w:line="240" w:lineRule="auto"/>
              <w:rPr>
                <w:rFonts w:cs="Times New Roman"/>
                <w:szCs w:val="24"/>
              </w:rPr>
            </w:pPr>
            <w:r w:rsidRPr="002D1CB2">
              <w:rPr>
                <w:rFonts w:cs="Times New Roman"/>
                <w:b/>
                <w:bCs/>
                <w:szCs w:val="24"/>
              </w:rPr>
              <w:t>Q4. Reduces IT infrastructure costs</w:t>
            </w:r>
          </w:p>
        </w:tc>
        <w:tc>
          <w:tcPr>
            <w:tcW w:w="0" w:type="auto"/>
            <w:hideMark/>
          </w:tcPr>
          <w:p w14:paraId="08E414BD"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39 (32.5%)</w:t>
            </w:r>
          </w:p>
        </w:tc>
        <w:tc>
          <w:tcPr>
            <w:tcW w:w="0" w:type="auto"/>
            <w:hideMark/>
          </w:tcPr>
          <w:p w14:paraId="30FC52AE"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24 (20.0%)</w:t>
            </w:r>
          </w:p>
        </w:tc>
        <w:tc>
          <w:tcPr>
            <w:tcW w:w="0" w:type="auto"/>
            <w:hideMark/>
          </w:tcPr>
          <w:p w14:paraId="5AFCA3A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36 (30.0%)</w:t>
            </w:r>
          </w:p>
        </w:tc>
        <w:tc>
          <w:tcPr>
            <w:tcW w:w="0" w:type="auto"/>
            <w:hideMark/>
          </w:tcPr>
          <w:p w14:paraId="291EC0E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21 (17.5%)</w:t>
            </w:r>
          </w:p>
        </w:tc>
        <w:tc>
          <w:tcPr>
            <w:tcW w:w="0" w:type="auto"/>
            <w:hideMark/>
          </w:tcPr>
          <w:p w14:paraId="1BDABD6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5657B7C6"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1B216BF" w14:textId="77777777" w:rsidR="002D1CB2" w:rsidRPr="002D1CB2" w:rsidRDefault="002D1CB2" w:rsidP="002D1CB2">
            <w:pPr>
              <w:spacing w:before="0" w:line="240" w:lineRule="auto"/>
              <w:rPr>
                <w:rFonts w:cs="Times New Roman"/>
                <w:szCs w:val="24"/>
              </w:rPr>
            </w:pPr>
            <w:r w:rsidRPr="002D1CB2">
              <w:rPr>
                <w:rFonts w:cs="Times New Roman"/>
                <w:b/>
                <w:bCs/>
                <w:szCs w:val="24"/>
              </w:rPr>
              <w:t>Q5. Real-time financial data access</w:t>
            </w:r>
          </w:p>
        </w:tc>
        <w:tc>
          <w:tcPr>
            <w:tcW w:w="0" w:type="auto"/>
            <w:hideMark/>
          </w:tcPr>
          <w:p w14:paraId="281F4746"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52FE108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77CC586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7567D642"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2B938B67"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E18351B"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7E31FA19" w14:textId="77777777" w:rsidR="002D1CB2" w:rsidRPr="002D1CB2" w:rsidRDefault="002D1CB2" w:rsidP="002D1CB2">
            <w:pPr>
              <w:spacing w:before="0" w:line="240" w:lineRule="auto"/>
              <w:rPr>
                <w:rFonts w:cs="Times New Roman"/>
                <w:szCs w:val="24"/>
              </w:rPr>
            </w:pPr>
            <w:r w:rsidRPr="002D1CB2">
              <w:rPr>
                <w:rFonts w:cs="Times New Roman"/>
                <w:b/>
                <w:bCs/>
                <w:szCs w:val="24"/>
              </w:rPr>
              <w:t>Q6. Enhances team collaboration</w:t>
            </w:r>
          </w:p>
        </w:tc>
        <w:tc>
          <w:tcPr>
            <w:tcW w:w="0" w:type="auto"/>
            <w:hideMark/>
          </w:tcPr>
          <w:p w14:paraId="5E5482B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6B28C85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31 (25.8%)</w:t>
            </w:r>
          </w:p>
        </w:tc>
        <w:tc>
          <w:tcPr>
            <w:tcW w:w="0" w:type="auto"/>
            <w:hideMark/>
          </w:tcPr>
          <w:p w14:paraId="169B2546"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58F1BC94"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29 (24.2%)</w:t>
            </w:r>
          </w:p>
        </w:tc>
        <w:tc>
          <w:tcPr>
            <w:tcW w:w="0" w:type="auto"/>
            <w:hideMark/>
          </w:tcPr>
          <w:p w14:paraId="4CDC64E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7CDC7C3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1BA2D51" w14:textId="77777777" w:rsidR="002D1CB2" w:rsidRPr="002D1CB2" w:rsidRDefault="002D1CB2" w:rsidP="002D1CB2">
            <w:pPr>
              <w:spacing w:before="0" w:line="240" w:lineRule="auto"/>
              <w:rPr>
                <w:rFonts w:cs="Times New Roman"/>
                <w:szCs w:val="24"/>
              </w:rPr>
            </w:pPr>
            <w:r w:rsidRPr="002D1CB2">
              <w:rPr>
                <w:rFonts w:cs="Times New Roman"/>
                <w:b/>
                <w:bCs/>
                <w:szCs w:val="24"/>
              </w:rPr>
              <w:t>Q7. Improves financial audits</w:t>
            </w:r>
          </w:p>
        </w:tc>
        <w:tc>
          <w:tcPr>
            <w:tcW w:w="0" w:type="auto"/>
            <w:hideMark/>
          </w:tcPr>
          <w:p w14:paraId="1E695478"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49DA437A"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32 (26.7%)</w:t>
            </w:r>
          </w:p>
        </w:tc>
        <w:tc>
          <w:tcPr>
            <w:tcW w:w="0" w:type="auto"/>
            <w:hideMark/>
          </w:tcPr>
          <w:p w14:paraId="555B8EE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26 (21.7%)</w:t>
            </w:r>
          </w:p>
        </w:tc>
        <w:tc>
          <w:tcPr>
            <w:tcW w:w="0" w:type="auto"/>
            <w:hideMark/>
          </w:tcPr>
          <w:p w14:paraId="34858610"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174E75D"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30973E02"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3195B12E" w14:textId="77777777" w:rsidR="002D1CB2" w:rsidRPr="002D1CB2" w:rsidRDefault="002D1CB2" w:rsidP="002D1CB2">
            <w:pPr>
              <w:spacing w:before="0" w:line="240" w:lineRule="auto"/>
              <w:rPr>
                <w:rFonts w:cs="Times New Roman"/>
                <w:szCs w:val="24"/>
              </w:rPr>
            </w:pPr>
            <w:r w:rsidRPr="002D1CB2">
              <w:rPr>
                <w:rFonts w:cs="Times New Roman"/>
                <w:b/>
                <w:bCs/>
                <w:szCs w:val="24"/>
              </w:rPr>
              <w:t>Q8. Improves financial reporting accuracy</w:t>
            </w:r>
          </w:p>
        </w:tc>
        <w:tc>
          <w:tcPr>
            <w:tcW w:w="0" w:type="auto"/>
            <w:hideMark/>
          </w:tcPr>
          <w:p w14:paraId="56BB1271"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30 (25.0%)</w:t>
            </w:r>
          </w:p>
        </w:tc>
        <w:tc>
          <w:tcPr>
            <w:tcW w:w="0" w:type="auto"/>
            <w:hideMark/>
          </w:tcPr>
          <w:p w14:paraId="61BF65F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06B8C587"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34 (28.3%)</w:t>
            </w:r>
          </w:p>
        </w:tc>
        <w:tc>
          <w:tcPr>
            <w:tcW w:w="0" w:type="auto"/>
            <w:hideMark/>
          </w:tcPr>
          <w:p w14:paraId="797E7001"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22 (18.3%)</w:t>
            </w:r>
          </w:p>
        </w:tc>
        <w:tc>
          <w:tcPr>
            <w:tcW w:w="0" w:type="auto"/>
            <w:hideMark/>
          </w:tcPr>
          <w:p w14:paraId="029BDDC3"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7A5473AF"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32A719" w14:textId="77777777" w:rsidR="002D1CB2" w:rsidRPr="002D1CB2" w:rsidRDefault="002D1CB2" w:rsidP="002D1CB2">
            <w:pPr>
              <w:spacing w:before="0" w:line="240" w:lineRule="auto"/>
              <w:rPr>
                <w:rFonts w:cs="Times New Roman"/>
                <w:szCs w:val="24"/>
              </w:rPr>
            </w:pPr>
            <w:r w:rsidRPr="002D1CB2">
              <w:rPr>
                <w:rFonts w:cs="Times New Roman"/>
                <w:b/>
                <w:bCs/>
                <w:szCs w:val="24"/>
              </w:rPr>
              <w:t>Q9. Supports compliance with regulations</w:t>
            </w:r>
          </w:p>
        </w:tc>
        <w:tc>
          <w:tcPr>
            <w:tcW w:w="0" w:type="auto"/>
            <w:hideMark/>
          </w:tcPr>
          <w:p w14:paraId="734148CA"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2A925E00"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28 (23.3%)</w:t>
            </w:r>
          </w:p>
        </w:tc>
        <w:tc>
          <w:tcPr>
            <w:tcW w:w="0" w:type="auto"/>
            <w:hideMark/>
          </w:tcPr>
          <w:p w14:paraId="4C2D0023"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27 (22.5%)</w:t>
            </w:r>
          </w:p>
        </w:tc>
        <w:tc>
          <w:tcPr>
            <w:tcW w:w="0" w:type="auto"/>
            <w:hideMark/>
          </w:tcPr>
          <w:p w14:paraId="756B2C42"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37 (30.8%)</w:t>
            </w:r>
          </w:p>
        </w:tc>
        <w:tc>
          <w:tcPr>
            <w:tcW w:w="0" w:type="auto"/>
            <w:hideMark/>
          </w:tcPr>
          <w:p w14:paraId="2B8DCF3F" w14:textId="77777777" w:rsidR="002D1CB2" w:rsidRPr="002D1CB2" w:rsidRDefault="002D1CB2" w:rsidP="002D1CB2">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2D1CB2">
              <w:rPr>
                <w:rFonts w:cs="Times New Roman"/>
                <w:szCs w:val="24"/>
              </w:rPr>
              <w:t>120</w:t>
            </w:r>
          </w:p>
        </w:tc>
      </w:tr>
      <w:tr w:rsidR="002D1CB2" w:rsidRPr="002D1CB2" w14:paraId="590F0072" w14:textId="77777777" w:rsidTr="002D1CB2">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14E6EB93" w14:textId="77777777" w:rsidR="002D1CB2" w:rsidRPr="002D1CB2" w:rsidRDefault="002D1CB2" w:rsidP="002D1CB2">
            <w:pPr>
              <w:spacing w:before="0" w:line="240" w:lineRule="auto"/>
              <w:rPr>
                <w:rFonts w:cs="Times New Roman"/>
                <w:szCs w:val="24"/>
              </w:rPr>
            </w:pPr>
            <w:r w:rsidRPr="002D1CB2">
              <w:rPr>
                <w:rFonts w:cs="Times New Roman"/>
                <w:b/>
                <w:bCs/>
                <w:szCs w:val="24"/>
              </w:rPr>
              <w:t>Q10. Reliable disaster recovery</w:t>
            </w:r>
          </w:p>
        </w:tc>
        <w:tc>
          <w:tcPr>
            <w:tcW w:w="0" w:type="auto"/>
            <w:tcBorders>
              <w:bottom w:val="single" w:sz="4" w:space="0" w:color="auto"/>
            </w:tcBorders>
            <w:hideMark/>
          </w:tcPr>
          <w:p w14:paraId="79E82890"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38 (31.7%)</w:t>
            </w:r>
          </w:p>
        </w:tc>
        <w:tc>
          <w:tcPr>
            <w:tcW w:w="0" w:type="auto"/>
            <w:tcBorders>
              <w:bottom w:val="single" w:sz="4" w:space="0" w:color="auto"/>
            </w:tcBorders>
            <w:hideMark/>
          </w:tcPr>
          <w:p w14:paraId="5A690510"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26 (21.7%)</w:t>
            </w:r>
          </w:p>
        </w:tc>
        <w:tc>
          <w:tcPr>
            <w:tcW w:w="0" w:type="auto"/>
            <w:tcBorders>
              <w:bottom w:val="single" w:sz="4" w:space="0" w:color="auto"/>
            </w:tcBorders>
            <w:hideMark/>
          </w:tcPr>
          <w:p w14:paraId="09F40E42"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tcBorders>
              <w:bottom w:val="single" w:sz="4" w:space="0" w:color="auto"/>
            </w:tcBorders>
            <w:hideMark/>
          </w:tcPr>
          <w:p w14:paraId="72D3AC7A"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28 (23.3%)</w:t>
            </w:r>
          </w:p>
        </w:tc>
        <w:tc>
          <w:tcPr>
            <w:tcW w:w="0" w:type="auto"/>
            <w:tcBorders>
              <w:bottom w:val="single" w:sz="4" w:space="0" w:color="auto"/>
            </w:tcBorders>
            <w:hideMark/>
          </w:tcPr>
          <w:p w14:paraId="3D8CAE7F" w14:textId="77777777" w:rsidR="002D1CB2" w:rsidRPr="002D1CB2" w:rsidRDefault="002D1CB2" w:rsidP="002D1CB2">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2D1CB2">
              <w:rPr>
                <w:rFonts w:cs="Times New Roman"/>
                <w:szCs w:val="24"/>
              </w:rPr>
              <w:t>120</w:t>
            </w:r>
          </w:p>
        </w:tc>
      </w:tr>
    </w:tbl>
    <w:p w14:paraId="0DB2E3DE" w14:textId="260B8E10" w:rsidR="00FC4A1C" w:rsidRDefault="00FC4A1C" w:rsidP="00FC4A1C">
      <w:pPr>
        <w:rPr>
          <w:b/>
          <w:bCs/>
        </w:rPr>
      </w:pPr>
      <w:bookmarkStart w:id="3" w:name="_Toc196322105"/>
      <w:r>
        <w:rPr>
          <w:b/>
          <w:bCs/>
        </w:rPr>
        <w:t xml:space="preserve">4.13 </w:t>
      </w:r>
      <w:r w:rsidRPr="00FC4A1C">
        <w:rPr>
          <w:b/>
          <w:bCs/>
        </w:rPr>
        <w:t>Blockchain Technology and Financial Efficiency</w:t>
      </w:r>
      <w:bookmarkEnd w:id="3"/>
    </w:p>
    <w:p w14:paraId="16AB77B1" w14:textId="4A7C2176" w:rsidR="00FC4A1C" w:rsidRPr="00FC4A1C" w:rsidRDefault="00FC4A1C" w:rsidP="00FC4A1C">
      <w:pPr>
        <w:spacing w:before="0" w:line="240" w:lineRule="auto"/>
        <w:rPr>
          <w:b/>
          <w:bCs/>
        </w:rPr>
      </w:pPr>
      <w:r w:rsidRPr="00FC4A1C">
        <w:t>The survey reveals mixed perceptions about blockchain’s impact on financial efficiency. Respondents view scalability and transparency positively, with 55.0% and 55.8% respectively agreeing that blockchain enhances these aspects in financial operations. This indicates recognition of its ability to manage large-scale activities and provide transaction visibility, especially in donor-funded and regulated environments. However, views on blockchain’s role in improving financial security and streamlining donor funding are less favorable, with only 45.8% and 43.3% in agreement, and significant disagreement noted. Responses on reducing transaction costs, enabling secure data exchange, and enhancing transaction tracking were nearly evenly split, suggesting user uncertainty or mixed experiences with implementation. Donor trust emerged as the most divided aspect, reflecting inconsistent perceptions likely shaped by organizational context or limited blockchain exposure. Overall, the findings highlight both optimism and skepticism, revealing a need for more evidence and clarity on blockchain’s practical benefits in financial management</w:t>
      </w:r>
      <w:r w:rsidRPr="00FC4A1C">
        <w:rPr>
          <w:b/>
          <w:bCs/>
        </w:rPr>
        <w:t>.</w:t>
      </w:r>
    </w:p>
    <w:p w14:paraId="65A23DC3" w14:textId="2350B686" w:rsidR="00FC4A1C" w:rsidRPr="00F95B0A" w:rsidRDefault="00FC4A1C" w:rsidP="00FC4A1C">
      <w:pPr>
        <w:rPr>
          <w:b/>
          <w:bCs/>
          <w:szCs w:val="24"/>
        </w:rPr>
      </w:pPr>
      <w:r>
        <w:rPr>
          <w:b/>
          <w:bCs/>
          <w:szCs w:val="24"/>
        </w:rPr>
        <w:t xml:space="preserve">Table 3: </w:t>
      </w:r>
      <w:r w:rsidRPr="00F95B0A">
        <w:rPr>
          <w:b/>
          <w:bCs/>
          <w:szCs w:val="24"/>
        </w:rPr>
        <w:t>Blockchain Technology and Financial Efficiency</w:t>
      </w:r>
    </w:p>
    <w:tbl>
      <w:tblPr>
        <w:tblStyle w:val="PlainTable5"/>
        <w:tblW w:w="0" w:type="auto"/>
        <w:tblLook w:val="04A0" w:firstRow="1" w:lastRow="0" w:firstColumn="1" w:lastColumn="0" w:noHBand="0" w:noVBand="1"/>
      </w:tblPr>
      <w:tblGrid>
        <w:gridCol w:w="4344"/>
        <w:gridCol w:w="836"/>
        <w:gridCol w:w="1703"/>
        <w:gridCol w:w="1096"/>
        <w:gridCol w:w="1997"/>
      </w:tblGrid>
      <w:tr w:rsidR="00FC4A1C" w:rsidRPr="00FC4A1C" w14:paraId="5A96AAE9" w14:textId="77777777" w:rsidTr="00FC4A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tcBorders>
            <w:hideMark/>
          </w:tcPr>
          <w:p w14:paraId="1C284C8A" w14:textId="77777777" w:rsidR="00FC4A1C" w:rsidRPr="00FC4A1C" w:rsidRDefault="00FC4A1C" w:rsidP="00FC4A1C">
            <w:pPr>
              <w:spacing w:before="0" w:line="240" w:lineRule="auto"/>
              <w:rPr>
                <w:rFonts w:cs="Times New Roman"/>
                <w:b/>
                <w:bCs/>
                <w:szCs w:val="24"/>
              </w:rPr>
            </w:pPr>
            <w:r w:rsidRPr="00FC4A1C">
              <w:rPr>
                <w:rFonts w:cs="Times New Roman"/>
                <w:b/>
                <w:bCs/>
                <w:szCs w:val="24"/>
              </w:rPr>
              <w:lastRenderedPageBreak/>
              <w:t>Question</w:t>
            </w:r>
          </w:p>
        </w:tc>
        <w:tc>
          <w:tcPr>
            <w:tcW w:w="0" w:type="auto"/>
            <w:tcBorders>
              <w:top w:val="single" w:sz="4" w:space="0" w:color="auto"/>
            </w:tcBorders>
            <w:hideMark/>
          </w:tcPr>
          <w:p w14:paraId="510D16C9"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Agree</w:t>
            </w:r>
          </w:p>
        </w:tc>
        <w:tc>
          <w:tcPr>
            <w:tcW w:w="0" w:type="auto"/>
            <w:tcBorders>
              <w:top w:val="single" w:sz="4" w:space="0" w:color="auto"/>
            </w:tcBorders>
            <w:hideMark/>
          </w:tcPr>
          <w:p w14:paraId="7E2FEFE3"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Strongly Agree</w:t>
            </w:r>
          </w:p>
        </w:tc>
        <w:tc>
          <w:tcPr>
            <w:tcW w:w="0" w:type="auto"/>
            <w:tcBorders>
              <w:top w:val="single" w:sz="4" w:space="0" w:color="auto"/>
            </w:tcBorders>
            <w:hideMark/>
          </w:tcPr>
          <w:p w14:paraId="1012D3A0"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Disagree</w:t>
            </w:r>
          </w:p>
        </w:tc>
        <w:tc>
          <w:tcPr>
            <w:tcW w:w="0" w:type="auto"/>
            <w:tcBorders>
              <w:top w:val="single" w:sz="4" w:space="0" w:color="auto"/>
            </w:tcBorders>
            <w:hideMark/>
          </w:tcPr>
          <w:p w14:paraId="3D4D53DA" w14:textId="77777777" w:rsidR="00FC4A1C" w:rsidRPr="00FC4A1C" w:rsidRDefault="00FC4A1C" w:rsidP="00FC4A1C">
            <w:pPr>
              <w:spacing w:before="0" w:line="240" w:lineRule="auto"/>
              <w:cnfStyle w:val="100000000000" w:firstRow="1" w:lastRow="0" w:firstColumn="0" w:lastColumn="0" w:oddVBand="0" w:evenVBand="0" w:oddHBand="0" w:evenHBand="0" w:firstRowFirstColumn="0" w:firstRowLastColumn="0" w:lastRowFirstColumn="0" w:lastRowLastColumn="0"/>
              <w:rPr>
                <w:rFonts w:cs="Times New Roman"/>
                <w:b/>
                <w:bCs/>
                <w:szCs w:val="24"/>
              </w:rPr>
            </w:pPr>
            <w:r w:rsidRPr="00FC4A1C">
              <w:rPr>
                <w:rFonts w:cs="Times New Roman"/>
                <w:b/>
                <w:bCs/>
                <w:szCs w:val="24"/>
              </w:rPr>
              <w:t>Strongly Disagree</w:t>
            </w:r>
          </w:p>
        </w:tc>
      </w:tr>
      <w:tr w:rsidR="00FC4A1C" w:rsidRPr="00FC4A1C" w14:paraId="46C6E2CF"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2788E1" w14:textId="77777777" w:rsidR="00FC4A1C" w:rsidRPr="00FC4A1C" w:rsidRDefault="00FC4A1C" w:rsidP="00FC4A1C">
            <w:pPr>
              <w:spacing w:before="0" w:line="240" w:lineRule="auto"/>
              <w:rPr>
                <w:rFonts w:cs="Times New Roman"/>
                <w:szCs w:val="24"/>
              </w:rPr>
            </w:pPr>
            <w:r w:rsidRPr="00FC4A1C">
              <w:rPr>
                <w:rFonts w:cs="Times New Roman"/>
                <w:b/>
                <w:bCs/>
                <w:szCs w:val="24"/>
              </w:rPr>
              <w:t>Q1. Improved Financial Security</w:t>
            </w:r>
          </w:p>
        </w:tc>
        <w:tc>
          <w:tcPr>
            <w:tcW w:w="0" w:type="auto"/>
            <w:hideMark/>
          </w:tcPr>
          <w:p w14:paraId="44BB1095"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18.3%</w:t>
            </w:r>
          </w:p>
        </w:tc>
        <w:tc>
          <w:tcPr>
            <w:tcW w:w="0" w:type="auto"/>
            <w:hideMark/>
          </w:tcPr>
          <w:p w14:paraId="5777ECB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2EC1C283"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33.3%</w:t>
            </w:r>
          </w:p>
        </w:tc>
        <w:tc>
          <w:tcPr>
            <w:tcW w:w="0" w:type="auto"/>
            <w:hideMark/>
          </w:tcPr>
          <w:p w14:paraId="5A4FE9BD"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20.8%</w:t>
            </w:r>
          </w:p>
        </w:tc>
      </w:tr>
      <w:tr w:rsidR="00FC4A1C" w:rsidRPr="00FC4A1C" w14:paraId="08681D9D"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56F7EF4C" w14:textId="77777777" w:rsidR="00FC4A1C" w:rsidRPr="00FC4A1C" w:rsidRDefault="00FC4A1C" w:rsidP="00FC4A1C">
            <w:pPr>
              <w:spacing w:before="0" w:line="240" w:lineRule="auto"/>
              <w:rPr>
                <w:rFonts w:cs="Times New Roman"/>
                <w:szCs w:val="24"/>
              </w:rPr>
            </w:pPr>
            <w:r w:rsidRPr="00FC4A1C">
              <w:rPr>
                <w:rFonts w:cs="Times New Roman"/>
                <w:b/>
                <w:bCs/>
                <w:szCs w:val="24"/>
              </w:rPr>
              <w:t>Q2. Streamlining Donor Financing</w:t>
            </w:r>
          </w:p>
        </w:tc>
        <w:tc>
          <w:tcPr>
            <w:tcW w:w="0" w:type="auto"/>
            <w:hideMark/>
          </w:tcPr>
          <w:p w14:paraId="00A4171F"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3217B1F1"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20.8%</w:t>
            </w:r>
          </w:p>
        </w:tc>
        <w:tc>
          <w:tcPr>
            <w:tcW w:w="0" w:type="auto"/>
            <w:hideMark/>
          </w:tcPr>
          <w:p w14:paraId="52122E70"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1E8C536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29.2%</w:t>
            </w:r>
          </w:p>
        </w:tc>
      </w:tr>
      <w:tr w:rsidR="00FC4A1C" w:rsidRPr="00FC4A1C" w14:paraId="636429AD"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44D44C" w14:textId="77777777" w:rsidR="00FC4A1C" w:rsidRPr="00FC4A1C" w:rsidRDefault="00FC4A1C" w:rsidP="00FC4A1C">
            <w:pPr>
              <w:spacing w:before="0" w:line="240" w:lineRule="auto"/>
              <w:rPr>
                <w:rFonts w:cs="Times New Roman"/>
                <w:szCs w:val="24"/>
              </w:rPr>
            </w:pPr>
            <w:r w:rsidRPr="00FC4A1C">
              <w:rPr>
                <w:rFonts w:cs="Times New Roman"/>
                <w:b/>
                <w:bCs/>
                <w:szCs w:val="24"/>
              </w:rPr>
              <w:t>Q3. Reducing Transaction Costs</w:t>
            </w:r>
          </w:p>
        </w:tc>
        <w:tc>
          <w:tcPr>
            <w:tcW w:w="0" w:type="auto"/>
            <w:hideMark/>
          </w:tcPr>
          <w:p w14:paraId="74912D4A"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20.8%</w:t>
            </w:r>
          </w:p>
        </w:tc>
        <w:tc>
          <w:tcPr>
            <w:tcW w:w="0" w:type="auto"/>
            <w:hideMark/>
          </w:tcPr>
          <w:p w14:paraId="00836D3E"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4D0292A7"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28.3%</w:t>
            </w:r>
          </w:p>
        </w:tc>
        <w:tc>
          <w:tcPr>
            <w:tcW w:w="0" w:type="auto"/>
            <w:hideMark/>
          </w:tcPr>
          <w:p w14:paraId="76C0F42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23.3%</w:t>
            </w:r>
          </w:p>
        </w:tc>
      </w:tr>
      <w:tr w:rsidR="00FC4A1C" w:rsidRPr="00FC4A1C" w14:paraId="156E82C9"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149FCF0E" w14:textId="77777777" w:rsidR="00FC4A1C" w:rsidRPr="00FC4A1C" w:rsidRDefault="00FC4A1C" w:rsidP="00FC4A1C">
            <w:pPr>
              <w:spacing w:before="0" w:line="240" w:lineRule="auto"/>
              <w:rPr>
                <w:rFonts w:cs="Times New Roman"/>
                <w:szCs w:val="24"/>
              </w:rPr>
            </w:pPr>
            <w:r w:rsidRPr="00FC4A1C">
              <w:rPr>
                <w:rFonts w:cs="Times New Roman"/>
                <w:b/>
                <w:bCs/>
                <w:szCs w:val="24"/>
              </w:rPr>
              <w:t>Q4. Transparency in Financial Reporting</w:t>
            </w:r>
          </w:p>
        </w:tc>
        <w:tc>
          <w:tcPr>
            <w:tcW w:w="0" w:type="auto"/>
            <w:hideMark/>
          </w:tcPr>
          <w:p w14:paraId="51D71391"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23.3%</w:t>
            </w:r>
          </w:p>
        </w:tc>
        <w:tc>
          <w:tcPr>
            <w:tcW w:w="0" w:type="auto"/>
            <w:hideMark/>
          </w:tcPr>
          <w:p w14:paraId="43168674"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32.5%</w:t>
            </w:r>
          </w:p>
        </w:tc>
        <w:tc>
          <w:tcPr>
            <w:tcW w:w="0" w:type="auto"/>
            <w:hideMark/>
          </w:tcPr>
          <w:p w14:paraId="5230F5BE"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25.8%</w:t>
            </w:r>
          </w:p>
        </w:tc>
        <w:tc>
          <w:tcPr>
            <w:tcW w:w="0" w:type="auto"/>
            <w:hideMark/>
          </w:tcPr>
          <w:p w14:paraId="3B505F8D"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18.3%</w:t>
            </w:r>
          </w:p>
        </w:tc>
      </w:tr>
      <w:tr w:rsidR="00FC4A1C" w:rsidRPr="00FC4A1C" w14:paraId="1275A19E"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9C1556" w14:textId="77777777" w:rsidR="00FC4A1C" w:rsidRPr="00FC4A1C" w:rsidRDefault="00FC4A1C" w:rsidP="00FC4A1C">
            <w:pPr>
              <w:spacing w:before="0" w:line="240" w:lineRule="auto"/>
              <w:rPr>
                <w:rFonts w:cs="Times New Roman"/>
                <w:szCs w:val="24"/>
              </w:rPr>
            </w:pPr>
            <w:r w:rsidRPr="00FC4A1C">
              <w:rPr>
                <w:rFonts w:cs="Times New Roman"/>
                <w:b/>
                <w:bCs/>
                <w:szCs w:val="24"/>
              </w:rPr>
              <w:t>Q5. Enhancing Donor Trust</w:t>
            </w:r>
          </w:p>
        </w:tc>
        <w:tc>
          <w:tcPr>
            <w:tcW w:w="0" w:type="auto"/>
            <w:hideMark/>
          </w:tcPr>
          <w:p w14:paraId="3DEB668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0AC9EEB1"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c>
          <w:tcPr>
            <w:tcW w:w="0" w:type="auto"/>
            <w:hideMark/>
          </w:tcPr>
          <w:p w14:paraId="7FD6AA01"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c>
          <w:tcPr>
            <w:tcW w:w="0" w:type="auto"/>
            <w:hideMark/>
          </w:tcPr>
          <w:p w14:paraId="6944E0E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r>
      <w:tr w:rsidR="00FC4A1C" w:rsidRPr="00FC4A1C" w14:paraId="54B1DA4C"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45C5E2BF" w14:textId="77777777" w:rsidR="00FC4A1C" w:rsidRPr="00FC4A1C" w:rsidRDefault="00FC4A1C" w:rsidP="00FC4A1C">
            <w:pPr>
              <w:spacing w:before="0" w:line="240" w:lineRule="auto"/>
              <w:rPr>
                <w:rFonts w:cs="Times New Roman"/>
                <w:szCs w:val="24"/>
              </w:rPr>
            </w:pPr>
            <w:r w:rsidRPr="00FC4A1C">
              <w:rPr>
                <w:rFonts w:cs="Times New Roman"/>
                <w:b/>
                <w:bCs/>
                <w:szCs w:val="24"/>
              </w:rPr>
              <w:t>Q6. Secure Data Exchange</w:t>
            </w:r>
          </w:p>
        </w:tc>
        <w:tc>
          <w:tcPr>
            <w:tcW w:w="0" w:type="auto"/>
            <w:hideMark/>
          </w:tcPr>
          <w:p w14:paraId="539883A4"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25.8%</w:t>
            </w:r>
          </w:p>
        </w:tc>
        <w:tc>
          <w:tcPr>
            <w:tcW w:w="0" w:type="auto"/>
            <w:hideMark/>
          </w:tcPr>
          <w:p w14:paraId="1CFF04A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7E61EE27"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23.3%</w:t>
            </w:r>
          </w:p>
        </w:tc>
        <w:tc>
          <w:tcPr>
            <w:tcW w:w="0" w:type="auto"/>
            <w:hideMark/>
          </w:tcPr>
          <w:p w14:paraId="0DFA4190"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28.3%</w:t>
            </w:r>
          </w:p>
        </w:tc>
      </w:tr>
      <w:tr w:rsidR="00FC4A1C" w:rsidRPr="00FC4A1C" w14:paraId="0268A680"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107D29" w14:textId="77777777" w:rsidR="00FC4A1C" w:rsidRPr="00FC4A1C" w:rsidRDefault="00FC4A1C" w:rsidP="00FC4A1C">
            <w:pPr>
              <w:spacing w:before="0" w:line="240" w:lineRule="auto"/>
              <w:rPr>
                <w:rFonts w:cs="Times New Roman"/>
                <w:szCs w:val="24"/>
              </w:rPr>
            </w:pPr>
            <w:r w:rsidRPr="00FC4A1C">
              <w:rPr>
                <w:rFonts w:cs="Times New Roman"/>
                <w:b/>
                <w:bCs/>
                <w:szCs w:val="24"/>
              </w:rPr>
              <w:t>Q7. Efficient Transaction Tracking</w:t>
            </w:r>
          </w:p>
        </w:tc>
        <w:tc>
          <w:tcPr>
            <w:tcW w:w="0" w:type="auto"/>
            <w:hideMark/>
          </w:tcPr>
          <w:p w14:paraId="019E68C9"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3526A729"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27.5%</w:t>
            </w:r>
          </w:p>
        </w:tc>
        <w:tc>
          <w:tcPr>
            <w:tcW w:w="0" w:type="auto"/>
            <w:hideMark/>
          </w:tcPr>
          <w:p w14:paraId="26E795F5"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30.8%</w:t>
            </w:r>
          </w:p>
        </w:tc>
        <w:tc>
          <w:tcPr>
            <w:tcW w:w="0" w:type="auto"/>
            <w:hideMark/>
          </w:tcPr>
          <w:p w14:paraId="1D70909D"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21.7%</w:t>
            </w:r>
          </w:p>
        </w:tc>
      </w:tr>
      <w:tr w:rsidR="00FC4A1C" w:rsidRPr="00FC4A1C" w14:paraId="774BCA2F" w14:textId="77777777" w:rsidTr="00C81456">
        <w:tc>
          <w:tcPr>
            <w:cnfStyle w:val="001000000000" w:firstRow="0" w:lastRow="0" w:firstColumn="1" w:lastColumn="0" w:oddVBand="0" w:evenVBand="0" w:oddHBand="0" w:evenHBand="0" w:firstRowFirstColumn="0" w:firstRowLastColumn="0" w:lastRowFirstColumn="0" w:lastRowLastColumn="0"/>
            <w:tcW w:w="0" w:type="auto"/>
            <w:hideMark/>
          </w:tcPr>
          <w:p w14:paraId="03C834F6" w14:textId="77777777" w:rsidR="00FC4A1C" w:rsidRPr="00FC4A1C" w:rsidRDefault="00FC4A1C" w:rsidP="00FC4A1C">
            <w:pPr>
              <w:spacing w:before="0" w:line="240" w:lineRule="auto"/>
              <w:rPr>
                <w:rFonts w:cs="Times New Roman"/>
                <w:szCs w:val="24"/>
              </w:rPr>
            </w:pPr>
            <w:r w:rsidRPr="00FC4A1C">
              <w:rPr>
                <w:rFonts w:cs="Times New Roman"/>
                <w:b/>
                <w:bCs/>
                <w:szCs w:val="24"/>
              </w:rPr>
              <w:t>Q8. Predictability of Financial Outcomes</w:t>
            </w:r>
          </w:p>
        </w:tc>
        <w:tc>
          <w:tcPr>
            <w:tcW w:w="0" w:type="auto"/>
            <w:hideMark/>
          </w:tcPr>
          <w:p w14:paraId="32A482E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21.7%</w:t>
            </w:r>
          </w:p>
        </w:tc>
        <w:tc>
          <w:tcPr>
            <w:tcW w:w="0" w:type="auto"/>
            <w:hideMark/>
          </w:tcPr>
          <w:p w14:paraId="6C3E62E2"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hideMark/>
          </w:tcPr>
          <w:p w14:paraId="30646D4A"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31.7%</w:t>
            </w:r>
          </w:p>
        </w:tc>
        <w:tc>
          <w:tcPr>
            <w:tcW w:w="0" w:type="auto"/>
            <w:hideMark/>
          </w:tcPr>
          <w:p w14:paraId="17C18D05"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24.2%</w:t>
            </w:r>
          </w:p>
        </w:tc>
      </w:tr>
      <w:tr w:rsidR="00FC4A1C" w:rsidRPr="00FC4A1C" w14:paraId="71260083" w14:textId="77777777" w:rsidTr="00C814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987751" w14:textId="77777777" w:rsidR="00FC4A1C" w:rsidRPr="00FC4A1C" w:rsidRDefault="00FC4A1C" w:rsidP="00FC4A1C">
            <w:pPr>
              <w:spacing w:before="0" w:line="240" w:lineRule="auto"/>
              <w:rPr>
                <w:rFonts w:cs="Times New Roman"/>
                <w:szCs w:val="24"/>
              </w:rPr>
            </w:pPr>
            <w:r w:rsidRPr="00FC4A1C">
              <w:rPr>
                <w:rFonts w:cs="Times New Roman"/>
                <w:b/>
                <w:bCs/>
                <w:szCs w:val="24"/>
              </w:rPr>
              <w:t>Q9. Regulatory Compliance</w:t>
            </w:r>
          </w:p>
        </w:tc>
        <w:tc>
          <w:tcPr>
            <w:tcW w:w="0" w:type="auto"/>
            <w:hideMark/>
          </w:tcPr>
          <w:p w14:paraId="41263D36"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24.2%</w:t>
            </w:r>
          </w:p>
        </w:tc>
        <w:tc>
          <w:tcPr>
            <w:tcW w:w="0" w:type="auto"/>
            <w:hideMark/>
          </w:tcPr>
          <w:p w14:paraId="730711D6"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29.2%</w:t>
            </w:r>
          </w:p>
        </w:tc>
        <w:tc>
          <w:tcPr>
            <w:tcW w:w="0" w:type="auto"/>
            <w:hideMark/>
          </w:tcPr>
          <w:p w14:paraId="71443B0C"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20.0%</w:t>
            </w:r>
          </w:p>
        </w:tc>
        <w:tc>
          <w:tcPr>
            <w:tcW w:w="0" w:type="auto"/>
            <w:hideMark/>
          </w:tcPr>
          <w:p w14:paraId="619A2262" w14:textId="77777777" w:rsidR="00FC4A1C" w:rsidRPr="00FC4A1C" w:rsidRDefault="00FC4A1C" w:rsidP="00FC4A1C">
            <w:pPr>
              <w:spacing w:before="0" w:line="240" w:lineRule="auto"/>
              <w:cnfStyle w:val="000000100000" w:firstRow="0" w:lastRow="0" w:firstColumn="0" w:lastColumn="0" w:oddVBand="0" w:evenVBand="0" w:oddHBand="1" w:evenHBand="0" w:firstRowFirstColumn="0" w:firstRowLastColumn="0" w:lastRowFirstColumn="0" w:lastRowLastColumn="0"/>
              <w:rPr>
                <w:rFonts w:cs="Times New Roman"/>
                <w:szCs w:val="24"/>
              </w:rPr>
            </w:pPr>
            <w:r w:rsidRPr="00FC4A1C">
              <w:rPr>
                <w:rFonts w:cs="Times New Roman"/>
                <w:szCs w:val="24"/>
              </w:rPr>
              <w:t>26.7%</w:t>
            </w:r>
          </w:p>
        </w:tc>
      </w:tr>
      <w:tr w:rsidR="00FC4A1C" w:rsidRPr="00FC4A1C" w14:paraId="4FBBF8F3" w14:textId="77777777" w:rsidTr="00FC4A1C">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hideMark/>
          </w:tcPr>
          <w:p w14:paraId="59EE858B" w14:textId="77777777" w:rsidR="00FC4A1C" w:rsidRPr="00FC4A1C" w:rsidRDefault="00FC4A1C" w:rsidP="00FC4A1C">
            <w:pPr>
              <w:spacing w:before="0" w:line="240" w:lineRule="auto"/>
              <w:rPr>
                <w:rFonts w:cs="Times New Roman"/>
                <w:szCs w:val="24"/>
              </w:rPr>
            </w:pPr>
            <w:r w:rsidRPr="00FC4A1C">
              <w:rPr>
                <w:rFonts w:cs="Times New Roman"/>
                <w:b/>
                <w:bCs/>
                <w:szCs w:val="24"/>
              </w:rPr>
              <w:t>Q10. Scalability for Financial Operations</w:t>
            </w:r>
          </w:p>
        </w:tc>
        <w:tc>
          <w:tcPr>
            <w:tcW w:w="0" w:type="auto"/>
            <w:tcBorders>
              <w:bottom w:val="single" w:sz="4" w:space="0" w:color="auto"/>
            </w:tcBorders>
            <w:hideMark/>
          </w:tcPr>
          <w:p w14:paraId="2E860B53"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32.5%</w:t>
            </w:r>
          </w:p>
        </w:tc>
        <w:tc>
          <w:tcPr>
            <w:tcW w:w="0" w:type="auto"/>
            <w:tcBorders>
              <w:bottom w:val="single" w:sz="4" w:space="0" w:color="auto"/>
            </w:tcBorders>
            <w:hideMark/>
          </w:tcPr>
          <w:p w14:paraId="676D4338"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22.5%</w:t>
            </w:r>
          </w:p>
        </w:tc>
        <w:tc>
          <w:tcPr>
            <w:tcW w:w="0" w:type="auto"/>
            <w:tcBorders>
              <w:bottom w:val="single" w:sz="4" w:space="0" w:color="auto"/>
            </w:tcBorders>
            <w:hideMark/>
          </w:tcPr>
          <w:p w14:paraId="65B8B3E7"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25.0%</w:t>
            </w:r>
          </w:p>
        </w:tc>
        <w:tc>
          <w:tcPr>
            <w:tcW w:w="0" w:type="auto"/>
            <w:tcBorders>
              <w:bottom w:val="single" w:sz="4" w:space="0" w:color="auto"/>
            </w:tcBorders>
            <w:hideMark/>
          </w:tcPr>
          <w:p w14:paraId="79DA88B8" w14:textId="77777777" w:rsidR="00FC4A1C" w:rsidRPr="00FC4A1C" w:rsidRDefault="00FC4A1C" w:rsidP="00FC4A1C">
            <w:pPr>
              <w:spacing w:before="0" w:line="240" w:lineRule="auto"/>
              <w:cnfStyle w:val="000000000000" w:firstRow="0" w:lastRow="0" w:firstColumn="0" w:lastColumn="0" w:oddVBand="0" w:evenVBand="0" w:oddHBand="0" w:evenHBand="0" w:firstRowFirstColumn="0" w:firstRowLastColumn="0" w:lastRowFirstColumn="0" w:lastRowLastColumn="0"/>
              <w:rPr>
                <w:rFonts w:cs="Times New Roman"/>
                <w:szCs w:val="24"/>
              </w:rPr>
            </w:pPr>
            <w:r w:rsidRPr="00FC4A1C">
              <w:rPr>
                <w:rFonts w:cs="Times New Roman"/>
                <w:szCs w:val="24"/>
              </w:rPr>
              <w:t>20.0%</w:t>
            </w:r>
          </w:p>
        </w:tc>
      </w:tr>
    </w:tbl>
    <w:p w14:paraId="380459C9" w14:textId="77777777" w:rsidR="002D1CB2" w:rsidRDefault="002D1CB2" w:rsidP="002D1CB2">
      <w:pPr>
        <w:spacing w:line="240" w:lineRule="auto"/>
      </w:pPr>
    </w:p>
    <w:p w14:paraId="6DEEB1CE" w14:textId="3B60412E" w:rsidR="00FC4A1C" w:rsidRDefault="00FC4A1C" w:rsidP="00FC4A1C">
      <w:pPr>
        <w:spacing w:line="240" w:lineRule="auto"/>
      </w:pPr>
      <w:r w:rsidRPr="00F95B0A">
        <w:rPr>
          <w:b/>
          <w:bCs/>
          <w:szCs w:val="24"/>
        </w:rPr>
        <w:t>Figure1</w:t>
      </w:r>
      <w:r>
        <w:rPr>
          <w:b/>
          <w:bCs/>
          <w:szCs w:val="24"/>
        </w:rPr>
        <w:t xml:space="preserve">: </w:t>
      </w:r>
      <w:r w:rsidRPr="00FC4A1C">
        <w:t xml:space="preserve">Graphical representation of average perception of staff on ERP, cloud-based accounting and Blockchain technology </w:t>
      </w:r>
    </w:p>
    <w:p w14:paraId="6440471F" w14:textId="79280B98" w:rsidR="00FC4A1C" w:rsidRPr="002D1CB2" w:rsidRDefault="00FC4A1C" w:rsidP="00FC4A1C">
      <w:pPr>
        <w:spacing w:line="240" w:lineRule="auto"/>
        <w:jc w:val="center"/>
      </w:pPr>
      <w:r w:rsidRPr="00F95B0A">
        <w:rPr>
          <w:noProof/>
          <w:szCs w:val="24"/>
        </w:rPr>
        <w:drawing>
          <wp:inline distT="0" distB="0" distL="0" distR="0" wp14:anchorId="7FD6066C" wp14:editId="7FE34D73">
            <wp:extent cx="4829175" cy="3819525"/>
            <wp:effectExtent l="0" t="0" r="9525" b="9525"/>
            <wp:docPr id="2059287433" name="Chart 1">
              <a:extLst xmlns:a="http://schemas.openxmlformats.org/drawingml/2006/main">
                <a:ext uri="{FF2B5EF4-FFF2-40B4-BE49-F238E27FC236}">
                  <a16:creationId xmlns:a16="http://schemas.microsoft.com/office/drawing/2014/main" id="{44823D88-35C3-7F8D-4537-8A6770D5DEF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bookmarkEnd w:id="2"/>
    <w:p w14:paraId="42C90784" w14:textId="77777777" w:rsidR="00FC4A1C" w:rsidRDefault="00FC4A1C">
      <w:pPr>
        <w:spacing w:before="0" w:after="160" w:line="259" w:lineRule="auto"/>
        <w:jc w:val="left"/>
        <w:rPr>
          <w:b/>
          <w:bCs/>
          <w:szCs w:val="24"/>
        </w:rPr>
      </w:pPr>
      <w:r>
        <w:rPr>
          <w:b/>
          <w:bCs/>
          <w:szCs w:val="24"/>
        </w:rPr>
        <w:br w:type="page"/>
      </w:r>
    </w:p>
    <w:p w14:paraId="0EAA2FBE" w14:textId="216BE1FA" w:rsidR="00FC4A1C" w:rsidRPr="00F95B0A" w:rsidRDefault="00FC4A1C" w:rsidP="00FC4A1C">
      <w:pPr>
        <w:spacing w:before="0" w:line="240" w:lineRule="auto"/>
        <w:rPr>
          <w:b/>
          <w:bCs/>
          <w:szCs w:val="24"/>
        </w:rPr>
      </w:pPr>
      <w:r w:rsidRPr="00F95B0A">
        <w:rPr>
          <w:b/>
          <w:bCs/>
          <w:szCs w:val="24"/>
        </w:rPr>
        <w:lastRenderedPageBreak/>
        <w:t xml:space="preserve">Figure 2 </w:t>
      </w:r>
      <w:r w:rsidRPr="00FC4A1C">
        <w:t>Summarized graphical representation of average perception of staff on ERP, cloud-based accounting and Blockchain technology</w:t>
      </w:r>
    </w:p>
    <w:p w14:paraId="31F63B87" w14:textId="77777777" w:rsidR="00FC4A1C" w:rsidRPr="00F95B0A" w:rsidRDefault="00FC4A1C" w:rsidP="00FC4A1C">
      <w:pPr>
        <w:jc w:val="center"/>
        <w:rPr>
          <w:szCs w:val="24"/>
        </w:rPr>
      </w:pPr>
      <w:r w:rsidRPr="00F95B0A">
        <w:rPr>
          <w:noProof/>
          <w:szCs w:val="24"/>
        </w:rPr>
        <w:drawing>
          <wp:inline distT="0" distB="0" distL="0" distR="0" wp14:anchorId="4E568A07" wp14:editId="68F9FC2B">
            <wp:extent cx="4572000" cy="2743200"/>
            <wp:effectExtent l="0" t="0" r="0" b="0"/>
            <wp:docPr id="1672215839" name="Chart 1">
              <a:extLst xmlns:a="http://schemas.openxmlformats.org/drawingml/2006/main">
                <a:ext uri="{FF2B5EF4-FFF2-40B4-BE49-F238E27FC236}">
                  <a16:creationId xmlns:a16="http://schemas.microsoft.com/office/drawing/2014/main" id="{9C4F6785-5662-AE61-BBE4-EDDD4A8B752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7BE4B35" w14:textId="09C6E291"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t xml:space="preserve">4.2 </w:t>
      </w:r>
      <w:r w:rsidRPr="006320B7">
        <w:rPr>
          <w:rFonts w:eastAsia="Times New Roman" w:cs="Times New Roman"/>
          <w:b/>
          <w:bCs/>
          <w:sz w:val="27"/>
          <w:szCs w:val="27"/>
          <w:highlight w:val="green"/>
        </w:rPr>
        <w:t>Correlation Analysis</w:t>
      </w:r>
    </w:p>
    <w:p w14:paraId="5A5828D0" w14:textId="7C8EE514"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The relationships between technological financial systems</w:t>
      </w:r>
      <w:r w:rsidR="00897A35">
        <w:rPr>
          <w:rFonts w:eastAsia="Times New Roman" w:cs="Times New Roman"/>
          <w:szCs w:val="24"/>
          <w:highlight w:val="green"/>
        </w:rPr>
        <w:t xml:space="preserve"> </w:t>
      </w:r>
      <w:r w:rsidRPr="006320B7">
        <w:rPr>
          <w:rFonts w:eastAsia="Times New Roman" w:cs="Times New Roman"/>
          <w:szCs w:val="24"/>
          <w:highlight w:val="green"/>
        </w:rPr>
        <w:t>ERP systems (e.g., Sun System, Provision), cloud-based accounting software, and blockchain technology</w:t>
      </w:r>
      <w:r w:rsidR="00897A35">
        <w:rPr>
          <w:rFonts w:eastAsia="Times New Roman" w:cs="Times New Roman"/>
          <w:szCs w:val="24"/>
          <w:highlight w:val="green"/>
        </w:rPr>
        <w:t xml:space="preserve"> </w:t>
      </w:r>
      <w:r w:rsidRPr="006320B7">
        <w:rPr>
          <w:rFonts w:eastAsia="Times New Roman" w:cs="Times New Roman"/>
          <w:szCs w:val="24"/>
          <w:highlight w:val="green"/>
        </w:rPr>
        <w:t>and financial efficiency in humanitarian organizations were analyzed using Pearson correlation analysis.</w:t>
      </w:r>
    </w:p>
    <w:p w14:paraId="4E713DE3" w14:textId="77777777" w:rsidR="007F3E5B" w:rsidRPr="006320B7" w:rsidRDefault="007F3E5B" w:rsidP="007F3E5B">
      <w:pPr>
        <w:spacing w:before="0" w:line="240" w:lineRule="auto"/>
        <w:rPr>
          <w:rFonts w:eastAsia="Times New Roman" w:cs="Times New Roman"/>
          <w:szCs w:val="24"/>
          <w:highlight w:val="green"/>
        </w:rPr>
      </w:pPr>
    </w:p>
    <w:p w14:paraId="03229772" w14:textId="6E677D31"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4: Correlation Matrix</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85"/>
        <w:gridCol w:w="2089"/>
        <w:gridCol w:w="1418"/>
        <w:gridCol w:w="2590"/>
        <w:gridCol w:w="2448"/>
      </w:tblGrid>
      <w:tr w:rsidR="007F3E5B" w:rsidRPr="006320B7" w14:paraId="78FA4A3F" w14:textId="77777777" w:rsidTr="007F3E5B">
        <w:trPr>
          <w:tblHeader/>
          <w:tblCellSpacing w:w="15" w:type="dxa"/>
        </w:trPr>
        <w:tc>
          <w:tcPr>
            <w:tcW w:w="0" w:type="auto"/>
            <w:tcBorders>
              <w:top w:val="single" w:sz="4" w:space="0" w:color="auto"/>
              <w:bottom w:val="single" w:sz="4" w:space="0" w:color="auto"/>
            </w:tcBorders>
            <w:hideMark/>
          </w:tcPr>
          <w:p w14:paraId="6118A8C2"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Variable</w:t>
            </w:r>
          </w:p>
        </w:tc>
        <w:tc>
          <w:tcPr>
            <w:tcW w:w="0" w:type="auto"/>
            <w:tcBorders>
              <w:top w:val="single" w:sz="4" w:space="0" w:color="auto"/>
              <w:bottom w:val="single" w:sz="4" w:space="0" w:color="auto"/>
            </w:tcBorders>
            <w:hideMark/>
          </w:tcPr>
          <w:p w14:paraId="0A0F0B1A"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Financial Efficiency</w:t>
            </w:r>
          </w:p>
        </w:tc>
        <w:tc>
          <w:tcPr>
            <w:tcW w:w="0" w:type="auto"/>
            <w:tcBorders>
              <w:top w:val="single" w:sz="4" w:space="0" w:color="auto"/>
              <w:bottom w:val="single" w:sz="4" w:space="0" w:color="auto"/>
            </w:tcBorders>
            <w:hideMark/>
          </w:tcPr>
          <w:p w14:paraId="7E2988C8"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ERP Systems</w:t>
            </w:r>
          </w:p>
        </w:tc>
        <w:tc>
          <w:tcPr>
            <w:tcW w:w="0" w:type="auto"/>
            <w:tcBorders>
              <w:top w:val="single" w:sz="4" w:space="0" w:color="auto"/>
              <w:bottom w:val="single" w:sz="4" w:space="0" w:color="auto"/>
            </w:tcBorders>
            <w:hideMark/>
          </w:tcPr>
          <w:p w14:paraId="1A716488"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Cloud-Based Accounting</w:t>
            </w:r>
          </w:p>
        </w:tc>
        <w:tc>
          <w:tcPr>
            <w:tcW w:w="0" w:type="auto"/>
            <w:tcBorders>
              <w:top w:val="single" w:sz="4" w:space="0" w:color="auto"/>
              <w:bottom w:val="single" w:sz="4" w:space="0" w:color="auto"/>
            </w:tcBorders>
            <w:hideMark/>
          </w:tcPr>
          <w:p w14:paraId="0B2A8343"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Blockchain Technology</w:t>
            </w:r>
          </w:p>
        </w:tc>
      </w:tr>
      <w:tr w:rsidR="007F3E5B" w:rsidRPr="006320B7" w14:paraId="39F72266" w14:textId="77777777" w:rsidTr="007F3E5B">
        <w:trPr>
          <w:tblCellSpacing w:w="15" w:type="dxa"/>
        </w:trPr>
        <w:tc>
          <w:tcPr>
            <w:tcW w:w="0" w:type="auto"/>
            <w:hideMark/>
          </w:tcPr>
          <w:p w14:paraId="34FF59D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Financial Efficiency</w:t>
            </w:r>
          </w:p>
        </w:tc>
        <w:tc>
          <w:tcPr>
            <w:tcW w:w="0" w:type="auto"/>
            <w:hideMark/>
          </w:tcPr>
          <w:p w14:paraId="43261F77" w14:textId="14082053"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1.000</w:t>
            </w:r>
          </w:p>
        </w:tc>
        <w:tc>
          <w:tcPr>
            <w:tcW w:w="0" w:type="auto"/>
            <w:hideMark/>
          </w:tcPr>
          <w:p w14:paraId="2891DEF7"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0.8247*</w:t>
            </w:r>
          </w:p>
        </w:tc>
        <w:tc>
          <w:tcPr>
            <w:tcW w:w="0" w:type="auto"/>
            <w:hideMark/>
          </w:tcPr>
          <w:p w14:paraId="7F236F2F"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0.7153*</w:t>
            </w:r>
          </w:p>
        </w:tc>
        <w:tc>
          <w:tcPr>
            <w:tcW w:w="0" w:type="auto"/>
            <w:hideMark/>
          </w:tcPr>
          <w:p w14:paraId="0D6D6CE4"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0.6892*</w:t>
            </w:r>
          </w:p>
        </w:tc>
      </w:tr>
      <w:tr w:rsidR="007F3E5B" w:rsidRPr="006320B7" w14:paraId="599B0AB1" w14:textId="77777777" w:rsidTr="007F3E5B">
        <w:trPr>
          <w:tblCellSpacing w:w="15" w:type="dxa"/>
        </w:trPr>
        <w:tc>
          <w:tcPr>
            <w:tcW w:w="0" w:type="auto"/>
            <w:hideMark/>
          </w:tcPr>
          <w:p w14:paraId="58EF660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ERP Systems</w:t>
            </w:r>
          </w:p>
        </w:tc>
        <w:tc>
          <w:tcPr>
            <w:tcW w:w="0" w:type="auto"/>
            <w:hideMark/>
          </w:tcPr>
          <w:p w14:paraId="732A764E"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0.8247*</w:t>
            </w:r>
          </w:p>
        </w:tc>
        <w:tc>
          <w:tcPr>
            <w:tcW w:w="0" w:type="auto"/>
            <w:hideMark/>
          </w:tcPr>
          <w:p w14:paraId="3F098506"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1.000</w:t>
            </w:r>
          </w:p>
        </w:tc>
        <w:tc>
          <w:tcPr>
            <w:tcW w:w="0" w:type="auto"/>
            <w:hideMark/>
          </w:tcPr>
          <w:p w14:paraId="6B41063A"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0.7864*</w:t>
            </w:r>
          </w:p>
        </w:tc>
        <w:tc>
          <w:tcPr>
            <w:tcW w:w="0" w:type="auto"/>
            <w:hideMark/>
          </w:tcPr>
          <w:p w14:paraId="3898D11D"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0.7521*</w:t>
            </w:r>
          </w:p>
        </w:tc>
      </w:tr>
      <w:tr w:rsidR="007F3E5B" w:rsidRPr="006320B7" w14:paraId="0FF7EDFE" w14:textId="77777777" w:rsidTr="007F3E5B">
        <w:trPr>
          <w:tblCellSpacing w:w="15" w:type="dxa"/>
        </w:trPr>
        <w:tc>
          <w:tcPr>
            <w:tcW w:w="0" w:type="auto"/>
            <w:hideMark/>
          </w:tcPr>
          <w:p w14:paraId="2BF61B3E"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Cloud-Based Accounting</w:t>
            </w:r>
          </w:p>
        </w:tc>
        <w:tc>
          <w:tcPr>
            <w:tcW w:w="0" w:type="auto"/>
            <w:hideMark/>
          </w:tcPr>
          <w:p w14:paraId="1B7FE56E"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0.7153*</w:t>
            </w:r>
          </w:p>
        </w:tc>
        <w:tc>
          <w:tcPr>
            <w:tcW w:w="0" w:type="auto"/>
            <w:hideMark/>
          </w:tcPr>
          <w:p w14:paraId="14916084"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0.7864*</w:t>
            </w:r>
          </w:p>
        </w:tc>
        <w:tc>
          <w:tcPr>
            <w:tcW w:w="0" w:type="auto"/>
            <w:hideMark/>
          </w:tcPr>
          <w:p w14:paraId="28305A3B"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1.000</w:t>
            </w:r>
          </w:p>
        </w:tc>
        <w:tc>
          <w:tcPr>
            <w:tcW w:w="0" w:type="auto"/>
            <w:hideMark/>
          </w:tcPr>
          <w:p w14:paraId="62025EB3"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0.6938*</w:t>
            </w:r>
          </w:p>
        </w:tc>
      </w:tr>
      <w:tr w:rsidR="007F3E5B" w:rsidRPr="006320B7" w14:paraId="73958B9E" w14:textId="77777777" w:rsidTr="007F3E5B">
        <w:trPr>
          <w:tblCellSpacing w:w="15" w:type="dxa"/>
        </w:trPr>
        <w:tc>
          <w:tcPr>
            <w:tcW w:w="0" w:type="auto"/>
            <w:tcBorders>
              <w:bottom w:val="single" w:sz="4" w:space="0" w:color="auto"/>
            </w:tcBorders>
            <w:hideMark/>
          </w:tcPr>
          <w:p w14:paraId="3571F181"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Blockchain Technology</w:t>
            </w:r>
          </w:p>
        </w:tc>
        <w:tc>
          <w:tcPr>
            <w:tcW w:w="0" w:type="auto"/>
            <w:tcBorders>
              <w:bottom w:val="single" w:sz="4" w:space="0" w:color="auto"/>
            </w:tcBorders>
            <w:hideMark/>
          </w:tcPr>
          <w:p w14:paraId="6F4ABF99"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0.6892*</w:t>
            </w:r>
          </w:p>
        </w:tc>
        <w:tc>
          <w:tcPr>
            <w:tcW w:w="0" w:type="auto"/>
            <w:tcBorders>
              <w:bottom w:val="single" w:sz="4" w:space="0" w:color="auto"/>
            </w:tcBorders>
            <w:hideMark/>
          </w:tcPr>
          <w:p w14:paraId="21A53357"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0.7521*</w:t>
            </w:r>
          </w:p>
        </w:tc>
        <w:tc>
          <w:tcPr>
            <w:tcW w:w="0" w:type="auto"/>
            <w:tcBorders>
              <w:bottom w:val="single" w:sz="4" w:space="0" w:color="auto"/>
            </w:tcBorders>
            <w:hideMark/>
          </w:tcPr>
          <w:p w14:paraId="59AF53AA"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0.6938*</w:t>
            </w:r>
          </w:p>
        </w:tc>
        <w:tc>
          <w:tcPr>
            <w:tcW w:w="0" w:type="auto"/>
            <w:tcBorders>
              <w:bottom w:val="single" w:sz="4" w:space="0" w:color="auto"/>
            </w:tcBorders>
            <w:hideMark/>
          </w:tcPr>
          <w:p w14:paraId="36299067" w14:textId="77777777" w:rsidR="007F3E5B" w:rsidRPr="006320B7" w:rsidRDefault="007F3E5B" w:rsidP="00724261">
            <w:pPr>
              <w:spacing w:before="0" w:line="240" w:lineRule="auto"/>
              <w:jc w:val="center"/>
              <w:rPr>
                <w:rFonts w:eastAsia="Times New Roman" w:cs="Times New Roman"/>
                <w:szCs w:val="24"/>
                <w:highlight w:val="green"/>
              </w:rPr>
            </w:pPr>
            <w:r w:rsidRPr="006320B7">
              <w:rPr>
                <w:rFonts w:eastAsia="Times New Roman" w:cs="Times New Roman"/>
                <w:szCs w:val="24"/>
                <w:highlight w:val="green"/>
              </w:rPr>
              <w:t>1.000</w:t>
            </w:r>
          </w:p>
        </w:tc>
      </w:tr>
    </w:tbl>
    <w:p w14:paraId="4B1A222F" w14:textId="2CD46FF7" w:rsidR="007F3E5B" w:rsidRPr="007F3E5B" w:rsidRDefault="007F3E5B" w:rsidP="007F3E5B">
      <w:pPr>
        <w:spacing w:before="0" w:line="240" w:lineRule="auto"/>
        <w:jc w:val="left"/>
        <w:rPr>
          <w:rFonts w:eastAsia="Times New Roman" w:cs="Times New Roman"/>
          <w:b/>
          <w:szCs w:val="24"/>
          <w:highlight w:val="green"/>
        </w:rPr>
      </w:pPr>
      <w:r w:rsidRPr="006320B7">
        <w:rPr>
          <w:rFonts w:eastAsia="Times New Roman" w:cs="Times New Roman"/>
          <w:szCs w:val="24"/>
          <w:highlight w:val="green"/>
        </w:rPr>
        <w:t>*Correlation significant at the 0.05 level</w:t>
      </w:r>
      <w:r w:rsidRPr="006320B7">
        <w:rPr>
          <w:rFonts w:eastAsia="Times New Roman" w:cs="Times New Roman"/>
          <w:szCs w:val="24"/>
          <w:highlight w:val="green"/>
        </w:rPr>
        <w:br/>
      </w:r>
      <w:r w:rsidRPr="006320B7">
        <w:rPr>
          <w:rFonts w:eastAsia="Times New Roman" w:cs="Times New Roman"/>
          <w:b/>
          <w:szCs w:val="24"/>
          <w:highlight w:val="green"/>
        </w:rPr>
        <w:t>Source: Research Data, 2024</w:t>
      </w:r>
    </w:p>
    <w:p w14:paraId="6CD81871" w14:textId="77777777" w:rsidR="007F3E5B" w:rsidRPr="006320B7" w:rsidRDefault="007F3E5B" w:rsidP="007F3E5B">
      <w:pPr>
        <w:spacing w:before="0" w:line="240" w:lineRule="auto"/>
        <w:jc w:val="left"/>
        <w:rPr>
          <w:rFonts w:eastAsia="Times New Roman" w:cs="Times New Roman"/>
          <w:b/>
          <w:szCs w:val="24"/>
          <w:highlight w:val="green"/>
        </w:rPr>
      </w:pPr>
    </w:p>
    <w:p w14:paraId="449E5398" w14:textId="3E59CCCA" w:rsidR="007F3E5B" w:rsidRPr="007F3E5B" w:rsidRDefault="007F3E5B" w:rsidP="007F3E5B">
      <w:pPr>
        <w:spacing w:before="0" w:line="240" w:lineRule="auto"/>
        <w:rPr>
          <w:rFonts w:eastAsia="Times New Roman" w:cs="Times New Roman"/>
          <w:szCs w:val="24"/>
          <w:highlight w:val="green"/>
        </w:rPr>
      </w:pPr>
      <w:r w:rsidRPr="007F3E5B">
        <w:rPr>
          <w:rFonts w:eastAsia="Times New Roman" w:cs="Times New Roman"/>
          <w:szCs w:val="24"/>
          <w:highlight w:val="green"/>
        </w:rPr>
        <w:t>The analysis in Table 4</w:t>
      </w:r>
      <w:r w:rsidRPr="006320B7">
        <w:rPr>
          <w:rFonts w:eastAsia="Times New Roman" w:cs="Times New Roman"/>
          <w:szCs w:val="24"/>
          <w:highlight w:val="green"/>
        </w:rPr>
        <w:t xml:space="preserve"> shows a strong and statistically significant positive correlation between ERP systems and financial efficiency (r = 0.8247), indicating that efficient ERP implementation enhances financial reporting accuracy, timeliness, and operational control. Cloud-based accounting software also exhibited a substantial positive correlation with financial efficiency (r = 0.7153), reflecting its role in real-time data access, automation of accounting processes, and improved decision-making capacity. Blockchain technology demonstrated a moderate but significant correlation with financial efficiency (r = 0.6892), supporting literature that blockchain enhances transparency, accountability, and fraud prevention in humanitarian finance. Inter-correlations among the three technological systems suggest that integrated adoption could provide synergistic benefits, consistent with findings in recent NGO technology adoption research (e.g., Tapscott &amp; Tapscott, 2016; World Economic Forum, 2023).</w:t>
      </w:r>
    </w:p>
    <w:p w14:paraId="16124078" w14:textId="704A8F08" w:rsidR="007F3E5B" w:rsidRPr="007F3E5B" w:rsidRDefault="007F3E5B" w:rsidP="007F3E5B">
      <w:pPr>
        <w:spacing w:before="0" w:line="240" w:lineRule="auto"/>
        <w:rPr>
          <w:rFonts w:eastAsia="Times New Roman" w:cs="Times New Roman"/>
          <w:szCs w:val="24"/>
          <w:highlight w:val="green"/>
        </w:rPr>
      </w:pPr>
    </w:p>
    <w:p w14:paraId="775E28CE" w14:textId="204759AD" w:rsidR="007F3E5B" w:rsidRPr="007F3E5B" w:rsidRDefault="007F3E5B" w:rsidP="007F3E5B">
      <w:pPr>
        <w:spacing w:before="0" w:line="240" w:lineRule="auto"/>
        <w:rPr>
          <w:rFonts w:eastAsia="Times New Roman" w:cs="Times New Roman"/>
          <w:szCs w:val="24"/>
          <w:highlight w:val="green"/>
        </w:rPr>
      </w:pPr>
    </w:p>
    <w:p w14:paraId="6C480954" w14:textId="5177D082" w:rsidR="007F3E5B" w:rsidRPr="007F3E5B" w:rsidRDefault="007F3E5B" w:rsidP="007F3E5B">
      <w:pPr>
        <w:spacing w:before="0" w:line="240" w:lineRule="auto"/>
        <w:rPr>
          <w:rFonts w:eastAsia="Times New Roman" w:cs="Times New Roman"/>
          <w:szCs w:val="24"/>
          <w:highlight w:val="green"/>
        </w:rPr>
      </w:pPr>
    </w:p>
    <w:p w14:paraId="7C86E73C" w14:textId="77777777" w:rsidR="007F3E5B" w:rsidRPr="006320B7" w:rsidRDefault="007F3E5B" w:rsidP="007F3E5B">
      <w:pPr>
        <w:spacing w:before="0" w:line="240" w:lineRule="auto"/>
        <w:rPr>
          <w:rFonts w:eastAsia="Times New Roman" w:cs="Times New Roman"/>
          <w:szCs w:val="24"/>
          <w:highlight w:val="green"/>
        </w:rPr>
      </w:pPr>
    </w:p>
    <w:p w14:paraId="08F9C4FD" w14:textId="5D452FB0"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lastRenderedPageBreak/>
        <w:t xml:space="preserve">4.3 </w:t>
      </w:r>
      <w:r w:rsidRPr="006320B7">
        <w:rPr>
          <w:rFonts w:eastAsia="Times New Roman" w:cs="Times New Roman"/>
          <w:b/>
          <w:bCs/>
          <w:sz w:val="27"/>
          <w:szCs w:val="27"/>
          <w:highlight w:val="green"/>
        </w:rPr>
        <w:t>Regression Analysis</w:t>
      </w:r>
    </w:p>
    <w:p w14:paraId="7106DE6C" w14:textId="17D4715E"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Multiple regression analysis was used to test the study hypotheses and determine the collective impact of ERP systems, cloud-based accounting software, and blockchain technology on the financial efficiency of humanitarian organizations.</w:t>
      </w:r>
    </w:p>
    <w:p w14:paraId="4C0DE708" w14:textId="77777777" w:rsidR="007F3E5B" w:rsidRPr="006320B7" w:rsidRDefault="007F3E5B" w:rsidP="007F3E5B">
      <w:pPr>
        <w:spacing w:before="0" w:line="240" w:lineRule="auto"/>
        <w:rPr>
          <w:rFonts w:eastAsia="Times New Roman" w:cs="Times New Roman"/>
          <w:szCs w:val="24"/>
          <w:highlight w:val="green"/>
        </w:rPr>
      </w:pPr>
    </w:p>
    <w:p w14:paraId="2F8FBE23" w14:textId="221833E3"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5: Model Summary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735"/>
        <w:gridCol w:w="1027"/>
        <w:gridCol w:w="2021"/>
        <w:gridCol w:w="1142"/>
      </w:tblGrid>
      <w:tr w:rsidR="007F3E5B" w:rsidRPr="006320B7" w14:paraId="142785CB" w14:textId="77777777" w:rsidTr="007F3E5B">
        <w:trPr>
          <w:tblHeader/>
          <w:tblCellSpacing w:w="15" w:type="dxa"/>
        </w:trPr>
        <w:tc>
          <w:tcPr>
            <w:tcW w:w="0" w:type="auto"/>
            <w:tcBorders>
              <w:top w:val="single" w:sz="4" w:space="0" w:color="auto"/>
              <w:bottom w:val="single" w:sz="4" w:space="0" w:color="auto"/>
            </w:tcBorders>
            <w:vAlign w:val="center"/>
            <w:hideMark/>
          </w:tcPr>
          <w:p w14:paraId="387E039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R</w:t>
            </w:r>
          </w:p>
        </w:tc>
        <w:tc>
          <w:tcPr>
            <w:tcW w:w="0" w:type="auto"/>
            <w:tcBorders>
              <w:top w:val="single" w:sz="4" w:space="0" w:color="auto"/>
              <w:bottom w:val="single" w:sz="4" w:space="0" w:color="auto"/>
            </w:tcBorders>
            <w:vAlign w:val="center"/>
            <w:hideMark/>
          </w:tcPr>
          <w:p w14:paraId="555C2DD0"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R Square</w:t>
            </w:r>
          </w:p>
        </w:tc>
        <w:tc>
          <w:tcPr>
            <w:tcW w:w="0" w:type="auto"/>
            <w:tcBorders>
              <w:top w:val="single" w:sz="4" w:space="0" w:color="auto"/>
              <w:bottom w:val="single" w:sz="4" w:space="0" w:color="auto"/>
            </w:tcBorders>
            <w:vAlign w:val="center"/>
            <w:hideMark/>
          </w:tcPr>
          <w:p w14:paraId="4C5677BA"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Adjusted R Square</w:t>
            </w:r>
          </w:p>
        </w:tc>
        <w:tc>
          <w:tcPr>
            <w:tcW w:w="0" w:type="auto"/>
            <w:tcBorders>
              <w:top w:val="single" w:sz="4" w:space="0" w:color="auto"/>
              <w:bottom w:val="single" w:sz="4" w:space="0" w:color="auto"/>
            </w:tcBorders>
            <w:vAlign w:val="center"/>
            <w:hideMark/>
          </w:tcPr>
          <w:p w14:paraId="2C3BFB61"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Std. Error</w:t>
            </w:r>
          </w:p>
        </w:tc>
      </w:tr>
      <w:tr w:rsidR="007F3E5B" w:rsidRPr="006320B7" w14:paraId="115A04DE" w14:textId="77777777" w:rsidTr="007F3E5B">
        <w:trPr>
          <w:tblCellSpacing w:w="15" w:type="dxa"/>
        </w:trPr>
        <w:tc>
          <w:tcPr>
            <w:tcW w:w="0" w:type="auto"/>
            <w:vAlign w:val="center"/>
            <w:hideMark/>
          </w:tcPr>
          <w:p w14:paraId="4B44702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0.8936</w:t>
            </w:r>
          </w:p>
        </w:tc>
        <w:tc>
          <w:tcPr>
            <w:tcW w:w="0" w:type="auto"/>
            <w:vAlign w:val="center"/>
            <w:hideMark/>
          </w:tcPr>
          <w:p w14:paraId="1B8F2C8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0.7985</w:t>
            </w:r>
          </w:p>
        </w:tc>
        <w:tc>
          <w:tcPr>
            <w:tcW w:w="0" w:type="auto"/>
            <w:vAlign w:val="center"/>
            <w:hideMark/>
          </w:tcPr>
          <w:p w14:paraId="5EAB54B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0.7857</w:t>
            </w:r>
          </w:p>
        </w:tc>
        <w:tc>
          <w:tcPr>
            <w:tcW w:w="0" w:type="auto"/>
            <w:vAlign w:val="center"/>
            <w:hideMark/>
          </w:tcPr>
          <w:p w14:paraId="6DDEA482"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0.1283</w:t>
            </w:r>
          </w:p>
        </w:tc>
      </w:tr>
    </w:tbl>
    <w:p w14:paraId="45797304" w14:textId="16279D50" w:rsidR="007F3E5B" w:rsidRPr="007F3E5B" w:rsidRDefault="007F3E5B" w:rsidP="007F3E5B">
      <w:pPr>
        <w:spacing w:before="0" w:line="240" w:lineRule="auto"/>
        <w:rPr>
          <w:rFonts w:eastAsia="Times New Roman" w:cs="Times New Roman"/>
          <w:b/>
          <w:szCs w:val="24"/>
          <w:highlight w:val="green"/>
        </w:rPr>
      </w:pPr>
      <w:r w:rsidRPr="006320B7">
        <w:rPr>
          <w:rFonts w:eastAsia="Times New Roman" w:cs="Times New Roman"/>
          <w:b/>
          <w:szCs w:val="24"/>
          <w:highlight w:val="green"/>
        </w:rPr>
        <w:t>Source: Research Data, 2024</w:t>
      </w:r>
    </w:p>
    <w:p w14:paraId="08CAC0F6" w14:textId="77777777" w:rsidR="007F3E5B" w:rsidRPr="006320B7" w:rsidRDefault="007F3E5B" w:rsidP="007F3E5B">
      <w:pPr>
        <w:spacing w:before="0" w:line="240" w:lineRule="auto"/>
        <w:rPr>
          <w:rFonts w:eastAsia="Times New Roman" w:cs="Times New Roman"/>
          <w:b/>
          <w:szCs w:val="24"/>
          <w:highlight w:val="green"/>
        </w:rPr>
      </w:pPr>
    </w:p>
    <w:p w14:paraId="5F3E4D66" w14:textId="1E6A1D12"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The model shows a strong correlation (R = 0.8936) between the technological systems and financial efficiency, with R² = 0.7985 indicating that approximately 79.85% of the variance in financial efficiency can be explained by the combined effect of ERP systems, cloud-based accounting, and blockchain technology. The adjusted R² (0.7857) confirms a good model fit.</w:t>
      </w:r>
    </w:p>
    <w:p w14:paraId="67EA0843" w14:textId="77777777" w:rsidR="007F3E5B" w:rsidRPr="006320B7" w:rsidRDefault="007F3E5B" w:rsidP="007F3E5B">
      <w:pPr>
        <w:spacing w:before="0" w:line="240" w:lineRule="auto"/>
        <w:rPr>
          <w:rFonts w:eastAsia="Times New Roman" w:cs="Times New Roman"/>
          <w:szCs w:val="24"/>
          <w:highlight w:val="green"/>
        </w:rPr>
      </w:pPr>
    </w:p>
    <w:p w14:paraId="742C1FF0" w14:textId="4BDA52B3"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t xml:space="preserve">4.4 </w:t>
      </w:r>
      <w:r w:rsidRPr="006320B7">
        <w:rPr>
          <w:rFonts w:eastAsia="Times New Roman" w:cs="Times New Roman"/>
          <w:b/>
          <w:bCs/>
          <w:sz w:val="27"/>
          <w:szCs w:val="27"/>
          <w:highlight w:val="green"/>
        </w:rPr>
        <w:t>ANOVA Results</w:t>
      </w:r>
    </w:p>
    <w:p w14:paraId="5BD22AE1" w14:textId="2FCE2DAF"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6: ANOVA</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142"/>
        <w:gridCol w:w="1674"/>
        <w:gridCol w:w="300"/>
        <w:gridCol w:w="1440"/>
        <w:gridCol w:w="840"/>
        <w:gridCol w:w="947"/>
        <w:gridCol w:w="1068"/>
      </w:tblGrid>
      <w:tr w:rsidR="007F3E5B" w:rsidRPr="006320B7" w14:paraId="4ACCE488" w14:textId="77777777" w:rsidTr="007F3E5B">
        <w:trPr>
          <w:tblHeader/>
          <w:tblCellSpacing w:w="15" w:type="dxa"/>
        </w:trPr>
        <w:tc>
          <w:tcPr>
            <w:tcW w:w="0" w:type="auto"/>
            <w:tcBorders>
              <w:top w:val="single" w:sz="4" w:space="0" w:color="auto"/>
              <w:bottom w:val="single" w:sz="4" w:space="0" w:color="auto"/>
            </w:tcBorders>
            <w:hideMark/>
          </w:tcPr>
          <w:p w14:paraId="28C3DAC6"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Source</w:t>
            </w:r>
          </w:p>
        </w:tc>
        <w:tc>
          <w:tcPr>
            <w:tcW w:w="0" w:type="auto"/>
            <w:tcBorders>
              <w:top w:val="single" w:sz="4" w:space="0" w:color="auto"/>
              <w:bottom w:val="single" w:sz="4" w:space="0" w:color="auto"/>
            </w:tcBorders>
            <w:hideMark/>
          </w:tcPr>
          <w:p w14:paraId="7CAC9A0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Sum of Squares</w:t>
            </w:r>
          </w:p>
        </w:tc>
        <w:tc>
          <w:tcPr>
            <w:tcW w:w="0" w:type="auto"/>
            <w:tcBorders>
              <w:top w:val="single" w:sz="4" w:space="0" w:color="auto"/>
              <w:bottom w:val="single" w:sz="4" w:space="0" w:color="auto"/>
            </w:tcBorders>
            <w:hideMark/>
          </w:tcPr>
          <w:p w14:paraId="049DA596" w14:textId="77777777" w:rsidR="007F3E5B" w:rsidRPr="006320B7" w:rsidRDefault="007F3E5B" w:rsidP="007F3E5B">
            <w:pPr>
              <w:spacing w:before="0" w:line="240" w:lineRule="auto"/>
              <w:jc w:val="center"/>
              <w:rPr>
                <w:rFonts w:eastAsia="Times New Roman" w:cs="Times New Roman"/>
                <w:b/>
                <w:bCs/>
                <w:szCs w:val="24"/>
                <w:highlight w:val="green"/>
              </w:rPr>
            </w:pPr>
            <w:proofErr w:type="spellStart"/>
            <w:r w:rsidRPr="006320B7">
              <w:rPr>
                <w:rFonts w:eastAsia="Times New Roman" w:cs="Times New Roman"/>
                <w:b/>
                <w:bCs/>
                <w:szCs w:val="24"/>
                <w:highlight w:val="green"/>
              </w:rPr>
              <w:t>df</w:t>
            </w:r>
            <w:proofErr w:type="spellEnd"/>
          </w:p>
        </w:tc>
        <w:tc>
          <w:tcPr>
            <w:tcW w:w="0" w:type="auto"/>
            <w:tcBorders>
              <w:top w:val="single" w:sz="4" w:space="0" w:color="auto"/>
              <w:bottom w:val="single" w:sz="4" w:space="0" w:color="auto"/>
            </w:tcBorders>
            <w:hideMark/>
          </w:tcPr>
          <w:p w14:paraId="2EE61108"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Mean Square</w:t>
            </w:r>
          </w:p>
        </w:tc>
        <w:tc>
          <w:tcPr>
            <w:tcW w:w="0" w:type="auto"/>
            <w:tcBorders>
              <w:top w:val="single" w:sz="4" w:space="0" w:color="auto"/>
              <w:bottom w:val="single" w:sz="4" w:space="0" w:color="auto"/>
            </w:tcBorders>
            <w:hideMark/>
          </w:tcPr>
          <w:p w14:paraId="4B2839D2"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F</w:t>
            </w:r>
          </w:p>
        </w:tc>
        <w:tc>
          <w:tcPr>
            <w:tcW w:w="0" w:type="auto"/>
            <w:tcBorders>
              <w:top w:val="single" w:sz="4" w:space="0" w:color="auto"/>
              <w:bottom w:val="single" w:sz="4" w:space="0" w:color="auto"/>
            </w:tcBorders>
            <w:hideMark/>
          </w:tcPr>
          <w:p w14:paraId="613F05ED"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P-value</w:t>
            </w:r>
          </w:p>
        </w:tc>
        <w:tc>
          <w:tcPr>
            <w:tcW w:w="0" w:type="auto"/>
            <w:tcBorders>
              <w:top w:val="single" w:sz="4" w:space="0" w:color="auto"/>
              <w:bottom w:val="single" w:sz="4" w:space="0" w:color="auto"/>
            </w:tcBorders>
            <w:hideMark/>
          </w:tcPr>
          <w:p w14:paraId="49D350BB"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F Critical</w:t>
            </w:r>
          </w:p>
        </w:tc>
      </w:tr>
      <w:tr w:rsidR="007F3E5B" w:rsidRPr="006320B7" w14:paraId="672DE843" w14:textId="77777777" w:rsidTr="007F3E5B">
        <w:trPr>
          <w:tblCellSpacing w:w="15" w:type="dxa"/>
        </w:trPr>
        <w:tc>
          <w:tcPr>
            <w:tcW w:w="0" w:type="auto"/>
            <w:hideMark/>
          </w:tcPr>
          <w:p w14:paraId="3168240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Regression</w:t>
            </w:r>
          </w:p>
        </w:tc>
        <w:tc>
          <w:tcPr>
            <w:tcW w:w="0" w:type="auto"/>
            <w:hideMark/>
          </w:tcPr>
          <w:p w14:paraId="0339F1BD"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2.7845</w:t>
            </w:r>
          </w:p>
        </w:tc>
        <w:tc>
          <w:tcPr>
            <w:tcW w:w="0" w:type="auto"/>
            <w:hideMark/>
          </w:tcPr>
          <w:p w14:paraId="60FB9C0D"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3</w:t>
            </w:r>
          </w:p>
        </w:tc>
        <w:tc>
          <w:tcPr>
            <w:tcW w:w="0" w:type="auto"/>
            <w:hideMark/>
          </w:tcPr>
          <w:p w14:paraId="2F9E880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0.9282</w:t>
            </w:r>
          </w:p>
        </w:tc>
        <w:tc>
          <w:tcPr>
            <w:tcW w:w="0" w:type="auto"/>
            <w:hideMark/>
          </w:tcPr>
          <w:p w14:paraId="6FD43A58"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67.4243</w:t>
            </w:r>
          </w:p>
        </w:tc>
        <w:tc>
          <w:tcPr>
            <w:tcW w:w="0" w:type="auto"/>
            <w:hideMark/>
          </w:tcPr>
          <w:p w14:paraId="3BCF33B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1.85E-17</w:t>
            </w:r>
          </w:p>
        </w:tc>
        <w:tc>
          <w:tcPr>
            <w:tcW w:w="0" w:type="auto"/>
            <w:hideMark/>
          </w:tcPr>
          <w:p w14:paraId="16FF9CC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2.7858</w:t>
            </w:r>
          </w:p>
        </w:tc>
      </w:tr>
      <w:tr w:rsidR="007F3E5B" w:rsidRPr="006320B7" w14:paraId="1896B1BA" w14:textId="77777777" w:rsidTr="007F3E5B">
        <w:trPr>
          <w:tblCellSpacing w:w="15" w:type="dxa"/>
        </w:trPr>
        <w:tc>
          <w:tcPr>
            <w:tcW w:w="0" w:type="auto"/>
            <w:hideMark/>
          </w:tcPr>
          <w:p w14:paraId="6734431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Residual</w:t>
            </w:r>
          </w:p>
        </w:tc>
        <w:tc>
          <w:tcPr>
            <w:tcW w:w="0" w:type="auto"/>
            <w:hideMark/>
          </w:tcPr>
          <w:p w14:paraId="5AFF4AC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0.7023</w:t>
            </w:r>
          </w:p>
        </w:tc>
        <w:tc>
          <w:tcPr>
            <w:tcW w:w="0" w:type="auto"/>
            <w:hideMark/>
          </w:tcPr>
          <w:p w14:paraId="0EE5C58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51</w:t>
            </w:r>
          </w:p>
        </w:tc>
        <w:tc>
          <w:tcPr>
            <w:tcW w:w="0" w:type="auto"/>
            <w:hideMark/>
          </w:tcPr>
          <w:p w14:paraId="1FD7E68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0.0138</w:t>
            </w:r>
          </w:p>
        </w:tc>
        <w:tc>
          <w:tcPr>
            <w:tcW w:w="0" w:type="auto"/>
            <w:hideMark/>
          </w:tcPr>
          <w:p w14:paraId="38B4512A" w14:textId="77777777" w:rsidR="007F3E5B" w:rsidRPr="006320B7" w:rsidRDefault="007F3E5B" w:rsidP="007F3E5B">
            <w:pPr>
              <w:spacing w:before="0" w:line="240" w:lineRule="auto"/>
              <w:rPr>
                <w:rFonts w:eastAsia="Times New Roman" w:cs="Times New Roman"/>
                <w:szCs w:val="24"/>
                <w:highlight w:val="green"/>
              </w:rPr>
            </w:pPr>
          </w:p>
        </w:tc>
        <w:tc>
          <w:tcPr>
            <w:tcW w:w="0" w:type="auto"/>
            <w:hideMark/>
          </w:tcPr>
          <w:p w14:paraId="789A9CF5" w14:textId="77777777" w:rsidR="007F3E5B" w:rsidRPr="006320B7" w:rsidRDefault="007F3E5B" w:rsidP="007F3E5B">
            <w:pPr>
              <w:spacing w:before="0" w:line="240" w:lineRule="auto"/>
              <w:rPr>
                <w:rFonts w:eastAsia="Times New Roman" w:cs="Times New Roman"/>
                <w:sz w:val="20"/>
                <w:szCs w:val="20"/>
                <w:highlight w:val="green"/>
              </w:rPr>
            </w:pPr>
          </w:p>
        </w:tc>
        <w:tc>
          <w:tcPr>
            <w:tcW w:w="0" w:type="auto"/>
            <w:hideMark/>
          </w:tcPr>
          <w:p w14:paraId="5E846800" w14:textId="77777777" w:rsidR="007F3E5B" w:rsidRPr="006320B7" w:rsidRDefault="007F3E5B" w:rsidP="007F3E5B">
            <w:pPr>
              <w:spacing w:before="0" w:line="240" w:lineRule="auto"/>
              <w:rPr>
                <w:rFonts w:eastAsia="Times New Roman" w:cs="Times New Roman"/>
                <w:sz w:val="20"/>
                <w:szCs w:val="20"/>
                <w:highlight w:val="green"/>
              </w:rPr>
            </w:pPr>
          </w:p>
        </w:tc>
      </w:tr>
      <w:tr w:rsidR="007F3E5B" w:rsidRPr="006320B7" w14:paraId="770141C7" w14:textId="77777777" w:rsidTr="007F3E5B">
        <w:trPr>
          <w:tblCellSpacing w:w="15" w:type="dxa"/>
        </w:trPr>
        <w:tc>
          <w:tcPr>
            <w:tcW w:w="0" w:type="auto"/>
            <w:hideMark/>
          </w:tcPr>
          <w:p w14:paraId="682CEB5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Total</w:t>
            </w:r>
          </w:p>
        </w:tc>
        <w:tc>
          <w:tcPr>
            <w:tcW w:w="0" w:type="auto"/>
            <w:hideMark/>
          </w:tcPr>
          <w:p w14:paraId="1E4E0A81"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3.4868</w:t>
            </w:r>
          </w:p>
        </w:tc>
        <w:tc>
          <w:tcPr>
            <w:tcW w:w="0" w:type="auto"/>
            <w:hideMark/>
          </w:tcPr>
          <w:p w14:paraId="32F5C7C9"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54</w:t>
            </w:r>
          </w:p>
        </w:tc>
        <w:tc>
          <w:tcPr>
            <w:tcW w:w="0" w:type="auto"/>
            <w:hideMark/>
          </w:tcPr>
          <w:p w14:paraId="19FE4A74" w14:textId="77777777" w:rsidR="007F3E5B" w:rsidRPr="006320B7" w:rsidRDefault="007F3E5B" w:rsidP="007F3E5B">
            <w:pPr>
              <w:spacing w:before="0" w:line="240" w:lineRule="auto"/>
              <w:rPr>
                <w:rFonts w:eastAsia="Times New Roman" w:cs="Times New Roman"/>
                <w:szCs w:val="24"/>
                <w:highlight w:val="green"/>
              </w:rPr>
            </w:pPr>
          </w:p>
        </w:tc>
        <w:tc>
          <w:tcPr>
            <w:tcW w:w="0" w:type="auto"/>
            <w:hideMark/>
          </w:tcPr>
          <w:p w14:paraId="4B7B1536" w14:textId="77777777" w:rsidR="007F3E5B" w:rsidRPr="006320B7" w:rsidRDefault="007F3E5B" w:rsidP="007F3E5B">
            <w:pPr>
              <w:spacing w:before="0" w:line="240" w:lineRule="auto"/>
              <w:rPr>
                <w:rFonts w:eastAsia="Times New Roman" w:cs="Times New Roman"/>
                <w:sz w:val="20"/>
                <w:szCs w:val="20"/>
                <w:highlight w:val="green"/>
              </w:rPr>
            </w:pPr>
          </w:p>
        </w:tc>
        <w:tc>
          <w:tcPr>
            <w:tcW w:w="0" w:type="auto"/>
            <w:hideMark/>
          </w:tcPr>
          <w:p w14:paraId="4BE9A6FC" w14:textId="77777777" w:rsidR="007F3E5B" w:rsidRPr="006320B7" w:rsidRDefault="007F3E5B" w:rsidP="007F3E5B">
            <w:pPr>
              <w:spacing w:before="0" w:line="240" w:lineRule="auto"/>
              <w:rPr>
                <w:rFonts w:eastAsia="Times New Roman" w:cs="Times New Roman"/>
                <w:sz w:val="20"/>
                <w:szCs w:val="20"/>
                <w:highlight w:val="green"/>
              </w:rPr>
            </w:pPr>
          </w:p>
        </w:tc>
        <w:tc>
          <w:tcPr>
            <w:tcW w:w="0" w:type="auto"/>
            <w:hideMark/>
          </w:tcPr>
          <w:p w14:paraId="5DB800BD" w14:textId="77777777" w:rsidR="007F3E5B" w:rsidRPr="006320B7" w:rsidRDefault="007F3E5B" w:rsidP="007F3E5B">
            <w:pPr>
              <w:spacing w:before="0" w:line="240" w:lineRule="auto"/>
              <w:rPr>
                <w:rFonts w:eastAsia="Times New Roman" w:cs="Times New Roman"/>
                <w:sz w:val="20"/>
                <w:szCs w:val="20"/>
                <w:highlight w:val="green"/>
              </w:rPr>
            </w:pPr>
          </w:p>
        </w:tc>
      </w:tr>
    </w:tbl>
    <w:p w14:paraId="06455772" w14:textId="1B976185" w:rsidR="007F3E5B" w:rsidRPr="007F3E5B" w:rsidRDefault="007F3E5B" w:rsidP="007F3E5B">
      <w:pPr>
        <w:spacing w:before="0" w:line="240" w:lineRule="auto"/>
        <w:rPr>
          <w:rFonts w:eastAsia="Times New Roman" w:cs="Times New Roman"/>
          <w:b/>
          <w:szCs w:val="24"/>
          <w:highlight w:val="green"/>
        </w:rPr>
      </w:pPr>
      <w:r w:rsidRPr="006320B7">
        <w:rPr>
          <w:rFonts w:eastAsia="Times New Roman" w:cs="Times New Roman"/>
          <w:b/>
          <w:szCs w:val="24"/>
          <w:highlight w:val="green"/>
        </w:rPr>
        <w:t>Source: Research Data, 2024</w:t>
      </w:r>
    </w:p>
    <w:p w14:paraId="1984E9F6" w14:textId="77777777" w:rsidR="007F3E5B" w:rsidRPr="006320B7" w:rsidRDefault="007F3E5B" w:rsidP="007F3E5B">
      <w:pPr>
        <w:spacing w:before="0" w:line="240" w:lineRule="auto"/>
        <w:rPr>
          <w:rFonts w:eastAsia="Times New Roman" w:cs="Times New Roman"/>
          <w:b/>
          <w:szCs w:val="24"/>
          <w:highlight w:val="green"/>
        </w:rPr>
      </w:pPr>
    </w:p>
    <w:p w14:paraId="2D387679" w14:textId="6105177C" w:rsidR="007F3E5B" w:rsidRPr="007F3E5B"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The ANOVA results (F = 67.4243, p &lt; 0.001) indicate strong statistical significance, leading to the rejection of all three null hypotheses. This confirms that ERP systems, cloud-based accounting, and blockchain technology have a significant combined effect on financial efficiency in humanitarian organizations.</w:t>
      </w:r>
    </w:p>
    <w:p w14:paraId="1B62CC70" w14:textId="77777777" w:rsidR="007F3E5B" w:rsidRPr="006320B7" w:rsidRDefault="007F3E5B" w:rsidP="007F3E5B">
      <w:pPr>
        <w:spacing w:before="0" w:line="240" w:lineRule="auto"/>
        <w:rPr>
          <w:rFonts w:eastAsia="Times New Roman" w:cs="Times New Roman"/>
          <w:szCs w:val="24"/>
          <w:highlight w:val="green"/>
        </w:rPr>
      </w:pPr>
    </w:p>
    <w:p w14:paraId="6A25D36D" w14:textId="455F45A6" w:rsidR="007F3E5B" w:rsidRPr="006320B7" w:rsidRDefault="007F3E5B" w:rsidP="007F3E5B">
      <w:pPr>
        <w:spacing w:before="0" w:line="240" w:lineRule="auto"/>
        <w:outlineLvl w:val="2"/>
        <w:rPr>
          <w:rFonts w:eastAsia="Times New Roman" w:cs="Times New Roman"/>
          <w:b/>
          <w:bCs/>
          <w:sz w:val="27"/>
          <w:szCs w:val="27"/>
          <w:highlight w:val="green"/>
        </w:rPr>
      </w:pPr>
      <w:r w:rsidRPr="007F3E5B">
        <w:rPr>
          <w:rFonts w:eastAsia="Times New Roman" w:cs="Times New Roman"/>
          <w:b/>
          <w:bCs/>
          <w:sz w:val="27"/>
          <w:szCs w:val="27"/>
          <w:highlight w:val="green"/>
        </w:rPr>
        <w:t xml:space="preserve">4.5 </w:t>
      </w:r>
      <w:r w:rsidRPr="006320B7">
        <w:rPr>
          <w:rFonts w:eastAsia="Times New Roman" w:cs="Times New Roman"/>
          <w:b/>
          <w:bCs/>
          <w:sz w:val="27"/>
          <w:szCs w:val="27"/>
          <w:highlight w:val="green"/>
        </w:rPr>
        <w:t>Regression Coefficients</w:t>
      </w:r>
    </w:p>
    <w:p w14:paraId="482CE3C6" w14:textId="4263DAED" w:rsidR="007F3E5B" w:rsidRPr="006320B7" w:rsidRDefault="007F3E5B" w:rsidP="007F3E5B">
      <w:pPr>
        <w:spacing w:before="0" w:line="240" w:lineRule="auto"/>
        <w:rPr>
          <w:rFonts w:eastAsia="Times New Roman" w:cs="Times New Roman"/>
          <w:szCs w:val="24"/>
          <w:highlight w:val="green"/>
        </w:rPr>
      </w:pPr>
      <w:r w:rsidRPr="007F3E5B">
        <w:rPr>
          <w:rFonts w:eastAsia="Times New Roman" w:cs="Times New Roman"/>
          <w:b/>
          <w:bCs/>
          <w:szCs w:val="24"/>
          <w:highlight w:val="green"/>
        </w:rPr>
        <w:t>Table 7: Regression Coefficients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508"/>
        <w:gridCol w:w="1526"/>
        <w:gridCol w:w="1127"/>
        <w:gridCol w:w="767"/>
        <w:gridCol w:w="834"/>
        <w:gridCol w:w="1267"/>
        <w:gridCol w:w="1269"/>
      </w:tblGrid>
      <w:tr w:rsidR="007F3E5B" w:rsidRPr="006320B7" w14:paraId="03BB0328" w14:textId="77777777" w:rsidTr="007F3E5B">
        <w:trPr>
          <w:tblHeader/>
          <w:tblCellSpacing w:w="15" w:type="dxa"/>
        </w:trPr>
        <w:tc>
          <w:tcPr>
            <w:tcW w:w="0" w:type="auto"/>
            <w:tcBorders>
              <w:top w:val="single" w:sz="4" w:space="0" w:color="auto"/>
              <w:bottom w:val="single" w:sz="4" w:space="0" w:color="auto"/>
            </w:tcBorders>
            <w:hideMark/>
          </w:tcPr>
          <w:p w14:paraId="7D2B0156"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Variable</w:t>
            </w:r>
          </w:p>
        </w:tc>
        <w:tc>
          <w:tcPr>
            <w:tcW w:w="0" w:type="auto"/>
            <w:tcBorders>
              <w:top w:val="single" w:sz="4" w:space="0" w:color="auto"/>
              <w:bottom w:val="single" w:sz="4" w:space="0" w:color="auto"/>
            </w:tcBorders>
            <w:hideMark/>
          </w:tcPr>
          <w:p w14:paraId="75DF3B59"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Coefficient (β)</w:t>
            </w:r>
          </w:p>
        </w:tc>
        <w:tc>
          <w:tcPr>
            <w:tcW w:w="0" w:type="auto"/>
            <w:tcBorders>
              <w:top w:val="single" w:sz="4" w:space="0" w:color="auto"/>
              <w:bottom w:val="single" w:sz="4" w:space="0" w:color="auto"/>
            </w:tcBorders>
            <w:hideMark/>
          </w:tcPr>
          <w:p w14:paraId="0FF4AFF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Std. Error</w:t>
            </w:r>
          </w:p>
        </w:tc>
        <w:tc>
          <w:tcPr>
            <w:tcW w:w="0" w:type="auto"/>
            <w:tcBorders>
              <w:top w:val="single" w:sz="4" w:space="0" w:color="auto"/>
              <w:bottom w:val="single" w:sz="4" w:space="0" w:color="auto"/>
            </w:tcBorders>
            <w:hideMark/>
          </w:tcPr>
          <w:p w14:paraId="390F0FC3"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t-value</w:t>
            </w:r>
          </w:p>
        </w:tc>
        <w:tc>
          <w:tcPr>
            <w:tcW w:w="0" w:type="auto"/>
            <w:tcBorders>
              <w:top w:val="single" w:sz="4" w:space="0" w:color="auto"/>
              <w:bottom w:val="single" w:sz="4" w:space="0" w:color="auto"/>
            </w:tcBorders>
            <w:hideMark/>
          </w:tcPr>
          <w:p w14:paraId="11DC89CE"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P-value</w:t>
            </w:r>
          </w:p>
        </w:tc>
        <w:tc>
          <w:tcPr>
            <w:tcW w:w="0" w:type="auto"/>
            <w:tcBorders>
              <w:top w:val="single" w:sz="4" w:space="0" w:color="auto"/>
              <w:bottom w:val="single" w:sz="4" w:space="0" w:color="auto"/>
            </w:tcBorders>
            <w:hideMark/>
          </w:tcPr>
          <w:p w14:paraId="549F4EC5"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Lower 95%</w:t>
            </w:r>
          </w:p>
        </w:tc>
        <w:tc>
          <w:tcPr>
            <w:tcW w:w="0" w:type="auto"/>
            <w:tcBorders>
              <w:top w:val="single" w:sz="4" w:space="0" w:color="auto"/>
              <w:bottom w:val="single" w:sz="4" w:space="0" w:color="auto"/>
            </w:tcBorders>
            <w:hideMark/>
          </w:tcPr>
          <w:p w14:paraId="7E9DB879" w14:textId="77777777" w:rsidR="007F3E5B" w:rsidRPr="006320B7" w:rsidRDefault="007F3E5B" w:rsidP="007F3E5B">
            <w:pPr>
              <w:spacing w:before="0" w:line="240" w:lineRule="auto"/>
              <w:jc w:val="center"/>
              <w:rPr>
                <w:rFonts w:eastAsia="Times New Roman" w:cs="Times New Roman"/>
                <w:b/>
                <w:bCs/>
                <w:szCs w:val="24"/>
                <w:highlight w:val="green"/>
              </w:rPr>
            </w:pPr>
            <w:r w:rsidRPr="006320B7">
              <w:rPr>
                <w:rFonts w:eastAsia="Times New Roman" w:cs="Times New Roman"/>
                <w:b/>
                <w:bCs/>
                <w:szCs w:val="24"/>
                <w:highlight w:val="green"/>
              </w:rPr>
              <w:t>Upper 95%</w:t>
            </w:r>
          </w:p>
        </w:tc>
      </w:tr>
      <w:tr w:rsidR="007F3E5B" w:rsidRPr="006320B7" w14:paraId="3631EC3E" w14:textId="77777777" w:rsidTr="007F3E5B">
        <w:trPr>
          <w:tblCellSpacing w:w="15" w:type="dxa"/>
        </w:trPr>
        <w:tc>
          <w:tcPr>
            <w:tcW w:w="0" w:type="auto"/>
            <w:hideMark/>
          </w:tcPr>
          <w:p w14:paraId="3874B91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Constant</w:t>
            </w:r>
          </w:p>
        </w:tc>
        <w:tc>
          <w:tcPr>
            <w:tcW w:w="0" w:type="auto"/>
            <w:hideMark/>
          </w:tcPr>
          <w:p w14:paraId="70EEBED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-2.1527</w:t>
            </w:r>
          </w:p>
        </w:tc>
        <w:tc>
          <w:tcPr>
            <w:tcW w:w="0" w:type="auto"/>
            <w:hideMark/>
          </w:tcPr>
          <w:p w14:paraId="121B28A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0.3241</w:t>
            </w:r>
          </w:p>
        </w:tc>
        <w:tc>
          <w:tcPr>
            <w:tcW w:w="0" w:type="auto"/>
            <w:hideMark/>
          </w:tcPr>
          <w:p w14:paraId="36F24DB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-6.642</w:t>
            </w:r>
          </w:p>
        </w:tc>
        <w:tc>
          <w:tcPr>
            <w:tcW w:w="0" w:type="auto"/>
            <w:hideMark/>
          </w:tcPr>
          <w:p w14:paraId="089CBCFA"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&lt;0.001</w:t>
            </w:r>
          </w:p>
        </w:tc>
        <w:tc>
          <w:tcPr>
            <w:tcW w:w="0" w:type="auto"/>
            <w:hideMark/>
          </w:tcPr>
          <w:p w14:paraId="000A859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-2.8036</w:t>
            </w:r>
          </w:p>
        </w:tc>
        <w:tc>
          <w:tcPr>
            <w:tcW w:w="0" w:type="auto"/>
            <w:hideMark/>
          </w:tcPr>
          <w:p w14:paraId="2EB378E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-1.5018</w:t>
            </w:r>
          </w:p>
        </w:tc>
      </w:tr>
      <w:tr w:rsidR="007F3E5B" w:rsidRPr="006320B7" w14:paraId="7A6AB135" w14:textId="77777777" w:rsidTr="007F3E5B">
        <w:trPr>
          <w:tblCellSpacing w:w="15" w:type="dxa"/>
        </w:trPr>
        <w:tc>
          <w:tcPr>
            <w:tcW w:w="0" w:type="auto"/>
            <w:hideMark/>
          </w:tcPr>
          <w:p w14:paraId="3440E21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ERP Systems</w:t>
            </w:r>
          </w:p>
        </w:tc>
        <w:tc>
          <w:tcPr>
            <w:tcW w:w="0" w:type="auto"/>
            <w:hideMark/>
          </w:tcPr>
          <w:p w14:paraId="382E3E7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1.8436</w:t>
            </w:r>
          </w:p>
        </w:tc>
        <w:tc>
          <w:tcPr>
            <w:tcW w:w="0" w:type="auto"/>
            <w:hideMark/>
          </w:tcPr>
          <w:p w14:paraId="611FE26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0.2874</w:t>
            </w:r>
          </w:p>
        </w:tc>
        <w:tc>
          <w:tcPr>
            <w:tcW w:w="0" w:type="auto"/>
            <w:hideMark/>
          </w:tcPr>
          <w:p w14:paraId="1F3C7A1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6.415</w:t>
            </w:r>
          </w:p>
        </w:tc>
        <w:tc>
          <w:tcPr>
            <w:tcW w:w="0" w:type="auto"/>
            <w:hideMark/>
          </w:tcPr>
          <w:p w14:paraId="6E243F1C"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&lt;0.001</w:t>
            </w:r>
          </w:p>
        </w:tc>
        <w:tc>
          <w:tcPr>
            <w:tcW w:w="0" w:type="auto"/>
            <w:hideMark/>
          </w:tcPr>
          <w:p w14:paraId="7F95F9F2"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1.2665</w:t>
            </w:r>
          </w:p>
        </w:tc>
        <w:tc>
          <w:tcPr>
            <w:tcW w:w="0" w:type="auto"/>
            <w:hideMark/>
          </w:tcPr>
          <w:p w14:paraId="37A2C4F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2.4207</w:t>
            </w:r>
          </w:p>
        </w:tc>
      </w:tr>
      <w:tr w:rsidR="007F3E5B" w:rsidRPr="006320B7" w14:paraId="018CA625" w14:textId="77777777" w:rsidTr="007F3E5B">
        <w:trPr>
          <w:tblCellSpacing w:w="15" w:type="dxa"/>
        </w:trPr>
        <w:tc>
          <w:tcPr>
            <w:tcW w:w="0" w:type="auto"/>
            <w:hideMark/>
          </w:tcPr>
          <w:p w14:paraId="6A1D460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Cloud-Based Accounting</w:t>
            </w:r>
          </w:p>
        </w:tc>
        <w:tc>
          <w:tcPr>
            <w:tcW w:w="0" w:type="auto"/>
            <w:hideMark/>
          </w:tcPr>
          <w:p w14:paraId="0014331E"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0.9273</w:t>
            </w:r>
          </w:p>
        </w:tc>
        <w:tc>
          <w:tcPr>
            <w:tcW w:w="0" w:type="auto"/>
            <w:hideMark/>
          </w:tcPr>
          <w:p w14:paraId="21F9BEB2"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0.3982</w:t>
            </w:r>
          </w:p>
        </w:tc>
        <w:tc>
          <w:tcPr>
            <w:tcW w:w="0" w:type="auto"/>
            <w:hideMark/>
          </w:tcPr>
          <w:p w14:paraId="0515805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2.329</w:t>
            </w:r>
          </w:p>
        </w:tc>
        <w:tc>
          <w:tcPr>
            <w:tcW w:w="0" w:type="auto"/>
            <w:hideMark/>
          </w:tcPr>
          <w:p w14:paraId="24EA652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0.0239</w:t>
            </w:r>
          </w:p>
        </w:tc>
        <w:tc>
          <w:tcPr>
            <w:tcW w:w="0" w:type="auto"/>
            <w:hideMark/>
          </w:tcPr>
          <w:p w14:paraId="4F364155"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0.1276</w:t>
            </w:r>
          </w:p>
        </w:tc>
        <w:tc>
          <w:tcPr>
            <w:tcW w:w="0" w:type="auto"/>
            <w:hideMark/>
          </w:tcPr>
          <w:p w14:paraId="6F75495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1.7270</w:t>
            </w:r>
          </w:p>
        </w:tc>
      </w:tr>
      <w:tr w:rsidR="007F3E5B" w:rsidRPr="006320B7" w14:paraId="19D24DE0" w14:textId="77777777" w:rsidTr="007F3E5B">
        <w:trPr>
          <w:tblCellSpacing w:w="15" w:type="dxa"/>
        </w:trPr>
        <w:tc>
          <w:tcPr>
            <w:tcW w:w="0" w:type="auto"/>
            <w:hideMark/>
          </w:tcPr>
          <w:p w14:paraId="0BCE8AD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Blockchain Technology</w:t>
            </w:r>
          </w:p>
        </w:tc>
        <w:tc>
          <w:tcPr>
            <w:tcW w:w="0" w:type="auto"/>
            <w:hideMark/>
          </w:tcPr>
          <w:p w14:paraId="0DB068AB"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1.2845</w:t>
            </w:r>
          </w:p>
        </w:tc>
        <w:tc>
          <w:tcPr>
            <w:tcW w:w="0" w:type="auto"/>
            <w:hideMark/>
          </w:tcPr>
          <w:p w14:paraId="43AC26F3"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0.4563</w:t>
            </w:r>
          </w:p>
        </w:tc>
        <w:tc>
          <w:tcPr>
            <w:tcW w:w="0" w:type="auto"/>
            <w:hideMark/>
          </w:tcPr>
          <w:p w14:paraId="3E5F0AA9"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2.815</w:t>
            </w:r>
          </w:p>
        </w:tc>
        <w:tc>
          <w:tcPr>
            <w:tcW w:w="0" w:type="auto"/>
            <w:hideMark/>
          </w:tcPr>
          <w:p w14:paraId="5F28D766"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0.007</w:t>
            </w:r>
          </w:p>
        </w:tc>
        <w:tc>
          <w:tcPr>
            <w:tcW w:w="0" w:type="auto"/>
            <w:hideMark/>
          </w:tcPr>
          <w:p w14:paraId="3CDC545F"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0.3681</w:t>
            </w:r>
          </w:p>
        </w:tc>
        <w:tc>
          <w:tcPr>
            <w:tcW w:w="0" w:type="auto"/>
            <w:hideMark/>
          </w:tcPr>
          <w:p w14:paraId="6B9DA510" w14:textId="77777777" w:rsidR="007F3E5B" w:rsidRPr="006320B7" w:rsidRDefault="007F3E5B" w:rsidP="007F3E5B">
            <w:pPr>
              <w:spacing w:before="0" w:line="240" w:lineRule="auto"/>
              <w:rPr>
                <w:rFonts w:eastAsia="Times New Roman" w:cs="Times New Roman"/>
                <w:szCs w:val="24"/>
                <w:highlight w:val="green"/>
              </w:rPr>
            </w:pPr>
            <w:r w:rsidRPr="006320B7">
              <w:rPr>
                <w:rFonts w:eastAsia="Times New Roman" w:cs="Times New Roman"/>
                <w:szCs w:val="24"/>
                <w:highlight w:val="green"/>
              </w:rPr>
              <w:t>2.2009</w:t>
            </w:r>
          </w:p>
        </w:tc>
      </w:tr>
    </w:tbl>
    <w:p w14:paraId="340255FB" w14:textId="24FC4E80" w:rsidR="007F3E5B" w:rsidRPr="007F3E5B" w:rsidRDefault="007F3E5B" w:rsidP="007F3E5B">
      <w:pPr>
        <w:spacing w:before="0" w:line="240" w:lineRule="auto"/>
        <w:rPr>
          <w:rFonts w:eastAsia="Times New Roman" w:cs="Times New Roman"/>
          <w:b/>
          <w:szCs w:val="24"/>
          <w:highlight w:val="green"/>
        </w:rPr>
      </w:pPr>
      <w:r w:rsidRPr="006320B7">
        <w:rPr>
          <w:rFonts w:eastAsia="Times New Roman" w:cs="Times New Roman"/>
          <w:b/>
          <w:szCs w:val="24"/>
          <w:highlight w:val="green"/>
        </w:rPr>
        <w:t>Source: Research Data, 2024</w:t>
      </w:r>
    </w:p>
    <w:p w14:paraId="7E5C5904" w14:textId="77777777" w:rsidR="007F3E5B" w:rsidRPr="006320B7" w:rsidRDefault="007F3E5B" w:rsidP="007F3E5B">
      <w:pPr>
        <w:spacing w:before="0" w:line="240" w:lineRule="auto"/>
        <w:rPr>
          <w:rFonts w:eastAsia="Times New Roman" w:cs="Times New Roman"/>
          <w:b/>
          <w:szCs w:val="24"/>
          <w:highlight w:val="green"/>
        </w:rPr>
      </w:pPr>
    </w:p>
    <w:p w14:paraId="58A93C39" w14:textId="77777777" w:rsidR="007F3E5B" w:rsidRPr="006320B7" w:rsidRDefault="007F3E5B" w:rsidP="007F3E5B">
      <w:pPr>
        <w:spacing w:before="0" w:line="240" w:lineRule="auto"/>
        <w:rPr>
          <w:rFonts w:eastAsia="Times New Roman" w:cs="Times New Roman"/>
          <w:szCs w:val="24"/>
        </w:rPr>
      </w:pPr>
      <w:r w:rsidRPr="006320B7">
        <w:rPr>
          <w:rFonts w:eastAsia="Times New Roman" w:cs="Times New Roman"/>
          <w:szCs w:val="24"/>
          <w:highlight w:val="green"/>
        </w:rPr>
        <w:t>The regression equation shows that ERP systems (β = 1.8436, p &lt; 0.001) have the greatest positive effect on financial efficiency, followed by blockchain technology (β = 1.2845, p = 0.007) and cloud-based accounting software (β = 0.9273, p = 0.0239). The findings suggest that integrating these systems enhances financial transparency, data accuracy, and operational effectiveness in humanitarian organizations. These results align with prior studies emphasizing technology’s role in promoting accountability, reducing operational costs, and ensuring efficient resource utilization in NGOs</w:t>
      </w:r>
      <w:r w:rsidRPr="006320B7">
        <w:rPr>
          <w:rFonts w:eastAsia="Times New Roman" w:cs="Times New Roman"/>
          <w:szCs w:val="24"/>
        </w:rPr>
        <w:t>.</w:t>
      </w:r>
    </w:p>
    <w:p w14:paraId="08BCAFD2" w14:textId="77777777" w:rsidR="007F3E5B" w:rsidRDefault="007F3E5B" w:rsidP="00055D83">
      <w:pPr>
        <w:shd w:val="clear" w:color="auto" w:fill="FFFFFF"/>
        <w:spacing w:line="240" w:lineRule="auto"/>
        <w:rPr>
          <w:rFonts w:eastAsia="Times New Roman" w:cs="Times New Roman"/>
          <w:b/>
          <w:bCs/>
          <w:color w:val="000000" w:themeColor="text1"/>
          <w:sz w:val="28"/>
          <w:szCs w:val="28"/>
        </w:rPr>
      </w:pPr>
    </w:p>
    <w:p w14:paraId="359E84B3" w14:textId="6EAF2DFC" w:rsidR="00055D83" w:rsidRPr="002B2D3C"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t xml:space="preserve">5.0 CONCLUSIONS </w:t>
      </w:r>
    </w:p>
    <w:p w14:paraId="0CE73BAB" w14:textId="76100985" w:rsidR="00350703" w:rsidRPr="00350703" w:rsidRDefault="00350703" w:rsidP="00350703">
      <w:pPr>
        <w:spacing w:line="240" w:lineRule="auto"/>
        <w:rPr>
          <w:rFonts w:cs="Times New Roman"/>
          <w:color w:val="000000" w:themeColor="text1"/>
          <w:szCs w:val="24"/>
          <w:highlight w:val="green"/>
        </w:rPr>
      </w:pPr>
      <w:r w:rsidRPr="00350703">
        <w:rPr>
          <w:rFonts w:cs="Times New Roman"/>
          <w:color w:val="000000" w:themeColor="text1"/>
          <w:szCs w:val="24"/>
          <w:highlight w:val="green"/>
        </w:rPr>
        <w:lastRenderedPageBreak/>
        <w:t>The study found varied perceptions of ERP systems, cloud-based accounting software, and blockchain technology among NGO staff. ERP systems were praised for enhancing transparency, real-time reporting, and resource allocation efficiency. These improvements contributed to better compliance and operational effectiveness. However, skepticism remained regarding ERP’s impact on reducing costs and streamlining financial processes. This was mainly due to integration challenges, inconsistent training, and internal resistance to change.</w:t>
      </w:r>
    </w:p>
    <w:p w14:paraId="0769C325" w14:textId="604A1D7D" w:rsidR="00350703" w:rsidRPr="00350703" w:rsidRDefault="00350703" w:rsidP="00350703">
      <w:pPr>
        <w:spacing w:line="240" w:lineRule="auto"/>
        <w:rPr>
          <w:rFonts w:cs="Times New Roman"/>
          <w:color w:val="000000" w:themeColor="text1"/>
          <w:szCs w:val="24"/>
          <w:highlight w:val="green"/>
        </w:rPr>
      </w:pPr>
      <w:r w:rsidRPr="00350703">
        <w:rPr>
          <w:rFonts w:cs="Times New Roman"/>
          <w:color w:val="000000" w:themeColor="text1"/>
          <w:szCs w:val="24"/>
          <w:highlight w:val="green"/>
        </w:rPr>
        <w:t>Cloud-based accounting software received generally positive feedback. Respondents noted improvements in task management, collaboration, and financial reporting. Additional benefits included scalability and disaster recovery capabilities. Despite this, some participants expressed concerns about data security and regulatory compliance. These concerns were shaped by varying levels of familiarity with cloud technologies and different organizational priorities.</w:t>
      </w:r>
    </w:p>
    <w:p w14:paraId="50F0BC2F" w14:textId="28A28C70" w:rsidR="00A27439" w:rsidRPr="002B2D3C" w:rsidRDefault="00350703" w:rsidP="00350703">
      <w:pPr>
        <w:spacing w:line="240" w:lineRule="auto"/>
        <w:rPr>
          <w:rFonts w:cs="Times New Roman"/>
          <w:color w:val="000000" w:themeColor="text1"/>
          <w:szCs w:val="24"/>
        </w:rPr>
      </w:pPr>
      <w:r w:rsidRPr="00350703">
        <w:rPr>
          <w:rFonts w:cs="Times New Roman"/>
          <w:color w:val="000000" w:themeColor="text1"/>
          <w:szCs w:val="24"/>
          <w:highlight w:val="green"/>
        </w:rPr>
        <w:t>Blockchain technology was acknowledged for its potential to secure data, reduce fraud, and improve donor fund tracking. However, it also faced significant skepticism. Many doubted its ability to reduce transaction costs or enhance overall financial security. A key point of contention was its effect on donor trust. Opinions were split some viewed blockchain as enhancing trust, while others remained doubtful. This divide likely stems from limited exposure to blockchain technology and difficulties in integrating it with existing financial systems. Overall, while digital tools offer clear benefits for NGOs, the study highlights critical gaps. Better training, clearer communication of advantages, and more real-world case studies especially on blockchain</w:t>
      </w:r>
      <w:r>
        <w:rPr>
          <w:rFonts w:cs="Times New Roman"/>
          <w:color w:val="000000" w:themeColor="text1"/>
          <w:szCs w:val="24"/>
          <w:highlight w:val="green"/>
        </w:rPr>
        <w:t xml:space="preserve"> </w:t>
      </w:r>
      <w:r w:rsidRPr="00350703">
        <w:rPr>
          <w:rFonts w:cs="Times New Roman"/>
          <w:color w:val="000000" w:themeColor="text1"/>
          <w:szCs w:val="24"/>
          <w:highlight w:val="green"/>
        </w:rPr>
        <w:t>are needed to encourage broader acceptance and effective implementation of these technologies in the sector</w:t>
      </w:r>
      <w:r w:rsidR="00FC4A1C" w:rsidRPr="00FC4A1C">
        <w:rPr>
          <w:rFonts w:cs="Times New Roman"/>
          <w:color w:val="000000" w:themeColor="text1"/>
          <w:szCs w:val="24"/>
        </w:rPr>
        <w:t>.</w:t>
      </w:r>
    </w:p>
    <w:p w14:paraId="750144BF" w14:textId="7E52FE3F" w:rsidR="00055D83" w:rsidRPr="002B2D3C" w:rsidRDefault="00055D83" w:rsidP="00D26C8B">
      <w:pPr>
        <w:spacing w:line="240" w:lineRule="auto"/>
        <w:rPr>
          <w:rFonts w:cs="Times New Roman"/>
          <w:b/>
          <w:bCs/>
          <w:color w:val="000000" w:themeColor="text1"/>
          <w:sz w:val="28"/>
          <w:szCs w:val="28"/>
        </w:rPr>
      </w:pPr>
      <w:r w:rsidRPr="002B2D3C">
        <w:rPr>
          <w:rFonts w:cs="Times New Roman"/>
          <w:b/>
          <w:bCs/>
          <w:color w:val="000000" w:themeColor="text1"/>
          <w:sz w:val="28"/>
          <w:szCs w:val="28"/>
        </w:rPr>
        <w:t>6.0 RECOMMENDATIONS</w:t>
      </w:r>
    </w:p>
    <w:p w14:paraId="3A1644CB"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Improving financial efficiency in humanitarian NGOs is essential for enhancing resource utilization, transparency, and overall financial governance. This study identified several challenges in adopting modern financial technologies, including ERP systems, cloud-based software, and blockchain. To overcome these challenges, a series of recommendations are proposed.</w:t>
      </w:r>
    </w:p>
    <w:p w14:paraId="035A0461" w14:textId="77777777" w:rsidR="00350703" w:rsidRPr="00350703" w:rsidRDefault="00350703" w:rsidP="00350703">
      <w:pPr>
        <w:spacing w:before="0" w:after="160" w:line="240" w:lineRule="auto"/>
        <w:rPr>
          <w:rFonts w:cs="Times New Roman"/>
          <w:color w:val="000000" w:themeColor="text1"/>
          <w:szCs w:val="24"/>
          <w:highlight w:val="green"/>
        </w:rPr>
      </w:pPr>
    </w:p>
    <w:p w14:paraId="2F66AE8B"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First, NGOs should invest in continuous staff training and change management. This will address skill gaps and reduce resistance to digital tools, particularly ERP and cloud systems. Second, it is vital to tailor technological solutions to match the specific operational needs of each organization. Customizing ERP and blockchain systems to align with organizational goals can improve both functionality and user acceptance.</w:t>
      </w:r>
    </w:p>
    <w:p w14:paraId="4B7B68BA"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Third, NGOs must enhance security measures and ensure compliance with donor and legal regulations. Strengthening these areas is especially critical when adopting cloud-based platforms and fosters greater trust among users and stakeholders. Fourth, organizations are encouraged to initiate small-scale blockchain pilot projects. These should focus on transparency and traceability in donor funding to assess feasibility and build confidence in broader implementation.</w:t>
      </w:r>
    </w:p>
    <w:p w14:paraId="7E6BCF65" w14:textId="77777777"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Fifth, involving stakeholders from various departments during the selection and evaluation of technology is crucial. This approach ensures the systems meet the needs of the entire organization, leading to higher adoption rates and user satisfaction. Sixth, NGOs should establish ongoing monitoring and evaluation processes for digital tools after implementation. Regular reviews help assess effectiveness, identify emerging issues, and inform future technology investments.</w:t>
      </w:r>
    </w:p>
    <w:p w14:paraId="1FB26C73" w14:textId="60ADFF95" w:rsidR="00350703" w:rsidRPr="00350703" w:rsidRDefault="00350703" w:rsidP="00350703">
      <w:pPr>
        <w:spacing w:before="0" w:after="160" w:line="240" w:lineRule="auto"/>
        <w:rPr>
          <w:rFonts w:cs="Times New Roman"/>
          <w:color w:val="000000" w:themeColor="text1"/>
          <w:szCs w:val="24"/>
          <w:highlight w:val="green"/>
        </w:rPr>
      </w:pPr>
      <w:r w:rsidRPr="00350703">
        <w:rPr>
          <w:rFonts w:cs="Times New Roman"/>
          <w:color w:val="000000" w:themeColor="text1"/>
          <w:szCs w:val="24"/>
          <w:highlight w:val="green"/>
        </w:rPr>
        <w:t>For future research, studies should explore the long-term impacts of ERP adoption. Key areas include financial transparency, cost reduction, and donor trust. Case studies from NGOs that have successfully implemented ERP systems could provide valuable insights into best practices and common implementation challenges. In addition, further investigation into the security risks of cloud-based accounting systems is necessary. Research should focus on best practices for data protection and compliance. Comparative studies across regions or sectors could also reveal how local contexts influence these challenges.</w:t>
      </w:r>
    </w:p>
    <w:p w14:paraId="648B633B" w14:textId="1AF73D17" w:rsidR="00D16476" w:rsidRDefault="00350703" w:rsidP="00350703">
      <w:pPr>
        <w:spacing w:before="0" w:after="160" w:line="240" w:lineRule="auto"/>
        <w:rPr>
          <w:rFonts w:cs="Times New Roman"/>
          <w:color w:val="000000" w:themeColor="text1"/>
          <w:szCs w:val="24"/>
        </w:rPr>
      </w:pPr>
      <w:r w:rsidRPr="00350703">
        <w:rPr>
          <w:rFonts w:cs="Times New Roman"/>
          <w:color w:val="000000" w:themeColor="text1"/>
          <w:szCs w:val="24"/>
          <w:highlight w:val="green"/>
        </w:rPr>
        <w:lastRenderedPageBreak/>
        <w:t>Finally, blockchain technology remains underutilized in NGO financial systems. Future studies should examine successful pilot projects, particularly those related to donor tracking, fraud prevention, and transparency. Longitudinal research assessing blockchain’s impact on donor trust and organizational efficiency would be highly beneficial. Understanding the barriers and opportunities of blockchain integration can help NGOs prepare for adoption and achieve long-term financial sustainability and accountability</w:t>
      </w:r>
      <w:r w:rsidR="00FC4A1C" w:rsidRPr="00FC4A1C">
        <w:rPr>
          <w:rFonts w:cs="Times New Roman"/>
          <w:color w:val="000000" w:themeColor="text1"/>
          <w:szCs w:val="24"/>
        </w:rPr>
        <w:t>.</w:t>
      </w:r>
    </w:p>
    <w:p w14:paraId="26BFA966" w14:textId="77777777" w:rsidR="00420636" w:rsidRPr="00420636" w:rsidRDefault="00420636" w:rsidP="00420636">
      <w:pPr>
        <w:spacing w:before="0" w:after="160" w:line="240" w:lineRule="auto"/>
        <w:rPr>
          <w:rFonts w:cs="Times New Roman"/>
          <w:color w:val="000000" w:themeColor="text1"/>
          <w:szCs w:val="24"/>
        </w:rPr>
      </w:pPr>
      <w:r w:rsidRPr="00420636">
        <w:rPr>
          <w:rFonts w:cs="Times New Roman"/>
          <w:color w:val="000000" w:themeColor="text1"/>
          <w:szCs w:val="24"/>
        </w:rPr>
        <w:t xml:space="preserve">Consent </w:t>
      </w:r>
    </w:p>
    <w:p w14:paraId="5F24C940" w14:textId="21D28439" w:rsidR="00420636" w:rsidRDefault="00420636" w:rsidP="00420636">
      <w:pPr>
        <w:spacing w:before="0" w:after="160" w:line="240" w:lineRule="auto"/>
        <w:rPr>
          <w:rFonts w:cs="Times New Roman"/>
          <w:color w:val="000000" w:themeColor="text1"/>
          <w:szCs w:val="24"/>
        </w:rPr>
      </w:pPr>
      <w:r w:rsidRPr="00420636">
        <w:rPr>
          <w:rFonts w:cs="Times New Roman"/>
          <w:color w:val="000000" w:themeColor="text1"/>
          <w:szCs w:val="24"/>
        </w:rPr>
        <w:t>As per international standards or university standards, Participants’ written consent has been collected and preserved by the author(s).</w:t>
      </w:r>
    </w:p>
    <w:p w14:paraId="37A8BB77" w14:textId="77777777" w:rsidR="007D3229" w:rsidRDefault="007D3229" w:rsidP="00FC4A1C">
      <w:pPr>
        <w:spacing w:before="0" w:after="160" w:line="240" w:lineRule="auto"/>
        <w:rPr>
          <w:rFonts w:cs="Times New Roman"/>
          <w:color w:val="000000" w:themeColor="text1"/>
          <w:szCs w:val="24"/>
        </w:rPr>
      </w:pPr>
    </w:p>
    <w:p w14:paraId="38F15E2F" w14:textId="77777777" w:rsidR="00234957" w:rsidRPr="00FE7640" w:rsidRDefault="00234957" w:rsidP="00234957">
      <w:pPr>
        <w:rPr>
          <w:rFonts w:ascii="Calibri" w:hAnsi="Calibri"/>
          <w:kern w:val="2"/>
          <w:highlight w:val="yellow"/>
        </w:rPr>
      </w:pPr>
      <w:bookmarkStart w:id="4" w:name="_Hlk193540946"/>
      <w:bookmarkStart w:id="5" w:name="_Hlk198899984"/>
      <w:bookmarkStart w:id="6" w:name="_Hlk180402183"/>
      <w:bookmarkStart w:id="7" w:name="_Hlk183680988"/>
      <w:bookmarkStart w:id="8" w:name="_Hlk200717662"/>
      <w:bookmarkStart w:id="9" w:name="_Hlk197173371"/>
      <w:r w:rsidRPr="00FE7640">
        <w:rPr>
          <w:rFonts w:ascii="Calibri" w:hAnsi="Calibri"/>
          <w:kern w:val="2"/>
          <w:highlight w:val="yellow"/>
        </w:rPr>
        <w:t>Disclaimer (Artificial intelligence)</w:t>
      </w:r>
    </w:p>
    <w:p w14:paraId="1EB6FBDB"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 xml:space="preserve">Option 1: </w:t>
      </w:r>
    </w:p>
    <w:p w14:paraId="6CE8BEAC"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7E7BC94"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 xml:space="preserve">Option 2: </w:t>
      </w:r>
    </w:p>
    <w:p w14:paraId="503A496A"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71F4491"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Details of the AI usage are given below:</w:t>
      </w:r>
    </w:p>
    <w:p w14:paraId="35965F72"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1.</w:t>
      </w:r>
    </w:p>
    <w:p w14:paraId="64D85A0D" w14:textId="77777777" w:rsidR="00234957" w:rsidRPr="009C5487" w:rsidRDefault="00234957" w:rsidP="00234957">
      <w:pPr>
        <w:rPr>
          <w:rFonts w:ascii="Calibri" w:hAnsi="Calibri"/>
          <w:kern w:val="2"/>
          <w:highlight w:val="yellow"/>
        </w:rPr>
      </w:pPr>
      <w:r w:rsidRPr="009C5487">
        <w:rPr>
          <w:rFonts w:ascii="Calibri" w:hAnsi="Calibri"/>
          <w:kern w:val="2"/>
          <w:highlight w:val="yellow"/>
        </w:rPr>
        <w:t>2.</w:t>
      </w:r>
    </w:p>
    <w:p w14:paraId="5B03830E" w14:textId="77777777" w:rsidR="00234957" w:rsidRPr="009C5487" w:rsidRDefault="00234957" w:rsidP="00234957">
      <w:pPr>
        <w:rPr>
          <w:rFonts w:ascii="Calibri" w:hAnsi="Calibri"/>
          <w:kern w:val="2"/>
        </w:rPr>
      </w:pPr>
      <w:r w:rsidRPr="009C5487">
        <w:rPr>
          <w:rFonts w:ascii="Calibri" w:hAnsi="Calibri"/>
          <w:kern w:val="2"/>
          <w:highlight w:val="yellow"/>
        </w:rPr>
        <w:t>3.</w:t>
      </w:r>
      <w:bookmarkEnd w:id="4"/>
    </w:p>
    <w:bookmarkEnd w:id="5"/>
    <w:bookmarkEnd w:id="6"/>
    <w:bookmarkEnd w:id="7"/>
    <w:p w14:paraId="30C7A43A" w14:textId="77777777" w:rsidR="00234957" w:rsidRPr="00630DB9" w:rsidRDefault="00234957" w:rsidP="00234957">
      <w:pPr>
        <w:spacing w:line="240" w:lineRule="atLeast"/>
        <w:rPr>
          <w:rFonts w:ascii="Arial" w:hAnsi="Arial" w:cs="Arial"/>
          <w:color w:val="222222"/>
          <w:sz w:val="20"/>
          <w:szCs w:val="20"/>
        </w:rPr>
      </w:pPr>
      <w:r>
        <w:rPr>
          <w:rFonts w:ascii="Calibri" w:hAnsi="Calibri"/>
          <w:kern w:val="2"/>
        </w:rPr>
        <w:tab/>
      </w:r>
      <w:bookmarkEnd w:id="8"/>
      <w:bookmarkEnd w:id="9"/>
    </w:p>
    <w:p w14:paraId="4A621832" w14:textId="304719D2" w:rsidR="00234957" w:rsidRDefault="00234957" w:rsidP="007D3229">
      <w:pPr>
        <w:spacing w:before="0" w:after="200" w:line="276" w:lineRule="auto"/>
        <w:jc w:val="left"/>
        <w:rPr>
          <w:rFonts w:ascii="Calibri" w:eastAsia="Times New Roman" w:hAnsi="Calibri" w:cs="Times New Roman"/>
          <w:color w:val="auto"/>
          <w:sz w:val="22"/>
          <w:lang w:val="en-GB" w:eastAsia="en-GB"/>
          <w14:ligatures w14:val="none"/>
        </w:rPr>
      </w:pPr>
    </w:p>
    <w:p w14:paraId="32B65718" w14:textId="77777777" w:rsidR="00234957" w:rsidRPr="007D3229" w:rsidRDefault="00234957" w:rsidP="007D3229">
      <w:pPr>
        <w:spacing w:before="0" w:after="200" w:line="276" w:lineRule="auto"/>
        <w:jc w:val="left"/>
        <w:rPr>
          <w:rFonts w:ascii="Calibri" w:eastAsia="Times New Roman" w:hAnsi="Calibri" w:cs="Times New Roman"/>
          <w:color w:val="auto"/>
          <w:sz w:val="22"/>
          <w:lang w:val="en-GB" w:eastAsia="en-GB"/>
          <w14:ligatures w14:val="none"/>
        </w:rPr>
      </w:pPr>
    </w:p>
    <w:p w14:paraId="03B946E2" w14:textId="2EF59687" w:rsidR="00055D83" w:rsidRDefault="00055D83" w:rsidP="00055D83">
      <w:pPr>
        <w:shd w:val="clear" w:color="auto" w:fill="FFFFFF"/>
        <w:spacing w:line="240" w:lineRule="auto"/>
        <w:rPr>
          <w:rFonts w:eastAsia="Times New Roman" w:cs="Times New Roman"/>
          <w:b/>
          <w:bCs/>
          <w:color w:val="000000" w:themeColor="text1"/>
          <w:sz w:val="28"/>
          <w:szCs w:val="28"/>
        </w:rPr>
      </w:pPr>
      <w:r w:rsidRPr="002B2D3C">
        <w:rPr>
          <w:rFonts w:eastAsia="Times New Roman" w:cs="Times New Roman"/>
          <w:b/>
          <w:bCs/>
          <w:color w:val="000000" w:themeColor="text1"/>
          <w:sz w:val="28"/>
          <w:szCs w:val="28"/>
        </w:rPr>
        <w:lastRenderedPageBreak/>
        <w:t>REFERENCES</w:t>
      </w:r>
    </w:p>
    <w:p w14:paraId="63B9B8D6" w14:textId="77777777" w:rsidR="00213F4E" w:rsidRDefault="00213F4E" w:rsidP="00F341B9">
      <w:pPr>
        <w:pStyle w:val="NormalWeb"/>
        <w:ind w:left="720" w:hanging="720"/>
      </w:pPr>
      <w:r>
        <w:t xml:space="preserve">Ahmad, A. Y. B., </w:t>
      </w:r>
      <w:proofErr w:type="spellStart"/>
      <w:r>
        <w:t>Hannoon</w:t>
      </w:r>
      <w:proofErr w:type="spellEnd"/>
      <w:r>
        <w:t>, A., Al-Daoud, K. I., Abu-</w:t>
      </w:r>
      <w:proofErr w:type="spellStart"/>
      <w:r>
        <w:t>Alsondos</w:t>
      </w:r>
      <w:proofErr w:type="spellEnd"/>
      <w:r>
        <w:t>, I. A., &amp; Al-</w:t>
      </w:r>
      <w:proofErr w:type="spellStart"/>
      <w:r>
        <w:t>Qaisieh</w:t>
      </w:r>
      <w:proofErr w:type="spellEnd"/>
      <w:r>
        <w:t>, M. S. (2023). Assessment of cloud-based accounting technology adoption and business performance. Kurdish Studies, 11(3). https://doi.org/10.19187/kurdishstudies.1103123</w:t>
      </w:r>
    </w:p>
    <w:p w14:paraId="66F4DA5B" w14:textId="77777777" w:rsidR="00213F4E" w:rsidRDefault="00213F4E" w:rsidP="00F341B9">
      <w:pPr>
        <w:pStyle w:val="NormalWeb"/>
        <w:ind w:left="720" w:hanging="720"/>
      </w:pPr>
      <w:r>
        <w:t>Barney, J. B., Ketchen, D. J., &amp; Wright, M. (2021). Resource-Based Theory and the Value Creation Framework. Journal of Management, 47(7). https://doi.org/10.1177/01492063211021655</w:t>
      </w:r>
    </w:p>
    <w:p w14:paraId="5A69D57C" w14:textId="77777777" w:rsidR="00213F4E" w:rsidRDefault="00213F4E" w:rsidP="00F341B9">
      <w:pPr>
        <w:pStyle w:val="NormalWeb"/>
        <w:ind w:left="720" w:hanging="720"/>
      </w:pPr>
      <w:r>
        <w:t>Berg-Schlosser, D., Badie, B., &amp; Morlino, L. A. (2020). The SAGE Handbook of Political Science (1st edition., Vol. 3). SAGE Publications, Limited. https://doi.org/10.4135/9781529714333</w:t>
      </w:r>
    </w:p>
    <w:p w14:paraId="292FDCA0" w14:textId="77777777" w:rsidR="00213F4E" w:rsidRDefault="00213F4E" w:rsidP="00F341B9">
      <w:pPr>
        <w:pStyle w:val="NormalWeb"/>
        <w:ind w:left="720" w:hanging="720"/>
      </w:pPr>
      <w:r>
        <w:t>Bretos, I., Díaz-</w:t>
      </w:r>
      <w:proofErr w:type="spellStart"/>
      <w:r>
        <w:t>Foncea</w:t>
      </w:r>
      <w:proofErr w:type="spellEnd"/>
      <w:r>
        <w:t xml:space="preserve">, M., &amp; </w:t>
      </w:r>
      <w:proofErr w:type="spellStart"/>
      <w:r>
        <w:t>Marcuello</w:t>
      </w:r>
      <w:proofErr w:type="spellEnd"/>
      <w:r>
        <w:t>, C. (2020). Why do donors donate? In Financing Nonprofit Organizations. https://doi.org/10.4324/9780429265419-3</w:t>
      </w:r>
    </w:p>
    <w:p w14:paraId="2C2FB327" w14:textId="77777777" w:rsidR="00213F4E" w:rsidRDefault="00213F4E" w:rsidP="00F341B9">
      <w:pPr>
        <w:pStyle w:val="NormalWeb"/>
        <w:ind w:left="720" w:hanging="720"/>
      </w:pPr>
      <w:r>
        <w:t xml:space="preserve">Bujang, M. A., Omar, E. D., &amp; Baharum, N. A. (2018). A review on sample size determination for </w:t>
      </w:r>
      <w:proofErr w:type="spellStart"/>
      <w:r>
        <w:t>cronbach’s</w:t>
      </w:r>
      <w:proofErr w:type="spellEnd"/>
      <w:r>
        <w:t xml:space="preserve"> alpha test: A simple guide for researchers. Malaysian Journal of Medical Sciences, 25(6). https://doi.org/10.21315/mjms2018.25.6.9</w:t>
      </w:r>
    </w:p>
    <w:p w14:paraId="3CF8AE84" w14:textId="77777777" w:rsidR="00213F4E" w:rsidRDefault="00213F4E" w:rsidP="00F341B9">
      <w:pPr>
        <w:pStyle w:val="NormalWeb"/>
        <w:ind w:left="720" w:hanging="720"/>
      </w:pPr>
      <w:r>
        <w:t>Escobar Rodas, R. J. (2020). Financial Services in Humanitarian Crises: Blockchain and the End of the Role of Banking? SSRN Electronic Journal. https://doi.org/10.2139/ssrn.3688629</w:t>
      </w:r>
    </w:p>
    <w:p w14:paraId="2B4BE581" w14:textId="77777777" w:rsidR="00213F4E" w:rsidRDefault="00213F4E" w:rsidP="00F341B9">
      <w:pPr>
        <w:pStyle w:val="NormalWeb"/>
        <w:ind w:left="720" w:hanging="720"/>
      </w:pPr>
      <w:proofErr w:type="spellStart"/>
      <w:r>
        <w:t>Falagara</w:t>
      </w:r>
      <w:proofErr w:type="spellEnd"/>
      <w:r>
        <w:t xml:space="preserve"> Sigala, I., Kettinger, W. J., &amp; </w:t>
      </w:r>
      <w:proofErr w:type="spellStart"/>
      <w:r>
        <w:t>Wakolbinger</w:t>
      </w:r>
      <w:proofErr w:type="spellEnd"/>
      <w:r>
        <w:t>, T. (2020). Digitizing the field: Designing ERP systems for Triple-A humanitarian supply chains. Journal of Humanitarian Logistics and Supply Chain Management, 10(2), 231-260.</w:t>
      </w:r>
    </w:p>
    <w:p w14:paraId="19B060C1" w14:textId="77777777" w:rsidR="00213F4E" w:rsidRDefault="00213F4E" w:rsidP="00F341B9">
      <w:pPr>
        <w:pStyle w:val="NormalWeb"/>
        <w:ind w:left="720" w:hanging="720"/>
      </w:pPr>
      <w:r>
        <w:t xml:space="preserve">Faza, F. T., &amp; </w:t>
      </w:r>
      <w:proofErr w:type="spellStart"/>
      <w:r>
        <w:t>Indriani</w:t>
      </w:r>
      <w:proofErr w:type="spellEnd"/>
      <w:r>
        <w:t xml:space="preserve">, A. (2022). Dynamics of Muslim Millennials in Charity Donation: A Donor-Side Perspective. </w:t>
      </w:r>
      <w:proofErr w:type="spellStart"/>
      <w:r>
        <w:t>Jurnal</w:t>
      </w:r>
      <w:proofErr w:type="spellEnd"/>
      <w:r>
        <w:t xml:space="preserve"> Ekonomi Syariah Teori Dan Terapan, 9(3). https://doi.org/10.20473/vol9iss20223pp352-361</w:t>
      </w:r>
    </w:p>
    <w:p w14:paraId="1E7C8C41" w14:textId="77777777" w:rsidR="00213F4E" w:rsidRDefault="00213F4E" w:rsidP="00F341B9">
      <w:pPr>
        <w:pStyle w:val="NormalWeb"/>
        <w:ind w:left="720" w:hanging="720"/>
      </w:pPr>
      <w:r>
        <w:t>Filson, C. K., Kodua-Ntim, K., &amp; Afful-Arthur, P. (2021). Funds Generation from the Internal Activities of an Academic Library Based on the Resource Based View (RBV) Theory. Library Philosophy and Practice, 2021.</w:t>
      </w:r>
    </w:p>
    <w:p w14:paraId="2B1D5FAC" w14:textId="77777777" w:rsidR="00213F4E" w:rsidRDefault="00213F4E" w:rsidP="00F341B9">
      <w:pPr>
        <w:pStyle w:val="NormalWeb"/>
        <w:ind w:left="720" w:hanging="720"/>
      </w:pPr>
      <w:r>
        <w:t>Ghilavi, M., Hajiha, Z., Moradi, Z., Hamed, M., &amp; Mohammadi, K. (2021). Application of Resource-Based View Theory in Assessing of Effi-</w:t>
      </w:r>
      <w:proofErr w:type="spellStart"/>
      <w:r>
        <w:t>ciency</w:t>
      </w:r>
      <w:proofErr w:type="spellEnd"/>
      <w:r>
        <w:t xml:space="preserve"> of Companies Accepted in Tehran Stock Exchange by Data Envelopment Analysis. Advances in Mathematical Finance &amp; Applications, 6(3).</w:t>
      </w:r>
    </w:p>
    <w:p w14:paraId="20EC1CF5" w14:textId="77777777" w:rsidR="00213F4E" w:rsidRDefault="00213F4E" w:rsidP="00F341B9">
      <w:pPr>
        <w:pStyle w:val="NormalWeb"/>
        <w:ind w:left="720" w:hanging="720"/>
      </w:pPr>
      <w:r>
        <w:t>Isip, A. (2023). What Digital Technologies are Used Today by Accounting Firms to Deliver Services. Proceedings of the International Conference on Business Excellence, 17(1). https://doi.org/10.2478/picbe-2023-0173</w:t>
      </w:r>
    </w:p>
    <w:p w14:paraId="1D1FA3D2" w14:textId="77777777" w:rsidR="00213F4E" w:rsidRDefault="00213F4E" w:rsidP="00F341B9">
      <w:pPr>
        <w:pStyle w:val="NormalWeb"/>
        <w:ind w:left="720" w:hanging="720"/>
      </w:pPr>
      <w:r>
        <w:t>Karbhari, Y., Alam, M. K., &amp; Rahman, M. M. (2020). Relevance of the application of institutional theory in Shariah governance of Islamic banks. In PSU Research Review (Vol. 5, Issue 1). https://doi.org/10.1108/PRR-05-2020-0015</w:t>
      </w:r>
    </w:p>
    <w:p w14:paraId="61DC6755" w14:textId="77777777" w:rsidR="00213F4E" w:rsidRDefault="00213F4E" w:rsidP="00F341B9">
      <w:pPr>
        <w:pStyle w:val="NormalWeb"/>
        <w:ind w:left="720" w:hanging="720"/>
      </w:pPr>
      <w:proofErr w:type="spellStart"/>
      <w:r>
        <w:t>Kawitan</w:t>
      </w:r>
      <w:proofErr w:type="spellEnd"/>
      <w:r>
        <w:t xml:space="preserve">, F. P., &amp; </w:t>
      </w:r>
      <w:proofErr w:type="spellStart"/>
      <w:r>
        <w:t>Sulistyawati</w:t>
      </w:r>
      <w:proofErr w:type="spellEnd"/>
      <w:r>
        <w:t xml:space="preserve">, L. (2021). </w:t>
      </w:r>
      <w:proofErr w:type="spellStart"/>
      <w:r>
        <w:t>Analisis</w:t>
      </w:r>
      <w:proofErr w:type="spellEnd"/>
      <w:r>
        <w:t xml:space="preserve"> Technology Acceptance Model (TAM) Pada </w:t>
      </w:r>
      <w:proofErr w:type="spellStart"/>
      <w:r>
        <w:t>Penggunaan</w:t>
      </w:r>
      <w:proofErr w:type="spellEnd"/>
      <w:r>
        <w:t xml:space="preserve"> Finance Technology “Dana.” JABEISTIK : </w:t>
      </w:r>
      <w:proofErr w:type="spellStart"/>
      <w:r>
        <w:t>Jurnal</w:t>
      </w:r>
      <w:proofErr w:type="spellEnd"/>
      <w:r>
        <w:t xml:space="preserve"> </w:t>
      </w:r>
      <w:proofErr w:type="spellStart"/>
      <w:r>
        <w:t>Analitika</w:t>
      </w:r>
      <w:proofErr w:type="spellEnd"/>
      <w:r>
        <w:t xml:space="preserve"> Bisnis, Ekonomi, </w:t>
      </w:r>
      <w:proofErr w:type="spellStart"/>
      <w:r>
        <w:t>Sosial</w:t>
      </w:r>
      <w:proofErr w:type="spellEnd"/>
      <w:r>
        <w:t xml:space="preserve"> Dan Politik, 1(2).</w:t>
      </w:r>
    </w:p>
    <w:p w14:paraId="5F7522FC" w14:textId="77777777" w:rsidR="00213F4E" w:rsidRDefault="00213F4E" w:rsidP="00F341B9">
      <w:pPr>
        <w:pStyle w:val="NormalWeb"/>
        <w:ind w:left="720" w:hanging="720"/>
      </w:pPr>
      <w:r>
        <w:lastRenderedPageBreak/>
        <w:t xml:space="preserve">Kesmodel, U. S. (2018). Cross-sectional studies – what are they good for? In Acta </w:t>
      </w:r>
      <w:proofErr w:type="spellStart"/>
      <w:r>
        <w:t>Obstetricia</w:t>
      </w:r>
      <w:proofErr w:type="spellEnd"/>
      <w:r>
        <w:t xml:space="preserve"> et </w:t>
      </w:r>
      <w:proofErr w:type="spellStart"/>
      <w:r>
        <w:t>Gynecologica</w:t>
      </w:r>
      <w:proofErr w:type="spellEnd"/>
      <w:r>
        <w:t xml:space="preserve"> Scandinavica (Vol. 97, Issue 4). https://doi.org/10.1111/aogs.13331</w:t>
      </w:r>
    </w:p>
    <w:p w14:paraId="2BCC0819" w14:textId="77777777" w:rsidR="00213F4E" w:rsidRDefault="00213F4E" w:rsidP="00F341B9">
      <w:pPr>
        <w:pStyle w:val="NormalWeb"/>
        <w:ind w:left="720" w:hanging="720"/>
      </w:pPr>
      <w:r>
        <w:t>Lamothe, M., &amp; Shen, I. (2023). Does Accountability Matter in Performance?: Cases from Charity Navigator. Journal of Nonprofit Education and Leadership, 13(3). https://doi.org/10.18666/jnel-2022-11549</w:t>
      </w:r>
    </w:p>
    <w:p w14:paraId="4D5F65CC" w14:textId="77777777" w:rsidR="00213F4E" w:rsidRDefault="00213F4E" w:rsidP="00F341B9">
      <w:pPr>
        <w:pStyle w:val="NormalWeb"/>
        <w:ind w:left="720" w:hanging="720"/>
      </w:pPr>
      <w:r>
        <w:t xml:space="preserve">Lukyanova, I., </w:t>
      </w:r>
      <w:proofErr w:type="spellStart"/>
      <w:r>
        <w:t>Haddud</w:t>
      </w:r>
      <w:proofErr w:type="spellEnd"/>
      <w:r>
        <w:t>, A., &amp; Khare, A. (2022). Types of ERP systems and their impacts on the supply chains in the humanitarian and private sectors. Sustainability, 14(20), 13054. https://doi.org/10.3390/su142013054</w:t>
      </w:r>
    </w:p>
    <w:p w14:paraId="5FD11E38" w14:textId="77777777" w:rsidR="00213F4E" w:rsidRDefault="00213F4E" w:rsidP="00F341B9">
      <w:pPr>
        <w:pStyle w:val="NormalWeb"/>
        <w:ind w:left="720" w:hanging="720"/>
      </w:pPr>
      <w:r>
        <w:t xml:space="preserve">Lukyanova, I., </w:t>
      </w:r>
      <w:proofErr w:type="spellStart"/>
      <w:r>
        <w:t>Haddud</w:t>
      </w:r>
      <w:proofErr w:type="spellEnd"/>
      <w:r>
        <w:t>, A., &amp; Khare, A. (2022, November). Roles of ERP systems in supply chains of humanitarian and private sectors. Paper presented at the 2022 Annual Conference of The Decision Sciences Institute, Houston, TX, United States. https://www.researchgate.net/publication/375717097</w:t>
      </w:r>
    </w:p>
    <w:p w14:paraId="748145BF" w14:textId="77777777" w:rsidR="00213F4E" w:rsidRDefault="00213F4E" w:rsidP="00F341B9">
      <w:pPr>
        <w:pStyle w:val="NormalWeb"/>
        <w:ind w:left="720" w:hanging="720"/>
      </w:pPr>
      <w:r>
        <w:t>Lutfi, A. (2022). Understanding the intention to adopt cloud-based accounting information systems in Jordanian SMEs. International Journal of Digital Accounting Research, 22. https://doi.org/10.4192/issn.1405-7091.v22.001</w:t>
      </w:r>
    </w:p>
    <w:p w14:paraId="1E5DB6CF" w14:textId="77777777" w:rsidR="00213F4E" w:rsidRDefault="00213F4E" w:rsidP="00F341B9">
      <w:pPr>
        <w:pStyle w:val="NormalWeb"/>
        <w:ind w:left="720" w:hanging="720"/>
      </w:pPr>
      <w:r>
        <w:t>Manja, L. O. (2021). Adoption of cloud computing by the government as a tool for effective management of government funds in Kenyan public schools (Doctoral dissertation, University of Nairobi).</w:t>
      </w:r>
    </w:p>
    <w:p w14:paraId="0C3AF7F2" w14:textId="77777777" w:rsidR="00213F4E" w:rsidRDefault="00213F4E" w:rsidP="00F341B9">
      <w:pPr>
        <w:pStyle w:val="NormalWeb"/>
        <w:ind w:left="720" w:hanging="720"/>
      </w:pPr>
      <w:r>
        <w:t xml:space="preserve">Medina, L., Kreutzmann, A. K., Rojas-Perilla, N., &amp; Castro, P. (2019). The R package </w:t>
      </w:r>
      <w:proofErr w:type="spellStart"/>
      <w:r>
        <w:t>trafo</w:t>
      </w:r>
      <w:proofErr w:type="spellEnd"/>
      <w:r>
        <w:t xml:space="preserve"> for transforming linear regression models. R Journal, 11(2). https://doi.org/10.32614/rj-2019-054</w:t>
      </w:r>
    </w:p>
    <w:p w14:paraId="4D46C319" w14:textId="77777777" w:rsidR="00213F4E" w:rsidRDefault="00213F4E" w:rsidP="00F341B9">
      <w:pPr>
        <w:pStyle w:val="NormalWeb"/>
        <w:ind w:left="720" w:hanging="720"/>
      </w:pPr>
      <w:r>
        <w:t xml:space="preserve">Mendes-Da-Silva, W., Rossoni, L., Francisco, E., &amp; </w:t>
      </w:r>
      <w:proofErr w:type="spellStart"/>
      <w:r>
        <w:t>Gattaz</w:t>
      </w:r>
      <w:proofErr w:type="spellEnd"/>
      <w:r>
        <w:t>, C. C. (2018). Geographic distance and reward crowdfunding donation. In Individual Behaviors and Technologies for Financial Innovations. https://doi.org/10.1007/978-3-319-91911-9_9</w:t>
      </w:r>
    </w:p>
    <w:p w14:paraId="2EB77B29" w14:textId="77777777" w:rsidR="00213F4E" w:rsidRDefault="00213F4E" w:rsidP="00F341B9">
      <w:pPr>
        <w:pStyle w:val="NormalWeb"/>
        <w:ind w:left="720" w:hanging="720"/>
      </w:pPr>
      <w:r>
        <w:t xml:space="preserve">Moyo, B., &amp; </w:t>
      </w:r>
      <w:proofErr w:type="spellStart"/>
      <w:r>
        <w:t>Alagidede</w:t>
      </w:r>
      <w:proofErr w:type="spellEnd"/>
      <w:r>
        <w:t>, I. P. (2020). Editorial: birth of the International Review on Philanthropy and Social Investment. International Review of Philanthropy and Social Investment, 1(1). https://doi.org/10.47019/irpsi.2020/v1n1a0</w:t>
      </w:r>
    </w:p>
    <w:p w14:paraId="4FFCAF02" w14:textId="77777777" w:rsidR="00213F4E" w:rsidRDefault="00213F4E" w:rsidP="00F341B9">
      <w:pPr>
        <w:pStyle w:val="NormalWeb"/>
        <w:ind w:left="720" w:hanging="720"/>
      </w:pPr>
      <w:proofErr w:type="spellStart"/>
      <w:r>
        <w:t>Muthuka</w:t>
      </w:r>
      <w:proofErr w:type="spellEnd"/>
      <w:r>
        <w:t>, D. (2021). Effects of financial innovations on financial performance of non-governmental organizations in the health sector in Nairobi County (Doctoral dissertation, University of Nairobi).</w:t>
      </w:r>
    </w:p>
    <w:p w14:paraId="2BD2B4C6" w14:textId="77777777" w:rsidR="00213F4E" w:rsidRDefault="00213F4E" w:rsidP="00F341B9">
      <w:pPr>
        <w:pStyle w:val="NormalWeb"/>
        <w:ind w:left="720" w:hanging="720"/>
      </w:pPr>
      <w:r>
        <w:t>NB, S. (2023). Social Media and Libraries. International Journal of Research in Library Science, 9(1). https://doi.org/10.26761/ijrls.9.1.2023.1614</w:t>
      </w:r>
    </w:p>
    <w:p w14:paraId="4D6DC9A0" w14:textId="77777777" w:rsidR="00213F4E" w:rsidRDefault="00213F4E" w:rsidP="00F341B9">
      <w:pPr>
        <w:pStyle w:val="NormalWeb"/>
        <w:ind w:left="720" w:hanging="720"/>
      </w:pPr>
      <w:r>
        <w:t>Negi, S. (2024). A blockchain technology for improving financial flows in humanitarian supply chains: Benefits and challenges. Journal of Humanitarian Logistics and Supply Chain Management. https://doi.org/10.1108/JHLSCM-04-2024-0041</w:t>
      </w:r>
    </w:p>
    <w:p w14:paraId="07DCD3B9" w14:textId="77777777" w:rsidR="00213F4E" w:rsidRDefault="00213F4E" w:rsidP="00F341B9">
      <w:pPr>
        <w:pStyle w:val="NormalWeb"/>
        <w:ind w:left="720" w:hanging="720"/>
      </w:pPr>
      <w:proofErr w:type="spellStart"/>
      <w:r>
        <w:t>Peterken</w:t>
      </w:r>
      <w:proofErr w:type="spellEnd"/>
      <w:r>
        <w:t>, H., &amp; Bandara, W. (2018). Business processes in international humanitarian aid. In Business Process Management Journal.</w:t>
      </w:r>
    </w:p>
    <w:p w14:paraId="3DB31675" w14:textId="77777777" w:rsidR="00213F4E" w:rsidRDefault="00213F4E" w:rsidP="00F341B9">
      <w:pPr>
        <w:pStyle w:val="NormalWeb"/>
        <w:ind w:left="720" w:hanging="720"/>
      </w:pPr>
      <w:r>
        <w:t xml:space="preserve">Peters, B. G. (2022). Institutional theory. In Handbook on Theories of Governance. https://doi.org/10.5040/9781474274289.0014 </w:t>
      </w:r>
    </w:p>
    <w:p w14:paraId="1A714D77" w14:textId="77777777" w:rsidR="00213F4E" w:rsidRDefault="00213F4E" w:rsidP="00F341B9">
      <w:pPr>
        <w:pStyle w:val="NormalWeb"/>
        <w:ind w:left="720" w:hanging="720"/>
      </w:pPr>
      <w:r>
        <w:t>Reinsberg, B. (2019). Blockchain technology and the governance of foreign aid. Journal of Institutional Economics, 15(3), 413-429. https://doi.org/10.1017/S1744137419000039</w:t>
      </w:r>
    </w:p>
    <w:p w14:paraId="07B5823C" w14:textId="77777777" w:rsidR="00213F4E" w:rsidRDefault="00213F4E" w:rsidP="00F341B9">
      <w:pPr>
        <w:pStyle w:val="NormalWeb"/>
        <w:ind w:left="720" w:hanging="720"/>
      </w:pPr>
      <w:r>
        <w:lastRenderedPageBreak/>
        <w:t xml:space="preserve">Saxton, G. D., &amp; Neely, D. G. (2019). The Relationship Between Sarbanes–Oxley Policies and Donor Advisories in Nonprofit Organizations. Journal of Business Ethics, 158(2). https://doi.org/10.1007/s10551-018-3843-0 </w:t>
      </w:r>
    </w:p>
    <w:p w14:paraId="5951ED85" w14:textId="77777777" w:rsidR="00213F4E" w:rsidRDefault="00213F4E" w:rsidP="00F341B9">
      <w:pPr>
        <w:pStyle w:val="NormalWeb"/>
        <w:ind w:left="720" w:hanging="720"/>
      </w:pPr>
      <w:r>
        <w:t>Setia, M. S. (2016). Methodology series module 3: Cross-sectional studies. Indian Journal of Dermatology, 61(3). https://doi.org/10.4103/0019-5154.182410</w:t>
      </w:r>
    </w:p>
    <w:p w14:paraId="3711EA39" w14:textId="77777777" w:rsidR="00213F4E" w:rsidRDefault="00213F4E" w:rsidP="00F341B9">
      <w:pPr>
        <w:pStyle w:val="NormalWeb"/>
        <w:ind w:left="720" w:hanging="720"/>
      </w:pPr>
      <w:proofErr w:type="spellStart"/>
      <w:r>
        <w:t>Seyedsayamdost</w:t>
      </w:r>
      <w:proofErr w:type="spellEnd"/>
      <w:r>
        <w:t>, E., &amp; Vanderwal, P. (2020). From good governance to governance for good: Blockchain for social impact. Journal of International Development, 32(6), 943-960. https://doi.org/10.1002/jid.3497</w:t>
      </w:r>
    </w:p>
    <w:p w14:paraId="45535D8E" w14:textId="77777777" w:rsidR="00213F4E" w:rsidRDefault="00213F4E" w:rsidP="00F341B9">
      <w:pPr>
        <w:pStyle w:val="NormalWeb"/>
        <w:ind w:left="720" w:hanging="720"/>
      </w:pPr>
      <w:r>
        <w:t>Shin, E. J., Kang, H. G., &amp; Bae, K. (2020). A study on the sustainable development of NPOs with blockchain technology. Sustainability, 12(15), 6158. https://doi.org/10.3390/su12156158</w:t>
      </w:r>
    </w:p>
    <w:p w14:paraId="2A38EA0D" w14:textId="77777777" w:rsidR="00213F4E" w:rsidRPr="00755EB5" w:rsidRDefault="00213F4E" w:rsidP="00755EB5">
      <w:pPr>
        <w:pStyle w:val="NormalWeb"/>
        <w:ind w:left="720" w:hanging="720"/>
        <w:rPr>
          <w:bCs/>
          <w:color w:val="000000" w:themeColor="text1"/>
          <w:szCs w:val="28"/>
        </w:rPr>
      </w:pPr>
      <w:proofErr w:type="spellStart"/>
      <w:r w:rsidRPr="00213F4E">
        <w:rPr>
          <w:bCs/>
          <w:color w:val="000000" w:themeColor="text1"/>
          <w:szCs w:val="28"/>
          <w:highlight w:val="green"/>
        </w:rPr>
        <w:t>Shoetan</w:t>
      </w:r>
      <w:proofErr w:type="spellEnd"/>
      <w:r w:rsidRPr="00213F4E">
        <w:rPr>
          <w:bCs/>
          <w:color w:val="000000" w:themeColor="text1"/>
          <w:szCs w:val="28"/>
          <w:highlight w:val="green"/>
        </w:rPr>
        <w:t xml:space="preserve">, P. O., &amp; </w:t>
      </w:r>
      <w:proofErr w:type="spellStart"/>
      <w:r w:rsidRPr="00213F4E">
        <w:rPr>
          <w:bCs/>
          <w:color w:val="000000" w:themeColor="text1"/>
          <w:szCs w:val="28"/>
          <w:highlight w:val="green"/>
        </w:rPr>
        <w:t>Familoni</w:t>
      </w:r>
      <w:proofErr w:type="spellEnd"/>
      <w:r w:rsidRPr="00213F4E">
        <w:rPr>
          <w:bCs/>
          <w:color w:val="000000" w:themeColor="text1"/>
          <w:szCs w:val="28"/>
          <w:highlight w:val="green"/>
        </w:rPr>
        <w:t xml:space="preserve">, B. T. (2024). Blockchain’s impact on financial security and efficiency beyond cryptocurrency uses: A comparative analysis between Nigeria and the USA. </w:t>
      </w:r>
      <w:r w:rsidRPr="00213F4E">
        <w:rPr>
          <w:bCs/>
          <w:i/>
          <w:color w:val="000000" w:themeColor="text1"/>
          <w:szCs w:val="28"/>
          <w:highlight w:val="green"/>
        </w:rPr>
        <w:t>International Journal of Management &amp; Entrepreneurship Research,</w:t>
      </w:r>
      <w:r w:rsidRPr="00213F4E">
        <w:rPr>
          <w:bCs/>
          <w:color w:val="000000" w:themeColor="text1"/>
          <w:szCs w:val="28"/>
          <w:highlight w:val="green"/>
        </w:rPr>
        <w:t xml:space="preserve"> 6*(4), 1211–1235.</w:t>
      </w:r>
    </w:p>
    <w:p w14:paraId="6477C9EA" w14:textId="77777777" w:rsidR="00213F4E" w:rsidRDefault="00213F4E" w:rsidP="00F341B9">
      <w:pPr>
        <w:pStyle w:val="NormalWeb"/>
        <w:ind w:left="720" w:hanging="720"/>
      </w:pPr>
      <w:r>
        <w:t>Snipes, G., Karo, M., Faulkner, A. E., &amp; Reiter, L. (Eds.). (2022). Teaching business information literacy. Association of College and Research Libraries.</w:t>
      </w:r>
    </w:p>
    <w:p w14:paraId="628A0400" w14:textId="77777777" w:rsidR="00213F4E" w:rsidRDefault="00213F4E" w:rsidP="00F341B9">
      <w:pPr>
        <w:pStyle w:val="NormalWeb"/>
        <w:ind w:left="720" w:hanging="720"/>
      </w:pPr>
      <w:r>
        <w:t xml:space="preserve">Sonawane, S. S., </w:t>
      </w:r>
      <w:proofErr w:type="spellStart"/>
      <w:r>
        <w:t>Chhajed</w:t>
      </w:r>
      <w:proofErr w:type="spellEnd"/>
      <w:r>
        <w:t>, S. S., Attar, S. S., &amp; Kshirsagar, S. J. (2019). An approach to select linear regression model in bioanalytical method validation. Journal of Analytical Science and Technology, 10(1). https://doi.org/10.1186/s40543-018-0160-2</w:t>
      </w:r>
    </w:p>
    <w:p w14:paraId="63C866B7" w14:textId="77777777" w:rsidR="00213F4E" w:rsidRDefault="00213F4E" w:rsidP="00F341B9">
      <w:pPr>
        <w:pStyle w:val="NormalWeb"/>
        <w:ind w:left="720" w:hanging="720"/>
      </w:pPr>
      <w:r>
        <w:t>Sun, R., &amp; Zhang, B. (2023). Can fintech make corporate investments more efficient? A study on financing constraints and agency conflicts. Economic Research-</w:t>
      </w:r>
      <w:proofErr w:type="spellStart"/>
      <w:r>
        <w:t>Ekonomska</w:t>
      </w:r>
      <w:proofErr w:type="spellEnd"/>
      <w:r>
        <w:t xml:space="preserve"> </w:t>
      </w:r>
      <w:proofErr w:type="spellStart"/>
      <w:r>
        <w:t>Istrazivanja</w:t>
      </w:r>
      <w:proofErr w:type="spellEnd"/>
      <w:r>
        <w:t xml:space="preserve"> , 36(3). https://doi.org/10.1080/1331677X.2023.2185795</w:t>
      </w:r>
    </w:p>
    <w:p w14:paraId="1A1957D8" w14:textId="77777777" w:rsidR="00213F4E" w:rsidRPr="00213F4E" w:rsidRDefault="00213F4E" w:rsidP="00755EB5">
      <w:pPr>
        <w:pStyle w:val="NormalWeb"/>
        <w:ind w:left="720" w:hanging="720"/>
        <w:rPr>
          <w:bCs/>
          <w:color w:val="000000" w:themeColor="text1"/>
          <w:szCs w:val="28"/>
          <w:highlight w:val="green"/>
        </w:rPr>
      </w:pPr>
      <w:r w:rsidRPr="00213F4E">
        <w:rPr>
          <w:bCs/>
          <w:color w:val="000000" w:themeColor="text1"/>
          <w:szCs w:val="28"/>
          <w:highlight w:val="green"/>
        </w:rPr>
        <w:t xml:space="preserve">Tapscott, D., &amp; Tapscott, A. (2016). </w:t>
      </w:r>
      <w:r w:rsidRPr="00213F4E">
        <w:rPr>
          <w:bCs/>
          <w:i/>
          <w:color w:val="000000" w:themeColor="text1"/>
          <w:szCs w:val="28"/>
          <w:highlight w:val="green"/>
        </w:rPr>
        <w:t>Blockchain revolution: How the technology behind Bitcoin is changing money, business, and the world</w:t>
      </w:r>
      <w:r w:rsidRPr="00213F4E">
        <w:rPr>
          <w:bCs/>
          <w:color w:val="000000" w:themeColor="text1"/>
          <w:szCs w:val="28"/>
          <w:highlight w:val="green"/>
        </w:rPr>
        <w:t xml:space="preserve">. Portfolio Penguin. </w:t>
      </w:r>
    </w:p>
    <w:p w14:paraId="594BB962" w14:textId="77777777" w:rsidR="00213F4E" w:rsidRDefault="00213F4E" w:rsidP="00F341B9">
      <w:pPr>
        <w:pStyle w:val="NormalWeb"/>
        <w:ind w:left="720" w:hanging="720"/>
      </w:pPr>
      <w:r>
        <w:t xml:space="preserve">Taylor, J., Fuller, R. P., &amp; </w:t>
      </w:r>
      <w:proofErr w:type="spellStart"/>
      <w:r>
        <w:t>Ashtari</w:t>
      </w:r>
      <w:proofErr w:type="spellEnd"/>
      <w:r>
        <w:t>, S. (2021). Strength in numbers: Empowering nonprofits through technology communities of practice. 27th Annual Americas Conference on Information Systems, AMCIS 2021.</w:t>
      </w:r>
    </w:p>
    <w:p w14:paraId="4913BC1E" w14:textId="77777777" w:rsidR="00213F4E" w:rsidRDefault="00213F4E" w:rsidP="00F341B9">
      <w:pPr>
        <w:pStyle w:val="NormalWeb"/>
        <w:ind w:left="720" w:hanging="720"/>
      </w:pPr>
      <w:r>
        <w:t xml:space="preserve">Thakker, P., &amp; </w:t>
      </w:r>
      <w:proofErr w:type="spellStart"/>
      <w:r>
        <w:t>Japee</w:t>
      </w:r>
      <w:proofErr w:type="spellEnd"/>
      <w:r>
        <w:t>, G. (2023). Cloud-based accounting technologies: Revolutionizing financial management. International Journal of Science, Engineering and Management, 10(6), 20-26. https://doi.org/10.30574/gjeta.2024.18.2.0027</w:t>
      </w:r>
    </w:p>
    <w:p w14:paraId="1524AABC" w14:textId="77777777" w:rsidR="00213F4E" w:rsidRDefault="00213F4E" w:rsidP="00F341B9">
      <w:pPr>
        <w:pStyle w:val="NormalWeb"/>
        <w:ind w:left="720" w:hanging="720"/>
      </w:pPr>
      <w:r>
        <w:t xml:space="preserve">Vaske, J. J., Beaman, J., &amp; </w:t>
      </w:r>
      <w:proofErr w:type="spellStart"/>
      <w:r>
        <w:t>Sponarski</w:t>
      </w:r>
      <w:proofErr w:type="spellEnd"/>
      <w:r>
        <w:t>, C. C. (2017). Rethinking Internal Consistency in Cronbach’s Alpha. Leisure Sciences, 39(2). https://doi.org/10.1080/01490400.2015.1127189</w:t>
      </w:r>
    </w:p>
    <w:p w14:paraId="3AB6ADFD" w14:textId="77777777" w:rsidR="00213F4E" w:rsidRDefault="00213F4E" w:rsidP="00F341B9">
      <w:pPr>
        <w:pStyle w:val="NormalWeb"/>
        <w:ind w:left="720" w:hanging="720"/>
      </w:pPr>
      <w:r>
        <w:t>Venkatesh, V. , M. M. G. , D. G. B. , &amp; D. F. D. (2003). User acceptance of Information technology: Toward a unified view. MIS Quarterly,. 27(3), 425–478.</w:t>
      </w:r>
    </w:p>
    <w:p w14:paraId="0D3D8586" w14:textId="77777777" w:rsidR="00213F4E" w:rsidRDefault="00213F4E" w:rsidP="00F341B9">
      <w:pPr>
        <w:pStyle w:val="NormalWeb"/>
        <w:ind w:left="720" w:hanging="720"/>
      </w:pPr>
      <w:r>
        <w:t xml:space="preserve">Vo Van, H., Abu Afifa, M., &amp; Saleh, I. (2024). Accounting information systems and organizational performance in the cloud computing era: Evidence from SMEs. Sustainability Accounting, Management and Policy Journal. </w:t>
      </w:r>
      <w:hyperlink r:id="rId9" w:history="1">
        <w:r w:rsidRPr="009E3DE6">
          <w:rPr>
            <w:rStyle w:val="Hyperlink"/>
          </w:rPr>
          <w:t>https://doi.org/10.1108/SAMPJ-06-2023-0421</w:t>
        </w:r>
      </w:hyperlink>
    </w:p>
    <w:p w14:paraId="0C382B84" w14:textId="77777777" w:rsidR="00213F4E" w:rsidRPr="00213F4E" w:rsidRDefault="00213F4E" w:rsidP="00755EB5">
      <w:pPr>
        <w:pStyle w:val="NormalWeb"/>
        <w:ind w:left="720" w:hanging="720"/>
        <w:rPr>
          <w:bCs/>
          <w:color w:val="000000" w:themeColor="text1"/>
          <w:szCs w:val="28"/>
          <w:highlight w:val="green"/>
        </w:rPr>
      </w:pPr>
      <w:r w:rsidRPr="00213F4E">
        <w:rPr>
          <w:bCs/>
          <w:color w:val="000000" w:themeColor="text1"/>
          <w:szCs w:val="28"/>
          <w:highlight w:val="green"/>
        </w:rPr>
        <w:t xml:space="preserve">World Economic Forum. (2023). </w:t>
      </w:r>
      <w:r w:rsidRPr="00213F4E">
        <w:rPr>
          <w:bCs/>
          <w:i/>
          <w:color w:val="000000" w:themeColor="text1"/>
          <w:szCs w:val="28"/>
          <w:highlight w:val="green"/>
        </w:rPr>
        <w:t>Guidelines for Improving Blockchain’s Environmental, Social and Economic Impact</w:t>
      </w:r>
      <w:r w:rsidRPr="00213F4E">
        <w:rPr>
          <w:bCs/>
          <w:color w:val="000000" w:themeColor="text1"/>
          <w:szCs w:val="28"/>
          <w:highlight w:val="green"/>
        </w:rPr>
        <w:t xml:space="preserve">. Crypto Sustainability Coalition, Working Group on Energy Usage. </w:t>
      </w:r>
    </w:p>
    <w:p w14:paraId="61EA2584" w14:textId="77777777" w:rsidR="00213F4E" w:rsidRPr="00213F4E" w:rsidRDefault="00213F4E" w:rsidP="00755EB5">
      <w:pPr>
        <w:pStyle w:val="NormalWeb"/>
        <w:ind w:left="720" w:hanging="720"/>
        <w:rPr>
          <w:bCs/>
          <w:color w:val="000000" w:themeColor="text1"/>
          <w:szCs w:val="28"/>
          <w:highlight w:val="green"/>
        </w:rPr>
      </w:pPr>
      <w:proofErr w:type="spellStart"/>
      <w:r w:rsidRPr="00213F4E">
        <w:rPr>
          <w:bCs/>
          <w:color w:val="000000" w:themeColor="text1"/>
          <w:szCs w:val="28"/>
          <w:highlight w:val="green"/>
        </w:rPr>
        <w:lastRenderedPageBreak/>
        <w:t>Zweynert</w:t>
      </w:r>
      <w:proofErr w:type="spellEnd"/>
      <w:r w:rsidRPr="00213F4E">
        <w:rPr>
          <w:bCs/>
          <w:color w:val="000000" w:themeColor="text1"/>
          <w:szCs w:val="28"/>
          <w:highlight w:val="green"/>
        </w:rPr>
        <w:t xml:space="preserve">, A. (2018). Blockchain for social impact: transparency, lower transaction costs, digital identities, tamper resistance. In collaboration with </w:t>
      </w:r>
      <w:proofErr w:type="spellStart"/>
      <w:r w:rsidRPr="00213F4E">
        <w:rPr>
          <w:bCs/>
          <w:color w:val="000000" w:themeColor="text1"/>
          <w:szCs w:val="28"/>
          <w:highlight w:val="green"/>
        </w:rPr>
        <w:t>RippleWorks</w:t>
      </w:r>
      <w:proofErr w:type="spellEnd"/>
      <w:r w:rsidRPr="00213F4E">
        <w:rPr>
          <w:bCs/>
          <w:color w:val="000000" w:themeColor="text1"/>
          <w:szCs w:val="28"/>
          <w:highlight w:val="green"/>
        </w:rPr>
        <w:t xml:space="preserve"> and Stanford Centre for Social Innovation. Trust.org / Thomson Reuters Foundation. </w:t>
      </w:r>
    </w:p>
    <w:p w14:paraId="51F346BE" w14:textId="77777777" w:rsidR="00213F4E" w:rsidRPr="00755EB5" w:rsidRDefault="00213F4E">
      <w:pPr>
        <w:pStyle w:val="NormalWeb"/>
        <w:ind w:left="720" w:hanging="720"/>
        <w:rPr>
          <w:bCs/>
          <w:color w:val="000000" w:themeColor="text1"/>
          <w:szCs w:val="28"/>
        </w:rPr>
      </w:pPr>
    </w:p>
    <w:sectPr w:rsidR="00213F4E" w:rsidRPr="00755EB5" w:rsidSect="00055D83">
      <w:headerReference w:type="even" r:id="rId10"/>
      <w:headerReference w:type="default" r:id="rId11"/>
      <w:footerReference w:type="even" r:id="rId12"/>
      <w:footerReference w:type="default" r:id="rId13"/>
      <w:headerReference w:type="first" r:id="rId14"/>
      <w:footerReference w:type="first" r:id="rId15"/>
      <w:pgSz w:w="12240" w:h="15840" w:code="1"/>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4B420" w14:textId="77777777" w:rsidR="000C6804" w:rsidRDefault="000C6804">
      <w:pPr>
        <w:spacing w:before="0" w:line="240" w:lineRule="auto"/>
      </w:pPr>
      <w:r>
        <w:separator/>
      </w:r>
    </w:p>
  </w:endnote>
  <w:endnote w:type="continuationSeparator" w:id="0">
    <w:p w14:paraId="586E631B" w14:textId="77777777" w:rsidR="000C6804" w:rsidRDefault="000C680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A7A7D" w14:textId="77777777" w:rsidR="008325BA" w:rsidRDefault="00832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2236679"/>
      <w:docPartObj>
        <w:docPartGallery w:val="Page Numbers (Bottom of Page)"/>
        <w:docPartUnique/>
      </w:docPartObj>
    </w:sdtPr>
    <w:sdtEndPr>
      <w:rPr>
        <w:noProof/>
        <w:sz w:val="20"/>
        <w:szCs w:val="18"/>
      </w:rPr>
    </w:sdtEndPr>
    <w:sdtContent>
      <w:p w14:paraId="78E128D3" w14:textId="55445AAB" w:rsidR="004A12F4" w:rsidRPr="008A0558" w:rsidRDefault="00556C7C">
        <w:pPr>
          <w:pStyle w:val="Footer"/>
          <w:jc w:val="center"/>
          <w:rPr>
            <w:sz w:val="20"/>
            <w:szCs w:val="18"/>
          </w:rPr>
        </w:pPr>
        <w:r w:rsidRPr="008A0558">
          <w:rPr>
            <w:sz w:val="20"/>
            <w:szCs w:val="18"/>
          </w:rPr>
          <w:fldChar w:fldCharType="begin"/>
        </w:r>
        <w:r w:rsidRPr="008A0558">
          <w:rPr>
            <w:sz w:val="20"/>
            <w:szCs w:val="18"/>
          </w:rPr>
          <w:instrText xml:space="preserve"> PAGE   \* MERGEFORMAT </w:instrText>
        </w:r>
        <w:r w:rsidRPr="008A0558">
          <w:rPr>
            <w:sz w:val="20"/>
            <w:szCs w:val="18"/>
          </w:rPr>
          <w:fldChar w:fldCharType="separate"/>
        </w:r>
        <w:r w:rsidR="00B8718C">
          <w:rPr>
            <w:noProof/>
            <w:sz w:val="20"/>
            <w:szCs w:val="18"/>
          </w:rPr>
          <w:t>1</w:t>
        </w:r>
        <w:r w:rsidRPr="008A0558">
          <w:rPr>
            <w:noProof/>
            <w:sz w:val="20"/>
            <w:szCs w:val="18"/>
          </w:rPr>
          <w:fldChar w:fldCharType="end"/>
        </w:r>
      </w:p>
    </w:sdtContent>
  </w:sdt>
  <w:p w14:paraId="70E80D4D" w14:textId="77777777" w:rsidR="004A12F4" w:rsidRDefault="004A12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4BADF" w14:textId="77777777" w:rsidR="008325BA" w:rsidRDefault="00832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20A7C" w14:textId="77777777" w:rsidR="000C6804" w:rsidRDefault="000C6804">
      <w:pPr>
        <w:spacing w:before="0" w:line="240" w:lineRule="auto"/>
      </w:pPr>
      <w:r>
        <w:separator/>
      </w:r>
    </w:p>
  </w:footnote>
  <w:footnote w:type="continuationSeparator" w:id="0">
    <w:p w14:paraId="6339C73E" w14:textId="77777777" w:rsidR="000C6804" w:rsidRDefault="000C680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53711" w14:textId="2357757B" w:rsidR="008325BA" w:rsidRDefault="00000000">
    <w:pPr>
      <w:pStyle w:val="Header"/>
    </w:pPr>
    <w:r>
      <w:rPr>
        <w:noProof/>
      </w:rPr>
      <w:pict w14:anchorId="27AC9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69" o:spid="_x0000_s1026" type="#_x0000_t136" style="position:absolute;left:0;text-align:left;margin-left:0;margin-top:0;width:699.8pt;height:77.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81CA" w14:textId="50E6AB87" w:rsidR="008325BA" w:rsidRDefault="00000000">
    <w:pPr>
      <w:pStyle w:val="Header"/>
    </w:pPr>
    <w:r>
      <w:rPr>
        <w:noProof/>
      </w:rPr>
      <w:pict w14:anchorId="2A0305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70" o:spid="_x0000_s1027" type="#_x0000_t136" style="position:absolute;left:0;text-align:left;margin-left:0;margin-top:0;width:699.8pt;height:77.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D454" w14:textId="7A2B26F8" w:rsidR="008325BA" w:rsidRDefault="00000000">
    <w:pPr>
      <w:pStyle w:val="Header"/>
    </w:pPr>
    <w:r>
      <w:rPr>
        <w:noProof/>
      </w:rPr>
      <w:pict w14:anchorId="16CE0F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0054968" o:spid="_x0000_s1025" type="#_x0000_t136" style="position:absolute;left:0;text-align:left;margin-left:0;margin-top:0;width:699.8pt;height:77.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1B7C9E"/>
    <w:multiLevelType w:val="multilevel"/>
    <w:tmpl w:val="0C88FA22"/>
    <w:lvl w:ilvl="0">
      <w:start w:val="4"/>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15:restartNumberingAfterBreak="0">
    <w:nsid w:val="114F32EA"/>
    <w:multiLevelType w:val="hybridMultilevel"/>
    <w:tmpl w:val="E7D68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B47B39"/>
    <w:multiLevelType w:val="hybridMultilevel"/>
    <w:tmpl w:val="0D0A84F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D63F92"/>
    <w:multiLevelType w:val="hybridMultilevel"/>
    <w:tmpl w:val="0010C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8732FF"/>
    <w:multiLevelType w:val="multilevel"/>
    <w:tmpl w:val="568460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6B58F2"/>
    <w:multiLevelType w:val="multilevel"/>
    <w:tmpl w:val="EC12FE2E"/>
    <w:lvl w:ilvl="0">
      <w:start w:val="4"/>
      <w:numFmt w:val="decimal"/>
      <w:lvlText w:val="%1"/>
      <w:lvlJc w:val="left"/>
      <w:pPr>
        <w:ind w:left="375" w:hanging="375"/>
      </w:pPr>
      <w:rPr>
        <w:rFonts w:cs="SimSun" w:hint="default"/>
        <w:color w:val="000000"/>
        <w:sz w:val="24"/>
      </w:rPr>
    </w:lvl>
    <w:lvl w:ilvl="1">
      <w:start w:val="1"/>
      <w:numFmt w:val="decimal"/>
      <w:lvlText w:val="%1.%2"/>
      <w:lvlJc w:val="left"/>
      <w:pPr>
        <w:ind w:left="375" w:hanging="375"/>
      </w:pPr>
      <w:rPr>
        <w:rFonts w:cs="SimSun" w:hint="default"/>
        <w:color w:val="000000"/>
        <w:sz w:val="24"/>
      </w:rPr>
    </w:lvl>
    <w:lvl w:ilvl="2">
      <w:start w:val="1"/>
      <w:numFmt w:val="decimal"/>
      <w:lvlText w:val="%1.%2.%3"/>
      <w:lvlJc w:val="left"/>
      <w:pPr>
        <w:ind w:left="720" w:hanging="720"/>
      </w:pPr>
      <w:rPr>
        <w:rFonts w:cs="SimSun" w:hint="default"/>
        <w:color w:val="000000"/>
        <w:sz w:val="24"/>
      </w:rPr>
    </w:lvl>
    <w:lvl w:ilvl="3">
      <w:start w:val="1"/>
      <w:numFmt w:val="decimal"/>
      <w:lvlText w:val="%1.%2.%3.%4"/>
      <w:lvlJc w:val="left"/>
      <w:pPr>
        <w:ind w:left="720" w:hanging="720"/>
      </w:pPr>
      <w:rPr>
        <w:rFonts w:cs="SimSun" w:hint="default"/>
        <w:color w:val="000000"/>
        <w:sz w:val="24"/>
      </w:rPr>
    </w:lvl>
    <w:lvl w:ilvl="4">
      <w:start w:val="1"/>
      <w:numFmt w:val="decimal"/>
      <w:lvlText w:val="%1.%2.%3.%4.%5"/>
      <w:lvlJc w:val="left"/>
      <w:pPr>
        <w:ind w:left="1080" w:hanging="1080"/>
      </w:pPr>
      <w:rPr>
        <w:rFonts w:cs="SimSun" w:hint="default"/>
        <w:color w:val="000000"/>
        <w:sz w:val="24"/>
      </w:rPr>
    </w:lvl>
    <w:lvl w:ilvl="5">
      <w:start w:val="1"/>
      <w:numFmt w:val="decimal"/>
      <w:lvlText w:val="%1.%2.%3.%4.%5.%6"/>
      <w:lvlJc w:val="left"/>
      <w:pPr>
        <w:ind w:left="1080" w:hanging="1080"/>
      </w:pPr>
      <w:rPr>
        <w:rFonts w:cs="SimSun" w:hint="default"/>
        <w:color w:val="000000"/>
        <w:sz w:val="24"/>
      </w:rPr>
    </w:lvl>
    <w:lvl w:ilvl="6">
      <w:start w:val="1"/>
      <w:numFmt w:val="decimal"/>
      <w:lvlText w:val="%1.%2.%3.%4.%5.%6.%7"/>
      <w:lvlJc w:val="left"/>
      <w:pPr>
        <w:ind w:left="1440" w:hanging="1440"/>
      </w:pPr>
      <w:rPr>
        <w:rFonts w:cs="SimSun" w:hint="default"/>
        <w:color w:val="000000"/>
        <w:sz w:val="24"/>
      </w:rPr>
    </w:lvl>
    <w:lvl w:ilvl="7">
      <w:start w:val="1"/>
      <w:numFmt w:val="decimal"/>
      <w:lvlText w:val="%1.%2.%3.%4.%5.%6.%7.%8"/>
      <w:lvlJc w:val="left"/>
      <w:pPr>
        <w:ind w:left="1440" w:hanging="1440"/>
      </w:pPr>
      <w:rPr>
        <w:rFonts w:cs="SimSun" w:hint="default"/>
        <w:color w:val="000000"/>
        <w:sz w:val="24"/>
      </w:rPr>
    </w:lvl>
    <w:lvl w:ilvl="8">
      <w:start w:val="1"/>
      <w:numFmt w:val="decimal"/>
      <w:lvlText w:val="%1.%2.%3.%4.%5.%6.%7.%8.%9"/>
      <w:lvlJc w:val="left"/>
      <w:pPr>
        <w:ind w:left="1800" w:hanging="1800"/>
      </w:pPr>
      <w:rPr>
        <w:rFonts w:cs="SimSun" w:hint="default"/>
        <w:color w:val="000000"/>
        <w:sz w:val="24"/>
      </w:rPr>
    </w:lvl>
  </w:abstractNum>
  <w:abstractNum w:abstractNumId="7" w15:restartNumberingAfterBreak="0">
    <w:nsid w:val="79B72972"/>
    <w:multiLevelType w:val="hybridMultilevel"/>
    <w:tmpl w:val="4F306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84D78"/>
    <w:multiLevelType w:val="multilevel"/>
    <w:tmpl w:val="C2EA0EBE"/>
    <w:lvl w:ilvl="0">
      <w:start w:val="4"/>
      <w:numFmt w:val="decimal"/>
      <w:lvlText w:val="%1"/>
      <w:lvlJc w:val="left"/>
      <w:pPr>
        <w:ind w:left="525" w:hanging="360"/>
      </w:pPr>
      <w:rPr>
        <w:rFonts w:hint="default"/>
        <w:lang w:val="en-US" w:eastAsia="en-US" w:bidi="ar-SA"/>
      </w:rPr>
    </w:lvl>
    <w:lvl w:ilvl="1">
      <w:start w:val="1"/>
      <w:numFmt w:val="decimal"/>
      <w:lvlText w:val="%1.%2"/>
      <w:lvlJc w:val="left"/>
      <w:pPr>
        <w:ind w:left="525" w:hanging="360"/>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705" w:hanging="540"/>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960" w:hanging="540"/>
      </w:pPr>
      <w:rPr>
        <w:rFonts w:hint="default"/>
        <w:lang w:val="en-US" w:eastAsia="en-US" w:bidi="ar-SA"/>
      </w:rPr>
    </w:lvl>
    <w:lvl w:ilvl="4">
      <w:numFmt w:val="bullet"/>
      <w:lvlText w:val="•"/>
      <w:lvlJc w:val="left"/>
      <w:pPr>
        <w:ind w:left="1090" w:hanging="540"/>
      </w:pPr>
      <w:rPr>
        <w:rFonts w:hint="default"/>
        <w:lang w:val="en-US" w:eastAsia="en-US" w:bidi="ar-SA"/>
      </w:rPr>
    </w:lvl>
    <w:lvl w:ilvl="5">
      <w:numFmt w:val="bullet"/>
      <w:lvlText w:val="•"/>
      <w:lvlJc w:val="left"/>
      <w:pPr>
        <w:ind w:left="1220" w:hanging="540"/>
      </w:pPr>
      <w:rPr>
        <w:rFonts w:hint="default"/>
        <w:lang w:val="en-US" w:eastAsia="en-US" w:bidi="ar-SA"/>
      </w:rPr>
    </w:lvl>
    <w:lvl w:ilvl="6">
      <w:numFmt w:val="bullet"/>
      <w:lvlText w:val="•"/>
      <w:lvlJc w:val="left"/>
      <w:pPr>
        <w:ind w:left="1351" w:hanging="540"/>
      </w:pPr>
      <w:rPr>
        <w:rFonts w:hint="default"/>
        <w:lang w:val="en-US" w:eastAsia="en-US" w:bidi="ar-SA"/>
      </w:rPr>
    </w:lvl>
    <w:lvl w:ilvl="7">
      <w:numFmt w:val="bullet"/>
      <w:lvlText w:val="•"/>
      <w:lvlJc w:val="left"/>
      <w:pPr>
        <w:ind w:left="1481" w:hanging="540"/>
      </w:pPr>
      <w:rPr>
        <w:rFonts w:hint="default"/>
        <w:lang w:val="en-US" w:eastAsia="en-US" w:bidi="ar-SA"/>
      </w:rPr>
    </w:lvl>
    <w:lvl w:ilvl="8">
      <w:numFmt w:val="bullet"/>
      <w:lvlText w:val="•"/>
      <w:lvlJc w:val="left"/>
      <w:pPr>
        <w:ind w:left="1611" w:hanging="540"/>
      </w:pPr>
      <w:rPr>
        <w:rFonts w:hint="default"/>
        <w:lang w:val="en-US" w:eastAsia="en-US" w:bidi="ar-SA"/>
      </w:rPr>
    </w:lvl>
  </w:abstractNum>
  <w:num w:numId="1" w16cid:durableId="892501538">
    <w:abstractNumId w:val="2"/>
  </w:num>
  <w:num w:numId="2" w16cid:durableId="298146626">
    <w:abstractNumId w:val="4"/>
  </w:num>
  <w:num w:numId="3" w16cid:durableId="1442797239">
    <w:abstractNumId w:val="8"/>
  </w:num>
  <w:num w:numId="4" w16cid:durableId="1288976300">
    <w:abstractNumId w:val="7"/>
  </w:num>
  <w:num w:numId="5" w16cid:durableId="991063432">
    <w:abstractNumId w:val="5"/>
  </w:num>
  <w:num w:numId="6" w16cid:durableId="920797052">
    <w:abstractNumId w:val="6"/>
  </w:num>
  <w:num w:numId="7" w16cid:durableId="1623027271">
    <w:abstractNumId w:val="1"/>
  </w:num>
  <w:num w:numId="8" w16cid:durableId="542638701">
    <w:abstractNumId w:val="0"/>
  </w:num>
  <w:num w:numId="9" w16cid:durableId="11634278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D83"/>
    <w:rsid w:val="00005286"/>
    <w:rsid w:val="00014726"/>
    <w:rsid w:val="0001490C"/>
    <w:rsid w:val="000425EA"/>
    <w:rsid w:val="000443AB"/>
    <w:rsid w:val="000446E8"/>
    <w:rsid w:val="00047D61"/>
    <w:rsid w:val="00055D83"/>
    <w:rsid w:val="000577EB"/>
    <w:rsid w:val="0006448B"/>
    <w:rsid w:val="00064933"/>
    <w:rsid w:val="000661F9"/>
    <w:rsid w:val="00073097"/>
    <w:rsid w:val="000747C2"/>
    <w:rsid w:val="000750F8"/>
    <w:rsid w:val="00075490"/>
    <w:rsid w:val="00076BA5"/>
    <w:rsid w:val="00082DAA"/>
    <w:rsid w:val="0009733F"/>
    <w:rsid w:val="000A3BD7"/>
    <w:rsid w:val="000A57EC"/>
    <w:rsid w:val="000A6884"/>
    <w:rsid w:val="000B496D"/>
    <w:rsid w:val="000C037E"/>
    <w:rsid w:val="000C6804"/>
    <w:rsid w:val="000D075E"/>
    <w:rsid w:val="000D0F56"/>
    <w:rsid w:val="000D7152"/>
    <w:rsid w:val="000D7DAA"/>
    <w:rsid w:val="000E2349"/>
    <w:rsid w:val="00111B62"/>
    <w:rsid w:val="001163C7"/>
    <w:rsid w:val="00130874"/>
    <w:rsid w:val="001403AD"/>
    <w:rsid w:val="001450C8"/>
    <w:rsid w:val="001452A3"/>
    <w:rsid w:val="00152E7C"/>
    <w:rsid w:val="00154669"/>
    <w:rsid w:val="00157AC7"/>
    <w:rsid w:val="00162029"/>
    <w:rsid w:val="00167C75"/>
    <w:rsid w:val="001869F8"/>
    <w:rsid w:val="001938DE"/>
    <w:rsid w:val="001A5880"/>
    <w:rsid w:val="001C0412"/>
    <w:rsid w:val="001C4B7D"/>
    <w:rsid w:val="001D23A9"/>
    <w:rsid w:val="001D4A55"/>
    <w:rsid w:val="001D6A60"/>
    <w:rsid w:val="001E0043"/>
    <w:rsid w:val="001E21F0"/>
    <w:rsid w:val="001E3BDD"/>
    <w:rsid w:val="001E5289"/>
    <w:rsid w:val="001E649F"/>
    <w:rsid w:val="001F024F"/>
    <w:rsid w:val="001F2B0E"/>
    <w:rsid w:val="001F7468"/>
    <w:rsid w:val="00204AAD"/>
    <w:rsid w:val="00213F4E"/>
    <w:rsid w:val="0022156B"/>
    <w:rsid w:val="00223099"/>
    <w:rsid w:val="00223A1A"/>
    <w:rsid w:val="0022500A"/>
    <w:rsid w:val="00230D8B"/>
    <w:rsid w:val="00234957"/>
    <w:rsid w:val="00243C69"/>
    <w:rsid w:val="0024737A"/>
    <w:rsid w:val="0025635B"/>
    <w:rsid w:val="00260B2D"/>
    <w:rsid w:val="00270AED"/>
    <w:rsid w:val="00271CF6"/>
    <w:rsid w:val="00274AC6"/>
    <w:rsid w:val="00276CE5"/>
    <w:rsid w:val="002779A5"/>
    <w:rsid w:val="002856C7"/>
    <w:rsid w:val="002859D4"/>
    <w:rsid w:val="002860AE"/>
    <w:rsid w:val="002B2D3C"/>
    <w:rsid w:val="002B5578"/>
    <w:rsid w:val="002C5E15"/>
    <w:rsid w:val="002C6F25"/>
    <w:rsid w:val="002C72A3"/>
    <w:rsid w:val="002D1CB2"/>
    <w:rsid w:val="002D32ED"/>
    <w:rsid w:val="002D4259"/>
    <w:rsid w:val="002D7340"/>
    <w:rsid w:val="002E3874"/>
    <w:rsid w:val="002F03DA"/>
    <w:rsid w:val="00300BE0"/>
    <w:rsid w:val="00301FD6"/>
    <w:rsid w:val="003029F0"/>
    <w:rsid w:val="00311DFA"/>
    <w:rsid w:val="003131D7"/>
    <w:rsid w:val="003140FD"/>
    <w:rsid w:val="00323D68"/>
    <w:rsid w:val="0033028F"/>
    <w:rsid w:val="0033151D"/>
    <w:rsid w:val="00336C6D"/>
    <w:rsid w:val="00337145"/>
    <w:rsid w:val="00342FD9"/>
    <w:rsid w:val="00343363"/>
    <w:rsid w:val="00350703"/>
    <w:rsid w:val="0036344E"/>
    <w:rsid w:val="00370F8B"/>
    <w:rsid w:val="00372DCB"/>
    <w:rsid w:val="00376BF4"/>
    <w:rsid w:val="003C1EB2"/>
    <w:rsid w:val="003C4227"/>
    <w:rsid w:val="003C581F"/>
    <w:rsid w:val="003C59BB"/>
    <w:rsid w:val="003C7107"/>
    <w:rsid w:val="003D2541"/>
    <w:rsid w:val="003D39AB"/>
    <w:rsid w:val="003D7198"/>
    <w:rsid w:val="003E0D69"/>
    <w:rsid w:val="003F01AE"/>
    <w:rsid w:val="003F72A0"/>
    <w:rsid w:val="00406845"/>
    <w:rsid w:val="004071F4"/>
    <w:rsid w:val="00407977"/>
    <w:rsid w:val="0041566F"/>
    <w:rsid w:val="00415ABE"/>
    <w:rsid w:val="00420636"/>
    <w:rsid w:val="00421CF2"/>
    <w:rsid w:val="0042251A"/>
    <w:rsid w:val="00426617"/>
    <w:rsid w:val="00426CDB"/>
    <w:rsid w:val="00437393"/>
    <w:rsid w:val="00440EF7"/>
    <w:rsid w:val="004916BB"/>
    <w:rsid w:val="00496991"/>
    <w:rsid w:val="004A12F4"/>
    <w:rsid w:val="004A3F7C"/>
    <w:rsid w:val="004A5357"/>
    <w:rsid w:val="004C3121"/>
    <w:rsid w:val="004C41F7"/>
    <w:rsid w:val="004D081D"/>
    <w:rsid w:val="004D5CCD"/>
    <w:rsid w:val="004E0709"/>
    <w:rsid w:val="004E3D2D"/>
    <w:rsid w:val="004E4A2C"/>
    <w:rsid w:val="00505972"/>
    <w:rsid w:val="00526412"/>
    <w:rsid w:val="0052667E"/>
    <w:rsid w:val="005417F4"/>
    <w:rsid w:val="0054398C"/>
    <w:rsid w:val="00546369"/>
    <w:rsid w:val="00556C7C"/>
    <w:rsid w:val="00561737"/>
    <w:rsid w:val="00563CE7"/>
    <w:rsid w:val="005666F9"/>
    <w:rsid w:val="00571717"/>
    <w:rsid w:val="00571F99"/>
    <w:rsid w:val="005740B5"/>
    <w:rsid w:val="00575F00"/>
    <w:rsid w:val="00591DBD"/>
    <w:rsid w:val="005926C9"/>
    <w:rsid w:val="00594F68"/>
    <w:rsid w:val="005B04D7"/>
    <w:rsid w:val="005B0558"/>
    <w:rsid w:val="005C08B2"/>
    <w:rsid w:val="005D3FE1"/>
    <w:rsid w:val="005D72F4"/>
    <w:rsid w:val="005E3D2C"/>
    <w:rsid w:val="005F1DA5"/>
    <w:rsid w:val="005F2F50"/>
    <w:rsid w:val="0060683F"/>
    <w:rsid w:val="00610BEF"/>
    <w:rsid w:val="00616E93"/>
    <w:rsid w:val="006177C4"/>
    <w:rsid w:val="006211E5"/>
    <w:rsid w:val="00622E5D"/>
    <w:rsid w:val="00623C02"/>
    <w:rsid w:val="00632E53"/>
    <w:rsid w:val="00652895"/>
    <w:rsid w:val="0065654C"/>
    <w:rsid w:val="00661AAF"/>
    <w:rsid w:val="00675C16"/>
    <w:rsid w:val="006826A1"/>
    <w:rsid w:val="00683F32"/>
    <w:rsid w:val="0068692A"/>
    <w:rsid w:val="006A0520"/>
    <w:rsid w:val="006B1220"/>
    <w:rsid w:val="006B3C88"/>
    <w:rsid w:val="006B5A8E"/>
    <w:rsid w:val="006B5CA2"/>
    <w:rsid w:val="006C3DFD"/>
    <w:rsid w:val="006C41A9"/>
    <w:rsid w:val="006C4D79"/>
    <w:rsid w:val="006D16E8"/>
    <w:rsid w:val="006E1D74"/>
    <w:rsid w:val="006E3F3F"/>
    <w:rsid w:val="00714562"/>
    <w:rsid w:val="0071731F"/>
    <w:rsid w:val="007173FC"/>
    <w:rsid w:val="007205CE"/>
    <w:rsid w:val="00722A32"/>
    <w:rsid w:val="00723B81"/>
    <w:rsid w:val="00724261"/>
    <w:rsid w:val="007313ED"/>
    <w:rsid w:val="00755EB5"/>
    <w:rsid w:val="00762807"/>
    <w:rsid w:val="0077042C"/>
    <w:rsid w:val="00774F84"/>
    <w:rsid w:val="007769D0"/>
    <w:rsid w:val="00777615"/>
    <w:rsid w:val="00784B96"/>
    <w:rsid w:val="00785F6F"/>
    <w:rsid w:val="00797B58"/>
    <w:rsid w:val="007A0442"/>
    <w:rsid w:val="007A602B"/>
    <w:rsid w:val="007A6B64"/>
    <w:rsid w:val="007A7328"/>
    <w:rsid w:val="007A784F"/>
    <w:rsid w:val="007B2320"/>
    <w:rsid w:val="007B75C6"/>
    <w:rsid w:val="007C3182"/>
    <w:rsid w:val="007D08AC"/>
    <w:rsid w:val="007D3229"/>
    <w:rsid w:val="007D4F35"/>
    <w:rsid w:val="007E5A6C"/>
    <w:rsid w:val="007F1318"/>
    <w:rsid w:val="007F3E5B"/>
    <w:rsid w:val="007F4F3C"/>
    <w:rsid w:val="008003E7"/>
    <w:rsid w:val="0081762C"/>
    <w:rsid w:val="008209F0"/>
    <w:rsid w:val="008263C5"/>
    <w:rsid w:val="008325BA"/>
    <w:rsid w:val="008456FF"/>
    <w:rsid w:val="00854FF7"/>
    <w:rsid w:val="00857BF9"/>
    <w:rsid w:val="00870B4E"/>
    <w:rsid w:val="008718EE"/>
    <w:rsid w:val="00872612"/>
    <w:rsid w:val="00876501"/>
    <w:rsid w:val="00880213"/>
    <w:rsid w:val="00895281"/>
    <w:rsid w:val="00897A35"/>
    <w:rsid w:val="008A5E87"/>
    <w:rsid w:val="008B511B"/>
    <w:rsid w:val="008B630B"/>
    <w:rsid w:val="008B7836"/>
    <w:rsid w:val="008B7D65"/>
    <w:rsid w:val="008C2098"/>
    <w:rsid w:val="008D43EA"/>
    <w:rsid w:val="008E2312"/>
    <w:rsid w:val="008F4E62"/>
    <w:rsid w:val="00906288"/>
    <w:rsid w:val="0092006B"/>
    <w:rsid w:val="00925466"/>
    <w:rsid w:val="0092720B"/>
    <w:rsid w:val="00935ABF"/>
    <w:rsid w:val="00945F70"/>
    <w:rsid w:val="00961903"/>
    <w:rsid w:val="00963A57"/>
    <w:rsid w:val="00973355"/>
    <w:rsid w:val="009841F2"/>
    <w:rsid w:val="00993BED"/>
    <w:rsid w:val="009963FB"/>
    <w:rsid w:val="009A023D"/>
    <w:rsid w:val="009A067C"/>
    <w:rsid w:val="009A1D5D"/>
    <w:rsid w:val="009B17C5"/>
    <w:rsid w:val="009B2CE5"/>
    <w:rsid w:val="009B38E7"/>
    <w:rsid w:val="009C0C7F"/>
    <w:rsid w:val="009C11BB"/>
    <w:rsid w:val="009D5CE2"/>
    <w:rsid w:val="009E0B92"/>
    <w:rsid w:val="009E0CF9"/>
    <w:rsid w:val="009E457F"/>
    <w:rsid w:val="009E783A"/>
    <w:rsid w:val="009F3871"/>
    <w:rsid w:val="009F5632"/>
    <w:rsid w:val="009F6D2D"/>
    <w:rsid w:val="00A00A05"/>
    <w:rsid w:val="00A01E19"/>
    <w:rsid w:val="00A27439"/>
    <w:rsid w:val="00A40F08"/>
    <w:rsid w:val="00A52C12"/>
    <w:rsid w:val="00A57832"/>
    <w:rsid w:val="00A6679B"/>
    <w:rsid w:val="00A67F40"/>
    <w:rsid w:val="00A73EDF"/>
    <w:rsid w:val="00A75341"/>
    <w:rsid w:val="00A82DFB"/>
    <w:rsid w:val="00A85593"/>
    <w:rsid w:val="00A85B82"/>
    <w:rsid w:val="00A91ACF"/>
    <w:rsid w:val="00A91C98"/>
    <w:rsid w:val="00A9586C"/>
    <w:rsid w:val="00A96A1E"/>
    <w:rsid w:val="00AB54F9"/>
    <w:rsid w:val="00AC0D69"/>
    <w:rsid w:val="00AC3423"/>
    <w:rsid w:val="00AD0959"/>
    <w:rsid w:val="00AD6429"/>
    <w:rsid w:val="00AE4AA5"/>
    <w:rsid w:val="00AF253B"/>
    <w:rsid w:val="00B00FCB"/>
    <w:rsid w:val="00B03327"/>
    <w:rsid w:val="00B04E6C"/>
    <w:rsid w:val="00B108BB"/>
    <w:rsid w:val="00B20BED"/>
    <w:rsid w:val="00B22173"/>
    <w:rsid w:val="00B40DD3"/>
    <w:rsid w:val="00B449E1"/>
    <w:rsid w:val="00B46355"/>
    <w:rsid w:val="00B509FB"/>
    <w:rsid w:val="00B55DC9"/>
    <w:rsid w:val="00B717D1"/>
    <w:rsid w:val="00B836B4"/>
    <w:rsid w:val="00B85E42"/>
    <w:rsid w:val="00B8718C"/>
    <w:rsid w:val="00B87A83"/>
    <w:rsid w:val="00B93488"/>
    <w:rsid w:val="00B9497F"/>
    <w:rsid w:val="00BA790C"/>
    <w:rsid w:val="00BB1899"/>
    <w:rsid w:val="00BB3A83"/>
    <w:rsid w:val="00BC6A0A"/>
    <w:rsid w:val="00BC7830"/>
    <w:rsid w:val="00BD64EB"/>
    <w:rsid w:val="00BD7BE1"/>
    <w:rsid w:val="00BE1869"/>
    <w:rsid w:val="00BE24E1"/>
    <w:rsid w:val="00BF6F97"/>
    <w:rsid w:val="00C01423"/>
    <w:rsid w:val="00C03297"/>
    <w:rsid w:val="00C053F5"/>
    <w:rsid w:val="00C06731"/>
    <w:rsid w:val="00C10FCA"/>
    <w:rsid w:val="00C1335A"/>
    <w:rsid w:val="00C25488"/>
    <w:rsid w:val="00C4118B"/>
    <w:rsid w:val="00C54577"/>
    <w:rsid w:val="00C67694"/>
    <w:rsid w:val="00C864EE"/>
    <w:rsid w:val="00C95979"/>
    <w:rsid w:val="00CA2418"/>
    <w:rsid w:val="00CA6BD4"/>
    <w:rsid w:val="00CB6E82"/>
    <w:rsid w:val="00CE4C91"/>
    <w:rsid w:val="00D15E77"/>
    <w:rsid w:val="00D16476"/>
    <w:rsid w:val="00D20B1E"/>
    <w:rsid w:val="00D21679"/>
    <w:rsid w:val="00D242AA"/>
    <w:rsid w:val="00D257C4"/>
    <w:rsid w:val="00D26C8B"/>
    <w:rsid w:val="00D309F6"/>
    <w:rsid w:val="00D35C0E"/>
    <w:rsid w:val="00D36322"/>
    <w:rsid w:val="00D56393"/>
    <w:rsid w:val="00D56DAA"/>
    <w:rsid w:val="00D656A4"/>
    <w:rsid w:val="00D665A0"/>
    <w:rsid w:val="00D73F27"/>
    <w:rsid w:val="00D74259"/>
    <w:rsid w:val="00D7477F"/>
    <w:rsid w:val="00D94638"/>
    <w:rsid w:val="00DA0813"/>
    <w:rsid w:val="00DB266B"/>
    <w:rsid w:val="00DB408B"/>
    <w:rsid w:val="00DC406B"/>
    <w:rsid w:val="00DC4076"/>
    <w:rsid w:val="00DD0363"/>
    <w:rsid w:val="00DE2430"/>
    <w:rsid w:val="00DE5974"/>
    <w:rsid w:val="00DF126E"/>
    <w:rsid w:val="00E0554F"/>
    <w:rsid w:val="00E07021"/>
    <w:rsid w:val="00E1065F"/>
    <w:rsid w:val="00E1453F"/>
    <w:rsid w:val="00E160F3"/>
    <w:rsid w:val="00E17890"/>
    <w:rsid w:val="00E22B03"/>
    <w:rsid w:val="00E22FC8"/>
    <w:rsid w:val="00E236F2"/>
    <w:rsid w:val="00E35414"/>
    <w:rsid w:val="00E3709F"/>
    <w:rsid w:val="00E41E2F"/>
    <w:rsid w:val="00E468EC"/>
    <w:rsid w:val="00E5141C"/>
    <w:rsid w:val="00E60AE6"/>
    <w:rsid w:val="00E70601"/>
    <w:rsid w:val="00E728DB"/>
    <w:rsid w:val="00E737F5"/>
    <w:rsid w:val="00E77E87"/>
    <w:rsid w:val="00E85394"/>
    <w:rsid w:val="00E87A78"/>
    <w:rsid w:val="00E93576"/>
    <w:rsid w:val="00EA7AE3"/>
    <w:rsid w:val="00EC58C5"/>
    <w:rsid w:val="00ED008A"/>
    <w:rsid w:val="00EE0214"/>
    <w:rsid w:val="00F00D01"/>
    <w:rsid w:val="00F01BA4"/>
    <w:rsid w:val="00F02225"/>
    <w:rsid w:val="00F05D67"/>
    <w:rsid w:val="00F111A2"/>
    <w:rsid w:val="00F14915"/>
    <w:rsid w:val="00F16858"/>
    <w:rsid w:val="00F23691"/>
    <w:rsid w:val="00F341B9"/>
    <w:rsid w:val="00F42A52"/>
    <w:rsid w:val="00F42B0A"/>
    <w:rsid w:val="00F46BA3"/>
    <w:rsid w:val="00F57D05"/>
    <w:rsid w:val="00F6655B"/>
    <w:rsid w:val="00F74A68"/>
    <w:rsid w:val="00F857CA"/>
    <w:rsid w:val="00F926C6"/>
    <w:rsid w:val="00F93EB9"/>
    <w:rsid w:val="00FA3A0A"/>
    <w:rsid w:val="00FA74EF"/>
    <w:rsid w:val="00FB3030"/>
    <w:rsid w:val="00FB4E25"/>
    <w:rsid w:val="00FC34D0"/>
    <w:rsid w:val="00FC4A1C"/>
    <w:rsid w:val="00FD3DAC"/>
    <w:rsid w:val="00FD4A02"/>
    <w:rsid w:val="00FE7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0C7A"/>
  <w15:chartTrackingRefBased/>
  <w15:docId w15:val="{F58B4E4C-2E9A-4CEF-A397-9B648E9C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D83"/>
    <w:pPr>
      <w:spacing w:before="240" w:after="0" w:line="480" w:lineRule="auto"/>
      <w:jc w:val="both"/>
    </w:pPr>
    <w:rPr>
      <w:rFonts w:ascii="Times New Roman" w:eastAsia="Calibri" w:hAnsi="Times New Roman" w:cs="SimSun"/>
      <w:color w:val="000000"/>
      <w:kern w:val="0"/>
      <w:sz w:val="24"/>
    </w:rPr>
  </w:style>
  <w:style w:type="paragraph" w:styleId="Heading1">
    <w:name w:val="heading 1"/>
    <w:basedOn w:val="Normal"/>
    <w:next w:val="Normal"/>
    <w:link w:val="Heading1Char"/>
    <w:autoRedefine/>
    <w:uiPriority w:val="9"/>
    <w:qFormat/>
    <w:rsid w:val="00055D83"/>
    <w:pPr>
      <w:keepNext/>
      <w:keepLines/>
      <w:spacing w:before="600" w:after="120" w:line="240" w:lineRule="auto"/>
      <w:jc w:val="center"/>
      <w:outlineLvl w:val="0"/>
    </w:pPr>
    <w:rPr>
      <w:rFonts w:eastAsia="Times New Roman" w:cs="Times New Roman"/>
      <w:b/>
      <w:color w:val="000000" w:themeColor="text1"/>
      <w:kern w:val="2"/>
      <w:sz w:val="28"/>
      <w:szCs w:val="28"/>
      <w:u w:val="single"/>
    </w:rPr>
  </w:style>
  <w:style w:type="paragraph" w:styleId="Heading2">
    <w:name w:val="heading 2"/>
    <w:basedOn w:val="Normal"/>
    <w:next w:val="Normal"/>
    <w:link w:val="Heading2Char"/>
    <w:uiPriority w:val="9"/>
    <w:semiHidden/>
    <w:unhideWhenUsed/>
    <w:qFormat/>
    <w:rsid w:val="0060683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111A2"/>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719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5D83"/>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D83"/>
    <w:rPr>
      <w:rFonts w:ascii="Times New Roman" w:eastAsia="Times New Roman" w:hAnsi="Times New Roman" w:cs="Times New Roman"/>
      <w:b/>
      <w:color w:val="000000" w:themeColor="text1"/>
      <w:sz w:val="28"/>
      <w:szCs w:val="28"/>
      <w:u w:val="single"/>
    </w:rPr>
  </w:style>
  <w:style w:type="character" w:customStyle="1" w:styleId="Heading5Char">
    <w:name w:val="Heading 5 Char"/>
    <w:basedOn w:val="DefaultParagraphFont"/>
    <w:link w:val="Heading5"/>
    <w:uiPriority w:val="9"/>
    <w:semiHidden/>
    <w:rsid w:val="00055D83"/>
    <w:rPr>
      <w:rFonts w:asciiTheme="majorHAnsi" w:eastAsiaTheme="majorEastAsia" w:hAnsiTheme="majorHAnsi" w:cstheme="majorBidi"/>
      <w:color w:val="2F5496" w:themeColor="accent1" w:themeShade="BF"/>
      <w:kern w:val="0"/>
      <w:sz w:val="24"/>
    </w:rPr>
  </w:style>
  <w:style w:type="character" w:customStyle="1" w:styleId="ListParagraphChar">
    <w:name w:val="List Paragraph Char"/>
    <w:link w:val="ListParagraph"/>
    <w:uiPriority w:val="34"/>
    <w:rsid w:val="00055D83"/>
    <w:rPr>
      <w:rFonts w:ascii="Calibri" w:eastAsia="Calibri" w:hAnsi="Calibri" w:cs="Times New Roman"/>
    </w:rPr>
  </w:style>
  <w:style w:type="paragraph" w:styleId="ListParagraph">
    <w:name w:val="List Paragraph"/>
    <w:basedOn w:val="Normal"/>
    <w:link w:val="ListParagraphChar"/>
    <w:uiPriority w:val="34"/>
    <w:qFormat/>
    <w:rsid w:val="00055D83"/>
    <w:pPr>
      <w:spacing w:before="120" w:after="200"/>
      <w:ind w:left="720"/>
      <w:contextualSpacing/>
    </w:pPr>
    <w:rPr>
      <w:rFonts w:ascii="Calibri" w:hAnsi="Calibri" w:cs="Times New Roman"/>
      <w:color w:val="auto"/>
      <w:kern w:val="2"/>
      <w:sz w:val="22"/>
    </w:rPr>
  </w:style>
  <w:style w:type="paragraph" w:styleId="Footer">
    <w:name w:val="footer"/>
    <w:basedOn w:val="Normal"/>
    <w:link w:val="FooterChar"/>
    <w:uiPriority w:val="99"/>
    <w:unhideWhenUsed/>
    <w:rsid w:val="00055D83"/>
    <w:pPr>
      <w:tabs>
        <w:tab w:val="center" w:pos="4680"/>
        <w:tab w:val="right" w:pos="9360"/>
      </w:tabs>
      <w:spacing w:before="0" w:line="240" w:lineRule="auto"/>
    </w:pPr>
  </w:style>
  <w:style w:type="character" w:customStyle="1" w:styleId="FooterChar">
    <w:name w:val="Footer Char"/>
    <w:basedOn w:val="DefaultParagraphFont"/>
    <w:link w:val="Footer"/>
    <w:uiPriority w:val="99"/>
    <w:rsid w:val="00055D83"/>
    <w:rPr>
      <w:rFonts w:ascii="Times New Roman" w:eastAsia="Calibri" w:hAnsi="Times New Roman" w:cs="SimSun"/>
      <w:color w:val="000000"/>
      <w:kern w:val="0"/>
      <w:sz w:val="24"/>
    </w:rPr>
  </w:style>
  <w:style w:type="paragraph" w:styleId="BodyText">
    <w:name w:val="Body Text"/>
    <w:basedOn w:val="Normal"/>
    <w:link w:val="BodyTextChar"/>
    <w:uiPriority w:val="1"/>
    <w:qFormat/>
    <w:rsid w:val="00055D83"/>
    <w:pPr>
      <w:widowControl w:val="0"/>
      <w:autoSpaceDE w:val="0"/>
      <w:autoSpaceDN w:val="0"/>
      <w:spacing w:before="0" w:line="240" w:lineRule="auto"/>
      <w:jc w:val="left"/>
    </w:pPr>
    <w:rPr>
      <w:rFonts w:eastAsia="Times New Roman" w:cs="Times New Roman"/>
      <w:color w:val="auto"/>
      <w:szCs w:val="24"/>
      <w:lang w:val="en-GB"/>
      <w14:ligatures w14:val="none"/>
    </w:rPr>
  </w:style>
  <w:style w:type="character" w:customStyle="1" w:styleId="BodyTextChar">
    <w:name w:val="Body Text Char"/>
    <w:basedOn w:val="DefaultParagraphFont"/>
    <w:link w:val="BodyText"/>
    <w:uiPriority w:val="1"/>
    <w:rsid w:val="00055D83"/>
    <w:rPr>
      <w:rFonts w:ascii="Times New Roman" w:eastAsia="Times New Roman" w:hAnsi="Times New Roman" w:cs="Times New Roman"/>
      <w:kern w:val="0"/>
      <w:sz w:val="24"/>
      <w:szCs w:val="24"/>
      <w:lang w:val="en-GB"/>
      <w14:ligatures w14:val="none"/>
    </w:rPr>
  </w:style>
  <w:style w:type="paragraph" w:customStyle="1" w:styleId="Default">
    <w:name w:val="Default"/>
    <w:rsid w:val="00055D83"/>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apple-converted-space">
    <w:name w:val="apple-converted-space"/>
    <w:basedOn w:val="DefaultParagraphFont"/>
    <w:rsid w:val="007F1318"/>
  </w:style>
  <w:style w:type="paragraph" w:customStyle="1" w:styleId="TableParagraph">
    <w:name w:val="Table Paragraph"/>
    <w:basedOn w:val="Normal"/>
    <w:uiPriority w:val="1"/>
    <w:qFormat/>
    <w:rsid w:val="00A6679B"/>
    <w:pPr>
      <w:widowControl w:val="0"/>
      <w:autoSpaceDE w:val="0"/>
      <w:autoSpaceDN w:val="0"/>
      <w:spacing w:before="0" w:line="240" w:lineRule="auto"/>
      <w:jc w:val="left"/>
    </w:pPr>
    <w:rPr>
      <w:rFonts w:eastAsia="Times New Roman" w:cs="Times New Roman"/>
      <w:color w:val="auto"/>
      <w:sz w:val="22"/>
      <w14:ligatures w14:val="none"/>
    </w:rPr>
  </w:style>
  <w:style w:type="character" w:customStyle="1" w:styleId="Heading2Char">
    <w:name w:val="Heading 2 Char"/>
    <w:basedOn w:val="DefaultParagraphFont"/>
    <w:link w:val="Heading2"/>
    <w:uiPriority w:val="9"/>
    <w:semiHidden/>
    <w:rsid w:val="0060683F"/>
    <w:rPr>
      <w:rFonts w:asciiTheme="majorHAnsi" w:eastAsiaTheme="majorEastAsia" w:hAnsiTheme="majorHAnsi" w:cstheme="majorBidi"/>
      <w:color w:val="2F5496" w:themeColor="accent1" w:themeShade="BF"/>
      <w:kern w:val="0"/>
      <w:sz w:val="26"/>
      <w:szCs w:val="26"/>
    </w:rPr>
  </w:style>
  <w:style w:type="character" w:customStyle="1" w:styleId="Heading4Char">
    <w:name w:val="Heading 4 Char"/>
    <w:basedOn w:val="DefaultParagraphFont"/>
    <w:link w:val="Heading4"/>
    <w:uiPriority w:val="9"/>
    <w:semiHidden/>
    <w:rsid w:val="003D7198"/>
    <w:rPr>
      <w:rFonts w:asciiTheme="majorHAnsi" w:eastAsiaTheme="majorEastAsia" w:hAnsiTheme="majorHAnsi" w:cstheme="majorBidi"/>
      <w:i/>
      <w:iCs/>
      <w:color w:val="2F5496" w:themeColor="accent1" w:themeShade="BF"/>
      <w:kern w:val="0"/>
      <w:sz w:val="24"/>
    </w:rPr>
  </w:style>
  <w:style w:type="character" w:styleId="Emphasis">
    <w:name w:val="Emphasis"/>
    <w:qFormat/>
    <w:rsid w:val="00E1453F"/>
    <w:rPr>
      <w:i/>
      <w:iCs/>
    </w:rPr>
  </w:style>
  <w:style w:type="character" w:customStyle="1" w:styleId="Heading3Char">
    <w:name w:val="Heading 3 Char"/>
    <w:basedOn w:val="DefaultParagraphFont"/>
    <w:link w:val="Heading3"/>
    <w:uiPriority w:val="9"/>
    <w:semiHidden/>
    <w:rsid w:val="00F111A2"/>
    <w:rPr>
      <w:rFonts w:asciiTheme="majorHAnsi" w:eastAsiaTheme="majorEastAsia" w:hAnsiTheme="majorHAnsi" w:cstheme="majorBidi"/>
      <w:color w:val="1F3763" w:themeColor="accent1" w:themeShade="7F"/>
      <w:kern w:val="0"/>
      <w:sz w:val="24"/>
      <w:szCs w:val="24"/>
    </w:rPr>
  </w:style>
  <w:style w:type="paragraph" w:styleId="NoSpacing">
    <w:name w:val="No Spacing"/>
    <w:uiPriority w:val="1"/>
    <w:qFormat/>
    <w:rsid w:val="00BB3A83"/>
    <w:pPr>
      <w:spacing w:after="0" w:line="240" w:lineRule="auto"/>
      <w:jc w:val="center"/>
    </w:pPr>
    <w:rPr>
      <w:rFonts w:ascii="Times New Roman" w:hAnsi="Times New Roman"/>
      <w:b/>
      <w:i/>
      <w:color w:val="000000" w:themeColor="text1"/>
      <w:kern w:val="0"/>
      <w:sz w:val="24"/>
      <w14:ligatures w14:val="none"/>
    </w:rPr>
  </w:style>
  <w:style w:type="table" w:styleId="TableGrid">
    <w:name w:val="Table Grid"/>
    <w:basedOn w:val="TableNormal"/>
    <w:uiPriority w:val="59"/>
    <w:rsid w:val="00BB3A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B3A83"/>
    <w:pPr>
      <w:spacing w:before="0" w:after="200" w:line="240" w:lineRule="auto"/>
    </w:pPr>
    <w:rPr>
      <w:rFonts w:eastAsia="Times New Roman" w:cs="Times New Roman"/>
      <w:b/>
      <w:bCs/>
      <w:color w:val="4472C4" w:themeColor="accent1"/>
      <w:sz w:val="18"/>
      <w:szCs w:val="18"/>
      <w14:ligatures w14:val="none"/>
    </w:rPr>
  </w:style>
  <w:style w:type="character" w:customStyle="1" w:styleId="markedcontent">
    <w:name w:val="markedcontent"/>
    <w:basedOn w:val="DefaultParagraphFont"/>
    <w:rsid w:val="002D7340"/>
  </w:style>
  <w:style w:type="paragraph" w:customStyle="1" w:styleId="Tables">
    <w:name w:val="Tables"/>
    <w:basedOn w:val="Normal"/>
    <w:link w:val="TablesChar"/>
    <w:qFormat/>
    <w:rsid w:val="00076BA5"/>
    <w:pPr>
      <w:spacing w:before="0" w:line="240" w:lineRule="auto"/>
      <w:jc w:val="left"/>
    </w:pPr>
    <w:rPr>
      <w:rFonts w:eastAsiaTheme="minorHAnsi" w:cs="Times New Roman"/>
      <w:b/>
      <w:color w:val="auto"/>
      <w:szCs w:val="24"/>
      <w14:ligatures w14:val="none"/>
    </w:rPr>
  </w:style>
  <w:style w:type="character" w:customStyle="1" w:styleId="TablesChar">
    <w:name w:val="Tables Char"/>
    <w:basedOn w:val="DefaultParagraphFont"/>
    <w:link w:val="Tables"/>
    <w:rsid w:val="00076BA5"/>
    <w:rPr>
      <w:rFonts w:ascii="Times New Roman" w:hAnsi="Times New Roman" w:cs="Times New Roman"/>
      <w:b/>
      <w:kern w:val="0"/>
      <w:sz w:val="24"/>
      <w:szCs w:val="24"/>
      <w14:ligatures w14:val="none"/>
    </w:rPr>
  </w:style>
  <w:style w:type="character" w:styleId="Hyperlink">
    <w:name w:val="Hyperlink"/>
    <w:basedOn w:val="DefaultParagraphFont"/>
    <w:uiPriority w:val="99"/>
    <w:unhideWhenUsed/>
    <w:rsid w:val="001E649F"/>
    <w:rPr>
      <w:color w:val="0563C1" w:themeColor="hyperlink"/>
      <w:u w:val="single"/>
    </w:rPr>
  </w:style>
  <w:style w:type="character" w:customStyle="1" w:styleId="UnresolvedMention1">
    <w:name w:val="Unresolved Mention1"/>
    <w:basedOn w:val="DefaultParagraphFont"/>
    <w:uiPriority w:val="99"/>
    <w:semiHidden/>
    <w:unhideWhenUsed/>
    <w:rsid w:val="001E649F"/>
    <w:rPr>
      <w:color w:val="605E5C"/>
      <w:shd w:val="clear" w:color="auto" w:fill="E1DFDD"/>
    </w:rPr>
  </w:style>
  <w:style w:type="paragraph" w:styleId="NormalWeb">
    <w:name w:val="Normal (Web)"/>
    <w:basedOn w:val="Normal"/>
    <w:uiPriority w:val="99"/>
    <w:unhideWhenUsed/>
    <w:rsid w:val="00D16476"/>
    <w:pPr>
      <w:spacing w:before="100" w:beforeAutospacing="1" w:after="100" w:afterAutospacing="1" w:line="240" w:lineRule="auto"/>
      <w:jc w:val="left"/>
    </w:pPr>
    <w:rPr>
      <w:rFonts w:eastAsia="Times New Roman" w:cs="Times New Roman"/>
      <w:color w:val="auto"/>
      <w:szCs w:val="24"/>
      <w14:ligatures w14:val="none"/>
    </w:rPr>
  </w:style>
  <w:style w:type="paragraph" w:customStyle="1" w:styleId="TABLES0">
    <w:name w:val="TABLES"/>
    <w:basedOn w:val="Normal"/>
    <w:qFormat/>
    <w:rsid w:val="00437393"/>
    <w:pPr>
      <w:spacing w:before="120" w:after="120"/>
    </w:pPr>
    <w:rPr>
      <w:rFonts w:cs="Times New Roman"/>
      <w:b/>
      <w:color w:val="auto"/>
      <w14:ligatures w14:val="none"/>
    </w:rPr>
  </w:style>
  <w:style w:type="table" w:styleId="PlainTable5">
    <w:name w:val="Plain Table 5"/>
    <w:basedOn w:val="TableNormal"/>
    <w:uiPriority w:val="45"/>
    <w:rsid w:val="00C053F5"/>
    <w:pPr>
      <w:spacing w:after="0" w:line="240" w:lineRule="auto"/>
      <w:jc w:val="both"/>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2">
    <w:name w:val="Unresolved Mention2"/>
    <w:basedOn w:val="DefaultParagraphFont"/>
    <w:uiPriority w:val="99"/>
    <w:semiHidden/>
    <w:unhideWhenUsed/>
    <w:rsid w:val="00AC3423"/>
    <w:rPr>
      <w:color w:val="605E5C"/>
      <w:shd w:val="clear" w:color="auto" w:fill="E1DFDD"/>
    </w:rPr>
  </w:style>
  <w:style w:type="paragraph" w:styleId="Header">
    <w:name w:val="header"/>
    <w:basedOn w:val="Normal"/>
    <w:link w:val="HeaderChar"/>
    <w:uiPriority w:val="99"/>
    <w:unhideWhenUsed/>
    <w:rsid w:val="008325BA"/>
    <w:pPr>
      <w:tabs>
        <w:tab w:val="center" w:pos="4680"/>
        <w:tab w:val="right" w:pos="9360"/>
      </w:tabs>
      <w:spacing w:before="0" w:line="240" w:lineRule="auto"/>
    </w:pPr>
  </w:style>
  <w:style w:type="character" w:customStyle="1" w:styleId="HeaderChar">
    <w:name w:val="Header Char"/>
    <w:basedOn w:val="DefaultParagraphFont"/>
    <w:link w:val="Header"/>
    <w:uiPriority w:val="99"/>
    <w:rsid w:val="008325BA"/>
    <w:rPr>
      <w:rFonts w:ascii="Times New Roman" w:eastAsia="Calibri" w:hAnsi="Times New Roman" w:cs="SimSun"/>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49357">
      <w:bodyDiv w:val="1"/>
      <w:marLeft w:val="0"/>
      <w:marRight w:val="0"/>
      <w:marTop w:val="0"/>
      <w:marBottom w:val="0"/>
      <w:divBdr>
        <w:top w:val="none" w:sz="0" w:space="0" w:color="auto"/>
        <w:left w:val="none" w:sz="0" w:space="0" w:color="auto"/>
        <w:bottom w:val="none" w:sz="0" w:space="0" w:color="auto"/>
        <w:right w:val="none" w:sz="0" w:space="0" w:color="auto"/>
      </w:divBdr>
    </w:div>
    <w:div w:id="340470004">
      <w:bodyDiv w:val="1"/>
      <w:marLeft w:val="0"/>
      <w:marRight w:val="0"/>
      <w:marTop w:val="0"/>
      <w:marBottom w:val="0"/>
      <w:divBdr>
        <w:top w:val="none" w:sz="0" w:space="0" w:color="auto"/>
        <w:left w:val="none" w:sz="0" w:space="0" w:color="auto"/>
        <w:bottom w:val="none" w:sz="0" w:space="0" w:color="auto"/>
        <w:right w:val="none" w:sz="0" w:space="0" w:color="auto"/>
      </w:divBdr>
    </w:div>
    <w:div w:id="566765604">
      <w:bodyDiv w:val="1"/>
      <w:marLeft w:val="0"/>
      <w:marRight w:val="0"/>
      <w:marTop w:val="0"/>
      <w:marBottom w:val="0"/>
      <w:divBdr>
        <w:top w:val="none" w:sz="0" w:space="0" w:color="auto"/>
        <w:left w:val="none" w:sz="0" w:space="0" w:color="auto"/>
        <w:bottom w:val="none" w:sz="0" w:space="0" w:color="auto"/>
        <w:right w:val="none" w:sz="0" w:space="0" w:color="auto"/>
      </w:divBdr>
    </w:div>
    <w:div w:id="583222418">
      <w:bodyDiv w:val="1"/>
      <w:marLeft w:val="0"/>
      <w:marRight w:val="0"/>
      <w:marTop w:val="0"/>
      <w:marBottom w:val="0"/>
      <w:divBdr>
        <w:top w:val="none" w:sz="0" w:space="0" w:color="auto"/>
        <w:left w:val="none" w:sz="0" w:space="0" w:color="auto"/>
        <w:bottom w:val="none" w:sz="0" w:space="0" w:color="auto"/>
        <w:right w:val="none" w:sz="0" w:space="0" w:color="auto"/>
      </w:divBdr>
    </w:div>
    <w:div w:id="618725703">
      <w:bodyDiv w:val="1"/>
      <w:marLeft w:val="0"/>
      <w:marRight w:val="0"/>
      <w:marTop w:val="0"/>
      <w:marBottom w:val="0"/>
      <w:divBdr>
        <w:top w:val="none" w:sz="0" w:space="0" w:color="auto"/>
        <w:left w:val="none" w:sz="0" w:space="0" w:color="auto"/>
        <w:bottom w:val="none" w:sz="0" w:space="0" w:color="auto"/>
        <w:right w:val="none" w:sz="0" w:space="0" w:color="auto"/>
      </w:divBdr>
    </w:div>
    <w:div w:id="947202476">
      <w:bodyDiv w:val="1"/>
      <w:marLeft w:val="0"/>
      <w:marRight w:val="0"/>
      <w:marTop w:val="0"/>
      <w:marBottom w:val="0"/>
      <w:divBdr>
        <w:top w:val="none" w:sz="0" w:space="0" w:color="auto"/>
        <w:left w:val="none" w:sz="0" w:space="0" w:color="auto"/>
        <w:bottom w:val="none" w:sz="0" w:space="0" w:color="auto"/>
        <w:right w:val="none" w:sz="0" w:space="0" w:color="auto"/>
      </w:divBdr>
    </w:div>
    <w:div w:id="1041175574">
      <w:bodyDiv w:val="1"/>
      <w:marLeft w:val="0"/>
      <w:marRight w:val="0"/>
      <w:marTop w:val="0"/>
      <w:marBottom w:val="0"/>
      <w:divBdr>
        <w:top w:val="none" w:sz="0" w:space="0" w:color="auto"/>
        <w:left w:val="none" w:sz="0" w:space="0" w:color="auto"/>
        <w:bottom w:val="none" w:sz="0" w:space="0" w:color="auto"/>
        <w:right w:val="none" w:sz="0" w:space="0" w:color="auto"/>
      </w:divBdr>
    </w:div>
    <w:div w:id="1208760504">
      <w:bodyDiv w:val="1"/>
      <w:marLeft w:val="0"/>
      <w:marRight w:val="0"/>
      <w:marTop w:val="0"/>
      <w:marBottom w:val="0"/>
      <w:divBdr>
        <w:top w:val="none" w:sz="0" w:space="0" w:color="auto"/>
        <w:left w:val="none" w:sz="0" w:space="0" w:color="auto"/>
        <w:bottom w:val="none" w:sz="0" w:space="0" w:color="auto"/>
        <w:right w:val="none" w:sz="0" w:space="0" w:color="auto"/>
      </w:divBdr>
    </w:div>
    <w:div w:id="1380744296">
      <w:bodyDiv w:val="1"/>
      <w:marLeft w:val="0"/>
      <w:marRight w:val="0"/>
      <w:marTop w:val="0"/>
      <w:marBottom w:val="0"/>
      <w:divBdr>
        <w:top w:val="none" w:sz="0" w:space="0" w:color="auto"/>
        <w:left w:val="none" w:sz="0" w:space="0" w:color="auto"/>
        <w:bottom w:val="none" w:sz="0" w:space="0" w:color="auto"/>
        <w:right w:val="none" w:sz="0" w:space="0" w:color="auto"/>
      </w:divBdr>
    </w:div>
    <w:div w:id="1746954200">
      <w:bodyDiv w:val="1"/>
      <w:marLeft w:val="0"/>
      <w:marRight w:val="0"/>
      <w:marTop w:val="0"/>
      <w:marBottom w:val="0"/>
      <w:divBdr>
        <w:top w:val="none" w:sz="0" w:space="0" w:color="auto"/>
        <w:left w:val="none" w:sz="0" w:space="0" w:color="auto"/>
        <w:bottom w:val="none" w:sz="0" w:space="0" w:color="auto"/>
        <w:right w:val="none" w:sz="0" w:space="0" w:color="auto"/>
      </w:divBdr>
    </w:div>
    <w:div w:id="1806503340">
      <w:bodyDiv w:val="1"/>
      <w:marLeft w:val="0"/>
      <w:marRight w:val="0"/>
      <w:marTop w:val="0"/>
      <w:marBottom w:val="0"/>
      <w:divBdr>
        <w:top w:val="none" w:sz="0" w:space="0" w:color="auto"/>
        <w:left w:val="none" w:sz="0" w:space="0" w:color="auto"/>
        <w:bottom w:val="none" w:sz="0" w:space="0" w:color="auto"/>
        <w:right w:val="none" w:sz="0" w:space="0" w:color="auto"/>
      </w:divBdr>
    </w:div>
    <w:div w:id="183024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108/SAMPJ-06-2023-0421" TargetMode="Externa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OneDrive%20-%20World%20Vision%20International\Desktop\Personal%20Files\Research%20Project\Research%20Project_Final%20Revision\Data%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u="none" strike="noStrike" kern="1200" spc="0" baseline="0">
                <a:solidFill>
                  <a:sysClr val="windowText" lastClr="000000">
                    <a:lumMod val="65000"/>
                    <a:lumOff val="35000"/>
                  </a:sysClr>
                </a:solidFill>
              </a:rPr>
              <a:t>Technological Financial Systems and Financial Efficiency</a:t>
            </a:r>
          </a:p>
        </c:rich>
      </c:tx>
      <c:layout>
        <c:manualLayout>
          <c:xMode val="edge"/>
          <c:yMode val="edge"/>
          <c:x val="0.15160415598937707"/>
          <c:y val="2.992518703241895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Sheet2!$A$2</c:f>
              <c:strCache>
                <c:ptCount val="1"/>
                <c:pt idx="0">
                  <c:v>Strongly Agree</c:v>
                </c:pt>
              </c:strCache>
            </c:strRef>
          </c:tx>
          <c:spPr>
            <a:solidFill>
              <a:schemeClr val="accent1"/>
            </a:solidFill>
            <a:ln>
              <a:noFill/>
            </a:ln>
            <a:effectLst/>
          </c:spPr>
          <c:invertIfNegative val="0"/>
          <c:cat>
            <c:strRef>
              <c:f>Sheet2!$B$1:$D$1</c:f>
              <c:strCache>
                <c:ptCount val="3"/>
                <c:pt idx="0">
                  <c:v>ERP Systems</c:v>
                </c:pt>
                <c:pt idx="1">
                  <c:v>Cloud-based accounting</c:v>
                </c:pt>
                <c:pt idx="2">
                  <c:v>Block-chain systems</c:v>
                </c:pt>
              </c:strCache>
            </c:strRef>
          </c:cat>
          <c:val>
            <c:numRef>
              <c:f>Sheet2!$B$2:$D$2</c:f>
              <c:numCache>
                <c:formatCode>0%</c:formatCode>
                <c:ptCount val="3"/>
                <c:pt idx="0">
                  <c:v>0.27</c:v>
                </c:pt>
                <c:pt idx="1">
                  <c:v>0.27</c:v>
                </c:pt>
                <c:pt idx="2">
                  <c:v>0.23</c:v>
                </c:pt>
              </c:numCache>
            </c:numRef>
          </c:val>
          <c:extLst>
            <c:ext xmlns:c16="http://schemas.microsoft.com/office/drawing/2014/chart" uri="{C3380CC4-5D6E-409C-BE32-E72D297353CC}">
              <c16:uniqueId val="{00000000-06CE-43DD-9806-AA4ABB930B9E}"/>
            </c:ext>
          </c:extLst>
        </c:ser>
        <c:ser>
          <c:idx val="1"/>
          <c:order val="1"/>
          <c:tx>
            <c:strRef>
              <c:f>Sheet2!$A$3</c:f>
              <c:strCache>
                <c:ptCount val="1"/>
                <c:pt idx="0">
                  <c:v>Agree</c:v>
                </c:pt>
              </c:strCache>
            </c:strRef>
          </c:tx>
          <c:spPr>
            <a:solidFill>
              <a:schemeClr val="accent2"/>
            </a:solidFill>
            <a:ln>
              <a:noFill/>
            </a:ln>
            <a:effectLst/>
          </c:spPr>
          <c:invertIfNegative val="0"/>
          <c:cat>
            <c:strRef>
              <c:f>Sheet2!$B$1:$D$1</c:f>
              <c:strCache>
                <c:ptCount val="3"/>
                <c:pt idx="0">
                  <c:v>ERP Systems</c:v>
                </c:pt>
                <c:pt idx="1">
                  <c:v>Cloud-based accounting</c:v>
                </c:pt>
                <c:pt idx="2">
                  <c:v>Block-chain systems</c:v>
                </c:pt>
              </c:strCache>
            </c:strRef>
          </c:cat>
          <c:val>
            <c:numRef>
              <c:f>Sheet2!$B$3:$D$3</c:f>
              <c:numCache>
                <c:formatCode>0%</c:formatCode>
                <c:ptCount val="3"/>
                <c:pt idx="0">
                  <c:v>0.25</c:v>
                </c:pt>
                <c:pt idx="1">
                  <c:v>0.25</c:v>
                </c:pt>
                <c:pt idx="2">
                  <c:v>0.26</c:v>
                </c:pt>
              </c:numCache>
            </c:numRef>
          </c:val>
          <c:extLst>
            <c:ext xmlns:c16="http://schemas.microsoft.com/office/drawing/2014/chart" uri="{C3380CC4-5D6E-409C-BE32-E72D297353CC}">
              <c16:uniqueId val="{00000001-06CE-43DD-9806-AA4ABB930B9E}"/>
            </c:ext>
          </c:extLst>
        </c:ser>
        <c:ser>
          <c:idx val="2"/>
          <c:order val="2"/>
          <c:tx>
            <c:strRef>
              <c:f>Sheet2!$A$4</c:f>
              <c:strCache>
                <c:ptCount val="1"/>
                <c:pt idx="0">
                  <c:v>Disagree</c:v>
                </c:pt>
              </c:strCache>
            </c:strRef>
          </c:tx>
          <c:spPr>
            <a:solidFill>
              <a:schemeClr val="accent3"/>
            </a:solidFill>
            <a:ln>
              <a:noFill/>
            </a:ln>
            <a:effectLst/>
          </c:spPr>
          <c:invertIfNegative val="0"/>
          <c:cat>
            <c:strRef>
              <c:f>Sheet2!$B$1:$D$1</c:f>
              <c:strCache>
                <c:ptCount val="3"/>
                <c:pt idx="0">
                  <c:v>ERP Systems</c:v>
                </c:pt>
                <c:pt idx="1">
                  <c:v>Cloud-based accounting</c:v>
                </c:pt>
                <c:pt idx="2">
                  <c:v>Block-chain systems</c:v>
                </c:pt>
              </c:strCache>
            </c:strRef>
          </c:cat>
          <c:val>
            <c:numRef>
              <c:f>Sheet2!$B$4:$D$4</c:f>
              <c:numCache>
                <c:formatCode>0%</c:formatCode>
                <c:ptCount val="3"/>
                <c:pt idx="0">
                  <c:v>0.25</c:v>
                </c:pt>
                <c:pt idx="1">
                  <c:v>0.25</c:v>
                </c:pt>
                <c:pt idx="2">
                  <c:v>0.27</c:v>
                </c:pt>
              </c:numCache>
            </c:numRef>
          </c:val>
          <c:extLst>
            <c:ext xmlns:c16="http://schemas.microsoft.com/office/drawing/2014/chart" uri="{C3380CC4-5D6E-409C-BE32-E72D297353CC}">
              <c16:uniqueId val="{00000002-06CE-43DD-9806-AA4ABB930B9E}"/>
            </c:ext>
          </c:extLst>
        </c:ser>
        <c:ser>
          <c:idx val="3"/>
          <c:order val="3"/>
          <c:tx>
            <c:strRef>
              <c:f>Sheet2!$A$5</c:f>
              <c:strCache>
                <c:ptCount val="1"/>
                <c:pt idx="0">
                  <c:v>Strongly Disagree</c:v>
                </c:pt>
              </c:strCache>
            </c:strRef>
          </c:tx>
          <c:spPr>
            <a:solidFill>
              <a:schemeClr val="accent4"/>
            </a:solidFill>
            <a:ln>
              <a:noFill/>
            </a:ln>
            <a:effectLst/>
          </c:spPr>
          <c:invertIfNegative val="0"/>
          <c:cat>
            <c:strRef>
              <c:f>Sheet2!$B$1:$D$1</c:f>
              <c:strCache>
                <c:ptCount val="3"/>
                <c:pt idx="0">
                  <c:v>ERP Systems</c:v>
                </c:pt>
                <c:pt idx="1">
                  <c:v>Cloud-based accounting</c:v>
                </c:pt>
                <c:pt idx="2">
                  <c:v>Block-chain systems</c:v>
                </c:pt>
              </c:strCache>
            </c:strRef>
          </c:cat>
          <c:val>
            <c:numRef>
              <c:f>Sheet2!$B$5:$D$5</c:f>
              <c:numCache>
                <c:formatCode>0%</c:formatCode>
                <c:ptCount val="3"/>
                <c:pt idx="0">
                  <c:v>0.23</c:v>
                </c:pt>
                <c:pt idx="1">
                  <c:v>0.23</c:v>
                </c:pt>
                <c:pt idx="2">
                  <c:v>0.24</c:v>
                </c:pt>
              </c:numCache>
            </c:numRef>
          </c:val>
          <c:extLst>
            <c:ext xmlns:c16="http://schemas.microsoft.com/office/drawing/2014/chart" uri="{C3380CC4-5D6E-409C-BE32-E72D297353CC}">
              <c16:uniqueId val="{00000003-06CE-43DD-9806-AA4ABB930B9E}"/>
            </c:ext>
          </c:extLst>
        </c:ser>
        <c:dLbls>
          <c:showLegendKey val="0"/>
          <c:showVal val="0"/>
          <c:showCatName val="0"/>
          <c:showSerName val="0"/>
          <c:showPercent val="0"/>
          <c:showBubbleSize val="0"/>
        </c:dLbls>
        <c:gapWidth val="219"/>
        <c:overlap val="-27"/>
        <c:axId val="-147229040"/>
        <c:axId val="-147228496"/>
      </c:barChart>
      <c:catAx>
        <c:axId val="-1472290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Technological</a:t>
                </a:r>
                <a:r>
                  <a:rPr lang="en-US" baseline="0"/>
                  <a:t> Financial System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228496"/>
        <c:crosses val="autoZero"/>
        <c:auto val="1"/>
        <c:lblAlgn val="ctr"/>
        <c:lblOffset val="100"/>
        <c:noMultiLvlLbl val="0"/>
      </c:catAx>
      <c:valAx>
        <c:axId val="-147228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Perception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22904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Technological Financial Systems and Financial Efficiency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 3'!$A$2</c:f>
              <c:strCache>
                <c:ptCount val="1"/>
                <c:pt idx="0">
                  <c:v>Agree</c:v>
                </c:pt>
              </c:strCache>
            </c:strRef>
          </c:tx>
          <c:spPr>
            <a:solidFill>
              <a:schemeClr val="accent1"/>
            </a:solidFill>
            <a:ln>
              <a:noFill/>
            </a:ln>
            <a:effectLst/>
          </c:spPr>
          <c:invertIfNegative val="0"/>
          <c:cat>
            <c:strRef>
              <c:f>'Sheet 3'!$B$1:$D$1</c:f>
              <c:strCache>
                <c:ptCount val="3"/>
                <c:pt idx="0">
                  <c:v>ERP Systems</c:v>
                </c:pt>
                <c:pt idx="1">
                  <c:v>Cloud-based accounting</c:v>
                </c:pt>
                <c:pt idx="2">
                  <c:v>Block-chain systems</c:v>
                </c:pt>
              </c:strCache>
            </c:strRef>
          </c:cat>
          <c:val>
            <c:numRef>
              <c:f>'Sheet 3'!$B$2:$D$2</c:f>
              <c:numCache>
                <c:formatCode>0%</c:formatCode>
                <c:ptCount val="3"/>
                <c:pt idx="0">
                  <c:v>0.52</c:v>
                </c:pt>
                <c:pt idx="1">
                  <c:v>0.52</c:v>
                </c:pt>
                <c:pt idx="2">
                  <c:v>0.51</c:v>
                </c:pt>
              </c:numCache>
            </c:numRef>
          </c:val>
          <c:extLst>
            <c:ext xmlns:c16="http://schemas.microsoft.com/office/drawing/2014/chart" uri="{C3380CC4-5D6E-409C-BE32-E72D297353CC}">
              <c16:uniqueId val="{00000000-D6C9-4752-9F9B-698D82C937E8}"/>
            </c:ext>
          </c:extLst>
        </c:ser>
        <c:ser>
          <c:idx val="1"/>
          <c:order val="1"/>
          <c:tx>
            <c:strRef>
              <c:f>'Sheet 3'!$A$3</c:f>
              <c:strCache>
                <c:ptCount val="1"/>
                <c:pt idx="0">
                  <c:v>Disagree</c:v>
                </c:pt>
              </c:strCache>
            </c:strRef>
          </c:tx>
          <c:spPr>
            <a:solidFill>
              <a:schemeClr val="accent2"/>
            </a:solidFill>
            <a:ln>
              <a:noFill/>
            </a:ln>
            <a:effectLst/>
          </c:spPr>
          <c:invertIfNegative val="0"/>
          <c:cat>
            <c:strRef>
              <c:f>'Sheet 3'!$B$1:$D$1</c:f>
              <c:strCache>
                <c:ptCount val="3"/>
                <c:pt idx="0">
                  <c:v>ERP Systems</c:v>
                </c:pt>
                <c:pt idx="1">
                  <c:v>Cloud-based accounting</c:v>
                </c:pt>
                <c:pt idx="2">
                  <c:v>Block-chain systems</c:v>
                </c:pt>
              </c:strCache>
            </c:strRef>
          </c:cat>
          <c:val>
            <c:numRef>
              <c:f>'Sheet 3'!$B$3:$D$3</c:f>
              <c:numCache>
                <c:formatCode>0%</c:formatCode>
                <c:ptCount val="3"/>
                <c:pt idx="0">
                  <c:v>0.48</c:v>
                </c:pt>
                <c:pt idx="1">
                  <c:v>0.48</c:v>
                </c:pt>
                <c:pt idx="2">
                  <c:v>0.49</c:v>
                </c:pt>
              </c:numCache>
            </c:numRef>
          </c:val>
          <c:extLst>
            <c:ext xmlns:c16="http://schemas.microsoft.com/office/drawing/2014/chart" uri="{C3380CC4-5D6E-409C-BE32-E72D297353CC}">
              <c16:uniqueId val="{00000001-D6C9-4752-9F9B-698D82C937E8}"/>
            </c:ext>
          </c:extLst>
        </c:ser>
        <c:dLbls>
          <c:showLegendKey val="0"/>
          <c:showVal val="0"/>
          <c:showCatName val="0"/>
          <c:showSerName val="0"/>
          <c:showPercent val="0"/>
          <c:showBubbleSize val="0"/>
        </c:dLbls>
        <c:gapWidth val="219"/>
        <c:overlap val="-27"/>
        <c:axId val="-147230128"/>
        <c:axId val="-147224144"/>
      </c:barChart>
      <c:catAx>
        <c:axId val="-147230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Technological</a:t>
                </a:r>
                <a:r>
                  <a:rPr lang="en-US" baseline="0"/>
                  <a:t> Financial Systems</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224144"/>
        <c:crosses val="autoZero"/>
        <c:auto val="1"/>
        <c:lblAlgn val="ctr"/>
        <c:lblOffset val="100"/>
        <c:noMultiLvlLbl val="0"/>
      </c:catAx>
      <c:valAx>
        <c:axId val="-1472241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Perception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2301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9700</Words>
  <Characters>55291</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WUCHERERIA BANCROFTI</dc:creator>
  <cp:keywords/>
  <dc:description/>
  <cp:lastModifiedBy>Editor GP 005</cp:lastModifiedBy>
  <cp:revision>3</cp:revision>
  <dcterms:created xsi:type="dcterms:W3CDTF">2025-08-20T12:11:00Z</dcterms:created>
  <dcterms:modified xsi:type="dcterms:W3CDTF">2025-08-30T11:58:00Z</dcterms:modified>
</cp:coreProperties>
</file>