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D2AA90" w14:textId="0FA8B4CF" w:rsidR="007C3182" w:rsidRPr="002B2D3C" w:rsidRDefault="00350703" w:rsidP="00055D83">
      <w:pPr>
        <w:spacing w:before="0" w:line="240" w:lineRule="auto"/>
        <w:jc w:val="center"/>
        <w:rPr>
          <w:rFonts w:cs="Times New Roman"/>
          <w:color w:val="000000" w:themeColor="text1"/>
          <w:szCs w:val="24"/>
        </w:rPr>
      </w:pPr>
      <w:bookmarkStart w:id="0" w:name="_GoBack"/>
      <w:bookmarkEnd w:id="0"/>
      <w:r w:rsidRPr="00350703">
        <w:rPr>
          <w:rFonts w:cs="Times New Roman"/>
          <w:b/>
          <w:bCs/>
          <w:color w:val="000000" w:themeColor="text1"/>
          <w:sz w:val="36"/>
          <w:szCs w:val="36"/>
          <w:highlight w:val="green"/>
        </w:rPr>
        <w:t>Evaluating the Role of ERP, Cloud, and Blockchain Systems in Improving Financial Efficiency of NGOs in Kenya</w:t>
      </w:r>
    </w:p>
    <w:p w14:paraId="42946DD8" w14:textId="77777777" w:rsidR="00055D83" w:rsidRPr="002B2D3C" w:rsidRDefault="00055D83" w:rsidP="00055D83">
      <w:pPr>
        <w:pStyle w:val="Heading1"/>
      </w:pPr>
      <w:bookmarkStart w:id="1" w:name="_Toc488404692"/>
      <w:bookmarkStart w:id="2" w:name="_Toc102409737"/>
      <w:r w:rsidRPr="002B2D3C">
        <w:t>ABSTRACT</w:t>
      </w:r>
      <w:bookmarkEnd w:id="1"/>
      <w:bookmarkEnd w:id="2"/>
    </w:p>
    <w:p w14:paraId="6207EB90" w14:textId="50565104" w:rsidR="00857BF9" w:rsidRPr="00857BF9" w:rsidRDefault="00652895" w:rsidP="003C1EB2">
      <w:pPr>
        <w:spacing w:line="240" w:lineRule="auto"/>
        <w:rPr>
          <w:rFonts w:cs="Times New Roman"/>
          <w:szCs w:val="24"/>
        </w:rPr>
      </w:pPr>
      <w:r w:rsidRPr="00652895">
        <w:rPr>
          <w:rFonts w:cs="Times New Roman"/>
          <w:szCs w:val="24"/>
          <w:highlight w:val="green"/>
        </w:rPr>
        <w:t>This study explored the impact of technological financial systems</w:t>
      </w:r>
      <w:r w:rsidR="00897A35">
        <w:rPr>
          <w:rFonts w:cs="Times New Roman"/>
          <w:szCs w:val="24"/>
          <w:highlight w:val="green"/>
        </w:rPr>
        <w:t xml:space="preserve"> </w:t>
      </w:r>
      <w:r w:rsidRPr="00652895">
        <w:rPr>
          <w:rFonts w:cs="Times New Roman"/>
          <w:szCs w:val="24"/>
          <w:highlight w:val="green"/>
        </w:rPr>
        <w:t>including ERP, cloud accounting, and blockchain</w:t>
      </w:r>
      <w:r w:rsidR="00897A35">
        <w:rPr>
          <w:rFonts w:cs="Times New Roman"/>
          <w:szCs w:val="24"/>
          <w:highlight w:val="green"/>
        </w:rPr>
        <w:t xml:space="preserve"> </w:t>
      </w:r>
      <w:r w:rsidRPr="00652895">
        <w:rPr>
          <w:rFonts w:cs="Times New Roman"/>
          <w:szCs w:val="24"/>
          <w:highlight w:val="green"/>
        </w:rPr>
        <w:t>on the financial efficiency of humanitarian organizations in Kenya. Grounded in the Technology Acceptance Model (TAM), Resource-Based View (RBV), and Institutional Theory, it examined how these digital tools influence budgeting, reporting, and internal control within the nonprofit sector. A mixed-methods cross-sectional design was adopted, combining surveys and interviews with 120 participants from finance, IT, procurement, and operations departments. Data was analyzed using SPSS, with results presented through tables and graphical summaries. The findings revealed mixed perceptions of these technologies: while adoption significantly enhanced the accuracy, timeliness, and transparency of financial reporting, challenges emerged around system integration, inconsistent user acceptance, security concerns, and high implementation costs. Not all departments experienced equal benefits, and cost-effectiveness remained a concern. The study concluded that the effectiveness of digital financial systems depends on organizational culture, institutional support, and user competence. Recommendations included tailored implementation, enhanced staff training, better system integration, and user-centered design of financial tools. The research was limited to Kenyan NGOs, which may affect the generalizability of the findings to other contexts. Nonetheless, the results highlight the potential of technology to foster transparency and accountability in humanitarian financial management, with future studies encouraged to assess long-term impacts and effectiveness in areas such as procurement and project monitoring</w:t>
      </w:r>
      <w:r w:rsidR="003C1EB2" w:rsidRPr="003C1EB2">
        <w:rPr>
          <w:rFonts w:cs="Times New Roman"/>
          <w:szCs w:val="24"/>
          <w:highlight w:val="green"/>
        </w:rPr>
        <w:t>.</w:t>
      </w:r>
    </w:p>
    <w:p w14:paraId="64E4CDE6" w14:textId="77777777" w:rsidR="00857BF9" w:rsidRPr="00857BF9" w:rsidRDefault="00857BF9" w:rsidP="00857BF9">
      <w:pPr>
        <w:spacing w:line="240" w:lineRule="auto"/>
        <w:rPr>
          <w:rFonts w:cs="Times New Roman"/>
          <w:szCs w:val="24"/>
        </w:rPr>
      </w:pPr>
    </w:p>
    <w:p w14:paraId="75CEC440" w14:textId="41797338" w:rsidR="00342FD9" w:rsidRPr="00342FD9" w:rsidRDefault="00857BF9" w:rsidP="00857BF9">
      <w:pPr>
        <w:spacing w:line="240" w:lineRule="auto"/>
        <w:rPr>
          <w:rFonts w:cs="Times New Roman"/>
          <w:szCs w:val="24"/>
        </w:rPr>
      </w:pPr>
      <w:r w:rsidRPr="00857BF9">
        <w:rPr>
          <w:rFonts w:cs="Times New Roman"/>
          <w:b/>
          <w:bCs/>
          <w:szCs w:val="24"/>
        </w:rPr>
        <w:t>Keywords:</w:t>
      </w:r>
      <w:r>
        <w:rPr>
          <w:rFonts w:cs="Times New Roman"/>
          <w:b/>
          <w:bCs/>
          <w:szCs w:val="24"/>
        </w:rPr>
        <w:t xml:space="preserve"> </w:t>
      </w:r>
      <w:r w:rsidRPr="00857BF9">
        <w:rPr>
          <w:rFonts w:cs="Times New Roman"/>
          <w:i/>
          <w:iCs/>
          <w:szCs w:val="24"/>
        </w:rPr>
        <w:t>Technology, Financial Efficiency, Digital Systems, Humanitarian Organizations, ERP Systems, Capacity Building, Transparency</w:t>
      </w:r>
      <w:r w:rsidR="00342FD9" w:rsidRPr="00857BF9">
        <w:rPr>
          <w:rFonts w:cs="Times New Roman"/>
          <w:i/>
          <w:iCs/>
          <w:szCs w:val="24"/>
        </w:rPr>
        <w:t>.</w:t>
      </w:r>
    </w:p>
    <w:p w14:paraId="184BC1B7" w14:textId="77777777" w:rsidR="00342FD9" w:rsidRPr="00342FD9" w:rsidRDefault="00342FD9" w:rsidP="00342FD9">
      <w:pPr>
        <w:spacing w:line="240" w:lineRule="auto"/>
        <w:rPr>
          <w:rFonts w:cs="Times New Roman"/>
          <w:szCs w:val="24"/>
        </w:rPr>
      </w:pPr>
    </w:p>
    <w:p w14:paraId="60C890DF" w14:textId="77777777" w:rsidR="00055D83" w:rsidRPr="002B2D3C" w:rsidRDefault="00055D83" w:rsidP="00055D83">
      <w:pPr>
        <w:shd w:val="clear" w:color="auto" w:fill="FFFFFF"/>
        <w:spacing w:line="240" w:lineRule="auto"/>
        <w:rPr>
          <w:rFonts w:eastAsia="Times New Roman" w:cs="Times New Roman"/>
          <w:b/>
          <w:bCs/>
          <w:color w:val="000000" w:themeColor="text1"/>
          <w:sz w:val="28"/>
          <w:szCs w:val="28"/>
        </w:rPr>
      </w:pPr>
      <w:r w:rsidRPr="002B2D3C">
        <w:rPr>
          <w:rFonts w:eastAsia="Times New Roman" w:cs="Times New Roman"/>
          <w:b/>
          <w:bCs/>
          <w:color w:val="000000" w:themeColor="text1"/>
          <w:sz w:val="28"/>
          <w:szCs w:val="28"/>
        </w:rPr>
        <w:t>1.0 INTRODUCTION</w:t>
      </w:r>
    </w:p>
    <w:p w14:paraId="74DEF375" w14:textId="361EB4F7" w:rsidR="00857BF9" w:rsidRPr="00857BF9" w:rsidRDefault="00857BF9" w:rsidP="00857BF9">
      <w:pPr>
        <w:shd w:val="clear" w:color="auto" w:fill="FFFFFF"/>
        <w:spacing w:line="240" w:lineRule="auto"/>
        <w:rPr>
          <w:rFonts w:cs="Times New Roman"/>
          <w:color w:val="000000" w:themeColor="text1"/>
          <w:szCs w:val="24"/>
        </w:rPr>
      </w:pPr>
      <w:r w:rsidRPr="00857BF9">
        <w:rPr>
          <w:rFonts w:cs="Times New Roman"/>
          <w:color w:val="000000" w:themeColor="text1"/>
          <w:szCs w:val="24"/>
        </w:rPr>
        <w:t>The growth of humanitarian organizations (NGOs) worldwide reflects a strong dedication to addressing social challenges and improving livelihoods. However, despite this expansion, many NGOs continue to grapple with operational inefficiencies, especially in financial management. Approximately 60% of NGOs globally still rely on manual accounting systems, leading to delayed financial reporting and poor decision-making processes. This has resulted in around 30% of NGOs facing challenges in timely resource allocation. In Africa, these inefficiencies are particularly problematic. The African Economic Outlook highlights that up to 30% of NGO funds are misallocated or lost due to accounting errors, significantly hampering the ability of these organizations to deliver services to those in need.</w:t>
      </w:r>
      <w:r>
        <w:rPr>
          <w:rFonts w:cs="Times New Roman"/>
          <w:color w:val="000000" w:themeColor="text1"/>
          <w:szCs w:val="24"/>
        </w:rPr>
        <w:t xml:space="preserve"> </w:t>
      </w:r>
      <w:r w:rsidRPr="00857BF9">
        <w:rPr>
          <w:rFonts w:cs="Times New Roman"/>
          <w:color w:val="000000" w:themeColor="text1"/>
          <w:szCs w:val="24"/>
        </w:rPr>
        <w:t>In Kenya, the situation mirrors the broader continental context. Despite advancements in financial technology, nearly 70% of NGOs in Kenya still depend on manual financial systems, which often results in inaccurate financial records and limited transparency. As a result, about 40% of NGOs in Kenya face delays in reporting to donors, thereby weakening trust and reducing funding sustainability. These issues threaten not only financial transparency but also the effectiveness of humanitarian initiatives. Recognizing these persistent problems, this study explores the role of technological financial systems in improving financial efficiency among well-established NGOs operating in Kenya.</w:t>
      </w:r>
    </w:p>
    <w:p w14:paraId="17F7E1A2" w14:textId="4D730CC6" w:rsidR="00857BF9" w:rsidRPr="00857BF9" w:rsidRDefault="00857BF9" w:rsidP="00857BF9">
      <w:pPr>
        <w:shd w:val="clear" w:color="auto" w:fill="FFFFFF"/>
        <w:spacing w:line="240" w:lineRule="auto"/>
        <w:rPr>
          <w:rFonts w:cs="Times New Roman"/>
          <w:color w:val="000000" w:themeColor="text1"/>
          <w:szCs w:val="24"/>
        </w:rPr>
      </w:pPr>
      <w:r w:rsidRPr="00857BF9">
        <w:rPr>
          <w:rFonts w:cs="Times New Roman"/>
          <w:color w:val="000000" w:themeColor="text1"/>
          <w:szCs w:val="24"/>
        </w:rPr>
        <w:t xml:space="preserve">Technological financial systems have become increasingly important in enhancing the financial operations of NGOs. These systems have transformed how organizations manage their financial transactions, enabling </w:t>
      </w:r>
      <w:r w:rsidRPr="00857BF9">
        <w:rPr>
          <w:rFonts w:cs="Times New Roman"/>
          <w:color w:val="000000" w:themeColor="text1"/>
          <w:szCs w:val="24"/>
        </w:rPr>
        <w:lastRenderedPageBreak/>
        <w:t>streamlined processes, enhanced transparency, and greater accountability. By adopting financial technologies, some NGOs have significantly improved their financial reporting, increased donor confidence, and optimized resource allocation. Tools like Enterprise Resource Planning (ERP) systems, cloud-based accounting software, and automated donor management systems have allowed NGOs to modernize and integrate their financial processes, reducing errors and inefficiencies.</w:t>
      </w:r>
      <w:r>
        <w:rPr>
          <w:rFonts w:cs="Times New Roman"/>
          <w:color w:val="000000" w:themeColor="text1"/>
          <w:szCs w:val="24"/>
        </w:rPr>
        <w:t xml:space="preserve"> </w:t>
      </w:r>
      <w:r w:rsidRPr="00857BF9">
        <w:rPr>
          <w:rFonts w:cs="Times New Roman"/>
          <w:color w:val="000000" w:themeColor="text1"/>
          <w:szCs w:val="24"/>
        </w:rPr>
        <w:t>Various NGOs in Kenya have already begun adopting such technologies with positive outcomes. For instance, some organizations use ERP systems such as Horizon for budgeting and Sun System for financial reporting, along with integrated platforms that manage requisitions, approvals, electronic purchase orders, payments, and fund transfers. These systems offer accuracy, traceability, and timely financial data, promoting efficient fund utilization and strengthening donor relationships. Save the Children, which has operated in Kenya for over 30 years, employs blockchain technology to ensure transparency in fund tracking and donor management. This has improved accountability and enhanced stakeholder confidence.</w:t>
      </w:r>
    </w:p>
    <w:p w14:paraId="78D2488D" w14:textId="17E967EB" w:rsidR="00857BF9" w:rsidRPr="00857BF9" w:rsidRDefault="00857BF9" w:rsidP="00857BF9">
      <w:pPr>
        <w:shd w:val="clear" w:color="auto" w:fill="FFFFFF"/>
        <w:spacing w:line="240" w:lineRule="auto"/>
        <w:rPr>
          <w:rFonts w:cs="Times New Roman"/>
          <w:color w:val="000000" w:themeColor="text1"/>
          <w:szCs w:val="24"/>
        </w:rPr>
      </w:pPr>
      <w:r w:rsidRPr="00857BF9">
        <w:rPr>
          <w:rFonts w:cs="Times New Roman"/>
          <w:color w:val="000000" w:themeColor="text1"/>
          <w:szCs w:val="24"/>
        </w:rPr>
        <w:t>CARE International, with its focus on poverty alleviation and healthcare, has implemented automated donor management systems and cloud-based accounting tools. These enable accurate, real-time financial reporting and better project budgeting, supporting both transparency and efficiency. Similarly, Plan International leverages data analytics tools to make data-driven decisions, which helps in precise resource allocation, project assessment, and impact evaluation. This ensures that resources are used effectively and outcomes are measurable.</w:t>
      </w:r>
      <w:r>
        <w:rPr>
          <w:rFonts w:cs="Times New Roman"/>
          <w:color w:val="000000" w:themeColor="text1"/>
          <w:szCs w:val="24"/>
        </w:rPr>
        <w:t xml:space="preserve"> </w:t>
      </w:r>
      <w:r w:rsidRPr="00857BF9">
        <w:rPr>
          <w:rFonts w:cs="Times New Roman"/>
          <w:color w:val="000000" w:themeColor="text1"/>
          <w:szCs w:val="24"/>
        </w:rPr>
        <w:t>Oxfam uses mobile payment solutions to improve the efficiency of aid distribution, particularly in remote regions. These technologies have enhanced accessibility and ensured that financial aid reaches intended beneficiaries without delays. Oxfam also uses digital platforms to monitor fund utilization in real time, fostering transparency and accountability. ActionAid has diversified its funding sources through digital crowdfunding platforms. These platforms connect with global donor networks and ensure sustainable funding streams, allowing ActionAid to maintain long-term programs addressing poverty, education, and women’s empowerment.</w:t>
      </w:r>
    </w:p>
    <w:p w14:paraId="5AEB14EF" w14:textId="3391D46A" w:rsidR="00857BF9" w:rsidRPr="00857BF9" w:rsidRDefault="00857BF9" w:rsidP="00857BF9">
      <w:pPr>
        <w:shd w:val="clear" w:color="auto" w:fill="FFFFFF"/>
        <w:spacing w:line="240" w:lineRule="auto"/>
        <w:rPr>
          <w:rFonts w:cs="Times New Roman"/>
          <w:color w:val="000000" w:themeColor="text1"/>
          <w:szCs w:val="24"/>
        </w:rPr>
      </w:pPr>
      <w:r w:rsidRPr="00857BF9">
        <w:rPr>
          <w:rFonts w:cs="Times New Roman"/>
          <w:color w:val="000000" w:themeColor="text1"/>
          <w:szCs w:val="24"/>
        </w:rPr>
        <w:t>The World Food Programme (WFP) in Kenya applies artificial intelligence (AI)-powered supply chain management systems to streamline food distribution. These systems optimize logistics, reduce waste, and allow real-time resource tracking. By leveraging AI, WFP ensures that food aid reaches vulnerable communities promptly, thereby maximizing impact and improving operational outcomes. These technological innovations across different NGOs highlight the potential of financial systems to resolve longstanding inefficiencies. Their adoption aligns with this study’s main objective</w:t>
      </w:r>
      <w:r w:rsidR="00154669">
        <w:rPr>
          <w:rFonts w:cs="Times New Roman"/>
          <w:color w:val="000000" w:themeColor="text1"/>
          <w:szCs w:val="24"/>
        </w:rPr>
        <w:t xml:space="preserve"> </w:t>
      </w:r>
      <w:r w:rsidRPr="00857BF9">
        <w:rPr>
          <w:rFonts w:cs="Times New Roman"/>
          <w:color w:val="000000" w:themeColor="text1"/>
          <w:szCs w:val="24"/>
        </w:rPr>
        <w:t>to assess how such innovations enhance financial efficiency within Kenya’s NGO sector.</w:t>
      </w:r>
    </w:p>
    <w:p w14:paraId="0DDC7830" w14:textId="65F80427" w:rsidR="00857BF9" w:rsidRPr="00857BF9" w:rsidRDefault="00857BF9" w:rsidP="00857BF9">
      <w:pPr>
        <w:shd w:val="clear" w:color="auto" w:fill="FFFFFF"/>
        <w:spacing w:line="240" w:lineRule="auto"/>
        <w:rPr>
          <w:rFonts w:cs="Times New Roman"/>
          <w:color w:val="000000" w:themeColor="text1"/>
          <w:szCs w:val="24"/>
        </w:rPr>
      </w:pPr>
      <w:r w:rsidRPr="00857BF9">
        <w:rPr>
          <w:rFonts w:cs="Times New Roman"/>
          <w:color w:val="000000" w:themeColor="text1"/>
          <w:szCs w:val="24"/>
        </w:rPr>
        <w:t>Financial efficiency, as examined in this study, is a multidimensional concept measured by four key indicators: timeliness in resource allocation, transparency in fund utilization, cost-effectiveness in program implementation, and accuracy in financial reporting. Timeliness in resource allocation reflects how quickly funds are disbursed for various projects. This is critical in humanitarian work, where delays can jeopardize the welfare of affected populations. By ensuring timely allocation of resources, NGOs can address urgent needs more effectively and improve their service delivery.</w:t>
      </w:r>
      <w:r>
        <w:rPr>
          <w:rFonts w:cs="Times New Roman"/>
          <w:color w:val="000000" w:themeColor="text1"/>
          <w:szCs w:val="24"/>
        </w:rPr>
        <w:t xml:space="preserve"> </w:t>
      </w:r>
      <w:r w:rsidRPr="00857BF9">
        <w:rPr>
          <w:rFonts w:cs="Times New Roman"/>
          <w:color w:val="000000" w:themeColor="text1"/>
          <w:szCs w:val="24"/>
        </w:rPr>
        <w:t>Transparency in fund utilization assesses whether funds are used as intended and are traceable throughout the project cycle. High transparency builds trust among stakeholders, including donors, beneficiaries, and regulatory agencies. It also reinforces ethical financial practices and helps organizations meet compliance standards. Cost-effectiveness in program implementation evaluates whether an NGO achieves its program goals with minimal expenditure. This involves optimizing resource usage and focusing on strategies that deliver maximum value at the lowest cost. Organizations that excel in cost-effectiveness are better positioned to achieve sustainable impact with limited resources.</w:t>
      </w:r>
    </w:p>
    <w:p w14:paraId="13729481" w14:textId="77777777" w:rsidR="00857BF9" w:rsidRPr="00857BF9" w:rsidRDefault="00857BF9" w:rsidP="00857BF9">
      <w:pPr>
        <w:shd w:val="clear" w:color="auto" w:fill="FFFFFF"/>
        <w:spacing w:line="240" w:lineRule="auto"/>
        <w:rPr>
          <w:rFonts w:cs="Times New Roman"/>
          <w:color w:val="000000" w:themeColor="text1"/>
          <w:szCs w:val="24"/>
        </w:rPr>
      </w:pPr>
      <w:r w:rsidRPr="00857BF9">
        <w:rPr>
          <w:rFonts w:cs="Times New Roman"/>
          <w:color w:val="000000" w:themeColor="text1"/>
          <w:szCs w:val="24"/>
        </w:rPr>
        <w:t>Accuracy in financial reporting is the final pillar of financial efficiency. It emphasizes the importance of producing reliable, error-free financial documents that comply with established accounting standards. Accurate reporting ensures that stakeholders have a clear view of the organization’s financial health, enabling informed decision-making and promoting transparency. Each of these indicators collectively reflects an NGO’s ability to manage its financial resources responsibly, transparently, and efficiently, which is essential for fulfilling their humanitarian missions.</w:t>
      </w:r>
    </w:p>
    <w:p w14:paraId="7E21630B" w14:textId="77777777" w:rsidR="00857BF9" w:rsidRPr="00857BF9" w:rsidRDefault="00857BF9" w:rsidP="00857BF9">
      <w:pPr>
        <w:shd w:val="clear" w:color="auto" w:fill="FFFFFF"/>
        <w:spacing w:line="240" w:lineRule="auto"/>
        <w:rPr>
          <w:rFonts w:cs="Times New Roman"/>
          <w:color w:val="000000" w:themeColor="text1"/>
          <w:szCs w:val="24"/>
        </w:rPr>
      </w:pPr>
      <w:r w:rsidRPr="00857BF9">
        <w:rPr>
          <w:rFonts w:cs="Times New Roman"/>
          <w:color w:val="000000" w:themeColor="text1"/>
          <w:szCs w:val="24"/>
        </w:rPr>
        <w:lastRenderedPageBreak/>
        <w:t>Kenya hosts a diverse array of humanitarian organizations that play a vital role in tackling socio-economic challenges and responding to crises. These include international NGOs, national and local NGOs, community-based organizations (CBOs), and government-affiliated humanitarian bodies. International NGOs like World Vision, CARE International, and Save the Children are heavily involved in sectors such as healthcare, education, food security, and emergency response. Their widespread presence and experience make them central players in Kenya’s humanitarian landscape.</w:t>
      </w:r>
    </w:p>
    <w:p w14:paraId="25FCAF00" w14:textId="77777777" w:rsidR="00857BF9" w:rsidRPr="00857BF9" w:rsidRDefault="00857BF9" w:rsidP="00857BF9">
      <w:pPr>
        <w:shd w:val="clear" w:color="auto" w:fill="FFFFFF"/>
        <w:spacing w:line="240" w:lineRule="auto"/>
        <w:rPr>
          <w:rFonts w:cs="Times New Roman"/>
          <w:color w:val="000000" w:themeColor="text1"/>
          <w:szCs w:val="24"/>
        </w:rPr>
      </w:pPr>
      <w:r w:rsidRPr="00857BF9">
        <w:rPr>
          <w:rFonts w:cs="Times New Roman"/>
          <w:color w:val="000000" w:themeColor="text1"/>
          <w:szCs w:val="24"/>
        </w:rPr>
        <w:t>Local NGOs and CBOs complement international efforts by focusing on grassroots issues and ensuring that aid is tailored to community-specific needs. These organizations often work closely with communities, making them more responsive and adaptable to local challenges. In addition, governmental agencies like the Kenya Red Cross and the National Drought Management Authority (NDMA) play key roles in disaster preparedness and emergency relief. These bodies often act as the first line of response during national emergencies such as droughts, floods, or refugee influxes.</w:t>
      </w:r>
    </w:p>
    <w:p w14:paraId="396BE585" w14:textId="4C7E9FAB" w:rsidR="00973355" w:rsidRDefault="00857BF9" w:rsidP="00857BF9">
      <w:pPr>
        <w:shd w:val="clear" w:color="auto" w:fill="FFFFFF"/>
        <w:spacing w:line="240" w:lineRule="auto"/>
        <w:rPr>
          <w:rFonts w:cs="Times New Roman"/>
          <w:color w:val="000000" w:themeColor="text1"/>
          <w:szCs w:val="24"/>
        </w:rPr>
      </w:pPr>
      <w:r w:rsidRPr="00857BF9">
        <w:rPr>
          <w:rFonts w:cs="Times New Roman"/>
          <w:color w:val="000000" w:themeColor="text1"/>
          <w:szCs w:val="24"/>
        </w:rPr>
        <w:t>Kenya’s humanitarian organizations operate in a complex environment marked by chronic issues such as poverty, hunger, disease, and natural disasters. The country also frequently experiences unexpected emergencies, such as drought-induced food shortages or regional conflicts leading to refugee crises. In such a context, the importance of timely and efficient humanitarian intervention cannot be overstated. NGOs, therefore, face the dual challenge of addressing ongoing development needs while maintaining the flexibility to respond to sudden emergencies.</w:t>
      </w:r>
      <w:r>
        <w:rPr>
          <w:rFonts w:cs="Times New Roman"/>
          <w:color w:val="000000" w:themeColor="text1"/>
          <w:szCs w:val="24"/>
        </w:rPr>
        <w:t xml:space="preserve"> </w:t>
      </w:r>
      <w:r w:rsidRPr="00857BF9">
        <w:rPr>
          <w:rFonts w:cs="Times New Roman"/>
          <w:color w:val="000000" w:themeColor="text1"/>
          <w:szCs w:val="24"/>
        </w:rPr>
        <w:t>The operational success of these organizations hinges significantly on their financial efficiency. With limited funding and increasing needs, effective financial management ensures that resources are used where they are most needed and have the greatest impact. By integrating technological financial systems, humanitarian organizations in Kenya can overcome many of the traditional challenges associated with manual financial management. These systems not only reduce operational bottlenecks but also promote a culture of accountability and transparency, both of which are essential for long-term success and donor retention.</w:t>
      </w:r>
      <w:r>
        <w:rPr>
          <w:rFonts w:cs="Times New Roman"/>
          <w:color w:val="000000" w:themeColor="text1"/>
          <w:szCs w:val="24"/>
        </w:rPr>
        <w:t xml:space="preserve"> </w:t>
      </w:r>
      <w:r w:rsidRPr="00857BF9">
        <w:rPr>
          <w:rFonts w:cs="Times New Roman"/>
          <w:color w:val="000000" w:themeColor="text1"/>
          <w:szCs w:val="24"/>
        </w:rPr>
        <w:t>Ultimately, the study will contribute to understanding how financial technology systems influence financial efficiency within long-standing NGOs in Kenya. By examining current practices and identifying effective strategies, the research aims to provide actionable insights that could guide other NGOs in transitioning to more efficient financial management systems. This will not only improve their financial health but also enhance their ability to serve communities more effectively and sustainably</w:t>
      </w:r>
      <w:r w:rsidR="00A91ACF" w:rsidRPr="00A91ACF">
        <w:rPr>
          <w:rFonts w:cs="Times New Roman"/>
          <w:color w:val="000000" w:themeColor="text1"/>
          <w:szCs w:val="24"/>
        </w:rPr>
        <w:t>.</w:t>
      </w:r>
    </w:p>
    <w:p w14:paraId="48C38FDC" w14:textId="4C473802" w:rsidR="00055D83" w:rsidRPr="002B2D3C" w:rsidRDefault="00055D83" w:rsidP="00CE4C91">
      <w:pPr>
        <w:shd w:val="clear" w:color="auto" w:fill="FFFFFF"/>
        <w:spacing w:line="240" w:lineRule="auto"/>
        <w:rPr>
          <w:rFonts w:eastAsia="Times New Roman" w:cs="Times New Roman"/>
          <w:b/>
          <w:bCs/>
          <w:color w:val="000000" w:themeColor="text1"/>
          <w:sz w:val="28"/>
          <w:szCs w:val="28"/>
        </w:rPr>
      </w:pPr>
      <w:r w:rsidRPr="002B2D3C">
        <w:rPr>
          <w:rFonts w:eastAsia="Times New Roman" w:cs="Times New Roman"/>
          <w:b/>
          <w:bCs/>
          <w:color w:val="000000" w:themeColor="text1"/>
          <w:sz w:val="28"/>
          <w:szCs w:val="28"/>
        </w:rPr>
        <w:t>1.1 Research Problem</w:t>
      </w:r>
    </w:p>
    <w:p w14:paraId="17E29A75" w14:textId="5E872C28" w:rsidR="00B717D1" w:rsidRPr="002B2D3C" w:rsidRDefault="00421CF2" w:rsidP="00274AC6">
      <w:pPr>
        <w:spacing w:line="240" w:lineRule="auto"/>
        <w:rPr>
          <w:rFonts w:cs="Times New Roman"/>
          <w:color w:val="000000" w:themeColor="text1"/>
          <w:szCs w:val="24"/>
        </w:rPr>
      </w:pPr>
      <w:r w:rsidRPr="00421CF2">
        <w:rPr>
          <w:rFonts w:cs="Times New Roman"/>
          <w:color w:val="000000" w:themeColor="text1"/>
          <w:szCs w:val="24"/>
        </w:rPr>
        <w:t>Despite significant global technological advancements, many long-established NGOs in Kenya continue to grapple with financial inefficiencies. Around 60% of NGOs worldwide, and nearly 70% in Kenya, still rely on manual accounting systems, leading to inaccurate record-keeping, delayed reporting, poor resource allocation, and increased risks of fraud and mismanagement. These outdated systems result in up to 20% of funds being misallocated or lost due to human error, severely impacting service delivery and donor confidence. Although technology offers solutions to streamline financial processes, only about 40% of Kenyan NGOs effectively utilize such tools. This technological underutilization contributes to persistent issues in financial management, including lack of transparency, inefficiency, and limited scalability. Furthermore, inconsistencies in applying key financial management indicators</w:t>
      </w:r>
      <w:r w:rsidR="00154669">
        <w:rPr>
          <w:rFonts w:cs="Times New Roman"/>
          <w:color w:val="000000" w:themeColor="text1"/>
          <w:szCs w:val="24"/>
        </w:rPr>
        <w:t xml:space="preserve"> </w:t>
      </w:r>
      <w:r w:rsidRPr="00421CF2">
        <w:rPr>
          <w:rFonts w:cs="Times New Roman"/>
          <w:color w:val="000000" w:themeColor="text1"/>
          <w:szCs w:val="24"/>
        </w:rPr>
        <w:t>such as timeliness, cost-effectiveness, transparency, and accuracy</w:t>
      </w:r>
      <w:r w:rsidR="00154669">
        <w:rPr>
          <w:rFonts w:cs="Times New Roman"/>
          <w:color w:val="000000" w:themeColor="text1"/>
          <w:szCs w:val="24"/>
        </w:rPr>
        <w:t xml:space="preserve"> </w:t>
      </w:r>
      <w:r w:rsidRPr="00421CF2">
        <w:rPr>
          <w:rFonts w:cs="Times New Roman"/>
          <w:color w:val="000000" w:themeColor="text1"/>
          <w:szCs w:val="24"/>
        </w:rPr>
        <w:t>continue to hinder optimal resource use. Many NGOs face challenges in balancing prompt fund disbursement with comprehensive financial accountability. This study seeks to address these critical inefficiencies by investigating the underlying causes of poor financial performance in humanitarian organizations, particularly focusing on the gap between the availability of modern financial technologies and their limited implementation. Ultimately, the study aims to explore how leveraging appropriate technological solutions can enhance financial efficiency, strengthen stakeholder trust, and improve service outcomes for communities in need across Kenya’s NGO sector.</w:t>
      </w:r>
      <w:r w:rsidR="00A85B82" w:rsidRPr="00A85B82">
        <w:rPr>
          <w:rFonts w:cs="Times New Roman"/>
          <w:color w:val="000000" w:themeColor="text1"/>
          <w:szCs w:val="24"/>
        </w:rPr>
        <w:t xml:space="preserve"> </w:t>
      </w:r>
    </w:p>
    <w:p w14:paraId="7860FC20" w14:textId="564AFDA6" w:rsidR="00055D83" w:rsidRPr="002B2D3C" w:rsidRDefault="00055D83" w:rsidP="00E5141C">
      <w:pPr>
        <w:spacing w:line="240" w:lineRule="auto"/>
        <w:rPr>
          <w:rFonts w:cs="Times New Roman"/>
          <w:b/>
          <w:bCs/>
          <w:color w:val="000000" w:themeColor="text1"/>
          <w:sz w:val="28"/>
          <w:szCs w:val="28"/>
        </w:rPr>
      </w:pPr>
      <w:r w:rsidRPr="002B2D3C">
        <w:rPr>
          <w:rFonts w:cs="Times New Roman"/>
          <w:b/>
          <w:bCs/>
          <w:color w:val="000000" w:themeColor="text1"/>
          <w:sz w:val="28"/>
          <w:szCs w:val="28"/>
        </w:rPr>
        <w:t>1.2 Research Objective</w:t>
      </w:r>
    </w:p>
    <w:p w14:paraId="3A006523" w14:textId="42006B25" w:rsidR="0054398C" w:rsidRPr="002B2D3C" w:rsidRDefault="00055D83" w:rsidP="0054398C">
      <w:pPr>
        <w:spacing w:line="240" w:lineRule="auto"/>
        <w:rPr>
          <w:rFonts w:cs="Times New Roman"/>
          <w:color w:val="000000" w:themeColor="text1"/>
          <w:szCs w:val="24"/>
        </w:rPr>
      </w:pPr>
      <w:r w:rsidRPr="002B2D3C">
        <w:rPr>
          <w:rFonts w:cs="Times New Roman"/>
          <w:color w:val="000000" w:themeColor="text1"/>
          <w:szCs w:val="24"/>
        </w:rPr>
        <w:lastRenderedPageBreak/>
        <w:t>This study was guided by the following general objective to:</w:t>
      </w:r>
      <w:r w:rsidR="00784B96" w:rsidRPr="00784B96">
        <w:rPr>
          <w:rFonts w:cs="Times New Roman"/>
          <w:color w:val="000000" w:themeColor="text1"/>
          <w:szCs w:val="24"/>
        </w:rPr>
        <w:t xml:space="preserve"> </w:t>
      </w:r>
      <w:r w:rsidR="00F42A52" w:rsidRPr="00F42A52">
        <w:rPr>
          <w:rFonts w:cs="Times New Roman"/>
          <w:color w:val="000000" w:themeColor="text1"/>
          <w:szCs w:val="24"/>
        </w:rPr>
        <w:t>enhance financial efficiency within humanitarian organizations operating in Kenya by leveraging technological financial systems solutions</w:t>
      </w:r>
      <w:r w:rsidR="0054398C" w:rsidRPr="002B2D3C">
        <w:rPr>
          <w:rFonts w:cs="Times New Roman"/>
          <w:color w:val="000000" w:themeColor="text1"/>
          <w:szCs w:val="24"/>
        </w:rPr>
        <w:t>.</w:t>
      </w:r>
    </w:p>
    <w:p w14:paraId="3CEA4A91" w14:textId="5C3F5F19" w:rsidR="006C41A9" w:rsidRPr="002B2D3C" w:rsidRDefault="0054398C" w:rsidP="00F42A52">
      <w:pPr>
        <w:spacing w:line="240" w:lineRule="auto"/>
        <w:rPr>
          <w:rFonts w:cs="Times New Roman"/>
          <w:color w:val="000000" w:themeColor="text1"/>
          <w:szCs w:val="24"/>
        </w:rPr>
      </w:pPr>
      <w:r w:rsidRPr="002B2D3C">
        <w:rPr>
          <w:rFonts w:cs="Times New Roman"/>
          <w:color w:val="000000" w:themeColor="text1"/>
          <w:szCs w:val="24"/>
        </w:rPr>
        <w:t>Specific Objectives were to;</w:t>
      </w:r>
      <w:r w:rsidR="00784B96" w:rsidRPr="00784B96">
        <w:rPr>
          <w:rFonts w:cs="Times New Roman"/>
          <w:color w:val="000000" w:themeColor="text1"/>
          <w:szCs w:val="24"/>
        </w:rPr>
        <w:t xml:space="preserve"> </w:t>
      </w:r>
      <w:r w:rsidR="00F42A52" w:rsidRPr="00F42A52">
        <w:rPr>
          <w:rFonts w:cs="Times New Roman"/>
          <w:color w:val="000000" w:themeColor="text1"/>
          <w:szCs w:val="24"/>
        </w:rPr>
        <w:t>establish the effect of ERP systems such as, sun system and provision on financial efficiency of humanitarian organizations</w:t>
      </w:r>
      <w:r w:rsidR="00F42A52">
        <w:rPr>
          <w:rFonts w:cs="Times New Roman"/>
          <w:color w:val="000000" w:themeColor="text1"/>
          <w:szCs w:val="24"/>
        </w:rPr>
        <w:t>, t</w:t>
      </w:r>
      <w:r w:rsidR="00F42A52" w:rsidRPr="00F42A52">
        <w:rPr>
          <w:rFonts w:cs="Times New Roman"/>
          <w:color w:val="000000" w:themeColor="text1"/>
          <w:szCs w:val="24"/>
        </w:rPr>
        <w:t>o assess the effect of cloud-based accounting software on financial efficiency of humanitarian organizations</w:t>
      </w:r>
      <w:r w:rsidR="00F42A52">
        <w:rPr>
          <w:rFonts w:cs="Times New Roman"/>
          <w:color w:val="000000" w:themeColor="text1"/>
          <w:szCs w:val="24"/>
        </w:rPr>
        <w:t xml:space="preserve"> and t</w:t>
      </w:r>
      <w:r w:rsidR="00F42A52" w:rsidRPr="00F42A52">
        <w:rPr>
          <w:rFonts w:cs="Times New Roman"/>
          <w:color w:val="000000" w:themeColor="text1"/>
          <w:szCs w:val="24"/>
        </w:rPr>
        <w:t>o determine the effect of block chain technology on financial efficiency of humanitarian organizations</w:t>
      </w:r>
      <w:r w:rsidR="009C11BB" w:rsidRPr="002B2D3C">
        <w:rPr>
          <w:rFonts w:cs="Times New Roman"/>
          <w:color w:val="000000" w:themeColor="text1"/>
          <w:szCs w:val="24"/>
        </w:rPr>
        <w:t>.</w:t>
      </w:r>
    </w:p>
    <w:p w14:paraId="06BA9B23" w14:textId="5B77F9A3" w:rsidR="001450C8" w:rsidRPr="001450C8" w:rsidRDefault="00055D83" w:rsidP="001450C8">
      <w:pPr>
        <w:spacing w:line="240" w:lineRule="auto"/>
        <w:rPr>
          <w:rFonts w:eastAsia="Times New Roman" w:cs="Times New Roman"/>
          <w:b/>
          <w:bCs/>
          <w:color w:val="000000" w:themeColor="text1"/>
          <w:sz w:val="28"/>
          <w:szCs w:val="28"/>
        </w:rPr>
      </w:pPr>
      <w:r w:rsidRPr="002B2D3C">
        <w:rPr>
          <w:rFonts w:eastAsia="Times New Roman" w:cs="Times New Roman"/>
          <w:b/>
          <w:bCs/>
          <w:color w:val="000000" w:themeColor="text1"/>
          <w:sz w:val="28"/>
          <w:szCs w:val="28"/>
        </w:rPr>
        <w:t xml:space="preserve">1.3 </w:t>
      </w:r>
      <w:r w:rsidR="00F00D01" w:rsidRPr="00F00D01">
        <w:rPr>
          <w:rFonts w:eastAsia="Times New Roman" w:cs="Times New Roman"/>
          <w:b/>
          <w:bCs/>
          <w:color w:val="000000" w:themeColor="text1"/>
          <w:sz w:val="28"/>
          <w:szCs w:val="28"/>
        </w:rPr>
        <w:t>Research Questions</w:t>
      </w:r>
    </w:p>
    <w:p w14:paraId="131E8F7A" w14:textId="4CC6CEFE" w:rsidR="00F00D01" w:rsidRPr="00F00D01" w:rsidRDefault="00F00D01" w:rsidP="00F00D01">
      <w:pPr>
        <w:pStyle w:val="ListParagraph"/>
        <w:numPr>
          <w:ilvl w:val="0"/>
          <w:numId w:val="9"/>
        </w:numPr>
        <w:shd w:val="clear" w:color="auto" w:fill="FFFFFF"/>
        <w:spacing w:line="240" w:lineRule="auto"/>
        <w:rPr>
          <w:rFonts w:ascii="Times New Roman" w:eastAsia="Times New Roman" w:hAnsi="Times New Roman"/>
          <w:color w:val="000000" w:themeColor="text1"/>
          <w:sz w:val="24"/>
          <w:szCs w:val="28"/>
        </w:rPr>
      </w:pPr>
      <w:r w:rsidRPr="00F00D01">
        <w:rPr>
          <w:rFonts w:ascii="Times New Roman" w:eastAsia="Times New Roman" w:hAnsi="Times New Roman"/>
          <w:color w:val="000000" w:themeColor="text1"/>
          <w:sz w:val="24"/>
          <w:szCs w:val="28"/>
        </w:rPr>
        <w:t>What is the effect of ERP systems such as Sun Systems and Provision on the financial efficiency of humanitarian organizations?</w:t>
      </w:r>
    </w:p>
    <w:p w14:paraId="1673086D" w14:textId="262BDF9D" w:rsidR="00F00D01" w:rsidRPr="00F00D01" w:rsidRDefault="00F00D01" w:rsidP="00F00D01">
      <w:pPr>
        <w:pStyle w:val="ListParagraph"/>
        <w:numPr>
          <w:ilvl w:val="0"/>
          <w:numId w:val="9"/>
        </w:numPr>
        <w:shd w:val="clear" w:color="auto" w:fill="FFFFFF"/>
        <w:spacing w:line="240" w:lineRule="auto"/>
        <w:rPr>
          <w:rFonts w:ascii="Times New Roman" w:eastAsia="Times New Roman" w:hAnsi="Times New Roman"/>
          <w:color w:val="000000" w:themeColor="text1"/>
          <w:sz w:val="24"/>
          <w:szCs w:val="28"/>
        </w:rPr>
      </w:pPr>
      <w:r w:rsidRPr="00F00D01">
        <w:rPr>
          <w:rFonts w:ascii="Times New Roman" w:eastAsia="Times New Roman" w:hAnsi="Times New Roman"/>
          <w:color w:val="000000" w:themeColor="text1"/>
          <w:sz w:val="24"/>
          <w:szCs w:val="28"/>
        </w:rPr>
        <w:t>How does the use of cloud-based accounting software impact the financial efficiency of humanitarian organizations?</w:t>
      </w:r>
    </w:p>
    <w:p w14:paraId="5B126AEE" w14:textId="2D032077" w:rsidR="00F00D01" w:rsidRPr="00F00D01" w:rsidRDefault="00F00D01" w:rsidP="00F00D01">
      <w:pPr>
        <w:pStyle w:val="ListParagraph"/>
        <w:numPr>
          <w:ilvl w:val="0"/>
          <w:numId w:val="9"/>
        </w:numPr>
        <w:shd w:val="clear" w:color="auto" w:fill="FFFFFF"/>
        <w:spacing w:line="240" w:lineRule="auto"/>
        <w:rPr>
          <w:rFonts w:ascii="Times New Roman" w:eastAsia="Times New Roman" w:hAnsi="Times New Roman"/>
          <w:color w:val="000000" w:themeColor="text1"/>
          <w:sz w:val="24"/>
          <w:szCs w:val="28"/>
        </w:rPr>
      </w:pPr>
      <w:r w:rsidRPr="00F00D01">
        <w:rPr>
          <w:rFonts w:ascii="Times New Roman" w:eastAsia="Times New Roman" w:hAnsi="Times New Roman"/>
          <w:color w:val="000000" w:themeColor="text1"/>
          <w:sz w:val="24"/>
          <w:szCs w:val="28"/>
        </w:rPr>
        <w:t>What is the impact of blockchain technology on the financial efficiency of humanitarian organizations?</w:t>
      </w:r>
    </w:p>
    <w:p w14:paraId="35FF4706" w14:textId="48A41DA7" w:rsidR="00055D83" w:rsidRPr="002B2D3C" w:rsidRDefault="00055D83" w:rsidP="00F00D01">
      <w:pPr>
        <w:shd w:val="clear" w:color="auto" w:fill="FFFFFF"/>
        <w:spacing w:line="240" w:lineRule="auto"/>
        <w:rPr>
          <w:rFonts w:eastAsia="Times New Roman" w:cs="Times New Roman"/>
          <w:b/>
          <w:bCs/>
          <w:color w:val="000000" w:themeColor="text1"/>
          <w:sz w:val="28"/>
          <w:szCs w:val="28"/>
        </w:rPr>
      </w:pPr>
      <w:r w:rsidRPr="002B2D3C">
        <w:rPr>
          <w:rFonts w:eastAsia="Times New Roman" w:cs="Times New Roman"/>
          <w:b/>
          <w:bCs/>
          <w:color w:val="000000" w:themeColor="text1"/>
          <w:sz w:val="28"/>
          <w:szCs w:val="28"/>
        </w:rPr>
        <w:t>1.4 Justification of the Study</w:t>
      </w:r>
    </w:p>
    <w:p w14:paraId="456D9359" w14:textId="2E76EF9B" w:rsidR="00AD0959" w:rsidRDefault="00372DCB" w:rsidP="00AD0959">
      <w:pPr>
        <w:autoSpaceDE w:val="0"/>
        <w:autoSpaceDN w:val="0"/>
        <w:adjustRightInd w:val="0"/>
        <w:spacing w:before="0" w:after="240" w:line="240" w:lineRule="auto"/>
        <w:rPr>
          <w:color w:val="000000" w:themeColor="text1"/>
          <w:szCs w:val="24"/>
        </w:rPr>
      </w:pPr>
      <w:r w:rsidRPr="00372DCB">
        <w:rPr>
          <w:color w:val="000000" w:themeColor="text1"/>
          <w:szCs w:val="24"/>
        </w:rPr>
        <w:t>This study is significant for its potential to transform financial management in humanitarian organizations in Kenya through the adoption of technological financial solutions. It fills a crucial knowledge gap by examining how technology can enhance financial efficiency, focusing on aspects such as timely resource allocation, real-time data access, financial data security, scalability, transparency in fund utilization, cost-effectiveness, and accurate reporting. These insights are expected to help optimize resource use and improve accountability. Additionally, the study provides practical guidance for NGOs seeking to strengthen their financial systems, offering best practices that can be replicated across the sector. Improved financial efficiency can increase the impact of humanitarian programs by enabling timely and effective resource distribution, thus reaching more beneficiaries. The research also highlights the importance of transparency and accountability, which are essential to maintaining donor trust and attracting sustainable funding. By demonstrating how technological financial integration supports efficient operations, NGOs may enhance their credibility and secure continued donor support. Ultimately, the study’s implications extend beyond Kenya, offering valuable lessons to humanitarian organizations globally. It underscores the transformative potential of technological financial solutions in addressing long-standing financial management challenges in the humanitarian sector and paves the way for more innovative, responsive, and accountable systems that align with donor expectations and beneficiary needs.</w:t>
      </w:r>
    </w:p>
    <w:p w14:paraId="2F66289A" w14:textId="77777777" w:rsidR="003E0D69" w:rsidRDefault="003E0D69" w:rsidP="00AD0959">
      <w:pPr>
        <w:autoSpaceDE w:val="0"/>
        <w:autoSpaceDN w:val="0"/>
        <w:adjustRightInd w:val="0"/>
        <w:spacing w:before="0" w:after="240" w:line="240" w:lineRule="auto"/>
        <w:rPr>
          <w:color w:val="000000" w:themeColor="text1"/>
          <w:szCs w:val="24"/>
        </w:rPr>
      </w:pPr>
    </w:p>
    <w:p w14:paraId="0B892AC5" w14:textId="565CE0DD" w:rsidR="00AE4AA5" w:rsidRPr="002B2D3C" w:rsidRDefault="00AE4AA5" w:rsidP="00AE4AA5">
      <w:pPr>
        <w:rPr>
          <w:rFonts w:cs="Times New Roman"/>
          <w:b/>
          <w:bCs/>
          <w:sz w:val="28"/>
          <w:szCs w:val="24"/>
        </w:rPr>
      </w:pPr>
      <w:r w:rsidRPr="002B2D3C">
        <w:rPr>
          <w:rFonts w:cs="Times New Roman"/>
          <w:b/>
          <w:bCs/>
          <w:sz w:val="28"/>
          <w:szCs w:val="24"/>
        </w:rPr>
        <w:t>1.5 Study Limitations</w:t>
      </w:r>
    </w:p>
    <w:p w14:paraId="01448711" w14:textId="3A3843B7" w:rsidR="001E21F0" w:rsidRPr="002B2D3C" w:rsidRDefault="003E0D69" w:rsidP="00AE4AA5">
      <w:pPr>
        <w:spacing w:before="0" w:line="240" w:lineRule="auto"/>
        <w:rPr>
          <w:rFonts w:cs="Times New Roman"/>
        </w:rPr>
      </w:pPr>
      <w:r w:rsidRPr="003E0D69">
        <w:rPr>
          <w:rFonts w:cs="Times New Roman"/>
          <w:lang w:val="en-GB"/>
        </w:rPr>
        <w:t>This study faced the limitation of limited generalizability, as it focused on selected NGOs in Kenya, potentially reducing its relevance to broader contexts or other regions. To address this, the study used detailed case studies from diverse departments to capture varied insights. It combined qualitative and quantitative methods to ensure depth and balance in interpretation. Rigorous analysis techniques enhanced the validity, reliability, and credibility of the findings. These methodological strategies aimed to strengthen the study’s transferability and offer lessons and principles applicable beyond the original setting, despite its contextual constraints.</w:t>
      </w:r>
      <w:r w:rsidR="001E21F0" w:rsidRPr="002B2D3C">
        <w:rPr>
          <w:rFonts w:cs="Times New Roman"/>
        </w:rPr>
        <w:br w:type="page"/>
      </w:r>
    </w:p>
    <w:p w14:paraId="60555E06" w14:textId="2D326474" w:rsidR="00055D83" w:rsidRPr="002B2D3C" w:rsidRDefault="00055D83" w:rsidP="00055D83">
      <w:pPr>
        <w:pStyle w:val="ListParagraph"/>
        <w:autoSpaceDE w:val="0"/>
        <w:autoSpaceDN w:val="0"/>
        <w:adjustRightInd w:val="0"/>
        <w:spacing w:before="480" w:after="240" w:line="240" w:lineRule="auto"/>
        <w:ind w:left="0"/>
        <w:rPr>
          <w:rFonts w:ascii="Times New Roman" w:hAnsi="Times New Roman"/>
          <w:b/>
          <w:color w:val="000000" w:themeColor="text1"/>
          <w:sz w:val="28"/>
          <w:szCs w:val="28"/>
          <w:lang w:val="en-GB"/>
        </w:rPr>
      </w:pPr>
      <w:r w:rsidRPr="002B2D3C">
        <w:rPr>
          <w:rFonts w:ascii="Times New Roman" w:hAnsi="Times New Roman"/>
          <w:b/>
          <w:color w:val="000000" w:themeColor="text1"/>
          <w:sz w:val="28"/>
          <w:szCs w:val="28"/>
          <w:lang w:val="en-GB"/>
        </w:rPr>
        <w:lastRenderedPageBreak/>
        <w:t xml:space="preserve">2.0 LITERATURE REVIEW  </w:t>
      </w:r>
    </w:p>
    <w:p w14:paraId="089D3367" w14:textId="77777777" w:rsidR="00755EB5" w:rsidRPr="00755EB5" w:rsidRDefault="00755EB5" w:rsidP="00755EB5">
      <w:pPr>
        <w:spacing w:before="0" w:after="160" w:line="259" w:lineRule="auto"/>
        <w:rPr>
          <w:rFonts w:cs="Times New Roman"/>
          <w:color w:val="000000" w:themeColor="text1"/>
          <w:szCs w:val="24"/>
          <w:highlight w:val="green"/>
        </w:rPr>
      </w:pPr>
      <w:r w:rsidRPr="00755EB5">
        <w:rPr>
          <w:rFonts w:cs="Times New Roman"/>
          <w:color w:val="000000" w:themeColor="text1"/>
          <w:szCs w:val="24"/>
          <w:highlight w:val="green"/>
        </w:rPr>
        <w:t>The theoretical review of the study was guided by three key theories: the Technology Acceptance Model (TAM), the Resource-Based View (RBV), and Institutional Theory. The Technology Acceptance Model (TAM), developed by Fred Davis in 1989, posits that the adoption and use of technology are influenced by perceived usefulness and ease of use. Over time, the model was expanded to TAM 2, which incorporated elements such as social influence and cognitive processes, and later to the Unified Theory of Acceptance and Use of Technology (UTAUT), which introduced social pressure and facilitating conditions. In this study, TAM provided the foundation for analyzing how staff in NGOs accepted and adopted financial technologies. The model helped interpret how staff perceptions influenced effective implementation and usage of financial tools, contributing to improved financial efficiency in NGOs. In addition to the core TAM framework, recent studies on digital transformation in nonprofit governance, ERP integration challenges in humanitarian contexts, and technology adoption reviews in NGOs (2020–2023) provided valuable context. To further enhance the theoretical base, insights from Tapscott &amp; Tapscott (2016) on blockchain’s transformative potential in financial services, World Economic Forum reports on blockchain for social impact (e.g., transparency, cost efficiency, identity solutions), and recent review literature on blockchain for social impact in non-profit settings can be integrated to explore transparency and trust-building mechanisms in NGO operations.</w:t>
      </w:r>
    </w:p>
    <w:p w14:paraId="002E6BE0" w14:textId="2B37D387" w:rsidR="00755EB5" w:rsidRPr="00755EB5" w:rsidRDefault="00755EB5" w:rsidP="00755EB5">
      <w:pPr>
        <w:spacing w:before="0" w:after="160" w:line="259" w:lineRule="auto"/>
        <w:rPr>
          <w:rFonts w:cs="Times New Roman"/>
          <w:color w:val="000000" w:themeColor="text1"/>
          <w:szCs w:val="24"/>
          <w:highlight w:val="green"/>
        </w:rPr>
      </w:pPr>
      <w:r w:rsidRPr="00755EB5">
        <w:rPr>
          <w:rFonts w:cs="Times New Roman"/>
          <w:color w:val="000000" w:themeColor="text1"/>
          <w:szCs w:val="24"/>
          <w:highlight w:val="green"/>
        </w:rPr>
        <w:t>The Resource-Based View (RBV) theory, first introduced by Wernerfelt in 1984 and expanded by Barney in 1991, emphasizes that organizations gain competitive advantage through the possession and strategic use of valuable, rare, inimitable, and well-organized resources. Further developments by scholars such as Peteraf and Penrose highlight the importance of organizational capabilities, tacit knowledge, and dynamic competencies in sustaining competitive advantage. In the context of this study, RBV is relevant for understanding NGO performance in relation to internal resources such as effective financial technologies, blockchain-enabled transparency tools, and skilled staff</w:t>
      </w:r>
      <w:r w:rsidR="00897A35">
        <w:rPr>
          <w:rFonts w:cs="Times New Roman"/>
          <w:color w:val="000000" w:themeColor="text1"/>
          <w:szCs w:val="24"/>
          <w:highlight w:val="green"/>
        </w:rPr>
        <w:t xml:space="preserve"> </w:t>
      </w:r>
      <w:r w:rsidRPr="00755EB5">
        <w:rPr>
          <w:rFonts w:cs="Times New Roman"/>
          <w:color w:val="000000" w:themeColor="text1"/>
          <w:szCs w:val="24"/>
          <w:highlight w:val="green"/>
        </w:rPr>
        <w:t>all linked to improved financial management outcomes like accuracy, transparency, timeliness, and cost-effectiveness. RBV thus explains how leveraging unique internal capabilities can lead to superior financial performance among NGOs.</w:t>
      </w:r>
    </w:p>
    <w:p w14:paraId="6C213BBC" w14:textId="33FF4003" w:rsidR="00B449E1" w:rsidRPr="00B449E1" w:rsidRDefault="00755EB5" w:rsidP="00755EB5">
      <w:pPr>
        <w:spacing w:before="0" w:after="160" w:line="259" w:lineRule="auto"/>
        <w:rPr>
          <w:rFonts w:cs="Times New Roman"/>
          <w:color w:val="000000" w:themeColor="text1"/>
          <w:szCs w:val="24"/>
        </w:rPr>
      </w:pPr>
      <w:r w:rsidRPr="00755EB5">
        <w:rPr>
          <w:rFonts w:cs="Times New Roman"/>
          <w:color w:val="000000" w:themeColor="text1"/>
          <w:szCs w:val="24"/>
          <w:highlight w:val="green"/>
        </w:rPr>
        <w:t>Institutional Theory, formulated by DiMaggio and Powell in 1983 and built on Meyer and Rowan’s (1977) concept of isomorphism</w:t>
      </w:r>
      <w:r w:rsidR="00897A35">
        <w:rPr>
          <w:rFonts w:cs="Times New Roman"/>
          <w:color w:val="000000" w:themeColor="text1"/>
          <w:szCs w:val="24"/>
          <w:highlight w:val="green"/>
        </w:rPr>
        <w:t xml:space="preserve"> </w:t>
      </w:r>
      <w:r w:rsidRPr="00755EB5">
        <w:rPr>
          <w:rFonts w:cs="Times New Roman"/>
          <w:color w:val="000000" w:themeColor="text1"/>
          <w:szCs w:val="24"/>
          <w:highlight w:val="green"/>
        </w:rPr>
        <w:t>with Scott (1995) further categorizing coercive, mimetic, and normative pressures</w:t>
      </w:r>
      <w:r w:rsidR="00897A35">
        <w:rPr>
          <w:rFonts w:cs="Times New Roman"/>
          <w:color w:val="000000" w:themeColor="text1"/>
          <w:szCs w:val="24"/>
          <w:highlight w:val="green"/>
        </w:rPr>
        <w:t xml:space="preserve"> </w:t>
      </w:r>
      <w:r w:rsidRPr="00755EB5">
        <w:rPr>
          <w:rFonts w:cs="Times New Roman"/>
          <w:color w:val="000000" w:themeColor="text1"/>
          <w:szCs w:val="24"/>
          <w:highlight w:val="green"/>
        </w:rPr>
        <w:t>helps us understand how NGOs adopt financial technologies, including blockchain solutions, in response to regulatory requirements, peer influence, and professional standards. It explains how such pressures influence NGO practices in areas like financial reporting and resource utilization, aligning them with broader institutional expectations. Ultimately, Institutional Theory contextualizes the relationship between external conformity, technology adoption, and improved financial efficiency in the Kenyan NGO sector.</w:t>
      </w:r>
    </w:p>
    <w:p w14:paraId="0236764D" w14:textId="19E3A4FA" w:rsidR="0025635B" w:rsidRPr="004A5357" w:rsidRDefault="00E0554F" w:rsidP="0025635B">
      <w:pPr>
        <w:spacing w:before="0" w:after="160" w:line="259" w:lineRule="auto"/>
        <w:rPr>
          <w:rFonts w:cs="Times New Roman"/>
          <w:b/>
          <w:bCs/>
          <w:color w:val="000000" w:themeColor="text1"/>
          <w:sz w:val="28"/>
          <w:szCs w:val="28"/>
        </w:rPr>
      </w:pPr>
      <w:r>
        <w:rPr>
          <w:rFonts w:cs="Times New Roman"/>
          <w:b/>
          <w:bCs/>
          <w:color w:val="000000" w:themeColor="text1"/>
          <w:sz w:val="28"/>
          <w:szCs w:val="28"/>
        </w:rPr>
        <w:t xml:space="preserve">2.1 </w:t>
      </w:r>
      <w:r w:rsidR="00CB6E82" w:rsidRPr="002B2D3C">
        <w:rPr>
          <w:rFonts w:cs="Times New Roman"/>
          <w:b/>
          <w:bCs/>
          <w:color w:val="000000" w:themeColor="text1"/>
          <w:sz w:val="28"/>
          <w:szCs w:val="28"/>
        </w:rPr>
        <w:t>Empirical Review</w:t>
      </w:r>
    </w:p>
    <w:p w14:paraId="0220FE1E" w14:textId="57EBD680" w:rsidR="003E0D69" w:rsidRPr="003E0D69" w:rsidRDefault="003E0D69" w:rsidP="003E0D69">
      <w:pPr>
        <w:spacing w:before="0" w:after="160" w:line="259" w:lineRule="auto"/>
        <w:rPr>
          <w:rFonts w:cs="Times New Roman"/>
          <w:color w:val="000000" w:themeColor="text1"/>
          <w:szCs w:val="24"/>
        </w:rPr>
      </w:pPr>
      <w:r w:rsidRPr="003E0D69">
        <w:rPr>
          <w:rFonts w:cs="Times New Roman"/>
          <w:color w:val="000000" w:themeColor="text1"/>
          <w:szCs w:val="24"/>
        </w:rPr>
        <w:t>The empirical review explores how modern digital technologies</w:t>
      </w:r>
      <w:r w:rsidR="00154669">
        <w:rPr>
          <w:rFonts w:cs="Times New Roman"/>
          <w:color w:val="000000" w:themeColor="text1"/>
          <w:szCs w:val="24"/>
        </w:rPr>
        <w:t xml:space="preserve"> </w:t>
      </w:r>
      <w:r w:rsidRPr="003E0D69">
        <w:rPr>
          <w:rFonts w:cs="Times New Roman"/>
          <w:color w:val="000000" w:themeColor="text1"/>
          <w:szCs w:val="24"/>
        </w:rPr>
        <w:t>including ERP systems, cloud-based accounting software, and blockchain technology</w:t>
      </w:r>
      <w:r w:rsidR="00154669">
        <w:rPr>
          <w:rFonts w:cs="Times New Roman"/>
          <w:color w:val="000000" w:themeColor="text1"/>
          <w:szCs w:val="24"/>
        </w:rPr>
        <w:t xml:space="preserve"> </w:t>
      </w:r>
      <w:r w:rsidRPr="003E0D69">
        <w:rPr>
          <w:rFonts w:cs="Times New Roman"/>
          <w:color w:val="000000" w:themeColor="text1"/>
          <w:szCs w:val="24"/>
        </w:rPr>
        <w:t>affect the financial efficiency of humanitarian organizations. The review summarizes a wide range of global and local studies and identifies gaps that the current research seeks to address, particularly within the context of humanitarian NGOs in Kenya.</w:t>
      </w:r>
    </w:p>
    <w:p w14:paraId="051484FF" w14:textId="1A175680" w:rsidR="003E0D69" w:rsidRPr="003E0D69" w:rsidRDefault="003E0D69" w:rsidP="003E0D69">
      <w:pPr>
        <w:spacing w:before="0" w:after="160" w:line="259" w:lineRule="auto"/>
        <w:rPr>
          <w:rFonts w:cs="Times New Roman"/>
          <w:b/>
          <w:bCs/>
          <w:i/>
          <w:iCs/>
          <w:color w:val="000000" w:themeColor="text1"/>
          <w:szCs w:val="24"/>
        </w:rPr>
      </w:pPr>
      <w:r w:rsidRPr="003E0D69">
        <w:rPr>
          <w:rFonts w:cs="Times New Roman"/>
          <w:b/>
          <w:bCs/>
          <w:i/>
          <w:iCs/>
          <w:color w:val="000000" w:themeColor="text1"/>
          <w:szCs w:val="24"/>
        </w:rPr>
        <w:t>ERP Systems and Financial Efficiency of Humanitarian Organizations</w:t>
      </w:r>
    </w:p>
    <w:p w14:paraId="293AD773" w14:textId="77777777" w:rsidR="003E0D69" w:rsidRPr="003E0D69" w:rsidRDefault="003E0D69" w:rsidP="003E0D69">
      <w:pPr>
        <w:spacing w:before="0" w:after="160" w:line="259" w:lineRule="auto"/>
        <w:rPr>
          <w:rFonts w:cs="Times New Roman"/>
          <w:color w:val="000000" w:themeColor="text1"/>
          <w:szCs w:val="24"/>
        </w:rPr>
      </w:pPr>
      <w:r w:rsidRPr="003E0D69">
        <w:rPr>
          <w:rFonts w:cs="Times New Roman"/>
          <w:color w:val="000000" w:themeColor="text1"/>
          <w:szCs w:val="24"/>
        </w:rPr>
        <w:t xml:space="preserve">Lukyanova, Haddud, and Khare (2022) conducted a study that analyzed the influence of ERP (Enterprise Resource Planning) systems, such as Sun Systems and Provision, on the performance of supply chains in both humanitarian and private sectors. Using an online anonymous survey, they collected data from 50 individuals in humanitarian organizations and 53 in private companies. Their findings demonstrated that ERP systems significantly enhanced supply chain transparency, real-time financial reporting, and resource allocation. Interestingly, 70% of humanitarian </w:t>
      </w:r>
      <w:r w:rsidRPr="003E0D69">
        <w:rPr>
          <w:rFonts w:cs="Times New Roman"/>
          <w:color w:val="000000" w:themeColor="text1"/>
          <w:szCs w:val="24"/>
        </w:rPr>
        <w:lastRenderedPageBreak/>
        <w:t>respondents preferred customized ERP systems, while 75% of private sector participants favored off-the-shelf solutions. This underscored the importance of tailored ERP solutions depending on organizational needs. Despite its valuable insights, the study was limited by its small sample size, reliance on self-reported data, and lack of examination into how ERP systems scale within larger humanitarian operations. These gaps informed the present study, which specifically investigates how ERP systems can be optimized to improve the financial efficiency of large NGOs in Kenya.</w:t>
      </w:r>
    </w:p>
    <w:p w14:paraId="25296E8E" w14:textId="77777777" w:rsidR="003E0D69" w:rsidRPr="003E0D69" w:rsidRDefault="003E0D69" w:rsidP="003E0D69">
      <w:pPr>
        <w:spacing w:before="0" w:after="160" w:line="259" w:lineRule="auto"/>
        <w:rPr>
          <w:rFonts w:cs="Times New Roman"/>
          <w:color w:val="000000" w:themeColor="text1"/>
          <w:szCs w:val="24"/>
        </w:rPr>
      </w:pPr>
      <w:r w:rsidRPr="003E0D69">
        <w:rPr>
          <w:rFonts w:cs="Times New Roman"/>
          <w:color w:val="000000" w:themeColor="text1"/>
          <w:szCs w:val="24"/>
        </w:rPr>
        <w:t>A subsequent study by the same authors, presented at the 2022 Decision Sciences Institute conference, involved 103 supply chain professionals and employed descriptive statistics along with Mann-Whitney tests. They identified 14 essential functions of ERP systems, ranging from improved decision-making to enhanced logistics. Eighty percent of respondents reported better delivery timeliness and faster donor reporting due to ERP use. Nonetheless, this study lacked a geographic focus and did not evaluate the long-term financial implications of ERP systems, gaps the current research aims to fill by analyzing these aspects in Kenyan humanitarian settings.</w:t>
      </w:r>
    </w:p>
    <w:p w14:paraId="5A9CDF7F" w14:textId="77777777" w:rsidR="003E0D69" w:rsidRPr="003E0D69" w:rsidRDefault="003E0D69" w:rsidP="003E0D69">
      <w:pPr>
        <w:spacing w:before="0" w:after="160" w:line="259" w:lineRule="auto"/>
        <w:rPr>
          <w:rFonts w:cs="Times New Roman"/>
          <w:color w:val="000000" w:themeColor="text1"/>
          <w:szCs w:val="24"/>
        </w:rPr>
      </w:pPr>
      <w:r w:rsidRPr="003E0D69">
        <w:rPr>
          <w:rFonts w:cs="Times New Roman"/>
          <w:color w:val="000000" w:themeColor="text1"/>
          <w:szCs w:val="24"/>
        </w:rPr>
        <w:t>Muthuka (2021) focused on financial innovations within NGOs in Nairobi County, examining product, process, and institutional innovations among 34 NGOs through a combination of organizational reports and websites. Using regression and correlation analysis, the study found that all types of innovation significantly impacted financial performance, with process innovation delivering benefits to 80% of organizations surveyed. However, the research was limited to a single region and one sector. It also failed to examine how financial outcomes were influenced by these innovations. To address these limitations, the present study expands both scope and focus, looking at humanitarian NGOs across Kenya and emphasizing financial efficiency as influenced by ERP systems.</w:t>
      </w:r>
    </w:p>
    <w:p w14:paraId="09820AE8" w14:textId="77777777" w:rsidR="003E0D69" w:rsidRPr="003E0D69" w:rsidRDefault="003E0D69" w:rsidP="003E0D69">
      <w:pPr>
        <w:spacing w:before="0" w:after="160" w:line="259" w:lineRule="auto"/>
        <w:rPr>
          <w:rFonts w:cs="Times New Roman"/>
          <w:color w:val="000000" w:themeColor="text1"/>
          <w:szCs w:val="24"/>
        </w:rPr>
      </w:pPr>
      <w:r w:rsidRPr="003E0D69">
        <w:rPr>
          <w:rFonts w:cs="Times New Roman"/>
          <w:color w:val="000000" w:themeColor="text1"/>
          <w:szCs w:val="24"/>
        </w:rPr>
        <w:t>Falagara Sigala, Kettinger, and Wakolbinger (2020) presented an embedded case study focusing on Médecins Sans Frontières (MSF), where they identified 12 ERP design principles vital for Agile, Adaptive, and Aligned (Triple-A) humanitarian supply chains. Sixty-five percent of MSF operational managers noted increased system adaptability and mission alignment following the adoption of these principles. While insightful, this study was limited to one organization and didn’t explore the direct financial outcomes. The current study builds upon these design principles by implementing them in Kenyan humanitarian NGOs to measure their effects on financial efficiency.</w:t>
      </w:r>
    </w:p>
    <w:p w14:paraId="77BBA00E" w14:textId="77777777" w:rsidR="003E0D69" w:rsidRPr="003E0D69" w:rsidRDefault="003E0D69" w:rsidP="003E0D69">
      <w:pPr>
        <w:spacing w:before="0" w:after="160" w:line="259" w:lineRule="auto"/>
        <w:rPr>
          <w:rFonts w:cs="Times New Roman"/>
          <w:color w:val="000000" w:themeColor="text1"/>
          <w:szCs w:val="24"/>
        </w:rPr>
      </w:pPr>
      <w:r w:rsidRPr="003E0D69">
        <w:rPr>
          <w:rFonts w:cs="Times New Roman"/>
          <w:color w:val="000000" w:themeColor="text1"/>
          <w:szCs w:val="24"/>
        </w:rPr>
        <w:t>Peterken and Bandara (2018) examined business process management (BPM) in international humanitarian aid, emphasizing its integration with ERP systems. They found that such integration improved financial transparency and efficiency, with 55% of respondents confirming better financial management post-ERP implementation. However, the study provided limited empirical evidence and focused narrowly on BPM rather than the broader technological solutions. This research addresses that by analyzing ERP’s overall impact on financial efficiency within Kenyan humanitarian contexts.</w:t>
      </w:r>
    </w:p>
    <w:p w14:paraId="159513CE" w14:textId="0AFA48AF" w:rsidR="003E0D69" w:rsidRPr="003E0D69" w:rsidRDefault="003E0D69" w:rsidP="003E0D69">
      <w:pPr>
        <w:spacing w:before="0" w:after="160" w:line="259" w:lineRule="auto"/>
        <w:rPr>
          <w:rFonts w:cs="Times New Roman"/>
          <w:b/>
          <w:bCs/>
          <w:i/>
          <w:iCs/>
          <w:color w:val="000000" w:themeColor="text1"/>
          <w:szCs w:val="24"/>
        </w:rPr>
      </w:pPr>
      <w:r w:rsidRPr="003E0D69">
        <w:rPr>
          <w:rFonts w:cs="Times New Roman"/>
          <w:b/>
          <w:bCs/>
          <w:i/>
          <w:iCs/>
          <w:color w:val="000000" w:themeColor="text1"/>
          <w:szCs w:val="24"/>
        </w:rPr>
        <w:t>Cloud-Based Accounting Software and Financial Efficiency</w:t>
      </w:r>
    </w:p>
    <w:p w14:paraId="1FB74338" w14:textId="77777777" w:rsidR="003E0D69" w:rsidRPr="003E0D69" w:rsidRDefault="003E0D69" w:rsidP="003E0D69">
      <w:pPr>
        <w:spacing w:before="0" w:after="160" w:line="259" w:lineRule="auto"/>
        <w:rPr>
          <w:rFonts w:cs="Times New Roman"/>
          <w:color w:val="000000" w:themeColor="text1"/>
          <w:szCs w:val="24"/>
        </w:rPr>
      </w:pPr>
      <w:r w:rsidRPr="003E0D69">
        <w:rPr>
          <w:rFonts w:cs="Times New Roman"/>
          <w:color w:val="000000" w:themeColor="text1"/>
          <w:szCs w:val="24"/>
        </w:rPr>
        <w:t>Thakker and Japee (2023) conducted a review focused on how cloud-based accounting technologies affect financial management in terms of efficiency, scalability, and data security. They concluded that cloud platforms significantly improved task management and allowed for flexible resource use, with 78% of firms reporting operational improvements. However, 65% also faced privacy and compliance issues despite using advanced encryption. The study lacked a sector-specific focus, which the current research addresses by examining how these platforms improve financial efficiency in humanitarian organizations.</w:t>
      </w:r>
    </w:p>
    <w:p w14:paraId="46D05AF9" w14:textId="77777777" w:rsidR="003E0D69" w:rsidRPr="003E0D69" w:rsidRDefault="003E0D69" w:rsidP="003E0D69">
      <w:pPr>
        <w:spacing w:before="0" w:after="160" w:line="259" w:lineRule="auto"/>
        <w:rPr>
          <w:rFonts w:cs="Times New Roman"/>
          <w:color w:val="000000" w:themeColor="text1"/>
          <w:szCs w:val="24"/>
        </w:rPr>
      </w:pPr>
      <w:r w:rsidRPr="003E0D69">
        <w:rPr>
          <w:rFonts w:cs="Times New Roman"/>
          <w:color w:val="000000" w:themeColor="text1"/>
          <w:szCs w:val="24"/>
        </w:rPr>
        <w:t xml:space="preserve">Vo Van, Abu Afifa, and Saleh (2024) investigated cloud-based Accounting Information Systems (AIS) and their impact on SME performance. Surveying 193 chief accountants and using structural equation modeling, they found that cloud AIS improved profitability and operational workflows for 72% of respondents. Larger firms reported greater benefits, including automation and better data access. Nevertheless, the study was limited to Vietnamese </w:t>
      </w:r>
      <w:r w:rsidRPr="003E0D69">
        <w:rPr>
          <w:rFonts w:cs="Times New Roman"/>
          <w:color w:val="000000" w:themeColor="text1"/>
          <w:szCs w:val="24"/>
        </w:rPr>
        <w:lastRenderedPageBreak/>
        <w:t>SMEs and ignored the distinct challenges faced by humanitarian organizations. This study addresses those gaps by examining how cloud AIS affects financial efficiency in Kenya's humanitarian sector.</w:t>
      </w:r>
    </w:p>
    <w:p w14:paraId="423EE67D" w14:textId="77777777" w:rsidR="003E0D69" w:rsidRPr="003E0D69" w:rsidRDefault="003E0D69" w:rsidP="003E0D69">
      <w:pPr>
        <w:spacing w:before="0" w:after="160" w:line="259" w:lineRule="auto"/>
        <w:rPr>
          <w:rFonts w:cs="Times New Roman"/>
          <w:color w:val="000000" w:themeColor="text1"/>
          <w:szCs w:val="24"/>
        </w:rPr>
      </w:pPr>
    </w:p>
    <w:p w14:paraId="021D0FB2" w14:textId="77777777" w:rsidR="003E0D69" w:rsidRPr="003E0D69" w:rsidRDefault="003E0D69" w:rsidP="003E0D69">
      <w:pPr>
        <w:spacing w:before="0" w:after="160" w:line="259" w:lineRule="auto"/>
        <w:rPr>
          <w:rFonts w:cs="Times New Roman"/>
          <w:color w:val="000000" w:themeColor="text1"/>
          <w:szCs w:val="24"/>
        </w:rPr>
      </w:pPr>
      <w:r w:rsidRPr="003E0D69">
        <w:rPr>
          <w:rFonts w:cs="Times New Roman"/>
          <w:color w:val="000000" w:themeColor="text1"/>
          <w:szCs w:val="24"/>
        </w:rPr>
        <w:t>Ahmad et al. (2023) analyzed the influence of cloud-based accounting systems on business performance in Jordan. They used a descriptive research design with 120 business administrators and discovered that such systems helped organizations complete tasks more efficiently, with 80% of respondents citing improved access to real-time data and reliable reporting. However, the study's small sample and narrow geographic focus limited the generalizability of its findings. The current research builds on this by examining a larger and more diverse sample within the humanitarian sector in Kenya.</w:t>
      </w:r>
    </w:p>
    <w:p w14:paraId="20B184AA" w14:textId="77777777" w:rsidR="003E0D69" w:rsidRPr="003E0D69" w:rsidRDefault="003E0D69" w:rsidP="003E0D69">
      <w:pPr>
        <w:spacing w:before="0" w:after="160" w:line="259" w:lineRule="auto"/>
        <w:rPr>
          <w:rFonts w:cs="Times New Roman"/>
          <w:color w:val="000000" w:themeColor="text1"/>
          <w:szCs w:val="24"/>
        </w:rPr>
      </w:pPr>
      <w:r w:rsidRPr="003E0D69">
        <w:rPr>
          <w:rFonts w:cs="Times New Roman"/>
          <w:color w:val="000000" w:themeColor="text1"/>
          <w:szCs w:val="24"/>
        </w:rPr>
        <w:t>Lutfi (2022) focused on adoption factors for cloud-based AIS among Jordanian SMEs. He surveyed 156 business owners and found that reduced IT investment and scalability were major adoption drivers, with 74% of respondents expressing favorable views toward cloud-based AIS. However, the study did not investigate actual financial outcomes post-adoption and was limited in scope. The present research explores these systems' real financial impact on humanitarian organizations, filling the identified research gaps.</w:t>
      </w:r>
    </w:p>
    <w:p w14:paraId="55EBBF6E" w14:textId="6B8D5DE6" w:rsidR="003E0D69" w:rsidRPr="003E0D69" w:rsidRDefault="003E0D69" w:rsidP="003E0D69">
      <w:pPr>
        <w:spacing w:before="0" w:after="160" w:line="259" w:lineRule="auto"/>
        <w:rPr>
          <w:rFonts w:cs="Times New Roman"/>
          <w:color w:val="000000" w:themeColor="text1"/>
          <w:szCs w:val="24"/>
        </w:rPr>
      </w:pPr>
      <w:r w:rsidRPr="003E0D69">
        <w:rPr>
          <w:rFonts w:cs="Times New Roman"/>
          <w:color w:val="000000" w:themeColor="text1"/>
          <w:szCs w:val="24"/>
        </w:rPr>
        <w:t>Manja (2021) studied the use of cloud computing for fund management in Kenyan public schools. He found that while security concerns encouraged adoption, inadequate infrastructure hindered effective implementation, with 60% of schools reporting technological limitations. This research, although local, focused on a narrow educational sector. The current study extends those findings by applying them to humanitarian organizations, offering insights into how cloud accounting software affects their financial operations.</w:t>
      </w:r>
      <w:r>
        <w:rPr>
          <w:rFonts w:cs="Times New Roman"/>
          <w:color w:val="000000" w:themeColor="text1"/>
          <w:szCs w:val="24"/>
        </w:rPr>
        <w:t xml:space="preserve"> </w:t>
      </w:r>
      <w:r w:rsidRPr="003E0D69">
        <w:rPr>
          <w:rFonts w:cs="Times New Roman"/>
          <w:color w:val="000000" w:themeColor="text1"/>
          <w:szCs w:val="24"/>
        </w:rPr>
        <w:t>Together, these studies confirm the potential of cloud-based accounting systems to improve efficiency and data access but highlight significant challenges, especially in data privacy and technological readiness. The present research aims to explore these systems' financial efficiency outcomes within humanitarian organizations, specifically in the Kenyan context.</w:t>
      </w:r>
    </w:p>
    <w:p w14:paraId="5547E2B8" w14:textId="06EAC744" w:rsidR="003E0D69" w:rsidRPr="003E0D69" w:rsidRDefault="003E0D69" w:rsidP="003E0D69">
      <w:pPr>
        <w:spacing w:before="0" w:after="160" w:line="259" w:lineRule="auto"/>
        <w:rPr>
          <w:rFonts w:cs="Times New Roman"/>
          <w:b/>
          <w:bCs/>
          <w:i/>
          <w:iCs/>
          <w:color w:val="000000" w:themeColor="text1"/>
          <w:szCs w:val="24"/>
        </w:rPr>
      </w:pPr>
      <w:r w:rsidRPr="003E0D69">
        <w:rPr>
          <w:rFonts w:cs="Times New Roman"/>
          <w:b/>
          <w:bCs/>
          <w:i/>
          <w:iCs/>
          <w:color w:val="000000" w:themeColor="text1"/>
          <w:szCs w:val="24"/>
        </w:rPr>
        <w:t>Blockchain Technology and Financial Efficiency</w:t>
      </w:r>
    </w:p>
    <w:p w14:paraId="1D7F20E1" w14:textId="77777777" w:rsidR="003E0D69" w:rsidRPr="003E0D69" w:rsidRDefault="003E0D69" w:rsidP="003E0D69">
      <w:pPr>
        <w:spacing w:before="0" w:after="160" w:line="259" w:lineRule="auto"/>
        <w:rPr>
          <w:rFonts w:cs="Times New Roman"/>
          <w:color w:val="000000" w:themeColor="text1"/>
          <w:szCs w:val="24"/>
        </w:rPr>
      </w:pPr>
      <w:r w:rsidRPr="003E0D69">
        <w:rPr>
          <w:rFonts w:cs="Times New Roman"/>
          <w:color w:val="000000" w:themeColor="text1"/>
          <w:szCs w:val="24"/>
        </w:rPr>
        <w:t>Negi (2024) conducted a qualitative study on the application of blockchain technology in humanitarian supply chains. Based on literature reviews and 12 expert interviews, the study found blockchain enabled faster, more secure transactions, improved donor financing, and reduced costs in delivering cash programs. Eighty-five percent of experts supported its use for secure data exchange and transaction efficiency. However, high implementation costs, regulatory challenges, and limited scalability remained significant hurdles. The study’s qualitative nature and small sample limited its broader applicability. The current research compensates for these limitations by incorporating quantitative data and broader stakeholder input to evaluate blockchain’s real impact on financial efficiency.</w:t>
      </w:r>
    </w:p>
    <w:p w14:paraId="4424190E" w14:textId="77777777" w:rsidR="003E0D69" w:rsidRPr="003E0D69" w:rsidRDefault="003E0D69" w:rsidP="003E0D69">
      <w:pPr>
        <w:spacing w:before="0" w:after="160" w:line="259" w:lineRule="auto"/>
        <w:rPr>
          <w:rFonts w:cs="Times New Roman"/>
          <w:color w:val="000000" w:themeColor="text1"/>
          <w:szCs w:val="24"/>
        </w:rPr>
      </w:pPr>
      <w:r w:rsidRPr="003E0D69">
        <w:rPr>
          <w:rFonts w:cs="Times New Roman"/>
          <w:color w:val="000000" w:themeColor="text1"/>
          <w:szCs w:val="24"/>
        </w:rPr>
        <w:t>Shin, Kang, and Bae (2020) explored how blockchain supports sustainable development in non-profit organizations by improving donation processes and governance. Using literature and case studies, the research showed that decentralized ledgers and smart contracts reduced operational costs and enhanced transparency. About 78% of projects demonstrated increased donations and better governance. However, the study relied on early-stage case studies and lacked quantitative metrics. The current research overcomes this by using empirical data to assess blockchain’s financial efficiency within humanitarian organizations in Kenya.</w:t>
      </w:r>
    </w:p>
    <w:p w14:paraId="759EBD89" w14:textId="77777777" w:rsidR="003E0D69" w:rsidRPr="003E0D69" w:rsidRDefault="003E0D69" w:rsidP="003E0D69">
      <w:pPr>
        <w:spacing w:before="0" w:after="160" w:line="259" w:lineRule="auto"/>
        <w:rPr>
          <w:rFonts w:cs="Times New Roman"/>
          <w:color w:val="000000" w:themeColor="text1"/>
          <w:szCs w:val="24"/>
        </w:rPr>
      </w:pPr>
      <w:r w:rsidRPr="003E0D69">
        <w:rPr>
          <w:rFonts w:cs="Times New Roman"/>
          <w:color w:val="000000" w:themeColor="text1"/>
          <w:szCs w:val="24"/>
        </w:rPr>
        <w:t>Reinsberg (2019) reviewed blockchain’s potential to improve the governance of foreign aid. The study noted that blockchain improved the reliability of event verification, enhanced aid tracking, and increased transparency. Sixty-five percent of case reviews indicated improved credibility and funding efficiency. However, the research lacked data from real-world implementations, focusing instead on theoretical discussions. The current study addresses this shortcoming by including real-life applications and measuring their financial impact within humanitarian settings.</w:t>
      </w:r>
    </w:p>
    <w:p w14:paraId="160EB403" w14:textId="11F146BE" w:rsidR="003E0D69" w:rsidRPr="003E0D69" w:rsidRDefault="003E0D69" w:rsidP="003E0D69">
      <w:pPr>
        <w:spacing w:before="0" w:after="160" w:line="259" w:lineRule="auto"/>
        <w:rPr>
          <w:rFonts w:cs="Times New Roman"/>
          <w:color w:val="000000" w:themeColor="text1"/>
          <w:szCs w:val="24"/>
        </w:rPr>
      </w:pPr>
      <w:r w:rsidRPr="003E0D69">
        <w:rPr>
          <w:rFonts w:cs="Times New Roman"/>
          <w:color w:val="000000" w:themeColor="text1"/>
          <w:szCs w:val="24"/>
        </w:rPr>
        <w:lastRenderedPageBreak/>
        <w:t>Seyedsayamdost and Vanderwal (2020) studied blockchain’s effects on governance and social impact through multiple development project case studies. Eighty percent of the analyzed projects reported improved transparency and operational efficiency. However, some projects demonstrated centralizing tendencies that undermined blockchain’s decentralized nature. The study also failed to measure financial efficiency outcomes. To address this, the current research uses empirical methods to explore blockchain’s financial impact, offering practical guidance on its application in humanitarian contexts.</w:t>
      </w:r>
      <w:r>
        <w:rPr>
          <w:rFonts w:cs="Times New Roman"/>
          <w:color w:val="000000" w:themeColor="text1"/>
          <w:szCs w:val="24"/>
        </w:rPr>
        <w:t xml:space="preserve"> </w:t>
      </w:r>
      <w:r w:rsidRPr="003E0D69">
        <w:rPr>
          <w:rFonts w:cs="Times New Roman"/>
          <w:color w:val="000000" w:themeColor="text1"/>
          <w:szCs w:val="24"/>
        </w:rPr>
        <w:t>Collectively, the blockchain-related studies highlight its transformative potential in transparency, data security, and operational efficiency. However, recurring gaps include limited empirical data, narrow case-based evidence, and an absence of financial efficiency metrics. The present study seeks to fill these gaps by providing broader, evidence-based assessments of blockchain’s role in enhancing financial operations in Kenyan humanitarian organizations.</w:t>
      </w:r>
    </w:p>
    <w:p w14:paraId="12356E20" w14:textId="070FDE08" w:rsidR="00CB6E82" w:rsidRPr="002B2D3C" w:rsidRDefault="003E0D69" w:rsidP="003E0D69">
      <w:pPr>
        <w:spacing w:before="0" w:after="160" w:line="259" w:lineRule="auto"/>
        <w:rPr>
          <w:rFonts w:cs="Times New Roman"/>
          <w:color w:val="000000" w:themeColor="text1"/>
          <w:szCs w:val="24"/>
        </w:rPr>
      </w:pPr>
      <w:r w:rsidRPr="003E0D69">
        <w:rPr>
          <w:rFonts w:cs="Times New Roman"/>
          <w:color w:val="000000" w:themeColor="text1"/>
          <w:szCs w:val="24"/>
        </w:rPr>
        <w:t>The empirical literature reviewed demonstrates a strong potential for ERP systems, cloud-based accounting software, and blockchain technology to significantly enhance the financial efficiency of humanitarian organizations. However, most prior studies suffer from limitations such as narrow geographical scope, sectoral focus, small sample sizes, or a lack of quantitative data. These shortcomings limit their applicability to broader contexts</w:t>
      </w:r>
      <w:r w:rsidR="00154669">
        <w:rPr>
          <w:rFonts w:cs="Times New Roman"/>
          <w:color w:val="000000" w:themeColor="text1"/>
          <w:szCs w:val="24"/>
        </w:rPr>
        <w:t xml:space="preserve"> </w:t>
      </w:r>
      <w:r w:rsidRPr="003E0D69">
        <w:rPr>
          <w:rFonts w:cs="Times New Roman"/>
          <w:color w:val="000000" w:themeColor="text1"/>
          <w:szCs w:val="24"/>
        </w:rPr>
        <w:t>particularly humanitarian organizations in Kenya.</w:t>
      </w:r>
      <w:r>
        <w:rPr>
          <w:rFonts w:cs="Times New Roman"/>
          <w:color w:val="000000" w:themeColor="text1"/>
          <w:szCs w:val="24"/>
        </w:rPr>
        <w:t xml:space="preserve"> </w:t>
      </w:r>
      <w:r w:rsidRPr="003E0D69">
        <w:rPr>
          <w:rFonts w:cs="Times New Roman"/>
          <w:color w:val="000000" w:themeColor="text1"/>
          <w:szCs w:val="24"/>
        </w:rPr>
        <w:t>The current study was designed to address these gaps by incorporating diverse methodologies, empirical data, and context-specific evaluations. By focusing on Kenya’s humanitarian sector, it offers practical insights into how digital technologies can be strategically deployed to enhance financial management, transparency, and efficiency in an environment often constrained by limited resources and complex operational needs. This research not only contributes to academic knowledge but also informs the development of tailored technological interventions for humanitarian financial systems in Kenya and beyond.</w:t>
      </w:r>
    </w:p>
    <w:p w14:paraId="1211445F" w14:textId="77777777" w:rsidR="00CB6E82" w:rsidRPr="002B2D3C" w:rsidRDefault="00CB6E82" w:rsidP="00CB6E82">
      <w:pPr>
        <w:spacing w:before="0" w:after="160" w:line="259" w:lineRule="auto"/>
        <w:rPr>
          <w:rFonts w:cs="Times New Roman"/>
          <w:color w:val="000000" w:themeColor="text1"/>
          <w:szCs w:val="24"/>
        </w:rPr>
      </w:pPr>
    </w:p>
    <w:p w14:paraId="22F53253" w14:textId="52B6D4BD" w:rsidR="00DE2430" w:rsidRPr="002B2D3C" w:rsidRDefault="00DE2430" w:rsidP="00DE2430">
      <w:pPr>
        <w:spacing w:before="0" w:after="160" w:line="259" w:lineRule="auto"/>
        <w:rPr>
          <w:rFonts w:cs="Times New Roman"/>
          <w:color w:val="000000" w:themeColor="text1"/>
          <w:szCs w:val="24"/>
        </w:rPr>
      </w:pPr>
    </w:p>
    <w:p w14:paraId="5AEEEAAF" w14:textId="77777777" w:rsidR="00F16858" w:rsidRPr="002B2D3C" w:rsidRDefault="00F16858" w:rsidP="008E2312">
      <w:pPr>
        <w:spacing w:before="0" w:after="160" w:line="259" w:lineRule="auto"/>
        <w:rPr>
          <w:rFonts w:cs="Times New Roman"/>
          <w:color w:val="000000" w:themeColor="text1"/>
          <w:szCs w:val="24"/>
        </w:rPr>
      </w:pPr>
    </w:p>
    <w:p w14:paraId="5FD8B6D9" w14:textId="77777777" w:rsidR="008E2312" w:rsidRPr="002B2D3C" w:rsidRDefault="008E2312" w:rsidP="008E2312">
      <w:pPr>
        <w:spacing w:before="0" w:after="160" w:line="259" w:lineRule="auto"/>
        <w:jc w:val="left"/>
        <w:rPr>
          <w:rFonts w:cs="Times New Roman"/>
          <w:b/>
          <w:bCs/>
          <w:color w:val="000000" w:themeColor="text1"/>
          <w:szCs w:val="24"/>
        </w:rPr>
      </w:pPr>
    </w:p>
    <w:p w14:paraId="317A0C3E" w14:textId="5EA89E76" w:rsidR="008E2312" w:rsidRPr="002B2D3C" w:rsidRDefault="008E2312" w:rsidP="008E2312">
      <w:pPr>
        <w:spacing w:before="0" w:after="160" w:line="259" w:lineRule="auto"/>
        <w:jc w:val="left"/>
        <w:rPr>
          <w:rFonts w:cs="Times New Roman"/>
          <w:b/>
          <w:bCs/>
          <w:color w:val="000000" w:themeColor="text1"/>
          <w:sz w:val="28"/>
          <w:szCs w:val="28"/>
        </w:rPr>
      </w:pPr>
      <w:r w:rsidRPr="002B2D3C">
        <w:rPr>
          <w:rFonts w:cs="Times New Roman"/>
          <w:b/>
          <w:bCs/>
          <w:color w:val="000000" w:themeColor="text1"/>
          <w:sz w:val="28"/>
          <w:szCs w:val="28"/>
        </w:rPr>
        <w:br w:type="page"/>
      </w:r>
    </w:p>
    <w:p w14:paraId="35BCEF5F" w14:textId="1EFB8069" w:rsidR="00055D83" w:rsidRPr="002B2D3C" w:rsidRDefault="00055D83" w:rsidP="002C6F25">
      <w:pPr>
        <w:spacing w:line="240" w:lineRule="auto"/>
        <w:rPr>
          <w:rFonts w:cs="Times New Roman"/>
          <w:b/>
          <w:bCs/>
          <w:color w:val="000000" w:themeColor="text1"/>
          <w:sz w:val="28"/>
          <w:szCs w:val="28"/>
        </w:rPr>
      </w:pPr>
      <w:r w:rsidRPr="002B2D3C">
        <w:rPr>
          <w:rFonts w:cs="Times New Roman"/>
          <w:b/>
          <w:bCs/>
          <w:color w:val="000000" w:themeColor="text1"/>
          <w:sz w:val="28"/>
          <w:szCs w:val="28"/>
        </w:rPr>
        <w:lastRenderedPageBreak/>
        <w:t>3.0 RESEARCH METHODOLOGY</w:t>
      </w:r>
    </w:p>
    <w:p w14:paraId="1CCEC77B" w14:textId="3EEE3469" w:rsidR="00C053F5" w:rsidRPr="00C053F5" w:rsidRDefault="00C053F5" w:rsidP="00C053F5">
      <w:pPr>
        <w:spacing w:after="160" w:line="259" w:lineRule="auto"/>
        <w:rPr>
          <w:rFonts w:cs="Times New Roman"/>
          <w:color w:val="000000" w:themeColor="text1"/>
          <w:szCs w:val="24"/>
        </w:rPr>
      </w:pPr>
      <w:r w:rsidRPr="00C053F5">
        <w:rPr>
          <w:rFonts w:cs="Times New Roman"/>
          <w:color w:val="000000" w:themeColor="text1"/>
          <w:szCs w:val="24"/>
        </w:rPr>
        <w:t>The research adopted a cross-sectional research design, allowing the collection of data from participants at a single point in time. This design was instrumental in offering a snapshot of current practices and perceptions, thus making it easier to analyze the influence of technological systems on public service governance. Setia (2016) supported this approach by asserting that cross-sectional studies are effective in examining relationships between variables at a specific time. The design was deemed suitable because the study explored how three technological systems</w:t>
      </w:r>
      <w:r w:rsidR="00154669">
        <w:rPr>
          <w:rFonts w:cs="Times New Roman"/>
          <w:color w:val="000000" w:themeColor="text1"/>
          <w:szCs w:val="24"/>
        </w:rPr>
        <w:t xml:space="preserve"> </w:t>
      </w:r>
      <w:r w:rsidRPr="00C053F5">
        <w:rPr>
          <w:rFonts w:cs="Times New Roman"/>
          <w:color w:val="000000" w:themeColor="text1"/>
          <w:szCs w:val="24"/>
        </w:rPr>
        <w:t>Enterprise Resource Planning (ERP), cloud-based accounting software, and blockchain</w:t>
      </w:r>
      <w:r w:rsidR="00154669">
        <w:rPr>
          <w:rFonts w:cs="Times New Roman"/>
          <w:color w:val="000000" w:themeColor="text1"/>
          <w:szCs w:val="24"/>
        </w:rPr>
        <w:t xml:space="preserve"> </w:t>
      </w:r>
      <w:r w:rsidRPr="00C053F5">
        <w:rPr>
          <w:rFonts w:cs="Times New Roman"/>
          <w:color w:val="000000" w:themeColor="text1"/>
          <w:szCs w:val="24"/>
        </w:rPr>
        <w:t>affected public financial management and governance. Additionally, it evaluated the systems currently in use across selected humanitarian organizations. The survey method complemented the design by facilitating structured and consistent data collection from a wide sample, enabling a broad yet detailed understanding of the phenomena under investigation.</w:t>
      </w:r>
    </w:p>
    <w:p w14:paraId="55AAC471" w14:textId="40D90FDA" w:rsidR="00C053F5" w:rsidRPr="00C053F5" w:rsidRDefault="00C053F5" w:rsidP="00C053F5">
      <w:pPr>
        <w:spacing w:after="160" w:line="259" w:lineRule="auto"/>
        <w:rPr>
          <w:rFonts w:cs="Times New Roman"/>
          <w:color w:val="000000" w:themeColor="text1"/>
          <w:szCs w:val="24"/>
        </w:rPr>
      </w:pPr>
      <w:r w:rsidRPr="00C053F5">
        <w:rPr>
          <w:rFonts w:cs="Times New Roman"/>
          <w:color w:val="000000" w:themeColor="text1"/>
          <w:szCs w:val="24"/>
        </w:rPr>
        <w:t>The study variables were classified into independent and dependent categories. The independent variable was the adoption of technological financial systems</w:t>
      </w:r>
      <w:r w:rsidR="00154669">
        <w:rPr>
          <w:rFonts w:cs="Times New Roman"/>
          <w:color w:val="000000" w:themeColor="text1"/>
          <w:szCs w:val="24"/>
        </w:rPr>
        <w:t xml:space="preserve"> </w:t>
      </w:r>
      <w:r w:rsidRPr="00C053F5">
        <w:rPr>
          <w:rFonts w:cs="Times New Roman"/>
          <w:color w:val="000000" w:themeColor="text1"/>
          <w:szCs w:val="24"/>
        </w:rPr>
        <w:t>specifically ERP, cloud accounting, and blockchain technologies. These technologies represented how digital tools were employed to handle accounting and financial operations within humanitarian organizations, as defined by Berg et al. (2020). The dependent variable was financial efficiency, a multifaceted concept that encompassed transparency in transactions and reporting, timeliness in financial planning, budgeting and implementation, scalability of data storage, real-time access to information, collaboration among departments, and cost-effectiveness. A structured questionnaire targeting accounting and technical personnel was developed to measure these variables. It captured the extent of technological adoption and its influence on financial efficiency. Once collected, the data were analyzed using descriptive and regression statistics to establish the nature and strength of relationships between the variables.</w:t>
      </w:r>
    </w:p>
    <w:p w14:paraId="76C856D6" w14:textId="39607CC7" w:rsidR="00C053F5" w:rsidRPr="00C053F5" w:rsidRDefault="00C053F5" w:rsidP="00C053F5">
      <w:pPr>
        <w:spacing w:after="160" w:line="259" w:lineRule="auto"/>
        <w:rPr>
          <w:rFonts w:cs="Times New Roman"/>
          <w:color w:val="000000" w:themeColor="text1"/>
          <w:szCs w:val="24"/>
        </w:rPr>
      </w:pPr>
      <w:r w:rsidRPr="00C053F5">
        <w:rPr>
          <w:rFonts w:cs="Times New Roman"/>
          <w:color w:val="000000" w:themeColor="text1"/>
          <w:szCs w:val="24"/>
        </w:rPr>
        <w:t>The target population for this study consisted of accounting and technical staff in a selected humanitarian organization based in Kenya. These individuals were selected because of their routine interaction with financial technologies. The study focused on those with at least one month of experience in either the accounting or technical departments and who had direct experience using the relevant systems. Staff who had not used the systems, had less than one month of experience, or who declined participation were excluded. The selection process was executed through stratified random sampling to ensure representative inclusion of different subgroups based on job roles and departments, both of which could influence familiarity and perceptions of the systems. This approach ensured the data collected would reflect a wide range of experiences and viewpoints within the organization.</w:t>
      </w:r>
    </w:p>
    <w:p w14:paraId="7E5E99FD" w14:textId="4984E587" w:rsidR="00C053F5" w:rsidRPr="00C053F5" w:rsidRDefault="00C053F5" w:rsidP="00C053F5">
      <w:pPr>
        <w:spacing w:after="160" w:line="259" w:lineRule="auto"/>
        <w:rPr>
          <w:rFonts w:cs="Times New Roman"/>
          <w:color w:val="000000" w:themeColor="text1"/>
          <w:szCs w:val="24"/>
        </w:rPr>
      </w:pPr>
      <w:r w:rsidRPr="00C053F5">
        <w:rPr>
          <w:rFonts w:cs="Times New Roman"/>
          <w:color w:val="000000" w:themeColor="text1"/>
          <w:szCs w:val="24"/>
        </w:rPr>
        <w:t>The sampling technique was guided by the Krejcie and Morgan (1970) sample size determination table, which provided a formula for deriving a statistically valid sample size from any population. From a population of approximately 700 employees, a sample of 115 was selected. Stratified random sampling was employed, which involved segmenting the population into subgroups or strata</w:t>
      </w:r>
      <w:r w:rsidR="00154669">
        <w:rPr>
          <w:rFonts w:cs="Times New Roman"/>
          <w:color w:val="000000" w:themeColor="text1"/>
          <w:szCs w:val="24"/>
        </w:rPr>
        <w:t xml:space="preserve"> </w:t>
      </w:r>
      <w:r w:rsidRPr="00C053F5">
        <w:rPr>
          <w:rFonts w:cs="Times New Roman"/>
          <w:color w:val="000000" w:themeColor="text1"/>
          <w:szCs w:val="24"/>
        </w:rPr>
        <w:t>based on job roles and departments such as finance, accounting, project management, and technical support</w:t>
      </w:r>
      <w:r w:rsidR="00154669">
        <w:rPr>
          <w:rFonts w:cs="Times New Roman"/>
          <w:color w:val="000000" w:themeColor="text1"/>
          <w:szCs w:val="24"/>
        </w:rPr>
        <w:t xml:space="preserve"> </w:t>
      </w:r>
      <w:r w:rsidRPr="00C053F5">
        <w:rPr>
          <w:rFonts w:cs="Times New Roman"/>
          <w:color w:val="000000" w:themeColor="text1"/>
          <w:szCs w:val="24"/>
        </w:rPr>
        <w:t>and randomly selecting participants from each subgroup proportionally. This method, supported by Babbie and Mouton (2012), ensured that the sample accurately represented the diverse work roles related to financial technology use. A sampling frame was created using the organization’s human resource database. Participants were contacted through email, and those who consented received links to the online questionnaire.</w:t>
      </w:r>
    </w:p>
    <w:p w14:paraId="63DC3C0B" w14:textId="5212EE46" w:rsidR="00C053F5" w:rsidRPr="00C053F5" w:rsidRDefault="00C053F5" w:rsidP="00C053F5">
      <w:pPr>
        <w:spacing w:after="160" w:line="259" w:lineRule="auto"/>
        <w:rPr>
          <w:rFonts w:cs="Times New Roman"/>
          <w:color w:val="000000" w:themeColor="text1"/>
          <w:szCs w:val="24"/>
        </w:rPr>
      </w:pPr>
      <w:r w:rsidRPr="00C053F5">
        <w:rPr>
          <w:rFonts w:cs="Times New Roman"/>
          <w:color w:val="000000" w:themeColor="text1"/>
          <w:szCs w:val="24"/>
        </w:rPr>
        <w:t xml:space="preserve">Data collection methods incorporated both quantitative and qualitative tools. Two primary instruments were used: structured survey questionnaires and interview guides. The questionnaire contained a mix of yes/no, Likert-scale, and open-ended questions to capture a broad range of perceptions, experiences, and insights regarding the use of ERP, cloud-based systems, and blockchain. Meanwhile, the interview guide was used to conduct in-depth interviews with selected key informants who had extensive knowledge and experience in using and managing the systems </w:t>
      </w:r>
      <w:r w:rsidRPr="00C053F5">
        <w:rPr>
          <w:rFonts w:cs="Times New Roman"/>
          <w:color w:val="000000" w:themeColor="text1"/>
          <w:szCs w:val="24"/>
        </w:rPr>
        <w:lastRenderedPageBreak/>
        <w:t>under study. These individuals provided richer, more contextualized data that complemented the survey findings.</w:t>
      </w:r>
      <w:r>
        <w:rPr>
          <w:rFonts w:cs="Times New Roman"/>
          <w:color w:val="000000" w:themeColor="text1"/>
          <w:szCs w:val="24"/>
        </w:rPr>
        <w:t xml:space="preserve"> </w:t>
      </w:r>
      <w:r w:rsidRPr="00C053F5">
        <w:rPr>
          <w:rFonts w:cs="Times New Roman"/>
          <w:color w:val="000000" w:themeColor="text1"/>
          <w:szCs w:val="24"/>
        </w:rPr>
        <w:t>Prior to the main study, a pilot test was conducted involving 10 participants with similar characteristics to the main sample. This phase tested the clarity, relevance, and structure of the research instruments. Feedback from the pilot helped to refine both the questionnaire and interview guide, enhancing their clarity and ensuring they effectively captured the necessary information. Participants in the pilot were asked to comment on the structure and content of the tools, and adjustments were made accordingly to eliminate ambiguity and enhance effectiveness.</w:t>
      </w:r>
    </w:p>
    <w:p w14:paraId="5AA1C0FD" w14:textId="3E710877" w:rsidR="00C053F5" w:rsidRPr="00C053F5" w:rsidRDefault="00C053F5" w:rsidP="00C053F5">
      <w:pPr>
        <w:spacing w:after="160" w:line="259" w:lineRule="auto"/>
        <w:rPr>
          <w:rFonts w:cs="Times New Roman"/>
          <w:color w:val="000000" w:themeColor="text1"/>
          <w:szCs w:val="24"/>
        </w:rPr>
      </w:pPr>
      <w:r w:rsidRPr="00C053F5">
        <w:rPr>
          <w:rFonts w:cs="Times New Roman"/>
          <w:color w:val="000000" w:themeColor="text1"/>
          <w:szCs w:val="24"/>
        </w:rPr>
        <w:t>To ensure validity and reliability, the study employed several strategies. Validity was supported by the pilot test, which confirmed that the instruments effectively measured the intended concepts. In terms of reliability, Cronbach’s Alpha was used to assess internal consistency, with scores of 0.70 and above regarded as acceptable. Further, test-retest reliability and inter-rater reliability were used to ensure the instruments could yield stable and consistent results over time and across different raters. For qualitative data, inter-coder reliability was evaluated by having two researchers independently code interview transcripts and compare their findings for consistency. These rigorous measures enhanced the credibility of the data and the robustness of the study findings.</w:t>
      </w:r>
    </w:p>
    <w:p w14:paraId="5DEF5902" w14:textId="6C615F65" w:rsidR="00C053F5" w:rsidRPr="00C053F5" w:rsidRDefault="00C053F5" w:rsidP="00C053F5">
      <w:pPr>
        <w:spacing w:after="160" w:line="259" w:lineRule="auto"/>
        <w:rPr>
          <w:rFonts w:cs="Times New Roman"/>
          <w:color w:val="000000" w:themeColor="text1"/>
          <w:szCs w:val="24"/>
        </w:rPr>
      </w:pPr>
      <w:r w:rsidRPr="00C053F5">
        <w:rPr>
          <w:rFonts w:cs="Times New Roman"/>
          <w:color w:val="000000" w:themeColor="text1"/>
          <w:szCs w:val="24"/>
        </w:rPr>
        <w:t>The data collection procedures involved both online surveys and interviews. Survey links were distributed via email, and each participant was assigned a unique ID to protect confidentiality. Reminders were sent to increase the response rate. For qualitative data, semi-structured interviews were conducted either in person or online through platforms like Zoom and Skype, depending on participant availability and preferences. Interviews were recorded (with consent), then transcribed for analysis. Ethical standards were strictly followed throughout the study. All participants provided informed consent, and their data were kept anonymous and confidential. They were also informed about their right to withdraw at any point without facing any negative consequences. Collected data were securely stored and accessed only by authorized members of the research team.</w:t>
      </w:r>
    </w:p>
    <w:p w14:paraId="42C43218" w14:textId="2B677732" w:rsidR="00C053F5" w:rsidRPr="00C053F5" w:rsidRDefault="00C053F5" w:rsidP="00C053F5">
      <w:pPr>
        <w:spacing w:after="160" w:line="259" w:lineRule="auto"/>
        <w:rPr>
          <w:rFonts w:cs="Times New Roman"/>
          <w:color w:val="000000" w:themeColor="text1"/>
          <w:szCs w:val="24"/>
        </w:rPr>
      </w:pPr>
      <w:r w:rsidRPr="00C053F5">
        <w:rPr>
          <w:rFonts w:cs="Times New Roman"/>
          <w:color w:val="000000" w:themeColor="text1"/>
          <w:szCs w:val="24"/>
        </w:rPr>
        <w:t>Once data collection was complete, the information was subjected to descriptive and inferential statistical analysis using SPSS. Descriptive statistics such as means, frequencies, and percentages were used to summarize participant responses and provide an overview of how financial technologies were being used. Inferential statistics, including regression analysis, were used to test the study's hypotheses and determine whether significant relationships existed between the independent variable (technological financial systems) and the dependent variable (financial efficiency). These statistical tools enabled the researcher to identify key trends, patterns, and associations within the data.</w:t>
      </w:r>
    </w:p>
    <w:p w14:paraId="32AD23D9" w14:textId="24CF5189" w:rsidR="0025635B" w:rsidRPr="0025635B" w:rsidRDefault="00C053F5" w:rsidP="00C053F5">
      <w:pPr>
        <w:spacing w:after="160" w:line="259" w:lineRule="auto"/>
        <w:rPr>
          <w:rFonts w:cs="Times New Roman"/>
          <w:color w:val="000000" w:themeColor="text1"/>
          <w:szCs w:val="24"/>
        </w:rPr>
      </w:pPr>
      <w:r w:rsidRPr="00C053F5">
        <w:rPr>
          <w:rFonts w:cs="Times New Roman"/>
          <w:color w:val="000000" w:themeColor="text1"/>
          <w:szCs w:val="24"/>
        </w:rPr>
        <w:t>The findings were presented using a variety of visual tools, including tables, charts, and graphs, to facilitate clear communication of the results. Each section of the findings was aligned with the specific research questions and hypotheses, providing a structured and logical presentation. The discussion section of the report interpreted the results in light of existing literature and theoretical frameworks. It highlighted the practical implications of the findings for public service governance and the potential benefits of adopting modern financial technologies in humanitarian settings. The study’s comprehensive methodology, from design through data analysis, ensured a rigorous examination of the impact of technological systems on financial efficiency, with valuable insights for practitioners, policymakers, and future researchers alike.</w:t>
      </w:r>
    </w:p>
    <w:p w14:paraId="374510BA" w14:textId="77777777" w:rsidR="0025635B" w:rsidRPr="0025635B" w:rsidRDefault="0025635B" w:rsidP="0025635B">
      <w:pPr>
        <w:spacing w:after="160" w:line="259" w:lineRule="auto"/>
        <w:rPr>
          <w:rFonts w:cs="Times New Roman"/>
          <w:color w:val="000000" w:themeColor="text1"/>
          <w:szCs w:val="24"/>
        </w:rPr>
      </w:pPr>
    </w:p>
    <w:p w14:paraId="4F25BD96" w14:textId="77777777" w:rsidR="003F01AE" w:rsidRPr="003F01AE" w:rsidRDefault="003F01AE" w:rsidP="003F01AE">
      <w:pPr>
        <w:spacing w:after="160" w:line="259" w:lineRule="auto"/>
        <w:rPr>
          <w:rFonts w:cs="Times New Roman"/>
          <w:color w:val="000000" w:themeColor="text1"/>
          <w:szCs w:val="24"/>
        </w:rPr>
      </w:pPr>
    </w:p>
    <w:p w14:paraId="228D62CA" w14:textId="3B6BC236" w:rsidR="00526412" w:rsidRPr="002B2D3C" w:rsidRDefault="00526412" w:rsidP="003F01AE">
      <w:pPr>
        <w:spacing w:after="160" w:line="259" w:lineRule="auto"/>
        <w:rPr>
          <w:rFonts w:cs="Times New Roman"/>
          <w:b/>
          <w:color w:val="000000" w:themeColor="text1"/>
          <w:sz w:val="28"/>
          <w:szCs w:val="28"/>
        </w:rPr>
      </w:pPr>
      <w:r w:rsidRPr="002B2D3C">
        <w:rPr>
          <w:rFonts w:cs="Times New Roman"/>
          <w:b/>
          <w:color w:val="000000" w:themeColor="text1"/>
          <w:sz w:val="28"/>
          <w:szCs w:val="28"/>
        </w:rPr>
        <w:br w:type="page"/>
      </w:r>
    </w:p>
    <w:p w14:paraId="14C2E9C9" w14:textId="5899BD63" w:rsidR="00055D83" w:rsidRDefault="002B2D3C" w:rsidP="002B2D3C">
      <w:pPr>
        <w:rPr>
          <w:b/>
          <w:bCs/>
          <w:sz w:val="28"/>
          <w:szCs w:val="24"/>
        </w:rPr>
      </w:pPr>
      <w:r w:rsidRPr="002B2D3C">
        <w:rPr>
          <w:b/>
          <w:bCs/>
          <w:sz w:val="28"/>
          <w:szCs w:val="24"/>
        </w:rPr>
        <w:lastRenderedPageBreak/>
        <w:t xml:space="preserve">4.0 </w:t>
      </w:r>
      <w:r w:rsidR="00055D83" w:rsidRPr="002B2D3C">
        <w:rPr>
          <w:b/>
          <w:bCs/>
          <w:sz w:val="28"/>
          <w:szCs w:val="24"/>
        </w:rPr>
        <w:t>RESULTS AND DISCUSSION</w:t>
      </w:r>
    </w:p>
    <w:p w14:paraId="695C60A9" w14:textId="6E793842" w:rsidR="00BB3A83" w:rsidRDefault="00BB3A83" w:rsidP="002B2D3C">
      <w:pPr>
        <w:spacing w:before="0" w:line="240" w:lineRule="auto"/>
        <w:rPr>
          <w:rFonts w:cs="Times New Roman"/>
          <w:b/>
          <w:bCs/>
          <w:sz w:val="28"/>
          <w:szCs w:val="24"/>
        </w:rPr>
      </w:pPr>
      <w:r w:rsidRPr="002B2D3C">
        <w:rPr>
          <w:rFonts w:cs="Times New Roman"/>
          <w:b/>
          <w:bCs/>
          <w:sz w:val="28"/>
          <w:szCs w:val="24"/>
        </w:rPr>
        <w:t>4.</w:t>
      </w:r>
      <w:r w:rsidR="00FC4A1C">
        <w:rPr>
          <w:rFonts w:cs="Times New Roman"/>
          <w:b/>
          <w:bCs/>
          <w:sz w:val="28"/>
          <w:szCs w:val="24"/>
        </w:rPr>
        <w:t>1</w:t>
      </w:r>
      <w:r w:rsidRPr="002B2D3C">
        <w:rPr>
          <w:rFonts w:cs="Times New Roman"/>
          <w:b/>
          <w:bCs/>
          <w:sz w:val="28"/>
          <w:szCs w:val="24"/>
        </w:rPr>
        <w:t xml:space="preserve"> Descriptive </w:t>
      </w:r>
      <w:bookmarkStart w:id="3" w:name="_Toc180395353"/>
      <w:r w:rsidR="00A52C12">
        <w:rPr>
          <w:rFonts w:cs="Times New Roman"/>
          <w:b/>
          <w:bCs/>
          <w:sz w:val="28"/>
          <w:szCs w:val="24"/>
        </w:rPr>
        <w:t>Analysis</w:t>
      </w:r>
    </w:p>
    <w:p w14:paraId="47927CD1" w14:textId="77777777" w:rsidR="00C053F5" w:rsidRDefault="00C053F5" w:rsidP="002B2D3C">
      <w:pPr>
        <w:spacing w:before="0" w:line="240" w:lineRule="auto"/>
        <w:rPr>
          <w:b/>
          <w:bCs/>
        </w:rPr>
      </w:pPr>
    </w:p>
    <w:p w14:paraId="4D674938" w14:textId="57899C57" w:rsidR="00C053F5" w:rsidRPr="00C053F5" w:rsidRDefault="00FC4A1C" w:rsidP="002B2D3C">
      <w:pPr>
        <w:spacing w:before="0" w:line="240" w:lineRule="auto"/>
        <w:rPr>
          <w:rFonts w:cs="Times New Roman"/>
          <w:b/>
          <w:bCs/>
          <w:sz w:val="28"/>
          <w:szCs w:val="24"/>
        </w:rPr>
      </w:pPr>
      <w:r>
        <w:rPr>
          <w:b/>
          <w:bCs/>
        </w:rPr>
        <w:t xml:space="preserve">4.1.1 </w:t>
      </w:r>
      <w:r w:rsidR="00C053F5" w:rsidRPr="00C053F5">
        <w:rPr>
          <w:b/>
          <w:bCs/>
        </w:rPr>
        <w:t>Influence of ERP Systems on Financial Management</w:t>
      </w:r>
    </w:p>
    <w:p w14:paraId="68F9B354" w14:textId="5DD1EF2B" w:rsidR="00A52C12" w:rsidRDefault="00A52C12" w:rsidP="002B2D3C">
      <w:pPr>
        <w:spacing w:before="0" w:line="240" w:lineRule="auto"/>
        <w:rPr>
          <w:rFonts w:cs="Times New Roman"/>
          <w:b/>
          <w:bCs/>
          <w:sz w:val="28"/>
          <w:szCs w:val="24"/>
        </w:rPr>
      </w:pPr>
    </w:p>
    <w:p w14:paraId="35704B6F" w14:textId="77777777" w:rsidR="00152E7C" w:rsidRPr="00152E7C" w:rsidRDefault="00152E7C" w:rsidP="00152E7C">
      <w:pPr>
        <w:spacing w:before="0" w:line="240" w:lineRule="auto"/>
        <w:rPr>
          <w:highlight w:val="green"/>
        </w:rPr>
      </w:pPr>
      <w:r w:rsidRPr="00152E7C">
        <w:rPr>
          <w:highlight w:val="green"/>
        </w:rPr>
        <w:t>The study examined the influence of ERP systems on financial management across six international NGOs in Kenya. Data was collected from 120 respondents drawn from departments such as Finance, HR, IT, Operations, Procurement, and Programs. The gender distribution was fairly balanced, with 52.5% male and 47.5% female participants.</w:t>
      </w:r>
    </w:p>
    <w:p w14:paraId="300AA85C" w14:textId="77777777" w:rsidR="00152E7C" w:rsidRPr="00152E7C" w:rsidRDefault="00152E7C" w:rsidP="00152E7C">
      <w:pPr>
        <w:spacing w:before="0" w:line="240" w:lineRule="auto"/>
        <w:rPr>
          <w:highlight w:val="green"/>
        </w:rPr>
      </w:pPr>
    </w:p>
    <w:p w14:paraId="23E98C64" w14:textId="6CABC701" w:rsidR="00152E7C" w:rsidRPr="00152E7C" w:rsidRDefault="00152E7C" w:rsidP="00152E7C">
      <w:pPr>
        <w:spacing w:before="0" w:line="240" w:lineRule="auto"/>
        <w:rPr>
          <w:highlight w:val="green"/>
        </w:rPr>
      </w:pPr>
      <w:r w:rsidRPr="00152E7C">
        <w:rPr>
          <w:highlight w:val="green"/>
        </w:rPr>
        <w:t>Findings revealed mixed perceptions about ERP systems. While 28.3% of respondents strongly agreed that ERPs improved financial transparency, a nearly equal share (30.8%) strongly disagreed</w:t>
      </w:r>
      <w:r w:rsidR="00897A35">
        <w:rPr>
          <w:highlight w:val="green"/>
        </w:rPr>
        <w:t xml:space="preserve"> </w:t>
      </w:r>
      <w:r w:rsidRPr="00152E7C">
        <w:rPr>
          <w:highlight w:val="green"/>
        </w:rPr>
        <w:t>indicating divided opinions. Similar trends emerged in views on real-time financial reporting and resource allocation. About 34.2% strongly agreed that ERPs enhanced efficiency, whereas 20.8% strongly disagreed.</w:t>
      </w:r>
    </w:p>
    <w:p w14:paraId="51BBB04B" w14:textId="77777777" w:rsidR="00152E7C" w:rsidRPr="00152E7C" w:rsidRDefault="00152E7C" w:rsidP="00152E7C">
      <w:pPr>
        <w:spacing w:before="0" w:line="240" w:lineRule="auto"/>
        <w:rPr>
          <w:highlight w:val="green"/>
        </w:rPr>
      </w:pPr>
    </w:p>
    <w:p w14:paraId="59D13337" w14:textId="773A9A95" w:rsidR="00A52C12" w:rsidRDefault="00152E7C" w:rsidP="00152E7C">
      <w:pPr>
        <w:spacing w:before="0" w:line="240" w:lineRule="auto"/>
      </w:pPr>
      <w:r w:rsidRPr="00152E7C">
        <w:rPr>
          <w:highlight w:val="green"/>
        </w:rPr>
        <w:t>Perceptions on cost reduction were more skeptical. A significant proportion (32.5%) strongly disagreed that ERP systems helped reduce operational costs. Regarding donor trust and compliance, 33.3% believed that ERP systems enhanced transparency, while 26.7% disagreed. These disparities in feedback suggest that the effectiveness of ERP systems depends on contextual factors, such as implementation challenges, adequacy of training, and how well the systems are integrated within each NGO’s operations</w:t>
      </w:r>
      <w:r w:rsidR="00C053F5" w:rsidRPr="00C053F5">
        <w:t>.</w:t>
      </w:r>
    </w:p>
    <w:p w14:paraId="269EB40F" w14:textId="77777777" w:rsidR="00C053F5" w:rsidRDefault="00C053F5" w:rsidP="00A52C12">
      <w:pPr>
        <w:spacing w:before="0" w:line="240" w:lineRule="auto"/>
      </w:pPr>
    </w:p>
    <w:p w14:paraId="10E84E05" w14:textId="41A3F3D8" w:rsidR="00C053F5" w:rsidRPr="00F95B0A" w:rsidRDefault="00C053F5" w:rsidP="00C053F5">
      <w:pPr>
        <w:rPr>
          <w:b/>
          <w:bCs/>
          <w:szCs w:val="24"/>
        </w:rPr>
      </w:pPr>
      <w:r>
        <w:rPr>
          <w:b/>
          <w:bCs/>
          <w:szCs w:val="24"/>
        </w:rPr>
        <w:t xml:space="preserve">Table 1: </w:t>
      </w:r>
      <w:r w:rsidRPr="00F95B0A">
        <w:rPr>
          <w:b/>
          <w:bCs/>
          <w:szCs w:val="24"/>
        </w:rPr>
        <w:t>Staff Perceptions on ERP Systems’ Influence on Financial Management (n = 120)</w:t>
      </w:r>
    </w:p>
    <w:tbl>
      <w:tblPr>
        <w:tblStyle w:val="PlainTable5"/>
        <w:tblW w:w="0" w:type="auto"/>
        <w:tblLook w:val="04A0" w:firstRow="1" w:lastRow="0" w:firstColumn="1" w:lastColumn="0" w:noHBand="0" w:noVBand="1"/>
      </w:tblPr>
      <w:tblGrid>
        <w:gridCol w:w="4762"/>
        <w:gridCol w:w="1786"/>
        <w:gridCol w:w="1101"/>
        <w:gridCol w:w="1383"/>
        <w:gridCol w:w="1998"/>
      </w:tblGrid>
      <w:tr w:rsidR="00C053F5" w:rsidRPr="00C053F5" w14:paraId="0F17E353" w14:textId="77777777" w:rsidTr="00C053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Borders>
              <w:top w:val="single" w:sz="4" w:space="0" w:color="auto"/>
            </w:tcBorders>
            <w:hideMark/>
          </w:tcPr>
          <w:p w14:paraId="3B05CC97" w14:textId="77777777" w:rsidR="00C053F5" w:rsidRPr="00C053F5" w:rsidRDefault="00C053F5" w:rsidP="00C053F5">
            <w:pPr>
              <w:spacing w:before="0" w:line="240" w:lineRule="auto"/>
              <w:rPr>
                <w:rFonts w:cs="Times New Roman"/>
                <w:b/>
                <w:bCs/>
                <w:szCs w:val="24"/>
              </w:rPr>
            </w:pPr>
            <w:r w:rsidRPr="00C053F5">
              <w:rPr>
                <w:rFonts w:cs="Times New Roman"/>
                <w:b/>
                <w:bCs/>
                <w:szCs w:val="24"/>
              </w:rPr>
              <w:t>Statement (Q#)</w:t>
            </w:r>
          </w:p>
        </w:tc>
        <w:tc>
          <w:tcPr>
            <w:tcW w:w="0" w:type="auto"/>
            <w:tcBorders>
              <w:top w:val="single" w:sz="4" w:space="0" w:color="auto"/>
            </w:tcBorders>
            <w:hideMark/>
          </w:tcPr>
          <w:p w14:paraId="68868E3A" w14:textId="77777777" w:rsidR="00C053F5" w:rsidRPr="00C053F5" w:rsidRDefault="00C053F5" w:rsidP="00C053F5">
            <w:pPr>
              <w:spacing w:before="0" w:line="240" w:lineRule="auto"/>
              <w:cnfStyle w:val="100000000000" w:firstRow="1" w:lastRow="0" w:firstColumn="0" w:lastColumn="0" w:oddVBand="0" w:evenVBand="0" w:oddHBand="0" w:evenHBand="0" w:firstRowFirstColumn="0" w:firstRowLastColumn="0" w:lastRowFirstColumn="0" w:lastRowLastColumn="0"/>
              <w:rPr>
                <w:rFonts w:cs="Times New Roman"/>
                <w:b/>
                <w:bCs/>
                <w:szCs w:val="24"/>
              </w:rPr>
            </w:pPr>
            <w:r w:rsidRPr="00C053F5">
              <w:rPr>
                <w:rFonts w:cs="Times New Roman"/>
                <w:b/>
                <w:bCs/>
                <w:szCs w:val="24"/>
              </w:rPr>
              <w:t>Strongly Agree (%)</w:t>
            </w:r>
          </w:p>
        </w:tc>
        <w:tc>
          <w:tcPr>
            <w:tcW w:w="0" w:type="auto"/>
            <w:tcBorders>
              <w:top w:val="single" w:sz="4" w:space="0" w:color="auto"/>
            </w:tcBorders>
            <w:hideMark/>
          </w:tcPr>
          <w:p w14:paraId="0D0B2AF4" w14:textId="77777777" w:rsidR="00C053F5" w:rsidRPr="00C053F5" w:rsidRDefault="00C053F5" w:rsidP="00C053F5">
            <w:pPr>
              <w:spacing w:before="0" w:line="240" w:lineRule="auto"/>
              <w:cnfStyle w:val="100000000000" w:firstRow="1" w:lastRow="0" w:firstColumn="0" w:lastColumn="0" w:oddVBand="0" w:evenVBand="0" w:oddHBand="0" w:evenHBand="0" w:firstRowFirstColumn="0" w:firstRowLastColumn="0" w:lastRowFirstColumn="0" w:lastRowLastColumn="0"/>
              <w:rPr>
                <w:rFonts w:cs="Times New Roman"/>
                <w:b/>
                <w:bCs/>
                <w:szCs w:val="24"/>
              </w:rPr>
            </w:pPr>
            <w:r w:rsidRPr="00C053F5">
              <w:rPr>
                <w:rFonts w:cs="Times New Roman"/>
                <w:b/>
                <w:bCs/>
                <w:szCs w:val="24"/>
              </w:rPr>
              <w:t>Agree (%)</w:t>
            </w:r>
          </w:p>
        </w:tc>
        <w:tc>
          <w:tcPr>
            <w:tcW w:w="0" w:type="auto"/>
            <w:tcBorders>
              <w:top w:val="single" w:sz="4" w:space="0" w:color="auto"/>
            </w:tcBorders>
            <w:hideMark/>
          </w:tcPr>
          <w:p w14:paraId="007B8AFE" w14:textId="77777777" w:rsidR="00C053F5" w:rsidRPr="00C053F5" w:rsidRDefault="00C053F5" w:rsidP="00C053F5">
            <w:pPr>
              <w:spacing w:before="0" w:line="240" w:lineRule="auto"/>
              <w:cnfStyle w:val="100000000000" w:firstRow="1" w:lastRow="0" w:firstColumn="0" w:lastColumn="0" w:oddVBand="0" w:evenVBand="0" w:oddHBand="0" w:evenHBand="0" w:firstRowFirstColumn="0" w:firstRowLastColumn="0" w:lastRowFirstColumn="0" w:lastRowLastColumn="0"/>
              <w:rPr>
                <w:rFonts w:cs="Times New Roman"/>
                <w:b/>
                <w:bCs/>
                <w:szCs w:val="24"/>
              </w:rPr>
            </w:pPr>
            <w:r w:rsidRPr="00C053F5">
              <w:rPr>
                <w:rFonts w:cs="Times New Roman"/>
                <w:b/>
                <w:bCs/>
                <w:szCs w:val="24"/>
              </w:rPr>
              <w:t>Disagree (%)</w:t>
            </w:r>
          </w:p>
        </w:tc>
        <w:tc>
          <w:tcPr>
            <w:tcW w:w="0" w:type="auto"/>
            <w:tcBorders>
              <w:top w:val="single" w:sz="4" w:space="0" w:color="auto"/>
            </w:tcBorders>
            <w:hideMark/>
          </w:tcPr>
          <w:p w14:paraId="1E8FD62B" w14:textId="77777777" w:rsidR="00C053F5" w:rsidRPr="00C053F5" w:rsidRDefault="00C053F5" w:rsidP="00C053F5">
            <w:pPr>
              <w:spacing w:before="0" w:line="240" w:lineRule="auto"/>
              <w:cnfStyle w:val="100000000000" w:firstRow="1" w:lastRow="0" w:firstColumn="0" w:lastColumn="0" w:oddVBand="0" w:evenVBand="0" w:oddHBand="0" w:evenHBand="0" w:firstRowFirstColumn="0" w:firstRowLastColumn="0" w:lastRowFirstColumn="0" w:lastRowLastColumn="0"/>
              <w:rPr>
                <w:rFonts w:cs="Times New Roman"/>
                <w:b/>
                <w:bCs/>
                <w:szCs w:val="24"/>
              </w:rPr>
            </w:pPr>
            <w:r w:rsidRPr="00C053F5">
              <w:rPr>
                <w:rFonts w:cs="Times New Roman"/>
                <w:b/>
                <w:bCs/>
                <w:szCs w:val="24"/>
              </w:rPr>
              <w:t>Strongly Disagree (%)</w:t>
            </w:r>
          </w:p>
        </w:tc>
      </w:tr>
      <w:tr w:rsidR="00C053F5" w:rsidRPr="00C053F5" w14:paraId="5037745A" w14:textId="77777777" w:rsidTr="00C814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278B2DF" w14:textId="77777777" w:rsidR="00C053F5" w:rsidRPr="00C053F5" w:rsidRDefault="00C053F5" w:rsidP="00C053F5">
            <w:pPr>
              <w:spacing w:before="0" w:line="240" w:lineRule="auto"/>
              <w:rPr>
                <w:rFonts w:cs="Times New Roman"/>
                <w:szCs w:val="24"/>
              </w:rPr>
            </w:pPr>
            <w:r w:rsidRPr="00C053F5">
              <w:rPr>
                <w:rFonts w:cs="Times New Roman"/>
                <w:szCs w:val="24"/>
              </w:rPr>
              <w:t>Q1. ERP improves transparency in financial operations</w:t>
            </w:r>
          </w:p>
        </w:tc>
        <w:tc>
          <w:tcPr>
            <w:tcW w:w="0" w:type="auto"/>
            <w:hideMark/>
          </w:tcPr>
          <w:p w14:paraId="0B72CA54" w14:textId="77777777" w:rsidR="00C053F5" w:rsidRPr="00C053F5" w:rsidRDefault="00C053F5" w:rsidP="00C053F5">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C053F5">
              <w:rPr>
                <w:rFonts w:cs="Times New Roman"/>
                <w:szCs w:val="24"/>
              </w:rPr>
              <w:t>28.3%</w:t>
            </w:r>
          </w:p>
        </w:tc>
        <w:tc>
          <w:tcPr>
            <w:tcW w:w="0" w:type="auto"/>
            <w:hideMark/>
          </w:tcPr>
          <w:p w14:paraId="4DC8A1EA" w14:textId="77777777" w:rsidR="00C053F5" w:rsidRPr="00C053F5" w:rsidRDefault="00C053F5" w:rsidP="00C053F5">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C053F5">
              <w:rPr>
                <w:rFonts w:cs="Times New Roman"/>
                <w:szCs w:val="24"/>
              </w:rPr>
              <w:t>20.0%</w:t>
            </w:r>
          </w:p>
        </w:tc>
        <w:tc>
          <w:tcPr>
            <w:tcW w:w="0" w:type="auto"/>
            <w:hideMark/>
          </w:tcPr>
          <w:p w14:paraId="24F86257" w14:textId="77777777" w:rsidR="00C053F5" w:rsidRPr="00C053F5" w:rsidRDefault="00C053F5" w:rsidP="00C053F5">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C053F5">
              <w:rPr>
                <w:rFonts w:cs="Times New Roman"/>
                <w:szCs w:val="24"/>
              </w:rPr>
              <w:t>20.8%</w:t>
            </w:r>
          </w:p>
        </w:tc>
        <w:tc>
          <w:tcPr>
            <w:tcW w:w="0" w:type="auto"/>
            <w:hideMark/>
          </w:tcPr>
          <w:p w14:paraId="67E17AF8" w14:textId="77777777" w:rsidR="00C053F5" w:rsidRPr="00C053F5" w:rsidRDefault="00C053F5" w:rsidP="00C053F5">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C053F5">
              <w:rPr>
                <w:rFonts w:cs="Times New Roman"/>
                <w:szCs w:val="24"/>
              </w:rPr>
              <w:t>30.8%</w:t>
            </w:r>
          </w:p>
        </w:tc>
      </w:tr>
      <w:tr w:rsidR="00C053F5" w:rsidRPr="00C053F5" w14:paraId="466CAB80" w14:textId="77777777" w:rsidTr="00C81456">
        <w:tc>
          <w:tcPr>
            <w:cnfStyle w:val="001000000000" w:firstRow="0" w:lastRow="0" w:firstColumn="1" w:lastColumn="0" w:oddVBand="0" w:evenVBand="0" w:oddHBand="0" w:evenHBand="0" w:firstRowFirstColumn="0" w:firstRowLastColumn="0" w:lastRowFirstColumn="0" w:lastRowLastColumn="0"/>
            <w:tcW w:w="0" w:type="auto"/>
            <w:hideMark/>
          </w:tcPr>
          <w:p w14:paraId="7A778EFD" w14:textId="77777777" w:rsidR="00C053F5" w:rsidRPr="00C053F5" w:rsidRDefault="00C053F5" w:rsidP="00C053F5">
            <w:pPr>
              <w:spacing w:before="0" w:line="240" w:lineRule="auto"/>
              <w:rPr>
                <w:rFonts w:cs="Times New Roman"/>
                <w:szCs w:val="24"/>
              </w:rPr>
            </w:pPr>
            <w:r w:rsidRPr="00C053F5">
              <w:rPr>
                <w:rFonts w:cs="Times New Roman"/>
                <w:szCs w:val="24"/>
              </w:rPr>
              <w:t>Q2. ERP enables real-time financial reporting</w:t>
            </w:r>
          </w:p>
        </w:tc>
        <w:tc>
          <w:tcPr>
            <w:tcW w:w="0" w:type="auto"/>
            <w:hideMark/>
          </w:tcPr>
          <w:p w14:paraId="57B56822" w14:textId="77777777" w:rsidR="00C053F5" w:rsidRPr="00C053F5" w:rsidRDefault="00C053F5" w:rsidP="00C053F5">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C053F5">
              <w:rPr>
                <w:rFonts w:cs="Times New Roman"/>
                <w:szCs w:val="24"/>
              </w:rPr>
              <w:t>28.3%</w:t>
            </w:r>
          </w:p>
        </w:tc>
        <w:tc>
          <w:tcPr>
            <w:tcW w:w="0" w:type="auto"/>
            <w:hideMark/>
          </w:tcPr>
          <w:p w14:paraId="6568D3AA" w14:textId="77777777" w:rsidR="00C053F5" w:rsidRPr="00C053F5" w:rsidRDefault="00C053F5" w:rsidP="00C053F5">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C053F5">
              <w:rPr>
                <w:rFonts w:cs="Times New Roman"/>
                <w:szCs w:val="24"/>
              </w:rPr>
              <w:t>25.0%</w:t>
            </w:r>
          </w:p>
        </w:tc>
        <w:tc>
          <w:tcPr>
            <w:tcW w:w="0" w:type="auto"/>
            <w:hideMark/>
          </w:tcPr>
          <w:p w14:paraId="018D0F82" w14:textId="77777777" w:rsidR="00C053F5" w:rsidRPr="00C053F5" w:rsidRDefault="00C053F5" w:rsidP="00C053F5">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C053F5">
              <w:rPr>
                <w:rFonts w:cs="Times New Roman"/>
                <w:szCs w:val="24"/>
              </w:rPr>
              <w:t>25.8%</w:t>
            </w:r>
          </w:p>
        </w:tc>
        <w:tc>
          <w:tcPr>
            <w:tcW w:w="0" w:type="auto"/>
            <w:hideMark/>
          </w:tcPr>
          <w:p w14:paraId="1B988D2D" w14:textId="77777777" w:rsidR="00C053F5" w:rsidRPr="00C053F5" w:rsidRDefault="00C053F5" w:rsidP="00C053F5">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C053F5">
              <w:rPr>
                <w:rFonts w:cs="Times New Roman"/>
                <w:szCs w:val="24"/>
              </w:rPr>
              <w:t>20.8%</w:t>
            </w:r>
          </w:p>
        </w:tc>
      </w:tr>
      <w:tr w:rsidR="00C053F5" w:rsidRPr="00C053F5" w14:paraId="7B367210" w14:textId="77777777" w:rsidTr="00C814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1FC1CA9" w14:textId="77777777" w:rsidR="00C053F5" w:rsidRPr="00C053F5" w:rsidRDefault="00C053F5" w:rsidP="00C053F5">
            <w:pPr>
              <w:spacing w:before="0" w:line="240" w:lineRule="auto"/>
              <w:rPr>
                <w:rFonts w:cs="Times New Roman"/>
                <w:szCs w:val="24"/>
              </w:rPr>
            </w:pPr>
            <w:r w:rsidRPr="00C053F5">
              <w:rPr>
                <w:rFonts w:cs="Times New Roman"/>
                <w:szCs w:val="24"/>
              </w:rPr>
              <w:t>Q3. ERP improves efficiency in resource allocation</w:t>
            </w:r>
          </w:p>
        </w:tc>
        <w:tc>
          <w:tcPr>
            <w:tcW w:w="0" w:type="auto"/>
            <w:hideMark/>
          </w:tcPr>
          <w:p w14:paraId="4FE468BE" w14:textId="77777777" w:rsidR="00C053F5" w:rsidRPr="00C053F5" w:rsidRDefault="00C053F5" w:rsidP="00C053F5">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C053F5">
              <w:rPr>
                <w:rFonts w:cs="Times New Roman"/>
                <w:szCs w:val="24"/>
              </w:rPr>
              <w:t>34.2%</w:t>
            </w:r>
          </w:p>
        </w:tc>
        <w:tc>
          <w:tcPr>
            <w:tcW w:w="0" w:type="auto"/>
            <w:hideMark/>
          </w:tcPr>
          <w:p w14:paraId="089329B4" w14:textId="77777777" w:rsidR="00C053F5" w:rsidRPr="00C053F5" w:rsidRDefault="00C053F5" w:rsidP="00C053F5">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C053F5">
              <w:rPr>
                <w:rFonts w:cs="Times New Roman"/>
                <w:szCs w:val="24"/>
              </w:rPr>
              <w:t>26.7%</w:t>
            </w:r>
          </w:p>
        </w:tc>
        <w:tc>
          <w:tcPr>
            <w:tcW w:w="0" w:type="auto"/>
            <w:hideMark/>
          </w:tcPr>
          <w:p w14:paraId="10B3885B" w14:textId="77777777" w:rsidR="00C053F5" w:rsidRPr="00C053F5" w:rsidRDefault="00C053F5" w:rsidP="00C053F5">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C053F5">
              <w:rPr>
                <w:rFonts w:cs="Times New Roman"/>
                <w:szCs w:val="24"/>
              </w:rPr>
              <w:t>18.3%</w:t>
            </w:r>
          </w:p>
        </w:tc>
        <w:tc>
          <w:tcPr>
            <w:tcW w:w="0" w:type="auto"/>
            <w:hideMark/>
          </w:tcPr>
          <w:p w14:paraId="5282B3BE" w14:textId="77777777" w:rsidR="00C053F5" w:rsidRPr="00C053F5" w:rsidRDefault="00C053F5" w:rsidP="00C053F5">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C053F5">
              <w:rPr>
                <w:rFonts w:cs="Times New Roman"/>
                <w:szCs w:val="24"/>
              </w:rPr>
              <w:t>20.8%</w:t>
            </w:r>
          </w:p>
        </w:tc>
      </w:tr>
      <w:tr w:rsidR="00C053F5" w:rsidRPr="00C053F5" w14:paraId="7E11F849" w14:textId="77777777" w:rsidTr="00C81456">
        <w:tc>
          <w:tcPr>
            <w:cnfStyle w:val="001000000000" w:firstRow="0" w:lastRow="0" w:firstColumn="1" w:lastColumn="0" w:oddVBand="0" w:evenVBand="0" w:oddHBand="0" w:evenHBand="0" w:firstRowFirstColumn="0" w:firstRowLastColumn="0" w:lastRowFirstColumn="0" w:lastRowLastColumn="0"/>
            <w:tcW w:w="0" w:type="auto"/>
            <w:hideMark/>
          </w:tcPr>
          <w:p w14:paraId="72C2BB2F" w14:textId="77777777" w:rsidR="00C053F5" w:rsidRPr="00C053F5" w:rsidRDefault="00C053F5" w:rsidP="00C053F5">
            <w:pPr>
              <w:spacing w:before="0" w:line="240" w:lineRule="auto"/>
              <w:rPr>
                <w:rFonts w:cs="Times New Roman"/>
                <w:szCs w:val="24"/>
              </w:rPr>
            </w:pPr>
            <w:r w:rsidRPr="00C053F5">
              <w:rPr>
                <w:rFonts w:cs="Times New Roman"/>
                <w:szCs w:val="24"/>
              </w:rPr>
              <w:t>Q4. ERP contributes to reducing operational costs</w:t>
            </w:r>
          </w:p>
        </w:tc>
        <w:tc>
          <w:tcPr>
            <w:tcW w:w="0" w:type="auto"/>
            <w:hideMark/>
          </w:tcPr>
          <w:p w14:paraId="3393DF27" w14:textId="77777777" w:rsidR="00C053F5" w:rsidRPr="00C053F5" w:rsidRDefault="00C053F5" w:rsidP="00C053F5">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C053F5">
              <w:rPr>
                <w:rFonts w:cs="Times New Roman"/>
                <w:szCs w:val="24"/>
              </w:rPr>
              <w:t>23.3%</w:t>
            </w:r>
          </w:p>
        </w:tc>
        <w:tc>
          <w:tcPr>
            <w:tcW w:w="0" w:type="auto"/>
            <w:hideMark/>
          </w:tcPr>
          <w:p w14:paraId="4AE4B65B" w14:textId="77777777" w:rsidR="00C053F5" w:rsidRPr="00C053F5" w:rsidRDefault="00C053F5" w:rsidP="00C053F5">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C053F5">
              <w:rPr>
                <w:rFonts w:cs="Times New Roman"/>
                <w:szCs w:val="24"/>
              </w:rPr>
              <w:t>27.5%</w:t>
            </w:r>
          </w:p>
        </w:tc>
        <w:tc>
          <w:tcPr>
            <w:tcW w:w="0" w:type="auto"/>
            <w:hideMark/>
          </w:tcPr>
          <w:p w14:paraId="43349D12" w14:textId="77777777" w:rsidR="00C053F5" w:rsidRPr="00C053F5" w:rsidRDefault="00C053F5" w:rsidP="00C053F5">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C053F5">
              <w:rPr>
                <w:rFonts w:cs="Times New Roman"/>
                <w:szCs w:val="24"/>
              </w:rPr>
              <w:t>16.7%</w:t>
            </w:r>
          </w:p>
        </w:tc>
        <w:tc>
          <w:tcPr>
            <w:tcW w:w="0" w:type="auto"/>
            <w:hideMark/>
          </w:tcPr>
          <w:p w14:paraId="547A977A" w14:textId="77777777" w:rsidR="00C053F5" w:rsidRPr="00C053F5" w:rsidRDefault="00C053F5" w:rsidP="00C053F5">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C053F5">
              <w:rPr>
                <w:rFonts w:cs="Times New Roman"/>
                <w:szCs w:val="24"/>
              </w:rPr>
              <w:t>32.5%</w:t>
            </w:r>
          </w:p>
        </w:tc>
      </w:tr>
      <w:tr w:rsidR="00C053F5" w:rsidRPr="00C053F5" w14:paraId="11EF1E95" w14:textId="77777777" w:rsidTr="00C814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26F07FA" w14:textId="77777777" w:rsidR="00C053F5" w:rsidRPr="00C053F5" w:rsidRDefault="00C053F5" w:rsidP="00C053F5">
            <w:pPr>
              <w:spacing w:before="0" w:line="240" w:lineRule="auto"/>
              <w:rPr>
                <w:rFonts w:cs="Times New Roman"/>
                <w:szCs w:val="24"/>
              </w:rPr>
            </w:pPr>
            <w:r w:rsidRPr="00C053F5">
              <w:rPr>
                <w:rFonts w:cs="Times New Roman"/>
                <w:szCs w:val="24"/>
              </w:rPr>
              <w:t>Q5. ERP improves accuracy in financial reporting</w:t>
            </w:r>
          </w:p>
        </w:tc>
        <w:tc>
          <w:tcPr>
            <w:tcW w:w="0" w:type="auto"/>
            <w:hideMark/>
          </w:tcPr>
          <w:p w14:paraId="4891B43F" w14:textId="77777777" w:rsidR="00C053F5" w:rsidRPr="00C053F5" w:rsidRDefault="00C053F5" w:rsidP="00C053F5">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C053F5">
              <w:rPr>
                <w:rFonts w:cs="Times New Roman"/>
                <w:szCs w:val="24"/>
              </w:rPr>
              <w:t>24.2%</w:t>
            </w:r>
          </w:p>
        </w:tc>
        <w:tc>
          <w:tcPr>
            <w:tcW w:w="0" w:type="auto"/>
            <w:hideMark/>
          </w:tcPr>
          <w:p w14:paraId="18BCB818" w14:textId="77777777" w:rsidR="00C053F5" w:rsidRPr="00C053F5" w:rsidRDefault="00C053F5" w:rsidP="00C053F5">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C053F5">
              <w:rPr>
                <w:rFonts w:cs="Times New Roman"/>
                <w:szCs w:val="24"/>
              </w:rPr>
              <w:t>25.8%</w:t>
            </w:r>
          </w:p>
        </w:tc>
        <w:tc>
          <w:tcPr>
            <w:tcW w:w="0" w:type="auto"/>
            <w:hideMark/>
          </w:tcPr>
          <w:p w14:paraId="1AEF3714" w14:textId="77777777" w:rsidR="00C053F5" w:rsidRPr="00C053F5" w:rsidRDefault="00C053F5" w:rsidP="00C053F5">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C053F5">
              <w:rPr>
                <w:rFonts w:cs="Times New Roman"/>
                <w:szCs w:val="24"/>
              </w:rPr>
              <w:t>30.0%</w:t>
            </w:r>
          </w:p>
        </w:tc>
        <w:tc>
          <w:tcPr>
            <w:tcW w:w="0" w:type="auto"/>
            <w:hideMark/>
          </w:tcPr>
          <w:p w14:paraId="6620C33E" w14:textId="77777777" w:rsidR="00C053F5" w:rsidRPr="00C053F5" w:rsidRDefault="00C053F5" w:rsidP="00C053F5">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C053F5">
              <w:rPr>
                <w:rFonts w:cs="Times New Roman"/>
                <w:szCs w:val="24"/>
              </w:rPr>
              <w:t>20.0%</w:t>
            </w:r>
          </w:p>
        </w:tc>
      </w:tr>
      <w:tr w:rsidR="00C053F5" w:rsidRPr="00C053F5" w14:paraId="43D1CCCB" w14:textId="77777777" w:rsidTr="00C81456">
        <w:tc>
          <w:tcPr>
            <w:cnfStyle w:val="001000000000" w:firstRow="0" w:lastRow="0" w:firstColumn="1" w:lastColumn="0" w:oddVBand="0" w:evenVBand="0" w:oddHBand="0" w:evenHBand="0" w:firstRowFirstColumn="0" w:firstRowLastColumn="0" w:lastRowFirstColumn="0" w:lastRowLastColumn="0"/>
            <w:tcW w:w="0" w:type="auto"/>
            <w:hideMark/>
          </w:tcPr>
          <w:p w14:paraId="1D74F3AD" w14:textId="77777777" w:rsidR="00C053F5" w:rsidRPr="00C053F5" w:rsidRDefault="00C053F5" w:rsidP="00C053F5">
            <w:pPr>
              <w:spacing w:before="0" w:line="240" w:lineRule="auto"/>
              <w:rPr>
                <w:rFonts w:cs="Times New Roman"/>
                <w:szCs w:val="24"/>
              </w:rPr>
            </w:pPr>
            <w:r w:rsidRPr="00C053F5">
              <w:rPr>
                <w:rFonts w:cs="Times New Roman"/>
                <w:szCs w:val="24"/>
              </w:rPr>
              <w:t>Q6. ERP enhances donor trust through improved transparency</w:t>
            </w:r>
          </w:p>
        </w:tc>
        <w:tc>
          <w:tcPr>
            <w:tcW w:w="0" w:type="auto"/>
            <w:hideMark/>
          </w:tcPr>
          <w:p w14:paraId="2AB4FA82" w14:textId="77777777" w:rsidR="00C053F5" w:rsidRPr="00C053F5" w:rsidRDefault="00C053F5" w:rsidP="00C053F5">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C053F5">
              <w:rPr>
                <w:rFonts w:cs="Times New Roman"/>
                <w:szCs w:val="24"/>
              </w:rPr>
              <w:t>33.3%</w:t>
            </w:r>
          </w:p>
        </w:tc>
        <w:tc>
          <w:tcPr>
            <w:tcW w:w="0" w:type="auto"/>
            <w:hideMark/>
          </w:tcPr>
          <w:p w14:paraId="7BFB0BB7" w14:textId="77777777" w:rsidR="00C053F5" w:rsidRPr="00C053F5" w:rsidRDefault="00C053F5" w:rsidP="00C053F5">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C053F5">
              <w:rPr>
                <w:rFonts w:cs="Times New Roman"/>
                <w:szCs w:val="24"/>
              </w:rPr>
              <w:t>20.0%</w:t>
            </w:r>
          </w:p>
        </w:tc>
        <w:tc>
          <w:tcPr>
            <w:tcW w:w="0" w:type="auto"/>
            <w:hideMark/>
          </w:tcPr>
          <w:p w14:paraId="68FD580D" w14:textId="77777777" w:rsidR="00C053F5" w:rsidRPr="00C053F5" w:rsidRDefault="00C053F5" w:rsidP="00C053F5">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C053F5">
              <w:rPr>
                <w:rFonts w:cs="Times New Roman"/>
                <w:szCs w:val="24"/>
              </w:rPr>
              <w:t>26.7%</w:t>
            </w:r>
          </w:p>
        </w:tc>
        <w:tc>
          <w:tcPr>
            <w:tcW w:w="0" w:type="auto"/>
            <w:hideMark/>
          </w:tcPr>
          <w:p w14:paraId="5A27CC34" w14:textId="77777777" w:rsidR="00C053F5" w:rsidRPr="00C053F5" w:rsidRDefault="00C053F5" w:rsidP="00C053F5">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C053F5">
              <w:rPr>
                <w:rFonts w:cs="Times New Roman"/>
                <w:szCs w:val="24"/>
              </w:rPr>
              <w:t>20.0%</w:t>
            </w:r>
          </w:p>
        </w:tc>
      </w:tr>
      <w:tr w:rsidR="00C053F5" w:rsidRPr="00C053F5" w14:paraId="451AA360" w14:textId="77777777" w:rsidTr="00C814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2AA62C8" w14:textId="77777777" w:rsidR="00C053F5" w:rsidRPr="00C053F5" w:rsidRDefault="00C053F5" w:rsidP="00C053F5">
            <w:pPr>
              <w:spacing w:before="0" w:line="240" w:lineRule="auto"/>
              <w:rPr>
                <w:rFonts w:cs="Times New Roman"/>
                <w:szCs w:val="24"/>
              </w:rPr>
            </w:pPr>
            <w:r w:rsidRPr="00C053F5">
              <w:rPr>
                <w:rFonts w:cs="Times New Roman"/>
                <w:szCs w:val="24"/>
              </w:rPr>
              <w:t>Q7. ERP enhances timeliness of financial reporting</w:t>
            </w:r>
          </w:p>
        </w:tc>
        <w:tc>
          <w:tcPr>
            <w:tcW w:w="0" w:type="auto"/>
            <w:hideMark/>
          </w:tcPr>
          <w:p w14:paraId="3D9C8718" w14:textId="77777777" w:rsidR="00C053F5" w:rsidRPr="00C053F5" w:rsidRDefault="00C053F5" w:rsidP="00C053F5">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C053F5">
              <w:rPr>
                <w:rFonts w:cs="Times New Roman"/>
                <w:szCs w:val="24"/>
              </w:rPr>
              <w:t>21.7%</w:t>
            </w:r>
          </w:p>
        </w:tc>
        <w:tc>
          <w:tcPr>
            <w:tcW w:w="0" w:type="auto"/>
            <w:hideMark/>
          </w:tcPr>
          <w:p w14:paraId="38F787E6" w14:textId="77777777" w:rsidR="00C053F5" w:rsidRPr="00C053F5" w:rsidRDefault="00C053F5" w:rsidP="00C053F5">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C053F5">
              <w:rPr>
                <w:rFonts w:cs="Times New Roman"/>
                <w:szCs w:val="24"/>
              </w:rPr>
              <w:t>29.2%</w:t>
            </w:r>
          </w:p>
        </w:tc>
        <w:tc>
          <w:tcPr>
            <w:tcW w:w="0" w:type="auto"/>
            <w:hideMark/>
          </w:tcPr>
          <w:p w14:paraId="0B2556C7" w14:textId="77777777" w:rsidR="00C053F5" w:rsidRPr="00C053F5" w:rsidRDefault="00C053F5" w:rsidP="00C053F5">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C053F5">
              <w:rPr>
                <w:rFonts w:cs="Times New Roman"/>
                <w:szCs w:val="24"/>
              </w:rPr>
              <w:t>25.8%</w:t>
            </w:r>
          </w:p>
        </w:tc>
        <w:tc>
          <w:tcPr>
            <w:tcW w:w="0" w:type="auto"/>
            <w:hideMark/>
          </w:tcPr>
          <w:p w14:paraId="327ECA10" w14:textId="77777777" w:rsidR="00C053F5" w:rsidRPr="00C053F5" w:rsidRDefault="00C053F5" w:rsidP="00C053F5">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C053F5">
              <w:rPr>
                <w:rFonts w:cs="Times New Roman"/>
                <w:szCs w:val="24"/>
              </w:rPr>
              <w:t>23.3%</w:t>
            </w:r>
          </w:p>
        </w:tc>
      </w:tr>
      <w:tr w:rsidR="00C053F5" w:rsidRPr="00C053F5" w14:paraId="2D64C51C" w14:textId="77777777" w:rsidTr="00C81456">
        <w:tc>
          <w:tcPr>
            <w:cnfStyle w:val="001000000000" w:firstRow="0" w:lastRow="0" w:firstColumn="1" w:lastColumn="0" w:oddVBand="0" w:evenVBand="0" w:oddHBand="0" w:evenHBand="0" w:firstRowFirstColumn="0" w:firstRowLastColumn="0" w:lastRowFirstColumn="0" w:lastRowLastColumn="0"/>
            <w:tcW w:w="0" w:type="auto"/>
            <w:hideMark/>
          </w:tcPr>
          <w:p w14:paraId="29FA725E" w14:textId="77777777" w:rsidR="00C053F5" w:rsidRPr="00C053F5" w:rsidRDefault="00C053F5" w:rsidP="00C053F5">
            <w:pPr>
              <w:spacing w:before="0" w:line="240" w:lineRule="auto"/>
              <w:rPr>
                <w:rFonts w:cs="Times New Roman"/>
                <w:szCs w:val="24"/>
              </w:rPr>
            </w:pPr>
            <w:r w:rsidRPr="00C053F5">
              <w:rPr>
                <w:rFonts w:cs="Times New Roman"/>
                <w:szCs w:val="24"/>
              </w:rPr>
              <w:t>Q8. ERP streamlines financial management processes</w:t>
            </w:r>
          </w:p>
        </w:tc>
        <w:tc>
          <w:tcPr>
            <w:tcW w:w="0" w:type="auto"/>
            <w:hideMark/>
          </w:tcPr>
          <w:p w14:paraId="0802477C" w14:textId="77777777" w:rsidR="00C053F5" w:rsidRPr="00C053F5" w:rsidRDefault="00C053F5" w:rsidP="00C053F5">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C053F5">
              <w:rPr>
                <w:rFonts w:cs="Times New Roman"/>
                <w:szCs w:val="24"/>
              </w:rPr>
              <w:t>21.7%</w:t>
            </w:r>
          </w:p>
        </w:tc>
        <w:tc>
          <w:tcPr>
            <w:tcW w:w="0" w:type="auto"/>
            <w:hideMark/>
          </w:tcPr>
          <w:p w14:paraId="5A7D1086" w14:textId="77777777" w:rsidR="00C053F5" w:rsidRPr="00C053F5" w:rsidRDefault="00C053F5" w:rsidP="00C053F5">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C053F5">
              <w:rPr>
                <w:rFonts w:cs="Times New Roman"/>
                <w:szCs w:val="24"/>
              </w:rPr>
              <w:t>26.7%</w:t>
            </w:r>
          </w:p>
        </w:tc>
        <w:tc>
          <w:tcPr>
            <w:tcW w:w="0" w:type="auto"/>
            <w:hideMark/>
          </w:tcPr>
          <w:p w14:paraId="0AEFD287" w14:textId="77777777" w:rsidR="00C053F5" w:rsidRPr="00C053F5" w:rsidRDefault="00C053F5" w:rsidP="00C053F5">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C053F5">
              <w:rPr>
                <w:rFonts w:cs="Times New Roman"/>
                <w:szCs w:val="24"/>
              </w:rPr>
              <w:t>34.2%</w:t>
            </w:r>
          </w:p>
        </w:tc>
        <w:tc>
          <w:tcPr>
            <w:tcW w:w="0" w:type="auto"/>
            <w:hideMark/>
          </w:tcPr>
          <w:p w14:paraId="2D6C4376" w14:textId="77777777" w:rsidR="00C053F5" w:rsidRPr="00C053F5" w:rsidRDefault="00C053F5" w:rsidP="00C053F5">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C053F5">
              <w:rPr>
                <w:rFonts w:cs="Times New Roman"/>
                <w:szCs w:val="24"/>
              </w:rPr>
              <w:t>17.5%</w:t>
            </w:r>
          </w:p>
        </w:tc>
      </w:tr>
      <w:tr w:rsidR="00C053F5" w:rsidRPr="00C053F5" w14:paraId="45F8E3FB" w14:textId="77777777" w:rsidTr="00C053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DEA8257" w14:textId="77777777" w:rsidR="00C053F5" w:rsidRPr="00C053F5" w:rsidRDefault="00C053F5" w:rsidP="00C053F5">
            <w:pPr>
              <w:spacing w:before="0" w:line="240" w:lineRule="auto"/>
              <w:rPr>
                <w:rFonts w:cs="Times New Roman"/>
                <w:szCs w:val="24"/>
              </w:rPr>
            </w:pPr>
            <w:r w:rsidRPr="00C053F5">
              <w:rPr>
                <w:rFonts w:cs="Times New Roman"/>
                <w:szCs w:val="24"/>
              </w:rPr>
              <w:t>Q9. ERP improves financial compliance</w:t>
            </w:r>
          </w:p>
        </w:tc>
        <w:tc>
          <w:tcPr>
            <w:tcW w:w="0" w:type="auto"/>
            <w:hideMark/>
          </w:tcPr>
          <w:p w14:paraId="7896FBCC" w14:textId="77777777" w:rsidR="00C053F5" w:rsidRPr="00C053F5" w:rsidRDefault="00C053F5" w:rsidP="00C053F5">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C053F5">
              <w:rPr>
                <w:rFonts w:cs="Times New Roman"/>
                <w:szCs w:val="24"/>
              </w:rPr>
              <w:t>30.0%</w:t>
            </w:r>
          </w:p>
        </w:tc>
        <w:tc>
          <w:tcPr>
            <w:tcW w:w="0" w:type="auto"/>
            <w:hideMark/>
          </w:tcPr>
          <w:p w14:paraId="5346CA27" w14:textId="77777777" w:rsidR="00C053F5" w:rsidRPr="00C053F5" w:rsidRDefault="00C053F5" w:rsidP="00C053F5">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C053F5">
              <w:rPr>
                <w:rFonts w:cs="Times New Roman"/>
                <w:szCs w:val="24"/>
              </w:rPr>
              <w:t>20.8%</w:t>
            </w:r>
          </w:p>
        </w:tc>
        <w:tc>
          <w:tcPr>
            <w:tcW w:w="0" w:type="auto"/>
            <w:hideMark/>
          </w:tcPr>
          <w:p w14:paraId="5DC61C8C" w14:textId="77777777" w:rsidR="00C053F5" w:rsidRPr="00C053F5" w:rsidRDefault="00C053F5" w:rsidP="00C053F5">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C053F5">
              <w:rPr>
                <w:rFonts w:cs="Times New Roman"/>
                <w:szCs w:val="24"/>
              </w:rPr>
              <w:t>24.2%</w:t>
            </w:r>
          </w:p>
        </w:tc>
        <w:tc>
          <w:tcPr>
            <w:tcW w:w="0" w:type="auto"/>
            <w:hideMark/>
          </w:tcPr>
          <w:p w14:paraId="144213A9" w14:textId="77777777" w:rsidR="00C053F5" w:rsidRPr="00C053F5" w:rsidRDefault="00C053F5" w:rsidP="00C053F5">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C053F5">
              <w:rPr>
                <w:rFonts w:cs="Times New Roman"/>
                <w:szCs w:val="24"/>
              </w:rPr>
              <w:t>25.0%</w:t>
            </w:r>
          </w:p>
        </w:tc>
      </w:tr>
      <w:tr w:rsidR="00C053F5" w:rsidRPr="00C053F5" w14:paraId="17DBAED7" w14:textId="77777777" w:rsidTr="00C053F5">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tcPr>
          <w:p w14:paraId="784EE6C0" w14:textId="77777777" w:rsidR="00C053F5" w:rsidRPr="00C053F5" w:rsidRDefault="00C053F5" w:rsidP="00C053F5">
            <w:pPr>
              <w:spacing w:before="0" w:line="240" w:lineRule="auto"/>
              <w:rPr>
                <w:rFonts w:cs="Times New Roman"/>
                <w:szCs w:val="24"/>
              </w:rPr>
            </w:pPr>
            <w:r w:rsidRPr="00C053F5">
              <w:rPr>
                <w:rFonts w:cs="Times New Roman"/>
                <w:szCs w:val="24"/>
              </w:rPr>
              <w:t>Q10. ERP improves financial predictability of an organization</w:t>
            </w:r>
          </w:p>
        </w:tc>
        <w:tc>
          <w:tcPr>
            <w:tcW w:w="0" w:type="auto"/>
            <w:tcBorders>
              <w:bottom w:val="single" w:sz="4" w:space="0" w:color="auto"/>
            </w:tcBorders>
          </w:tcPr>
          <w:p w14:paraId="05F75A66" w14:textId="77777777" w:rsidR="00C053F5" w:rsidRPr="00C053F5" w:rsidRDefault="00C053F5" w:rsidP="00C053F5">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C053F5">
              <w:rPr>
                <w:rFonts w:cs="Times New Roman"/>
                <w:szCs w:val="24"/>
              </w:rPr>
              <w:t>21.7</w:t>
            </w:r>
          </w:p>
        </w:tc>
        <w:tc>
          <w:tcPr>
            <w:tcW w:w="0" w:type="auto"/>
            <w:tcBorders>
              <w:bottom w:val="single" w:sz="4" w:space="0" w:color="auto"/>
            </w:tcBorders>
          </w:tcPr>
          <w:p w14:paraId="7D53BE43" w14:textId="77777777" w:rsidR="00C053F5" w:rsidRPr="00C053F5" w:rsidRDefault="00C053F5" w:rsidP="00C053F5">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C053F5">
              <w:rPr>
                <w:rFonts w:cs="Times New Roman"/>
                <w:szCs w:val="24"/>
              </w:rPr>
              <w:t>29.2</w:t>
            </w:r>
          </w:p>
        </w:tc>
        <w:tc>
          <w:tcPr>
            <w:tcW w:w="0" w:type="auto"/>
            <w:tcBorders>
              <w:bottom w:val="single" w:sz="4" w:space="0" w:color="auto"/>
            </w:tcBorders>
          </w:tcPr>
          <w:p w14:paraId="10B70DEC" w14:textId="77777777" w:rsidR="00C053F5" w:rsidRPr="00C053F5" w:rsidRDefault="00C053F5" w:rsidP="00C053F5">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C053F5">
              <w:rPr>
                <w:rFonts w:cs="Times New Roman"/>
                <w:szCs w:val="24"/>
              </w:rPr>
              <w:t>25.8</w:t>
            </w:r>
          </w:p>
        </w:tc>
        <w:tc>
          <w:tcPr>
            <w:tcW w:w="0" w:type="auto"/>
            <w:tcBorders>
              <w:bottom w:val="single" w:sz="4" w:space="0" w:color="auto"/>
            </w:tcBorders>
          </w:tcPr>
          <w:p w14:paraId="599DDAB1" w14:textId="77777777" w:rsidR="00C053F5" w:rsidRPr="00C053F5" w:rsidRDefault="00C053F5" w:rsidP="00C053F5">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C053F5">
              <w:rPr>
                <w:rFonts w:cs="Times New Roman"/>
                <w:szCs w:val="24"/>
              </w:rPr>
              <w:t>23.3</w:t>
            </w:r>
          </w:p>
        </w:tc>
      </w:tr>
    </w:tbl>
    <w:p w14:paraId="74EF06E4" w14:textId="77777777" w:rsidR="00C053F5" w:rsidRDefault="00C053F5" w:rsidP="00A52C12">
      <w:pPr>
        <w:spacing w:before="0" w:line="240" w:lineRule="auto"/>
        <w:rPr>
          <w:rFonts w:cs="Times New Roman"/>
          <w:b/>
          <w:bCs/>
          <w:sz w:val="28"/>
          <w:szCs w:val="24"/>
        </w:rPr>
      </w:pPr>
    </w:p>
    <w:p w14:paraId="78F2E983" w14:textId="2EAC0918" w:rsidR="00A52C12" w:rsidRDefault="00FC4A1C" w:rsidP="002B2D3C">
      <w:pPr>
        <w:spacing w:before="0" w:line="240" w:lineRule="auto"/>
        <w:rPr>
          <w:b/>
          <w:bCs/>
        </w:rPr>
      </w:pPr>
      <w:r>
        <w:rPr>
          <w:b/>
          <w:bCs/>
        </w:rPr>
        <w:t xml:space="preserve">4.1.2 </w:t>
      </w:r>
      <w:r w:rsidR="002D1CB2" w:rsidRPr="002D1CB2">
        <w:rPr>
          <w:b/>
          <w:bCs/>
        </w:rPr>
        <w:t>Influence of ERP Systems on Financial Management</w:t>
      </w:r>
    </w:p>
    <w:p w14:paraId="003D3F38" w14:textId="41E1FB9F" w:rsidR="002D1CB2" w:rsidRDefault="002D1CB2" w:rsidP="00FC4A1C">
      <w:pPr>
        <w:spacing w:before="0" w:line="240" w:lineRule="auto"/>
      </w:pPr>
      <w:r w:rsidRPr="002D1CB2">
        <w:t xml:space="preserve">The survey findings on cloud-based accounting software reveal mixed perspectives regarding its impact on financial efficiency. A majority of respondents (53.4%) agreed it enhances task management efficiency, and 62.5% </w:t>
      </w:r>
      <w:r w:rsidRPr="002D1CB2">
        <w:lastRenderedPageBreak/>
        <w:t>appreciated its scalability, indicating support for operational growth and adaptability. Financial reporting accuracy and team collaboration also saw positive responses, with 56.6% and 50% respectively acknowledging improvements. However, concerns persist about data security and compliance; only 30% agreed security had improved, while 28.3% strongly disagreed. Similarly, 30.8% strongly disagreed with compliance improvements, versus just 22.5% who strongly agreed. Real-time data access and disaster recovery features received moderate support, though a significant minority remained skeptical. These results suggest that while cloud-based accounting systems are valued for their efficiency and scalability, doubts about their reliability in security and regulatory compliance remain. To maximize the software’s benefits, organizations may need to invest in staff training, clearer communication on capabilities, and enhanced security measures.</w:t>
      </w:r>
    </w:p>
    <w:p w14:paraId="011609DF" w14:textId="25515EC1" w:rsidR="002D1CB2" w:rsidRPr="00F95B0A" w:rsidRDefault="00FC4A1C" w:rsidP="002D1CB2">
      <w:pPr>
        <w:rPr>
          <w:b/>
          <w:bCs/>
          <w:szCs w:val="24"/>
        </w:rPr>
      </w:pPr>
      <w:r>
        <w:rPr>
          <w:b/>
          <w:bCs/>
          <w:szCs w:val="24"/>
        </w:rPr>
        <w:t xml:space="preserve">Table 2: </w:t>
      </w:r>
      <w:r w:rsidR="002D1CB2" w:rsidRPr="00F95B0A">
        <w:rPr>
          <w:b/>
          <w:bCs/>
          <w:szCs w:val="24"/>
        </w:rPr>
        <w:t>Cloud-Based Accounting Software on Financial Efficiency</w:t>
      </w:r>
    </w:p>
    <w:tbl>
      <w:tblPr>
        <w:tblStyle w:val="PlainTable5"/>
        <w:tblW w:w="0" w:type="auto"/>
        <w:tblLook w:val="04A0" w:firstRow="1" w:lastRow="0" w:firstColumn="1" w:lastColumn="0" w:noHBand="0" w:noVBand="1"/>
      </w:tblPr>
      <w:tblGrid>
        <w:gridCol w:w="3750"/>
        <w:gridCol w:w="1224"/>
        <w:gridCol w:w="1247"/>
        <w:gridCol w:w="1546"/>
        <w:gridCol w:w="1778"/>
        <w:gridCol w:w="1485"/>
      </w:tblGrid>
      <w:tr w:rsidR="002D1CB2" w:rsidRPr="002D1CB2" w14:paraId="0F589749" w14:textId="77777777" w:rsidTr="002D1CB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Borders>
              <w:top w:val="single" w:sz="4" w:space="0" w:color="auto"/>
            </w:tcBorders>
            <w:hideMark/>
          </w:tcPr>
          <w:p w14:paraId="45856B6E" w14:textId="77777777" w:rsidR="002D1CB2" w:rsidRPr="002D1CB2" w:rsidRDefault="002D1CB2" w:rsidP="002D1CB2">
            <w:pPr>
              <w:spacing w:before="0" w:line="240" w:lineRule="auto"/>
              <w:rPr>
                <w:rFonts w:cs="Times New Roman"/>
                <w:b/>
                <w:bCs/>
                <w:szCs w:val="24"/>
              </w:rPr>
            </w:pPr>
            <w:r w:rsidRPr="002D1CB2">
              <w:rPr>
                <w:rFonts w:cs="Times New Roman"/>
                <w:b/>
                <w:bCs/>
                <w:szCs w:val="24"/>
              </w:rPr>
              <w:t>Question</w:t>
            </w:r>
          </w:p>
        </w:tc>
        <w:tc>
          <w:tcPr>
            <w:tcW w:w="0" w:type="auto"/>
            <w:tcBorders>
              <w:top w:val="single" w:sz="4" w:space="0" w:color="auto"/>
            </w:tcBorders>
            <w:hideMark/>
          </w:tcPr>
          <w:p w14:paraId="2A773660" w14:textId="77777777" w:rsidR="002D1CB2" w:rsidRPr="002D1CB2" w:rsidRDefault="002D1CB2" w:rsidP="002D1CB2">
            <w:pPr>
              <w:spacing w:before="0" w:line="240" w:lineRule="auto"/>
              <w:cnfStyle w:val="100000000000" w:firstRow="1" w:lastRow="0" w:firstColumn="0" w:lastColumn="0" w:oddVBand="0" w:evenVBand="0" w:oddHBand="0" w:evenHBand="0" w:firstRowFirstColumn="0" w:firstRowLastColumn="0" w:lastRowFirstColumn="0" w:lastRowLastColumn="0"/>
              <w:rPr>
                <w:rFonts w:cs="Times New Roman"/>
                <w:b/>
                <w:bCs/>
                <w:szCs w:val="24"/>
              </w:rPr>
            </w:pPr>
            <w:r w:rsidRPr="002D1CB2">
              <w:rPr>
                <w:rFonts w:cs="Times New Roman"/>
                <w:b/>
                <w:bCs/>
                <w:szCs w:val="24"/>
              </w:rPr>
              <w:t>Agree</w:t>
            </w:r>
          </w:p>
        </w:tc>
        <w:tc>
          <w:tcPr>
            <w:tcW w:w="0" w:type="auto"/>
            <w:tcBorders>
              <w:top w:val="single" w:sz="4" w:space="0" w:color="auto"/>
            </w:tcBorders>
            <w:hideMark/>
          </w:tcPr>
          <w:p w14:paraId="3A6DD6E5" w14:textId="77777777" w:rsidR="002D1CB2" w:rsidRPr="002D1CB2" w:rsidRDefault="002D1CB2" w:rsidP="002D1CB2">
            <w:pPr>
              <w:spacing w:before="0" w:line="240" w:lineRule="auto"/>
              <w:cnfStyle w:val="100000000000" w:firstRow="1" w:lastRow="0" w:firstColumn="0" w:lastColumn="0" w:oddVBand="0" w:evenVBand="0" w:oddHBand="0" w:evenHBand="0" w:firstRowFirstColumn="0" w:firstRowLastColumn="0" w:lastRowFirstColumn="0" w:lastRowLastColumn="0"/>
              <w:rPr>
                <w:rFonts w:cs="Times New Roman"/>
                <w:b/>
                <w:bCs/>
                <w:szCs w:val="24"/>
              </w:rPr>
            </w:pPr>
            <w:r w:rsidRPr="002D1CB2">
              <w:rPr>
                <w:rFonts w:cs="Times New Roman"/>
                <w:b/>
                <w:bCs/>
                <w:szCs w:val="24"/>
              </w:rPr>
              <w:t>Disagree</w:t>
            </w:r>
          </w:p>
        </w:tc>
        <w:tc>
          <w:tcPr>
            <w:tcW w:w="0" w:type="auto"/>
            <w:tcBorders>
              <w:top w:val="single" w:sz="4" w:space="0" w:color="auto"/>
            </w:tcBorders>
            <w:hideMark/>
          </w:tcPr>
          <w:p w14:paraId="22D9D6C0" w14:textId="77777777" w:rsidR="002D1CB2" w:rsidRPr="002D1CB2" w:rsidRDefault="002D1CB2" w:rsidP="002D1CB2">
            <w:pPr>
              <w:spacing w:before="0" w:line="240" w:lineRule="auto"/>
              <w:cnfStyle w:val="100000000000" w:firstRow="1" w:lastRow="0" w:firstColumn="0" w:lastColumn="0" w:oddVBand="0" w:evenVBand="0" w:oddHBand="0" w:evenHBand="0" w:firstRowFirstColumn="0" w:firstRowLastColumn="0" w:lastRowFirstColumn="0" w:lastRowLastColumn="0"/>
              <w:rPr>
                <w:rFonts w:cs="Times New Roman"/>
                <w:b/>
                <w:bCs/>
                <w:szCs w:val="24"/>
              </w:rPr>
            </w:pPr>
            <w:r w:rsidRPr="002D1CB2">
              <w:rPr>
                <w:rFonts w:cs="Times New Roman"/>
                <w:b/>
                <w:bCs/>
                <w:szCs w:val="24"/>
              </w:rPr>
              <w:t>Strongly Agree</w:t>
            </w:r>
          </w:p>
        </w:tc>
        <w:tc>
          <w:tcPr>
            <w:tcW w:w="0" w:type="auto"/>
            <w:tcBorders>
              <w:top w:val="single" w:sz="4" w:space="0" w:color="auto"/>
            </w:tcBorders>
            <w:hideMark/>
          </w:tcPr>
          <w:p w14:paraId="1A104923" w14:textId="77777777" w:rsidR="002D1CB2" w:rsidRPr="002D1CB2" w:rsidRDefault="002D1CB2" w:rsidP="002D1CB2">
            <w:pPr>
              <w:spacing w:before="0" w:line="240" w:lineRule="auto"/>
              <w:cnfStyle w:val="100000000000" w:firstRow="1" w:lastRow="0" w:firstColumn="0" w:lastColumn="0" w:oddVBand="0" w:evenVBand="0" w:oddHBand="0" w:evenHBand="0" w:firstRowFirstColumn="0" w:firstRowLastColumn="0" w:lastRowFirstColumn="0" w:lastRowLastColumn="0"/>
              <w:rPr>
                <w:rFonts w:cs="Times New Roman"/>
                <w:b/>
                <w:bCs/>
                <w:szCs w:val="24"/>
              </w:rPr>
            </w:pPr>
            <w:r w:rsidRPr="002D1CB2">
              <w:rPr>
                <w:rFonts w:cs="Times New Roman"/>
                <w:b/>
                <w:bCs/>
                <w:szCs w:val="24"/>
              </w:rPr>
              <w:t>Strongly Disagree</w:t>
            </w:r>
          </w:p>
        </w:tc>
        <w:tc>
          <w:tcPr>
            <w:tcW w:w="0" w:type="auto"/>
            <w:tcBorders>
              <w:top w:val="single" w:sz="4" w:space="0" w:color="auto"/>
            </w:tcBorders>
            <w:hideMark/>
          </w:tcPr>
          <w:p w14:paraId="7DD27ED4" w14:textId="77777777" w:rsidR="002D1CB2" w:rsidRPr="002D1CB2" w:rsidRDefault="002D1CB2" w:rsidP="002D1CB2">
            <w:pPr>
              <w:spacing w:before="0" w:line="240" w:lineRule="auto"/>
              <w:cnfStyle w:val="100000000000" w:firstRow="1" w:lastRow="0" w:firstColumn="0" w:lastColumn="0" w:oddVBand="0" w:evenVBand="0" w:oddHBand="0" w:evenHBand="0" w:firstRowFirstColumn="0" w:firstRowLastColumn="0" w:lastRowFirstColumn="0" w:lastRowLastColumn="0"/>
              <w:rPr>
                <w:rFonts w:cs="Times New Roman"/>
                <w:b/>
                <w:bCs/>
                <w:szCs w:val="24"/>
              </w:rPr>
            </w:pPr>
            <w:r w:rsidRPr="002D1CB2">
              <w:rPr>
                <w:rFonts w:cs="Times New Roman"/>
                <w:b/>
                <w:bCs/>
                <w:szCs w:val="24"/>
              </w:rPr>
              <w:t>Total (N=120)</w:t>
            </w:r>
          </w:p>
        </w:tc>
      </w:tr>
      <w:tr w:rsidR="002D1CB2" w:rsidRPr="002D1CB2" w14:paraId="3805A1C5" w14:textId="77777777" w:rsidTr="00C814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4B08031" w14:textId="77777777" w:rsidR="002D1CB2" w:rsidRPr="002D1CB2" w:rsidRDefault="002D1CB2" w:rsidP="002D1CB2">
            <w:pPr>
              <w:spacing w:before="0" w:line="240" w:lineRule="auto"/>
              <w:rPr>
                <w:rFonts w:cs="Times New Roman"/>
                <w:szCs w:val="24"/>
              </w:rPr>
            </w:pPr>
            <w:r w:rsidRPr="002D1CB2">
              <w:rPr>
                <w:rFonts w:cs="Times New Roman"/>
                <w:b/>
                <w:bCs/>
                <w:szCs w:val="24"/>
              </w:rPr>
              <w:t>Q1. Improves task management efficiency</w:t>
            </w:r>
          </w:p>
        </w:tc>
        <w:tc>
          <w:tcPr>
            <w:tcW w:w="0" w:type="auto"/>
            <w:hideMark/>
          </w:tcPr>
          <w:p w14:paraId="1232CC3E" w14:textId="77777777" w:rsidR="002D1CB2" w:rsidRPr="002D1CB2" w:rsidRDefault="002D1CB2" w:rsidP="002D1CB2">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2D1CB2">
              <w:rPr>
                <w:rFonts w:cs="Times New Roman"/>
                <w:szCs w:val="24"/>
              </w:rPr>
              <w:t>23 (19.2%)</w:t>
            </w:r>
          </w:p>
        </w:tc>
        <w:tc>
          <w:tcPr>
            <w:tcW w:w="0" w:type="auto"/>
            <w:hideMark/>
          </w:tcPr>
          <w:p w14:paraId="41D22457" w14:textId="77777777" w:rsidR="002D1CB2" w:rsidRPr="002D1CB2" w:rsidRDefault="002D1CB2" w:rsidP="002D1CB2">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2D1CB2">
              <w:rPr>
                <w:rFonts w:cs="Times New Roman"/>
                <w:szCs w:val="24"/>
              </w:rPr>
              <w:t>30 (25.0%)</w:t>
            </w:r>
          </w:p>
        </w:tc>
        <w:tc>
          <w:tcPr>
            <w:tcW w:w="0" w:type="auto"/>
            <w:hideMark/>
          </w:tcPr>
          <w:p w14:paraId="35C8F1D3" w14:textId="77777777" w:rsidR="002D1CB2" w:rsidRPr="002D1CB2" w:rsidRDefault="002D1CB2" w:rsidP="002D1CB2">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2D1CB2">
              <w:rPr>
                <w:rFonts w:cs="Times New Roman"/>
                <w:szCs w:val="24"/>
              </w:rPr>
              <w:t>41 (34.2%)</w:t>
            </w:r>
          </w:p>
        </w:tc>
        <w:tc>
          <w:tcPr>
            <w:tcW w:w="0" w:type="auto"/>
            <w:hideMark/>
          </w:tcPr>
          <w:p w14:paraId="78F20BC8" w14:textId="77777777" w:rsidR="002D1CB2" w:rsidRPr="002D1CB2" w:rsidRDefault="002D1CB2" w:rsidP="002D1CB2">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2D1CB2">
              <w:rPr>
                <w:rFonts w:cs="Times New Roman"/>
                <w:szCs w:val="24"/>
              </w:rPr>
              <w:t>26 (21.7%)</w:t>
            </w:r>
          </w:p>
        </w:tc>
        <w:tc>
          <w:tcPr>
            <w:tcW w:w="0" w:type="auto"/>
            <w:hideMark/>
          </w:tcPr>
          <w:p w14:paraId="78BAF994" w14:textId="77777777" w:rsidR="002D1CB2" w:rsidRPr="002D1CB2" w:rsidRDefault="002D1CB2" w:rsidP="002D1CB2">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2D1CB2">
              <w:rPr>
                <w:rFonts w:cs="Times New Roman"/>
                <w:szCs w:val="24"/>
              </w:rPr>
              <w:t>120</w:t>
            </w:r>
          </w:p>
        </w:tc>
      </w:tr>
      <w:tr w:rsidR="002D1CB2" w:rsidRPr="002D1CB2" w14:paraId="2F82D159" w14:textId="77777777" w:rsidTr="00C81456">
        <w:tc>
          <w:tcPr>
            <w:cnfStyle w:val="001000000000" w:firstRow="0" w:lastRow="0" w:firstColumn="1" w:lastColumn="0" w:oddVBand="0" w:evenVBand="0" w:oddHBand="0" w:evenHBand="0" w:firstRowFirstColumn="0" w:firstRowLastColumn="0" w:lastRowFirstColumn="0" w:lastRowLastColumn="0"/>
            <w:tcW w:w="0" w:type="auto"/>
            <w:hideMark/>
          </w:tcPr>
          <w:p w14:paraId="4B1BD7E9" w14:textId="77777777" w:rsidR="002D1CB2" w:rsidRPr="002D1CB2" w:rsidRDefault="002D1CB2" w:rsidP="002D1CB2">
            <w:pPr>
              <w:spacing w:before="0" w:line="240" w:lineRule="auto"/>
              <w:rPr>
                <w:rFonts w:cs="Times New Roman"/>
                <w:szCs w:val="24"/>
              </w:rPr>
            </w:pPr>
            <w:r w:rsidRPr="002D1CB2">
              <w:rPr>
                <w:rFonts w:cs="Times New Roman"/>
                <w:b/>
                <w:bCs/>
                <w:szCs w:val="24"/>
              </w:rPr>
              <w:t>Q2. Scalability is beneficial</w:t>
            </w:r>
          </w:p>
        </w:tc>
        <w:tc>
          <w:tcPr>
            <w:tcW w:w="0" w:type="auto"/>
            <w:hideMark/>
          </w:tcPr>
          <w:p w14:paraId="0636DB37" w14:textId="77777777" w:rsidR="002D1CB2" w:rsidRPr="002D1CB2" w:rsidRDefault="002D1CB2" w:rsidP="002D1CB2">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2D1CB2">
              <w:rPr>
                <w:rFonts w:cs="Times New Roman"/>
                <w:szCs w:val="24"/>
              </w:rPr>
              <w:t>36 (30.0%)</w:t>
            </w:r>
          </w:p>
        </w:tc>
        <w:tc>
          <w:tcPr>
            <w:tcW w:w="0" w:type="auto"/>
            <w:hideMark/>
          </w:tcPr>
          <w:p w14:paraId="01849118" w14:textId="77777777" w:rsidR="002D1CB2" w:rsidRPr="002D1CB2" w:rsidRDefault="002D1CB2" w:rsidP="002D1CB2">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2D1CB2">
              <w:rPr>
                <w:rFonts w:cs="Times New Roman"/>
                <w:szCs w:val="24"/>
              </w:rPr>
              <w:t>33 (27.5%)</w:t>
            </w:r>
          </w:p>
        </w:tc>
        <w:tc>
          <w:tcPr>
            <w:tcW w:w="0" w:type="auto"/>
            <w:hideMark/>
          </w:tcPr>
          <w:p w14:paraId="55BEFD77" w14:textId="77777777" w:rsidR="002D1CB2" w:rsidRPr="002D1CB2" w:rsidRDefault="002D1CB2" w:rsidP="002D1CB2">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2D1CB2">
              <w:rPr>
                <w:rFonts w:cs="Times New Roman"/>
                <w:szCs w:val="24"/>
              </w:rPr>
              <w:t>26 (21.7%)</w:t>
            </w:r>
          </w:p>
        </w:tc>
        <w:tc>
          <w:tcPr>
            <w:tcW w:w="0" w:type="auto"/>
            <w:hideMark/>
          </w:tcPr>
          <w:p w14:paraId="1B0E9D78" w14:textId="77777777" w:rsidR="002D1CB2" w:rsidRPr="002D1CB2" w:rsidRDefault="002D1CB2" w:rsidP="002D1CB2">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2D1CB2">
              <w:rPr>
                <w:rFonts w:cs="Times New Roman"/>
                <w:szCs w:val="24"/>
              </w:rPr>
              <w:t>25 (20.8%)</w:t>
            </w:r>
          </w:p>
        </w:tc>
        <w:tc>
          <w:tcPr>
            <w:tcW w:w="0" w:type="auto"/>
            <w:hideMark/>
          </w:tcPr>
          <w:p w14:paraId="1ABBBE5E" w14:textId="77777777" w:rsidR="002D1CB2" w:rsidRPr="002D1CB2" w:rsidRDefault="002D1CB2" w:rsidP="002D1CB2">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2D1CB2">
              <w:rPr>
                <w:rFonts w:cs="Times New Roman"/>
                <w:szCs w:val="24"/>
              </w:rPr>
              <w:t>120</w:t>
            </w:r>
          </w:p>
        </w:tc>
      </w:tr>
      <w:tr w:rsidR="002D1CB2" w:rsidRPr="002D1CB2" w14:paraId="4C261EC3" w14:textId="77777777" w:rsidTr="00C814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8A61BD2" w14:textId="77777777" w:rsidR="002D1CB2" w:rsidRPr="002D1CB2" w:rsidRDefault="002D1CB2" w:rsidP="002D1CB2">
            <w:pPr>
              <w:spacing w:before="0" w:line="240" w:lineRule="auto"/>
              <w:rPr>
                <w:rFonts w:cs="Times New Roman"/>
                <w:szCs w:val="24"/>
              </w:rPr>
            </w:pPr>
            <w:r w:rsidRPr="002D1CB2">
              <w:rPr>
                <w:rFonts w:cs="Times New Roman"/>
                <w:b/>
                <w:bCs/>
                <w:szCs w:val="24"/>
              </w:rPr>
              <w:t>Q3. Improved data security</w:t>
            </w:r>
          </w:p>
        </w:tc>
        <w:tc>
          <w:tcPr>
            <w:tcW w:w="0" w:type="auto"/>
            <w:hideMark/>
          </w:tcPr>
          <w:p w14:paraId="278634FC" w14:textId="77777777" w:rsidR="002D1CB2" w:rsidRPr="002D1CB2" w:rsidRDefault="002D1CB2" w:rsidP="002D1CB2">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2D1CB2">
              <w:rPr>
                <w:rFonts w:cs="Times New Roman"/>
                <w:szCs w:val="24"/>
              </w:rPr>
              <w:t>36 (30.0%)</w:t>
            </w:r>
          </w:p>
        </w:tc>
        <w:tc>
          <w:tcPr>
            <w:tcW w:w="0" w:type="auto"/>
            <w:hideMark/>
          </w:tcPr>
          <w:p w14:paraId="62AB7E63" w14:textId="77777777" w:rsidR="002D1CB2" w:rsidRPr="002D1CB2" w:rsidRDefault="002D1CB2" w:rsidP="002D1CB2">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2D1CB2">
              <w:rPr>
                <w:rFonts w:cs="Times New Roman"/>
                <w:szCs w:val="24"/>
              </w:rPr>
              <w:t>28 (23.3%)</w:t>
            </w:r>
          </w:p>
        </w:tc>
        <w:tc>
          <w:tcPr>
            <w:tcW w:w="0" w:type="auto"/>
            <w:hideMark/>
          </w:tcPr>
          <w:p w14:paraId="681C89CF" w14:textId="77777777" w:rsidR="002D1CB2" w:rsidRPr="002D1CB2" w:rsidRDefault="002D1CB2" w:rsidP="002D1CB2">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2D1CB2">
              <w:rPr>
                <w:rFonts w:cs="Times New Roman"/>
                <w:szCs w:val="24"/>
              </w:rPr>
              <w:t>22 (18.3%)</w:t>
            </w:r>
          </w:p>
        </w:tc>
        <w:tc>
          <w:tcPr>
            <w:tcW w:w="0" w:type="auto"/>
            <w:hideMark/>
          </w:tcPr>
          <w:p w14:paraId="29DFAEFB" w14:textId="77777777" w:rsidR="002D1CB2" w:rsidRPr="002D1CB2" w:rsidRDefault="002D1CB2" w:rsidP="002D1CB2">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2D1CB2">
              <w:rPr>
                <w:rFonts w:cs="Times New Roman"/>
                <w:szCs w:val="24"/>
              </w:rPr>
              <w:t>34 (28.3%)</w:t>
            </w:r>
          </w:p>
        </w:tc>
        <w:tc>
          <w:tcPr>
            <w:tcW w:w="0" w:type="auto"/>
            <w:hideMark/>
          </w:tcPr>
          <w:p w14:paraId="0548926D" w14:textId="77777777" w:rsidR="002D1CB2" w:rsidRPr="002D1CB2" w:rsidRDefault="002D1CB2" w:rsidP="002D1CB2">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2D1CB2">
              <w:rPr>
                <w:rFonts w:cs="Times New Roman"/>
                <w:szCs w:val="24"/>
              </w:rPr>
              <w:t>120</w:t>
            </w:r>
          </w:p>
        </w:tc>
      </w:tr>
      <w:tr w:rsidR="002D1CB2" w:rsidRPr="002D1CB2" w14:paraId="31A0D257" w14:textId="77777777" w:rsidTr="00C81456">
        <w:tc>
          <w:tcPr>
            <w:cnfStyle w:val="001000000000" w:firstRow="0" w:lastRow="0" w:firstColumn="1" w:lastColumn="0" w:oddVBand="0" w:evenVBand="0" w:oddHBand="0" w:evenHBand="0" w:firstRowFirstColumn="0" w:firstRowLastColumn="0" w:lastRowFirstColumn="0" w:lastRowLastColumn="0"/>
            <w:tcW w:w="0" w:type="auto"/>
            <w:hideMark/>
          </w:tcPr>
          <w:p w14:paraId="6D76FD66" w14:textId="77777777" w:rsidR="002D1CB2" w:rsidRPr="002D1CB2" w:rsidRDefault="002D1CB2" w:rsidP="002D1CB2">
            <w:pPr>
              <w:spacing w:before="0" w:line="240" w:lineRule="auto"/>
              <w:rPr>
                <w:rFonts w:cs="Times New Roman"/>
                <w:szCs w:val="24"/>
              </w:rPr>
            </w:pPr>
            <w:r w:rsidRPr="002D1CB2">
              <w:rPr>
                <w:rFonts w:cs="Times New Roman"/>
                <w:b/>
                <w:bCs/>
                <w:szCs w:val="24"/>
              </w:rPr>
              <w:t>Q4. Reduces IT infrastructure costs</w:t>
            </w:r>
          </w:p>
        </w:tc>
        <w:tc>
          <w:tcPr>
            <w:tcW w:w="0" w:type="auto"/>
            <w:hideMark/>
          </w:tcPr>
          <w:p w14:paraId="08E414BD" w14:textId="77777777" w:rsidR="002D1CB2" w:rsidRPr="002D1CB2" w:rsidRDefault="002D1CB2" w:rsidP="002D1CB2">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2D1CB2">
              <w:rPr>
                <w:rFonts w:cs="Times New Roman"/>
                <w:szCs w:val="24"/>
              </w:rPr>
              <w:t>39 (32.5%)</w:t>
            </w:r>
          </w:p>
        </w:tc>
        <w:tc>
          <w:tcPr>
            <w:tcW w:w="0" w:type="auto"/>
            <w:hideMark/>
          </w:tcPr>
          <w:p w14:paraId="30FC52AE" w14:textId="77777777" w:rsidR="002D1CB2" w:rsidRPr="002D1CB2" w:rsidRDefault="002D1CB2" w:rsidP="002D1CB2">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2D1CB2">
              <w:rPr>
                <w:rFonts w:cs="Times New Roman"/>
                <w:szCs w:val="24"/>
              </w:rPr>
              <w:t>24 (20.0%)</w:t>
            </w:r>
          </w:p>
        </w:tc>
        <w:tc>
          <w:tcPr>
            <w:tcW w:w="0" w:type="auto"/>
            <w:hideMark/>
          </w:tcPr>
          <w:p w14:paraId="5AFCA3A4" w14:textId="77777777" w:rsidR="002D1CB2" w:rsidRPr="002D1CB2" w:rsidRDefault="002D1CB2" w:rsidP="002D1CB2">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2D1CB2">
              <w:rPr>
                <w:rFonts w:cs="Times New Roman"/>
                <w:szCs w:val="24"/>
              </w:rPr>
              <w:t>36 (30.0%)</w:t>
            </w:r>
          </w:p>
        </w:tc>
        <w:tc>
          <w:tcPr>
            <w:tcW w:w="0" w:type="auto"/>
            <w:hideMark/>
          </w:tcPr>
          <w:p w14:paraId="291EC0E4" w14:textId="77777777" w:rsidR="002D1CB2" w:rsidRPr="002D1CB2" w:rsidRDefault="002D1CB2" w:rsidP="002D1CB2">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2D1CB2">
              <w:rPr>
                <w:rFonts w:cs="Times New Roman"/>
                <w:szCs w:val="24"/>
              </w:rPr>
              <w:t>21 (17.5%)</w:t>
            </w:r>
          </w:p>
        </w:tc>
        <w:tc>
          <w:tcPr>
            <w:tcW w:w="0" w:type="auto"/>
            <w:hideMark/>
          </w:tcPr>
          <w:p w14:paraId="1BDABD67" w14:textId="77777777" w:rsidR="002D1CB2" w:rsidRPr="002D1CB2" w:rsidRDefault="002D1CB2" w:rsidP="002D1CB2">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2D1CB2">
              <w:rPr>
                <w:rFonts w:cs="Times New Roman"/>
                <w:szCs w:val="24"/>
              </w:rPr>
              <w:t>120</w:t>
            </w:r>
          </w:p>
        </w:tc>
      </w:tr>
      <w:tr w:rsidR="002D1CB2" w:rsidRPr="002D1CB2" w14:paraId="5657B7C6" w14:textId="77777777" w:rsidTr="00C814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1B216BF" w14:textId="77777777" w:rsidR="002D1CB2" w:rsidRPr="002D1CB2" w:rsidRDefault="002D1CB2" w:rsidP="002D1CB2">
            <w:pPr>
              <w:spacing w:before="0" w:line="240" w:lineRule="auto"/>
              <w:rPr>
                <w:rFonts w:cs="Times New Roman"/>
                <w:szCs w:val="24"/>
              </w:rPr>
            </w:pPr>
            <w:r w:rsidRPr="002D1CB2">
              <w:rPr>
                <w:rFonts w:cs="Times New Roman"/>
                <w:b/>
                <w:bCs/>
                <w:szCs w:val="24"/>
              </w:rPr>
              <w:t>Q5. Real-time financial data access</w:t>
            </w:r>
          </w:p>
        </w:tc>
        <w:tc>
          <w:tcPr>
            <w:tcW w:w="0" w:type="auto"/>
            <w:hideMark/>
          </w:tcPr>
          <w:p w14:paraId="281F4746" w14:textId="77777777" w:rsidR="002D1CB2" w:rsidRPr="002D1CB2" w:rsidRDefault="002D1CB2" w:rsidP="002D1CB2">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2D1CB2">
              <w:rPr>
                <w:rFonts w:cs="Times New Roman"/>
                <w:szCs w:val="24"/>
              </w:rPr>
              <w:t>27 (22.5%)</w:t>
            </w:r>
          </w:p>
        </w:tc>
        <w:tc>
          <w:tcPr>
            <w:tcW w:w="0" w:type="auto"/>
            <w:hideMark/>
          </w:tcPr>
          <w:p w14:paraId="52FE1083" w14:textId="77777777" w:rsidR="002D1CB2" w:rsidRPr="002D1CB2" w:rsidRDefault="002D1CB2" w:rsidP="002D1CB2">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2D1CB2">
              <w:rPr>
                <w:rFonts w:cs="Times New Roman"/>
                <w:szCs w:val="24"/>
              </w:rPr>
              <w:t>27 (22.5%)</w:t>
            </w:r>
          </w:p>
        </w:tc>
        <w:tc>
          <w:tcPr>
            <w:tcW w:w="0" w:type="auto"/>
            <w:hideMark/>
          </w:tcPr>
          <w:p w14:paraId="77CC5863" w14:textId="77777777" w:rsidR="002D1CB2" w:rsidRPr="002D1CB2" w:rsidRDefault="002D1CB2" w:rsidP="002D1CB2">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2D1CB2">
              <w:rPr>
                <w:rFonts w:cs="Times New Roman"/>
                <w:szCs w:val="24"/>
              </w:rPr>
              <w:t>34 (28.3%)</w:t>
            </w:r>
          </w:p>
        </w:tc>
        <w:tc>
          <w:tcPr>
            <w:tcW w:w="0" w:type="auto"/>
            <w:hideMark/>
          </w:tcPr>
          <w:p w14:paraId="7567D642" w14:textId="77777777" w:rsidR="002D1CB2" w:rsidRPr="002D1CB2" w:rsidRDefault="002D1CB2" w:rsidP="002D1CB2">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2D1CB2">
              <w:rPr>
                <w:rFonts w:cs="Times New Roman"/>
                <w:szCs w:val="24"/>
              </w:rPr>
              <w:t>32 (26.7%)</w:t>
            </w:r>
          </w:p>
        </w:tc>
        <w:tc>
          <w:tcPr>
            <w:tcW w:w="0" w:type="auto"/>
            <w:hideMark/>
          </w:tcPr>
          <w:p w14:paraId="2B938B67" w14:textId="77777777" w:rsidR="002D1CB2" w:rsidRPr="002D1CB2" w:rsidRDefault="002D1CB2" w:rsidP="002D1CB2">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2D1CB2">
              <w:rPr>
                <w:rFonts w:cs="Times New Roman"/>
                <w:szCs w:val="24"/>
              </w:rPr>
              <w:t>120</w:t>
            </w:r>
          </w:p>
        </w:tc>
      </w:tr>
      <w:tr w:rsidR="002D1CB2" w:rsidRPr="002D1CB2" w14:paraId="3E18351B" w14:textId="77777777" w:rsidTr="00C81456">
        <w:tc>
          <w:tcPr>
            <w:cnfStyle w:val="001000000000" w:firstRow="0" w:lastRow="0" w:firstColumn="1" w:lastColumn="0" w:oddVBand="0" w:evenVBand="0" w:oddHBand="0" w:evenHBand="0" w:firstRowFirstColumn="0" w:firstRowLastColumn="0" w:lastRowFirstColumn="0" w:lastRowLastColumn="0"/>
            <w:tcW w:w="0" w:type="auto"/>
            <w:hideMark/>
          </w:tcPr>
          <w:p w14:paraId="7E31FA19" w14:textId="77777777" w:rsidR="002D1CB2" w:rsidRPr="002D1CB2" w:rsidRDefault="002D1CB2" w:rsidP="002D1CB2">
            <w:pPr>
              <w:spacing w:before="0" w:line="240" w:lineRule="auto"/>
              <w:rPr>
                <w:rFonts w:cs="Times New Roman"/>
                <w:szCs w:val="24"/>
              </w:rPr>
            </w:pPr>
            <w:r w:rsidRPr="002D1CB2">
              <w:rPr>
                <w:rFonts w:cs="Times New Roman"/>
                <w:b/>
                <w:bCs/>
                <w:szCs w:val="24"/>
              </w:rPr>
              <w:t>Q6. Enhances team collaboration</w:t>
            </w:r>
          </w:p>
        </w:tc>
        <w:tc>
          <w:tcPr>
            <w:tcW w:w="0" w:type="auto"/>
            <w:hideMark/>
          </w:tcPr>
          <w:p w14:paraId="5E5482BF" w14:textId="77777777" w:rsidR="002D1CB2" w:rsidRPr="002D1CB2" w:rsidRDefault="002D1CB2" w:rsidP="002D1CB2">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2D1CB2">
              <w:rPr>
                <w:rFonts w:cs="Times New Roman"/>
                <w:szCs w:val="24"/>
              </w:rPr>
              <w:t>32 (26.7%)</w:t>
            </w:r>
          </w:p>
        </w:tc>
        <w:tc>
          <w:tcPr>
            <w:tcW w:w="0" w:type="auto"/>
            <w:hideMark/>
          </w:tcPr>
          <w:p w14:paraId="6B28C85A" w14:textId="77777777" w:rsidR="002D1CB2" w:rsidRPr="002D1CB2" w:rsidRDefault="002D1CB2" w:rsidP="002D1CB2">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2D1CB2">
              <w:rPr>
                <w:rFonts w:cs="Times New Roman"/>
                <w:szCs w:val="24"/>
              </w:rPr>
              <w:t>31 (25.8%)</w:t>
            </w:r>
          </w:p>
        </w:tc>
        <w:tc>
          <w:tcPr>
            <w:tcW w:w="0" w:type="auto"/>
            <w:hideMark/>
          </w:tcPr>
          <w:p w14:paraId="169B2546" w14:textId="77777777" w:rsidR="002D1CB2" w:rsidRPr="002D1CB2" w:rsidRDefault="002D1CB2" w:rsidP="002D1CB2">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2D1CB2">
              <w:rPr>
                <w:rFonts w:cs="Times New Roman"/>
                <w:szCs w:val="24"/>
              </w:rPr>
              <w:t>28 (23.3%)</w:t>
            </w:r>
          </w:p>
        </w:tc>
        <w:tc>
          <w:tcPr>
            <w:tcW w:w="0" w:type="auto"/>
            <w:hideMark/>
          </w:tcPr>
          <w:p w14:paraId="58F1BC94" w14:textId="77777777" w:rsidR="002D1CB2" w:rsidRPr="002D1CB2" w:rsidRDefault="002D1CB2" w:rsidP="002D1CB2">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2D1CB2">
              <w:rPr>
                <w:rFonts w:cs="Times New Roman"/>
                <w:szCs w:val="24"/>
              </w:rPr>
              <w:t>29 (24.2%)</w:t>
            </w:r>
          </w:p>
        </w:tc>
        <w:tc>
          <w:tcPr>
            <w:tcW w:w="0" w:type="auto"/>
            <w:hideMark/>
          </w:tcPr>
          <w:p w14:paraId="4CDC64EA" w14:textId="77777777" w:rsidR="002D1CB2" w:rsidRPr="002D1CB2" w:rsidRDefault="002D1CB2" w:rsidP="002D1CB2">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2D1CB2">
              <w:rPr>
                <w:rFonts w:cs="Times New Roman"/>
                <w:szCs w:val="24"/>
              </w:rPr>
              <w:t>120</w:t>
            </w:r>
          </w:p>
        </w:tc>
      </w:tr>
      <w:tr w:rsidR="002D1CB2" w:rsidRPr="002D1CB2" w14:paraId="7CDC7C33" w14:textId="77777777" w:rsidTr="00C814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1BA2D51" w14:textId="77777777" w:rsidR="002D1CB2" w:rsidRPr="002D1CB2" w:rsidRDefault="002D1CB2" w:rsidP="002D1CB2">
            <w:pPr>
              <w:spacing w:before="0" w:line="240" w:lineRule="auto"/>
              <w:rPr>
                <w:rFonts w:cs="Times New Roman"/>
                <w:szCs w:val="24"/>
              </w:rPr>
            </w:pPr>
            <w:r w:rsidRPr="002D1CB2">
              <w:rPr>
                <w:rFonts w:cs="Times New Roman"/>
                <w:b/>
                <w:bCs/>
                <w:szCs w:val="24"/>
              </w:rPr>
              <w:t>Q7. Improves financial audits</w:t>
            </w:r>
          </w:p>
        </w:tc>
        <w:tc>
          <w:tcPr>
            <w:tcW w:w="0" w:type="auto"/>
            <w:hideMark/>
          </w:tcPr>
          <w:p w14:paraId="1E695478" w14:textId="77777777" w:rsidR="002D1CB2" w:rsidRPr="002D1CB2" w:rsidRDefault="002D1CB2" w:rsidP="002D1CB2">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2D1CB2">
              <w:rPr>
                <w:rFonts w:cs="Times New Roman"/>
                <w:szCs w:val="24"/>
              </w:rPr>
              <w:t>28 (23.3%)</w:t>
            </w:r>
          </w:p>
        </w:tc>
        <w:tc>
          <w:tcPr>
            <w:tcW w:w="0" w:type="auto"/>
            <w:hideMark/>
          </w:tcPr>
          <w:p w14:paraId="49DA437A" w14:textId="77777777" w:rsidR="002D1CB2" w:rsidRPr="002D1CB2" w:rsidRDefault="002D1CB2" w:rsidP="002D1CB2">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2D1CB2">
              <w:rPr>
                <w:rFonts w:cs="Times New Roman"/>
                <w:szCs w:val="24"/>
              </w:rPr>
              <w:t>32 (26.7%)</w:t>
            </w:r>
          </w:p>
        </w:tc>
        <w:tc>
          <w:tcPr>
            <w:tcW w:w="0" w:type="auto"/>
            <w:hideMark/>
          </w:tcPr>
          <w:p w14:paraId="555B8EE3" w14:textId="77777777" w:rsidR="002D1CB2" w:rsidRPr="002D1CB2" w:rsidRDefault="002D1CB2" w:rsidP="002D1CB2">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2D1CB2">
              <w:rPr>
                <w:rFonts w:cs="Times New Roman"/>
                <w:szCs w:val="24"/>
              </w:rPr>
              <w:t>26 (21.7%)</w:t>
            </w:r>
          </w:p>
        </w:tc>
        <w:tc>
          <w:tcPr>
            <w:tcW w:w="0" w:type="auto"/>
            <w:hideMark/>
          </w:tcPr>
          <w:p w14:paraId="34858610" w14:textId="77777777" w:rsidR="002D1CB2" w:rsidRPr="002D1CB2" w:rsidRDefault="002D1CB2" w:rsidP="002D1CB2">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2D1CB2">
              <w:rPr>
                <w:rFonts w:cs="Times New Roman"/>
                <w:szCs w:val="24"/>
              </w:rPr>
              <w:t>34 (28.3%)</w:t>
            </w:r>
          </w:p>
        </w:tc>
        <w:tc>
          <w:tcPr>
            <w:tcW w:w="0" w:type="auto"/>
            <w:hideMark/>
          </w:tcPr>
          <w:p w14:paraId="0174E75D" w14:textId="77777777" w:rsidR="002D1CB2" w:rsidRPr="002D1CB2" w:rsidRDefault="002D1CB2" w:rsidP="002D1CB2">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2D1CB2">
              <w:rPr>
                <w:rFonts w:cs="Times New Roman"/>
                <w:szCs w:val="24"/>
              </w:rPr>
              <w:t>120</w:t>
            </w:r>
          </w:p>
        </w:tc>
      </w:tr>
      <w:tr w:rsidR="002D1CB2" w:rsidRPr="002D1CB2" w14:paraId="30973E02" w14:textId="77777777" w:rsidTr="00C81456">
        <w:tc>
          <w:tcPr>
            <w:cnfStyle w:val="001000000000" w:firstRow="0" w:lastRow="0" w:firstColumn="1" w:lastColumn="0" w:oddVBand="0" w:evenVBand="0" w:oddHBand="0" w:evenHBand="0" w:firstRowFirstColumn="0" w:firstRowLastColumn="0" w:lastRowFirstColumn="0" w:lastRowLastColumn="0"/>
            <w:tcW w:w="0" w:type="auto"/>
            <w:hideMark/>
          </w:tcPr>
          <w:p w14:paraId="3195B12E" w14:textId="77777777" w:rsidR="002D1CB2" w:rsidRPr="002D1CB2" w:rsidRDefault="002D1CB2" w:rsidP="002D1CB2">
            <w:pPr>
              <w:spacing w:before="0" w:line="240" w:lineRule="auto"/>
              <w:rPr>
                <w:rFonts w:cs="Times New Roman"/>
                <w:szCs w:val="24"/>
              </w:rPr>
            </w:pPr>
            <w:r w:rsidRPr="002D1CB2">
              <w:rPr>
                <w:rFonts w:cs="Times New Roman"/>
                <w:b/>
                <w:bCs/>
                <w:szCs w:val="24"/>
              </w:rPr>
              <w:t>Q8. Improves financial reporting accuracy</w:t>
            </w:r>
          </w:p>
        </w:tc>
        <w:tc>
          <w:tcPr>
            <w:tcW w:w="0" w:type="auto"/>
            <w:hideMark/>
          </w:tcPr>
          <w:p w14:paraId="56BB1271" w14:textId="77777777" w:rsidR="002D1CB2" w:rsidRPr="002D1CB2" w:rsidRDefault="002D1CB2" w:rsidP="002D1CB2">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2D1CB2">
              <w:rPr>
                <w:rFonts w:cs="Times New Roman"/>
                <w:szCs w:val="24"/>
              </w:rPr>
              <w:t>30 (25.0%)</w:t>
            </w:r>
          </w:p>
        </w:tc>
        <w:tc>
          <w:tcPr>
            <w:tcW w:w="0" w:type="auto"/>
            <w:hideMark/>
          </w:tcPr>
          <w:p w14:paraId="61BF65FF" w14:textId="77777777" w:rsidR="002D1CB2" w:rsidRPr="002D1CB2" w:rsidRDefault="002D1CB2" w:rsidP="002D1CB2">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2D1CB2">
              <w:rPr>
                <w:rFonts w:cs="Times New Roman"/>
                <w:szCs w:val="24"/>
              </w:rPr>
              <w:t>34 (28.3%)</w:t>
            </w:r>
          </w:p>
        </w:tc>
        <w:tc>
          <w:tcPr>
            <w:tcW w:w="0" w:type="auto"/>
            <w:hideMark/>
          </w:tcPr>
          <w:p w14:paraId="06B8C587" w14:textId="77777777" w:rsidR="002D1CB2" w:rsidRPr="002D1CB2" w:rsidRDefault="002D1CB2" w:rsidP="002D1CB2">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2D1CB2">
              <w:rPr>
                <w:rFonts w:cs="Times New Roman"/>
                <w:szCs w:val="24"/>
              </w:rPr>
              <w:t>34 (28.3%)</w:t>
            </w:r>
          </w:p>
        </w:tc>
        <w:tc>
          <w:tcPr>
            <w:tcW w:w="0" w:type="auto"/>
            <w:hideMark/>
          </w:tcPr>
          <w:p w14:paraId="797E7001" w14:textId="77777777" w:rsidR="002D1CB2" w:rsidRPr="002D1CB2" w:rsidRDefault="002D1CB2" w:rsidP="002D1CB2">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2D1CB2">
              <w:rPr>
                <w:rFonts w:cs="Times New Roman"/>
                <w:szCs w:val="24"/>
              </w:rPr>
              <w:t>22 (18.3%)</w:t>
            </w:r>
          </w:p>
        </w:tc>
        <w:tc>
          <w:tcPr>
            <w:tcW w:w="0" w:type="auto"/>
            <w:hideMark/>
          </w:tcPr>
          <w:p w14:paraId="029BDDC3" w14:textId="77777777" w:rsidR="002D1CB2" w:rsidRPr="002D1CB2" w:rsidRDefault="002D1CB2" w:rsidP="002D1CB2">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2D1CB2">
              <w:rPr>
                <w:rFonts w:cs="Times New Roman"/>
                <w:szCs w:val="24"/>
              </w:rPr>
              <w:t>120</w:t>
            </w:r>
          </w:p>
        </w:tc>
      </w:tr>
      <w:tr w:rsidR="002D1CB2" w:rsidRPr="002D1CB2" w14:paraId="7A5473AF" w14:textId="77777777" w:rsidTr="00C814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532A719" w14:textId="77777777" w:rsidR="002D1CB2" w:rsidRPr="002D1CB2" w:rsidRDefault="002D1CB2" w:rsidP="002D1CB2">
            <w:pPr>
              <w:spacing w:before="0" w:line="240" w:lineRule="auto"/>
              <w:rPr>
                <w:rFonts w:cs="Times New Roman"/>
                <w:szCs w:val="24"/>
              </w:rPr>
            </w:pPr>
            <w:r w:rsidRPr="002D1CB2">
              <w:rPr>
                <w:rFonts w:cs="Times New Roman"/>
                <w:b/>
                <w:bCs/>
                <w:szCs w:val="24"/>
              </w:rPr>
              <w:t>Q9. Supports compliance with regulations</w:t>
            </w:r>
          </w:p>
        </w:tc>
        <w:tc>
          <w:tcPr>
            <w:tcW w:w="0" w:type="auto"/>
            <w:hideMark/>
          </w:tcPr>
          <w:p w14:paraId="734148CA" w14:textId="77777777" w:rsidR="002D1CB2" w:rsidRPr="002D1CB2" w:rsidRDefault="002D1CB2" w:rsidP="002D1CB2">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2D1CB2">
              <w:rPr>
                <w:rFonts w:cs="Times New Roman"/>
                <w:szCs w:val="24"/>
              </w:rPr>
              <w:t>28 (23.3%)</w:t>
            </w:r>
          </w:p>
        </w:tc>
        <w:tc>
          <w:tcPr>
            <w:tcW w:w="0" w:type="auto"/>
            <w:hideMark/>
          </w:tcPr>
          <w:p w14:paraId="2A925E00" w14:textId="77777777" w:rsidR="002D1CB2" w:rsidRPr="002D1CB2" w:rsidRDefault="002D1CB2" w:rsidP="002D1CB2">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2D1CB2">
              <w:rPr>
                <w:rFonts w:cs="Times New Roman"/>
                <w:szCs w:val="24"/>
              </w:rPr>
              <w:t>28 (23.3%)</w:t>
            </w:r>
          </w:p>
        </w:tc>
        <w:tc>
          <w:tcPr>
            <w:tcW w:w="0" w:type="auto"/>
            <w:hideMark/>
          </w:tcPr>
          <w:p w14:paraId="4C2D0023" w14:textId="77777777" w:rsidR="002D1CB2" w:rsidRPr="002D1CB2" w:rsidRDefault="002D1CB2" w:rsidP="002D1CB2">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2D1CB2">
              <w:rPr>
                <w:rFonts w:cs="Times New Roman"/>
                <w:szCs w:val="24"/>
              </w:rPr>
              <w:t>27 (22.5%)</w:t>
            </w:r>
          </w:p>
        </w:tc>
        <w:tc>
          <w:tcPr>
            <w:tcW w:w="0" w:type="auto"/>
            <w:hideMark/>
          </w:tcPr>
          <w:p w14:paraId="756B2C42" w14:textId="77777777" w:rsidR="002D1CB2" w:rsidRPr="002D1CB2" w:rsidRDefault="002D1CB2" w:rsidP="002D1CB2">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2D1CB2">
              <w:rPr>
                <w:rFonts w:cs="Times New Roman"/>
                <w:szCs w:val="24"/>
              </w:rPr>
              <w:t>37 (30.8%)</w:t>
            </w:r>
          </w:p>
        </w:tc>
        <w:tc>
          <w:tcPr>
            <w:tcW w:w="0" w:type="auto"/>
            <w:hideMark/>
          </w:tcPr>
          <w:p w14:paraId="2B8DCF3F" w14:textId="77777777" w:rsidR="002D1CB2" w:rsidRPr="002D1CB2" w:rsidRDefault="002D1CB2" w:rsidP="002D1CB2">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2D1CB2">
              <w:rPr>
                <w:rFonts w:cs="Times New Roman"/>
                <w:szCs w:val="24"/>
              </w:rPr>
              <w:t>120</w:t>
            </w:r>
          </w:p>
        </w:tc>
      </w:tr>
      <w:tr w:rsidR="002D1CB2" w:rsidRPr="002D1CB2" w14:paraId="590F0072" w14:textId="77777777" w:rsidTr="002D1CB2">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hideMark/>
          </w:tcPr>
          <w:p w14:paraId="14E6EB93" w14:textId="77777777" w:rsidR="002D1CB2" w:rsidRPr="002D1CB2" w:rsidRDefault="002D1CB2" w:rsidP="002D1CB2">
            <w:pPr>
              <w:spacing w:before="0" w:line="240" w:lineRule="auto"/>
              <w:rPr>
                <w:rFonts w:cs="Times New Roman"/>
                <w:szCs w:val="24"/>
              </w:rPr>
            </w:pPr>
            <w:r w:rsidRPr="002D1CB2">
              <w:rPr>
                <w:rFonts w:cs="Times New Roman"/>
                <w:b/>
                <w:bCs/>
                <w:szCs w:val="24"/>
              </w:rPr>
              <w:t>Q10. Reliable disaster recovery</w:t>
            </w:r>
          </w:p>
        </w:tc>
        <w:tc>
          <w:tcPr>
            <w:tcW w:w="0" w:type="auto"/>
            <w:tcBorders>
              <w:bottom w:val="single" w:sz="4" w:space="0" w:color="auto"/>
            </w:tcBorders>
            <w:hideMark/>
          </w:tcPr>
          <w:p w14:paraId="79E82890" w14:textId="77777777" w:rsidR="002D1CB2" w:rsidRPr="002D1CB2" w:rsidRDefault="002D1CB2" w:rsidP="002D1CB2">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2D1CB2">
              <w:rPr>
                <w:rFonts w:cs="Times New Roman"/>
                <w:szCs w:val="24"/>
              </w:rPr>
              <w:t>38 (31.7%)</w:t>
            </w:r>
          </w:p>
        </w:tc>
        <w:tc>
          <w:tcPr>
            <w:tcW w:w="0" w:type="auto"/>
            <w:tcBorders>
              <w:bottom w:val="single" w:sz="4" w:space="0" w:color="auto"/>
            </w:tcBorders>
            <w:hideMark/>
          </w:tcPr>
          <w:p w14:paraId="5A690510" w14:textId="77777777" w:rsidR="002D1CB2" w:rsidRPr="002D1CB2" w:rsidRDefault="002D1CB2" w:rsidP="002D1CB2">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2D1CB2">
              <w:rPr>
                <w:rFonts w:cs="Times New Roman"/>
                <w:szCs w:val="24"/>
              </w:rPr>
              <w:t>26 (21.7%)</w:t>
            </w:r>
          </w:p>
        </w:tc>
        <w:tc>
          <w:tcPr>
            <w:tcW w:w="0" w:type="auto"/>
            <w:tcBorders>
              <w:bottom w:val="single" w:sz="4" w:space="0" w:color="auto"/>
            </w:tcBorders>
            <w:hideMark/>
          </w:tcPr>
          <w:p w14:paraId="09F40E42" w14:textId="77777777" w:rsidR="002D1CB2" w:rsidRPr="002D1CB2" w:rsidRDefault="002D1CB2" w:rsidP="002D1CB2">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2D1CB2">
              <w:rPr>
                <w:rFonts w:cs="Times New Roman"/>
                <w:szCs w:val="24"/>
              </w:rPr>
              <w:t>28 (23.3%)</w:t>
            </w:r>
          </w:p>
        </w:tc>
        <w:tc>
          <w:tcPr>
            <w:tcW w:w="0" w:type="auto"/>
            <w:tcBorders>
              <w:bottom w:val="single" w:sz="4" w:space="0" w:color="auto"/>
            </w:tcBorders>
            <w:hideMark/>
          </w:tcPr>
          <w:p w14:paraId="72D3AC7A" w14:textId="77777777" w:rsidR="002D1CB2" w:rsidRPr="002D1CB2" w:rsidRDefault="002D1CB2" w:rsidP="002D1CB2">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2D1CB2">
              <w:rPr>
                <w:rFonts w:cs="Times New Roman"/>
                <w:szCs w:val="24"/>
              </w:rPr>
              <w:t>28 (23.3%)</w:t>
            </w:r>
          </w:p>
        </w:tc>
        <w:tc>
          <w:tcPr>
            <w:tcW w:w="0" w:type="auto"/>
            <w:tcBorders>
              <w:bottom w:val="single" w:sz="4" w:space="0" w:color="auto"/>
            </w:tcBorders>
            <w:hideMark/>
          </w:tcPr>
          <w:p w14:paraId="3D8CAE7F" w14:textId="77777777" w:rsidR="002D1CB2" w:rsidRPr="002D1CB2" w:rsidRDefault="002D1CB2" w:rsidP="002D1CB2">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2D1CB2">
              <w:rPr>
                <w:rFonts w:cs="Times New Roman"/>
                <w:szCs w:val="24"/>
              </w:rPr>
              <w:t>120</w:t>
            </w:r>
          </w:p>
        </w:tc>
      </w:tr>
    </w:tbl>
    <w:p w14:paraId="0DB2E3DE" w14:textId="260B8E10" w:rsidR="00FC4A1C" w:rsidRDefault="00FC4A1C" w:rsidP="00FC4A1C">
      <w:pPr>
        <w:rPr>
          <w:b/>
          <w:bCs/>
        </w:rPr>
      </w:pPr>
      <w:bookmarkStart w:id="4" w:name="_Toc196322105"/>
      <w:r>
        <w:rPr>
          <w:b/>
          <w:bCs/>
        </w:rPr>
        <w:t xml:space="preserve">4.13 </w:t>
      </w:r>
      <w:r w:rsidRPr="00FC4A1C">
        <w:rPr>
          <w:b/>
          <w:bCs/>
        </w:rPr>
        <w:t>Blockchain Technology and Financial Efficiency</w:t>
      </w:r>
      <w:bookmarkEnd w:id="4"/>
    </w:p>
    <w:p w14:paraId="16AB77B1" w14:textId="4A7C2176" w:rsidR="00FC4A1C" w:rsidRPr="00FC4A1C" w:rsidRDefault="00FC4A1C" w:rsidP="00FC4A1C">
      <w:pPr>
        <w:spacing w:before="0" w:line="240" w:lineRule="auto"/>
        <w:rPr>
          <w:b/>
          <w:bCs/>
        </w:rPr>
      </w:pPr>
      <w:r w:rsidRPr="00FC4A1C">
        <w:t>The survey reveals mixed perceptions about blockchain’s impact on financial efficiency. Respondents view scalability and transparency positively, with 55.0% and 55.8% respectively agreeing that blockchain enhances these aspects in financial operations. This indicates recognition of its ability to manage large-scale activities and provide transaction visibility, especially in donor-funded and regulated environments. However, views on blockchain’s role in improving financial security and streamlining donor funding are less favorable, with only 45.8% and 43.3% in agreement, and significant disagreement noted. Responses on reducing transaction costs, enabling secure data exchange, and enhancing transaction tracking were nearly evenly split, suggesting user uncertainty or mixed experiences with implementation. Donor trust emerged as the most divided aspect, reflecting inconsistent perceptions likely shaped by organizational context or limited blockchain exposure. Overall, the findings highlight both optimism and skepticism, revealing a need for more evidence and clarity on blockchain’s practical benefits in financial management</w:t>
      </w:r>
      <w:r w:rsidRPr="00FC4A1C">
        <w:rPr>
          <w:b/>
          <w:bCs/>
        </w:rPr>
        <w:t>.</w:t>
      </w:r>
    </w:p>
    <w:p w14:paraId="65A23DC3" w14:textId="2350B686" w:rsidR="00FC4A1C" w:rsidRPr="00F95B0A" w:rsidRDefault="00FC4A1C" w:rsidP="00FC4A1C">
      <w:pPr>
        <w:rPr>
          <w:b/>
          <w:bCs/>
          <w:szCs w:val="24"/>
        </w:rPr>
      </w:pPr>
      <w:r>
        <w:rPr>
          <w:b/>
          <w:bCs/>
          <w:szCs w:val="24"/>
        </w:rPr>
        <w:t xml:space="preserve">Table 3: </w:t>
      </w:r>
      <w:r w:rsidRPr="00F95B0A">
        <w:rPr>
          <w:b/>
          <w:bCs/>
          <w:szCs w:val="24"/>
        </w:rPr>
        <w:t>Blockchain Technology and Financial Efficiency</w:t>
      </w:r>
    </w:p>
    <w:tbl>
      <w:tblPr>
        <w:tblStyle w:val="PlainTable5"/>
        <w:tblW w:w="0" w:type="auto"/>
        <w:tblLook w:val="04A0" w:firstRow="1" w:lastRow="0" w:firstColumn="1" w:lastColumn="0" w:noHBand="0" w:noVBand="1"/>
      </w:tblPr>
      <w:tblGrid>
        <w:gridCol w:w="4344"/>
        <w:gridCol w:w="836"/>
        <w:gridCol w:w="1703"/>
        <w:gridCol w:w="1096"/>
        <w:gridCol w:w="1997"/>
      </w:tblGrid>
      <w:tr w:rsidR="00FC4A1C" w:rsidRPr="00FC4A1C" w14:paraId="5A96AAE9" w14:textId="77777777" w:rsidTr="00FC4A1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Borders>
              <w:top w:val="single" w:sz="4" w:space="0" w:color="auto"/>
            </w:tcBorders>
            <w:hideMark/>
          </w:tcPr>
          <w:p w14:paraId="1C284C8A" w14:textId="77777777" w:rsidR="00FC4A1C" w:rsidRPr="00FC4A1C" w:rsidRDefault="00FC4A1C" w:rsidP="00FC4A1C">
            <w:pPr>
              <w:spacing w:before="0" w:line="240" w:lineRule="auto"/>
              <w:rPr>
                <w:rFonts w:cs="Times New Roman"/>
                <w:b/>
                <w:bCs/>
                <w:szCs w:val="24"/>
              </w:rPr>
            </w:pPr>
            <w:r w:rsidRPr="00FC4A1C">
              <w:rPr>
                <w:rFonts w:cs="Times New Roman"/>
                <w:b/>
                <w:bCs/>
                <w:szCs w:val="24"/>
              </w:rPr>
              <w:lastRenderedPageBreak/>
              <w:t>Question</w:t>
            </w:r>
          </w:p>
        </w:tc>
        <w:tc>
          <w:tcPr>
            <w:tcW w:w="0" w:type="auto"/>
            <w:tcBorders>
              <w:top w:val="single" w:sz="4" w:space="0" w:color="auto"/>
            </w:tcBorders>
            <w:hideMark/>
          </w:tcPr>
          <w:p w14:paraId="510D16C9" w14:textId="77777777" w:rsidR="00FC4A1C" w:rsidRPr="00FC4A1C" w:rsidRDefault="00FC4A1C" w:rsidP="00FC4A1C">
            <w:pPr>
              <w:spacing w:before="0" w:line="240" w:lineRule="auto"/>
              <w:cnfStyle w:val="100000000000" w:firstRow="1" w:lastRow="0" w:firstColumn="0" w:lastColumn="0" w:oddVBand="0" w:evenVBand="0" w:oddHBand="0" w:evenHBand="0" w:firstRowFirstColumn="0" w:firstRowLastColumn="0" w:lastRowFirstColumn="0" w:lastRowLastColumn="0"/>
              <w:rPr>
                <w:rFonts w:cs="Times New Roman"/>
                <w:b/>
                <w:bCs/>
                <w:szCs w:val="24"/>
              </w:rPr>
            </w:pPr>
            <w:r w:rsidRPr="00FC4A1C">
              <w:rPr>
                <w:rFonts w:cs="Times New Roman"/>
                <w:b/>
                <w:bCs/>
                <w:szCs w:val="24"/>
              </w:rPr>
              <w:t>Agree</w:t>
            </w:r>
          </w:p>
        </w:tc>
        <w:tc>
          <w:tcPr>
            <w:tcW w:w="0" w:type="auto"/>
            <w:tcBorders>
              <w:top w:val="single" w:sz="4" w:space="0" w:color="auto"/>
            </w:tcBorders>
            <w:hideMark/>
          </w:tcPr>
          <w:p w14:paraId="7E2FEFE3" w14:textId="77777777" w:rsidR="00FC4A1C" w:rsidRPr="00FC4A1C" w:rsidRDefault="00FC4A1C" w:rsidP="00FC4A1C">
            <w:pPr>
              <w:spacing w:before="0" w:line="240" w:lineRule="auto"/>
              <w:cnfStyle w:val="100000000000" w:firstRow="1" w:lastRow="0" w:firstColumn="0" w:lastColumn="0" w:oddVBand="0" w:evenVBand="0" w:oddHBand="0" w:evenHBand="0" w:firstRowFirstColumn="0" w:firstRowLastColumn="0" w:lastRowFirstColumn="0" w:lastRowLastColumn="0"/>
              <w:rPr>
                <w:rFonts w:cs="Times New Roman"/>
                <w:b/>
                <w:bCs/>
                <w:szCs w:val="24"/>
              </w:rPr>
            </w:pPr>
            <w:r w:rsidRPr="00FC4A1C">
              <w:rPr>
                <w:rFonts w:cs="Times New Roman"/>
                <w:b/>
                <w:bCs/>
                <w:szCs w:val="24"/>
              </w:rPr>
              <w:t>Strongly Agree</w:t>
            </w:r>
          </w:p>
        </w:tc>
        <w:tc>
          <w:tcPr>
            <w:tcW w:w="0" w:type="auto"/>
            <w:tcBorders>
              <w:top w:val="single" w:sz="4" w:space="0" w:color="auto"/>
            </w:tcBorders>
            <w:hideMark/>
          </w:tcPr>
          <w:p w14:paraId="1012D3A0" w14:textId="77777777" w:rsidR="00FC4A1C" w:rsidRPr="00FC4A1C" w:rsidRDefault="00FC4A1C" w:rsidP="00FC4A1C">
            <w:pPr>
              <w:spacing w:before="0" w:line="240" w:lineRule="auto"/>
              <w:cnfStyle w:val="100000000000" w:firstRow="1" w:lastRow="0" w:firstColumn="0" w:lastColumn="0" w:oddVBand="0" w:evenVBand="0" w:oddHBand="0" w:evenHBand="0" w:firstRowFirstColumn="0" w:firstRowLastColumn="0" w:lastRowFirstColumn="0" w:lastRowLastColumn="0"/>
              <w:rPr>
                <w:rFonts w:cs="Times New Roman"/>
                <w:b/>
                <w:bCs/>
                <w:szCs w:val="24"/>
              </w:rPr>
            </w:pPr>
            <w:r w:rsidRPr="00FC4A1C">
              <w:rPr>
                <w:rFonts w:cs="Times New Roman"/>
                <w:b/>
                <w:bCs/>
                <w:szCs w:val="24"/>
              </w:rPr>
              <w:t>Disagree</w:t>
            </w:r>
          </w:p>
        </w:tc>
        <w:tc>
          <w:tcPr>
            <w:tcW w:w="0" w:type="auto"/>
            <w:tcBorders>
              <w:top w:val="single" w:sz="4" w:space="0" w:color="auto"/>
            </w:tcBorders>
            <w:hideMark/>
          </w:tcPr>
          <w:p w14:paraId="3D4D53DA" w14:textId="77777777" w:rsidR="00FC4A1C" w:rsidRPr="00FC4A1C" w:rsidRDefault="00FC4A1C" w:rsidP="00FC4A1C">
            <w:pPr>
              <w:spacing w:before="0" w:line="240" w:lineRule="auto"/>
              <w:cnfStyle w:val="100000000000" w:firstRow="1" w:lastRow="0" w:firstColumn="0" w:lastColumn="0" w:oddVBand="0" w:evenVBand="0" w:oddHBand="0" w:evenHBand="0" w:firstRowFirstColumn="0" w:firstRowLastColumn="0" w:lastRowFirstColumn="0" w:lastRowLastColumn="0"/>
              <w:rPr>
                <w:rFonts w:cs="Times New Roman"/>
                <w:b/>
                <w:bCs/>
                <w:szCs w:val="24"/>
              </w:rPr>
            </w:pPr>
            <w:r w:rsidRPr="00FC4A1C">
              <w:rPr>
                <w:rFonts w:cs="Times New Roman"/>
                <w:b/>
                <w:bCs/>
                <w:szCs w:val="24"/>
              </w:rPr>
              <w:t>Strongly Disagree</w:t>
            </w:r>
          </w:p>
        </w:tc>
      </w:tr>
      <w:tr w:rsidR="00FC4A1C" w:rsidRPr="00FC4A1C" w14:paraId="46C6E2CF" w14:textId="77777777" w:rsidTr="00C814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12788E1" w14:textId="77777777" w:rsidR="00FC4A1C" w:rsidRPr="00FC4A1C" w:rsidRDefault="00FC4A1C" w:rsidP="00FC4A1C">
            <w:pPr>
              <w:spacing w:before="0" w:line="240" w:lineRule="auto"/>
              <w:rPr>
                <w:rFonts w:cs="Times New Roman"/>
                <w:szCs w:val="24"/>
              </w:rPr>
            </w:pPr>
            <w:r w:rsidRPr="00FC4A1C">
              <w:rPr>
                <w:rFonts w:cs="Times New Roman"/>
                <w:b/>
                <w:bCs/>
                <w:szCs w:val="24"/>
              </w:rPr>
              <w:t>Q1. Improved Financial Security</w:t>
            </w:r>
          </w:p>
        </w:tc>
        <w:tc>
          <w:tcPr>
            <w:tcW w:w="0" w:type="auto"/>
            <w:hideMark/>
          </w:tcPr>
          <w:p w14:paraId="44BB1095" w14:textId="77777777" w:rsidR="00FC4A1C" w:rsidRPr="00FC4A1C" w:rsidRDefault="00FC4A1C" w:rsidP="00FC4A1C">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FC4A1C">
              <w:rPr>
                <w:rFonts w:cs="Times New Roman"/>
                <w:szCs w:val="24"/>
              </w:rPr>
              <w:t>18.3%</w:t>
            </w:r>
          </w:p>
        </w:tc>
        <w:tc>
          <w:tcPr>
            <w:tcW w:w="0" w:type="auto"/>
            <w:hideMark/>
          </w:tcPr>
          <w:p w14:paraId="5777ECBC" w14:textId="77777777" w:rsidR="00FC4A1C" w:rsidRPr="00FC4A1C" w:rsidRDefault="00FC4A1C" w:rsidP="00FC4A1C">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FC4A1C">
              <w:rPr>
                <w:rFonts w:cs="Times New Roman"/>
                <w:szCs w:val="24"/>
              </w:rPr>
              <w:t>27.5%</w:t>
            </w:r>
          </w:p>
        </w:tc>
        <w:tc>
          <w:tcPr>
            <w:tcW w:w="0" w:type="auto"/>
            <w:hideMark/>
          </w:tcPr>
          <w:p w14:paraId="2EC1C283" w14:textId="77777777" w:rsidR="00FC4A1C" w:rsidRPr="00FC4A1C" w:rsidRDefault="00FC4A1C" w:rsidP="00FC4A1C">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FC4A1C">
              <w:rPr>
                <w:rFonts w:cs="Times New Roman"/>
                <w:szCs w:val="24"/>
              </w:rPr>
              <w:t>33.3%</w:t>
            </w:r>
          </w:p>
        </w:tc>
        <w:tc>
          <w:tcPr>
            <w:tcW w:w="0" w:type="auto"/>
            <w:hideMark/>
          </w:tcPr>
          <w:p w14:paraId="5A4FE9BD" w14:textId="77777777" w:rsidR="00FC4A1C" w:rsidRPr="00FC4A1C" w:rsidRDefault="00FC4A1C" w:rsidP="00FC4A1C">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FC4A1C">
              <w:rPr>
                <w:rFonts w:cs="Times New Roman"/>
                <w:szCs w:val="24"/>
              </w:rPr>
              <w:t>20.8%</w:t>
            </w:r>
          </w:p>
        </w:tc>
      </w:tr>
      <w:tr w:rsidR="00FC4A1C" w:rsidRPr="00FC4A1C" w14:paraId="08681D9D" w14:textId="77777777" w:rsidTr="00C81456">
        <w:tc>
          <w:tcPr>
            <w:cnfStyle w:val="001000000000" w:firstRow="0" w:lastRow="0" w:firstColumn="1" w:lastColumn="0" w:oddVBand="0" w:evenVBand="0" w:oddHBand="0" w:evenHBand="0" w:firstRowFirstColumn="0" w:firstRowLastColumn="0" w:lastRowFirstColumn="0" w:lastRowLastColumn="0"/>
            <w:tcW w:w="0" w:type="auto"/>
            <w:hideMark/>
          </w:tcPr>
          <w:p w14:paraId="56F7EF4C" w14:textId="77777777" w:rsidR="00FC4A1C" w:rsidRPr="00FC4A1C" w:rsidRDefault="00FC4A1C" w:rsidP="00FC4A1C">
            <w:pPr>
              <w:spacing w:before="0" w:line="240" w:lineRule="auto"/>
              <w:rPr>
                <w:rFonts w:cs="Times New Roman"/>
                <w:szCs w:val="24"/>
              </w:rPr>
            </w:pPr>
            <w:r w:rsidRPr="00FC4A1C">
              <w:rPr>
                <w:rFonts w:cs="Times New Roman"/>
                <w:b/>
                <w:bCs/>
                <w:szCs w:val="24"/>
              </w:rPr>
              <w:t>Q2. Streamlining Donor Financing</w:t>
            </w:r>
          </w:p>
        </w:tc>
        <w:tc>
          <w:tcPr>
            <w:tcW w:w="0" w:type="auto"/>
            <w:hideMark/>
          </w:tcPr>
          <w:p w14:paraId="00A4171F" w14:textId="77777777" w:rsidR="00FC4A1C" w:rsidRPr="00FC4A1C" w:rsidRDefault="00FC4A1C" w:rsidP="00FC4A1C">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FC4A1C">
              <w:rPr>
                <w:rFonts w:cs="Times New Roman"/>
                <w:szCs w:val="24"/>
              </w:rPr>
              <w:t>22.5%</w:t>
            </w:r>
          </w:p>
        </w:tc>
        <w:tc>
          <w:tcPr>
            <w:tcW w:w="0" w:type="auto"/>
            <w:hideMark/>
          </w:tcPr>
          <w:p w14:paraId="3217B1F1" w14:textId="77777777" w:rsidR="00FC4A1C" w:rsidRPr="00FC4A1C" w:rsidRDefault="00FC4A1C" w:rsidP="00FC4A1C">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FC4A1C">
              <w:rPr>
                <w:rFonts w:cs="Times New Roman"/>
                <w:szCs w:val="24"/>
              </w:rPr>
              <w:t>20.8%</w:t>
            </w:r>
          </w:p>
        </w:tc>
        <w:tc>
          <w:tcPr>
            <w:tcW w:w="0" w:type="auto"/>
            <w:hideMark/>
          </w:tcPr>
          <w:p w14:paraId="52122E70" w14:textId="77777777" w:rsidR="00FC4A1C" w:rsidRPr="00FC4A1C" w:rsidRDefault="00FC4A1C" w:rsidP="00FC4A1C">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FC4A1C">
              <w:rPr>
                <w:rFonts w:cs="Times New Roman"/>
                <w:szCs w:val="24"/>
              </w:rPr>
              <w:t>27.5%</w:t>
            </w:r>
          </w:p>
        </w:tc>
        <w:tc>
          <w:tcPr>
            <w:tcW w:w="0" w:type="auto"/>
            <w:hideMark/>
          </w:tcPr>
          <w:p w14:paraId="1E8C5365" w14:textId="77777777" w:rsidR="00FC4A1C" w:rsidRPr="00FC4A1C" w:rsidRDefault="00FC4A1C" w:rsidP="00FC4A1C">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FC4A1C">
              <w:rPr>
                <w:rFonts w:cs="Times New Roman"/>
                <w:szCs w:val="24"/>
              </w:rPr>
              <w:t>29.2%</w:t>
            </w:r>
          </w:p>
        </w:tc>
      </w:tr>
      <w:tr w:rsidR="00FC4A1C" w:rsidRPr="00FC4A1C" w14:paraId="636429AD" w14:textId="77777777" w:rsidTr="00C814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D44D44C" w14:textId="77777777" w:rsidR="00FC4A1C" w:rsidRPr="00FC4A1C" w:rsidRDefault="00FC4A1C" w:rsidP="00FC4A1C">
            <w:pPr>
              <w:spacing w:before="0" w:line="240" w:lineRule="auto"/>
              <w:rPr>
                <w:rFonts w:cs="Times New Roman"/>
                <w:szCs w:val="24"/>
              </w:rPr>
            </w:pPr>
            <w:r w:rsidRPr="00FC4A1C">
              <w:rPr>
                <w:rFonts w:cs="Times New Roman"/>
                <w:b/>
                <w:bCs/>
                <w:szCs w:val="24"/>
              </w:rPr>
              <w:t>Q3. Reducing Transaction Costs</w:t>
            </w:r>
          </w:p>
        </w:tc>
        <w:tc>
          <w:tcPr>
            <w:tcW w:w="0" w:type="auto"/>
            <w:hideMark/>
          </w:tcPr>
          <w:p w14:paraId="74912D4A" w14:textId="77777777" w:rsidR="00FC4A1C" w:rsidRPr="00FC4A1C" w:rsidRDefault="00FC4A1C" w:rsidP="00FC4A1C">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FC4A1C">
              <w:rPr>
                <w:rFonts w:cs="Times New Roman"/>
                <w:szCs w:val="24"/>
              </w:rPr>
              <w:t>20.8%</w:t>
            </w:r>
          </w:p>
        </w:tc>
        <w:tc>
          <w:tcPr>
            <w:tcW w:w="0" w:type="auto"/>
            <w:hideMark/>
          </w:tcPr>
          <w:p w14:paraId="00836D3E" w14:textId="77777777" w:rsidR="00FC4A1C" w:rsidRPr="00FC4A1C" w:rsidRDefault="00FC4A1C" w:rsidP="00FC4A1C">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FC4A1C">
              <w:rPr>
                <w:rFonts w:cs="Times New Roman"/>
                <w:szCs w:val="24"/>
              </w:rPr>
              <w:t>27.5%</w:t>
            </w:r>
          </w:p>
        </w:tc>
        <w:tc>
          <w:tcPr>
            <w:tcW w:w="0" w:type="auto"/>
            <w:hideMark/>
          </w:tcPr>
          <w:p w14:paraId="4D0292A7" w14:textId="77777777" w:rsidR="00FC4A1C" w:rsidRPr="00FC4A1C" w:rsidRDefault="00FC4A1C" w:rsidP="00FC4A1C">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FC4A1C">
              <w:rPr>
                <w:rFonts w:cs="Times New Roman"/>
                <w:szCs w:val="24"/>
              </w:rPr>
              <w:t>28.3%</w:t>
            </w:r>
          </w:p>
        </w:tc>
        <w:tc>
          <w:tcPr>
            <w:tcW w:w="0" w:type="auto"/>
            <w:hideMark/>
          </w:tcPr>
          <w:p w14:paraId="76C0F42C" w14:textId="77777777" w:rsidR="00FC4A1C" w:rsidRPr="00FC4A1C" w:rsidRDefault="00FC4A1C" w:rsidP="00FC4A1C">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FC4A1C">
              <w:rPr>
                <w:rFonts w:cs="Times New Roman"/>
                <w:szCs w:val="24"/>
              </w:rPr>
              <w:t>23.3%</w:t>
            </w:r>
          </w:p>
        </w:tc>
      </w:tr>
      <w:tr w:rsidR="00FC4A1C" w:rsidRPr="00FC4A1C" w14:paraId="156E82C9" w14:textId="77777777" w:rsidTr="00C81456">
        <w:tc>
          <w:tcPr>
            <w:cnfStyle w:val="001000000000" w:firstRow="0" w:lastRow="0" w:firstColumn="1" w:lastColumn="0" w:oddVBand="0" w:evenVBand="0" w:oddHBand="0" w:evenHBand="0" w:firstRowFirstColumn="0" w:firstRowLastColumn="0" w:lastRowFirstColumn="0" w:lastRowLastColumn="0"/>
            <w:tcW w:w="0" w:type="auto"/>
            <w:hideMark/>
          </w:tcPr>
          <w:p w14:paraId="149FCF0E" w14:textId="77777777" w:rsidR="00FC4A1C" w:rsidRPr="00FC4A1C" w:rsidRDefault="00FC4A1C" w:rsidP="00FC4A1C">
            <w:pPr>
              <w:spacing w:before="0" w:line="240" w:lineRule="auto"/>
              <w:rPr>
                <w:rFonts w:cs="Times New Roman"/>
                <w:szCs w:val="24"/>
              </w:rPr>
            </w:pPr>
            <w:r w:rsidRPr="00FC4A1C">
              <w:rPr>
                <w:rFonts w:cs="Times New Roman"/>
                <w:b/>
                <w:bCs/>
                <w:szCs w:val="24"/>
              </w:rPr>
              <w:t>Q4. Transparency in Financial Reporting</w:t>
            </w:r>
          </w:p>
        </w:tc>
        <w:tc>
          <w:tcPr>
            <w:tcW w:w="0" w:type="auto"/>
            <w:hideMark/>
          </w:tcPr>
          <w:p w14:paraId="51D71391" w14:textId="77777777" w:rsidR="00FC4A1C" w:rsidRPr="00FC4A1C" w:rsidRDefault="00FC4A1C" w:rsidP="00FC4A1C">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FC4A1C">
              <w:rPr>
                <w:rFonts w:cs="Times New Roman"/>
                <w:szCs w:val="24"/>
              </w:rPr>
              <w:t>23.3%</w:t>
            </w:r>
          </w:p>
        </w:tc>
        <w:tc>
          <w:tcPr>
            <w:tcW w:w="0" w:type="auto"/>
            <w:hideMark/>
          </w:tcPr>
          <w:p w14:paraId="43168674" w14:textId="77777777" w:rsidR="00FC4A1C" w:rsidRPr="00FC4A1C" w:rsidRDefault="00FC4A1C" w:rsidP="00FC4A1C">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FC4A1C">
              <w:rPr>
                <w:rFonts w:cs="Times New Roman"/>
                <w:szCs w:val="24"/>
              </w:rPr>
              <w:t>32.5%</w:t>
            </w:r>
          </w:p>
        </w:tc>
        <w:tc>
          <w:tcPr>
            <w:tcW w:w="0" w:type="auto"/>
            <w:hideMark/>
          </w:tcPr>
          <w:p w14:paraId="5230F5BE" w14:textId="77777777" w:rsidR="00FC4A1C" w:rsidRPr="00FC4A1C" w:rsidRDefault="00FC4A1C" w:rsidP="00FC4A1C">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FC4A1C">
              <w:rPr>
                <w:rFonts w:cs="Times New Roman"/>
                <w:szCs w:val="24"/>
              </w:rPr>
              <w:t>25.8%</w:t>
            </w:r>
          </w:p>
        </w:tc>
        <w:tc>
          <w:tcPr>
            <w:tcW w:w="0" w:type="auto"/>
            <w:hideMark/>
          </w:tcPr>
          <w:p w14:paraId="3B505F8D" w14:textId="77777777" w:rsidR="00FC4A1C" w:rsidRPr="00FC4A1C" w:rsidRDefault="00FC4A1C" w:rsidP="00FC4A1C">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FC4A1C">
              <w:rPr>
                <w:rFonts w:cs="Times New Roman"/>
                <w:szCs w:val="24"/>
              </w:rPr>
              <w:t>18.3%</w:t>
            </w:r>
          </w:p>
        </w:tc>
      </w:tr>
      <w:tr w:rsidR="00FC4A1C" w:rsidRPr="00FC4A1C" w14:paraId="1275A19E" w14:textId="77777777" w:rsidTr="00C814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B9C1556" w14:textId="77777777" w:rsidR="00FC4A1C" w:rsidRPr="00FC4A1C" w:rsidRDefault="00FC4A1C" w:rsidP="00FC4A1C">
            <w:pPr>
              <w:spacing w:before="0" w:line="240" w:lineRule="auto"/>
              <w:rPr>
                <w:rFonts w:cs="Times New Roman"/>
                <w:szCs w:val="24"/>
              </w:rPr>
            </w:pPr>
            <w:r w:rsidRPr="00FC4A1C">
              <w:rPr>
                <w:rFonts w:cs="Times New Roman"/>
                <w:b/>
                <w:bCs/>
                <w:szCs w:val="24"/>
              </w:rPr>
              <w:t>Q5. Enhancing Donor Trust</w:t>
            </w:r>
          </w:p>
        </w:tc>
        <w:tc>
          <w:tcPr>
            <w:tcW w:w="0" w:type="auto"/>
            <w:hideMark/>
          </w:tcPr>
          <w:p w14:paraId="3DEB668C" w14:textId="77777777" w:rsidR="00FC4A1C" w:rsidRPr="00FC4A1C" w:rsidRDefault="00FC4A1C" w:rsidP="00FC4A1C">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FC4A1C">
              <w:rPr>
                <w:rFonts w:cs="Times New Roman"/>
                <w:szCs w:val="24"/>
              </w:rPr>
              <w:t>20.0%</w:t>
            </w:r>
          </w:p>
        </w:tc>
        <w:tc>
          <w:tcPr>
            <w:tcW w:w="0" w:type="auto"/>
            <w:hideMark/>
          </w:tcPr>
          <w:p w14:paraId="0AC9EEB1" w14:textId="77777777" w:rsidR="00FC4A1C" w:rsidRPr="00FC4A1C" w:rsidRDefault="00FC4A1C" w:rsidP="00FC4A1C">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FC4A1C">
              <w:rPr>
                <w:rFonts w:cs="Times New Roman"/>
                <w:szCs w:val="24"/>
              </w:rPr>
              <w:t>26.7%</w:t>
            </w:r>
          </w:p>
        </w:tc>
        <w:tc>
          <w:tcPr>
            <w:tcW w:w="0" w:type="auto"/>
            <w:hideMark/>
          </w:tcPr>
          <w:p w14:paraId="7FD6AA01" w14:textId="77777777" w:rsidR="00FC4A1C" w:rsidRPr="00FC4A1C" w:rsidRDefault="00FC4A1C" w:rsidP="00FC4A1C">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FC4A1C">
              <w:rPr>
                <w:rFonts w:cs="Times New Roman"/>
                <w:szCs w:val="24"/>
              </w:rPr>
              <w:t>26.7%</w:t>
            </w:r>
          </w:p>
        </w:tc>
        <w:tc>
          <w:tcPr>
            <w:tcW w:w="0" w:type="auto"/>
            <w:hideMark/>
          </w:tcPr>
          <w:p w14:paraId="6944E0EC" w14:textId="77777777" w:rsidR="00FC4A1C" w:rsidRPr="00FC4A1C" w:rsidRDefault="00FC4A1C" w:rsidP="00FC4A1C">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FC4A1C">
              <w:rPr>
                <w:rFonts w:cs="Times New Roman"/>
                <w:szCs w:val="24"/>
              </w:rPr>
              <w:t>26.7%</w:t>
            </w:r>
          </w:p>
        </w:tc>
      </w:tr>
      <w:tr w:rsidR="00FC4A1C" w:rsidRPr="00FC4A1C" w14:paraId="54B1DA4C" w14:textId="77777777" w:rsidTr="00C81456">
        <w:tc>
          <w:tcPr>
            <w:cnfStyle w:val="001000000000" w:firstRow="0" w:lastRow="0" w:firstColumn="1" w:lastColumn="0" w:oddVBand="0" w:evenVBand="0" w:oddHBand="0" w:evenHBand="0" w:firstRowFirstColumn="0" w:firstRowLastColumn="0" w:lastRowFirstColumn="0" w:lastRowLastColumn="0"/>
            <w:tcW w:w="0" w:type="auto"/>
            <w:hideMark/>
          </w:tcPr>
          <w:p w14:paraId="45C5E2BF" w14:textId="77777777" w:rsidR="00FC4A1C" w:rsidRPr="00FC4A1C" w:rsidRDefault="00FC4A1C" w:rsidP="00FC4A1C">
            <w:pPr>
              <w:spacing w:before="0" w:line="240" w:lineRule="auto"/>
              <w:rPr>
                <w:rFonts w:cs="Times New Roman"/>
                <w:szCs w:val="24"/>
              </w:rPr>
            </w:pPr>
            <w:r w:rsidRPr="00FC4A1C">
              <w:rPr>
                <w:rFonts w:cs="Times New Roman"/>
                <w:b/>
                <w:bCs/>
                <w:szCs w:val="24"/>
              </w:rPr>
              <w:t>Q6. Secure Data Exchange</w:t>
            </w:r>
          </w:p>
        </w:tc>
        <w:tc>
          <w:tcPr>
            <w:tcW w:w="0" w:type="auto"/>
            <w:hideMark/>
          </w:tcPr>
          <w:p w14:paraId="539883A4" w14:textId="77777777" w:rsidR="00FC4A1C" w:rsidRPr="00FC4A1C" w:rsidRDefault="00FC4A1C" w:rsidP="00FC4A1C">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FC4A1C">
              <w:rPr>
                <w:rFonts w:cs="Times New Roman"/>
                <w:szCs w:val="24"/>
              </w:rPr>
              <w:t>25.8%</w:t>
            </w:r>
          </w:p>
        </w:tc>
        <w:tc>
          <w:tcPr>
            <w:tcW w:w="0" w:type="auto"/>
            <w:hideMark/>
          </w:tcPr>
          <w:p w14:paraId="1CFF04A5" w14:textId="77777777" w:rsidR="00FC4A1C" w:rsidRPr="00FC4A1C" w:rsidRDefault="00FC4A1C" w:rsidP="00FC4A1C">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FC4A1C">
              <w:rPr>
                <w:rFonts w:cs="Times New Roman"/>
                <w:szCs w:val="24"/>
              </w:rPr>
              <w:t>22.5%</w:t>
            </w:r>
          </w:p>
        </w:tc>
        <w:tc>
          <w:tcPr>
            <w:tcW w:w="0" w:type="auto"/>
            <w:hideMark/>
          </w:tcPr>
          <w:p w14:paraId="7E61EE27" w14:textId="77777777" w:rsidR="00FC4A1C" w:rsidRPr="00FC4A1C" w:rsidRDefault="00FC4A1C" w:rsidP="00FC4A1C">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FC4A1C">
              <w:rPr>
                <w:rFonts w:cs="Times New Roman"/>
                <w:szCs w:val="24"/>
              </w:rPr>
              <w:t>23.3%</w:t>
            </w:r>
          </w:p>
        </w:tc>
        <w:tc>
          <w:tcPr>
            <w:tcW w:w="0" w:type="auto"/>
            <w:hideMark/>
          </w:tcPr>
          <w:p w14:paraId="0DFA4190" w14:textId="77777777" w:rsidR="00FC4A1C" w:rsidRPr="00FC4A1C" w:rsidRDefault="00FC4A1C" w:rsidP="00FC4A1C">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FC4A1C">
              <w:rPr>
                <w:rFonts w:cs="Times New Roman"/>
                <w:szCs w:val="24"/>
              </w:rPr>
              <w:t>28.3%</w:t>
            </w:r>
          </w:p>
        </w:tc>
      </w:tr>
      <w:tr w:rsidR="00FC4A1C" w:rsidRPr="00FC4A1C" w14:paraId="0268A680" w14:textId="77777777" w:rsidTr="00C814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6107D29" w14:textId="77777777" w:rsidR="00FC4A1C" w:rsidRPr="00FC4A1C" w:rsidRDefault="00FC4A1C" w:rsidP="00FC4A1C">
            <w:pPr>
              <w:spacing w:before="0" w:line="240" w:lineRule="auto"/>
              <w:rPr>
                <w:rFonts w:cs="Times New Roman"/>
                <w:szCs w:val="24"/>
              </w:rPr>
            </w:pPr>
            <w:r w:rsidRPr="00FC4A1C">
              <w:rPr>
                <w:rFonts w:cs="Times New Roman"/>
                <w:b/>
                <w:bCs/>
                <w:szCs w:val="24"/>
              </w:rPr>
              <w:t>Q7. Efficient Transaction Tracking</w:t>
            </w:r>
          </w:p>
        </w:tc>
        <w:tc>
          <w:tcPr>
            <w:tcW w:w="0" w:type="auto"/>
            <w:hideMark/>
          </w:tcPr>
          <w:p w14:paraId="019E68C9" w14:textId="77777777" w:rsidR="00FC4A1C" w:rsidRPr="00FC4A1C" w:rsidRDefault="00FC4A1C" w:rsidP="00FC4A1C">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FC4A1C">
              <w:rPr>
                <w:rFonts w:cs="Times New Roman"/>
                <w:szCs w:val="24"/>
              </w:rPr>
              <w:t>20.0%</w:t>
            </w:r>
          </w:p>
        </w:tc>
        <w:tc>
          <w:tcPr>
            <w:tcW w:w="0" w:type="auto"/>
            <w:hideMark/>
          </w:tcPr>
          <w:p w14:paraId="3526A729" w14:textId="77777777" w:rsidR="00FC4A1C" w:rsidRPr="00FC4A1C" w:rsidRDefault="00FC4A1C" w:rsidP="00FC4A1C">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FC4A1C">
              <w:rPr>
                <w:rFonts w:cs="Times New Roman"/>
                <w:szCs w:val="24"/>
              </w:rPr>
              <w:t>27.5%</w:t>
            </w:r>
          </w:p>
        </w:tc>
        <w:tc>
          <w:tcPr>
            <w:tcW w:w="0" w:type="auto"/>
            <w:hideMark/>
          </w:tcPr>
          <w:p w14:paraId="26E795F5" w14:textId="77777777" w:rsidR="00FC4A1C" w:rsidRPr="00FC4A1C" w:rsidRDefault="00FC4A1C" w:rsidP="00FC4A1C">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FC4A1C">
              <w:rPr>
                <w:rFonts w:cs="Times New Roman"/>
                <w:szCs w:val="24"/>
              </w:rPr>
              <w:t>30.8%</w:t>
            </w:r>
          </w:p>
        </w:tc>
        <w:tc>
          <w:tcPr>
            <w:tcW w:w="0" w:type="auto"/>
            <w:hideMark/>
          </w:tcPr>
          <w:p w14:paraId="1D70909D" w14:textId="77777777" w:rsidR="00FC4A1C" w:rsidRPr="00FC4A1C" w:rsidRDefault="00FC4A1C" w:rsidP="00FC4A1C">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FC4A1C">
              <w:rPr>
                <w:rFonts w:cs="Times New Roman"/>
                <w:szCs w:val="24"/>
              </w:rPr>
              <w:t>21.7%</w:t>
            </w:r>
          </w:p>
        </w:tc>
      </w:tr>
      <w:tr w:rsidR="00FC4A1C" w:rsidRPr="00FC4A1C" w14:paraId="774BCA2F" w14:textId="77777777" w:rsidTr="00C81456">
        <w:tc>
          <w:tcPr>
            <w:cnfStyle w:val="001000000000" w:firstRow="0" w:lastRow="0" w:firstColumn="1" w:lastColumn="0" w:oddVBand="0" w:evenVBand="0" w:oddHBand="0" w:evenHBand="0" w:firstRowFirstColumn="0" w:firstRowLastColumn="0" w:lastRowFirstColumn="0" w:lastRowLastColumn="0"/>
            <w:tcW w:w="0" w:type="auto"/>
            <w:hideMark/>
          </w:tcPr>
          <w:p w14:paraId="03C834F6" w14:textId="77777777" w:rsidR="00FC4A1C" w:rsidRPr="00FC4A1C" w:rsidRDefault="00FC4A1C" w:rsidP="00FC4A1C">
            <w:pPr>
              <w:spacing w:before="0" w:line="240" w:lineRule="auto"/>
              <w:rPr>
                <w:rFonts w:cs="Times New Roman"/>
                <w:szCs w:val="24"/>
              </w:rPr>
            </w:pPr>
            <w:r w:rsidRPr="00FC4A1C">
              <w:rPr>
                <w:rFonts w:cs="Times New Roman"/>
                <w:b/>
                <w:bCs/>
                <w:szCs w:val="24"/>
              </w:rPr>
              <w:t>Q8. Predictability of Financial Outcomes</w:t>
            </w:r>
          </w:p>
        </w:tc>
        <w:tc>
          <w:tcPr>
            <w:tcW w:w="0" w:type="auto"/>
            <w:hideMark/>
          </w:tcPr>
          <w:p w14:paraId="32A482E5" w14:textId="77777777" w:rsidR="00FC4A1C" w:rsidRPr="00FC4A1C" w:rsidRDefault="00FC4A1C" w:rsidP="00FC4A1C">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FC4A1C">
              <w:rPr>
                <w:rFonts w:cs="Times New Roman"/>
                <w:szCs w:val="24"/>
              </w:rPr>
              <w:t>21.7%</w:t>
            </w:r>
          </w:p>
        </w:tc>
        <w:tc>
          <w:tcPr>
            <w:tcW w:w="0" w:type="auto"/>
            <w:hideMark/>
          </w:tcPr>
          <w:p w14:paraId="6C3E62E2" w14:textId="77777777" w:rsidR="00FC4A1C" w:rsidRPr="00FC4A1C" w:rsidRDefault="00FC4A1C" w:rsidP="00FC4A1C">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FC4A1C">
              <w:rPr>
                <w:rFonts w:cs="Times New Roman"/>
                <w:szCs w:val="24"/>
              </w:rPr>
              <w:t>22.5%</w:t>
            </w:r>
          </w:p>
        </w:tc>
        <w:tc>
          <w:tcPr>
            <w:tcW w:w="0" w:type="auto"/>
            <w:hideMark/>
          </w:tcPr>
          <w:p w14:paraId="30646D4A" w14:textId="77777777" w:rsidR="00FC4A1C" w:rsidRPr="00FC4A1C" w:rsidRDefault="00FC4A1C" w:rsidP="00FC4A1C">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FC4A1C">
              <w:rPr>
                <w:rFonts w:cs="Times New Roman"/>
                <w:szCs w:val="24"/>
              </w:rPr>
              <w:t>31.7%</w:t>
            </w:r>
          </w:p>
        </w:tc>
        <w:tc>
          <w:tcPr>
            <w:tcW w:w="0" w:type="auto"/>
            <w:hideMark/>
          </w:tcPr>
          <w:p w14:paraId="17C18D05" w14:textId="77777777" w:rsidR="00FC4A1C" w:rsidRPr="00FC4A1C" w:rsidRDefault="00FC4A1C" w:rsidP="00FC4A1C">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FC4A1C">
              <w:rPr>
                <w:rFonts w:cs="Times New Roman"/>
                <w:szCs w:val="24"/>
              </w:rPr>
              <w:t>24.2%</w:t>
            </w:r>
          </w:p>
        </w:tc>
      </w:tr>
      <w:tr w:rsidR="00FC4A1C" w:rsidRPr="00FC4A1C" w14:paraId="71260083" w14:textId="77777777" w:rsidTr="00C814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1987751" w14:textId="77777777" w:rsidR="00FC4A1C" w:rsidRPr="00FC4A1C" w:rsidRDefault="00FC4A1C" w:rsidP="00FC4A1C">
            <w:pPr>
              <w:spacing w:before="0" w:line="240" w:lineRule="auto"/>
              <w:rPr>
                <w:rFonts w:cs="Times New Roman"/>
                <w:szCs w:val="24"/>
              </w:rPr>
            </w:pPr>
            <w:r w:rsidRPr="00FC4A1C">
              <w:rPr>
                <w:rFonts w:cs="Times New Roman"/>
                <w:b/>
                <w:bCs/>
                <w:szCs w:val="24"/>
              </w:rPr>
              <w:t>Q9. Regulatory Compliance</w:t>
            </w:r>
          </w:p>
        </w:tc>
        <w:tc>
          <w:tcPr>
            <w:tcW w:w="0" w:type="auto"/>
            <w:hideMark/>
          </w:tcPr>
          <w:p w14:paraId="41263D36" w14:textId="77777777" w:rsidR="00FC4A1C" w:rsidRPr="00FC4A1C" w:rsidRDefault="00FC4A1C" w:rsidP="00FC4A1C">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FC4A1C">
              <w:rPr>
                <w:rFonts w:cs="Times New Roman"/>
                <w:szCs w:val="24"/>
              </w:rPr>
              <w:t>24.2%</w:t>
            </w:r>
          </w:p>
        </w:tc>
        <w:tc>
          <w:tcPr>
            <w:tcW w:w="0" w:type="auto"/>
            <w:hideMark/>
          </w:tcPr>
          <w:p w14:paraId="730711D6" w14:textId="77777777" w:rsidR="00FC4A1C" w:rsidRPr="00FC4A1C" w:rsidRDefault="00FC4A1C" w:rsidP="00FC4A1C">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FC4A1C">
              <w:rPr>
                <w:rFonts w:cs="Times New Roman"/>
                <w:szCs w:val="24"/>
              </w:rPr>
              <w:t>29.2%</w:t>
            </w:r>
          </w:p>
        </w:tc>
        <w:tc>
          <w:tcPr>
            <w:tcW w:w="0" w:type="auto"/>
            <w:hideMark/>
          </w:tcPr>
          <w:p w14:paraId="71443B0C" w14:textId="77777777" w:rsidR="00FC4A1C" w:rsidRPr="00FC4A1C" w:rsidRDefault="00FC4A1C" w:rsidP="00FC4A1C">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FC4A1C">
              <w:rPr>
                <w:rFonts w:cs="Times New Roman"/>
                <w:szCs w:val="24"/>
              </w:rPr>
              <w:t>20.0%</w:t>
            </w:r>
          </w:p>
        </w:tc>
        <w:tc>
          <w:tcPr>
            <w:tcW w:w="0" w:type="auto"/>
            <w:hideMark/>
          </w:tcPr>
          <w:p w14:paraId="619A2262" w14:textId="77777777" w:rsidR="00FC4A1C" w:rsidRPr="00FC4A1C" w:rsidRDefault="00FC4A1C" w:rsidP="00FC4A1C">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FC4A1C">
              <w:rPr>
                <w:rFonts w:cs="Times New Roman"/>
                <w:szCs w:val="24"/>
              </w:rPr>
              <w:t>26.7%</w:t>
            </w:r>
          </w:p>
        </w:tc>
      </w:tr>
      <w:tr w:rsidR="00FC4A1C" w:rsidRPr="00FC4A1C" w14:paraId="4FBBF8F3" w14:textId="77777777" w:rsidTr="00FC4A1C">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hideMark/>
          </w:tcPr>
          <w:p w14:paraId="59EE858B" w14:textId="77777777" w:rsidR="00FC4A1C" w:rsidRPr="00FC4A1C" w:rsidRDefault="00FC4A1C" w:rsidP="00FC4A1C">
            <w:pPr>
              <w:spacing w:before="0" w:line="240" w:lineRule="auto"/>
              <w:rPr>
                <w:rFonts w:cs="Times New Roman"/>
                <w:szCs w:val="24"/>
              </w:rPr>
            </w:pPr>
            <w:r w:rsidRPr="00FC4A1C">
              <w:rPr>
                <w:rFonts w:cs="Times New Roman"/>
                <w:b/>
                <w:bCs/>
                <w:szCs w:val="24"/>
              </w:rPr>
              <w:t>Q10. Scalability for Financial Operations</w:t>
            </w:r>
          </w:p>
        </w:tc>
        <w:tc>
          <w:tcPr>
            <w:tcW w:w="0" w:type="auto"/>
            <w:tcBorders>
              <w:bottom w:val="single" w:sz="4" w:space="0" w:color="auto"/>
            </w:tcBorders>
            <w:hideMark/>
          </w:tcPr>
          <w:p w14:paraId="2E860B53" w14:textId="77777777" w:rsidR="00FC4A1C" w:rsidRPr="00FC4A1C" w:rsidRDefault="00FC4A1C" w:rsidP="00FC4A1C">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FC4A1C">
              <w:rPr>
                <w:rFonts w:cs="Times New Roman"/>
                <w:szCs w:val="24"/>
              </w:rPr>
              <w:t>32.5%</w:t>
            </w:r>
          </w:p>
        </w:tc>
        <w:tc>
          <w:tcPr>
            <w:tcW w:w="0" w:type="auto"/>
            <w:tcBorders>
              <w:bottom w:val="single" w:sz="4" w:space="0" w:color="auto"/>
            </w:tcBorders>
            <w:hideMark/>
          </w:tcPr>
          <w:p w14:paraId="676D4338" w14:textId="77777777" w:rsidR="00FC4A1C" w:rsidRPr="00FC4A1C" w:rsidRDefault="00FC4A1C" w:rsidP="00FC4A1C">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FC4A1C">
              <w:rPr>
                <w:rFonts w:cs="Times New Roman"/>
                <w:szCs w:val="24"/>
              </w:rPr>
              <w:t>22.5%</w:t>
            </w:r>
          </w:p>
        </w:tc>
        <w:tc>
          <w:tcPr>
            <w:tcW w:w="0" w:type="auto"/>
            <w:tcBorders>
              <w:bottom w:val="single" w:sz="4" w:space="0" w:color="auto"/>
            </w:tcBorders>
            <w:hideMark/>
          </w:tcPr>
          <w:p w14:paraId="65B8B3E7" w14:textId="77777777" w:rsidR="00FC4A1C" w:rsidRPr="00FC4A1C" w:rsidRDefault="00FC4A1C" w:rsidP="00FC4A1C">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FC4A1C">
              <w:rPr>
                <w:rFonts w:cs="Times New Roman"/>
                <w:szCs w:val="24"/>
              </w:rPr>
              <w:t>25.0%</w:t>
            </w:r>
          </w:p>
        </w:tc>
        <w:tc>
          <w:tcPr>
            <w:tcW w:w="0" w:type="auto"/>
            <w:tcBorders>
              <w:bottom w:val="single" w:sz="4" w:space="0" w:color="auto"/>
            </w:tcBorders>
            <w:hideMark/>
          </w:tcPr>
          <w:p w14:paraId="79DA88B8" w14:textId="77777777" w:rsidR="00FC4A1C" w:rsidRPr="00FC4A1C" w:rsidRDefault="00FC4A1C" w:rsidP="00FC4A1C">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FC4A1C">
              <w:rPr>
                <w:rFonts w:cs="Times New Roman"/>
                <w:szCs w:val="24"/>
              </w:rPr>
              <w:t>20.0%</w:t>
            </w:r>
          </w:p>
        </w:tc>
      </w:tr>
    </w:tbl>
    <w:p w14:paraId="380459C9" w14:textId="77777777" w:rsidR="002D1CB2" w:rsidRDefault="002D1CB2" w:rsidP="002D1CB2">
      <w:pPr>
        <w:spacing w:line="240" w:lineRule="auto"/>
      </w:pPr>
    </w:p>
    <w:p w14:paraId="6DEEB1CE" w14:textId="3B60412E" w:rsidR="00FC4A1C" w:rsidRDefault="00FC4A1C" w:rsidP="00FC4A1C">
      <w:pPr>
        <w:spacing w:line="240" w:lineRule="auto"/>
      </w:pPr>
      <w:r w:rsidRPr="00F95B0A">
        <w:rPr>
          <w:b/>
          <w:bCs/>
          <w:szCs w:val="24"/>
        </w:rPr>
        <w:t>Figure1</w:t>
      </w:r>
      <w:r>
        <w:rPr>
          <w:b/>
          <w:bCs/>
          <w:szCs w:val="24"/>
        </w:rPr>
        <w:t xml:space="preserve">: </w:t>
      </w:r>
      <w:r w:rsidRPr="00FC4A1C">
        <w:t xml:space="preserve">Graphical representation of average perception of staff on ERP, cloud-based accounting and Blockchain technology </w:t>
      </w:r>
    </w:p>
    <w:p w14:paraId="6440471F" w14:textId="79280B98" w:rsidR="00FC4A1C" w:rsidRPr="002D1CB2" w:rsidRDefault="00FC4A1C" w:rsidP="00FC4A1C">
      <w:pPr>
        <w:spacing w:line="240" w:lineRule="auto"/>
        <w:jc w:val="center"/>
      </w:pPr>
      <w:r w:rsidRPr="00F95B0A">
        <w:rPr>
          <w:noProof/>
          <w:szCs w:val="24"/>
        </w:rPr>
        <w:drawing>
          <wp:inline distT="0" distB="0" distL="0" distR="0" wp14:anchorId="7FD6066C" wp14:editId="7FE34D73">
            <wp:extent cx="4829175" cy="3819525"/>
            <wp:effectExtent l="0" t="0" r="9525" b="9525"/>
            <wp:docPr id="2059287433" name="Chart 1">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44823D88-35C3-7F8D-4537-8A6770D5DEF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bookmarkEnd w:id="3"/>
    <w:p w14:paraId="42C90784" w14:textId="77777777" w:rsidR="00FC4A1C" w:rsidRDefault="00FC4A1C">
      <w:pPr>
        <w:spacing w:before="0" w:after="160" w:line="259" w:lineRule="auto"/>
        <w:jc w:val="left"/>
        <w:rPr>
          <w:b/>
          <w:bCs/>
          <w:szCs w:val="24"/>
        </w:rPr>
      </w:pPr>
      <w:r>
        <w:rPr>
          <w:b/>
          <w:bCs/>
          <w:szCs w:val="24"/>
        </w:rPr>
        <w:br w:type="page"/>
      </w:r>
    </w:p>
    <w:p w14:paraId="0EAA2FBE" w14:textId="216BE1FA" w:rsidR="00FC4A1C" w:rsidRPr="00F95B0A" w:rsidRDefault="00FC4A1C" w:rsidP="00FC4A1C">
      <w:pPr>
        <w:spacing w:before="0" w:line="240" w:lineRule="auto"/>
        <w:rPr>
          <w:b/>
          <w:bCs/>
          <w:szCs w:val="24"/>
        </w:rPr>
      </w:pPr>
      <w:r w:rsidRPr="00F95B0A">
        <w:rPr>
          <w:b/>
          <w:bCs/>
          <w:szCs w:val="24"/>
        </w:rPr>
        <w:lastRenderedPageBreak/>
        <w:t xml:space="preserve">Figure 2 </w:t>
      </w:r>
      <w:r w:rsidRPr="00FC4A1C">
        <w:t>Summarized graphical representation of average perception of staff on ERP, cloud-based accounting and Blockchain technology</w:t>
      </w:r>
    </w:p>
    <w:p w14:paraId="31F63B87" w14:textId="77777777" w:rsidR="00FC4A1C" w:rsidRPr="00F95B0A" w:rsidRDefault="00FC4A1C" w:rsidP="00FC4A1C">
      <w:pPr>
        <w:jc w:val="center"/>
        <w:rPr>
          <w:szCs w:val="24"/>
        </w:rPr>
      </w:pPr>
      <w:r w:rsidRPr="00F95B0A">
        <w:rPr>
          <w:noProof/>
          <w:szCs w:val="24"/>
        </w:rPr>
        <w:drawing>
          <wp:inline distT="0" distB="0" distL="0" distR="0" wp14:anchorId="4E568A07" wp14:editId="68F9FC2B">
            <wp:extent cx="4572000" cy="2743200"/>
            <wp:effectExtent l="0" t="0" r="0" b="0"/>
            <wp:docPr id="1672215839" name="Chart 1">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9C4F6785-5662-AE61-BBE4-EDDD4A8B752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7BE4B35" w14:textId="09C6E291" w:rsidR="007F3E5B" w:rsidRPr="006320B7" w:rsidRDefault="007F3E5B" w:rsidP="007F3E5B">
      <w:pPr>
        <w:spacing w:before="0" w:line="240" w:lineRule="auto"/>
        <w:outlineLvl w:val="2"/>
        <w:rPr>
          <w:rFonts w:eastAsia="Times New Roman" w:cs="Times New Roman"/>
          <w:b/>
          <w:bCs/>
          <w:sz w:val="27"/>
          <w:szCs w:val="27"/>
          <w:highlight w:val="green"/>
        </w:rPr>
      </w:pPr>
      <w:r w:rsidRPr="007F3E5B">
        <w:rPr>
          <w:rFonts w:eastAsia="Times New Roman" w:cs="Times New Roman"/>
          <w:b/>
          <w:bCs/>
          <w:sz w:val="27"/>
          <w:szCs w:val="27"/>
          <w:highlight w:val="green"/>
        </w:rPr>
        <w:t xml:space="preserve">4.2 </w:t>
      </w:r>
      <w:r w:rsidRPr="006320B7">
        <w:rPr>
          <w:rFonts w:eastAsia="Times New Roman" w:cs="Times New Roman"/>
          <w:b/>
          <w:bCs/>
          <w:sz w:val="27"/>
          <w:szCs w:val="27"/>
          <w:highlight w:val="green"/>
        </w:rPr>
        <w:t>Correlation Analysis</w:t>
      </w:r>
    </w:p>
    <w:p w14:paraId="5A5828D0" w14:textId="7C8EE514" w:rsidR="007F3E5B" w:rsidRPr="007F3E5B" w:rsidRDefault="007F3E5B" w:rsidP="007F3E5B">
      <w:pPr>
        <w:spacing w:before="0" w:line="240" w:lineRule="auto"/>
        <w:rPr>
          <w:rFonts w:eastAsia="Times New Roman" w:cs="Times New Roman"/>
          <w:szCs w:val="24"/>
          <w:highlight w:val="green"/>
        </w:rPr>
      </w:pPr>
      <w:r w:rsidRPr="006320B7">
        <w:rPr>
          <w:rFonts w:eastAsia="Times New Roman" w:cs="Times New Roman"/>
          <w:szCs w:val="24"/>
          <w:highlight w:val="green"/>
        </w:rPr>
        <w:t>The relationships between technological financial systems</w:t>
      </w:r>
      <w:r w:rsidR="00897A35">
        <w:rPr>
          <w:rFonts w:eastAsia="Times New Roman" w:cs="Times New Roman"/>
          <w:szCs w:val="24"/>
          <w:highlight w:val="green"/>
        </w:rPr>
        <w:t xml:space="preserve"> </w:t>
      </w:r>
      <w:r w:rsidRPr="006320B7">
        <w:rPr>
          <w:rFonts w:eastAsia="Times New Roman" w:cs="Times New Roman"/>
          <w:szCs w:val="24"/>
          <w:highlight w:val="green"/>
        </w:rPr>
        <w:t>ERP systems (e.g., Sun System, Provision), cloud-based accounting software, and blockchain technology</w:t>
      </w:r>
      <w:r w:rsidR="00897A35">
        <w:rPr>
          <w:rFonts w:eastAsia="Times New Roman" w:cs="Times New Roman"/>
          <w:szCs w:val="24"/>
          <w:highlight w:val="green"/>
        </w:rPr>
        <w:t xml:space="preserve"> </w:t>
      </w:r>
      <w:r w:rsidRPr="006320B7">
        <w:rPr>
          <w:rFonts w:eastAsia="Times New Roman" w:cs="Times New Roman"/>
          <w:szCs w:val="24"/>
          <w:highlight w:val="green"/>
        </w:rPr>
        <w:t>and financial efficiency in humanitarian organizations were analyzed using Pearson correlation analysis.</w:t>
      </w:r>
    </w:p>
    <w:p w14:paraId="4E713DE3" w14:textId="77777777" w:rsidR="007F3E5B" w:rsidRPr="006320B7" w:rsidRDefault="007F3E5B" w:rsidP="007F3E5B">
      <w:pPr>
        <w:spacing w:before="0" w:line="240" w:lineRule="auto"/>
        <w:rPr>
          <w:rFonts w:eastAsia="Times New Roman" w:cs="Times New Roman"/>
          <w:szCs w:val="24"/>
          <w:highlight w:val="green"/>
        </w:rPr>
      </w:pPr>
    </w:p>
    <w:p w14:paraId="03229772" w14:textId="6E677D31" w:rsidR="007F3E5B" w:rsidRPr="006320B7" w:rsidRDefault="007F3E5B" w:rsidP="007F3E5B">
      <w:pPr>
        <w:spacing w:before="0" w:line="240" w:lineRule="auto"/>
        <w:rPr>
          <w:rFonts w:eastAsia="Times New Roman" w:cs="Times New Roman"/>
          <w:szCs w:val="24"/>
          <w:highlight w:val="green"/>
        </w:rPr>
      </w:pPr>
      <w:r w:rsidRPr="007F3E5B">
        <w:rPr>
          <w:rFonts w:eastAsia="Times New Roman" w:cs="Times New Roman"/>
          <w:b/>
          <w:bCs/>
          <w:szCs w:val="24"/>
          <w:highlight w:val="green"/>
        </w:rPr>
        <w:t>Table 4: Correlation Matrix</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85"/>
        <w:gridCol w:w="2089"/>
        <w:gridCol w:w="1418"/>
        <w:gridCol w:w="2590"/>
        <w:gridCol w:w="2448"/>
      </w:tblGrid>
      <w:tr w:rsidR="007F3E5B" w:rsidRPr="006320B7" w14:paraId="78FA4A3F" w14:textId="77777777" w:rsidTr="007F3E5B">
        <w:trPr>
          <w:tblHeader/>
          <w:tblCellSpacing w:w="15" w:type="dxa"/>
        </w:trPr>
        <w:tc>
          <w:tcPr>
            <w:tcW w:w="0" w:type="auto"/>
            <w:tcBorders>
              <w:top w:val="single" w:sz="4" w:space="0" w:color="auto"/>
              <w:bottom w:val="single" w:sz="4" w:space="0" w:color="auto"/>
            </w:tcBorders>
            <w:hideMark/>
          </w:tcPr>
          <w:p w14:paraId="6118A8C2" w14:textId="77777777" w:rsidR="007F3E5B" w:rsidRPr="006320B7" w:rsidRDefault="007F3E5B" w:rsidP="007F3E5B">
            <w:pPr>
              <w:spacing w:before="0" w:line="240" w:lineRule="auto"/>
              <w:jc w:val="center"/>
              <w:rPr>
                <w:rFonts w:eastAsia="Times New Roman" w:cs="Times New Roman"/>
                <w:b/>
                <w:bCs/>
                <w:szCs w:val="24"/>
                <w:highlight w:val="green"/>
              </w:rPr>
            </w:pPr>
            <w:r w:rsidRPr="006320B7">
              <w:rPr>
                <w:rFonts w:eastAsia="Times New Roman" w:cs="Times New Roman"/>
                <w:b/>
                <w:bCs/>
                <w:szCs w:val="24"/>
                <w:highlight w:val="green"/>
              </w:rPr>
              <w:t>Variable</w:t>
            </w:r>
          </w:p>
        </w:tc>
        <w:tc>
          <w:tcPr>
            <w:tcW w:w="0" w:type="auto"/>
            <w:tcBorders>
              <w:top w:val="single" w:sz="4" w:space="0" w:color="auto"/>
              <w:bottom w:val="single" w:sz="4" w:space="0" w:color="auto"/>
            </w:tcBorders>
            <w:hideMark/>
          </w:tcPr>
          <w:p w14:paraId="0A0F0B1A" w14:textId="77777777" w:rsidR="007F3E5B" w:rsidRPr="006320B7" w:rsidRDefault="007F3E5B" w:rsidP="007F3E5B">
            <w:pPr>
              <w:spacing w:before="0" w:line="240" w:lineRule="auto"/>
              <w:jc w:val="center"/>
              <w:rPr>
                <w:rFonts w:eastAsia="Times New Roman" w:cs="Times New Roman"/>
                <w:b/>
                <w:bCs/>
                <w:szCs w:val="24"/>
                <w:highlight w:val="green"/>
              </w:rPr>
            </w:pPr>
            <w:r w:rsidRPr="006320B7">
              <w:rPr>
                <w:rFonts w:eastAsia="Times New Roman" w:cs="Times New Roman"/>
                <w:b/>
                <w:bCs/>
                <w:szCs w:val="24"/>
                <w:highlight w:val="green"/>
              </w:rPr>
              <w:t>Financial Efficiency</w:t>
            </w:r>
          </w:p>
        </w:tc>
        <w:tc>
          <w:tcPr>
            <w:tcW w:w="0" w:type="auto"/>
            <w:tcBorders>
              <w:top w:val="single" w:sz="4" w:space="0" w:color="auto"/>
              <w:bottom w:val="single" w:sz="4" w:space="0" w:color="auto"/>
            </w:tcBorders>
            <w:hideMark/>
          </w:tcPr>
          <w:p w14:paraId="7E2988C8" w14:textId="77777777" w:rsidR="007F3E5B" w:rsidRPr="006320B7" w:rsidRDefault="007F3E5B" w:rsidP="007F3E5B">
            <w:pPr>
              <w:spacing w:before="0" w:line="240" w:lineRule="auto"/>
              <w:jc w:val="center"/>
              <w:rPr>
                <w:rFonts w:eastAsia="Times New Roman" w:cs="Times New Roman"/>
                <w:b/>
                <w:bCs/>
                <w:szCs w:val="24"/>
                <w:highlight w:val="green"/>
              </w:rPr>
            </w:pPr>
            <w:r w:rsidRPr="006320B7">
              <w:rPr>
                <w:rFonts w:eastAsia="Times New Roman" w:cs="Times New Roman"/>
                <w:b/>
                <w:bCs/>
                <w:szCs w:val="24"/>
                <w:highlight w:val="green"/>
              </w:rPr>
              <w:t>ERP Systems</w:t>
            </w:r>
          </w:p>
        </w:tc>
        <w:tc>
          <w:tcPr>
            <w:tcW w:w="0" w:type="auto"/>
            <w:tcBorders>
              <w:top w:val="single" w:sz="4" w:space="0" w:color="auto"/>
              <w:bottom w:val="single" w:sz="4" w:space="0" w:color="auto"/>
            </w:tcBorders>
            <w:hideMark/>
          </w:tcPr>
          <w:p w14:paraId="1A716488" w14:textId="77777777" w:rsidR="007F3E5B" w:rsidRPr="006320B7" w:rsidRDefault="007F3E5B" w:rsidP="007F3E5B">
            <w:pPr>
              <w:spacing w:before="0" w:line="240" w:lineRule="auto"/>
              <w:jc w:val="center"/>
              <w:rPr>
                <w:rFonts w:eastAsia="Times New Roman" w:cs="Times New Roman"/>
                <w:b/>
                <w:bCs/>
                <w:szCs w:val="24"/>
                <w:highlight w:val="green"/>
              </w:rPr>
            </w:pPr>
            <w:r w:rsidRPr="006320B7">
              <w:rPr>
                <w:rFonts w:eastAsia="Times New Roman" w:cs="Times New Roman"/>
                <w:b/>
                <w:bCs/>
                <w:szCs w:val="24"/>
                <w:highlight w:val="green"/>
              </w:rPr>
              <w:t>Cloud-Based Accounting</w:t>
            </w:r>
          </w:p>
        </w:tc>
        <w:tc>
          <w:tcPr>
            <w:tcW w:w="0" w:type="auto"/>
            <w:tcBorders>
              <w:top w:val="single" w:sz="4" w:space="0" w:color="auto"/>
              <w:bottom w:val="single" w:sz="4" w:space="0" w:color="auto"/>
            </w:tcBorders>
            <w:hideMark/>
          </w:tcPr>
          <w:p w14:paraId="0B2A8343" w14:textId="77777777" w:rsidR="007F3E5B" w:rsidRPr="006320B7" w:rsidRDefault="007F3E5B" w:rsidP="007F3E5B">
            <w:pPr>
              <w:spacing w:before="0" w:line="240" w:lineRule="auto"/>
              <w:jc w:val="center"/>
              <w:rPr>
                <w:rFonts w:eastAsia="Times New Roman" w:cs="Times New Roman"/>
                <w:b/>
                <w:bCs/>
                <w:szCs w:val="24"/>
                <w:highlight w:val="green"/>
              </w:rPr>
            </w:pPr>
            <w:r w:rsidRPr="006320B7">
              <w:rPr>
                <w:rFonts w:eastAsia="Times New Roman" w:cs="Times New Roman"/>
                <w:b/>
                <w:bCs/>
                <w:szCs w:val="24"/>
                <w:highlight w:val="green"/>
              </w:rPr>
              <w:t>Blockchain Technology</w:t>
            </w:r>
          </w:p>
        </w:tc>
      </w:tr>
      <w:tr w:rsidR="007F3E5B" w:rsidRPr="006320B7" w14:paraId="39F72266" w14:textId="77777777" w:rsidTr="007F3E5B">
        <w:trPr>
          <w:tblCellSpacing w:w="15" w:type="dxa"/>
        </w:trPr>
        <w:tc>
          <w:tcPr>
            <w:tcW w:w="0" w:type="auto"/>
            <w:hideMark/>
          </w:tcPr>
          <w:p w14:paraId="34FF59D5" w14:textId="77777777" w:rsidR="007F3E5B" w:rsidRPr="006320B7" w:rsidRDefault="007F3E5B" w:rsidP="007F3E5B">
            <w:pPr>
              <w:spacing w:before="0" w:line="240" w:lineRule="auto"/>
              <w:rPr>
                <w:rFonts w:eastAsia="Times New Roman" w:cs="Times New Roman"/>
                <w:szCs w:val="24"/>
                <w:highlight w:val="green"/>
              </w:rPr>
            </w:pPr>
            <w:r w:rsidRPr="006320B7">
              <w:rPr>
                <w:rFonts w:eastAsia="Times New Roman" w:cs="Times New Roman"/>
                <w:szCs w:val="24"/>
                <w:highlight w:val="green"/>
              </w:rPr>
              <w:t>Financial Efficiency</w:t>
            </w:r>
          </w:p>
        </w:tc>
        <w:tc>
          <w:tcPr>
            <w:tcW w:w="0" w:type="auto"/>
            <w:hideMark/>
          </w:tcPr>
          <w:p w14:paraId="43261F77" w14:textId="77777777" w:rsidR="007F3E5B" w:rsidRPr="006320B7" w:rsidRDefault="007F3E5B" w:rsidP="007F3E5B">
            <w:pPr>
              <w:spacing w:before="0" w:line="240" w:lineRule="auto"/>
              <w:rPr>
                <w:rFonts w:eastAsia="Times New Roman" w:cs="Times New Roman"/>
                <w:szCs w:val="24"/>
                <w:highlight w:val="green"/>
              </w:rPr>
            </w:pPr>
            <w:r w:rsidRPr="006320B7">
              <w:rPr>
                <w:rFonts w:eastAsia="Times New Roman" w:cs="Times New Roman"/>
                <w:szCs w:val="24"/>
                <w:highlight w:val="green"/>
              </w:rPr>
              <w:t>1.000</w:t>
            </w:r>
          </w:p>
        </w:tc>
        <w:tc>
          <w:tcPr>
            <w:tcW w:w="0" w:type="auto"/>
            <w:hideMark/>
          </w:tcPr>
          <w:p w14:paraId="2891DEF7" w14:textId="77777777" w:rsidR="007F3E5B" w:rsidRPr="006320B7" w:rsidRDefault="007F3E5B" w:rsidP="007F3E5B">
            <w:pPr>
              <w:spacing w:before="0" w:line="240" w:lineRule="auto"/>
              <w:rPr>
                <w:rFonts w:eastAsia="Times New Roman" w:cs="Times New Roman"/>
                <w:szCs w:val="24"/>
                <w:highlight w:val="green"/>
              </w:rPr>
            </w:pPr>
            <w:r w:rsidRPr="006320B7">
              <w:rPr>
                <w:rFonts w:eastAsia="Times New Roman" w:cs="Times New Roman"/>
                <w:szCs w:val="24"/>
                <w:highlight w:val="green"/>
              </w:rPr>
              <w:t>0.8247*</w:t>
            </w:r>
          </w:p>
        </w:tc>
        <w:tc>
          <w:tcPr>
            <w:tcW w:w="0" w:type="auto"/>
            <w:hideMark/>
          </w:tcPr>
          <w:p w14:paraId="7F236F2F" w14:textId="77777777" w:rsidR="007F3E5B" w:rsidRPr="006320B7" w:rsidRDefault="007F3E5B" w:rsidP="007F3E5B">
            <w:pPr>
              <w:spacing w:before="0" w:line="240" w:lineRule="auto"/>
              <w:rPr>
                <w:rFonts w:eastAsia="Times New Roman" w:cs="Times New Roman"/>
                <w:szCs w:val="24"/>
                <w:highlight w:val="green"/>
              </w:rPr>
            </w:pPr>
            <w:r w:rsidRPr="006320B7">
              <w:rPr>
                <w:rFonts w:eastAsia="Times New Roman" w:cs="Times New Roman"/>
                <w:szCs w:val="24"/>
                <w:highlight w:val="green"/>
              </w:rPr>
              <w:t>0.7153*</w:t>
            </w:r>
          </w:p>
        </w:tc>
        <w:tc>
          <w:tcPr>
            <w:tcW w:w="0" w:type="auto"/>
            <w:hideMark/>
          </w:tcPr>
          <w:p w14:paraId="0D6D6CE4" w14:textId="77777777" w:rsidR="007F3E5B" w:rsidRPr="006320B7" w:rsidRDefault="007F3E5B" w:rsidP="007F3E5B">
            <w:pPr>
              <w:spacing w:before="0" w:line="240" w:lineRule="auto"/>
              <w:rPr>
                <w:rFonts w:eastAsia="Times New Roman" w:cs="Times New Roman"/>
                <w:szCs w:val="24"/>
                <w:highlight w:val="green"/>
              </w:rPr>
            </w:pPr>
            <w:r w:rsidRPr="006320B7">
              <w:rPr>
                <w:rFonts w:eastAsia="Times New Roman" w:cs="Times New Roman"/>
                <w:szCs w:val="24"/>
                <w:highlight w:val="green"/>
              </w:rPr>
              <w:t>0.6892*</w:t>
            </w:r>
          </w:p>
        </w:tc>
      </w:tr>
      <w:tr w:rsidR="007F3E5B" w:rsidRPr="006320B7" w14:paraId="599B0AB1" w14:textId="77777777" w:rsidTr="007F3E5B">
        <w:trPr>
          <w:tblCellSpacing w:w="15" w:type="dxa"/>
        </w:trPr>
        <w:tc>
          <w:tcPr>
            <w:tcW w:w="0" w:type="auto"/>
            <w:hideMark/>
          </w:tcPr>
          <w:p w14:paraId="58EF660A" w14:textId="77777777" w:rsidR="007F3E5B" w:rsidRPr="006320B7" w:rsidRDefault="007F3E5B" w:rsidP="007F3E5B">
            <w:pPr>
              <w:spacing w:before="0" w:line="240" w:lineRule="auto"/>
              <w:rPr>
                <w:rFonts w:eastAsia="Times New Roman" w:cs="Times New Roman"/>
                <w:szCs w:val="24"/>
                <w:highlight w:val="green"/>
              </w:rPr>
            </w:pPr>
            <w:r w:rsidRPr="006320B7">
              <w:rPr>
                <w:rFonts w:eastAsia="Times New Roman" w:cs="Times New Roman"/>
                <w:szCs w:val="24"/>
                <w:highlight w:val="green"/>
              </w:rPr>
              <w:t>ERP Systems</w:t>
            </w:r>
          </w:p>
        </w:tc>
        <w:tc>
          <w:tcPr>
            <w:tcW w:w="0" w:type="auto"/>
            <w:hideMark/>
          </w:tcPr>
          <w:p w14:paraId="732A764E" w14:textId="77777777" w:rsidR="007F3E5B" w:rsidRPr="006320B7" w:rsidRDefault="007F3E5B" w:rsidP="007F3E5B">
            <w:pPr>
              <w:spacing w:before="0" w:line="240" w:lineRule="auto"/>
              <w:rPr>
                <w:rFonts w:eastAsia="Times New Roman" w:cs="Times New Roman"/>
                <w:szCs w:val="24"/>
                <w:highlight w:val="green"/>
              </w:rPr>
            </w:pPr>
            <w:r w:rsidRPr="006320B7">
              <w:rPr>
                <w:rFonts w:eastAsia="Times New Roman" w:cs="Times New Roman"/>
                <w:szCs w:val="24"/>
                <w:highlight w:val="green"/>
              </w:rPr>
              <w:t>0.8247*</w:t>
            </w:r>
          </w:p>
        </w:tc>
        <w:tc>
          <w:tcPr>
            <w:tcW w:w="0" w:type="auto"/>
            <w:hideMark/>
          </w:tcPr>
          <w:p w14:paraId="3F098506" w14:textId="77777777" w:rsidR="007F3E5B" w:rsidRPr="006320B7" w:rsidRDefault="007F3E5B" w:rsidP="007F3E5B">
            <w:pPr>
              <w:spacing w:before="0" w:line="240" w:lineRule="auto"/>
              <w:rPr>
                <w:rFonts w:eastAsia="Times New Roman" w:cs="Times New Roman"/>
                <w:szCs w:val="24"/>
                <w:highlight w:val="green"/>
              </w:rPr>
            </w:pPr>
            <w:r w:rsidRPr="006320B7">
              <w:rPr>
                <w:rFonts w:eastAsia="Times New Roman" w:cs="Times New Roman"/>
                <w:szCs w:val="24"/>
                <w:highlight w:val="green"/>
              </w:rPr>
              <w:t>1.000</w:t>
            </w:r>
          </w:p>
        </w:tc>
        <w:tc>
          <w:tcPr>
            <w:tcW w:w="0" w:type="auto"/>
            <w:hideMark/>
          </w:tcPr>
          <w:p w14:paraId="6B41063A" w14:textId="77777777" w:rsidR="007F3E5B" w:rsidRPr="006320B7" w:rsidRDefault="007F3E5B" w:rsidP="007F3E5B">
            <w:pPr>
              <w:spacing w:before="0" w:line="240" w:lineRule="auto"/>
              <w:rPr>
                <w:rFonts w:eastAsia="Times New Roman" w:cs="Times New Roman"/>
                <w:szCs w:val="24"/>
                <w:highlight w:val="green"/>
              </w:rPr>
            </w:pPr>
            <w:r w:rsidRPr="006320B7">
              <w:rPr>
                <w:rFonts w:eastAsia="Times New Roman" w:cs="Times New Roman"/>
                <w:szCs w:val="24"/>
                <w:highlight w:val="green"/>
              </w:rPr>
              <w:t>0.7864*</w:t>
            </w:r>
          </w:p>
        </w:tc>
        <w:tc>
          <w:tcPr>
            <w:tcW w:w="0" w:type="auto"/>
            <w:hideMark/>
          </w:tcPr>
          <w:p w14:paraId="3898D11D" w14:textId="77777777" w:rsidR="007F3E5B" w:rsidRPr="006320B7" w:rsidRDefault="007F3E5B" w:rsidP="007F3E5B">
            <w:pPr>
              <w:spacing w:before="0" w:line="240" w:lineRule="auto"/>
              <w:rPr>
                <w:rFonts w:eastAsia="Times New Roman" w:cs="Times New Roman"/>
                <w:szCs w:val="24"/>
                <w:highlight w:val="green"/>
              </w:rPr>
            </w:pPr>
            <w:r w:rsidRPr="006320B7">
              <w:rPr>
                <w:rFonts w:eastAsia="Times New Roman" w:cs="Times New Roman"/>
                <w:szCs w:val="24"/>
                <w:highlight w:val="green"/>
              </w:rPr>
              <w:t>0.7521*</w:t>
            </w:r>
          </w:p>
        </w:tc>
      </w:tr>
      <w:tr w:rsidR="007F3E5B" w:rsidRPr="006320B7" w14:paraId="0FF7EDFE" w14:textId="77777777" w:rsidTr="007F3E5B">
        <w:trPr>
          <w:tblCellSpacing w:w="15" w:type="dxa"/>
        </w:trPr>
        <w:tc>
          <w:tcPr>
            <w:tcW w:w="0" w:type="auto"/>
            <w:hideMark/>
          </w:tcPr>
          <w:p w14:paraId="2BF61B3E" w14:textId="77777777" w:rsidR="007F3E5B" w:rsidRPr="006320B7" w:rsidRDefault="007F3E5B" w:rsidP="007F3E5B">
            <w:pPr>
              <w:spacing w:before="0" w:line="240" w:lineRule="auto"/>
              <w:rPr>
                <w:rFonts w:eastAsia="Times New Roman" w:cs="Times New Roman"/>
                <w:szCs w:val="24"/>
                <w:highlight w:val="green"/>
              </w:rPr>
            </w:pPr>
            <w:r w:rsidRPr="006320B7">
              <w:rPr>
                <w:rFonts w:eastAsia="Times New Roman" w:cs="Times New Roman"/>
                <w:szCs w:val="24"/>
                <w:highlight w:val="green"/>
              </w:rPr>
              <w:t>Cloud-Based Accounting</w:t>
            </w:r>
          </w:p>
        </w:tc>
        <w:tc>
          <w:tcPr>
            <w:tcW w:w="0" w:type="auto"/>
            <w:hideMark/>
          </w:tcPr>
          <w:p w14:paraId="1B7FE56E" w14:textId="77777777" w:rsidR="007F3E5B" w:rsidRPr="006320B7" w:rsidRDefault="007F3E5B" w:rsidP="007F3E5B">
            <w:pPr>
              <w:spacing w:before="0" w:line="240" w:lineRule="auto"/>
              <w:rPr>
                <w:rFonts w:eastAsia="Times New Roman" w:cs="Times New Roman"/>
                <w:szCs w:val="24"/>
                <w:highlight w:val="green"/>
              </w:rPr>
            </w:pPr>
            <w:r w:rsidRPr="006320B7">
              <w:rPr>
                <w:rFonts w:eastAsia="Times New Roman" w:cs="Times New Roman"/>
                <w:szCs w:val="24"/>
                <w:highlight w:val="green"/>
              </w:rPr>
              <w:t>0.7153*</w:t>
            </w:r>
          </w:p>
        </w:tc>
        <w:tc>
          <w:tcPr>
            <w:tcW w:w="0" w:type="auto"/>
            <w:hideMark/>
          </w:tcPr>
          <w:p w14:paraId="14916084" w14:textId="77777777" w:rsidR="007F3E5B" w:rsidRPr="006320B7" w:rsidRDefault="007F3E5B" w:rsidP="007F3E5B">
            <w:pPr>
              <w:spacing w:before="0" w:line="240" w:lineRule="auto"/>
              <w:rPr>
                <w:rFonts w:eastAsia="Times New Roman" w:cs="Times New Roman"/>
                <w:szCs w:val="24"/>
                <w:highlight w:val="green"/>
              </w:rPr>
            </w:pPr>
            <w:r w:rsidRPr="006320B7">
              <w:rPr>
                <w:rFonts w:eastAsia="Times New Roman" w:cs="Times New Roman"/>
                <w:szCs w:val="24"/>
                <w:highlight w:val="green"/>
              </w:rPr>
              <w:t>0.7864*</w:t>
            </w:r>
          </w:p>
        </w:tc>
        <w:tc>
          <w:tcPr>
            <w:tcW w:w="0" w:type="auto"/>
            <w:hideMark/>
          </w:tcPr>
          <w:p w14:paraId="28305A3B" w14:textId="77777777" w:rsidR="007F3E5B" w:rsidRPr="006320B7" w:rsidRDefault="007F3E5B" w:rsidP="007F3E5B">
            <w:pPr>
              <w:spacing w:before="0" w:line="240" w:lineRule="auto"/>
              <w:rPr>
                <w:rFonts w:eastAsia="Times New Roman" w:cs="Times New Roman"/>
                <w:szCs w:val="24"/>
                <w:highlight w:val="green"/>
              </w:rPr>
            </w:pPr>
            <w:r w:rsidRPr="006320B7">
              <w:rPr>
                <w:rFonts w:eastAsia="Times New Roman" w:cs="Times New Roman"/>
                <w:szCs w:val="24"/>
                <w:highlight w:val="green"/>
              </w:rPr>
              <w:t>1.000</w:t>
            </w:r>
          </w:p>
        </w:tc>
        <w:tc>
          <w:tcPr>
            <w:tcW w:w="0" w:type="auto"/>
            <w:hideMark/>
          </w:tcPr>
          <w:p w14:paraId="62025EB3" w14:textId="77777777" w:rsidR="007F3E5B" w:rsidRPr="006320B7" w:rsidRDefault="007F3E5B" w:rsidP="007F3E5B">
            <w:pPr>
              <w:spacing w:before="0" w:line="240" w:lineRule="auto"/>
              <w:rPr>
                <w:rFonts w:eastAsia="Times New Roman" w:cs="Times New Roman"/>
                <w:szCs w:val="24"/>
                <w:highlight w:val="green"/>
              </w:rPr>
            </w:pPr>
            <w:r w:rsidRPr="006320B7">
              <w:rPr>
                <w:rFonts w:eastAsia="Times New Roman" w:cs="Times New Roman"/>
                <w:szCs w:val="24"/>
                <w:highlight w:val="green"/>
              </w:rPr>
              <w:t>0.6938*</w:t>
            </w:r>
          </w:p>
        </w:tc>
      </w:tr>
      <w:tr w:rsidR="007F3E5B" w:rsidRPr="006320B7" w14:paraId="73958B9E" w14:textId="77777777" w:rsidTr="007F3E5B">
        <w:trPr>
          <w:tblCellSpacing w:w="15" w:type="dxa"/>
        </w:trPr>
        <w:tc>
          <w:tcPr>
            <w:tcW w:w="0" w:type="auto"/>
            <w:tcBorders>
              <w:bottom w:val="single" w:sz="4" w:space="0" w:color="auto"/>
            </w:tcBorders>
            <w:hideMark/>
          </w:tcPr>
          <w:p w14:paraId="3571F181" w14:textId="77777777" w:rsidR="007F3E5B" w:rsidRPr="006320B7" w:rsidRDefault="007F3E5B" w:rsidP="007F3E5B">
            <w:pPr>
              <w:spacing w:before="0" w:line="240" w:lineRule="auto"/>
              <w:rPr>
                <w:rFonts w:eastAsia="Times New Roman" w:cs="Times New Roman"/>
                <w:szCs w:val="24"/>
                <w:highlight w:val="green"/>
              </w:rPr>
            </w:pPr>
            <w:r w:rsidRPr="006320B7">
              <w:rPr>
                <w:rFonts w:eastAsia="Times New Roman" w:cs="Times New Roman"/>
                <w:szCs w:val="24"/>
                <w:highlight w:val="green"/>
              </w:rPr>
              <w:t>Blockchain Technology</w:t>
            </w:r>
          </w:p>
        </w:tc>
        <w:tc>
          <w:tcPr>
            <w:tcW w:w="0" w:type="auto"/>
            <w:tcBorders>
              <w:bottom w:val="single" w:sz="4" w:space="0" w:color="auto"/>
            </w:tcBorders>
            <w:hideMark/>
          </w:tcPr>
          <w:p w14:paraId="6F4ABF99" w14:textId="77777777" w:rsidR="007F3E5B" w:rsidRPr="006320B7" w:rsidRDefault="007F3E5B" w:rsidP="007F3E5B">
            <w:pPr>
              <w:spacing w:before="0" w:line="240" w:lineRule="auto"/>
              <w:rPr>
                <w:rFonts w:eastAsia="Times New Roman" w:cs="Times New Roman"/>
                <w:szCs w:val="24"/>
                <w:highlight w:val="green"/>
              </w:rPr>
            </w:pPr>
            <w:r w:rsidRPr="006320B7">
              <w:rPr>
                <w:rFonts w:eastAsia="Times New Roman" w:cs="Times New Roman"/>
                <w:szCs w:val="24"/>
                <w:highlight w:val="green"/>
              </w:rPr>
              <w:t>0.6892*</w:t>
            </w:r>
          </w:p>
        </w:tc>
        <w:tc>
          <w:tcPr>
            <w:tcW w:w="0" w:type="auto"/>
            <w:tcBorders>
              <w:bottom w:val="single" w:sz="4" w:space="0" w:color="auto"/>
            </w:tcBorders>
            <w:hideMark/>
          </w:tcPr>
          <w:p w14:paraId="21A53357" w14:textId="77777777" w:rsidR="007F3E5B" w:rsidRPr="006320B7" w:rsidRDefault="007F3E5B" w:rsidP="007F3E5B">
            <w:pPr>
              <w:spacing w:before="0" w:line="240" w:lineRule="auto"/>
              <w:rPr>
                <w:rFonts w:eastAsia="Times New Roman" w:cs="Times New Roman"/>
                <w:szCs w:val="24"/>
                <w:highlight w:val="green"/>
              </w:rPr>
            </w:pPr>
            <w:r w:rsidRPr="006320B7">
              <w:rPr>
                <w:rFonts w:eastAsia="Times New Roman" w:cs="Times New Roman"/>
                <w:szCs w:val="24"/>
                <w:highlight w:val="green"/>
              </w:rPr>
              <w:t>0.7521*</w:t>
            </w:r>
          </w:p>
        </w:tc>
        <w:tc>
          <w:tcPr>
            <w:tcW w:w="0" w:type="auto"/>
            <w:tcBorders>
              <w:bottom w:val="single" w:sz="4" w:space="0" w:color="auto"/>
            </w:tcBorders>
            <w:hideMark/>
          </w:tcPr>
          <w:p w14:paraId="59AF53AA" w14:textId="77777777" w:rsidR="007F3E5B" w:rsidRPr="006320B7" w:rsidRDefault="007F3E5B" w:rsidP="007F3E5B">
            <w:pPr>
              <w:spacing w:before="0" w:line="240" w:lineRule="auto"/>
              <w:rPr>
                <w:rFonts w:eastAsia="Times New Roman" w:cs="Times New Roman"/>
                <w:szCs w:val="24"/>
                <w:highlight w:val="green"/>
              </w:rPr>
            </w:pPr>
            <w:r w:rsidRPr="006320B7">
              <w:rPr>
                <w:rFonts w:eastAsia="Times New Roman" w:cs="Times New Roman"/>
                <w:szCs w:val="24"/>
                <w:highlight w:val="green"/>
              </w:rPr>
              <w:t>0.6938*</w:t>
            </w:r>
          </w:p>
        </w:tc>
        <w:tc>
          <w:tcPr>
            <w:tcW w:w="0" w:type="auto"/>
            <w:tcBorders>
              <w:bottom w:val="single" w:sz="4" w:space="0" w:color="auto"/>
            </w:tcBorders>
            <w:hideMark/>
          </w:tcPr>
          <w:p w14:paraId="36299067" w14:textId="77777777" w:rsidR="007F3E5B" w:rsidRPr="006320B7" w:rsidRDefault="007F3E5B" w:rsidP="007F3E5B">
            <w:pPr>
              <w:spacing w:before="0" w:line="240" w:lineRule="auto"/>
              <w:rPr>
                <w:rFonts w:eastAsia="Times New Roman" w:cs="Times New Roman"/>
                <w:szCs w:val="24"/>
                <w:highlight w:val="green"/>
              </w:rPr>
            </w:pPr>
            <w:r w:rsidRPr="006320B7">
              <w:rPr>
                <w:rFonts w:eastAsia="Times New Roman" w:cs="Times New Roman"/>
                <w:szCs w:val="24"/>
                <w:highlight w:val="green"/>
              </w:rPr>
              <w:t>1.000</w:t>
            </w:r>
          </w:p>
        </w:tc>
      </w:tr>
    </w:tbl>
    <w:p w14:paraId="4B1A222F" w14:textId="2CD46FF7" w:rsidR="007F3E5B" w:rsidRPr="007F3E5B" w:rsidRDefault="007F3E5B" w:rsidP="007F3E5B">
      <w:pPr>
        <w:spacing w:before="0" w:line="240" w:lineRule="auto"/>
        <w:jc w:val="left"/>
        <w:rPr>
          <w:rFonts w:eastAsia="Times New Roman" w:cs="Times New Roman"/>
          <w:b/>
          <w:szCs w:val="24"/>
          <w:highlight w:val="green"/>
        </w:rPr>
      </w:pPr>
      <w:r w:rsidRPr="006320B7">
        <w:rPr>
          <w:rFonts w:eastAsia="Times New Roman" w:cs="Times New Roman"/>
          <w:szCs w:val="24"/>
          <w:highlight w:val="green"/>
        </w:rPr>
        <w:t>*Correlation significant at the 0.05 level</w:t>
      </w:r>
      <w:r w:rsidRPr="006320B7">
        <w:rPr>
          <w:rFonts w:eastAsia="Times New Roman" w:cs="Times New Roman"/>
          <w:szCs w:val="24"/>
          <w:highlight w:val="green"/>
        </w:rPr>
        <w:br/>
      </w:r>
      <w:r w:rsidRPr="006320B7">
        <w:rPr>
          <w:rFonts w:eastAsia="Times New Roman" w:cs="Times New Roman"/>
          <w:b/>
          <w:szCs w:val="24"/>
          <w:highlight w:val="green"/>
        </w:rPr>
        <w:t>Source: Research Data, 2024</w:t>
      </w:r>
    </w:p>
    <w:p w14:paraId="6CD81871" w14:textId="77777777" w:rsidR="007F3E5B" w:rsidRPr="006320B7" w:rsidRDefault="007F3E5B" w:rsidP="007F3E5B">
      <w:pPr>
        <w:spacing w:before="0" w:line="240" w:lineRule="auto"/>
        <w:jc w:val="left"/>
        <w:rPr>
          <w:rFonts w:eastAsia="Times New Roman" w:cs="Times New Roman"/>
          <w:b/>
          <w:szCs w:val="24"/>
          <w:highlight w:val="green"/>
        </w:rPr>
      </w:pPr>
    </w:p>
    <w:p w14:paraId="449E5398" w14:textId="3E59CCCA" w:rsidR="007F3E5B" w:rsidRPr="007F3E5B" w:rsidRDefault="007F3E5B" w:rsidP="007F3E5B">
      <w:pPr>
        <w:spacing w:before="0" w:line="240" w:lineRule="auto"/>
        <w:rPr>
          <w:rFonts w:eastAsia="Times New Roman" w:cs="Times New Roman"/>
          <w:szCs w:val="24"/>
          <w:highlight w:val="green"/>
        </w:rPr>
      </w:pPr>
      <w:r w:rsidRPr="007F3E5B">
        <w:rPr>
          <w:rFonts w:eastAsia="Times New Roman" w:cs="Times New Roman"/>
          <w:szCs w:val="24"/>
          <w:highlight w:val="green"/>
        </w:rPr>
        <w:t>The analysis in Table 4</w:t>
      </w:r>
      <w:r w:rsidRPr="006320B7">
        <w:rPr>
          <w:rFonts w:eastAsia="Times New Roman" w:cs="Times New Roman"/>
          <w:szCs w:val="24"/>
          <w:highlight w:val="green"/>
        </w:rPr>
        <w:t xml:space="preserve"> shows a strong and statistically significant positive correlation between ERP systems and financial efficiency (r = 0.8247), indicating that efficient ERP implementation enhances financial reporting accuracy, timeliness, and operational control. Cloud-based accounting software also exhibited a substantial positive correlation with financial efficiency (r = 0.7153), reflecting its role in real-time data access, automation of accounting processes, and improved decision-making capacity. Blockchain technology demonstrated a moderate but significant correlation with financial efficiency (r = 0.6892), supporting literature that blockchain enhances transparency, accountability, and fraud prevention in humanitarian finance. Inter-correlations among the three technological systems suggest that integrated adoption could provide synergistic benefits, consistent with findings in recent NGO technology adoption research (e.g., Tapscott &amp; Tapscott, 2016; World Economic Forum, 2023).</w:t>
      </w:r>
    </w:p>
    <w:p w14:paraId="16124078" w14:textId="704A8F08" w:rsidR="007F3E5B" w:rsidRPr="007F3E5B" w:rsidRDefault="007F3E5B" w:rsidP="007F3E5B">
      <w:pPr>
        <w:spacing w:before="0" w:line="240" w:lineRule="auto"/>
        <w:rPr>
          <w:rFonts w:eastAsia="Times New Roman" w:cs="Times New Roman"/>
          <w:szCs w:val="24"/>
          <w:highlight w:val="green"/>
        </w:rPr>
      </w:pPr>
    </w:p>
    <w:p w14:paraId="775E28CE" w14:textId="204759AD" w:rsidR="007F3E5B" w:rsidRPr="007F3E5B" w:rsidRDefault="007F3E5B" w:rsidP="007F3E5B">
      <w:pPr>
        <w:spacing w:before="0" w:line="240" w:lineRule="auto"/>
        <w:rPr>
          <w:rFonts w:eastAsia="Times New Roman" w:cs="Times New Roman"/>
          <w:szCs w:val="24"/>
          <w:highlight w:val="green"/>
        </w:rPr>
      </w:pPr>
    </w:p>
    <w:p w14:paraId="6C480954" w14:textId="5177D082" w:rsidR="007F3E5B" w:rsidRPr="007F3E5B" w:rsidRDefault="007F3E5B" w:rsidP="007F3E5B">
      <w:pPr>
        <w:spacing w:before="0" w:line="240" w:lineRule="auto"/>
        <w:rPr>
          <w:rFonts w:eastAsia="Times New Roman" w:cs="Times New Roman"/>
          <w:szCs w:val="24"/>
          <w:highlight w:val="green"/>
        </w:rPr>
      </w:pPr>
    </w:p>
    <w:p w14:paraId="7C86E73C" w14:textId="77777777" w:rsidR="007F3E5B" w:rsidRPr="006320B7" w:rsidRDefault="007F3E5B" w:rsidP="007F3E5B">
      <w:pPr>
        <w:spacing w:before="0" w:line="240" w:lineRule="auto"/>
        <w:rPr>
          <w:rFonts w:eastAsia="Times New Roman" w:cs="Times New Roman"/>
          <w:szCs w:val="24"/>
          <w:highlight w:val="green"/>
        </w:rPr>
      </w:pPr>
    </w:p>
    <w:p w14:paraId="08F9C4FD" w14:textId="5D452FB0" w:rsidR="007F3E5B" w:rsidRPr="006320B7" w:rsidRDefault="007F3E5B" w:rsidP="007F3E5B">
      <w:pPr>
        <w:spacing w:before="0" w:line="240" w:lineRule="auto"/>
        <w:outlineLvl w:val="2"/>
        <w:rPr>
          <w:rFonts w:eastAsia="Times New Roman" w:cs="Times New Roman"/>
          <w:b/>
          <w:bCs/>
          <w:sz w:val="27"/>
          <w:szCs w:val="27"/>
          <w:highlight w:val="green"/>
        </w:rPr>
      </w:pPr>
      <w:r w:rsidRPr="007F3E5B">
        <w:rPr>
          <w:rFonts w:eastAsia="Times New Roman" w:cs="Times New Roman"/>
          <w:b/>
          <w:bCs/>
          <w:sz w:val="27"/>
          <w:szCs w:val="27"/>
          <w:highlight w:val="green"/>
        </w:rPr>
        <w:lastRenderedPageBreak/>
        <w:t xml:space="preserve">4.3 </w:t>
      </w:r>
      <w:r w:rsidRPr="006320B7">
        <w:rPr>
          <w:rFonts w:eastAsia="Times New Roman" w:cs="Times New Roman"/>
          <w:b/>
          <w:bCs/>
          <w:sz w:val="27"/>
          <w:szCs w:val="27"/>
          <w:highlight w:val="green"/>
        </w:rPr>
        <w:t>Regression Analysis</w:t>
      </w:r>
    </w:p>
    <w:p w14:paraId="7106DE6C" w14:textId="17D4715E" w:rsidR="007F3E5B" w:rsidRPr="007F3E5B" w:rsidRDefault="007F3E5B" w:rsidP="007F3E5B">
      <w:pPr>
        <w:spacing w:before="0" w:line="240" w:lineRule="auto"/>
        <w:rPr>
          <w:rFonts w:eastAsia="Times New Roman" w:cs="Times New Roman"/>
          <w:szCs w:val="24"/>
          <w:highlight w:val="green"/>
        </w:rPr>
      </w:pPr>
      <w:r w:rsidRPr="006320B7">
        <w:rPr>
          <w:rFonts w:eastAsia="Times New Roman" w:cs="Times New Roman"/>
          <w:szCs w:val="24"/>
          <w:highlight w:val="green"/>
        </w:rPr>
        <w:t>Multiple regression analysis was used to test the study hypotheses and determine the collective impact of ERP systems, cloud-based accounting software, and blockchain technology on the financial efficiency of humanitarian organizations.</w:t>
      </w:r>
    </w:p>
    <w:p w14:paraId="4C0DE708" w14:textId="77777777" w:rsidR="007F3E5B" w:rsidRPr="006320B7" w:rsidRDefault="007F3E5B" w:rsidP="007F3E5B">
      <w:pPr>
        <w:spacing w:before="0" w:line="240" w:lineRule="auto"/>
        <w:rPr>
          <w:rFonts w:eastAsia="Times New Roman" w:cs="Times New Roman"/>
          <w:szCs w:val="24"/>
          <w:highlight w:val="green"/>
        </w:rPr>
      </w:pPr>
    </w:p>
    <w:p w14:paraId="2F8FBE23" w14:textId="221833E3" w:rsidR="007F3E5B" w:rsidRPr="006320B7" w:rsidRDefault="007F3E5B" w:rsidP="007F3E5B">
      <w:pPr>
        <w:spacing w:before="0" w:line="240" w:lineRule="auto"/>
        <w:rPr>
          <w:rFonts w:eastAsia="Times New Roman" w:cs="Times New Roman"/>
          <w:szCs w:val="24"/>
          <w:highlight w:val="green"/>
        </w:rPr>
      </w:pPr>
      <w:r w:rsidRPr="007F3E5B">
        <w:rPr>
          <w:rFonts w:eastAsia="Times New Roman" w:cs="Times New Roman"/>
          <w:b/>
          <w:bCs/>
          <w:szCs w:val="24"/>
          <w:highlight w:val="green"/>
        </w:rPr>
        <w:t>Table 5: Model Summary</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735"/>
        <w:gridCol w:w="1027"/>
        <w:gridCol w:w="2021"/>
        <w:gridCol w:w="1142"/>
      </w:tblGrid>
      <w:tr w:rsidR="007F3E5B" w:rsidRPr="006320B7" w14:paraId="142785CB" w14:textId="77777777" w:rsidTr="007F3E5B">
        <w:trPr>
          <w:tblHeader/>
          <w:tblCellSpacing w:w="15" w:type="dxa"/>
        </w:trPr>
        <w:tc>
          <w:tcPr>
            <w:tcW w:w="0" w:type="auto"/>
            <w:tcBorders>
              <w:top w:val="single" w:sz="4" w:space="0" w:color="auto"/>
              <w:bottom w:val="single" w:sz="4" w:space="0" w:color="auto"/>
            </w:tcBorders>
            <w:vAlign w:val="center"/>
            <w:hideMark/>
          </w:tcPr>
          <w:p w14:paraId="387E0395" w14:textId="77777777" w:rsidR="007F3E5B" w:rsidRPr="006320B7" w:rsidRDefault="007F3E5B" w:rsidP="007F3E5B">
            <w:pPr>
              <w:spacing w:before="0" w:line="240" w:lineRule="auto"/>
              <w:jc w:val="center"/>
              <w:rPr>
                <w:rFonts w:eastAsia="Times New Roman" w:cs="Times New Roman"/>
                <w:b/>
                <w:bCs/>
                <w:szCs w:val="24"/>
                <w:highlight w:val="green"/>
              </w:rPr>
            </w:pPr>
            <w:r w:rsidRPr="006320B7">
              <w:rPr>
                <w:rFonts w:eastAsia="Times New Roman" w:cs="Times New Roman"/>
                <w:b/>
                <w:bCs/>
                <w:szCs w:val="24"/>
                <w:highlight w:val="green"/>
              </w:rPr>
              <w:t>R</w:t>
            </w:r>
          </w:p>
        </w:tc>
        <w:tc>
          <w:tcPr>
            <w:tcW w:w="0" w:type="auto"/>
            <w:tcBorders>
              <w:top w:val="single" w:sz="4" w:space="0" w:color="auto"/>
              <w:bottom w:val="single" w:sz="4" w:space="0" w:color="auto"/>
            </w:tcBorders>
            <w:vAlign w:val="center"/>
            <w:hideMark/>
          </w:tcPr>
          <w:p w14:paraId="555C2DD0" w14:textId="77777777" w:rsidR="007F3E5B" w:rsidRPr="006320B7" w:rsidRDefault="007F3E5B" w:rsidP="007F3E5B">
            <w:pPr>
              <w:spacing w:before="0" w:line="240" w:lineRule="auto"/>
              <w:jc w:val="center"/>
              <w:rPr>
                <w:rFonts w:eastAsia="Times New Roman" w:cs="Times New Roman"/>
                <w:b/>
                <w:bCs/>
                <w:szCs w:val="24"/>
                <w:highlight w:val="green"/>
              </w:rPr>
            </w:pPr>
            <w:r w:rsidRPr="006320B7">
              <w:rPr>
                <w:rFonts w:eastAsia="Times New Roman" w:cs="Times New Roman"/>
                <w:b/>
                <w:bCs/>
                <w:szCs w:val="24"/>
                <w:highlight w:val="green"/>
              </w:rPr>
              <w:t>R Square</w:t>
            </w:r>
          </w:p>
        </w:tc>
        <w:tc>
          <w:tcPr>
            <w:tcW w:w="0" w:type="auto"/>
            <w:tcBorders>
              <w:top w:val="single" w:sz="4" w:space="0" w:color="auto"/>
              <w:bottom w:val="single" w:sz="4" w:space="0" w:color="auto"/>
            </w:tcBorders>
            <w:vAlign w:val="center"/>
            <w:hideMark/>
          </w:tcPr>
          <w:p w14:paraId="4C5677BA" w14:textId="77777777" w:rsidR="007F3E5B" w:rsidRPr="006320B7" w:rsidRDefault="007F3E5B" w:rsidP="007F3E5B">
            <w:pPr>
              <w:spacing w:before="0" w:line="240" w:lineRule="auto"/>
              <w:jc w:val="center"/>
              <w:rPr>
                <w:rFonts w:eastAsia="Times New Roman" w:cs="Times New Roman"/>
                <w:b/>
                <w:bCs/>
                <w:szCs w:val="24"/>
                <w:highlight w:val="green"/>
              </w:rPr>
            </w:pPr>
            <w:r w:rsidRPr="006320B7">
              <w:rPr>
                <w:rFonts w:eastAsia="Times New Roman" w:cs="Times New Roman"/>
                <w:b/>
                <w:bCs/>
                <w:szCs w:val="24"/>
                <w:highlight w:val="green"/>
              </w:rPr>
              <w:t>Adjusted R Square</w:t>
            </w:r>
          </w:p>
        </w:tc>
        <w:tc>
          <w:tcPr>
            <w:tcW w:w="0" w:type="auto"/>
            <w:tcBorders>
              <w:top w:val="single" w:sz="4" w:space="0" w:color="auto"/>
              <w:bottom w:val="single" w:sz="4" w:space="0" w:color="auto"/>
            </w:tcBorders>
            <w:vAlign w:val="center"/>
            <w:hideMark/>
          </w:tcPr>
          <w:p w14:paraId="2C3BFB61" w14:textId="77777777" w:rsidR="007F3E5B" w:rsidRPr="006320B7" w:rsidRDefault="007F3E5B" w:rsidP="007F3E5B">
            <w:pPr>
              <w:spacing w:before="0" w:line="240" w:lineRule="auto"/>
              <w:jc w:val="center"/>
              <w:rPr>
                <w:rFonts w:eastAsia="Times New Roman" w:cs="Times New Roman"/>
                <w:b/>
                <w:bCs/>
                <w:szCs w:val="24"/>
                <w:highlight w:val="green"/>
              </w:rPr>
            </w:pPr>
            <w:r w:rsidRPr="006320B7">
              <w:rPr>
                <w:rFonts w:eastAsia="Times New Roman" w:cs="Times New Roman"/>
                <w:b/>
                <w:bCs/>
                <w:szCs w:val="24"/>
                <w:highlight w:val="green"/>
              </w:rPr>
              <w:t>Std. Error</w:t>
            </w:r>
          </w:p>
        </w:tc>
      </w:tr>
      <w:tr w:rsidR="007F3E5B" w:rsidRPr="006320B7" w14:paraId="115A04DE" w14:textId="77777777" w:rsidTr="007F3E5B">
        <w:trPr>
          <w:tblCellSpacing w:w="15" w:type="dxa"/>
        </w:trPr>
        <w:tc>
          <w:tcPr>
            <w:tcW w:w="0" w:type="auto"/>
            <w:vAlign w:val="center"/>
            <w:hideMark/>
          </w:tcPr>
          <w:p w14:paraId="4B447026" w14:textId="77777777" w:rsidR="007F3E5B" w:rsidRPr="006320B7" w:rsidRDefault="007F3E5B" w:rsidP="007F3E5B">
            <w:pPr>
              <w:spacing w:before="0" w:line="240" w:lineRule="auto"/>
              <w:rPr>
                <w:rFonts w:eastAsia="Times New Roman" w:cs="Times New Roman"/>
                <w:szCs w:val="24"/>
                <w:highlight w:val="green"/>
              </w:rPr>
            </w:pPr>
            <w:r w:rsidRPr="006320B7">
              <w:rPr>
                <w:rFonts w:eastAsia="Times New Roman" w:cs="Times New Roman"/>
                <w:szCs w:val="24"/>
                <w:highlight w:val="green"/>
              </w:rPr>
              <w:t>0.8936</w:t>
            </w:r>
          </w:p>
        </w:tc>
        <w:tc>
          <w:tcPr>
            <w:tcW w:w="0" w:type="auto"/>
            <w:vAlign w:val="center"/>
            <w:hideMark/>
          </w:tcPr>
          <w:p w14:paraId="1B8F2C83" w14:textId="77777777" w:rsidR="007F3E5B" w:rsidRPr="006320B7" w:rsidRDefault="007F3E5B" w:rsidP="007F3E5B">
            <w:pPr>
              <w:spacing w:before="0" w:line="240" w:lineRule="auto"/>
              <w:rPr>
                <w:rFonts w:eastAsia="Times New Roman" w:cs="Times New Roman"/>
                <w:szCs w:val="24"/>
                <w:highlight w:val="green"/>
              </w:rPr>
            </w:pPr>
            <w:r w:rsidRPr="006320B7">
              <w:rPr>
                <w:rFonts w:eastAsia="Times New Roman" w:cs="Times New Roman"/>
                <w:szCs w:val="24"/>
                <w:highlight w:val="green"/>
              </w:rPr>
              <w:t>0.7985</w:t>
            </w:r>
          </w:p>
        </w:tc>
        <w:tc>
          <w:tcPr>
            <w:tcW w:w="0" w:type="auto"/>
            <w:vAlign w:val="center"/>
            <w:hideMark/>
          </w:tcPr>
          <w:p w14:paraId="5EAB54BC" w14:textId="77777777" w:rsidR="007F3E5B" w:rsidRPr="006320B7" w:rsidRDefault="007F3E5B" w:rsidP="007F3E5B">
            <w:pPr>
              <w:spacing w:before="0" w:line="240" w:lineRule="auto"/>
              <w:rPr>
                <w:rFonts w:eastAsia="Times New Roman" w:cs="Times New Roman"/>
                <w:szCs w:val="24"/>
                <w:highlight w:val="green"/>
              </w:rPr>
            </w:pPr>
            <w:r w:rsidRPr="006320B7">
              <w:rPr>
                <w:rFonts w:eastAsia="Times New Roman" w:cs="Times New Roman"/>
                <w:szCs w:val="24"/>
                <w:highlight w:val="green"/>
              </w:rPr>
              <w:t>0.7857</w:t>
            </w:r>
          </w:p>
        </w:tc>
        <w:tc>
          <w:tcPr>
            <w:tcW w:w="0" w:type="auto"/>
            <w:vAlign w:val="center"/>
            <w:hideMark/>
          </w:tcPr>
          <w:p w14:paraId="6DDEA482" w14:textId="77777777" w:rsidR="007F3E5B" w:rsidRPr="006320B7" w:rsidRDefault="007F3E5B" w:rsidP="007F3E5B">
            <w:pPr>
              <w:spacing w:before="0" w:line="240" w:lineRule="auto"/>
              <w:rPr>
                <w:rFonts w:eastAsia="Times New Roman" w:cs="Times New Roman"/>
                <w:szCs w:val="24"/>
                <w:highlight w:val="green"/>
              </w:rPr>
            </w:pPr>
            <w:r w:rsidRPr="006320B7">
              <w:rPr>
                <w:rFonts w:eastAsia="Times New Roman" w:cs="Times New Roman"/>
                <w:szCs w:val="24"/>
                <w:highlight w:val="green"/>
              </w:rPr>
              <w:t>0.1283</w:t>
            </w:r>
          </w:p>
        </w:tc>
      </w:tr>
    </w:tbl>
    <w:p w14:paraId="45797304" w14:textId="16279D50" w:rsidR="007F3E5B" w:rsidRPr="007F3E5B" w:rsidRDefault="007F3E5B" w:rsidP="007F3E5B">
      <w:pPr>
        <w:spacing w:before="0" w:line="240" w:lineRule="auto"/>
        <w:rPr>
          <w:rFonts w:eastAsia="Times New Roman" w:cs="Times New Roman"/>
          <w:b/>
          <w:szCs w:val="24"/>
          <w:highlight w:val="green"/>
        </w:rPr>
      </w:pPr>
      <w:r w:rsidRPr="006320B7">
        <w:rPr>
          <w:rFonts w:eastAsia="Times New Roman" w:cs="Times New Roman"/>
          <w:b/>
          <w:szCs w:val="24"/>
          <w:highlight w:val="green"/>
        </w:rPr>
        <w:t>Source: Research Data, 2024</w:t>
      </w:r>
    </w:p>
    <w:p w14:paraId="08CAC0F6" w14:textId="77777777" w:rsidR="007F3E5B" w:rsidRPr="006320B7" w:rsidRDefault="007F3E5B" w:rsidP="007F3E5B">
      <w:pPr>
        <w:spacing w:before="0" w:line="240" w:lineRule="auto"/>
        <w:rPr>
          <w:rFonts w:eastAsia="Times New Roman" w:cs="Times New Roman"/>
          <w:b/>
          <w:szCs w:val="24"/>
          <w:highlight w:val="green"/>
        </w:rPr>
      </w:pPr>
    </w:p>
    <w:p w14:paraId="5F3E4D66" w14:textId="1E6A1D12" w:rsidR="007F3E5B" w:rsidRPr="007F3E5B" w:rsidRDefault="007F3E5B" w:rsidP="007F3E5B">
      <w:pPr>
        <w:spacing w:before="0" w:line="240" w:lineRule="auto"/>
        <w:rPr>
          <w:rFonts w:eastAsia="Times New Roman" w:cs="Times New Roman"/>
          <w:szCs w:val="24"/>
          <w:highlight w:val="green"/>
        </w:rPr>
      </w:pPr>
      <w:r w:rsidRPr="006320B7">
        <w:rPr>
          <w:rFonts w:eastAsia="Times New Roman" w:cs="Times New Roman"/>
          <w:szCs w:val="24"/>
          <w:highlight w:val="green"/>
        </w:rPr>
        <w:t>The model shows a strong correlation (R = 0.8936) between the technological systems and financial efficiency, with R² = 0.7985 indicating that approximately 79.85% of the variance in financial efficiency can be explained by the combined effect of ERP systems, cloud-based accounting, and blockchain technology. The adjusted R² (0.7857) confirms a good model fit.</w:t>
      </w:r>
    </w:p>
    <w:p w14:paraId="67EA0843" w14:textId="77777777" w:rsidR="007F3E5B" w:rsidRPr="006320B7" w:rsidRDefault="007F3E5B" w:rsidP="007F3E5B">
      <w:pPr>
        <w:spacing w:before="0" w:line="240" w:lineRule="auto"/>
        <w:rPr>
          <w:rFonts w:eastAsia="Times New Roman" w:cs="Times New Roman"/>
          <w:szCs w:val="24"/>
          <w:highlight w:val="green"/>
        </w:rPr>
      </w:pPr>
    </w:p>
    <w:p w14:paraId="742C1FF0" w14:textId="4BDA52B3" w:rsidR="007F3E5B" w:rsidRPr="006320B7" w:rsidRDefault="007F3E5B" w:rsidP="007F3E5B">
      <w:pPr>
        <w:spacing w:before="0" w:line="240" w:lineRule="auto"/>
        <w:outlineLvl w:val="2"/>
        <w:rPr>
          <w:rFonts w:eastAsia="Times New Roman" w:cs="Times New Roman"/>
          <w:b/>
          <w:bCs/>
          <w:sz w:val="27"/>
          <w:szCs w:val="27"/>
          <w:highlight w:val="green"/>
        </w:rPr>
      </w:pPr>
      <w:r w:rsidRPr="007F3E5B">
        <w:rPr>
          <w:rFonts w:eastAsia="Times New Roman" w:cs="Times New Roman"/>
          <w:b/>
          <w:bCs/>
          <w:sz w:val="27"/>
          <w:szCs w:val="27"/>
          <w:highlight w:val="green"/>
        </w:rPr>
        <w:t xml:space="preserve">4.4 </w:t>
      </w:r>
      <w:r w:rsidRPr="006320B7">
        <w:rPr>
          <w:rFonts w:eastAsia="Times New Roman" w:cs="Times New Roman"/>
          <w:b/>
          <w:bCs/>
          <w:sz w:val="27"/>
          <w:szCs w:val="27"/>
          <w:highlight w:val="green"/>
        </w:rPr>
        <w:t>ANOVA Results</w:t>
      </w:r>
    </w:p>
    <w:p w14:paraId="5BD22AE1" w14:textId="2FCE2DAF" w:rsidR="007F3E5B" w:rsidRPr="006320B7" w:rsidRDefault="007F3E5B" w:rsidP="007F3E5B">
      <w:pPr>
        <w:spacing w:before="0" w:line="240" w:lineRule="auto"/>
        <w:rPr>
          <w:rFonts w:eastAsia="Times New Roman" w:cs="Times New Roman"/>
          <w:szCs w:val="24"/>
          <w:highlight w:val="green"/>
        </w:rPr>
      </w:pPr>
      <w:r w:rsidRPr="007F3E5B">
        <w:rPr>
          <w:rFonts w:eastAsia="Times New Roman" w:cs="Times New Roman"/>
          <w:b/>
          <w:bCs/>
          <w:szCs w:val="24"/>
          <w:highlight w:val="green"/>
        </w:rPr>
        <w:t>Table 6: ANOVA</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142"/>
        <w:gridCol w:w="1674"/>
        <w:gridCol w:w="300"/>
        <w:gridCol w:w="1440"/>
        <w:gridCol w:w="840"/>
        <w:gridCol w:w="947"/>
        <w:gridCol w:w="1068"/>
      </w:tblGrid>
      <w:tr w:rsidR="007F3E5B" w:rsidRPr="006320B7" w14:paraId="4ACCE488" w14:textId="77777777" w:rsidTr="007F3E5B">
        <w:trPr>
          <w:tblHeader/>
          <w:tblCellSpacing w:w="15" w:type="dxa"/>
        </w:trPr>
        <w:tc>
          <w:tcPr>
            <w:tcW w:w="0" w:type="auto"/>
            <w:tcBorders>
              <w:top w:val="single" w:sz="4" w:space="0" w:color="auto"/>
              <w:bottom w:val="single" w:sz="4" w:space="0" w:color="auto"/>
            </w:tcBorders>
            <w:hideMark/>
          </w:tcPr>
          <w:p w14:paraId="28C3DAC6" w14:textId="77777777" w:rsidR="007F3E5B" w:rsidRPr="006320B7" w:rsidRDefault="007F3E5B" w:rsidP="007F3E5B">
            <w:pPr>
              <w:spacing w:before="0" w:line="240" w:lineRule="auto"/>
              <w:jc w:val="center"/>
              <w:rPr>
                <w:rFonts w:eastAsia="Times New Roman" w:cs="Times New Roman"/>
                <w:b/>
                <w:bCs/>
                <w:szCs w:val="24"/>
                <w:highlight w:val="green"/>
              </w:rPr>
            </w:pPr>
            <w:r w:rsidRPr="006320B7">
              <w:rPr>
                <w:rFonts w:eastAsia="Times New Roman" w:cs="Times New Roman"/>
                <w:b/>
                <w:bCs/>
                <w:szCs w:val="24"/>
                <w:highlight w:val="green"/>
              </w:rPr>
              <w:t>Source</w:t>
            </w:r>
          </w:p>
        </w:tc>
        <w:tc>
          <w:tcPr>
            <w:tcW w:w="0" w:type="auto"/>
            <w:tcBorders>
              <w:top w:val="single" w:sz="4" w:space="0" w:color="auto"/>
              <w:bottom w:val="single" w:sz="4" w:space="0" w:color="auto"/>
            </w:tcBorders>
            <w:hideMark/>
          </w:tcPr>
          <w:p w14:paraId="7CAC9A05" w14:textId="77777777" w:rsidR="007F3E5B" w:rsidRPr="006320B7" w:rsidRDefault="007F3E5B" w:rsidP="007F3E5B">
            <w:pPr>
              <w:spacing w:before="0" w:line="240" w:lineRule="auto"/>
              <w:jc w:val="center"/>
              <w:rPr>
                <w:rFonts w:eastAsia="Times New Roman" w:cs="Times New Roman"/>
                <w:b/>
                <w:bCs/>
                <w:szCs w:val="24"/>
                <w:highlight w:val="green"/>
              </w:rPr>
            </w:pPr>
            <w:r w:rsidRPr="006320B7">
              <w:rPr>
                <w:rFonts w:eastAsia="Times New Roman" w:cs="Times New Roman"/>
                <w:b/>
                <w:bCs/>
                <w:szCs w:val="24"/>
                <w:highlight w:val="green"/>
              </w:rPr>
              <w:t>Sum of Squares</w:t>
            </w:r>
          </w:p>
        </w:tc>
        <w:tc>
          <w:tcPr>
            <w:tcW w:w="0" w:type="auto"/>
            <w:tcBorders>
              <w:top w:val="single" w:sz="4" w:space="0" w:color="auto"/>
              <w:bottom w:val="single" w:sz="4" w:space="0" w:color="auto"/>
            </w:tcBorders>
            <w:hideMark/>
          </w:tcPr>
          <w:p w14:paraId="049DA596" w14:textId="77777777" w:rsidR="007F3E5B" w:rsidRPr="006320B7" w:rsidRDefault="007F3E5B" w:rsidP="007F3E5B">
            <w:pPr>
              <w:spacing w:before="0" w:line="240" w:lineRule="auto"/>
              <w:jc w:val="center"/>
              <w:rPr>
                <w:rFonts w:eastAsia="Times New Roman" w:cs="Times New Roman"/>
                <w:b/>
                <w:bCs/>
                <w:szCs w:val="24"/>
                <w:highlight w:val="green"/>
              </w:rPr>
            </w:pPr>
            <w:r w:rsidRPr="006320B7">
              <w:rPr>
                <w:rFonts w:eastAsia="Times New Roman" w:cs="Times New Roman"/>
                <w:b/>
                <w:bCs/>
                <w:szCs w:val="24"/>
                <w:highlight w:val="green"/>
              </w:rPr>
              <w:t>df</w:t>
            </w:r>
          </w:p>
        </w:tc>
        <w:tc>
          <w:tcPr>
            <w:tcW w:w="0" w:type="auto"/>
            <w:tcBorders>
              <w:top w:val="single" w:sz="4" w:space="0" w:color="auto"/>
              <w:bottom w:val="single" w:sz="4" w:space="0" w:color="auto"/>
            </w:tcBorders>
            <w:hideMark/>
          </w:tcPr>
          <w:p w14:paraId="2EE61108" w14:textId="77777777" w:rsidR="007F3E5B" w:rsidRPr="006320B7" w:rsidRDefault="007F3E5B" w:rsidP="007F3E5B">
            <w:pPr>
              <w:spacing w:before="0" w:line="240" w:lineRule="auto"/>
              <w:jc w:val="center"/>
              <w:rPr>
                <w:rFonts w:eastAsia="Times New Roman" w:cs="Times New Roman"/>
                <w:b/>
                <w:bCs/>
                <w:szCs w:val="24"/>
                <w:highlight w:val="green"/>
              </w:rPr>
            </w:pPr>
            <w:r w:rsidRPr="006320B7">
              <w:rPr>
                <w:rFonts w:eastAsia="Times New Roman" w:cs="Times New Roman"/>
                <w:b/>
                <w:bCs/>
                <w:szCs w:val="24"/>
                <w:highlight w:val="green"/>
              </w:rPr>
              <w:t>Mean Square</w:t>
            </w:r>
          </w:p>
        </w:tc>
        <w:tc>
          <w:tcPr>
            <w:tcW w:w="0" w:type="auto"/>
            <w:tcBorders>
              <w:top w:val="single" w:sz="4" w:space="0" w:color="auto"/>
              <w:bottom w:val="single" w:sz="4" w:space="0" w:color="auto"/>
            </w:tcBorders>
            <w:hideMark/>
          </w:tcPr>
          <w:p w14:paraId="4B2839D2" w14:textId="77777777" w:rsidR="007F3E5B" w:rsidRPr="006320B7" w:rsidRDefault="007F3E5B" w:rsidP="007F3E5B">
            <w:pPr>
              <w:spacing w:before="0" w:line="240" w:lineRule="auto"/>
              <w:jc w:val="center"/>
              <w:rPr>
                <w:rFonts w:eastAsia="Times New Roman" w:cs="Times New Roman"/>
                <w:b/>
                <w:bCs/>
                <w:szCs w:val="24"/>
                <w:highlight w:val="green"/>
              </w:rPr>
            </w:pPr>
            <w:r w:rsidRPr="006320B7">
              <w:rPr>
                <w:rFonts w:eastAsia="Times New Roman" w:cs="Times New Roman"/>
                <w:b/>
                <w:bCs/>
                <w:szCs w:val="24"/>
                <w:highlight w:val="green"/>
              </w:rPr>
              <w:t>F</w:t>
            </w:r>
          </w:p>
        </w:tc>
        <w:tc>
          <w:tcPr>
            <w:tcW w:w="0" w:type="auto"/>
            <w:tcBorders>
              <w:top w:val="single" w:sz="4" w:space="0" w:color="auto"/>
              <w:bottom w:val="single" w:sz="4" w:space="0" w:color="auto"/>
            </w:tcBorders>
            <w:hideMark/>
          </w:tcPr>
          <w:p w14:paraId="613F05ED" w14:textId="77777777" w:rsidR="007F3E5B" w:rsidRPr="006320B7" w:rsidRDefault="007F3E5B" w:rsidP="007F3E5B">
            <w:pPr>
              <w:spacing w:before="0" w:line="240" w:lineRule="auto"/>
              <w:jc w:val="center"/>
              <w:rPr>
                <w:rFonts w:eastAsia="Times New Roman" w:cs="Times New Roman"/>
                <w:b/>
                <w:bCs/>
                <w:szCs w:val="24"/>
                <w:highlight w:val="green"/>
              </w:rPr>
            </w:pPr>
            <w:r w:rsidRPr="006320B7">
              <w:rPr>
                <w:rFonts w:eastAsia="Times New Roman" w:cs="Times New Roman"/>
                <w:b/>
                <w:bCs/>
                <w:szCs w:val="24"/>
                <w:highlight w:val="green"/>
              </w:rPr>
              <w:t>P-value</w:t>
            </w:r>
          </w:p>
        </w:tc>
        <w:tc>
          <w:tcPr>
            <w:tcW w:w="0" w:type="auto"/>
            <w:tcBorders>
              <w:top w:val="single" w:sz="4" w:space="0" w:color="auto"/>
              <w:bottom w:val="single" w:sz="4" w:space="0" w:color="auto"/>
            </w:tcBorders>
            <w:hideMark/>
          </w:tcPr>
          <w:p w14:paraId="49D350BB" w14:textId="77777777" w:rsidR="007F3E5B" w:rsidRPr="006320B7" w:rsidRDefault="007F3E5B" w:rsidP="007F3E5B">
            <w:pPr>
              <w:spacing w:before="0" w:line="240" w:lineRule="auto"/>
              <w:jc w:val="center"/>
              <w:rPr>
                <w:rFonts w:eastAsia="Times New Roman" w:cs="Times New Roman"/>
                <w:b/>
                <w:bCs/>
                <w:szCs w:val="24"/>
                <w:highlight w:val="green"/>
              </w:rPr>
            </w:pPr>
            <w:r w:rsidRPr="006320B7">
              <w:rPr>
                <w:rFonts w:eastAsia="Times New Roman" w:cs="Times New Roman"/>
                <w:b/>
                <w:bCs/>
                <w:szCs w:val="24"/>
                <w:highlight w:val="green"/>
              </w:rPr>
              <w:t>F Critical</w:t>
            </w:r>
          </w:p>
        </w:tc>
      </w:tr>
      <w:tr w:rsidR="007F3E5B" w:rsidRPr="006320B7" w14:paraId="672DE843" w14:textId="77777777" w:rsidTr="007F3E5B">
        <w:trPr>
          <w:tblCellSpacing w:w="15" w:type="dxa"/>
        </w:trPr>
        <w:tc>
          <w:tcPr>
            <w:tcW w:w="0" w:type="auto"/>
            <w:hideMark/>
          </w:tcPr>
          <w:p w14:paraId="31682400" w14:textId="77777777" w:rsidR="007F3E5B" w:rsidRPr="006320B7" w:rsidRDefault="007F3E5B" w:rsidP="007F3E5B">
            <w:pPr>
              <w:spacing w:before="0" w:line="240" w:lineRule="auto"/>
              <w:rPr>
                <w:rFonts w:eastAsia="Times New Roman" w:cs="Times New Roman"/>
                <w:szCs w:val="24"/>
                <w:highlight w:val="green"/>
              </w:rPr>
            </w:pPr>
            <w:r w:rsidRPr="006320B7">
              <w:rPr>
                <w:rFonts w:eastAsia="Times New Roman" w:cs="Times New Roman"/>
                <w:szCs w:val="24"/>
                <w:highlight w:val="green"/>
              </w:rPr>
              <w:t>Regression</w:t>
            </w:r>
          </w:p>
        </w:tc>
        <w:tc>
          <w:tcPr>
            <w:tcW w:w="0" w:type="auto"/>
            <w:hideMark/>
          </w:tcPr>
          <w:p w14:paraId="0339F1BD" w14:textId="77777777" w:rsidR="007F3E5B" w:rsidRPr="006320B7" w:rsidRDefault="007F3E5B" w:rsidP="007F3E5B">
            <w:pPr>
              <w:spacing w:before="0" w:line="240" w:lineRule="auto"/>
              <w:rPr>
                <w:rFonts w:eastAsia="Times New Roman" w:cs="Times New Roman"/>
                <w:szCs w:val="24"/>
                <w:highlight w:val="green"/>
              </w:rPr>
            </w:pPr>
            <w:r w:rsidRPr="006320B7">
              <w:rPr>
                <w:rFonts w:eastAsia="Times New Roman" w:cs="Times New Roman"/>
                <w:szCs w:val="24"/>
                <w:highlight w:val="green"/>
              </w:rPr>
              <w:t>2.7845</w:t>
            </w:r>
          </w:p>
        </w:tc>
        <w:tc>
          <w:tcPr>
            <w:tcW w:w="0" w:type="auto"/>
            <w:hideMark/>
          </w:tcPr>
          <w:p w14:paraId="60FB9C0D" w14:textId="77777777" w:rsidR="007F3E5B" w:rsidRPr="006320B7" w:rsidRDefault="007F3E5B" w:rsidP="007F3E5B">
            <w:pPr>
              <w:spacing w:before="0" w:line="240" w:lineRule="auto"/>
              <w:rPr>
                <w:rFonts w:eastAsia="Times New Roman" w:cs="Times New Roman"/>
                <w:szCs w:val="24"/>
                <w:highlight w:val="green"/>
              </w:rPr>
            </w:pPr>
            <w:r w:rsidRPr="006320B7">
              <w:rPr>
                <w:rFonts w:eastAsia="Times New Roman" w:cs="Times New Roman"/>
                <w:szCs w:val="24"/>
                <w:highlight w:val="green"/>
              </w:rPr>
              <w:t>3</w:t>
            </w:r>
          </w:p>
        </w:tc>
        <w:tc>
          <w:tcPr>
            <w:tcW w:w="0" w:type="auto"/>
            <w:hideMark/>
          </w:tcPr>
          <w:p w14:paraId="2F9E8800" w14:textId="77777777" w:rsidR="007F3E5B" w:rsidRPr="006320B7" w:rsidRDefault="007F3E5B" w:rsidP="007F3E5B">
            <w:pPr>
              <w:spacing w:before="0" w:line="240" w:lineRule="auto"/>
              <w:rPr>
                <w:rFonts w:eastAsia="Times New Roman" w:cs="Times New Roman"/>
                <w:szCs w:val="24"/>
                <w:highlight w:val="green"/>
              </w:rPr>
            </w:pPr>
            <w:r w:rsidRPr="006320B7">
              <w:rPr>
                <w:rFonts w:eastAsia="Times New Roman" w:cs="Times New Roman"/>
                <w:szCs w:val="24"/>
                <w:highlight w:val="green"/>
              </w:rPr>
              <w:t>0.9282</w:t>
            </w:r>
          </w:p>
        </w:tc>
        <w:tc>
          <w:tcPr>
            <w:tcW w:w="0" w:type="auto"/>
            <w:hideMark/>
          </w:tcPr>
          <w:p w14:paraId="6FD43A58" w14:textId="77777777" w:rsidR="007F3E5B" w:rsidRPr="006320B7" w:rsidRDefault="007F3E5B" w:rsidP="007F3E5B">
            <w:pPr>
              <w:spacing w:before="0" w:line="240" w:lineRule="auto"/>
              <w:rPr>
                <w:rFonts w:eastAsia="Times New Roman" w:cs="Times New Roman"/>
                <w:szCs w:val="24"/>
                <w:highlight w:val="green"/>
              </w:rPr>
            </w:pPr>
            <w:r w:rsidRPr="006320B7">
              <w:rPr>
                <w:rFonts w:eastAsia="Times New Roman" w:cs="Times New Roman"/>
                <w:szCs w:val="24"/>
                <w:highlight w:val="green"/>
              </w:rPr>
              <w:t>67.4243</w:t>
            </w:r>
          </w:p>
        </w:tc>
        <w:tc>
          <w:tcPr>
            <w:tcW w:w="0" w:type="auto"/>
            <w:hideMark/>
          </w:tcPr>
          <w:p w14:paraId="3BCF33B6" w14:textId="77777777" w:rsidR="007F3E5B" w:rsidRPr="006320B7" w:rsidRDefault="007F3E5B" w:rsidP="007F3E5B">
            <w:pPr>
              <w:spacing w:before="0" w:line="240" w:lineRule="auto"/>
              <w:rPr>
                <w:rFonts w:eastAsia="Times New Roman" w:cs="Times New Roman"/>
                <w:szCs w:val="24"/>
                <w:highlight w:val="green"/>
              </w:rPr>
            </w:pPr>
            <w:r w:rsidRPr="006320B7">
              <w:rPr>
                <w:rFonts w:eastAsia="Times New Roman" w:cs="Times New Roman"/>
                <w:szCs w:val="24"/>
                <w:highlight w:val="green"/>
              </w:rPr>
              <w:t>1.85E-17</w:t>
            </w:r>
          </w:p>
        </w:tc>
        <w:tc>
          <w:tcPr>
            <w:tcW w:w="0" w:type="auto"/>
            <w:hideMark/>
          </w:tcPr>
          <w:p w14:paraId="16FF9CC5" w14:textId="77777777" w:rsidR="007F3E5B" w:rsidRPr="006320B7" w:rsidRDefault="007F3E5B" w:rsidP="007F3E5B">
            <w:pPr>
              <w:spacing w:before="0" w:line="240" w:lineRule="auto"/>
              <w:rPr>
                <w:rFonts w:eastAsia="Times New Roman" w:cs="Times New Roman"/>
                <w:szCs w:val="24"/>
                <w:highlight w:val="green"/>
              </w:rPr>
            </w:pPr>
            <w:r w:rsidRPr="006320B7">
              <w:rPr>
                <w:rFonts w:eastAsia="Times New Roman" w:cs="Times New Roman"/>
                <w:szCs w:val="24"/>
                <w:highlight w:val="green"/>
              </w:rPr>
              <w:t>2.7858</w:t>
            </w:r>
          </w:p>
        </w:tc>
      </w:tr>
      <w:tr w:rsidR="007F3E5B" w:rsidRPr="006320B7" w14:paraId="1896B1BA" w14:textId="77777777" w:rsidTr="007F3E5B">
        <w:trPr>
          <w:tblCellSpacing w:w="15" w:type="dxa"/>
        </w:trPr>
        <w:tc>
          <w:tcPr>
            <w:tcW w:w="0" w:type="auto"/>
            <w:hideMark/>
          </w:tcPr>
          <w:p w14:paraId="6734431B" w14:textId="77777777" w:rsidR="007F3E5B" w:rsidRPr="006320B7" w:rsidRDefault="007F3E5B" w:rsidP="007F3E5B">
            <w:pPr>
              <w:spacing w:before="0" w:line="240" w:lineRule="auto"/>
              <w:rPr>
                <w:rFonts w:eastAsia="Times New Roman" w:cs="Times New Roman"/>
                <w:szCs w:val="24"/>
                <w:highlight w:val="green"/>
              </w:rPr>
            </w:pPr>
            <w:r w:rsidRPr="006320B7">
              <w:rPr>
                <w:rFonts w:eastAsia="Times New Roman" w:cs="Times New Roman"/>
                <w:szCs w:val="24"/>
                <w:highlight w:val="green"/>
              </w:rPr>
              <w:t>Residual</w:t>
            </w:r>
          </w:p>
        </w:tc>
        <w:tc>
          <w:tcPr>
            <w:tcW w:w="0" w:type="auto"/>
            <w:hideMark/>
          </w:tcPr>
          <w:p w14:paraId="5AFF4ACF" w14:textId="77777777" w:rsidR="007F3E5B" w:rsidRPr="006320B7" w:rsidRDefault="007F3E5B" w:rsidP="007F3E5B">
            <w:pPr>
              <w:spacing w:before="0" w:line="240" w:lineRule="auto"/>
              <w:rPr>
                <w:rFonts w:eastAsia="Times New Roman" w:cs="Times New Roman"/>
                <w:szCs w:val="24"/>
                <w:highlight w:val="green"/>
              </w:rPr>
            </w:pPr>
            <w:r w:rsidRPr="006320B7">
              <w:rPr>
                <w:rFonts w:eastAsia="Times New Roman" w:cs="Times New Roman"/>
                <w:szCs w:val="24"/>
                <w:highlight w:val="green"/>
              </w:rPr>
              <w:t>0.7023</w:t>
            </w:r>
          </w:p>
        </w:tc>
        <w:tc>
          <w:tcPr>
            <w:tcW w:w="0" w:type="auto"/>
            <w:hideMark/>
          </w:tcPr>
          <w:p w14:paraId="0EE5C58A" w14:textId="77777777" w:rsidR="007F3E5B" w:rsidRPr="006320B7" w:rsidRDefault="007F3E5B" w:rsidP="007F3E5B">
            <w:pPr>
              <w:spacing w:before="0" w:line="240" w:lineRule="auto"/>
              <w:rPr>
                <w:rFonts w:eastAsia="Times New Roman" w:cs="Times New Roman"/>
                <w:szCs w:val="24"/>
                <w:highlight w:val="green"/>
              </w:rPr>
            </w:pPr>
            <w:r w:rsidRPr="006320B7">
              <w:rPr>
                <w:rFonts w:eastAsia="Times New Roman" w:cs="Times New Roman"/>
                <w:szCs w:val="24"/>
                <w:highlight w:val="green"/>
              </w:rPr>
              <w:t>51</w:t>
            </w:r>
          </w:p>
        </w:tc>
        <w:tc>
          <w:tcPr>
            <w:tcW w:w="0" w:type="auto"/>
            <w:hideMark/>
          </w:tcPr>
          <w:p w14:paraId="1FD7E68C" w14:textId="77777777" w:rsidR="007F3E5B" w:rsidRPr="006320B7" w:rsidRDefault="007F3E5B" w:rsidP="007F3E5B">
            <w:pPr>
              <w:spacing w:before="0" w:line="240" w:lineRule="auto"/>
              <w:rPr>
                <w:rFonts w:eastAsia="Times New Roman" w:cs="Times New Roman"/>
                <w:szCs w:val="24"/>
                <w:highlight w:val="green"/>
              </w:rPr>
            </w:pPr>
            <w:r w:rsidRPr="006320B7">
              <w:rPr>
                <w:rFonts w:eastAsia="Times New Roman" w:cs="Times New Roman"/>
                <w:szCs w:val="24"/>
                <w:highlight w:val="green"/>
              </w:rPr>
              <w:t>0.0138</w:t>
            </w:r>
          </w:p>
        </w:tc>
        <w:tc>
          <w:tcPr>
            <w:tcW w:w="0" w:type="auto"/>
            <w:hideMark/>
          </w:tcPr>
          <w:p w14:paraId="38B4512A" w14:textId="77777777" w:rsidR="007F3E5B" w:rsidRPr="006320B7" w:rsidRDefault="007F3E5B" w:rsidP="007F3E5B">
            <w:pPr>
              <w:spacing w:before="0" w:line="240" w:lineRule="auto"/>
              <w:rPr>
                <w:rFonts w:eastAsia="Times New Roman" w:cs="Times New Roman"/>
                <w:szCs w:val="24"/>
                <w:highlight w:val="green"/>
              </w:rPr>
            </w:pPr>
          </w:p>
        </w:tc>
        <w:tc>
          <w:tcPr>
            <w:tcW w:w="0" w:type="auto"/>
            <w:hideMark/>
          </w:tcPr>
          <w:p w14:paraId="789A9CF5" w14:textId="77777777" w:rsidR="007F3E5B" w:rsidRPr="006320B7" w:rsidRDefault="007F3E5B" w:rsidP="007F3E5B">
            <w:pPr>
              <w:spacing w:before="0" w:line="240" w:lineRule="auto"/>
              <w:rPr>
                <w:rFonts w:eastAsia="Times New Roman" w:cs="Times New Roman"/>
                <w:sz w:val="20"/>
                <w:szCs w:val="20"/>
                <w:highlight w:val="green"/>
              </w:rPr>
            </w:pPr>
          </w:p>
        </w:tc>
        <w:tc>
          <w:tcPr>
            <w:tcW w:w="0" w:type="auto"/>
            <w:hideMark/>
          </w:tcPr>
          <w:p w14:paraId="5E846800" w14:textId="77777777" w:rsidR="007F3E5B" w:rsidRPr="006320B7" w:rsidRDefault="007F3E5B" w:rsidP="007F3E5B">
            <w:pPr>
              <w:spacing w:before="0" w:line="240" w:lineRule="auto"/>
              <w:rPr>
                <w:rFonts w:eastAsia="Times New Roman" w:cs="Times New Roman"/>
                <w:sz w:val="20"/>
                <w:szCs w:val="20"/>
                <w:highlight w:val="green"/>
              </w:rPr>
            </w:pPr>
          </w:p>
        </w:tc>
      </w:tr>
      <w:tr w:rsidR="007F3E5B" w:rsidRPr="006320B7" w14:paraId="770141C7" w14:textId="77777777" w:rsidTr="007F3E5B">
        <w:trPr>
          <w:tblCellSpacing w:w="15" w:type="dxa"/>
        </w:trPr>
        <w:tc>
          <w:tcPr>
            <w:tcW w:w="0" w:type="auto"/>
            <w:hideMark/>
          </w:tcPr>
          <w:p w14:paraId="682CEB5C" w14:textId="77777777" w:rsidR="007F3E5B" w:rsidRPr="006320B7" w:rsidRDefault="007F3E5B" w:rsidP="007F3E5B">
            <w:pPr>
              <w:spacing w:before="0" w:line="240" w:lineRule="auto"/>
              <w:rPr>
                <w:rFonts w:eastAsia="Times New Roman" w:cs="Times New Roman"/>
                <w:szCs w:val="24"/>
                <w:highlight w:val="green"/>
              </w:rPr>
            </w:pPr>
            <w:r w:rsidRPr="006320B7">
              <w:rPr>
                <w:rFonts w:eastAsia="Times New Roman" w:cs="Times New Roman"/>
                <w:szCs w:val="24"/>
                <w:highlight w:val="green"/>
              </w:rPr>
              <w:t>Total</w:t>
            </w:r>
          </w:p>
        </w:tc>
        <w:tc>
          <w:tcPr>
            <w:tcW w:w="0" w:type="auto"/>
            <w:hideMark/>
          </w:tcPr>
          <w:p w14:paraId="1E4E0A81" w14:textId="77777777" w:rsidR="007F3E5B" w:rsidRPr="006320B7" w:rsidRDefault="007F3E5B" w:rsidP="007F3E5B">
            <w:pPr>
              <w:spacing w:before="0" w:line="240" w:lineRule="auto"/>
              <w:rPr>
                <w:rFonts w:eastAsia="Times New Roman" w:cs="Times New Roman"/>
                <w:szCs w:val="24"/>
                <w:highlight w:val="green"/>
              </w:rPr>
            </w:pPr>
            <w:r w:rsidRPr="006320B7">
              <w:rPr>
                <w:rFonts w:eastAsia="Times New Roman" w:cs="Times New Roman"/>
                <w:szCs w:val="24"/>
                <w:highlight w:val="green"/>
              </w:rPr>
              <w:t>3.4868</w:t>
            </w:r>
          </w:p>
        </w:tc>
        <w:tc>
          <w:tcPr>
            <w:tcW w:w="0" w:type="auto"/>
            <w:hideMark/>
          </w:tcPr>
          <w:p w14:paraId="32F5C7C9" w14:textId="77777777" w:rsidR="007F3E5B" w:rsidRPr="006320B7" w:rsidRDefault="007F3E5B" w:rsidP="007F3E5B">
            <w:pPr>
              <w:spacing w:before="0" w:line="240" w:lineRule="auto"/>
              <w:rPr>
                <w:rFonts w:eastAsia="Times New Roman" w:cs="Times New Roman"/>
                <w:szCs w:val="24"/>
                <w:highlight w:val="green"/>
              </w:rPr>
            </w:pPr>
            <w:r w:rsidRPr="006320B7">
              <w:rPr>
                <w:rFonts w:eastAsia="Times New Roman" w:cs="Times New Roman"/>
                <w:szCs w:val="24"/>
                <w:highlight w:val="green"/>
              </w:rPr>
              <w:t>54</w:t>
            </w:r>
          </w:p>
        </w:tc>
        <w:tc>
          <w:tcPr>
            <w:tcW w:w="0" w:type="auto"/>
            <w:hideMark/>
          </w:tcPr>
          <w:p w14:paraId="19FE4A74" w14:textId="77777777" w:rsidR="007F3E5B" w:rsidRPr="006320B7" w:rsidRDefault="007F3E5B" w:rsidP="007F3E5B">
            <w:pPr>
              <w:spacing w:before="0" w:line="240" w:lineRule="auto"/>
              <w:rPr>
                <w:rFonts w:eastAsia="Times New Roman" w:cs="Times New Roman"/>
                <w:szCs w:val="24"/>
                <w:highlight w:val="green"/>
              </w:rPr>
            </w:pPr>
          </w:p>
        </w:tc>
        <w:tc>
          <w:tcPr>
            <w:tcW w:w="0" w:type="auto"/>
            <w:hideMark/>
          </w:tcPr>
          <w:p w14:paraId="4B7B1536" w14:textId="77777777" w:rsidR="007F3E5B" w:rsidRPr="006320B7" w:rsidRDefault="007F3E5B" w:rsidP="007F3E5B">
            <w:pPr>
              <w:spacing w:before="0" w:line="240" w:lineRule="auto"/>
              <w:rPr>
                <w:rFonts w:eastAsia="Times New Roman" w:cs="Times New Roman"/>
                <w:sz w:val="20"/>
                <w:szCs w:val="20"/>
                <w:highlight w:val="green"/>
              </w:rPr>
            </w:pPr>
          </w:p>
        </w:tc>
        <w:tc>
          <w:tcPr>
            <w:tcW w:w="0" w:type="auto"/>
            <w:hideMark/>
          </w:tcPr>
          <w:p w14:paraId="4BE9A6FC" w14:textId="77777777" w:rsidR="007F3E5B" w:rsidRPr="006320B7" w:rsidRDefault="007F3E5B" w:rsidP="007F3E5B">
            <w:pPr>
              <w:spacing w:before="0" w:line="240" w:lineRule="auto"/>
              <w:rPr>
                <w:rFonts w:eastAsia="Times New Roman" w:cs="Times New Roman"/>
                <w:sz w:val="20"/>
                <w:szCs w:val="20"/>
                <w:highlight w:val="green"/>
              </w:rPr>
            </w:pPr>
          </w:p>
        </w:tc>
        <w:tc>
          <w:tcPr>
            <w:tcW w:w="0" w:type="auto"/>
            <w:hideMark/>
          </w:tcPr>
          <w:p w14:paraId="5DB800BD" w14:textId="77777777" w:rsidR="007F3E5B" w:rsidRPr="006320B7" w:rsidRDefault="007F3E5B" w:rsidP="007F3E5B">
            <w:pPr>
              <w:spacing w:before="0" w:line="240" w:lineRule="auto"/>
              <w:rPr>
                <w:rFonts w:eastAsia="Times New Roman" w:cs="Times New Roman"/>
                <w:sz w:val="20"/>
                <w:szCs w:val="20"/>
                <w:highlight w:val="green"/>
              </w:rPr>
            </w:pPr>
          </w:p>
        </w:tc>
      </w:tr>
    </w:tbl>
    <w:p w14:paraId="06455772" w14:textId="1B976185" w:rsidR="007F3E5B" w:rsidRPr="007F3E5B" w:rsidRDefault="007F3E5B" w:rsidP="007F3E5B">
      <w:pPr>
        <w:spacing w:before="0" w:line="240" w:lineRule="auto"/>
        <w:rPr>
          <w:rFonts w:eastAsia="Times New Roman" w:cs="Times New Roman"/>
          <w:b/>
          <w:szCs w:val="24"/>
          <w:highlight w:val="green"/>
        </w:rPr>
      </w:pPr>
      <w:r w:rsidRPr="006320B7">
        <w:rPr>
          <w:rFonts w:eastAsia="Times New Roman" w:cs="Times New Roman"/>
          <w:b/>
          <w:szCs w:val="24"/>
          <w:highlight w:val="green"/>
        </w:rPr>
        <w:t>Source: Research Data, 2024</w:t>
      </w:r>
    </w:p>
    <w:p w14:paraId="1984E9F6" w14:textId="77777777" w:rsidR="007F3E5B" w:rsidRPr="006320B7" w:rsidRDefault="007F3E5B" w:rsidP="007F3E5B">
      <w:pPr>
        <w:spacing w:before="0" w:line="240" w:lineRule="auto"/>
        <w:rPr>
          <w:rFonts w:eastAsia="Times New Roman" w:cs="Times New Roman"/>
          <w:b/>
          <w:szCs w:val="24"/>
          <w:highlight w:val="green"/>
        </w:rPr>
      </w:pPr>
    </w:p>
    <w:p w14:paraId="2D387679" w14:textId="6105177C" w:rsidR="007F3E5B" w:rsidRPr="007F3E5B" w:rsidRDefault="007F3E5B" w:rsidP="007F3E5B">
      <w:pPr>
        <w:spacing w:before="0" w:line="240" w:lineRule="auto"/>
        <w:rPr>
          <w:rFonts w:eastAsia="Times New Roman" w:cs="Times New Roman"/>
          <w:szCs w:val="24"/>
          <w:highlight w:val="green"/>
        </w:rPr>
      </w:pPr>
      <w:r w:rsidRPr="006320B7">
        <w:rPr>
          <w:rFonts w:eastAsia="Times New Roman" w:cs="Times New Roman"/>
          <w:szCs w:val="24"/>
          <w:highlight w:val="green"/>
        </w:rPr>
        <w:t>The ANOVA results (F = 67.4243, p &lt; 0.001) indicate strong statistical significance, leading to the rejection of all three null hypotheses. This confirms that ERP systems, cloud-based accounting, and blockchain technology have a significant combined effect on financial efficiency in humanitarian organizations.</w:t>
      </w:r>
    </w:p>
    <w:p w14:paraId="1B62CC70" w14:textId="77777777" w:rsidR="007F3E5B" w:rsidRPr="006320B7" w:rsidRDefault="007F3E5B" w:rsidP="007F3E5B">
      <w:pPr>
        <w:spacing w:before="0" w:line="240" w:lineRule="auto"/>
        <w:rPr>
          <w:rFonts w:eastAsia="Times New Roman" w:cs="Times New Roman"/>
          <w:szCs w:val="24"/>
          <w:highlight w:val="green"/>
        </w:rPr>
      </w:pPr>
    </w:p>
    <w:p w14:paraId="6A25D36D" w14:textId="455F45A6" w:rsidR="007F3E5B" w:rsidRPr="006320B7" w:rsidRDefault="007F3E5B" w:rsidP="007F3E5B">
      <w:pPr>
        <w:spacing w:before="0" w:line="240" w:lineRule="auto"/>
        <w:outlineLvl w:val="2"/>
        <w:rPr>
          <w:rFonts w:eastAsia="Times New Roman" w:cs="Times New Roman"/>
          <w:b/>
          <w:bCs/>
          <w:sz w:val="27"/>
          <w:szCs w:val="27"/>
          <w:highlight w:val="green"/>
        </w:rPr>
      </w:pPr>
      <w:r w:rsidRPr="007F3E5B">
        <w:rPr>
          <w:rFonts w:eastAsia="Times New Roman" w:cs="Times New Roman"/>
          <w:b/>
          <w:bCs/>
          <w:sz w:val="27"/>
          <w:szCs w:val="27"/>
          <w:highlight w:val="green"/>
        </w:rPr>
        <w:t xml:space="preserve">4.5 </w:t>
      </w:r>
      <w:r w:rsidRPr="006320B7">
        <w:rPr>
          <w:rFonts w:eastAsia="Times New Roman" w:cs="Times New Roman"/>
          <w:b/>
          <w:bCs/>
          <w:sz w:val="27"/>
          <w:szCs w:val="27"/>
          <w:highlight w:val="green"/>
        </w:rPr>
        <w:t>Regression Coefficients</w:t>
      </w:r>
    </w:p>
    <w:p w14:paraId="482CE3C6" w14:textId="4263DAED" w:rsidR="007F3E5B" w:rsidRPr="006320B7" w:rsidRDefault="007F3E5B" w:rsidP="007F3E5B">
      <w:pPr>
        <w:spacing w:before="0" w:line="240" w:lineRule="auto"/>
        <w:rPr>
          <w:rFonts w:eastAsia="Times New Roman" w:cs="Times New Roman"/>
          <w:szCs w:val="24"/>
          <w:highlight w:val="green"/>
        </w:rPr>
      </w:pPr>
      <w:r w:rsidRPr="007F3E5B">
        <w:rPr>
          <w:rFonts w:eastAsia="Times New Roman" w:cs="Times New Roman"/>
          <w:b/>
          <w:bCs/>
          <w:szCs w:val="24"/>
          <w:highlight w:val="green"/>
        </w:rPr>
        <w:t>Table 7: Regression Coefficients</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508"/>
        <w:gridCol w:w="1526"/>
        <w:gridCol w:w="1127"/>
        <w:gridCol w:w="767"/>
        <w:gridCol w:w="834"/>
        <w:gridCol w:w="1267"/>
        <w:gridCol w:w="1269"/>
      </w:tblGrid>
      <w:tr w:rsidR="007F3E5B" w:rsidRPr="006320B7" w14:paraId="03BB0328" w14:textId="77777777" w:rsidTr="007F3E5B">
        <w:trPr>
          <w:tblHeader/>
          <w:tblCellSpacing w:w="15" w:type="dxa"/>
        </w:trPr>
        <w:tc>
          <w:tcPr>
            <w:tcW w:w="0" w:type="auto"/>
            <w:tcBorders>
              <w:top w:val="single" w:sz="4" w:space="0" w:color="auto"/>
              <w:bottom w:val="single" w:sz="4" w:space="0" w:color="auto"/>
            </w:tcBorders>
            <w:hideMark/>
          </w:tcPr>
          <w:p w14:paraId="7D2B0156" w14:textId="77777777" w:rsidR="007F3E5B" w:rsidRPr="006320B7" w:rsidRDefault="007F3E5B" w:rsidP="007F3E5B">
            <w:pPr>
              <w:spacing w:before="0" w:line="240" w:lineRule="auto"/>
              <w:jc w:val="center"/>
              <w:rPr>
                <w:rFonts w:eastAsia="Times New Roman" w:cs="Times New Roman"/>
                <w:b/>
                <w:bCs/>
                <w:szCs w:val="24"/>
                <w:highlight w:val="green"/>
              </w:rPr>
            </w:pPr>
            <w:r w:rsidRPr="006320B7">
              <w:rPr>
                <w:rFonts w:eastAsia="Times New Roman" w:cs="Times New Roman"/>
                <w:b/>
                <w:bCs/>
                <w:szCs w:val="24"/>
                <w:highlight w:val="green"/>
              </w:rPr>
              <w:t>Variable</w:t>
            </w:r>
          </w:p>
        </w:tc>
        <w:tc>
          <w:tcPr>
            <w:tcW w:w="0" w:type="auto"/>
            <w:tcBorders>
              <w:top w:val="single" w:sz="4" w:space="0" w:color="auto"/>
              <w:bottom w:val="single" w:sz="4" w:space="0" w:color="auto"/>
            </w:tcBorders>
            <w:hideMark/>
          </w:tcPr>
          <w:p w14:paraId="75DF3B59" w14:textId="77777777" w:rsidR="007F3E5B" w:rsidRPr="006320B7" w:rsidRDefault="007F3E5B" w:rsidP="007F3E5B">
            <w:pPr>
              <w:spacing w:before="0" w:line="240" w:lineRule="auto"/>
              <w:jc w:val="center"/>
              <w:rPr>
                <w:rFonts w:eastAsia="Times New Roman" w:cs="Times New Roman"/>
                <w:b/>
                <w:bCs/>
                <w:szCs w:val="24"/>
                <w:highlight w:val="green"/>
              </w:rPr>
            </w:pPr>
            <w:r w:rsidRPr="006320B7">
              <w:rPr>
                <w:rFonts w:eastAsia="Times New Roman" w:cs="Times New Roman"/>
                <w:b/>
                <w:bCs/>
                <w:szCs w:val="24"/>
                <w:highlight w:val="green"/>
              </w:rPr>
              <w:t>Coefficient (β)</w:t>
            </w:r>
          </w:p>
        </w:tc>
        <w:tc>
          <w:tcPr>
            <w:tcW w:w="0" w:type="auto"/>
            <w:tcBorders>
              <w:top w:val="single" w:sz="4" w:space="0" w:color="auto"/>
              <w:bottom w:val="single" w:sz="4" w:space="0" w:color="auto"/>
            </w:tcBorders>
            <w:hideMark/>
          </w:tcPr>
          <w:p w14:paraId="0FF4AFF5" w14:textId="77777777" w:rsidR="007F3E5B" w:rsidRPr="006320B7" w:rsidRDefault="007F3E5B" w:rsidP="007F3E5B">
            <w:pPr>
              <w:spacing w:before="0" w:line="240" w:lineRule="auto"/>
              <w:jc w:val="center"/>
              <w:rPr>
                <w:rFonts w:eastAsia="Times New Roman" w:cs="Times New Roman"/>
                <w:b/>
                <w:bCs/>
                <w:szCs w:val="24"/>
                <w:highlight w:val="green"/>
              </w:rPr>
            </w:pPr>
            <w:r w:rsidRPr="006320B7">
              <w:rPr>
                <w:rFonts w:eastAsia="Times New Roman" w:cs="Times New Roman"/>
                <w:b/>
                <w:bCs/>
                <w:szCs w:val="24"/>
                <w:highlight w:val="green"/>
              </w:rPr>
              <w:t>Std. Error</w:t>
            </w:r>
          </w:p>
        </w:tc>
        <w:tc>
          <w:tcPr>
            <w:tcW w:w="0" w:type="auto"/>
            <w:tcBorders>
              <w:top w:val="single" w:sz="4" w:space="0" w:color="auto"/>
              <w:bottom w:val="single" w:sz="4" w:space="0" w:color="auto"/>
            </w:tcBorders>
            <w:hideMark/>
          </w:tcPr>
          <w:p w14:paraId="390F0FC3" w14:textId="77777777" w:rsidR="007F3E5B" w:rsidRPr="006320B7" w:rsidRDefault="007F3E5B" w:rsidP="007F3E5B">
            <w:pPr>
              <w:spacing w:before="0" w:line="240" w:lineRule="auto"/>
              <w:jc w:val="center"/>
              <w:rPr>
                <w:rFonts w:eastAsia="Times New Roman" w:cs="Times New Roman"/>
                <w:b/>
                <w:bCs/>
                <w:szCs w:val="24"/>
                <w:highlight w:val="green"/>
              </w:rPr>
            </w:pPr>
            <w:r w:rsidRPr="006320B7">
              <w:rPr>
                <w:rFonts w:eastAsia="Times New Roman" w:cs="Times New Roman"/>
                <w:b/>
                <w:bCs/>
                <w:szCs w:val="24"/>
                <w:highlight w:val="green"/>
              </w:rPr>
              <w:t>t-value</w:t>
            </w:r>
          </w:p>
        </w:tc>
        <w:tc>
          <w:tcPr>
            <w:tcW w:w="0" w:type="auto"/>
            <w:tcBorders>
              <w:top w:val="single" w:sz="4" w:space="0" w:color="auto"/>
              <w:bottom w:val="single" w:sz="4" w:space="0" w:color="auto"/>
            </w:tcBorders>
            <w:hideMark/>
          </w:tcPr>
          <w:p w14:paraId="11DC89CE" w14:textId="77777777" w:rsidR="007F3E5B" w:rsidRPr="006320B7" w:rsidRDefault="007F3E5B" w:rsidP="007F3E5B">
            <w:pPr>
              <w:spacing w:before="0" w:line="240" w:lineRule="auto"/>
              <w:jc w:val="center"/>
              <w:rPr>
                <w:rFonts w:eastAsia="Times New Roman" w:cs="Times New Roman"/>
                <w:b/>
                <w:bCs/>
                <w:szCs w:val="24"/>
                <w:highlight w:val="green"/>
              </w:rPr>
            </w:pPr>
            <w:r w:rsidRPr="006320B7">
              <w:rPr>
                <w:rFonts w:eastAsia="Times New Roman" w:cs="Times New Roman"/>
                <w:b/>
                <w:bCs/>
                <w:szCs w:val="24"/>
                <w:highlight w:val="green"/>
              </w:rPr>
              <w:t>P-value</w:t>
            </w:r>
          </w:p>
        </w:tc>
        <w:tc>
          <w:tcPr>
            <w:tcW w:w="0" w:type="auto"/>
            <w:tcBorders>
              <w:top w:val="single" w:sz="4" w:space="0" w:color="auto"/>
              <w:bottom w:val="single" w:sz="4" w:space="0" w:color="auto"/>
            </w:tcBorders>
            <w:hideMark/>
          </w:tcPr>
          <w:p w14:paraId="549F4EC5" w14:textId="77777777" w:rsidR="007F3E5B" w:rsidRPr="006320B7" w:rsidRDefault="007F3E5B" w:rsidP="007F3E5B">
            <w:pPr>
              <w:spacing w:before="0" w:line="240" w:lineRule="auto"/>
              <w:jc w:val="center"/>
              <w:rPr>
                <w:rFonts w:eastAsia="Times New Roman" w:cs="Times New Roman"/>
                <w:b/>
                <w:bCs/>
                <w:szCs w:val="24"/>
                <w:highlight w:val="green"/>
              </w:rPr>
            </w:pPr>
            <w:r w:rsidRPr="006320B7">
              <w:rPr>
                <w:rFonts w:eastAsia="Times New Roman" w:cs="Times New Roman"/>
                <w:b/>
                <w:bCs/>
                <w:szCs w:val="24"/>
                <w:highlight w:val="green"/>
              </w:rPr>
              <w:t>Lower 95%</w:t>
            </w:r>
          </w:p>
        </w:tc>
        <w:tc>
          <w:tcPr>
            <w:tcW w:w="0" w:type="auto"/>
            <w:tcBorders>
              <w:top w:val="single" w:sz="4" w:space="0" w:color="auto"/>
              <w:bottom w:val="single" w:sz="4" w:space="0" w:color="auto"/>
            </w:tcBorders>
            <w:hideMark/>
          </w:tcPr>
          <w:p w14:paraId="7E9DB879" w14:textId="77777777" w:rsidR="007F3E5B" w:rsidRPr="006320B7" w:rsidRDefault="007F3E5B" w:rsidP="007F3E5B">
            <w:pPr>
              <w:spacing w:before="0" w:line="240" w:lineRule="auto"/>
              <w:jc w:val="center"/>
              <w:rPr>
                <w:rFonts w:eastAsia="Times New Roman" w:cs="Times New Roman"/>
                <w:b/>
                <w:bCs/>
                <w:szCs w:val="24"/>
                <w:highlight w:val="green"/>
              </w:rPr>
            </w:pPr>
            <w:r w:rsidRPr="006320B7">
              <w:rPr>
                <w:rFonts w:eastAsia="Times New Roman" w:cs="Times New Roman"/>
                <w:b/>
                <w:bCs/>
                <w:szCs w:val="24"/>
                <w:highlight w:val="green"/>
              </w:rPr>
              <w:t>Upper 95%</w:t>
            </w:r>
          </w:p>
        </w:tc>
      </w:tr>
      <w:tr w:rsidR="007F3E5B" w:rsidRPr="006320B7" w14:paraId="3631EC3E" w14:textId="77777777" w:rsidTr="007F3E5B">
        <w:trPr>
          <w:tblCellSpacing w:w="15" w:type="dxa"/>
        </w:trPr>
        <w:tc>
          <w:tcPr>
            <w:tcW w:w="0" w:type="auto"/>
            <w:hideMark/>
          </w:tcPr>
          <w:p w14:paraId="3874B91F" w14:textId="77777777" w:rsidR="007F3E5B" w:rsidRPr="006320B7" w:rsidRDefault="007F3E5B" w:rsidP="007F3E5B">
            <w:pPr>
              <w:spacing w:before="0" w:line="240" w:lineRule="auto"/>
              <w:rPr>
                <w:rFonts w:eastAsia="Times New Roman" w:cs="Times New Roman"/>
                <w:szCs w:val="24"/>
                <w:highlight w:val="green"/>
              </w:rPr>
            </w:pPr>
            <w:r w:rsidRPr="006320B7">
              <w:rPr>
                <w:rFonts w:eastAsia="Times New Roman" w:cs="Times New Roman"/>
                <w:szCs w:val="24"/>
                <w:highlight w:val="green"/>
              </w:rPr>
              <w:t>Constant</w:t>
            </w:r>
          </w:p>
        </w:tc>
        <w:tc>
          <w:tcPr>
            <w:tcW w:w="0" w:type="auto"/>
            <w:hideMark/>
          </w:tcPr>
          <w:p w14:paraId="70EEBED0" w14:textId="77777777" w:rsidR="007F3E5B" w:rsidRPr="006320B7" w:rsidRDefault="007F3E5B" w:rsidP="007F3E5B">
            <w:pPr>
              <w:spacing w:before="0" w:line="240" w:lineRule="auto"/>
              <w:rPr>
                <w:rFonts w:eastAsia="Times New Roman" w:cs="Times New Roman"/>
                <w:szCs w:val="24"/>
                <w:highlight w:val="green"/>
              </w:rPr>
            </w:pPr>
            <w:r w:rsidRPr="006320B7">
              <w:rPr>
                <w:rFonts w:eastAsia="Times New Roman" w:cs="Times New Roman"/>
                <w:szCs w:val="24"/>
                <w:highlight w:val="green"/>
              </w:rPr>
              <w:t>-2.1527</w:t>
            </w:r>
          </w:p>
        </w:tc>
        <w:tc>
          <w:tcPr>
            <w:tcW w:w="0" w:type="auto"/>
            <w:hideMark/>
          </w:tcPr>
          <w:p w14:paraId="121B28A0" w14:textId="77777777" w:rsidR="007F3E5B" w:rsidRPr="006320B7" w:rsidRDefault="007F3E5B" w:rsidP="007F3E5B">
            <w:pPr>
              <w:spacing w:before="0" w:line="240" w:lineRule="auto"/>
              <w:rPr>
                <w:rFonts w:eastAsia="Times New Roman" w:cs="Times New Roman"/>
                <w:szCs w:val="24"/>
                <w:highlight w:val="green"/>
              </w:rPr>
            </w:pPr>
            <w:r w:rsidRPr="006320B7">
              <w:rPr>
                <w:rFonts w:eastAsia="Times New Roman" w:cs="Times New Roman"/>
                <w:szCs w:val="24"/>
                <w:highlight w:val="green"/>
              </w:rPr>
              <w:t>0.3241</w:t>
            </w:r>
          </w:p>
        </w:tc>
        <w:tc>
          <w:tcPr>
            <w:tcW w:w="0" w:type="auto"/>
            <w:hideMark/>
          </w:tcPr>
          <w:p w14:paraId="36F24DBB" w14:textId="77777777" w:rsidR="007F3E5B" w:rsidRPr="006320B7" w:rsidRDefault="007F3E5B" w:rsidP="007F3E5B">
            <w:pPr>
              <w:spacing w:before="0" w:line="240" w:lineRule="auto"/>
              <w:rPr>
                <w:rFonts w:eastAsia="Times New Roman" w:cs="Times New Roman"/>
                <w:szCs w:val="24"/>
                <w:highlight w:val="green"/>
              </w:rPr>
            </w:pPr>
            <w:r w:rsidRPr="006320B7">
              <w:rPr>
                <w:rFonts w:eastAsia="Times New Roman" w:cs="Times New Roman"/>
                <w:szCs w:val="24"/>
                <w:highlight w:val="green"/>
              </w:rPr>
              <w:t>-6.642</w:t>
            </w:r>
          </w:p>
        </w:tc>
        <w:tc>
          <w:tcPr>
            <w:tcW w:w="0" w:type="auto"/>
            <w:hideMark/>
          </w:tcPr>
          <w:p w14:paraId="089CBCFA" w14:textId="77777777" w:rsidR="007F3E5B" w:rsidRPr="006320B7" w:rsidRDefault="007F3E5B" w:rsidP="007F3E5B">
            <w:pPr>
              <w:spacing w:before="0" w:line="240" w:lineRule="auto"/>
              <w:rPr>
                <w:rFonts w:eastAsia="Times New Roman" w:cs="Times New Roman"/>
                <w:szCs w:val="24"/>
                <w:highlight w:val="green"/>
              </w:rPr>
            </w:pPr>
            <w:r w:rsidRPr="006320B7">
              <w:rPr>
                <w:rFonts w:eastAsia="Times New Roman" w:cs="Times New Roman"/>
                <w:szCs w:val="24"/>
                <w:highlight w:val="green"/>
              </w:rPr>
              <w:t>&lt;0.001</w:t>
            </w:r>
          </w:p>
        </w:tc>
        <w:tc>
          <w:tcPr>
            <w:tcW w:w="0" w:type="auto"/>
            <w:hideMark/>
          </w:tcPr>
          <w:p w14:paraId="000A8596" w14:textId="77777777" w:rsidR="007F3E5B" w:rsidRPr="006320B7" w:rsidRDefault="007F3E5B" w:rsidP="007F3E5B">
            <w:pPr>
              <w:spacing w:before="0" w:line="240" w:lineRule="auto"/>
              <w:rPr>
                <w:rFonts w:eastAsia="Times New Roman" w:cs="Times New Roman"/>
                <w:szCs w:val="24"/>
                <w:highlight w:val="green"/>
              </w:rPr>
            </w:pPr>
            <w:r w:rsidRPr="006320B7">
              <w:rPr>
                <w:rFonts w:eastAsia="Times New Roman" w:cs="Times New Roman"/>
                <w:szCs w:val="24"/>
                <w:highlight w:val="green"/>
              </w:rPr>
              <w:t>-2.8036</w:t>
            </w:r>
          </w:p>
        </w:tc>
        <w:tc>
          <w:tcPr>
            <w:tcW w:w="0" w:type="auto"/>
            <w:hideMark/>
          </w:tcPr>
          <w:p w14:paraId="2EB378E6" w14:textId="77777777" w:rsidR="007F3E5B" w:rsidRPr="006320B7" w:rsidRDefault="007F3E5B" w:rsidP="007F3E5B">
            <w:pPr>
              <w:spacing w:before="0" w:line="240" w:lineRule="auto"/>
              <w:rPr>
                <w:rFonts w:eastAsia="Times New Roman" w:cs="Times New Roman"/>
                <w:szCs w:val="24"/>
                <w:highlight w:val="green"/>
              </w:rPr>
            </w:pPr>
            <w:r w:rsidRPr="006320B7">
              <w:rPr>
                <w:rFonts w:eastAsia="Times New Roman" w:cs="Times New Roman"/>
                <w:szCs w:val="24"/>
                <w:highlight w:val="green"/>
              </w:rPr>
              <w:t>-1.5018</w:t>
            </w:r>
          </w:p>
        </w:tc>
      </w:tr>
      <w:tr w:rsidR="007F3E5B" w:rsidRPr="006320B7" w14:paraId="7A6AB135" w14:textId="77777777" w:rsidTr="007F3E5B">
        <w:trPr>
          <w:tblCellSpacing w:w="15" w:type="dxa"/>
        </w:trPr>
        <w:tc>
          <w:tcPr>
            <w:tcW w:w="0" w:type="auto"/>
            <w:hideMark/>
          </w:tcPr>
          <w:p w14:paraId="3440E216" w14:textId="77777777" w:rsidR="007F3E5B" w:rsidRPr="006320B7" w:rsidRDefault="007F3E5B" w:rsidP="007F3E5B">
            <w:pPr>
              <w:spacing w:before="0" w:line="240" w:lineRule="auto"/>
              <w:rPr>
                <w:rFonts w:eastAsia="Times New Roman" w:cs="Times New Roman"/>
                <w:szCs w:val="24"/>
                <w:highlight w:val="green"/>
              </w:rPr>
            </w:pPr>
            <w:r w:rsidRPr="006320B7">
              <w:rPr>
                <w:rFonts w:eastAsia="Times New Roman" w:cs="Times New Roman"/>
                <w:szCs w:val="24"/>
                <w:highlight w:val="green"/>
              </w:rPr>
              <w:t>ERP Systems</w:t>
            </w:r>
          </w:p>
        </w:tc>
        <w:tc>
          <w:tcPr>
            <w:tcW w:w="0" w:type="auto"/>
            <w:hideMark/>
          </w:tcPr>
          <w:p w14:paraId="382E3E7C" w14:textId="77777777" w:rsidR="007F3E5B" w:rsidRPr="006320B7" w:rsidRDefault="007F3E5B" w:rsidP="007F3E5B">
            <w:pPr>
              <w:spacing w:before="0" w:line="240" w:lineRule="auto"/>
              <w:rPr>
                <w:rFonts w:eastAsia="Times New Roman" w:cs="Times New Roman"/>
                <w:szCs w:val="24"/>
                <w:highlight w:val="green"/>
              </w:rPr>
            </w:pPr>
            <w:r w:rsidRPr="006320B7">
              <w:rPr>
                <w:rFonts w:eastAsia="Times New Roman" w:cs="Times New Roman"/>
                <w:szCs w:val="24"/>
                <w:highlight w:val="green"/>
              </w:rPr>
              <w:t>1.8436</w:t>
            </w:r>
          </w:p>
        </w:tc>
        <w:tc>
          <w:tcPr>
            <w:tcW w:w="0" w:type="auto"/>
            <w:hideMark/>
          </w:tcPr>
          <w:p w14:paraId="611FE260" w14:textId="77777777" w:rsidR="007F3E5B" w:rsidRPr="006320B7" w:rsidRDefault="007F3E5B" w:rsidP="007F3E5B">
            <w:pPr>
              <w:spacing w:before="0" w:line="240" w:lineRule="auto"/>
              <w:rPr>
                <w:rFonts w:eastAsia="Times New Roman" w:cs="Times New Roman"/>
                <w:szCs w:val="24"/>
                <w:highlight w:val="green"/>
              </w:rPr>
            </w:pPr>
            <w:r w:rsidRPr="006320B7">
              <w:rPr>
                <w:rFonts w:eastAsia="Times New Roman" w:cs="Times New Roman"/>
                <w:szCs w:val="24"/>
                <w:highlight w:val="green"/>
              </w:rPr>
              <w:t>0.2874</w:t>
            </w:r>
          </w:p>
        </w:tc>
        <w:tc>
          <w:tcPr>
            <w:tcW w:w="0" w:type="auto"/>
            <w:hideMark/>
          </w:tcPr>
          <w:p w14:paraId="1F3C7A15" w14:textId="77777777" w:rsidR="007F3E5B" w:rsidRPr="006320B7" w:rsidRDefault="007F3E5B" w:rsidP="007F3E5B">
            <w:pPr>
              <w:spacing w:before="0" w:line="240" w:lineRule="auto"/>
              <w:rPr>
                <w:rFonts w:eastAsia="Times New Roman" w:cs="Times New Roman"/>
                <w:szCs w:val="24"/>
                <w:highlight w:val="green"/>
              </w:rPr>
            </w:pPr>
            <w:r w:rsidRPr="006320B7">
              <w:rPr>
                <w:rFonts w:eastAsia="Times New Roman" w:cs="Times New Roman"/>
                <w:szCs w:val="24"/>
                <w:highlight w:val="green"/>
              </w:rPr>
              <w:t>6.415</w:t>
            </w:r>
          </w:p>
        </w:tc>
        <w:tc>
          <w:tcPr>
            <w:tcW w:w="0" w:type="auto"/>
            <w:hideMark/>
          </w:tcPr>
          <w:p w14:paraId="6E243F1C" w14:textId="77777777" w:rsidR="007F3E5B" w:rsidRPr="006320B7" w:rsidRDefault="007F3E5B" w:rsidP="007F3E5B">
            <w:pPr>
              <w:spacing w:before="0" w:line="240" w:lineRule="auto"/>
              <w:rPr>
                <w:rFonts w:eastAsia="Times New Roman" w:cs="Times New Roman"/>
                <w:szCs w:val="24"/>
                <w:highlight w:val="green"/>
              </w:rPr>
            </w:pPr>
            <w:r w:rsidRPr="006320B7">
              <w:rPr>
                <w:rFonts w:eastAsia="Times New Roman" w:cs="Times New Roman"/>
                <w:szCs w:val="24"/>
                <w:highlight w:val="green"/>
              </w:rPr>
              <w:t>&lt;0.001</w:t>
            </w:r>
          </w:p>
        </w:tc>
        <w:tc>
          <w:tcPr>
            <w:tcW w:w="0" w:type="auto"/>
            <w:hideMark/>
          </w:tcPr>
          <w:p w14:paraId="7F95F9F2" w14:textId="77777777" w:rsidR="007F3E5B" w:rsidRPr="006320B7" w:rsidRDefault="007F3E5B" w:rsidP="007F3E5B">
            <w:pPr>
              <w:spacing w:before="0" w:line="240" w:lineRule="auto"/>
              <w:rPr>
                <w:rFonts w:eastAsia="Times New Roman" w:cs="Times New Roman"/>
                <w:szCs w:val="24"/>
                <w:highlight w:val="green"/>
              </w:rPr>
            </w:pPr>
            <w:r w:rsidRPr="006320B7">
              <w:rPr>
                <w:rFonts w:eastAsia="Times New Roman" w:cs="Times New Roman"/>
                <w:szCs w:val="24"/>
                <w:highlight w:val="green"/>
              </w:rPr>
              <w:t>1.2665</w:t>
            </w:r>
          </w:p>
        </w:tc>
        <w:tc>
          <w:tcPr>
            <w:tcW w:w="0" w:type="auto"/>
            <w:hideMark/>
          </w:tcPr>
          <w:p w14:paraId="37A2C4F5" w14:textId="77777777" w:rsidR="007F3E5B" w:rsidRPr="006320B7" w:rsidRDefault="007F3E5B" w:rsidP="007F3E5B">
            <w:pPr>
              <w:spacing w:before="0" w:line="240" w:lineRule="auto"/>
              <w:rPr>
                <w:rFonts w:eastAsia="Times New Roman" w:cs="Times New Roman"/>
                <w:szCs w:val="24"/>
                <w:highlight w:val="green"/>
              </w:rPr>
            </w:pPr>
            <w:r w:rsidRPr="006320B7">
              <w:rPr>
                <w:rFonts w:eastAsia="Times New Roman" w:cs="Times New Roman"/>
                <w:szCs w:val="24"/>
                <w:highlight w:val="green"/>
              </w:rPr>
              <w:t>2.4207</w:t>
            </w:r>
          </w:p>
        </w:tc>
      </w:tr>
      <w:tr w:rsidR="007F3E5B" w:rsidRPr="006320B7" w14:paraId="018CA625" w14:textId="77777777" w:rsidTr="007F3E5B">
        <w:trPr>
          <w:tblCellSpacing w:w="15" w:type="dxa"/>
        </w:trPr>
        <w:tc>
          <w:tcPr>
            <w:tcW w:w="0" w:type="auto"/>
            <w:hideMark/>
          </w:tcPr>
          <w:p w14:paraId="6A1D4606" w14:textId="77777777" w:rsidR="007F3E5B" w:rsidRPr="006320B7" w:rsidRDefault="007F3E5B" w:rsidP="007F3E5B">
            <w:pPr>
              <w:spacing w:before="0" w:line="240" w:lineRule="auto"/>
              <w:rPr>
                <w:rFonts w:eastAsia="Times New Roman" w:cs="Times New Roman"/>
                <w:szCs w:val="24"/>
                <w:highlight w:val="green"/>
              </w:rPr>
            </w:pPr>
            <w:r w:rsidRPr="006320B7">
              <w:rPr>
                <w:rFonts w:eastAsia="Times New Roman" w:cs="Times New Roman"/>
                <w:szCs w:val="24"/>
                <w:highlight w:val="green"/>
              </w:rPr>
              <w:t>Cloud-Based Accounting</w:t>
            </w:r>
          </w:p>
        </w:tc>
        <w:tc>
          <w:tcPr>
            <w:tcW w:w="0" w:type="auto"/>
            <w:hideMark/>
          </w:tcPr>
          <w:p w14:paraId="0014331E" w14:textId="77777777" w:rsidR="007F3E5B" w:rsidRPr="006320B7" w:rsidRDefault="007F3E5B" w:rsidP="007F3E5B">
            <w:pPr>
              <w:spacing w:before="0" w:line="240" w:lineRule="auto"/>
              <w:rPr>
                <w:rFonts w:eastAsia="Times New Roman" w:cs="Times New Roman"/>
                <w:szCs w:val="24"/>
                <w:highlight w:val="green"/>
              </w:rPr>
            </w:pPr>
            <w:r w:rsidRPr="006320B7">
              <w:rPr>
                <w:rFonts w:eastAsia="Times New Roman" w:cs="Times New Roman"/>
                <w:szCs w:val="24"/>
                <w:highlight w:val="green"/>
              </w:rPr>
              <w:t>0.9273</w:t>
            </w:r>
          </w:p>
        </w:tc>
        <w:tc>
          <w:tcPr>
            <w:tcW w:w="0" w:type="auto"/>
            <w:hideMark/>
          </w:tcPr>
          <w:p w14:paraId="21F9BEB2" w14:textId="77777777" w:rsidR="007F3E5B" w:rsidRPr="006320B7" w:rsidRDefault="007F3E5B" w:rsidP="007F3E5B">
            <w:pPr>
              <w:spacing w:before="0" w:line="240" w:lineRule="auto"/>
              <w:rPr>
                <w:rFonts w:eastAsia="Times New Roman" w:cs="Times New Roman"/>
                <w:szCs w:val="24"/>
                <w:highlight w:val="green"/>
              </w:rPr>
            </w:pPr>
            <w:r w:rsidRPr="006320B7">
              <w:rPr>
                <w:rFonts w:eastAsia="Times New Roman" w:cs="Times New Roman"/>
                <w:szCs w:val="24"/>
                <w:highlight w:val="green"/>
              </w:rPr>
              <w:t>0.3982</w:t>
            </w:r>
          </w:p>
        </w:tc>
        <w:tc>
          <w:tcPr>
            <w:tcW w:w="0" w:type="auto"/>
            <w:hideMark/>
          </w:tcPr>
          <w:p w14:paraId="0515805F" w14:textId="77777777" w:rsidR="007F3E5B" w:rsidRPr="006320B7" w:rsidRDefault="007F3E5B" w:rsidP="007F3E5B">
            <w:pPr>
              <w:spacing w:before="0" w:line="240" w:lineRule="auto"/>
              <w:rPr>
                <w:rFonts w:eastAsia="Times New Roman" w:cs="Times New Roman"/>
                <w:szCs w:val="24"/>
                <w:highlight w:val="green"/>
              </w:rPr>
            </w:pPr>
            <w:r w:rsidRPr="006320B7">
              <w:rPr>
                <w:rFonts w:eastAsia="Times New Roman" w:cs="Times New Roman"/>
                <w:szCs w:val="24"/>
                <w:highlight w:val="green"/>
              </w:rPr>
              <w:t>2.329</w:t>
            </w:r>
          </w:p>
        </w:tc>
        <w:tc>
          <w:tcPr>
            <w:tcW w:w="0" w:type="auto"/>
            <w:hideMark/>
          </w:tcPr>
          <w:p w14:paraId="24EA6520" w14:textId="77777777" w:rsidR="007F3E5B" w:rsidRPr="006320B7" w:rsidRDefault="007F3E5B" w:rsidP="007F3E5B">
            <w:pPr>
              <w:spacing w:before="0" w:line="240" w:lineRule="auto"/>
              <w:rPr>
                <w:rFonts w:eastAsia="Times New Roman" w:cs="Times New Roman"/>
                <w:szCs w:val="24"/>
                <w:highlight w:val="green"/>
              </w:rPr>
            </w:pPr>
            <w:r w:rsidRPr="006320B7">
              <w:rPr>
                <w:rFonts w:eastAsia="Times New Roman" w:cs="Times New Roman"/>
                <w:szCs w:val="24"/>
                <w:highlight w:val="green"/>
              </w:rPr>
              <w:t>0.0239</w:t>
            </w:r>
          </w:p>
        </w:tc>
        <w:tc>
          <w:tcPr>
            <w:tcW w:w="0" w:type="auto"/>
            <w:hideMark/>
          </w:tcPr>
          <w:p w14:paraId="4F364155" w14:textId="77777777" w:rsidR="007F3E5B" w:rsidRPr="006320B7" w:rsidRDefault="007F3E5B" w:rsidP="007F3E5B">
            <w:pPr>
              <w:spacing w:before="0" w:line="240" w:lineRule="auto"/>
              <w:rPr>
                <w:rFonts w:eastAsia="Times New Roman" w:cs="Times New Roman"/>
                <w:szCs w:val="24"/>
                <w:highlight w:val="green"/>
              </w:rPr>
            </w:pPr>
            <w:r w:rsidRPr="006320B7">
              <w:rPr>
                <w:rFonts w:eastAsia="Times New Roman" w:cs="Times New Roman"/>
                <w:szCs w:val="24"/>
                <w:highlight w:val="green"/>
              </w:rPr>
              <w:t>0.1276</w:t>
            </w:r>
          </w:p>
        </w:tc>
        <w:tc>
          <w:tcPr>
            <w:tcW w:w="0" w:type="auto"/>
            <w:hideMark/>
          </w:tcPr>
          <w:p w14:paraId="6F75495F" w14:textId="77777777" w:rsidR="007F3E5B" w:rsidRPr="006320B7" w:rsidRDefault="007F3E5B" w:rsidP="007F3E5B">
            <w:pPr>
              <w:spacing w:before="0" w:line="240" w:lineRule="auto"/>
              <w:rPr>
                <w:rFonts w:eastAsia="Times New Roman" w:cs="Times New Roman"/>
                <w:szCs w:val="24"/>
                <w:highlight w:val="green"/>
              </w:rPr>
            </w:pPr>
            <w:r w:rsidRPr="006320B7">
              <w:rPr>
                <w:rFonts w:eastAsia="Times New Roman" w:cs="Times New Roman"/>
                <w:szCs w:val="24"/>
                <w:highlight w:val="green"/>
              </w:rPr>
              <w:t>1.7270</w:t>
            </w:r>
          </w:p>
        </w:tc>
      </w:tr>
      <w:tr w:rsidR="007F3E5B" w:rsidRPr="006320B7" w14:paraId="19D24DE0" w14:textId="77777777" w:rsidTr="007F3E5B">
        <w:trPr>
          <w:tblCellSpacing w:w="15" w:type="dxa"/>
        </w:trPr>
        <w:tc>
          <w:tcPr>
            <w:tcW w:w="0" w:type="auto"/>
            <w:hideMark/>
          </w:tcPr>
          <w:p w14:paraId="0BCE8AD3" w14:textId="77777777" w:rsidR="007F3E5B" w:rsidRPr="006320B7" w:rsidRDefault="007F3E5B" w:rsidP="007F3E5B">
            <w:pPr>
              <w:spacing w:before="0" w:line="240" w:lineRule="auto"/>
              <w:rPr>
                <w:rFonts w:eastAsia="Times New Roman" w:cs="Times New Roman"/>
                <w:szCs w:val="24"/>
                <w:highlight w:val="green"/>
              </w:rPr>
            </w:pPr>
            <w:r w:rsidRPr="006320B7">
              <w:rPr>
                <w:rFonts w:eastAsia="Times New Roman" w:cs="Times New Roman"/>
                <w:szCs w:val="24"/>
                <w:highlight w:val="green"/>
              </w:rPr>
              <w:t>Blockchain Technology</w:t>
            </w:r>
          </w:p>
        </w:tc>
        <w:tc>
          <w:tcPr>
            <w:tcW w:w="0" w:type="auto"/>
            <w:hideMark/>
          </w:tcPr>
          <w:p w14:paraId="0DB068AB" w14:textId="77777777" w:rsidR="007F3E5B" w:rsidRPr="006320B7" w:rsidRDefault="007F3E5B" w:rsidP="007F3E5B">
            <w:pPr>
              <w:spacing w:before="0" w:line="240" w:lineRule="auto"/>
              <w:rPr>
                <w:rFonts w:eastAsia="Times New Roman" w:cs="Times New Roman"/>
                <w:szCs w:val="24"/>
                <w:highlight w:val="green"/>
              </w:rPr>
            </w:pPr>
            <w:r w:rsidRPr="006320B7">
              <w:rPr>
                <w:rFonts w:eastAsia="Times New Roman" w:cs="Times New Roman"/>
                <w:szCs w:val="24"/>
                <w:highlight w:val="green"/>
              </w:rPr>
              <w:t>1.2845</w:t>
            </w:r>
          </w:p>
        </w:tc>
        <w:tc>
          <w:tcPr>
            <w:tcW w:w="0" w:type="auto"/>
            <w:hideMark/>
          </w:tcPr>
          <w:p w14:paraId="43AC26F3" w14:textId="77777777" w:rsidR="007F3E5B" w:rsidRPr="006320B7" w:rsidRDefault="007F3E5B" w:rsidP="007F3E5B">
            <w:pPr>
              <w:spacing w:before="0" w:line="240" w:lineRule="auto"/>
              <w:rPr>
                <w:rFonts w:eastAsia="Times New Roman" w:cs="Times New Roman"/>
                <w:szCs w:val="24"/>
                <w:highlight w:val="green"/>
              </w:rPr>
            </w:pPr>
            <w:r w:rsidRPr="006320B7">
              <w:rPr>
                <w:rFonts w:eastAsia="Times New Roman" w:cs="Times New Roman"/>
                <w:szCs w:val="24"/>
                <w:highlight w:val="green"/>
              </w:rPr>
              <w:t>0.4563</w:t>
            </w:r>
          </w:p>
        </w:tc>
        <w:tc>
          <w:tcPr>
            <w:tcW w:w="0" w:type="auto"/>
            <w:hideMark/>
          </w:tcPr>
          <w:p w14:paraId="3E5F0AA9" w14:textId="77777777" w:rsidR="007F3E5B" w:rsidRPr="006320B7" w:rsidRDefault="007F3E5B" w:rsidP="007F3E5B">
            <w:pPr>
              <w:spacing w:before="0" w:line="240" w:lineRule="auto"/>
              <w:rPr>
                <w:rFonts w:eastAsia="Times New Roman" w:cs="Times New Roman"/>
                <w:szCs w:val="24"/>
                <w:highlight w:val="green"/>
              </w:rPr>
            </w:pPr>
            <w:r w:rsidRPr="006320B7">
              <w:rPr>
                <w:rFonts w:eastAsia="Times New Roman" w:cs="Times New Roman"/>
                <w:szCs w:val="24"/>
                <w:highlight w:val="green"/>
              </w:rPr>
              <w:t>2.815</w:t>
            </w:r>
          </w:p>
        </w:tc>
        <w:tc>
          <w:tcPr>
            <w:tcW w:w="0" w:type="auto"/>
            <w:hideMark/>
          </w:tcPr>
          <w:p w14:paraId="5F28D766" w14:textId="77777777" w:rsidR="007F3E5B" w:rsidRPr="006320B7" w:rsidRDefault="007F3E5B" w:rsidP="007F3E5B">
            <w:pPr>
              <w:spacing w:before="0" w:line="240" w:lineRule="auto"/>
              <w:rPr>
                <w:rFonts w:eastAsia="Times New Roman" w:cs="Times New Roman"/>
                <w:szCs w:val="24"/>
                <w:highlight w:val="green"/>
              </w:rPr>
            </w:pPr>
            <w:r w:rsidRPr="006320B7">
              <w:rPr>
                <w:rFonts w:eastAsia="Times New Roman" w:cs="Times New Roman"/>
                <w:szCs w:val="24"/>
                <w:highlight w:val="green"/>
              </w:rPr>
              <w:t>0.007</w:t>
            </w:r>
          </w:p>
        </w:tc>
        <w:tc>
          <w:tcPr>
            <w:tcW w:w="0" w:type="auto"/>
            <w:hideMark/>
          </w:tcPr>
          <w:p w14:paraId="3CDC545F" w14:textId="77777777" w:rsidR="007F3E5B" w:rsidRPr="006320B7" w:rsidRDefault="007F3E5B" w:rsidP="007F3E5B">
            <w:pPr>
              <w:spacing w:before="0" w:line="240" w:lineRule="auto"/>
              <w:rPr>
                <w:rFonts w:eastAsia="Times New Roman" w:cs="Times New Roman"/>
                <w:szCs w:val="24"/>
                <w:highlight w:val="green"/>
              </w:rPr>
            </w:pPr>
            <w:r w:rsidRPr="006320B7">
              <w:rPr>
                <w:rFonts w:eastAsia="Times New Roman" w:cs="Times New Roman"/>
                <w:szCs w:val="24"/>
                <w:highlight w:val="green"/>
              </w:rPr>
              <w:t>0.3681</w:t>
            </w:r>
          </w:p>
        </w:tc>
        <w:tc>
          <w:tcPr>
            <w:tcW w:w="0" w:type="auto"/>
            <w:hideMark/>
          </w:tcPr>
          <w:p w14:paraId="6B9DA510" w14:textId="77777777" w:rsidR="007F3E5B" w:rsidRPr="006320B7" w:rsidRDefault="007F3E5B" w:rsidP="007F3E5B">
            <w:pPr>
              <w:spacing w:before="0" w:line="240" w:lineRule="auto"/>
              <w:rPr>
                <w:rFonts w:eastAsia="Times New Roman" w:cs="Times New Roman"/>
                <w:szCs w:val="24"/>
                <w:highlight w:val="green"/>
              </w:rPr>
            </w:pPr>
            <w:r w:rsidRPr="006320B7">
              <w:rPr>
                <w:rFonts w:eastAsia="Times New Roman" w:cs="Times New Roman"/>
                <w:szCs w:val="24"/>
                <w:highlight w:val="green"/>
              </w:rPr>
              <w:t>2.2009</w:t>
            </w:r>
          </w:p>
        </w:tc>
      </w:tr>
    </w:tbl>
    <w:p w14:paraId="340255FB" w14:textId="24FC4E80" w:rsidR="007F3E5B" w:rsidRPr="007F3E5B" w:rsidRDefault="007F3E5B" w:rsidP="007F3E5B">
      <w:pPr>
        <w:spacing w:before="0" w:line="240" w:lineRule="auto"/>
        <w:rPr>
          <w:rFonts w:eastAsia="Times New Roman" w:cs="Times New Roman"/>
          <w:b/>
          <w:szCs w:val="24"/>
          <w:highlight w:val="green"/>
        </w:rPr>
      </w:pPr>
      <w:r w:rsidRPr="006320B7">
        <w:rPr>
          <w:rFonts w:eastAsia="Times New Roman" w:cs="Times New Roman"/>
          <w:b/>
          <w:szCs w:val="24"/>
          <w:highlight w:val="green"/>
        </w:rPr>
        <w:t>Source: Research Data, 2024</w:t>
      </w:r>
    </w:p>
    <w:p w14:paraId="7E5C5904" w14:textId="77777777" w:rsidR="007F3E5B" w:rsidRPr="006320B7" w:rsidRDefault="007F3E5B" w:rsidP="007F3E5B">
      <w:pPr>
        <w:spacing w:before="0" w:line="240" w:lineRule="auto"/>
        <w:rPr>
          <w:rFonts w:eastAsia="Times New Roman" w:cs="Times New Roman"/>
          <w:b/>
          <w:szCs w:val="24"/>
          <w:highlight w:val="green"/>
        </w:rPr>
      </w:pPr>
    </w:p>
    <w:p w14:paraId="58A93C39" w14:textId="77777777" w:rsidR="007F3E5B" w:rsidRPr="006320B7" w:rsidRDefault="007F3E5B" w:rsidP="007F3E5B">
      <w:pPr>
        <w:spacing w:before="0" w:line="240" w:lineRule="auto"/>
        <w:rPr>
          <w:rFonts w:eastAsia="Times New Roman" w:cs="Times New Roman"/>
          <w:szCs w:val="24"/>
        </w:rPr>
      </w:pPr>
      <w:r w:rsidRPr="006320B7">
        <w:rPr>
          <w:rFonts w:eastAsia="Times New Roman" w:cs="Times New Roman"/>
          <w:szCs w:val="24"/>
          <w:highlight w:val="green"/>
        </w:rPr>
        <w:t>The regression equation shows that ERP systems (β = 1.8436, p &lt; 0.001) have the greatest positive effect on financial efficiency, followed by blockchain technology (β = 1.2845, p = 0.007) and cloud-based accounting software (β = 0.9273, p = 0.0239). The findings suggest that integrating these systems enhances financial transparency, data accuracy, and operational effectiveness in humanitarian organizations. These results align with prior studies emphasizing technology’s role in promoting accountability, reducing operational costs, and ensuring efficient resource utilization in NGOs</w:t>
      </w:r>
      <w:r w:rsidRPr="006320B7">
        <w:rPr>
          <w:rFonts w:eastAsia="Times New Roman" w:cs="Times New Roman"/>
          <w:szCs w:val="24"/>
        </w:rPr>
        <w:t>.</w:t>
      </w:r>
    </w:p>
    <w:p w14:paraId="08BCAFD2" w14:textId="77777777" w:rsidR="007F3E5B" w:rsidRDefault="007F3E5B" w:rsidP="00055D83">
      <w:pPr>
        <w:shd w:val="clear" w:color="auto" w:fill="FFFFFF"/>
        <w:spacing w:line="240" w:lineRule="auto"/>
        <w:rPr>
          <w:rFonts w:eastAsia="Times New Roman" w:cs="Times New Roman"/>
          <w:b/>
          <w:bCs/>
          <w:color w:val="000000" w:themeColor="text1"/>
          <w:sz w:val="28"/>
          <w:szCs w:val="28"/>
        </w:rPr>
      </w:pPr>
    </w:p>
    <w:p w14:paraId="359E84B3" w14:textId="6EAF2DFC" w:rsidR="00055D83" w:rsidRPr="002B2D3C" w:rsidRDefault="00055D83" w:rsidP="00055D83">
      <w:pPr>
        <w:shd w:val="clear" w:color="auto" w:fill="FFFFFF"/>
        <w:spacing w:line="240" w:lineRule="auto"/>
        <w:rPr>
          <w:rFonts w:eastAsia="Times New Roman" w:cs="Times New Roman"/>
          <w:b/>
          <w:bCs/>
          <w:color w:val="000000" w:themeColor="text1"/>
          <w:sz w:val="28"/>
          <w:szCs w:val="28"/>
        </w:rPr>
      </w:pPr>
      <w:r w:rsidRPr="002B2D3C">
        <w:rPr>
          <w:rFonts w:eastAsia="Times New Roman" w:cs="Times New Roman"/>
          <w:b/>
          <w:bCs/>
          <w:color w:val="000000" w:themeColor="text1"/>
          <w:sz w:val="28"/>
          <w:szCs w:val="28"/>
        </w:rPr>
        <w:t xml:space="preserve">5.0 CONCLUSIONS </w:t>
      </w:r>
    </w:p>
    <w:p w14:paraId="0CE73BAB" w14:textId="76100985" w:rsidR="00350703" w:rsidRPr="00350703" w:rsidRDefault="00350703" w:rsidP="00350703">
      <w:pPr>
        <w:spacing w:line="240" w:lineRule="auto"/>
        <w:rPr>
          <w:rFonts w:cs="Times New Roman"/>
          <w:color w:val="000000" w:themeColor="text1"/>
          <w:szCs w:val="24"/>
          <w:highlight w:val="green"/>
        </w:rPr>
      </w:pPr>
      <w:r w:rsidRPr="00350703">
        <w:rPr>
          <w:rFonts w:cs="Times New Roman"/>
          <w:color w:val="000000" w:themeColor="text1"/>
          <w:szCs w:val="24"/>
          <w:highlight w:val="green"/>
        </w:rPr>
        <w:lastRenderedPageBreak/>
        <w:t>The study found varied perceptions of ERP systems, cloud-based accounting software, and blockchain technology among NGO staff. ERP systems were praised for enhancing transparency, real-time reporting, and resource allocation efficiency. These improvements contributed to better compliance and operational effectiveness. However, skepticism remained regarding ERP’s impact on reducing costs and streamlining financial processes. This was mainly due to integration challenges, inconsistent training, and internal resistance to change.</w:t>
      </w:r>
    </w:p>
    <w:p w14:paraId="0769C325" w14:textId="604A1D7D" w:rsidR="00350703" w:rsidRPr="00350703" w:rsidRDefault="00350703" w:rsidP="00350703">
      <w:pPr>
        <w:spacing w:line="240" w:lineRule="auto"/>
        <w:rPr>
          <w:rFonts w:cs="Times New Roman"/>
          <w:color w:val="000000" w:themeColor="text1"/>
          <w:szCs w:val="24"/>
          <w:highlight w:val="green"/>
        </w:rPr>
      </w:pPr>
      <w:r w:rsidRPr="00350703">
        <w:rPr>
          <w:rFonts w:cs="Times New Roman"/>
          <w:color w:val="000000" w:themeColor="text1"/>
          <w:szCs w:val="24"/>
          <w:highlight w:val="green"/>
        </w:rPr>
        <w:t>Cloud-based accounting software received generally positive feedback. Respondents noted improvements in task management, collaboration, and financial reporting. Additional benefits included scalability and disaster recovery capabilities. Despite this, some participants expressed concerns about data security and regulatory compliance. These concerns were shaped by varying levels of familiarity with cloud technologies and different organizational priorities.</w:t>
      </w:r>
    </w:p>
    <w:p w14:paraId="50F0BC2F" w14:textId="28A28C70" w:rsidR="00A27439" w:rsidRPr="002B2D3C" w:rsidRDefault="00350703" w:rsidP="00350703">
      <w:pPr>
        <w:spacing w:line="240" w:lineRule="auto"/>
        <w:rPr>
          <w:rFonts w:cs="Times New Roman"/>
          <w:color w:val="000000" w:themeColor="text1"/>
          <w:szCs w:val="24"/>
        </w:rPr>
      </w:pPr>
      <w:r w:rsidRPr="00350703">
        <w:rPr>
          <w:rFonts w:cs="Times New Roman"/>
          <w:color w:val="000000" w:themeColor="text1"/>
          <w:szCs w:val="24"/>
          <w:highlight w:val="green"/>
        </w:rPr>
        <w:t>Blockchain technology was acknowledged for its potential to secure data, reduce fraud, and improve donor fund tracking. However, it also faced significant skepticism. Many doubted its ability to reduce transaction costs or enhance overall financial security. A key point of contention was its effect on donor trust. Opinions were split some viewed blockchain as enhancing trust, while others remained doubtful. This divide likely stems from limited exposure to blockchain technology and difficulties in integrating it with existing financial systems. Overall, while digital tools offer clear benefits for NGOs, the study highlights critical gaps. Better training, clearer communication of advantages, and more real-world case studies especially on blockchain</w:t>
      </w:r>
      <w:r>
        <w:rPr>
          <w:rFonts w:cs="Times New Roman"/>
          <w:color w:val="000000" w:themeColor="text1"/>
          <w:szCs w:val="24"/>
          <w:highlight w:val="green"/>
        </w:rPr>
        <w:t xml:space="preserve"> </w:t>
      </w:r>
      <w:r w:rsidRPr="00350703">
        <w:rPr>
          <w:rFonts w:cs="Times New Roman"/>
          <w:color w:val="000000" w:themeColor="text1"/>
          <w:szCs w:val="24"/>
          <w:highlight w:val="green"/>
        </w:rPr>
        <w:t>are needed to encourage broader acceptance and effective implementation of these technologies in the sector</w:t>
      </w:r>
      <w:r w:rsidR="00FC4A1C" w:rsidRPr="00FC4A1C">
        <w:rPr>
          <w:rFonts w:cs="Times New Roman"/>
          <w:color w:val="000000" w:themeColor="text1"/>
          <w:szCs w:val="24"/>
        </w:rPr>
        <w:t>.</w:t>
      </w:r>
    </w:p>
    <w:p w14:paraId="750144BF" w14:textId="7E52FE3F" w:rsidR="00055D83" w:rsidRPr="002B2D3C" w:rsidRDefault="00055D83" w:rsidP="00D26C8B">
      <w:pPr>
        <w:spacing w:line="240" w:lineRule="auto"/>
        <w:rPr>
          <w:rFonts w:cs="Times New Roman"/>
          <w:b/>
          <w:bCs/>
          <w:color w:val="000000" w:themeColor="text1"/>
          <w:sz w:val="28"/>
          <w:szCs w:val="28"/>
        </w:rPr>
      </w:pPr>
      <w:r w:rsidRPr="002B2D3C">
        <w:rPr>
          <w:rFonts w:cs="Times New Roman"/>
          <w:b/>
          <w:bCs/>
          <w:color w:val="000000" w:themeColor="text1"/>
          <w:sz w:val="28"/>
          <w:szCs w:val="28"/>
        </w:rPr>
        <w:t>6.0 RECOMMENDATIONS</w:t>
      </w:r>
    </w:p>
    <w:p w14:paraId="3A1644CB" w14:textId="77777777" w:rsidR="00350703" w:rsidRPr="00350703" w:rsidRDefault="00350703" w:rsidP="00350703">
      <w:pPr>
        <w:spacing w:before="0" w:after="160" w:line="240" w:lineRule="auto"/>
        <w:rPr>
          <w:rFonts w:cs="Times New Roman"/>
          <w:color w:val="000000" w:themeColor="text1"/>
          <w:szCs w:val="24"/>
          <w:highlight w:val="green"/>
        </w:rPr>
      </w:pPr>
      <w:r w:rsidRPr="00350703">
        <w:rPr>
          <w:rFonts w:cs="Times New Roman"/>
          <w:color w:val="000000" w:themeColor="text1"/>
          <w:szCs w:val="24"/>
          <w:highlight w:val="green"/>
        </w:rPr>
        <w:t>Improving financial efficiency in humanitarian NGOs is essential for enhancing resource utilization, transparency, and overall financial governance. This study identified several challenges in adopting modern financial technologies, including ERP systems, cloud-based software, and blockchain. To overcome these challenges, a series of recommendations are proposed.</w:t>
      </w:r>
    </w:p>
    <w:p w14:paraId="035A0461" w14:textId="77777777" w:rsidR="00350703" w:rsidRPr="00350703" w:rsidRDefault="00350703" w:rsidP="00350703">
      <w:pPr>
        <w:spacing w:before="0" w:after="160" w:line="240" w:lineRule="auto"/>
        <w:rPr>
          <w:rFonts w:cs="Times New Roman"/>
          <w:color w:val="000000" w:themeColor="text1"/>
          <w:szCs w:val="24"/>
          <w:highlight w:val="green"/>
        </w:rPr>
      </w:pPr>
    </w:p>
    <w:p w14:paraId="2F66AE8B" w14:textId="77777777" w:rsidR="00350703" w:rsidRPr="00350703" w:rsidRDefault="00350703" w:rsidP="00350703">
      <w:pPr>
        <w:spacing w:before="0" w:after="160" w:line="240" w:lineRule="auto"/>
        <w:rPr>
          <w:rFonts w:cs="Times New Roman"/>
          <w:color w:val="000000" w:themeColor="text1"/>
          <w:szCs w:val="24"/>
          <w:highlight w:val="green"/>
        </w:rPr>
      </w:pPr>
      <w:r w:rsidRPr="00350703">
        <w:rPr>
          <w:rFonts w:cs="Times New Roman"/>
          <w:color w:val="000000" w:themeColor="text1"/>
          <w:szCs w:val="24"/>
          <w:highlight w:val="green"/>
        </w:rPr>
        <w:t>First, NGOs should invest in continuous staff training and change management. This will address skill gaps and reduce resistance to digital tools, particularly ERP and cloud systems. Second, it is vital to tailor technological solutions to match the specific operational needs of each organization. Customizing ERP and blockchain systems to align with organizational goals can improve both functionality and user acceptance.</w:t>
      </w:r>
    </w:p>
    <w:p w14:paraId="4B7B68BA" w14:textId="77777777" w:rsidR="00350703" w:rsidRPr="00350703" w:rsidRDefault="00350703" w:rsidP="00350703">
      <w:pPr>
        <w:spacing w:before="0" w:after="160" w:line="240" w:lineRule="auto"/>
        <w:rPr>
          <w:rFonts w:cs="Times New Roman"/>
          <w:color w:val="000000" w:themeColor="text1"/>
          <w:szCs w:val="24"/>
          <w:highlight w:val="green"/>
        </w:rPr>
      </w:pPr>
      <w:r w:rsidRPr="00350703">
        <w:rPr>
          <w:rFonts w:cs="Times New Roman"/>
          <w:color w:val="000000" w:themeColor="text1"/>
          <w:szCs w:val="24"/>
          <w:highlight w:val="green"/>
        </w:rPr>
        <w:t>Third, NGOs must enhance security measures and ensure compliance with donor and legal regulations. Strengthening these areas is especially critical when adopting cloud-based platforms and fosters greater trust among users and stakeholders. Fourth, organizations are encouraged to initiate small-scale blockchain pilot projects. These should focus on transparency and traceability in donor funding to assess feasibility and build confidence in broader implementation.</w:t>
      </w:r>
    </w:p>
    <w:p w14:paraId="7E6BCF65" w14:textId="77777777" w:rsidR="00350703" w:rsidRPr="00350703" w:rsidRDefault="00350703" w:rsidP="00350703">
      <w:pPr>
        <w:spacing w:before="0" w:after="160" w:line="240" w:lineRule="auto"/>
        <w:rPr>
          <w:rFonts w:cs="Times New Roman"/>
          <w:color w:val="000000" w:themeColor="text1"/>
          <w:szCs w:val="24"/>
          <w:highlight w:val="green"/>
        </w:rPr>
      </w:pPr>
      <w:r w:rsidRPr="00350703">
        <w:rPr>
          <w:rFonts w:cs="Times New Roman"/>
          <w:color w:val="000000" w:themeColor="text1"/>
          <w:szCs w:val="24"/>
          <w:highlight w:val="green"/>
        </w:rPr>
        <w:t>Fifth, involving stakeholders from various departments during the selection and evaluation of technology is crucial. This approach ensures the systems meet the needs of the entire organization, leading to higher adoption rates and user satisfaction. Sixth, NGOs should establish ongoing monitoring and evaluation processes for digital tools after implementation. Regular reviews help assess effectiveness, identify emerging issues, and inform future technology investments.</w:t>
      </w:r>
    </w:p>
    <w:p w14:paraId="1FB26C73" w14:textId="60ADFF95" w:rsidR="00350703" w:rsidRPr="00350703" w:rsidRDefault="00350703" w:rsidP="00350703">
      <w:pPr>
        <w:spacing w:before="0" w:after="160" w:line="240" w:lineRule="auto"/>
        <w:rPr>
          <w:rFonts w:cs="Times New Roman"/>
          <w:color w:val="000000" w:themeColor="text1"/>
          <w:szCs w:val="24"/>
          <w:highlight w:val="green"/>
        </w:rPr>
      </w:pPr>
      <w:r w:rsidRPr="00350703">
        <w:rPr>
          <w:rFonts w:cs="Times New Roman"/>
          <w:color w:val="000000" w:themeColor="text1"/>
          <w:szCs w:val="24"/>
          <w:highlight w:val="green"/>
        </w:rPr>
        <w:t>For future research, studies should explore the long-term impacts of ERP adoption. Key areas include financial transparency, cost reduction, and donor trust. Case studies from NGOs that have successfully implemented ERP systems could provide valuable insights into best practices and common implementation challenges. In addition, further investigation into the security risks of cloud-based accounting systems is necessary. Research should focus on best practices for data protection and compliance. Comparative studies across regions or sectors could also reveal how local contexts influence these challenges.</w:t>
      </w:r>
    </w:p>
    <w:p w14:paraId="648B633B" w14:textId="1AF73D17" w:rsidR="00D16476" w:rsidRDefault="00350703" w:rsidP="00350703">
      <w:pPr>
        <w:spacing w:before="0" w:after="160" w:line="240" w:lineRule="auto"/>
        <w:rPr>
          <w:rFonts w:cs="Times New Roman"/>
          <w:color w:val="000000" w:themeColor="text1"/>
          <w:szCs w:val="24"/>
        </w:rPr>
      </w:pPr>
      <w:r w:rsidRPr="00350703">
        <w:rPr>
          <w:rFonts w:cs="Times New Roman"/>
          <w:color w:val="000000" w:themeColor="text1"/>
          <w:szCs w:val="24"/>
          <w:highlight w:val="green"/>
        </w:rPr>
        <w:lastRenderedPageBreak/>
        <w:t>Finally, blockchain technology remains underutilized in NGO financial systems. Future studies should examine successful pilot projects, particularly those related to donor tracking, fraud prevention, and transparency. Longitudinal research assessing blockchain’s impact on donor trust and organizational efficiency would be highly beneficial. Understanding the barriers and opportunities of blockchain integration can help NGOs prepare for adoption and achieve long-term financial sustainability and accountability</w:t>
      </w:r>
      <w:r w:rsidR="00FC4A1C" w:rsidRPr="00FC4A1C">
        <w:rPr>
          <w:rFonts w:cs="Times New Roman"/>
          <w:color w:val="000000" w:themeColor="text1"/>
          <w:szCs w:val="24"/>
        </w:rPr>
        <w:t>.</w:t>
      </w:r>
    </w:p>
    <w:p w14:paraId="37A8BB77" w14:textId="77777777" w:rsidR="007D3229" w:rsidRDefault="007D3229" w:rsidP="00FC4A1C">
      <w:pPr>
        <w:spacing w:before="0" w:after="160" w:line="240" w:lineRule="auto"/>
        <w:rPr>
          <w:rFonts w:cs="Times New Roman"/>
          <w:color w:val="000000" w:themeColor="text1"/>
          <w:szCs w:val="24"/>
        </w:rPr>
      </w:pPr>
    </w:p>
    <w:p w14:paraId="38F15E2F" w14:textId="77777777" w:rsidR="00234957" w:rsidRPr="00FE7640" w:rsidRDefault="00234957" w:rsidP="00234957">
      <w:pPr>
        <w:rPr>
          <w:rFonts w:ascii="Calibri" w:hAnsi="Calibri"/>
          <w:kern w:val="2"/>
          <w:highlight w:val="yellow"/>
        </w:rPr>
      </w:pPr>
      <w:bookmarkStart w:id="5" w:name="_Hlk193540946"/>
      <w:bookmarkStart w:id="6" w:name="_Hlk198899984"/>
      <w:bookmarkStart w:id="7" w:name="_Hlk180402183"/>
      <w:bookmarkStart w:id="8" w:name="_Hlk183680988"/>
      <w:bookmarkStart w:id="9" w:name="_Hlk200717662"/>
      <w:bookmarkStart w:id="10" w:name="_Hlk197173371"/>
      <w:r w:rsidRPr="00FE7640">
        <w:rPr>
          <w:rFonts w:ascii="Calibri" w:hAnsi="Calibri"/>
          <w:kern w:val="2"/>
          <w:highlight w:val="yellow"/>
        </w:rPr>
        <w:t>Disclaimer (Artificial intelligence)</w:t>
      </w:r>
    </w:p>
    <w:p w14:paraId="1EB6FBDB" w14:textId="77777777" w:rsidR="00234957" w:rsidRPr="009C5487" w:rsidRDefault="00234957" w:rsidP="00234957">
      <w:pPr>
        <w:rPr>
          <w:rFonts w:ascii="Calibri" w:hAnsi="Calibri"/>
          <w:kern w:val="2"/>
          <w:highlight w:val="yellow"/>
        </w:rPr>
      </w:pPr>
      <w:r w:rsidRPr="009C5487">
        <w:rPr>
          <w:rFonts w:ascii="Calibri" w:hAnsi="Calibri"/>
          <w:kern w:val="2"/>
          <w:highlight w:val="yellow"/>
        </w:rPr>
        <w:t xml:space="preserve">Option 1: </w:t>
      </w:r>
    </w:p>
    <w:p w14:paraId="6CE8BEAC" w14:textId="77777777" w:rsidR="00234957" w:rsidRPr="009C5487" w:rsidRDefault="00234957" w:rsidP="00234957">
      <w:pPr>
        <w:rPr>
          <w:rFonts w:ascii="Calibri" w:hAnsi="Calibri"/>
          <w:kern w:val="2"/>
          <w:highlight w:val="yellow"/>
        </w:rPr>
      </w:pPr>
      <w:r w:rsidRPr="009C5487">
        <w:rPr>
          <w:rFonts w:ascii="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p w14:paraId="37E7BC94" w14:textId="77777777" w:rsidR="00234957" w:rsidRPr="009C5487" w:rsidRDefault="00234957" w:rsidP="00234957">
      <w:pPr>
        <w:rPr>
          <w:rFonts w:ascii="Calibri" w:hAnsi="Calibri"/>
          <w:kern w:val="2"/>
          <w:highlight w:val="yellow"/>
        </w:rPr>
      </w:pPr>
      <w:r w:rsidRPr="009C5487">
        <w:rPr>
          <w:rFonts w:ascii="Calibri" w:hAnsi="Calibri"/>
          <w:kern w:val="2"/>
          <w:highlight w:val="yellow"/>
        </w:rPr>
        <w:t xml:space="preserve">Option 2: </w:t>
      </w:r>
    </w:p>
    <w:p w14:paraId="503A496A" w14:textId="77777777" w:rsidR="00234957" w:rsidRPr="009C5487" w:rsidRDefault="00234957" w:rsidP="00234957">
      <w:pPr>
        <w:rPr>
          <w:rFonts w:ascii="Calibri" w:hAnsi="Calibri"/>
          <w:kern w:val="2"/>
          <w:highlight w:val="yellow"/>
        </w:rPr>
      </w:pPr>
      <w:r w:rsidRPr="009C5487">
        <w:rPr>
          <w:rFonts w:ascii="Calibri" w:hAnsi="Calibri"/>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71F4491" w14:textId="77777777" w:rsidR="00234957" w:rsidRPr="009C5487" w:rsidRDefault="00234957" w:rsidP="00234957">
      <w:pPr>
        <w:rPr>
          <w:rFonts w:ascii="Calibri" w:hAnsi="Calibri"/>
          <w:kern w:val="2"/>
          <w:highlight w:val="yellow"/>
        </w:rPr>
      </w:pPr>
      <w:r w:rsidRPr="009C5487">
        <w:rPr>
          <w:rFonts w:ascii="Calibri" w:hAnsi="Calibri"/>
          <w:kern w:val="2"/>
          <w:highlight w:val="yellow"/>
        </w:rPr>
        <w:t>Details of the AI usage are given below:</w:t>
      </w:r>
    </w:p>
    <w:p w14:paraId="35965F72" w14:textId="77777777" w:rsidR="00234957" w:rsidRPr="009C5487" w:rsidRDefault="00234957" w:rsidP="00234957">
      <w:pPr>
        <w:rPr>
          <w:rFonts w:ascii="Calibri" w:hAnsi="Calibri"/>
          <w:kern w:val="2"/>
          <w:highlight w:val="yellow"/>
        </w:rPr>
      </w:pPr>
      <w:r w:rsidRPr="009C5487">
        <w:rPr>
          <w:rFonts w:ascii="Calibri" w:hAnsi="Calibri"/>
          <w:kern w:val="2"/>
          <w:highlight w:val="yellow"/>
        </w:rPr>
        <w:t>1.</w:t>
      </w:r>
    </w:p>
    <w:p w14:paraId="64D85A0D" w14:textId="77777777" w:rsidR="00234957" w:rsidRPr="009C5487" w:rsidRDefault="00234957" w:rsidP="00234957">
      <w:pPr>
        <w:rPr>
          <w:rFonts w:ascii="Calibri" w:hAnsi="Calibri"/>
          <w:kern w:val="2"/>
          <w:highlight w:val="yellow"/>
        </w:rPr>
      </w:pPr>
      <w:r w:rsidRPr="009C5487">
        <w:rPr>
          <w:rFonts w:ascii="Calibri" w:hAnsi="Calibri"/>
          <w:kern w:val="2"/>
          <w:highlight w:val="yellow"/>
        </w:rPr>
        <w:t>2.</w:t>
      </w:r>
    </w:p>
    <w:p w14:paraId="5B03830E" w14:textId="77777777" w:rsidR="00234957" w:rsidRPr="009C5487" w:rsidRDefault="00234957" w:rsidP="00234957">
      <w:pPr>
        <w:rPr>
          <w:rFonts w:ascii="Calibri" w:hAnsi="Calibri"/>
          <w:kern w:val="2"/>
        </w:rPr>
      </w:pPr>
      <w:r w:rsidRPr="009C5487">
        <w:rPr>
          <w:rFonts w:ascii="Calibri" w:hAnsi="Calibri"/>
          <w:kern w:val="2"/>
          <w:highlight w:val="yellow"/>
        </w:rPr>
        <w:t>3.</w:t>
      </w:r>
      <w:bookmarkEnd w:id="5"/>
    </w:p>
    <w:bookmarkEnd w:id="6"/>
    <w:bookmarkEnd w:id="7"/>
    <w:bookmarkEnd w:id="8"/>
    <w:p w14:paraId="30C7A43A" w14:textId="77777777" w:rsidR="00234957" w:rsidRPr="00630DB9" w:rsidRDefault="00234957" w:rsidP="00234957">
      <w:pPr>
        <w:spacing w:line="240" w:lineRule="atLeast"/>
        <w:rPr>
          <w:rFonts w:ascii="Arial" w:hAnsi="Arial" w:cs="Arial"/>
          <w:color w:val="222222"/>
          <w:sz w:val="20"/>
          <w:szCs w:val="20"/>
        </w:rPr>
      </w:pPr>
      <w:r>
        <w:rPr>
          <w:rFonts w:ascii="Calibri" w:hAnsi="Calibri"/>
          <w:kern w:val="2"/>
        </w:rPr>
        <w:tab/>
      </w:r>
      <w:bookmarkEnd w:id="9"/>
      <w:bookmarkEnd w:id="10"/>
    </w:p>
    <w:p w14:paraId="4A621832" w14:textId="304719D2" w:rsidR="00234957" w:rsidRDefault="00234957" w:rsidP="007D3229">
      <w:pPr>
        <w:spacing w:before="0" w:after="200" w:line="276" w:lineRule="auto"/>
        <w:jc w:val="left"/>
        <w:rPr>
          <w:rFonts w:ascii="Calibri" w:eastAsia="Times New Roman" w:hAnsi="Calibri" w:cs="Times New Roman"/>
          <w:color w:val="auto"/>
          <w:sz w:val="22"/>
          <w:lang w:val="en-GB" w:eastAsia="en-GB"/>
          <w14:ligatures w14:val="none"/>
        </w:rPr>
      </w:pPr>
    </w:p>
    <w:p w14:paraId="32B65718" w14:textId="77777777" w:rsidR="00234957" w:rsidRPr="007D3229" w:rsidRDefault="00234957" w:rsidP="007D3229">
      <w:pPr>
        <w:spacing w:before="0" w:after="200" w:line="276" w:lineRule="auto"/>
        <w:jc w:val="left"/>
        <w:rPr>
          <w:rFonts w:ascii="Calibri" w:eastAsia="Times New Roman" w:hAnsi="Calibri" w:cs="Times New Roman"/>
          <w:color w:val="auto"/>
          <w:sz w:val="22"/>
          <w:lang w:val="en-GB" w:eastAsia="en-GB"/>
          <w14:ligatures w14:val="none"/>
        </w:rPr>
      </w:pPr>
    </w:p>
    <w:p w14:paraId="03B946E2" w14:textId="2EF59687" w:rsidR="00055D83" w:rsidRDefault="00055D83" w:rsidP="00055D83">
      <w:pPr>
        <w:shd w:val="clear" w:color="auto" w:fill="FFFFFF"/>
        <w:spacing w:line="240" w:lineRule="auto"/>
        <w:rPr>
          <w:rFonts w:eastAsia="Times New Roman" w:cs="Times New Roman"/>
          <w:b/>
          <w:bCs/>
          <w:color w:val="000000" w:themeColor="text1"/>
          <w:sz w:val="28"/>
          <w:szCs w:val="28"/>
        </w:rPr>
      </w:pPr>
      <w:r w:rsidRPr="002B2D3C">
        <w:rPr>
          <w:rFonts w:eastAsia="Times New Roman" w:cs="Times New Roman"/>
          <w:b/>
          <w:bCs/>
          <w:color w:val="000000" w:themeColor="text1"/>
          <w:sz w:val="28"/>
          <w:szCs w:val="28"/>
        </w:rPr>
        <w:t>REFERENCES</w:t>
      </w:r>
    </w:p>
    <w:p w14:paraId="63B9B8D6" w14:textId="77777777" w:rsidR="00213F4E" w:rsidRDefault="00213F4E" w:rsidP="00F341B9">
      <w:pPr>
        <w:pStyle w:val="NormalWeb"/>
        <w:ind w:left="720" w:hanging="720"/>
      </w:pPr>
      <w:r>
        <w:lastRenderedPageBreak/>
        <w:t>Ahmad, A. Y. B., Hannoon, A., Al-Daoud, K. I., Abu-Alsondos, I. A., &amp; Al-Qaisieh, M. S. (2023). Assessment of cloud-based accounting technology adoption and business performance. Kurdish Studies, 11(3). https://doi.org/10.19187/kurdishstudies.1103123</w:t>
      </w:r>
    </w:p>
    <w:p w14:paraId="66F4DA5B" w14:textId="77777777" w:rsidR="00213F4E" w:rsidRDefault="00213F4E" w:rsidP="00F341B9">
      <w:pPr>
        <w:pStyle w:val="NormalWeb"/>
        <w:ind w:left="720" w:hanging="720"/>
      </w:pPr>
      <w:r>
        <w:t>Barney, J. B., Ketchen, D. J., &amp; Wright, M. (2021). Resource-Based Theory and the Value Creation Framework. Journal of Management, 47(7). https://doi.org/10.1177/01492063211021655</w:t>
      </w:r>
    </w:p>
    <w:p w14:paraId="5A69D57C" w14:textId="77777777" w:rsidR="00213F4E" w:rsidRDefault="00213F4E" w:rsidP="00F341B9">
      <w:pPr>
        <w:pStyle w:val="NormalWeb"/>
        <w:ind w:left="720" w:hanging="720"/>
      </w:pPr>
      <w:r>
        <w:t>Berg-Schlosser, D., Badie, B., &amp; Morlino, L. A. (2020). The SAGE Handbook of Political Science (1st edition., Vol. 3). SAGE Publications, Limited. https://doi.org/10.4135/9781529714333</w:t>
      </w:r>
    </w:p>
    <w:p w14:paraId="292FDCA0" w14:textId="77777777" w:rsidR="00213F4E" w:rsidRDefault="00213F4E" w:rsidP="00F341B9">
      <w:pPr>
        <w:pStyle w:val="NormalWeb"/>
        <w:ind w:left="720" w:hanging="720"/>
      </w:pPr>
      <w:r>
        <w:t>Bretos, I., Díaz-Foncea, M., &amp; Marcuello, C. (2020). Why do donors donate? In Financing Nonprofit Organizations. https://doi.org/10.4324/9780429265419-3</w:t>
      </w:r>
    </w:p>
    <w:p w14:paraId="2C2FB327" w14:textId="77777777" w:rsidR="00213F4E" w:rsidRDefault="00213F4E" w:rsidP="00F341B9">
      <w:pPr>
        <w:pStyle w:val="NormalWeb"/>
        <w:ind w:left="720" w:hanging="720"/>
      </w:pPr>
      <w:r>
        <w:t>Bujang, M. A., Omar, E. D., &amp; Baharum, N. A. (2018). A review on sample size determination for cronbach’s alpha test: A simple guide for researchers. Malaysian Journal of Medical Sciences, 25(6). https://doi.org/10.21315/mjms2018.25.6.9</w:t>
      </w:r>
    </w:p>
    <w:p w14:paraId="3CF8AE84" w14:textId="77777777" w:rsidR="00213F4E" w:rsidRDefault="00213F4E" w:rsidP="00F341B9">
      <w:pPr>
        <w:pStyle w:val="NormalWeb"/>
        <w:ind w:left="720" w:hanging="720"/>
      </w:pPr>
      <w:r>
        <w:t>Escobar Rodas, R. J. (2020). Financial Services in Humanitarian Crises: Blockchain and the End of the Role of Banking? SSRN Electronic Journal. https://doi.org/10.2139/ssrn.3688629</w:t>
      </w:r>
    </w:p>
    <w:p w14:paraId="2B4BE581" w14:textId="77777777" w:rsidR="00213F4E" w:rsidRDefault="00213F4E" w:rsidP="00F341B9">
      <w:pPr>
        <w:pStyle w:val="NormalWeb"/>
        <w:ind w:left="720" w:hanging="720"/>
      </w:pPr>
      <w:r>
        <w:t>Falagara Sigala, I., Kettinger, W. J., &amp; Wakolbinger, T. (2020). Digitizing the field: Designing ERP systems for Triple-A humanitarian supply chains. Journal of Humanitarian Logistics and Supply Chain Management, 10(2), 231-260.</w:t>
      </w:r>
    </w:p>
    <w:p w14:paraId="19B060C1" w14:textId="77777777" w:rsidR="00213F4E" w:rsidRDefault="00213F4E" w:rsidP="00F341B9">
      <w:pPr>
        <w:pStyle w:val="NormalWeb"/>
        <w:ind w:left="720" w:hanging="720"/>
      </w:pPr>
      <w:r>
        <w:t>Faza, F. T., &amp; Indriani, A. (2022). Dynamics of Muslim Millennials in Charity Donation: A Donor-Side Perspective. Jurnal Ekonomi Syariah Teori Dan Terapan, 9(3). https://doi.org/10.20473/vol9iss20223pp352-361</w:t>
      </w:r>
    </w:p>
    <w:p w14:paraId="1E7C8C41" w14:textId="77777777" w:rsidR="00213F4E" w:rsidRDefault="00213F4E" w:rsidP="00F341B9">
      <w:pPr>
        <w:pStyle w:val="NormalWeb"/>
        <w:ind w:left="720" w:hanging="720"/>
      </w:pPr>
      <w:r>
        <w:t>Filson, C. K., Kodua-Ntim, K., &amp; Afful-Arthur, P. (2021). Funds Generation from the Internal Activities of an Academic Library Based on the Resource Based View (RBV) Theory. Library Philosophy and Practice, 2021.</w:t>
      </w:r>
    </w:p>
    <w:p w14:paraId="2B1D5FAC" w14:textId="77777777" w:rsidR="00213F4E" w:rsidRDefault="00213F4E" w:rsidP="00F341B9">
      <w:pPr>
        <w:pStyle w:val="NormalWeb"/>
        <w:ind w:left="720" w:hanging="720"/>
      </w:pPr>
      <w:r>
        <w:t>Ghilavi, M., Hajiha, Z., Moradi, Z., Hamed, M., &amp; Mohammadi, K. (2021). Application of Resource-Based View Theory in Assessing of Effi-ciency of Companies Accepted in Tehran Stock Exchange by Data Envelopment Analysis. Advances in Mathematical Finance &amp; Applications, 6(3).</w:t>
      </w:r>
    </w:p>
    <w:p w14:paraId="20EC1CF5" w14:textId="77777777" w:rsidR="00213F4E" w:rsidRDefault="00213F4E" w:rsidP="00F341B9">
      <w:pPr>
        <w:pStyle w:val="NormalWeb"/>
        <w:ind w:left="720" w:hanging="720"/>
      </w:pPr>
      <w:r>
        <w:t>Isip, A. (2023). What Digital Technologies are Used Today by Accounting Firms to Deliver Services. Proceedings of the International Conference on Business Excellence, 17(1). https://doi.org/10.2478/picbe-2023-0173</w:t>
      </w:r>
    </w:p>
    <w:p w14:paraId="1D1FA3D2" w14:textId="77777777" w:rsidR="00213F4E" w:rsidRDefault="00213F4E" w:rsidP="00F341B9">
      <w:pPr>
        <w:pStyle w:val="NormalWeb"/>
        <w:ind w:left="720" w:hanging="720"/>
      </w:pPr>
      <w:r>
        <w:t>Karbhari, Y., Alam, M. K., &amp; Rahman, M. M. (2020). Relevance of the application of institutional theory in Shariah governance of Islamic banks. In PSU Research Review (Vol. 5, Issue 1). https://doi.org/10.1108/PRR-05-2020-0015</w:t>
      </w:r>
    </w:p>
    <w:p w14:paraId="61DC6755" w14:textId="77777777" w:rsidR="00213F4E" w:rsidRDefault="00213F4E" w:rsidP="00F341B9">
      <w:pPr>
        <w:pStyle w:val="NormalWeb"/>
        <w:ind w:left="720" w:hanging="720"/>
      </w:pPr>
      <w:r>
        <w:t>Kawitan, F. P., &amp; Sulistyawati, L. (2021). Analisis Technology Acceptance Model (TAM) Pada Penggunaan Finance Technology “Dana.” JABEISTIK : Jurnal Analitika Bisnis, Ekonomi, Sosial Dan Politik, 1(2).</w:t>
      </w:r>
    </w:p>
    <w:p w14:paraId="5F7522FC" w14:textId="77777777" w:rsidR="00213F4E" w:rsidRDefault="00213F4E" w:rsidP="00F341B9">
      <w:pPr>
        <w:pStyle w:val="NormalWeb"/>
        <w:ind w:left="720" w:hanging="720"/>
      </w:pPr>
      <w:r>
        <w:t>Kesmodel, U. S. (2018). Cross-sectional studies – what are they good for? In Acta Obstetricia et Gynecologica Scandinavica (Vol. 97, Issue 4). https://doi.org/10.1111/aogs.13331</w:t>
      </w:r>
    </w:p>
    <w:p w14:paraId="2BCC0819" w14:textId="77777777" w:rsidR="00213F4E" w:rsidRDefault="00213F4E" w:rsidP="00F341B9">
      <w:pPr>
        <w:pStyle w:val="NormalWeb"/>
        <w:ind w:left="720" w:hanging="720"/>
      </w:pPr>
      <w:r>
        <w:lastRenderedPageBreak/>
        <w:t>Lamothe, M., &amp; Shen, I. (2023). Does Accountability Matter in Performance?: Cases from Charity Navigator. Journal of Nonprofit Education and Leadership, 13(3). https://doi.org/10.18666/jnel-2022-11549</w:t>
      </w:r>
    </w:p>
    <w:p w14:paraId="4D5F65CC" w14:textId="77777777" w:rsidR="00213F4E" w:rsidRDefault="00213F4E" w:rsidP="00F341B9">
      <w:pPr>
        <w:pStyle w:val="NormalWeb"/>
        <w:ind w:left="720" w:hanging="720"/>
      </w:pPr>
      <w:r>
        <w:t>Lukyanova, I., Haddud, A., &amp; Khare, A. (2022). Types of ERP systems and their impacts on the supply chains in the humanitarian and private sectors. Sustainability, 14(20), 13054. https://doi.org/10.3390/su142013054</w:t>
      </w:r>
    </w:p>
    <w:p w14:paraId="5FD11E38" w14:textId="77777777" w:rsidR="00213F4E" w:rsidRDefault="00213F4E" w:rsidP="00F341B9">
      <w:pPr>
        <w:pStyle w:val="NormalWeb"/>
        <w:ind w:left="720" w:hanging="720"/>
      </w:pPr>
      <w:r>
        <w:t>Lukyanova, I., Haddud, A., &amp; Khare, A. (2022, November). Roles of ERP systems in supply chains of humanitarian and private sectors. Paper presented at the 2022 Annual Conference of The Decision Sciences Institute, Houston, TX, United States. https://www.researchgate.net/publication/375717097</w:t>
      </w:r>
    </w:p>
    <w:p w14:paraId="748145BF" w14:textId="77777777" w:rsidR="00213F4E" w:rsidRDefault="00213F4E" w:rsidP="00F341B9">
      <w:pPr>
        <w:pStyle w:val="NormalWeb"/>
        <w:ind w:left="720" w:hanging="720"/>
      </w:pPr>
      <w:r>
        <w:t>Lutfi, A. (2022). Understanding the intention to adopt cloud-based accounting information systems in Jordanian SMEs. International Journal of Digital Accounting Research, 22. https://doi.org/10.4192/issn.1405-7091.v22.001</w:t>
      </w:r>
    </w:p>
    <w:p w14:paraId="1E5DB6CF" w14:textId="77777777" w:rsidR="00213F4E" w:rsidRDefault="00213F4E" w:rsidP="00F341B9">
      <w:pPr>
        <w:pStyle w:val="NormalWeb"/>
        <w:ind w:left="720" w:hanging="720"/>
      </w:pPr>
      <w:r>
        <w:t>Manja, L. O. (2021). Adoption of cloud computing by the government as a tool for effective management of government funds in Kenyan public schools (Doctoral dissertation, University of Nairobi).</w:t>
      </w:r>
    </w:p>
    <w:p w14:paraId="0C3AF7F2" w14:textId="77777777" w:rsidR="00213F4E" w:rsidRDefault="00213F4E" w:rsidP="00F341B9">
      <w:pPr>
        <w:pStyle w:val="NormalWeb"/>
        <w:ind w:left="720" w:hanging="720"/>
      </w:pPr>
      <w:r>
        <w:t>Medina, L., Kreutzmann, A. K., Rojas-Perilla, N., &amp; Castro, P. (2019). The R package trafo for transforming linear regression models. R Journal, 11(2). https://doi.org/10.32614/rj-2019-054</w:t>
      </w:r>
    </w:p>
    <w:p w14:paraId="4D46C319" w14:textId="77777777" w:rsidR="00213F4E" w:rsidRDefault="00213F4E" w:rsidP="00F341B9">
      <w:pPr>
        <w:pStyle w:val="NormalWeb"/>
        <w:ind w:left="720" w:hanging="720"/>
      </w:pPr>
      <w:r>
        <w:t>Mendes-Da-Silva, W., Rossoni, L., Francisco, E., &amp; Gattaz, C. C. (2018). Geographic distance and reward crowdfunding donation. In Individual Behaviors and Technologies for Financial Innovations. https://doi.org/10.1007/978-3-319-91911-9_9</w:t>
      </w:r>
    </w:p>
    <w:p w14:paraId="2EB77B29" w14:textId="77777777" w:rsidR="00213F4E" w:rsidRDefault="00213F4E" w:rsidP="00F341B9">
      <w:pPr>
        <w:pStyle w:val="NormalWeb"/>
        <w:ind w:left="720" w:hanging="720"/>
      </w:pPr>
      <w:r>
        <w:t>Moyo, B., &amp; Alagidede, I. P. (2020). Editorial: birth of the International Review on Philanthropy and Social Investment. International Review of Philanthropy and Social Investment, 1(1). https://doi.org/10.47019/irpsi.2020/v1n1a0</w:t>
      </w:r>
    </w:p>
    <w:p w14:paraId="4FFCAF02" w14:textId="77777777" w:rsidR="00213F4E" w:rsidRDefault="00213F4E" w:rsidP="00F341B9">
      <w:pPr>
        <w:pStyle w:val="NormalWeb"/>
        <w:ind w:left="720" w:hanging="720"/>
      </w:pPr>
      <w:r>
        <w:t>Muthuka, D. (2021). Effects of financial innovations on financial performance of non-governmental organizations in the health sector in Nairobi County (Doctoral dissertation, University of Nairobi).</w:t>
      </w:r>
    </w:p>
    <w:p w14:paraId="2BD2B4C6" w14:textId="77777777" w:rsidR="00213F4E" w:rsidRDefault="00213F4E" w:rsidP="00F341B9">
      <w:pPr>
        <w:pStyle w:val="NormalWeb"/>
        <w:ind w:left="720" w:hanging="720"/>
      </w:pPr>
      <w:r>
        <w:t>NB, S. (2023). Social Media and Libraries. International Journal of Research in Library Science, 9(1). https://doi.org/10.26761/ijrls.9.1.2023.1614</w:t>
      </w:r>
    </w:p>
    <w:p w14:paraId="4D6DC9A0" w14:textId="77777777" w:rsidR="00213F4E" w:rsidRDefault="00213F4E" w:rsidP="00F341B9">
      <w:pPr>
        <w:pStyle w:val="NormalWeb"/>
        <w:ind w:left="720" w:hanging="720"/>
      </w:pPr>
      <w:r>
        <w:t>Negi, S. (2024). A blockchain technology for improving financial flows in humanitarian supply chains: Benefits and challenges. Journal of Humanitarian Logistics and Supply Chain Management. https://doi.org/10.1108/JHLSCM-04-2024-0041</w:t>
      </w:r>
    </w:p>
    <w:p w14:paraId="07DCD3B9" w14:textId="77777777" w:rsidR="00213F4E" w:rsidRDefault="00213F4E" w:rsidP="00F341B9">
      <w:pPr>
        <w:pStyle w:val="NormalWeb"/>
        <w:ind w:left="720" w:hanging="720"/>
      </w:pPr>
      <w:r>
        <w:t>Peterken, H., &amp; Bandara, W. (2018). Business processes in international humanitarian aid. In Business Process Management Journal.</w:t>
      </w:r>
    </w:p>
    <w:p w14:paraId="3DB31675" w14:textId="77777777" w:rsidR="00213F4E" w:rsidRDefault="00213F4E" w:rsidP="00F341B9">
      <w:pPr>
        <w:pStyle w:val="NormalWeb"/>
        <w:ind w:left="720" w:hanging="720"/>
      </w:pPr>
      <w:r>
        <w:t xml:space="preserve">Peters, B. G. (2022). Institutional theory. In Handbook on Theories of Governance. https://doi.org/10.5040/9781474274289.0014 </w:t>
      </w:r>
    </w:p>
    <w:p w14:paraId="1A714D77" w14:textId="77777777" w:rsidR="00213F4E" w:rsidRDefault="00213F4E" w:rsidP="00F341B9">
      <w:pPr>
        <w:pStyle w:val="NormalWeb"/>
        <w:ind w:left="720" w:hanging="720"/>
      </w:pPr>
      <w:r>
        <w:t>Reinsberg, B. (2019). Blockchain technology and the governance of foreign aid. Journal of Institutional Economics, 15(3), 413-429. https://doi.org/10.1017/S1744137419000039</w:t>
      </w:r>
    </w:p>
    <w:p w14:paraId="07B5823C" w14:textId="77777777" w:rsidR="00213F4E" w:rsidRDefault="00213F4E" w:rsidP="00F341B9">
      <w:pPr>
        <w:pStyle w:val="NormalWeb"/>
        <w:ind w:left="720" w:hanging="720"/>
      </w:pPr>
      <w:r>
        <w:t xml:space="preserve">Saxton, G. D., &amp; Neely, D. G. (2019). The Relationship Between Sarbanes–Oxley Policies and Donor Advisories in Nonprofit Organizations. Journal of Business Ethics, 158(2). https://doi.org/10.1007/s10551-018-3843-0 </w:t>
      </w:r>
    </w:p>
    <w:p w14:paraId="5951ED85" w14:textId="77777777" w:rsidR="00213F4E" w:rsidRDefault="00213F4E" w:rsidP="00F341B9">
      <w:pPr>
        <w:pStyle w:val="NormalWeb"/>
        <w:ind w:left="720" w:hanging="720"/>
      </w:pPr>
      <w:r>
        <w:lastRenderedPageBreak/>
        <w:t>Setia, M. S. (2016). Methodology series module 3: Cross-sectional studies. Indian Journal of Dermatology, 61(3). https://doi.org/10.4103/0019-5154.182410</w:t>
      </w:r>
    </w:p>
    <w:p w14:paraId="3711EA39" w14:textId="77777777" w:rsidR="00213F4E" w:rsidRDefault="00213F4E" w:rsidP="00F341B9">
      <w:pPr>
        <w:pStyle w:val="NormalWeb"/>
        <w:ind w:left="720" w:hanging="720"/>
      </w:pPr>
      <w:r>
        <w:t>Seyedsayamdost, E., &amp; Vanderwal, P. (2020). From good governance to governance for good: Blockchain for social impact. Journal of International Development, 32(6), 943-960. https://doi.org/10.1002/jid.3497</w:t>
      </w:r>
    </w:p>
    <w:p w14:paraId="45535D8E" w14:textId="77777777" w:rsidR="00213F4E" w:rsidRDefault="00213F4E" w:rsidP="00F341B9">
      <w:pPr>
        <w:pStyle w:val="NormalWeb"/>
        <w:ind w:left="720" w:hanging="720"/>
      </w:pPr>
      <w:r>
        <w:t>Shin, E. J., Kang, H. G., &amp; Bae, K. (2020). A study on the sustainable development of NPOs with blockchain technology. Sustainability, 12(15), 6158. https://doi.org/10.3390/su12156158</w:t>
      </w:r>
    </w:p>
    <w:p w14:paraId="2A38EA0D" w14:textId="77777777" w:rsidR="00213F4E" w:rsidRPr="00755EB5" w:rsidRDefault="00213F4E" w:rsidP="00755EB5">
      <w:pPr>
        <w:pStyle w:val="NormalWeb"/>
        <w:ind w:left="720" w:hanging="720"/>
        <w:rPr>
          <w:bCs/>
          <w:color w:val="000000" w:themeColor="text1"/>
          <w:szCs w:val="28"/>
        </w:rPr>
      </w:pPr>
      <w:r w:rsidRPr="00213F4E">
        <w:rPr>
          <w:bCs/>
          <w:color w:val="000000" w:themeColor="text1"/>
          <w:szCs w:val="28"/>
          <w:highlight w:val="green"/>
        </w:rPr>
        <w:t xml:space="preserve">Shoetan, P. O., &amp; Familoni, B. T. (2024). Blockchain’s impact on financial security and efficiency beyond cryptocurrency uses: A comparative analysis between Nigeria and the USA. </w:t>
      </w:r>
      <w:r w:rsidRPr="00213F4E">
        <w:rPr>
          <w:bCs/>
          <w:i/>
          <w:color w:val="000000" w:themeColor="text1"/>
          <w:szCs w:val="28"/>
          <w:highlight w:val="green"/>
        </w:rPr>
        <w:t>International Journal of Management &amp; Entrepreneurship Research,</w:t>
      </w:r>
      <w:r w:rsidRPr="00213F4E">
        <w:rPr>
          <w:bCs/>
          <w:color w:val="000000" w:themeColor="text1"/>
          <w:szCs w:val="28"/>
          <w:highlight w:val="green"/>
        </w:rPr>
        <w:t xml:space="preserve"> 6*(4), 1211–1235.</w:t>
      </w:r>
    </w:p>
    <w:p w14:paraId="6477C9EA" w14:textId="77777777" w:rsidR="00213F4E" w:rsidRDefault="00213F4E" w:rsidP="00F341B9">
      <w:pPr>
        <w:pStyle w:val="NormalWeb"/>
        <w:ind w:left="720" w:hanging="720"/>
      </w:pPr>
      <w:r>
        <w:t>Snipes, G., Karo, M., Faulkner, A. E., &amp; Reiter, L. (Eds.). (2022). Teaching business information literacy. Association of College and Research Libraries.</w:t>
      </w:r>
    </w:p>
    <w:p w14:paraId="628A0400" w14:textId="77777777" w:rsidR="00213F4E" w:rsidRDefault="00213F4E" w:rsidP="00F341B9">
      <w:pPr>
        <w:pStyle w:val="NormalWeb"/>
        <w:ind w:left="720" w:hanging="720"/>
      </w:pPr>
      <w:r>
        <w:t>Sonawane, S. S., Chhajed, S. S., Attar, S. S., &amp; Kshirsagar, S. J. (2019). An approach to select linear regression model in bioanalytical method validation. Journal of Analytical Science and Technology, 10(1). https://doi.org/10.1186/s40543-018-0160-2</w:t>
      </w:r>
    </w:p>
    <w:p w14:paraId="63C866B7" w14:textId="77777777" w:rsidR="00213F4E" w:rsidRDefault="00213F4E" w:rsidP="00F341B9">
      <w:pPr>
        <w:pStyle w:val="NormalWeb"/>
        <w:ind w:left="720" w:hanging="720"/>
      </w:pPr>
      <w:r>
        <w:t>Sun, R., &amp; Zhang, B. (2023). Can fintech make corporate investments more efficient? A study on financing constraints and agency conflicts. Economic Research-Ekonomska Istrazivanja , 36(3). https://doi.org/10.1080/1331677X.2023.2185795</w:t>
      </w:r>
    </w:p>
    <w:p w14:paraId="1A1957D8" w14:textId="77777777" w:rsidR="00213F4E" w:rsidRPr="00213F4E" w:rsidRDefault="00213F4E" w:rsidP="00755EB5">
      <w:pPr>
        <w:pStyle w:val="NormalWeb"/>
        <w:ind w:left="720" w:hanging="720"/>
        <w:rPr>
          <w:bCs/>
          <w:color w:val="000000" w:themeColor="text1"/>
          <w:szCs w:val="28"/>
          <w:highlight w:val="green"/>
        </w:rPr>
      </w:pPr>
      <w:r w:rsidRPr="00213F4E">
        <w:rPr>
          <w:bCs/>
          <w:color w:val="000000" w:themeColor="text1"/>
          <w:szCs w:val="28"/>
          <w:highlight w:val="green"/>
        </w:rPr>
        <w:t xml:space="preserve">Tapscott, D., &amp; Tapscott, A. (2016). </w:t>
      </w:r>
      <w:r w:rsidRPr="00213F4E">
        <w:rPr>
          <w:bCs/>
          <w:i/>
          <w:color w:val="000000" w:themeColor="text1"/>
          <w:szCs w:val="28"/>
          <w:highlight w:val="green"/>
        </w:rPr>
        <w:t>Blockchain revolution: How the technology behind Bitcoin is changing money, business, and the world</w:t>
      </w:r>
      <w:r w:rsidRPr="00213F4E">
        <w:rPr>
          <w:bCs/>
          <w:color w:val="000000" w:themeColor="text1"/>
          <w:szCs w:val="28"/>
          <w:highlight w:val="green"/>
        </w:rPr>
        <w:t xml:space="preserve">. Portfolio Penguin. </w:t>
      </w:r>
    </w:p>
    <w:p w14:paraId="594BB962" w14:textId="77777777" w:rsidR="00213F4E" w:rsidRDefault="00213F4E" w:rsidP="00F341B9">
      <w:pPr>
        <w:pStyle w:val="NormalWeb"/>
        <w:ind w:left="720" w:hanging="720"/>
      </w:pPr>
      <w:r>
        <w:t>Taylor, J., Fuller, R. P., &amp; Ashtari, S. (2021). Strength in numbers: Empowering nonprofits through technology communities of practice. 27th Annual Americas Conference on Information Systems, AMCIS 2021.</w:t>
      </w:r>
    </w:p>
    <w:p w14:paraId="4913BC1E" w14:textId="77777777" w:rsidR="00213F4E" w:rsidRDefault="00213F4E" w:rsidP="00F341B9">
      <w:pPr>
        <w:pStyle w:val="NormalWeb"/>
        <w:ind w:left="720" w:hanging="720"/>
      </w:pPr>
      <w:r>
        <w:t>Thakker, P., &amp; Japee, G. (2023). Cloud-based accounting technologies: Revolutionizing financial management. International Journal of Science, Engineering and Management, 10(6), 20-26. https://doi.org/10.30574/gjeta.2024.18.2.0027</w:t>
      </w:r>
    </w:p>
    <w:p w14:paraId="1524AABC" w14:textId="77777777" w:rsidR="00213F4E" w:rsidRDefault="00213F4E" w:rsidP="00F341B9">
      <w:pPr>
        <w:pStyle w:val="NormalWeb"/>
        <w:ind w:left="720" w:hanging="720"/>
      </w:pPr>
      <w:r>
        <w:t>Vaske, J. J., Beaman, J., &amp; Sponarski, C. C. (2017). Rethinking Internal Consistency in Cronbach’s Alpha. Leisure Sciences, 39(2). https://doi.org/10.1080/01490400.2015.1127189</w:t>
      </w:r>
    </w:p>
    <w:p w14:paraId="3AB6ADFD" w14:textId="77777777" w:rsidR="00213F4E" w:rsidRDefault="00213F4E" w:rsidP="00F341B9">
      <w:pPr>
        <w:pStyle w:val="NormalWeb"/>
        <w:ind w:left="720" w:hanging="720"/>
      </w:pPr>
      <w:r>
        <w:t>Venkatesh, V. , M. M. G. , D. G. B. , &amp; D. F. D. (2003). User acceptance of Information technology: Toward a unified view. MIS Quarterly,. 27(3), 425–478.</w:t>
      </w:r>
    </w:p>
    <w:p w14:paraId="0D3D8586" w14:textId="77777777" w:rsidR="00213F4E" w:rsidRDefault="00213F4E" w:rsidP="00F341B9">
      <w:pPr>
        <w:pStyle w:val="NormalWeb"/>
        <w:ind w:left="720" w:hanging="720"/>
      </w:pPr>
      <w:r>
        <w:t xml:space="preserve">Vo Van, H., Abu Afifa, M., &amp; Saleh, I. (2024). Accounting information systems and organizational performance in the cloud computing era: Evidence from SMEs. Sustainability Accounting, Management and Policy Journal. </w:t>
      </w:r>
      <w:hyperlink r:id="rId9" w:history="1">
        <w:r w:rsidRPr="009E3DE6">
          <w:rPr>
            <w:rStyle w:val="Hyperlink"/>
          </w:rPr>
          <w:t>https://doi.org/10.1108/SAMPJ-06-2023-0421</w:t>
        </w:r>
      </w:hyperlink>
    </w:p>
    <w:p w14:paraId="0C382B84" w14:textId="77777777" w:rsidR="00213F4E" w:rsidRPr="00213F4E" w:rsidRDefault="00213F4E" w:rsidP="00755EB5">
      <w:pPr>
        <w:pStyle w:val="NormalWeb"/>
        <w:ind w:left="720" w:hanging="720"/>
        <w:rPr>
          <w:bCs/>
          <w:color w:val="000000" w:themeColor="text1"/>
          <w:szCs w:val="28"/>
          <w:highlight w:val="green"/>
        </w:rPr>
      </w:pPr>
      <w:r w:rsidRPr="00213F4E">
        <w:rPr>
          <w:bCs/>
          <w:color w:val="000000" w:themeColor="text1"/>
          <w:szCs w:val="28"/>
          <w:highlight w:val="green"/>
        </w:rPr>
        <w:t xml:space="preserve">World Economic Forum. (2023). </w:t>
      </w:r>
      <w:r w:rsidRPr="00213F4E">
        <w:rPr>
          <w:bCs/>
          <w:i/>
          <w:color w:val="000000" w:themeColor="text1"/>
          <w:szCs w:val="28"/>
          <w:highlight w:val="green"/>
        </w:rPr>
        <w:t>Guidelines for Improving Blockchain’s Environmental, Social and Economic Impact</w:t>
      </w:r>
      <w:r w:rsidRPr="00213F4E">
        <w:rPr>
          <w:bCs/>
          <w:color w:val="000000" w:themeColor="text1"/>
          <w:szCs w:val="28"/>
          <w:highlight w:val="green"/>
        </w:rPr>
        <w:t xml:space="preserve">. Crypto Sustainability Coalition, Working Group on Energy Usage. </w:t>
      </w:r>
    </w:p>
    <w:p w14:paraId="61EA2584" w14:textId="77777777" w:rsidR="00213F4E" w:rsidRPr="00213F4E" w:rsidRDefault="00213F4E" w:rsidP="00755EB5">
      <w:pPr>
        <w:pStyle w:val="NormalWeb"/>
        <w:ind w:left="720" w:hanging="720"/>
        <w:rPr>
          <w:bCs/>
          <w:color w:val="000000" w:themeColor="text1"/>
          <w:szCs w:val="28"/>
          <w:highlight w:val="green"/>
        </w:rPr>
      </w:pPr>
      <w:r w:rsidRPr="00213F4E">
        <w:rPr>
          <w:bCs/>
          <w:color w:val="000000" w:themeColor="text1"/>
          <w:szCs w:val="28"/>
          <w:highlight w:val="green"/>
        </w:rPr>
        <w:lastRenderedPageBreak/>
        <w:t xml:space="preserve">Zweynert, A. (2018). Blockchain for social impact: transparency, lower transaction costs, digital identities, tamper resistance. In collaboration with RippleWorks and Stanford Centre for Social Innovation. Trust.org / Thomson Reuters Foundation. </w:t>
      </w:r>
    </w:p>
    <w:p w14:paraId="51F346BE" w14:textId="77777777" w:rsidR="00213F4E" w:rsidRPr="00755EB5" w:rsidRDefault="00213F4E">
      <w:pPr>
        <w:pStyle w:val="NormalWeb"/>
        <w:ind w:left="720" w:hanging="720"/>
        <w:rPr>
          <w:bCs/>
          <w:color w:val="000000" w:themeColor="text1"/>
          <w:szCs w:val="28"/>
        </w:rPr>
      </w:pPr>
    </w:p>
    <w:sectPr w:rsidR="00213F4E" w:rsidRPr="00755EB5" w:rsidSect="00055D83">
      <w:headerReference w:type="even" r:id="rId10"/>
      <w:headerReference w:type="default" r:id="rId11"/>
      <w:footerReference w:type="even" r:id="rId12"/>
      <w:footerReference w:type="default" r:id="rId13"/>
      <w:headerReference w:type="first" r:id="rId14"/>
      <w:footerReference w:type="first" r:id="rId15"/>
      <w:pgSz w:w="12240" w:h="15840" w:code="1"/>
      <w:pgMar w:top="1094" w:right="605" w:bottom="605" w:left="605" w:header="34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6A649D" w14:textId="77777777" w:rsidR="001E3BDD" w:rsidRDefault="001E3BDD">
      <w:pPr>
        <w:spacing w:before="0" w:line="240" w:lineRule="auto"/>
      </w:pPr>
      <w:r>
        <w:separator/>
      </w:r>
    </w:p>
  </w:endnote>
  <w:endnote w:type="continuationSeparator" w:id="0">
    <w:p w14:paraId="3EEA7110" w14:textId="77777777" w:rsidR="001E3BDD" w:rsidRDefault="001E3BD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7A7A7D" w14:textId="77777777" w:rsidR="008325BA" w:rsidRDefault="008325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2236679"/>
      <w:docPartObj>
        <w:docPartGallery w:val="Page Numbers (Bottom of Page)"/>
        <w:docPartUnique/>
      </w:docPartObj>
    </w:sdtPr>
    <w:sdtEndPr>
      <w:rPr>
        <w:noProof/>
        <w:sz w:val="20"/>
        <w:szCs w:val="18"/>
      </w:rPr>
    </w:sdtEndPr>
    <w:sdtContent>
      <w:p w14:paraId="78E128D3" w14:textId="1A15A826" w:rsidR="004A12F4" w:rsidRPr="008A0558" w:rsidRDefault="00556C7C">
        <w:pPr>
          <w:pStyle w:val="Footer"/>
          <w:jc w:val="center"/>
          <w:rPr>
            <w:sz w:val="20"/>
            <w:szCs w:val="18"/>
          </w:rPr>
        </w:pPr>
        <w:r w:rsidRPr="008A0558">
          <w:rPr>
            <w:sz w:val="20"/>
            <w:szCs w:val="18"/>
          </w:rPr>
          <w:fldChar w:fldCharType="begin"/>
        </w:r>
        <w:r w:rsidRPr="008A0558">
          <w:rPr>
            <w:sz w:val="20"/>
            <w:szCs w:val="18"/>
          </w:rPr>
          <w:instrText xml:space="preserve"> PAGE   \* MERGEFORMAT </w:instrText>
        </w:r>
        <w:r w:rsidRPr="008A0558">
          <w:rPr>
            <w:sz w:val="20"/>
            <w:szCs w:val="18"/>
          </w:rPr>
          <w:fldChar w:fldCharType="separate"/>
        </w:r>
        <w:r w:rsidR="009A023D">
          <w:rPr>
            <w:noProof/>
            <w:sz w:val="20"/>
            <w:szCs w:val="18"/>
          </w:rPr>
          <w:t>1</w:t>
        </w:r>
        <w:r w:rsidRPr="008A0558">
          <w:rPr>
            <w:noProof/>
            <w:sz w:val="20"/>
            <w:szCs w:val="18"/>
          </w:rPr>
          <w:fldChar w:fldCharType="end"/>
        </w:r>
      </w:p>
    </w:sdtContent>
  </w:sdt>
  <w:p w14:paraId="70E80D4D" w14:textId="77777777" w:rsidR="004A12F4" w:rsidRDefault="004A12F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C4BADF" w14:textId="77777777" w:rsidR="008325BA" w:rsidRDefault="008325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53EDA9" w14:textId="77777777" w:rsidR="001E3BDD" w:rsidRDefault="001E3BDD">
      <w:pPr>
        <w:spacing w:before="0" w:line="240" w:lineRule="auto"/>
      </w:pPr>
      <w:r>
        <w:separator/>
      </w:r>
    </w:p>
  </w:footnote>
  <w:footnote w:type="continuationSeparator" w:id="0">
    <w:p w14:paraId="3249CB70" w14:textId="77777777" w:rsidR="001E3BDD" w:rsidRDefault="001E3BDD">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053711" w14:textId="2357757B" w:rsidR="008325BA" w:rsidRDefault="001E3BDD">
    <w:pPr>
      <w:pStyle w:val="Header"/>
    </w:pPr>
    <w:r>
      <w:rPr>
        <w:noProof/>
      </w:rPr>
      <w:pict w14:anchorId="27AC98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0054969" o:spid="_x0000_s2050" type="#_x0000_t136" style="position:absolute;left:0;text-align:left;margin-left:0;margin-top:0;width:699.8pt;height:77.7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0981CA" w14:textId="50E6AB87" w:rsidR="008325BA" w:rsidRDefault="001E3BDD">
    <w:pPr>
      <w:pStyle w:val="Header"/>
    </w:pPr>
    <w:r>
      <w:rPr>
        <w:noProof/>
      </w:rPr>
      <w:pict w14:anchorId="2A0305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0054970" o:spid="_x0000_s2051" type="#_x0000_t136" style="position:absolute;left:0;text-align:left;margin-left:0;margin-top:0;width:699.8pt;height:77.7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51D454" w14:textId="7A2B26F8" w:rsidR="008325BA" w:rsidRDefault="001E3BDD">
    <w:pPr>
      <w:pStyle w:val="Header"/>
    </w:pPr>
    <w:r>
      <w:rPr>
        <w:noProof/>
      </w:rPr>
      <w:pict w14:anchorId="16CE0F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0054968" o:spid="_x0000_s2049" type="#_x0000_t136" style="position:absolute;left:0;text-align:left;margin-left:0;margin-top:0;width:699.8pt;height:77.7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11B7C9E"/>
    <w:multiLevelType w:val="multilevel"/>
    <w:tmpl w:val="0C88FA22"/>
    <w:lvl w:ilvl="0">
      <w:start w:val="4"/>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114F32EA"/>
    <w:multiLevelType w:val="hybridMultilevel"/>
    <w:tmpl w:val="E7D68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B47B39"/>
    <w:multiLevelType w:val="hybridMultilevel"/>
    <w:tmpl w:val="0D0A84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D63F92"/>
    <w:multiLevelType w:val="hybridMultilevel"/>
    <w:tmpl w:val="0010C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8732FF"/>
    <w:multiLevelType w:val="multilevel"/>
    <w:tmpl w:val="568460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716B58F2"/>
    <w:multiLevelType w:val="multilevel"/>
    <w:tmpl w:val="EC12FE2E"/>
    <w:lvl w:ilvl="0">
      <w:start w:val="4"/>
      <w:numFmt w:val="decimal"/>
      <w:lvlText w:val="%1"/>
      <w:lvlJc w:val="left"/>
      <w:pPr>
        <w:ind w:left="375" w:hanging="375"/>
      </w:pPr>
      <w:rPr>
        <w:rFonts w:cs="SimSun" w:hint="default"/>
        <w:color w:val="000000"/>
        <w:sz w:val="24"/>
      </w:rPr>
    </w:lvl>
    <w:lvl w:ilvl="1">
      <w:start w:val="1"/>
      <w:numFmt w:val="decimal"/>
      <w:lvlText w:val="%1.%2"/>
      <w:lvlJc w:val="left"/>
      <w:pPr>
        <w:ind w:left="375" w:hanging="375"/>
      </w:pPr>
      <w:rPr>
        <w:rFonts w:cs="SimSun" w:hint="default"/>
        <w:color w:val="000000"/>
        <w:sz w:val="24"/>
      </w:rPr>
    </w:lvl>
    <w:lvl w:ilvl="2">
      <w:start w:val="1"/>
      <w:numFmt w:val="decimal"/>
      <w:lvlText w:val="%1.%2.%3"/>
      <w:lvlJc w:val="left"/>
      <w:pPr>
        <w:ind w:left="720" w:hanging="720"/>
      </w:pPr>
      <w:rPr>
        <w:rFonts w:cs="SimSun" w:hint="default"/>
        <w:color w:val="000000"/>
        <w:sz w:val="24"/>
      </w:rPr>
    </w:lvl>
    <w:lvl w:ilvl="3">
      <w:start w:val="1"/>
      <w:numFmt w:val="decimal"/>
      <w:lvlText w:val="%1.%2.%3.%4"/>
      <w:lvlJc w:val="left"/>
      <w:pPr>
        <w:ind w:left="720" w:hanging="720"/>
      </w:pPr>
      <w:rPr>
        <w:rFonts w:cs="SimSun" w:hint="default"/>
        <w:color w:val="000000"/>
        <w:sz w:val="24"/>
      </w:rPr>
    </w:lvl>
    <w:lvl w:ilvl="4">
      <w:start w:val="1"/>
      <w:numFmt w:val="decimal"/>
      <w:lvlText w:val="%1.%2.%3.%4.%5"/>
      <w:lvlJc w:val="left"/>
      <w:pPr>
        <w:ind w:left="1080" w:hanging="1080"/>
      </w:pPr>
      <w:rPr>
        <w:rFonts w:cs="SimSun" w:hint="default"/>
        <w:color w:val="000000"/>
        <w:sz w:val="24"/>
      </w:rPr>
    </w:lvl>
    <w:lvl w:ilvl="5">
      <w:start w:val="1"/>
      <w:numFmt w:val="decimal"/>
      <w:lvlText w:val="%1.%2.%3.%4.%5.%6"/>
      <w:lvlJc w:val="left"/>
      <w:pPr>
        <w:ind w:left="1080" w:hanging="1080"/>
      </w:pPr>
      <w:rPr>
        <w:rFonts w:cs="SimSun" w:hint="default"/>
        <w:color w:val="000000"/>
        <w:sz w:val="24"/>
      </w:rPr>
    </w:lvl>
    <w:lvl w:ilvl="6">
      <w:start w:val="1"/>
      <w:numFmt w:val="decimal"/>
      <w:lvlText w:val="%1.%2.%3.%4.%5.%6.%7"/>
      <w:lvlJc w:val="left"/>
      <w:pPr>
        <w:ind w:left="1440" w:hanging="1440"/>
      </w:pPr>
      <w:rPr>
        <w:rFonts w:cs="SimSun" w:hint="default"/>
        <w:color w:val="000000"/>
        <w:sz w:val="24"/>
      </w:rPr>
    </w:lvl>
    <w:lvl w:ilvl="7">
      <w:start w:val="1"/>
      <w:numFmt w:val="decimal"/>
      <w:lvlText w:val="%1.%2.%3.%4.%5.%6.%7.%8"/>
      <w:lvlJc w:val="left"/>
      <w:pPr>
        <w:ind w:left="1440" w:hanging="1440"/>
      </w:pPr>
      <w:rPr>
        <w:rFonts w:cs="SimSun" w:hint="default"/>
        <w:color w:val="000000"/>
        <w:sz w:val="24"/>
      </w:rPr>
    </w:lvl>
    <w:lvl w:ilvl="8">
      <w:start w:val="1"/>
      <w:numFmt w:val="decimal"/>
      <w:lvlText w:val="%1.%2.%3.%4.%5.%6.%7.%8.%9"/>
      <w:lvlJc w:val="left"/>
      <w:pPr>
        <w:ind w:left="1800" w:hanging="1800"/>
      </w:pPr>
      <w:rPr>
        <w:rFonts w:cs="SimSun" w:hint="default"/>
        <w:color w:val="000000"/>
        <w:sz w:val="24"/>
      </w:rPr>
    </w:lvl>
  </w:abstractNum>
  <w:abstractNum w:abstractNumId="7">
    <w:nsid w:val="79B72972"/>
    <w:multiLevelType w:val="hybridMultilevel"/>
    <w:tmpl w:val="4F306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9C84D78"/>
    <w:multiLevelType w:val="multilevel"/>
    <w:tmpl w:val="C2EA0EBE"/>
    <w:lvl w:ilvl="0">
      <w:start w:val="4"/>
      <w:numFmt w:val="decimal"/>
      <w:lvlText w:val="%1"/>
      <w:lvlJc w:val="left"/>
      <w:pPr>
        <w:ind w:left="525" w:hanging="360"/>
      </w:pPr>
      <w:rPr>
        <w:rFonts w:hint="default"/>
        <w:lang w:val="en-US" w:eastAsia="en-US" w:bidi="ar-SA"/>
      </w:rPr>
    </w:lvl>
    <w:lvl w:ilvl="1">
      <w:start w:val="1"/>
      <w:numFmt w:val="decimal"/>
      <w:lvlText w:val="%1.%2"/>
      <w:lvlJc w:val="left"/>
      <w:pPr>
        <w:ind w:left="525"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705" w:hanging="54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960" w:hanging="540"/>
      </w:pPr>
      <w:rPr>
        <w:rFonts w:hint="default"/>
        <w:lang w:val="en-US" w:eastAsia="en-US" w:bidi="ar-SA"/>
      </w:rPr>
    </w:lvl>
    <w:lvl w:ilvl="4">
      <w:numFmt w:val="bullet"/>
      <w:lvlText w:val="•"/>
      <w:lvlJc w:val="left"/>
      <w:pPr>
        <w:ind w:left="1090" w:hanging="540"/>
      </w:pPr>
      <w:rPr>
        <w:rFonts w:hint="default"/>
        <w:lang w:val="en-US" w:eastAsia="en-US" w:bidi="ar-SA"/>
      </w:rPr>
    </w:lvl>
    <w:lvl w:ilvl="5">
      <w:numFmt w:val="bullet"/>
      <w:lvlText w:val="•"/>
      <w:lvlJc w:val="left"/>
      <w:pPr>
        <w:ind w:left="1220" w:hanging="540"/>
      </w:pPr>
      <w:rPr>
        <w:rFonts w:hint="default"/>
        <w:lang w:val="en-US" w:eastAsia="en-US" w:bidi="ar-SA"/>
      </w:rPr>
    </w:lvl>
    <w:lvl w:ilvl="6">
      <w:numFmt w:val="bullet"/>
      <w:lvlText w:val="•"/>
      <w:lvlJc w:val="left"/>
      <w:pPr>
        <w:ind w:left="1351" w:hanging="540"/>
      </w:pPr>
      <w:rPr>
        <w:rFonts w:hint="default"/>
        <w:lang w:val="en-US" w:eastAsia="en-US" w:bidi="ar-SA"/>
      </w:rPr>
    </w:lvl>
    <w:lvl w:ilvl="7">
      <w:numFmt w:val="bullet"/>
      <w:lvlText w:val="•"/>
      <w:lvlJc w:val="left"/>
      <w:pPr>
        <w:ind w:left="1481" w:hanging="540"/>
      </w:pPr>
      <w:rPr>
        <w:rFonts w:hint="default"/>
        <w:lang w:val="en-US" w:eastAsia="en-US" w:bidi="ar-SA"/>
      </w:rPr>
    </w:lvl>
    <w:lvl w:ilvl="8">
      <w:numFmt w:val="bullet"/>
      <w:lvlText w:val="•"/>
      <w:lvlJc w:val="left"/>
      <w:pPr>
        <w:ind w:left="1611" w:hanging="540"/>
      </w:pPr>
      <w:rPr>
        <w:rFonts w:hint="default"/>
        <w:lang w:val="en-US" w:eastAsia="en-US" w:bidi="ar-SA"/>
      </w:rPr>
    </w:lvl>
  </w:abstractNum>
  <w:num w:numId="1">
    <w:abstractNumId w:val="2"/>
  </w:num>
  <w:num w:numId="2">
    <w:abstractNumId w:val="4"/>
  </w:num>
  <w:num w:numId="3">
    <w:abstractNumId w:val="8"/>
  </w:num>
  <w:num w:numId="4">
    <w:abstractNumId w:val="7"/>
  </w:num>
  <w:num w:numId="5">
    <w:abstractNumId w:val="5"/>
  </w:num>
  <w:num w:numId="6">
    <w:abstractNumId w:val="6"/>
  </w:num>
  <w:num w:numId="7">
    <w:abstractNumId w:val="1"/>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D83"/>
    <w:rsid w:val="00005286"/>
    <w:rsid w:val="00014726"/>
    <w:rsid w:val="0001490C"/>
    <w:rsid w:val="000425EA"/>
    <w:rsid w:val="000443AB"/>
    <w:rsid w:val="000446E8"/>
    <w:rsid w:val="00047D61"/>
    <w:rsid w:val="00055D83"/>
    <w:rsid w:val="000577EB"/>
    <w:rsid w:val="0006448B"/>
    <w:rsid w:val="00064933"/>
    <w:rsid w:val="000661F9"/>
    <w:rsid w:val="00073097"/>
    <w:rsid w:val="000747C2"/>
    <w:rsid w:val="000750F8"/>
    <w:rsid w:val="00075490"/>
    <w:rsid w:val="00076BA5"/>
    <w:rsid w:val="00082DAA"/>
    <w:rsid w:val="0009733F"/>
    <w:rsid w:val="000A3BD7"/>
    <w:rsid w:val="000A57EC"/>
    <w:rsid w:val="000A6884"/>
    <w:rsid w:val="000B496D"/>
    <w:rsid w:val="000C037E"/>
    <w:rsid w:val="000D075E"/>
    <w:rsid w:val="000D0F56"/>
    <w:rsid w:val="000D7152"/>
    <w:rsid w:val="000D7DAA"/>
    <w:rsid w:val="000E2349"/>
    <w:rsid w:val="00111B62"/>
    <w:rsid w:val="001163C7"/>
    <w:rsid w:val="00130874"/>
    <w:rsid w:val="001403AD"/>
    <w:rsid w:val="001450C8"/>
    <w:rsid w:val="001452A3"/>
    <w:rsid w:val="00152E7C"/>
    <w:rsid w:val="00154669"/>
    <w:rsid w:val="00157AC7"/>
    <w:rsid w:val="00162029"/>
    <w:rsid w:val="00167C75"/>
    <w:rsid w:val="001869F8"/>
    <w:rsid w:val="001938DE"/>
    <w:rsid w:val="001A5880"/>
    <w:rsid w:val="001C0412"/>
    <w:rsid w:val="001C4B7D"/>
    <w:rsid w:val="001D23A9"/>
    <w:rsid w:val="001D4A55"/>
    <w:rsid w:val="001D6A60"/>
    <w:rsid w:val="001E0043"/>
    <w:rsid w:val="001E21F0"/>
    <w:rsid w:val="001E3BDD"/>
    <w:rsid w:val="001E5289"/>
    <w:rsid w:val="001E649F"/>
    <w:rsid w:val="001F024F"/>
    <w:rsid w:val="001F2B0E"/>
    <w:rsid w:val="001F7468"/>
    <w:rsid w:val="00204AAD"/>
    <w:rsid w:val="00213F4E"/>
    <w:rsid w:val="0022156B"/>
    <w:rsid w:val="00223099"/>
    <w:rsid w:val="00223A1A"/>
    <w:rsid w:val="0022500A"/>
    <w:rsid w:val="00234957"/>
    <w:rsid w:val="00243C69"/>
    <w:rsid w:val="0024737A"/>
    <w:rsid w:val="0025635B"/>
    <w:rsid w:val="00260B2D"/>
    <w:rsid w:val="00270AED"/>
    <w:rsid w:val="00271CF6"/>
    <w:rsid w:val="00274AC6"/>
    <w:rsid w:val="00276CE5"/>
    <w:rsid w:val="002779A5"/>
    <w:rsid w:val="002856C7"/>
    <w:rsid w:val="002859D4"/>
    <w:rsid w:val="002860AE"/>
    <w:rsid w:val="002B2D3C"/>
    <w:rsid w:val="002B5578"/>
    <w:rsid w:val="002C5E15"/>
    <w:rsid w:val="002C6F25"/>
    <w:rsid w:val="002C72A3"/>
    <w:rsid w:val="002D1CB2"/>
    <w:rsid w:val="002D32ED"/>
    <w:rsid w:val="002D4259"/>
    <w:rsid w:val="002D7340"/>
    <w:rsid w:val="002E3874"/>
    <w:rsid w:val="002F03DA"/>
    <w:rsid w:val="00300BE0"/>
    <w:rsid w:val="00301FD6"/>
    <w:rsid w:val="003029F0"/>
    <w:rsid w:val="00311DFA"/>
    <w:rsid w:val="003131D7"/>
    <w:rsid w:val="003140FD"/>
    <w:rsid w:val="00323D68"/>
    <w:rsid w:val="0033028F"/>
    <w:rsid w:val="0033151D"/>
    <w:rsid w:val="00336C6D"/>
    <w:rsid w:val="00337145"/>
    <w:rsid w:val="00342FD9"/>
    <w:rsid w:val="00343363"/>
    <w:rsid w:val="00350703"/>
    <w:rsid w:val="0036344E"/>
    <w:rsid w:val="00370F8B"/>
    <w:rsid w:val="00372DCB"/>
    <w:rsid w:val="00376BF4"/>
    <w:rsid w:val="003C1EB2"/>
    <w:rsid w:val="003C4227"/>
    <w:rsid w:val="003C581F"/>
    <w:rsid w:val="003C59BB"/>
    <w:rsid w:val="003C7107"/>
    <w:rsid w:val="003D2541"/>
    <w:rsid w:val="003D39AB"/>
    <w:rsid w:val="003D7198"/>
    <w:rsid w:val="003E0D69"/>
    <w:rsid w:val="003F01AE"/>
    <w:rsid w:val="003F72A0"/>
    <w:rsid w:val="00406845"/>
    <w:rsid w:val="004071F4"/>
    <w:rsid w:val="00407977"/>
    <w:rsid w:val="0041566F"/>
    <w:rsid w:val="00415ABE"/>
    <w:rsid w:val="00421CF2"/>
    <w:rsid w:val="0042251A"/>
    <w:rsid w:val="00426617"/>
    <w:rsid w:val="00426CDB"/>
    <w:rsid w:val="00437393"/>
    <w:rsid w:val="00440EF7"/>
    <w:rsid w:val="004916BB"/>
    <w:rsid w:val="00496991"/>
    <w:rsid w:val="004A12F4"/>
    <w:rsid w:val="004A3F7C"/>
    <w:rsid w:val="004A5357"/>
    <w:rsid w:val="004C3121"/>
    <w:rsid w:val="004C41F7"/>
    <w:rsid w:val="004D081D"/>
    <w:rsid w:val="004D5CCD"/>
    <w:rsid w:val="004E0709"/>
    <w:rsid w:val="004E3D2D"/>
    <w:rsid w:val="004E4A2C"/>
    <w:rsid w:val="00505972"/>
    <w:rsid w:val="00526412"/>
    <w:rsid w:val="0052667E"/>
    <w:rsid w:val="005417F4"/>
    <w:rsid w:val="0054398C"/>
    <w:rsid w:val="00546369"/>
    <w:rsid w:val="00556C7C"/>
    <w:rsid w:val="00561737"/>
    <w:rsid w:val="00563CE7"/>
    <w:rsid w:val="005666F9"/>
    <w:rsid w:val="00571717"/>
    <w:rsid w:val="00571F99"/>
    <w:rsid w:val="005740B5"/>
    <w:rsid w:val="00575F00"/>
    <w:rsid w:val="00591DBD"/>
    <w:rsid w:val="005926C9"/>
    <w:rsid w:val="00594F68"/>
    <w:rsid w:val="005B04D7"/>
    <w:rsid w:val="005B0558"/>
    <w:rsid w:val="005D3FE1"/>
    <w:rsid w:val="005D72F4"/>
    <w:rsid w:val="005E3D2C"/>
    <w:rsid w:val="005F1DA5"/>
    <w:rsid w:val="005F2F50"/>
    <w:rsid w:val="0060683F"/>
    <w:rsid w:val="00610BEF"/>
    <w:rsid w:val="00616E93"/>
    <w:rsid w:val="006177C4"/>
    <w:rsid w:val="006211E5"/>
    <w:rsid w:val="00622E5D"/>
    <w:rsid w:val="00623C02"/>
    <w:rsid w:val="00632E53"/>
    <w:rsid w:val="00652895"/>
    <w:rsid w:val="0065654C"/>
    <w:rsid w:val="00661AAF"/>
    <w:rsid w:val="00675C16"/>
    <w:rsid w:val="006826A1"/>
    <w:rsid w:val="00683F32"/>
    <w:rsid w:val="0068692A"/>
    <w:rsid w:val="006A0520"/>
    <w:rsid w:val="006B1220"/>
    <w:rsid w:val="006B3C88"/>
    <w:rsid w:val="006B5A8E"/>
    <w:rsid w:val="006B5CA2"/>
    <w:rsid w:val="006C3DFD"/>
    <w:rsid w:val="006C41A9"/>
    <w:rsid w:val="006C4D79"/>
    <w:rsid w:val="006D16E8"/>
    <w:rsid w:val="006E1D74"/>
    <w:rsid w:val="006E3F3F"/>
    <w:rsid w:val="00714562"/>
    <w:rsid w:val="0071731F"/>
    <w:rsid w:val="007173FC"/>
    <w:rsid w:val="007205CE"/>
    <w:rsid w:val="00722A32"/>
    <w:rsid w:val="00723B81"/>
    <w:rsid w:val="007313ED"/>
    <w:rsid w:val="00755EB5"/>
    <w:rsid w:val="00762807"/>
    <w:rsid w:val="0077042C"/>
    <w:rsid w:val="00774F84"/>
    <w:rsid w:val="007769D0"/>
    <w:rsid w:val="00777615"/>
    <w:rsid w:val="00784B96"/>
    <w:rsid w:val="00785F6F"/>
    <w:rsid w:val="00797B58"/>
    <w:rsid w:val="007A0442"/>
    <w:rsid w:val="007A602B"/>
    <w:rsid w:val="007A6B64"/>
    <w:rsid w:val="007A7328"/>
    <w:rsid w:val="007A784F"/>
    <w:rsid w:val="007B2320"/>
    <w:rsid w:val="007B75C6"/>
    <w:rsid w:val="007C3182"/>
    <w:rsid w:val="007D08AC"/>
    <w:rsid w:val="007D3229"/>
    <w:rsid w:val="007D4F35"/>
    <w:rsid w:val="007E5A6C"/>
    <w:rsid w:val="007F1318"/>
    <w:rsid w:val="007F3E5B"/>
    <w:rsid w:val="007F4F3C"/>
    <w:rsid w:val="008003E7"/>
    <w:rsid w:val="0081762C"/>
    <w:rsid w:val="008209F0"/>
    <w:rsid w:val="008263C5"/>
    <w:rsid w:val="008325BA"/>
    <w:rsid w:val="008456FF"/>
    <w:rsid w:val="00854FF7"/>
    <w:rsid w:val="00857BF9"/>
    <w:rsid w:val="00870B4E"/>
    <w:rsid w:val="008718EE"/>
    <w:rsid w:val="00872612"/>
    <w:rsid w:val="00876501"/>
    <w:rsid w:val="00880213"/>
    <w:rsid w:val="00895281"/>
    <w:rsid w:val="00897A35"/>
    <w:rsid w:val="008A5E87"/>
    <w:rsid w:val="008B511B"/>
    <w:rsid w:val="008B630B"/>
    <w:rsid w:val="008B7836"/>
    <w:rsid w:val="008B7D65"/>
    <w:rsid w:val="008C2098"/>
    <w:rsid w:val="008D43EA"/>
    <w:rsid w:val="008E2312"/>
    <w:rsid w:val="008F4E62"/>
    <w:rsid w:val="00906288"/>
    <w:rsid w:val="0092006B"/>
    <w:rsid w:val="00925466"/>
    <w:rsid w:val="0092720B"/>
    <w:rsid w:val="00935ABF"/>
    <w:rsid w:val="00945F70"/>
    <w:rsid w:val="00961903"/>
    <w:rsid w:val="00963A57"/>
    <w:rsid w:val="00973355"/>
    <w:rsid w:val="009841F2"/>
    <w:rsid w:val="00993BED"/>
    <w:rsid w:val="009963FB"/>
    <w:rsid w:val="009A023D"/>
    <w:rsid w:val="009A067C"/>
    <w:rsid w:val="009A1D5D"/>
    <w:rsid w:val="009B17C5"/>
    <w:rsid w:val="009B2CE5"/>
    <w:rsid w:val="009B38E7"/>
    <w:rsid w:val="009C0C7F"/>
    <w:rsid w:val="009C11BB"/>
    <w:rsid w:val="009D5CE2"/>
    <w:rsid w:val="009E0B92"/>
    <w:rsid w:val="009E0CF9"/>
    <w:rsid w:val="009E457F"/>
    <w:rsid w:val="009E783A"/>
    <w:rsid w:val="009F3871"/>
    <w:rsid w:val="009F5632"/>
    <w:rsid w:val="009F6D2D"/>
    <w:rsid w:val="00A00A05"/>
    <w:rsid w:val="00A01E19"/>
    <w:rsid w:val="00A27439"/>
    <w:rsid w:val="00A40F08"/>
    <w:rsid w:val="00A52C12"/>
    <w:rsid w:val="00A57832"/>
    <w:rsid w:val="00A6679B"/>
    <w:rsid w:val="00A67F40"/>
    <w:rsid w:val="00A73EDF"/>
    <w:rsid w:val="00A75341"/>
    <w:rsid w:val="00A82DFB"/>
    <w:rsid w:val="00A85593"/>
    <w:rsid w:val="00A85B82"/>
    <w:rsid w:val="00A91ACF"/>
    <w:rsid w:val="00A91C98"/>
    <w:rsid w:val="00A9586C"/>
    <w:rsid w:val="00A96A1E"/>
    <w:rsid w:val="00AB54F9"/>
    <w:rsid w:val="00AC0D69"/>
    <w:rsid w:val="00AC3423"/>
    <w:rsid w:val="00AD0959"/>
    <w:rsid w:val="00AD6429"/>
    <w:rsid w:val="00AE4AA5"/>
    <w:rsid w:val="00AF253B"/>
    <w:rsid w:val="00B00FCB"/>
    <w:rsid w:val="00B03327"/>
    <w:rsid w:val="00B04E6C"/>
    <w:rsid w:val="00B108BB"/>
    <w:rsid w:val="00B20BED"/>
    <w:rsid w:val="00B22173"/>
    <w:rsid w:val="00B40DD3"/>
    <w:rsid w:val="00B449E1"/>
    <w:rsid w:val="00B46355"/>
    <w:rsid w:val="00B509FB"/>
    <w:rsid w:val="00B55DC9"/>
    <w:rsid w:val="00B717D1"/>
    <w:rsid w:val="00B836B4"/>
    <w:rsid w:val="00B85E42"/>
    <w:rsid w:val="00B87A83"/>
    <w:rsid w:val="00B93488"/>
    <w:rsid w:val="00B9497F"/>
    <w:rsid w:val="00BA790C"/>
    <w:rsid w:val="00BB1899"/>
    <w:rsid w:val="00BB3A83"/>
    <w:rsid w:val="00BC6A0A"/>
    <w:rsid w:val="00BC7830"/>
    <w:rsid w:val="00BD64EB"/>
    <w:rsid w:val="00BD7BE1"/>
    <w:rsid w:val="00BE1869"/>
    <w:rsid w:val="00BE24E1"/>
    <w:rsid w:val="00BF6F97"/>
    <w:rsid w:val="00C01423"/>
    <w:rsid w:val="00C03297"/>
    <w:rsid w:val="00C053F5"/>
    <w:rsid w:val="00C06731"/>
    <w:rsid w:val="00C10FCA"/>
    <w:rsid w:val="00C1335A"/>
    <w:rsid w:val="00C25488"/>
    <w:rsid w:val="00C4118B"/>
    <w:rsid w:val="00C54577"/>
    <w:rsid w:val="00C67694"/>
    <w:rsid w:val="00C864EE"/>
    <w:rsid w:val="00C95979"/>
    <w:rsid w:val="00CA2418"/>
    <w:rsid w:val="00CA6BD4"/>
    <w:rsid w:val="00CB6E82"/>
    <w:rsid w:val="00CE4C91"/>
    <w:rsid w:val="00D15E77"/>
    <w:rsid w:val="00D16476"/>
    <w:rsid w:val="00D20B1E"/>
    <w:rsid w:val="00D21679"/>
    <w:rsid w:val="00D242AA"/>
    <w:rsid w:val="00D257C4"/>
    <w:rsid w:val="00D26C8B"/>
    <w:rsid w:val="00D309F6"/>
    <w:rsid w:val="00D35C0E"/>
    <w:rsid w:val="00D36322"/>
    <w:rsid w:val="00D56393"/>
    <w:rsid w:val="00D56DAA"/>
    <w:rsid w:val="00D656A4"/>
    <w:rsid w:val="00D665A0"/>
    <w:rsid w:val="00D73F27"/>
    <w:rsid w:val="00D74259"/>
    <w:rsid w:val="00D7477F"/>
    <w:rsid w:val="00D94638"/>
    <w:rsid w:val="00DA0813"/>
    <w:rsid w:val="00DB266B"/>
    <w:rsid w:val="00DB408B"/>
    <w:rsid w:val="00DC406B"/>
    <w:rsid w:val="00DC4076"/>
    <w:rsid w:val="00DD0363"/>
    <w:rsid w:val="00DE2430"/>
    <w:rsid w:val="00DE5974"/>
    <w:rsid w:val="00DF126E"/>
    <w:rsid w:val="00E0554F"/>
    <w:rsid w:val="00E07021"/>
    <w:rsid w:val="00E1065F"/>
    <w:rsid w:val="00E1453F"/>
    <w:rsid w:val="00E160F3"/>
    <w:rsid w:val="00E17890"/>
    <w:rsid w:val="00E22B03"/>
    <w:rsid w:val="00E22FC8"/>
    <w:rsid w:val="00E236F2"/>
    <w:rsid w:val="00E35414"/>
    <w:rsid w:val="00E3709F"/>
    <w:rsid w:val="00E41E2F"/>
    <w:rsid w:val="00E468EC"/>
    <w:rsid w:val="00E5141C"/>
    <w:rsid w:val="00E60AE6"/>
    <w:rsid w:val="00E70601"/>
    <w:rsid w:val="00E728DB"/>
    <w:rsid w:val="00E737F5"/>
    <w:rsid w:val="00E77E87"/>
    <w:rsid w:val="00E85394"/>
    <w:rsid w:val="00E87A78"/>
    <w:rsid w:val="00EA7AE3"/>
    <w:rsid w:val="00EC58C5"/>
    <w:rsid w:val="00ED008A"/>
    <w:rsid w:val="00EE0214"/>
    <w:rsid w:val="00F00D01"/>
    <w:rsid w:val="00F01BA4"/>
    <w:rsid w:val="00F02225"/>
    <w:rsid w:val="00F05D67"/>
    <w:rsid w:val="00F111A2"/>
    <w:rsid w:val="00F14915"/>
    <w:rsid w:val="00F16858"/>
    <w:rsid w:val="00F23691"/>
    <w:rsid w:val="00F341B9"/>
    <w:rsid w:val="00F42A52"/>
    <w:rsid w:val="00F42B0A"/>
    <w:rsid w:val="00F46BA3"/>
    <w:rsid w:val="00F57D05"/>
    <w:rsid w:val="00F6655B"/>
    <w:rsid w:val="00F74A68"/>
    <w:rsid w:val="00F857CA"/>
    <w:rsid w:val="00F926C6"/>
    <w:rsid w:val="00F93EB9"/>
    <w:rsid w:val="00FA3A0A"/>
    <w:rsid w:val="00FA74EF"/>
    <w:rsid w:val="00FB3030"/>
    <w:rsid w:val="00FB4E25"/>
    <w:rsid w:val="00FC34D0"/>
    <w:rsid w:val="00FC4A1C"/>
    <w:rsid w:val="00FD3DAC"/>
    <w:rsid w:val="00FD4A02"/>
    <w:rsid w:val="00FE7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660C7A"/>
  <w15:chartTrackingRefBased/>
  <w15:docId w15:val="{F58B4E4C-2E9A-4CEF-A397-9B648E9CC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D83"/>
    <w:pPr>
      <w:spacing w:before="240" w:after="0" w:line="480" w:lineRule="auto"/>
      <w:jc w:val="both"/>
    </w:pPr>
    <w:rPr>
      <w:rFonts w:ascii="Times New Roman" w:eastAsia="Calibri" w:hAnsi="Times New Roman" w:cs="SimSun"/>
      <w:color w:val="000000"/>
      <w:kern w:val="0"/>
      <w:sz w:val="24"/>
    </w:rPr>
  </w:style>
  <w:style w:type="paragraph" w:styleId="Heading1">
    <w:name w:val="heading 1"/>
    <w:basedOn w:val="Normal"/>
    <w:next w:val="Normal"/>
    <w:link w:val="Heading1Char"/>
    <w:autoRedefine/>
    <w:uiPriority w:val="9"/>
    <w:qFormat/>
    <w:rsid w:val="00055D83"/>
    <w:pPr>
      <w:keepNext/>
      <w:keepLines/>
      <w:spacing w:before="600" w:after="120" w:line="240" w:lineRule="auto"/>
      <w:jc w:val="center"/>
      <w:outlineLvl w:val="0"/>
    </w:pPr>
    <w:rPr>
      <w:rFonts w:eastAsia="Times New Roman" w:cs="Times New Roman"/>
      <w:b/>
      <w:color w:val="000000" w:themeColor="text1"/>
      <w:kern w:val="2"/>
      <w:sz w:val="28"/>
      <w:szCs w:val="28"/>
      <w:u w:val="single"/>
    </w:rPr>
  </w:style>
  <w:style w:type="paragraph" w:styleId="Heading2">
    <w:name w:val="heading 2"/>
    <w:basedOn w:val="Normal"/>
    <w:next w:val="Normal"/>
    <w:link w:val="Heading2Char"/>
    <w:uiPriority w:val="9"/>
    <w:semiHidden/>
    <w:unhideWhenUsed/>
    <w:qFormat/>
    <w:rsid w:val="0060683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111A2"/>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3D7198"/>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55D83"/>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5D83"/>
    <w:rPr>
      <w:rFonts w:ascii="Times New Roman" w:eastAsia="Times New Roman" w:hAnsi="Times New Roman" w:cs="Times New Roman"/>
      <w:b/>
      <w:color w:val="000000" w:themeColor="text1"/>
      <w:sz w:val="28"/>
      <w:szCs w:val="28"/>
      <w:u w:val="single"/>
    </w:rPr>
  </w:style>
  <w:style w:type="character" w:customStyle="1" w:styleId="Heading5Char">
    <w:name w:val="Heading 5 Char"/>
    <w:basedOn w:val="DefaultParagraphFont"/>
    <w:link w:val="Heading5"/>
    <w:uiPriority w:val="9"/>
    <w:semiHidden/>
    <w:rsid w:val="00055D83"/>
    <w:rPr>
      <w:rFonts w:asciiTheme="majorHAnsi" w:eastAsiaTheme="majorEastAsia" w:hAnsiTheme="majorHAnsi" w:cstheme="majorBidi"/>
      <w:color w:val="2F5496" w:themeColor="accent1" w:themeShade="BF"/>
      <w:kern w:val="0"/>
      <w:sz w:val="24"/>
    </w:rPr>
  </w:style>
  <w:style w:type="character" w:customStyle="1" w:styleId="ListParagraphChar">
    <w:name w:val="List Paragraph Char"/>
    <w:link w:val="ListParagraph"/>
    <w:uiPriority w:val="34"/>
    <w:rsid w:val="00055D83"/>
    <w:rPr>
      <w:rFonts w:ascii="Calibri" w:eastAsia="Calibri" w:hAnsi="Calibri" w:cs="Times New Roman"/>
    </w:rPr>
  </w:style>
  <w:style w:type="paragraph" w:styleId="ListParagraph">
    <w:name w:val="List Paragraph"/>
    <w:basedOn w:val="Normal"/>
    <w:link w:val="ListParagraphChar"/>
    <w:uiPriority w:val="34"/>
    <w:qFormat/>
    <w:rsid w:val="00055D83"/>
    <w:pPr>
      <w:spacing w:before="120" w:after="200"/>
      <w:ind w:left="720"/>
      <w:contextualSpacing/>
    </w:pPr>
    <w:rPr>
      <w:rFonts w:ascii="Calibri" w:hAnsi="Calibri" w:cs="Times New Roman"/>
      <w:color w:val="auto"/>
      <w:kern w:val="2"/>
      <w:sz w:val="22"/>
    </w:rPr>
  </w:style>
  <w:style w:type="paragraph" w:styleId="Footer">
    <w:name w:val="footer"/>
    <w:basedOn w:val="Normal"/>
    <w:link w:val="FooterChar"/>
    <w:uiPriority w:val="99"/>
    <w:unhideWhenUsed/>
    <w:rsid w:val="00055D83"/>
    <w:pPr>
      <w:tabs>
        <w:tab w:val="center" w:pos="4680"/>
        <w:tab w:val="right" w:pos="9360"/>
      </w:tabs>
      <w:spacing w:before="0" w:line="240" w:lineRule="auto"/>
    </w:pPr>
  </w:style>
  <w:style w:type="character" w:customStyle="1" w:styleId="FooterChar">
    <w:name w:val="Footer Char"/>
    <w:basedOn w:val="DefaultParagraphFont"/>
    <w:link w:val="Footer"/>
    <w:uiPriority w:val="99"/>
    <w:rsid w:val="00055D83"/>
    <w:rPr>
      <w:rFonts w:ascii="Times New Roman" w:eastAsia="Calibri" w:hAnsi="Times New Roman" w:cs="SimSun"/>
      <w:color w:val="000000"/>
      <w:kern w:val="0"/>
      <w:sz w:val="24"/>
    </w:rPr>
  </w:style>
  <w:style w:type="paragraph" w:styleId="BodyText">
    <w:name w:val="Body Text"/>
    <w:basedOn w:val="Normal"/>
    <w:link w:val="BodyTextChar"/>
    <w:uiPriority w:val="1"/>
    <w:qFormat/>
    <w:rsid w:val="00055D83"/>
    <w:pPr>
      <w:widowControl w:val="0"/>
      <w:autoSpaceDE w:val="0"/>
      <w:autoSpaceDN w:val="0"/>
      <w:spacing w:before="0" w:line="240" w:lineRule="auto"/>
      <w:jc w:val="left"/>
    </w:pPr>
    <w:rPr>
      <w:rFonts w:eastAsia="Times New Roman" w:cs="Times New Roman"/>
      <w:color w:val="auto"/>
      <w:szCs w:val="24"/>
      <w:lang w:val="en-GB"/>
      <w14:ligatures w14:val="none"/>
    </w:rPr>
  </w:style>
  <w:style w:type="character" w:customStyle="1" w:styleId="BodyTextChar">
    <w:name w:val="Body Text Char"/>
    <w:basedOn w:val="DefaultParagraphFont"/>
    <w:link w:val="BodyText"/>
    <w:uiPriority w:val="1"/>
    <w:rsid w:val="00055D83"/>
    <w:rPr>
      <w:rFonts w:ascii="Times New Roman" w:eastAsia="Times New Roman" w:hAnsi="Times New Roman" w:cs="Times New Roman"/>
      <w:kern w:val="0"/>
      <w:sz w:val="24"/>
      <w:szCs w:val="24"/>
      <w:lang w:val="en-GB"/>
      <w14:ligatures w14:val="none"/>
    </w:rPr>
  </w:style>
  <w:style w:type="paragraph" w:customStyle="1" w:styleId="Default">
    <w:name w:val="Default"/>
    <w:rsid w:val="00055D83"/>
    <w:pPr>
      <w:autoSpaceDE w:val="0"/>
      <w:autoSpaceDN w:val="0"/>
      <w:adjustRightInd w:val="0"/>
      <w:spacing w:after="0" w:line="240" w:lineRule="auto"/>
    </w:pPr>
    <w:rPr>
      <w:rFonts w:ascii="Times New Roman" w:hAnsi="Times New Roman" w:cs="Times New Roman"/>
      <w:color w:val="000000"/>
      <w:kern w:val="0"/>
      <w:sz w:val="24"/>
      <w:szCs w:val="24"/>
      <w:lang w:val="en-GB"/>
      <w14:ligatures w14:val="none"/>
    </w:rPr>
  </w:style>
  <w:style w:type="character" w:customStyle="1" w:styleId="apple-converted-space">
    <w:name w:val="apple-converted-space"/>
    <w:basedOn w:val="DefaultParagraphFont"/>
    <w:rsid w:val="007F1318"/>
  </w:style>
  <w:style w:type="paragraph" w:customStyle="1" w:styleId="TableParagraph">
    <w:name w:val="Table Paragraph"/>
    <w:basedOn w:val="Normal"/>
    <w:uiPriority w:val="1"/>
    <w:qFormat/>
    <w:rsid w:val="00A6679B"/>
    <w:pPr>
      <w:widowControl w:val="0"/>
      <w:autoSpaceDE w:val="0"/>
      <w:autoSpaceDN w:val="0"/>
      <w:spacing w:before="0" w:line="240" w:lineRule="auto"/>
      <w:jc w:val="left"/>
    </w:pPr>
    <w:rPr>
      <w:rFonts w:eastAsia="Times New Roman" w:cs="Times New Roman"/>
      <w:color w:val="auto"/>
      <w:sz w:val="22"/>
      <w14:ligatures w14:val="none"/>
    </w:rPr>
  </w:style>
  <w:style w:type="character" w:customStyle="1" w:styleId="Heading2Char">
    <w:name w:val="Heading 2 Char"/>
    <w:basedOn w:val="DefaultParagraphFont"/>
    <w:link w:val="Heading2"/>
    <w:uiPriority w:val="9"/>
    <w:semiHidden/>
    <w:rsid w:val="0060683F"/>
    <w:rPr>
      <w:rFonts w:asciiTheme="majorHAnsi" w:eastAsiaTheme="majorEastAsia" w:hAnsiTheme="majorHAnsi" w:cstheme="majorBidi"/>
      <w:color w:val="2F5496" w:themeColor="accent1" w:themeShade="BF"/>
      <w:kern w:val="0"/>
      <w:sz w:val="26"/>
      <w:szCs w:val="26"/>
    </w:rPr>
  </w:style>
  <w:style w:type="character" w:customStyle="1" w:styleId="Heading4Char">
    <w:name w:val="Heading 4 Char"/>
    <w:basedOn w:val="DefaultParagraphFont"/>
    <w:link w:val="Heading4"/>
    <w:uiPriority w:val="9"/>
    <w:semiHidden/>
    <w:rsid w:val="003D7198"/>
    <w:rPr>
      <w:rFonts w:asciiTheme="majorHAnsi" w:eastAsiaTheme="majorEastAsia" w:hAnsiTheme="majorHAnsi" w:cstheme="majorBidi"/>
      <w:i/>
      <w:iCs/>
      <w:color w:val="2F5496" w:themeColor="accent1" w:themeShade="BF"/>
      <w:kern w:val="0"/>
      <w:sz w:val="24"/>
    </w:rPr>
  </w:style>
  <w:style w:type="character" w:styleId="Emphasis">
    <w:name w:val="Emphasis"/>
    <w:qFormat/>
    <w:rsid w:val="00E1453F"/>
    <w:rPr>
      <w:i/>
      <w:iCs/>
    </w:rPr>
  </w:style>
  <w:style w:type="character" w:customStyle="1" w:styleId="Heading3Char">
    <w:name w:val="Heading 3 Char"/>
    <w:basedOn w:val="DefaultParagraphFont"/>
    <w:link w:val="Heading3"/>
    <w:uiPriority w:val="9"/>
    <w:semiHidden/>
    <w:rsid w:val="00F111A2"/>
    <w:rPr>
      <w:rFonts w:asciiTheme="majorHAnsi" w:eastAsiaTheme="majorEastAsia" w:hAnsiTheme="majorHAnsi" w:cstheme="majorBidi"/>
      <w:color w:val="1F3763" w:themeColor="accent1" w:themeShade="7F"/>
      <w:kern w:val="0"/>
      <w:sz w:val="24"/>
      <w:szCs w:val="24"/>
    </w:rPr>
  </w:style>
  <w:style w:type="paragraph" w:styleId="NoSpacing">
    <w:name w:val="No Spacing"/>
    <w:uiPriority w:val="1"/>
    <w:qFormat/>
    <w:rsid w:val="00BB3A83"/>
    <w:pPr>
      <w:spacing w:after="0" w:line="240" w:lineRule="auto"/>
      <w:jc w:val="center"/>
    </w:pPr>
    <w:rPr>
      <w:rFonts w:ascii="Times New Roman" w:hAnsi="Times New Roman"/>
      <w:b/>
      <w:i/>
      <w:color w:val="000000" w:themeColor="text1"/>
      <w:kern w:val="0"/>
      <w:sz w:val="24"/>
      <w14:ligatures w14:val="none"/>
    </w:rPr>
  </w:style>
  <w:style w:type="table" w:styleId="TableGrid">
    <w:name w:val="Table Grid"/>
    <w:basedOn w:val="TableNormal"/>
    <w:uiPriority w:val="59"/>
    <w:rsid w:val="00BB3A83"/>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BB3A83"/>
    <w:pPr>
      <w:spacing w:before="0" w:after="200" w:line="240" w:lineRule="auto"/>
    </w:pPr>
    <w:rPr>
      <w:rFonts w:eastAsia="Times New Roman" w:cs="Times New Roman"/>
      <w:b/>
      <w:bCs/>
      <w:color w:val="4472C4" w:themeColor="accent1"/>
      <w:sz w:val="18"/>
      <w:szCs w:val="18"/>
      <w14:ligatures w14:val="none"/>
    </w:rPr>
  </w:style>
  <w:style w:type="character" w:customStyle="1" w:styleId="markedcontent">
    <w:name w:val="markedcontent"/>
    <w:basedOn w:val="DefaultParagraphFont"/>
    <w:rsid w:val="002D7340"/>
  </w:style>
  <w:style w:type="paragraph" w:customStyle="1" w:styleId="Tables">
    <w:name w:val="Tables"/>
    <w:basedOn w:val="Normal"/>
    <w:link w:val="TablesChar"/>
    <w:qFormat/>
    <w:rsid w:val="00076BA5"/>
    <w:pPr>
      <w:spacing w:before="0" w:line="240" w:lineRule="auto"/>
      <w:jc w:val="left"/>
    </w:pPr>
    <w:rPr>
      <w:rFonts w:eastAsiaTheme="minorHAnsi" w:cs="Times New Roman"/>
      <w:b/>
      <w:color w:val="auto"/>
      <w:szCs w:val="24"/>
      <w14:ligatures w14:val="none"/>
    </w:rPr>
  </w:style>
  <w:style w:type="character" w:customStyle="1" w:styleId="TablesChar">
    <w:name w:val="Tables Char"/>
    <w:basedOn w:val="DefaultParagraphFont"/>
    <w:link w:val="Tables"/>
    <w:rsid w:val="00076BA5"/>
    <w:rPr>
      <w:rFonts w:ascii="Times New Roman" w:hAnsi="Times New Roman" w:cs="Times New Roman"/>
      <w:b/>
      <w:kern w:val="0"/>
      <w:sz w:val="24"/>
      <w:szCs w:val="24"/>
      <w14:ligatures w14:val="none"/>
    </w:rPr>
  </w:style>
  <w:style w:type="character" w:styleId="Hyperlink">
    <w:name w:val="Hyperlink"/>
    <w:basedOn w:val="DefaultParagraphFont"/>
    <w:uiPriority w:val="99"/>
    <w:unhideWhenUsed/>
    <w:rsid w:val="001E649F"/>
    <w:rPr>
      <w:color w:val="0563C1" w:themeColor="hyperlink"/>
      <w:u w:val="single"/>
    </w:rPr>
  </w:style>
  <w:style w:type="character" w:customStyle="1" w:styleId="UnresolvedMention1">
    <w:name w:val="Unresolved Mention1"/>
    <w:basedOn w:val="DefaultParagraphFont"/>
    <w:uiPriority w:val="99"/>
    <w:semiHidden/>
    <w:unhideWhenUsed/>
    <w:rsid w:val="001E649F"/>
    <w:rPr>
      <w:color w:val="605E5C"/>
      <w:shd w:val="clear" w:color="auto" w:fill="E1DFDD"/>
    </w:rPr>
  </w:style>
  <w:style w:type="paragraph" w:styleId="NormalWeb">
    <w:name w:val="Normal (Web)"/>
    <w:basedOn w:val="Normal"/>
    <w:uiPriority w:val="99"/>
    <w:unhideWhenUsed/>
    <w:rsid w:val="00D16476"/>
    <w:pPr>
      <w:spacing w:before="100" w:beforeAutospacing="1" w:after="100" w:afterAutospacing="1" w:line="240" w:lineRule="auto"/>
      <w:jc w:val="left"/>
    </w:pPr>
    <w:rPr>
      <w:rFonts w:eastAsia="Times New Roman" w:cs="Times New Roman"/>
      <w:color w:val="auto"/>
      <w:szCs w:val="24"/>
      <w14:ligatures w14:val="none"/>
    </w:rPr>
  </w:style>
  <w:style w:type="paragraph" w:customStyle="1" w:styleId="TABLES0">
    <w:name w:val="TABLES"/>
    <w:basedOn w:val="Normal"/>
    <w:qFormat/>
    <w:rsid w:val="00437393"/>
    <w:pPr>
      <w:spacing w:before="120" w:after="120"/>
    </w:pPr>
    <w:rPr>
      <w:rFonts w:cs="Times New Roman"/>
      <w:b/>
      <w:color w:val="auto"/>
      <w14:ligatures w14:val="none"/>
    </w:rPr>
  </w:style>
  <w:style w:type="table" w:styleId="PlainTable5">
    <w:name w:val="Plain Table 5"/>
    <w:basedOn w:val="TableNormal"/>
    <w:uiPriority w:val="45"/>
    <w:rsid w:val="00C053F5"/>
    <w:pPr>
      <w:spacing w:after="0" w:line="240" w:lineRule="auto"/>
      <w:jc w:val="both"/>
    </w:pPr>
    <w:rPr>
      <w:kern w:val="0"/>
      <w14:ligatures w14:val="none"/>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nresolvedMention">
    <w:name w:val="Unresolved Mention"/>
    <w:basedOn w:val="DefaultParagraphFont"/>
    <w:uiPriority w:val="99"/>
    <w:semiHidden/>
    <w:unhideWhenUsed/>
    <w:rsid w:val="00AC3423"/>
    <w:rPr>
      <w:color w:val="605E5C"/>
      <w:shd w:val="clear" w:color="auto" w:fill="E1DFDD"/>
    </w:rPr>
  </w:style>
  <w:style w:type="paragraph" w:styleId="Header">
    <w:name w:val="header"/>
    <w:basedOn w:val="Normal"/>
    <w:link w:val="HeaderChar"/>
    <w:uiPriority w:val="99"/>
    <w:unhideWhenUsed/>
    <w:rsid w:val="008325BA"/>
    <w:pPr>
      <w:tabs>
        <w:tab w:val="center" w:pos="4680"/>
        <w:tab w:val="right" w:pos="9360"/>
      </w:tabs>
      <w:spacing w:before="0" w:line="240" w:lineRule="auto"/>
    </w:pPr>
  </w:style>
  <w:style w:type="character" w:customStyle="1" w:styleId="HeaderChar">
    <w:name w:val="Header Char"/>
    <w:basedOn w:val="DefaultParagraphFont"/>
    <w:link w:val="Header"/>
    <w:uiPriority w:val="99"/>
    <w:rsid w:val="008325BA"/>
    <w:rPr>
      <w:rFonts w:ascii="Times New Roman" w:eastAsia="Calibri" w:hAnsi="Times New Roman" w:cs="SimSun"/>
      <w:color w:val="000000"/>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949357">
      <w:bodyDiv w:val="1"/>
      <w:marLeft w:val="0"/>
      <w:marRight w:val="0"/>
      <w:marTop w:val="0"/>
      <w:marBottom w:val="0"/>
      <w:divBdr>
        <w:top w:val="none" w:sz="0" w:space="0" w:color="auto"/>
        <w:left w:val="none" w:sz="0" w:space="0" w:color="auto"/>
        <w:bottom w:val="none" w:sz="0" w:space="0" w:color="auto"/>
        <w:right w:val="none" w:sz="0" w:space="0" w:color="auto"/>
      </w:divBdr>
    </w:div>
    <w:div w:id="340470004">
      <w:bodyDiv w:val="1"/>
      <w:marLeft w:val="0"/>
      <w:marRight w:val="0"/>
      <w:marTop w:val="0"/>
      <w:marBottom w:val="0"/>
      <w:divBdr>
        <w:top w:val="none" w:sz="0" w:space="0" w:color="auto"/>
        <w:left w:val="none" w:sz="0" w:space="0" w:color="auto"/>
        <w:bottom w:val="none" w:sz="0" w:space="0" w:color="auto"/>
        <w:right w:val="none" w:sz="0" w:space="0" w:color="auto"/>
      </w:divBdr>
    </w:div>
    <w:div w:id="566765604">
      <w:bodyDiv w:val="1"/>
      <w:marLeft w:val="0"/>
      <w:marRight w:val="0"/>
      <w:marTop w:val="0"/>
      <w:marBottom w:val="0"/>
      <w:divBdr>
        <w:top w:val="none" w:sz="0" w:space="0" w:color="auto"/>
        <w:left w:val="none" w:sz="0" w:space="0" w:color="auto"/>
        <w:bottom w:val="none" w:sz="0" w:space="0" w:color="auto"/>
        <w:right w:val="none" w:sz="0" w:space="0" w:color="auto"/>
      </w:divBdr>
    </w:div>
    <w:div w:id="583222418">
      <w:bodyDiv w:val="1"/>
      <w:marLeft w:val="0"/>
      <w:marRight w:val="0"/>
      <w:marTop w:val="0"/>
      <w:marBottom w:val="0"/>
      <w:divBdr>
        <w:top w:val="none" w:sz="0" w:space="0" w:color="auto"/>
        <w:left w:val="none" w:sz="0" w:space="0" w:color="auto"/>
        <w:bottom w:val="none" w:sz="0" w:space="0" w:color="auto"/>
        <w:right w:val="none" w:sz="0" w:space="0" w:color="auto"/>
      </w:divBdr>
    </w:div>
    <w:div w:id="618725703">
      <w:bodyDiv w:val="1"/>
      <w:marLeft w:val="0"/>
      <w:marRight w:val="0"/>
      <w:marTop w:val="0"/>
      <w:marBottom w:val="0"/>
      <w:divBdr>
        <w:top w:val="none" w:sz="0" w:space="0" w:color="auto"/>
        <w:left w:val="none" w:sz="0" w:space="0" w:color="auto"/>
        <w:bottom w:val="none" w:sz="0" w:space="0" w:color="auto"/>
        <w:right w:val="none" w:sz="0" w:space="0" w:color="auto"/>
      </w:divBdr>
    </w:div>
    <w:div w:id="947202476">
      <w:bodyDiv w:val="1"/>
      <w:marLeft w:val="0"/>
      <w:marRight w:val="0"/>
      <w:marTop w:val="0"/>
      <w:marBottom w:val="0"/>
      <w:divBdr>
        <w:top w:val="none" w:sz="0" w:space="0" w:color="auto"/>
        <w:left w:val="none" w:sz="0" w:space="0" w:color="auto"/>
        <w:bottom w:val="none" w:sz="0" w:space="0" w:color="auto"/>
        <w:right w:val="none" w:sz="0" w:space="0" w:color="auto"/>
      </w:divBdr>
    </w:div>
    <w:div w:id="1041175574">
      <w:bodyDiv w:val="1"/>
      <w:marLeft w:val="0"/>
      <w:marRight w:val="0"/>
      <w:marTop w:val="0"/>
      <w:marBottom w:val="0"/>
      <w:divBdr>
        <w:top w:val="none" w:sz="0" w:space="0" w:color="auto"/>
        <w:left w:val="none" w:sz="0" w:space="0" w:color="auto"/>
        <w:bottom w:val="none" w:sz="0" w:space="0" w:color="auto"/>
        <w:right w:val="none" w:sz="0" w:space="0" w:color="auto"/>
      </w:divBdr>
    </w:div>
    <w:div w:id="1208760504">
      <w:bodyDiv w:val="1"/>
      <w:marLeft w:val="0"/>
      <w:marRight w:val="0"/>
      <w:marTop w:val="0"/>
      <w:marBottom w:val="0"/>
      <w:divBdr>
        <w:top w:val="none" w:sz="0" w:space="0" w:color="auto"/>
        <w:left w:val="none" w:sz="0" w:space="0" w:color="auto"/>
        <w:bottom w:val="none" w:sz="0" w:space="0" w:color="auto"/>
        <w:right w:val="none" w:sz="0" w:space="0" w:color="auto"/>
      </w:divBdr>
    </w:div>
    <w:div w:id="1380744296">
      <w:bodyDiv w:val="1"/>
      <w:marLeft w:val="0"/>
      <w:marRight w:val="0"/>
      <w:marTop w:val="0"/>
      <w:marBottom w:val="0"/>
      <w:divBdr>
        <w:top w:val="none" w:sz="0" w:space="0" w:color="auto"/>
        <w:left w:val="none" w:sz="0" w:space="0" w:color="auto"/>
        <w:bottom w:val="none" w:sz="0" w:space="0" w:color="auto"/>
        <w:right w:val="none" w:sz="0" w:space="0" w:color="auto"/>
      </w:divBdr>
    </w:div>
    <w:div w:id="1746954200">
      <w:bodyDiv w:val="1"/>
      <w:marLeft w:val="0"/>
      <w:marRight w:val="0"/>
      <w:marTop w:val="0"/>
      <w:marBottom w:val="0"/>
      <w:divBdr>
        <w:top w:val="none" w:sz="0" w:space="0" w:color="auto"/>
        <w:left w:val="none" w:sz="0" w:space="0" w:color="auto"/>
        <w:bottom w:val="none" w:sz="0" w:space="0" w:color="auto"/>
        <w:right w:val="none" w:sz="0" w:space="0" w:color="auto"/>
      </w:divBdr>
    </w:div>
    <w:div w:id="1806503340">
      <w:bodyDiv w:val="1"/>
      <w:marLeft w:val="0"/>
      <w:marRight w:val="0"/>
      <w:marTop w:val="0"/>
      <w:marBottom w:val="0"/>
      <w:divBdr>
        <w:top w:val="none" w:sz="0" w:space="0" w:color="auto"/>
        <w:left w:val="none" w:sz="0" w:space="0" w:color="auto"/>
        <w:bottom w:val="none" w:sz="0" w:space="0" w:color="auto"/>
        <w:right w:val="none" w:sz="0" w:space="0" w:color="auto"/>
      </w:divBdr>
    </w:div>
    <w:div w:id="183024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108/SAMPJ-06-2023-0421" TargetMode="Externa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OneDrive%20-%20World%20Vision%20International\Desktop\Personal%20Files\Research%20Project\Research%20Project_Final%20Revision\Data%20Analysi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kern="1200" spc="0" baseline="0">
                <a:solidFill>
                  <a:sysClr val="windowText" lastClr="000000">
                    <a:lumMod val="65000"/>
                    <a:lumOff val="35000"/>
                  </a:sysClr>
                </a:solidFill>
              </a:rPr>
              <a:t>Technological Financial Systems and Financial Efficiency</a:t>
            </a:r>
          </a:p>
        </c:rich>
      </c:tx>
      <c:layout>
        <c:manualLayout>
          <c:xMode val="edge"/>
          <c:yMode val="edge"/>
          <c:x val="0.15160415598937707"/>
          <c:y val="2.9925187032418952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Sheet2!$A$2</c:f>
              <c:strCache>
                <c:ptCount val="1"/>
                <c:pt idx="0">
                  <c:v>Strongly Agree</c:v>
                </c:pt>
              </c:strCache>
            </c:strRef>
          </c:tx>
          <c:spPr>
            <a:solidFill>
              <a:schemeClr val="accent1"/>
            </a:solidFill>
            <a:ln>
              <a:noFill/>
            </a:ln>
            <a:effectLst/>
          </c:spPr>
          <c:invertIfNegative val="0"/>
          <c:cat>
            <c:strRef>
              <c:f>Sheet2!$B$1:$D$1</c:f>
              <c:strCache>
                <c:ptCount val="3"/>
                <c:pt idx="0">
                  <c:v>ERP Systems</c:v>
                </c:pt>
                <c:pt idx="1">
                  <c:v>Cloud-based accounting</c:v>
                </c:pt>
                <c:pt idx="2">
                  <c:v>Block-chain systems</c:v>
                </c:pt>
              </c:strCache>
            </c:strRef>
          </c:cat>
          <c:val>
            <c:numRef>
              <c:f>Sheet2!$B$2:$D$2</c:f>
              <c:numCache>
                <c:formatCode>0%</c:formatCode>
                <c:ptCount val="3"/>
                <c:pt idx="0">
                  <c:v>0.27</c:v>
                </c:pt>
                <c:pt idx="1">
                  <c:v>0.27</c:v>
                </c:pt>
                <c:pt idx="2">
                  <c:v>0.23</c:v>
                </c:pt>
              </c:numCache>
            </c:numRef>
          </c:val>
          <c:extLst xmlns:c16r2="http://schemas.microsoft.com/office/drawing/2015/06/chart">
            <c:ext xmlns:c16="http://schemas.microsoft.com/office/drawing/2014/chart" uri="{C3380CC4-5D6E-409C-BE32-E72D297353CC}">
              <c16:uniqueId val="{00000000-06CE-43DD-9806-AA4ABB930B9E}"/>
            </c:ext>
          </c:extLst>
        </c:ser>
        <c:ser>
          <c:idx val="1"/>
          <c:order val="1"/>
          <c:tx>
            <c:strRef>
              <c:f>Sheet2!$A$3</c:f>
              <c:strCache>
                <c:ptCount val="1"/>
                <c:pt idx="0">
                  <c:v>Agree</c:v>
                </c:pt>
              </c:strCache>
            </c:strRef>
          </c:tx>
          <c:spPr>
            <a:solidFill>
              <a:schemeClr val="accent2"/>
            </a:solidFill>
            <a:ln>
              <a:noFill/>
            </a:ln>
            <a:effectLst/>
          </c:spPr>
          <c:invertIfNegative val="0"/>
          <c:cat>
            <c:strRef>
              <c:f>Sheet2!$B$1:$D$1</c:f>
              <c:strCache>
                <c:ptCount val="3"/>
                <c:pt idx="0">
                  <c:v>ERP Systems</c:v>
                </c:pt>
                <c:pt idx="1">
                  <c:v>Cloud-based accounting</c:v>
                </c:pt>
                <c:pt idx="2">
                  <c:v>Block-chain systems</c:v>
                </c:pt>
              </c:strCache>
            </c:strRef>
          </c:cat>
          <c:val>
            <c:numRef>
              <c:f>Sheet2!$B$3:$D$3</c:f>
              <c:numCache>
                <c:formatCode>0%</c:formatCode>
                <c:ptCount val="3"/>
                <c:pt idx="0">
                  <c:v>0.25</c:v>
                </c:pt>
                <c:pt idx="1">
                  <c:v>0.25</c:v>
                </c:pt>
                <c:pt idx="2">
                  <c:v>0.26</c:v>
                </c:pt>
              </c:numCache>
            </c:numRef>
          </c:val>
          <c:extLst xmlns:c16r2="http://schemas.microsoft.com/office/drawing/2015/06/chart">
            <c:ext xmlns:c16="http://schemas.microsoft.com/office/drawing/2014/chart" uri="{C3380CC4-5D6E-409C-BE32-E72D297353CC}">
              <c16:uniqueId val="{00000001-06CE-43DD-9806-AA4ABB930B9E}"/>
            </c:ext>
          </c:extLst>
        </c:ser>
        <c:ser>
          <c:idx val="2"/>
          <c:order val="2"/>
          <c:tx>
            <c:strRef>
              <c:f>Sheet2!$A$4</c:f>
              <c:strCache>
                <c:ptCount val="1"/>
                <c:pt idx="0">
                  <c:v>Disagree</c:v>
                </c:pt>
              </c:strCache>
            </c:strRef>
          </c:tx>
          <c:spPr>
            <a:solidFill>
              <a:schemeClr val="accent3"/>
            </a:solidFill>
            <a:ln>
              <a:noFill/>
            </a:ln>
            <a:effectLst/>
          </c:spPr>
          <c:invertIfNegative val="0"/>
          <c:cat>
            <c:strRef>
              <c:f>Sheet2!$B$1:$D$1</c:f>
              <c:strCache>
                <c:ptCount val="3"/>
                <c:pt idx="0">
                  <c:v>ERP Systems</c:v>
                </c:pt>
                <c:pt idx="1">
                  <c:v>Cloud-based accounting</c:v>
                </c:pt>
                <c:pt idx="2">
                  <c:v>Block-chain systems</c:v>
                </c:pt>
              </c:strCache>
            </c:strRef>
          </c:cat>
          <c:val>
            <c:numRef>
              <c:f>Sheet2!$B$4:$D$4</c:f>
              <c:numCache>
                <c:formatCode>0%</c:formatCode>
                <c:ptCount val="3"/>
                <c:pt idx="0">
                  <c:v>0.25</c:v>
                </c:pt>
                <c:pt idx="1">
                  <c:v>0.25</c:v>
                </c:pt>
                <c:pt idx="2">
                  <c:v>0.27</c:v>
                </c:pt>
              </c:numCache>
            </c:numRef>
          </c:val>
          <c:extLst xmlns:c16r2="http://schemas.microsoft.com/office/drawing/2015/06/chart">
            <c:ext xmlns:c16="http://schemas.microsoft.com/office/drawing/2014/chart" uri="{C3380CC4-5D6E-409C-BE32-E72D297353CC}">
              <c16:uniqueId val="{00000002-06CE-43DD-9806-AA4ABB930B9E}"/>
            </c:ext>
          </c:extLst>
        </c:ser>
        <c:ser>
          <c:idx val="3"/>
          <c:order val="3"/>
          <c:tx>
            <c:strRef>
              <c:f>Sheet2!$A$5</c:f>
              <c:strCache>
                <c:ptCount val="1"/>
                <c:pt idx="0">
                  <c:v>Strongly Disagree</c:v>
                </c:pt>
              </c:strCache>
            </c:strRef>
          </c:tx>
          <c:spPr>
            <a:solidFill>
              <a:schemeClr val="accent4"/>
            </a:solidFill>
            <a:ln>
              <a:noFill/>
            </a:ln>
            <a:effectLst/>
          </c:spPr>
          <c:invertIfNegative val="0"/>
          <c:cat>
            <c:strRef>
              <c:f>Sheet2!$B$1:$D$1</c:f>
              <c:strCache>
                <c:ptCount val="3"/>
                <c:pt idx="0">
                  <c:v>ERP Systems</c:v>
                </c:pt>
                <c:pt idx="1">
                  <c:v>Cloud-based accounting</c:v>
                </c:pt>
                <c:pt idx="2">
                  <c:v>Block-chain systems</c:v>
                </c:pt>
              </c:strCache>
            </c:strRef>
          </c:cat>
          <c:val>
            <c:numRef>
              <c:f>Sheet2!$B$5:$D$5</c:f>
              <c:numCache>
                <c:formatCode>0%</c:formatCode>
                <c:ptCount val="3"/>
                <c:pt idx="0">
                  <c:v>0.23</c:v>
                </c:pt>
                <c:pt idx="1">
                  <c:v>0.23</c:v>
                </c:pt>
                <c:pt idx="2">
                  <c:v>0.24</c:v>
                </c:pt>
              </c:numCache>
            </c:numRef>
          </c:val>
          <c:extLst xmlns:c16r2="http://schemas.microsoft.com/office/drawing/2015/06/chart">
            <c:ext xmlns:c16="http://schemas.microsoft.com/office/drawing/2014/chart" uri="{C3380CC4-5D6E-409C-BE32-E72D297353CC}">
              <c16:uniqueId val="{00000003-06CE-43DD-9806-AA4ABB930B9E}"/>
            </c:ext>
          </c:extLst>
        </c:ser>
        <c:dLbls>
          <c:showLegendKey val="0"/>
          <c:showVal val="0"/>
          <c:showCatName val="0"/>
          <c:showSerName val="0"/>
          <c:showPercent val="0"/>
          <c:showBubbleSize val="0"/>
        </c:dLbls>
        <c:gapWidth val="219"/>
        <c:overlap val="-27"/>
        <c:axId val="-1548711520"/>
        <c:axId val="-1548714240"/>
      </c:barChart>
      <c:catAx>
        <c:axId val="-15487115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Technological</a:t>
                </a:r>
                <a:r>
                  <a:rPr lang="en-US" baseline="0"/>
                  <a:t> Financial System</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48714240"/>
        <c:crosses val="autoZero"/>
        <c:auto val="1"/>
        <c:lblAlgn val="ctr"/>
        <c:lblOffset val="100"/>
        <c:noMultiLvlLbl val="0"/>
      </c:catAx>
      <c:valAx>
        <c:axId val="-15487142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Perception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4871152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Technological Financial Systems and Financial Efficiency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 3'!$A$2</c:f>
              <c:strCache>
                <c:ptCount val="1"/>
                <c:pt idx="0">
                  <c:v>Agree</c:v>
                </c:pt>
              </c:strCache>
            </c:strRef>
          </c:tx>
          <c:spPr>
            <a:solidFill>
              <a:schemeClr val="accent1"/>
            </a:solidFill>
            <a:ln>
              <a:noFill/>
            </a:ln>
            <a:effectLst/>
          </c:spPr>
          <c:invertIfNegative val="0"/>
          <c:cat>
            <c:strRef>
              <c:f>'Sheet 3'!$B$1:$D$1</c:f>
              <c:strCache>
                <c:ptCount val="3"/>
                <c:pt idx="0">
                  <c:v>ERP Systems</c:v>
                </c:pt>
                <c:pt idx="1">
                  <c:v>Cloud-based accounting</c:v>
                </c:pt>
                <c:pt idx="2">
                  <c:v>Block-chain systems</c:v>
                </c:pt>
              </c:strCache>
            </c:strRef>
          </c:cat>
          <c:val>
            <c:numRef>
              <c:f>'Sheet 3'!$B$2:$D$2</c:f>
              <c:numCache>
                <c:formatCode>0%</c:formatCode>
                <c:ptCount val="3"/>
                <c:pt idx="0">
                  <c:v>0.52</c:v>
                </c:pt>
                <c:pt idx="1">
                  <c:v>0.52</c:v>
                </c:pt>
                <c:pt idx="2">
                  <c:v>0.51</c:v>
                </c:pt>
              </c:numCache>
            </c:numRef>
          </c:val>
          <c:extLst xmlns:c16r2="http://schemas.microsoft.com/office/drawing/2015/06/chart">
            <c:ext xmlns:c16="http://schemas.microsoft.com/office/drawing/2014/chart" uri="{C3380CC4-5D6E-409C-BE32-E72D297353CC}">
              <c16:uniqueId val="{00000000-D6C9-4752-9F9B-698D82C937E8}"/>
            </c:ext>
          </c:extLst>
        </c:ser>
        <c:ser>
          <c:idx val="1"/>
          <c:order val="1"/>
          <c:tx>
            <c:strRef>
              <c:f>'Sheet 3'!$A$3</c:f>
              <c:strCache>
                <c:ptCount val="1"/>
                <c:pt idx="0">
                  <c:v>Disagree</c:v>
                </c:pt>
              </c:strCache>
            </c:strRef>
          </c:tx>
          <c:spPr>
            <a:solidFill>
              <a:schemeClr val="accent2"/>
            </a:solidFill>
            <a:ln>
              <a:noFill/>
            </a:ln>
            <a:effectLst/>
          </c:spPr>
          <c:invertIfNegative val="0"/>
          <c:cat>
            <c:strRef>
              <c:f>'Sheet 3'!$B$1:$D$1</c:f>
              <c:strCache>
                <c:ptCount val="3"/>
                <c:pt idx="0">
                  <c:v>ERP Systems</c:v>
                </c:pt>
                <c:pt idx="1">
                  <c:v>Cloud-based accounting</c:v>
                </c:pt>
                <c:pt idx="2">
                  <c:v>Block-chain systems</c:v>
                </c:pt>
              </c:strCache>
            </c:strRef>
          </c:cat>
          <c:val>
            <c:numRef>
              <c:f>'Sheet 3'!$B$3:$D$3</c:f>
              <c:numCache>
                <c:formatCode>0%</c:formatCode>
                <c:ptCount val="3"/>
                <c:pt idx="0">
                  <c:v>0.48</c:v>
                </c:pt>
                <c:pt idx="1">
                  <c:v>0.48</c:v>
                </c:pt>
                <c:pt idx="2">
                  <c:v>0.49</c:v>
                </c:pt>
              </c:numCache>
            </c:numRef>
          </c:val>
          <c:extLst xmlns:c16r2="http://schemas.microsoft.com/office/drawing/2015/06/chart">
            <c:ext xmlns:c16="http://schemas.microsoft.com/office/drawing/2014/chart" uri="{C3380CC4-5D6E-409C-BE32-E72D297353CC}">
              <c16:uniqueId val="{00000001-D6C9-4752-9F9B-698D82C937E8}"/>
            </c:ext>
          </c:extLst>
        </c:ser>
        <c:dLbls>
          <c:showLegendKey val="0"/>
          <c:showVal val="0"/>
          <c:showCatName val="0"/>
          <c:showSerName val="0"/>
          <c:showPercent val="0"/>
          <c:showBubbleSize val="0"/>
        </c:dLbls>
        <c:gapWidth val="219"/>
        <c:overlap val="-27"/>
        <c:axId val="-1432427936"/>
        <c:axId val="-1432427392"/>
      </c:barChart>
      <c:catAx>
        <c:axId val="-14324279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Technological</a:t>
                </a:r>
                <a:r>
                  <a:rPr lang="en-US" baseline="0"/>
                  <a:t> Financial Systems</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2427392"/>
        <c:crosses val="autoZero"/>
        <c:auto val="1"/>
        <c:lblAlgn val="ctr"/>
        <c:lblOffset val="100"/>
        <c:noMultiLvlLbl val="0"/>
      </c:catAx>
      <c:valAx>
        <c:axId val="-14324273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Perception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242793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9681</Words>
  <Characters>55186</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WUCHERERIA BANCROFTI</dc:creator>
  <cp:keywords/>
  <dc:description/>
  <cp:lastModifiedBy>Everlyne Khatenje Mwonyonyo</cp:lastModifiedBy>
  <cp:revision>2</cp:revision>
  <dcterms:created xsi:type="dcterms:W3CDTF">2025-08-14T07:01:00Z</dcterms:created>
  <dcterms:modified xsi:type="dcterms:W3CDTF">2025-08-14T07:01:00Z</dcterms:modified>
</cp:coreProperties>
</file>