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Assessment of the Impact of Acetic Acid Concentrations on Microbial Quality and Nutritional Profile of Cabbage (</w:t>
      </w:r>
      <w:r w:rsidDel="00000000" w:rsidR="00000000" w:rsidRPr="00000000">
        <w:rPr>
          <w:rFonts w:ascii="Times New Roman" w:cs="Times New Roman" w:eastAsia="Times New Roman" w:hAnsi="Times New Roman"/>
          <w:b w:val="1"/>
          <w:i w:val="1"/>
          <w:color w:val="000000"/>
          <w:sz w:val="28"/>
          <w:szCs w:val="28"/>
          <w:rtl w:val="0"/>
        </w:rPr>
        <w:t xml:space="preserve">Brassica oleracea.var capitata)</w:t>
      </w:r>
    </w:p>
    <w:p w:rsidR="00000000" w:rsidDel="00000000" w:rsidP="00000000" w:rsidRDefault="00000000" w:rsidRPr="00000000" w14:paraId="00000003">
      <w:pPr>
        <w:spacing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b w:val="1"/>
          <w:color w:val="000000"/>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5">
      <w:pPr>
        <w:spacing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ABSTRACT</w:t>
      </w:r>
    </w:p>
    <w:p w:rsidR="00000000" w:rsidDel="00000000" w:rsidP="00000000" w:rsidRDefault="00000000" w:rsidRPr="00000000" w14:paraId="00000006">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Vegetables are an extraordinary dietary source of nutrients, micronutrients, vitamins and fibre for humans and are thus vital for health and well-being. The study investigates the effects of varying concentrations of acetic acid on the microbial quality and nutritional composition of cabbage. Total heterotrophic bacteria count, Total fungi count, Staphylococcus count and Escherichia count were done using standard microbiological method. Microbial analysis revealed significant variation in the heterotrophic bacteria counts, Results from the study showed that the cabbage treated with acetic acid of 0.5%, 1.5%, 2.5%,3.5%,4.5% and 5.5% concentrations ranged from 2.75x10</w:t>
      </w:r>
      <w:r w:rsidDel="00000000" w:rsidR="00000000" w:rsidRPr="00000000">
        <w:rPr>
          <w:rFonts w:ascii="Cambria Math" w:cs="Cambria Math" w:eastAsia="Cambria Math" w:hAnsi="Cambria Math"/>
          <w:color w:val="000000"/>
          <w:sz w:val="24"/>
          <w:szCs w:val="24"/>
          <w:rtl w:val="0"/>
        </w:rPr>
        <w:t xml:space="preserve">⁵</w:t>
      </w:r>
      <w:r w:rsidDel="00000000" w:rsidR="00000000" w:rsidRPr="00000000">
        <w:rPr>
          <w:rFonts w:ascii="Times New Roman" w:cs="Times New Roman" w:eastAsia="Times New Roman" w:hAnsi="Times New Roman"/>
          <w:color w:val="000000"/>
          <w:sz w:val="24"/>
          <w:szCs w:val="24"/>
          <w:rtl w:val="0"/>
        </w:rPr>
        <w:t xml:space="preserve">cfu/g to 1.05x10</w:t>
      </w:r>
      <w:r w:rsidDel="00000000" w:rsidR="00000000" w:rsidRPr="00000000">
        <w:rPr>
          <w:rFonts w:ascii="Cambria Math" w:cs="Cambria Math" w:eastAsia="Cambria Math" w:hAnsi="Cambria Math"/>
          <w:color w:val="000000"/>
          <w:sz w:val="24"/>
          <w:szCs w:val="24"/>
          <w:rtl w:val="0"/>
        </w:rPr>
        <w:t xml:space="preserve">⁵</w:t>
      </w:r>
      <w:r w:rsidDel="00000000" w:rsidR="00000000" w:rsidRPr="00000000">
        <w:rPr>
          <w:rFonts w:ascii="Times New Roman" w:cs="Times New Roman" w:eastAsia="Times New Roman" w:hAnsi="Times New Roman"/>
          <w:color w:val="000000"/>
          <w:sz w:val="24"/>
          <w:szCs w:val="24"/>
          <w:rtl w:val="0"/>
        </w:rPr>
        <w:t xml:space="preserve">cfu/g. The Staphylococcus count and Escherichia count ranged from 2.08x10</w:t>
      </w:r>
      <w:r w:rsidDel="00000000" w:rsidR="00000000" w:rsidRPr="00000000">
        <w:rPr>
          <w:rFonts w:ascii="Cambria Math" w:cs="Cambria Math" w:eastAsia="Cambria Math" w:hAnsi="Cambria Math"/>
          <w:color w:val="000000"/>
          <w:sz w:val="24"/>
          <w:szCs w:val="24"/>
          <w:rtl w:val="0"/>
        </w:rPr>
        <w:t xml:space="preserve">⁴</w:t>
      </w:r>
      <w:r w:rsidDel="00000000" w:rsidR="00000000" w:rsidRPr="00000000">
        <w:rPr>
          <w:rFonts w:ascii="Times New Roman" w:cs="Times New Roman" w:eastAsia="Times New Roman" w:hAnsi="Times New Roman"/>
          <w:color w:val="000000"/>
          <w:sz w:val="24"/>
          <w:szCs w:val="24"/>
          <w:rtl w:val="0"/>
        </w:rPr>
        <w:t xml:space="preserve">cfu/g to 1.15x10³ cfu/g, 4x10³cfu/g to 2.5x10²cfu/g respectively. The Staphylococcus count for the untreated sample (control) was 1.55 x10</w:t>
      </w:r>
      <w:r w:rsidDel="00000000" w:rsidR="00000000" w:rsidRPr="00000000">
        <w:rPr>
          <w:rFonts w:ascii="Cambria Math" w:cs="Cambria Math" w:eastAsia="Cambria Math" w:hAnsi="Cambria Math"/>
          <w:color w:val="000000"/>
          <w:sz w:val="24"/>
          <w:szCs w:val="24"/>
          <w:rtl w:val="0"/>
        </w:rPr>
        <w:t xml:space="preserve">⁴</w:t>
      </w:r>
      <w:r w:rsidDel="00000000" w:rsidR="00000000" w:rsidRPr="00000000">
        <w:rPr>
          <w:rFonts w:ascii="Times New Roman" w:cs="Times New Roman" w:eastAsia="Times New Roman" w:hAnsi="Times New Roman"/>
          <w:color w:val="000000"/>
          <w:sz w:val="24"/>
          <w:szCs w:val="24"/>
          <w:rtl w:val="0"/>
        </w:rPr>
        <w:t xml:space="preserve"> cfu/g. Escherichia count was 4.5x10</w:t>
      </w:r>
      <w:r w:rsidDel="00000000" w:rsidR="00000000" w:rsidRPr="00000000">
        <w:rPr>
          <w:rFonts w:ascii="Cambria Math" w:cs="Cambria Math" w:eastAsia="Cambria Math" w:hAnsi="Cambria Math"/>
          <w:color w:val="000000"/>
          <w:sz w:val="24"/>
          <w:szCs w:val="24"/>
          <w:rtl w:val="0"/>
        </w:rPr>
        <w:t xml:space="preserve">⁵</w:t>
      </w:r>
      <w:r w:rsidDel="00000000" w:rsidR="00000000" w:rsidRPr="00000000">
        <w:rPr>
          <w:rFonts w:ascii="Times New Roman" w:cs="Times New Roman" w:eastAsia="Times New Roman" w:hAnsi="Times New Roman"/>
          <w:color w:val="000000"/>
          <w:sz w:val="24"/>
          <w:szCs w:val="24"/>
          <w:rtl w:val="0"/>
        </w:rPr>
        <w:t xml:space="preserve"> cfu/g. The fungal counts ranged from 4.4x10³cfu/g to 5.4x10³cfu/g   for treated cabbage while the untreated cabbage was 6.45 x 10</w:t>
      </w:r>
      <w:r w:rsidDel="00000000" w:rsidR="00000000" w:rsidRPr="00000000">
        <w:rPr>
          <w:rFonts w:ascii="Times New Roman" w:cs="Times New Roman" w:eastAsia="Times New Roman" w:hAnsi="Times New Roman"/>
          <w:color w:val="000000"/>
          <w:sz w:val="24"/>
          <w:szCs w:val="24"/>
          <w:vertAlign w:val="superscript"/>
          <w:rtl w:val="0"/>
        </w:rPr>
        <w:t xml:space="preserve"> 3</w:t>
      </w:r>
      <w:r w:rsidDel="00000000" w:rsidR="00000000" w:rsidRPr="00000000">
        <w:rPr>
          <w:rFonts w:ascii="Times New Roman" w:cs="Times New Roman" w:eastAsia="Times New Roman" w:hAnsi="Times New Roman"/>
          <w:color w:val="000000"/>
          <w:sz w:val="24"/>
          <w:szCs w:val="24"/>
          <w:rtl w:val="0"/>
        </w:rPr>
        <w:t xml:space="preserve"> cfu/g. The study showed the growth decreases as the concentrations increases. Organism isolated and percentage occurrence revealed   </w:t>
      </w:r>
      <w:r w:rsidDel="00000000" w:rsidR="00000000" w:rsidRPr="00000000">
        <w:rPr>
          <w:rFonts w:ascii="Times New Roman" w:cs="Times New Roman" w:eastAsia="Times New Roman" w:hAnsi="Times New Roman"/>
          <w:i w:val="1"/>
          <w:color w:val="000000"/>
          <w:sz w:val="24"/>
          <w:szCs w:val="24"/>
          <w:rtl w:val="0"/>
        </w:rPr>
        <w:t xml:space="preserve">Staphylococcus </w:t>
      </w:r>
      <w:r w:rsidDel="00000000" w:rsidR="00000000" w:rsidRPr="00000000">
        <w:rPr>
          <w:rFonts w:ascii="Times New Roman" w:cs="Times New Roman" w:eastAsia="Times New Roman" w:hAnsi="Times New Roman"/>
          <w:color w:val="000000"/>
          <w:sz w:val="24"/>
          <w:szCs w:val="24"/>
          <w:rtl w:val="0"/>
        </w:rPr>
        <w:t xml:space="preserve">(22%),</w:t>
      </w:r>
      <w:r w:rsidDel="00000000" w:rsidR="00000000" w:rsidRPr="00000000">
        <w:rPr>
          <w:rFonts w:ascii="Times New Roman" w:cs="Times New Roman" w:eastAsia="Times New Roman" w:hAnsi="Times New Roman"/>
          <w:i w:val="1"/>
          <w:color w:val="000000"/>
          <w:sz w:val="24"/>
          <w:szCs w:val="24"/>
          <w:rtl w:val="0"/>
        </w:rPr>
        <w:t xml:space="preserve"> E coli </w:t>
      </w:r>
      <w:r w:rsidDel="00000000" w:rsidR="00000000" w:rsidRPr="00000000">
        <w:rPr>
          <w:rFonts w:ascii="Times New Roman" w:cs="Times New Roman" w:eastAsia="Times New Roman" w:hAnsi="Times New Roman"/>
          <w:color w:val="000000"/>
          <w:sz w:val="24"/>
          <w:szCs w:val="24"/>
          <w:rtl w:val="0"/>
        </w:rPr>
        <w:t xml:space="preserve">(24.3%), </w:t>
      </w:r>
      <w:r w:rsidDel="00000000" w:rsidR="00000000" w:rsidRPr="00000000">
        <w:rPr>
          <w:rFonts w:ascii="Times New Roman" w:cs="Times New Roman" w:eastAsia="Times New Roman" w:hAnsi="Times New Roman"/>
          <w:i w:val="1"/>
          <w:color w:val="000000"/>
          <w:sz w:val="24"/>
          <w:szCs w:val="24"/>
          <w:rtl w:val="0"/>
        </w:rPr>
        <w:t xml:space="preserve">Bacillus</w:t>
      </w:r>
      <w:r w:rsidDel="00000000" w:rsidR="00000000" w:rsidRPr="00000000">
        <w:rPr>
          <w:rFonts w:ascii="Times New Roman" w:cs="Times New Roman" w:eastAsia="Times New Roman" w:hAnsi="Times New Roman"/>
          <w:color w:val="000000"/>
          <w:sz w:val="24"/>
          <w:szCs w:val="24"/>
          <w:rtl w:val="0"/>
        </w:rPr>
        <w:t xml:space="preserve"> (17%), </w:t>
      </w:r>
      <w:r w:rsidDel="00000000" w:rsidR="00000000" w:rsidRPr="00000000">
        <w:rPr>
          <w:rFonts w:ascii="Times New Roman" w:cs="Times New Roman" w:eastAsia="Times New Roman" w:hAnsi="Times New Roman"/>
          <w:i w:val="1"/>
          <w:color w:val="000000"/>
          <w:sz w:val="24"/>
          <w:szCs w:val="24"/>
          <w:rtl w:val="0"/>
        </w:rPr>
        <w:t xml:space="preserve">Proteus </w:t>
      </w:r>
      <w:r w:rsidDel="00000000" w:rsidR="00000000" w:rsidRPr="00000000">
        <w:rPr>
          <w:rFonts w:ascii="Times New Roman" w:cs="Times New Roman" w:eastAsia="Times New Roman" w:hAnsi="Times New Roman"/>
          <w:color w:val="000000"/>
          <w:sz w:val="24"/>
          <w:szCs w:val="24"/>
          <w:rtl w:val="0"/>
        </w:rPr>
        <w:t xml:space="preserve">(10%) </w:t>
      </w:r>
      <w:r w:rsidDel="00000000" w:rsidR="00000000" w:rsidRPr="00000000">
        <w:rPr>
          <w:rFonts w:ascii="Times New Roman" w:cs="Times New Roman" w:eastAsia="Times New Roman" w:hAnsi="Times New Roman"/>
          <w:i w:val="1"/>
          <w:color w:val="000000"/>
          <w:sz w:val="24"/>
          <w:szCs w:val="24"/>
          <w:rtl w:val="0"/>
        </w:rPr>
        <w:t xml:space="preserve">Micrococcus</w:t>
      </w:r>
      <w:r w:rsidDel="00000000" w:rsidR="00000000" w:rsidRPr="00000000">
        <w:rPr>
          <w:rFonts w:ascii="Times New Roman" w:cs="Times New Roman" w:eastAsia="Times New Roman" w:hAnsi="Times New Roman"/>
          <w:color w:val="000000"/>
          <w:sz w:val="24"/>
          <w:szCs w:val="24"/>
          <w:rtl w:val="0"/>
        </w:rPr>
        <w:t xml:space="preserve"> (10%), </w:t>
      </w:r>
      <w:r w:rsidDel="00000000" w:rsidR="00000000" w:rsidRPr="00000000">
        <w:rPr>
          <w:rFonts w:ascii="Times New Roman" w:cs="Times New Roman" w:eastAsia="Times New Roman" w:hAnsi="Times New Roman"/>
          <w:i w:val="1"/>
          <w:color w:val="000000"/>
          <w:sz w:val="24"/>
          <w:szCs w:val="24"/>
          <w:rtl w:val="0"/>
        </w:rPr>
        <w:t xml:space="preserve">Pseudomonas</w:t>
      </w:r>
      <w:r w:rsidDel="00000000" w:rsidR="00000000" w:rsidRPr="00000000">
        <w:rPr>
          <w:rFonts w:ascii="Times New Roman" w:cs="Times New Roman" w:eastAsia="Times New Roman" w:hAnsi="Times New Roman"/>
          <w:color w:val="000000"/>
          <w:sz w:val="24"/>
          <w:szCs w:val="24"/>
          <w:rtl w:val="0"/>
        </w:rPr>
        <w:t xml:space="preserve"> (12%), </w:t>
      </w:r>
      <w:r w:rsidDel="00000000" w:rsidR="00000000" w:rsidRPr="00000000">
        <w:rPr>
          <w:rFonts w:ascii="Times New Roman" w:cs="Times New Roman" w:eastAsia="Times New Roman" w:hAnsi="Times New Roman"/>
          <w:i w:val="1"/>
          <w:color w:val="000000"/>
          <w:sz w:val="24"/>
          <w:szCs w:val="24"/>
          <w:rtl w:val="0"/>
        </w:rPr>
        <w:t xml:space="preserve">Klebsiella</w:t>
      </w:r>
      <w:r w:rsidDel="00000000" w:rsidR="00000000" w:rsidRPr="00000000">
        <w:rPr>
          <w:rFonts w:ascii="Times New Roman" w:cs="Times New Roman" w:eastAsia="Times New Roman" w:hAnsi="Times New Roman"/>
          <w:color w:val="000000"/>
          <w:sz w:val="24"/>
          <w:szCs w:val="24"/>
          <w:rtl w:val="0"/>
        </w:rPr>
        <w:t xml:space="preserve"> (5%),</w:t>
      </w:r>
      <w:r w:rsidDel="00000000" w:rsidR="00000000" w:rsidRPr="00000000">
        <w:rPr>
          <w:rFonts w:ascii="Times New Roman" w:cs="Times New Roman" w:eastAsia="Times New Roman" w:hAnsi="Times New Roman"/>
          <w:i w:val="1"/>
          <w:color w:val="000000"/>
          <w:sz w:val="24"/>
          <w:szCs w:val="24"/>
          <w:rtl w:val="0"/>
        </w:rPr>
        <w:t xml:space="preserve"> Mucor</w:t>
      </w:r>
      <w:r w:rsidDel="00000000" w:rsidR="00000000" w:rsidRPr="00000000">
        <w:rPr>
          <w:rFonts w:ascii="Times New Roman" w:cs="Times New Roman" w:eastAsia="Times New Roman" w:hAnsi="Times New Roman"/>
          <w:color w:val="000000"/>
          <w:sz w:val="24"/>
          <w:szCs w:val="24"/>
          <w:rtl w:val="0"/>
        </w:rPr>
        <w:t xml:space="preserve"> (11.8%), </w:t>
      </w:r>
      <w:r w:rsidDel="00000000" w:rsidR="00000000" w:rsidRPr="00000000">
        <w:rPr>
          <w:rFonts w:ascii="Times New Roman" w:cs="Times New Roman" w:eastAsia="Times New Roman" w:hAnsi="Times New Roman"/>
          <w:i w:val="1"/>
          <w:color w:val="000000"/>
          <w:sz w:val="24"/>
          <w:szCs w:val="24"/>
          <w:rtl w:val="0"/>
        </w:rPr>
        <w:t xml:space="preserve">Aspergillus sp.</w:t>
      </w:r>
      <w:r w:rsidDel="00000000" w:rsidR="00000000" w:rsidRPr="00000000">
        <w:rPr>
          <w:rFonts w:ascii="Times New Roman" w:cs="Times New Roman" w:eastAsia="Times New Roman" w:hAnsi="Times New Roman"/>
          <w:color w:val="000000"/>
          <w:sz w:val="24"/>
          <w:szCs w:val="24"/>
          <w:rtl w:val="0"/>
        </w:rPr>
        <w:t xml:space="preserve"> (41.2%), </w:t>
      </w:r>
      <w:r w:rsidDel="00000000" w:rsidR="00000000" w:rsidRPr="00000000">
        <w:rPr>
          <w:rFonts w:ascii="Times New Roman" w:cs="Times New Roman" w:eastAsia="Times New Roman" w:hAnsi="Times New Roman"/>
          <w:i w:val="1"/>
          <w:color w:val="000000"/>
          <w:sz w:val="24"/>
          <w:szCs w:val="24"/>
          <w:rtl w:val="0"/>
        </w:rPr>
        <w:t xml:space="preserve">Saccharomyces</w:t>
      </w:r>
      <w:r w:rsidDel="00000000" w:rsidR="00000000" w:rsidRPr="00000000">
        <w:rPr>
          <w:rFonts w:ascii="Times New Roman" w:cs="Times New Roman" w:eastAsia="Times New Roman" w:hAnsi="Times New Roman"/>
          <w:color w:val="000000"/>
          <w:sz w:val="24"/>
          <w:szCs w:val="24"/>
          <w:rtl w:val="0"/>
        </w:rPr>
        <w:t xml:space="preserve"> (29.4%), </w:t>
      </w:r>
      <w:r w:rsidDel="00000000" w:rsidR="00000000" w:rsidRPr="00000000">
        <w:rPr>
          <w:rFonts w:ascii="Times New Roman" w:cs="Times New Roman" w:eastAsia="Times New Roman" w:hAnsi="Times New Roman"/>
          <w:i w:val="1"/>
          <w:color w:val="000000"/>
          <w:sz w:val="24"/>
          <w:szCs w:val="24"/>
          <w:rtl w:val="0"/>
        </w:rPr>
        <w:t xml:space="preserve">Fusarium</w:t>
      </w:r>
      <w:r w:rsidDel="00000000" w:rsidR="00000000" w:rsidRPr="00000000">
        <w:rPr>
          <w:rFonts w:ascii="Times New Roman" w:cs="Times New Roman" w:eastAsia="Times New Roman" w:hAnsi="Times New Roman"/>
          <w:color w:val="000000"/>
          <w:sz w:val="24"/>
          <w:szCs w:val="24"/>
          <w:rtl w:val="0"/>
        </w:rPr>
        <w:t xml:space="preserve"> (11.8%) and </w:t>
      </w:r>
      <w:r w:rsidDel="00000000" w:rsidR="00000000" w:rsidRPr="00000000">
        <w:rPr>
          <w:rFonts w:ascii="Times New Roman" w:cs="Times New Roman" w:eastAsia="Times New Roman" w:hAnsi="Times New Roman"/>
          <w:i w:val="1"/>
          <w:color w:val="000000"/>
          <w:sz w:val="24"/>
          <w:szCs w:val="24"/>
          <w:rtl w:val="0"/>
        </w:rPr>
        <w:t xml:space="preserve">Rhizopus </w:t>
      </w:r>
      <w:r w:rsidDel="00000000" w:rsidR="00000000" w:rsidRPr="00000000">
        <w:rPr>
          <w:rFonts w:ascii="Times New Roman" w:cs="Times New Roman" w:eastAsia="Times New Roman" w:hAnsi="Times New Roman"/>
          <w:color w:val="000000"/>
          <w:sz w:val="24"/>
          <w:szCs w:val="24"/>
          <w:rtl w:val="0"/>
        </w:rPr>
        <w:t xml:space="preserve">(6%). </w:t>
      </w:r>
      <w:r w:rsidDel="00000000" w:rsidR="00000000" w:rsidRPr="00000000">
        <w:rPr>
          <w:rFonts w:ascii="Times New Roman" w:cs="Times New Roman" w:eastAsia="Times New Roman" w:hAnsi="Times New Roman"/>
          <w:i w:val="1"/>
          <w:color w:val="000000"/>
          <w:sz w:val="24"/>
          <w:szCs w:val="24"/>
          <w:rtl w:val="0"/>
        </w:rPr>
        <w:t xml:space="preserve">Escherichia sp.</w:t>
      </w:r>
      <w:r w:rsidDel="00000000" w:rsidR="00000000" w:rsidRPr="00000000">
        <w:rPr>
          <w:rFonts w:ascii="Times New Roman" w:cs="Times New Roman" w:eastAsia="Times New Roman" w:hAnsi="Times New Roman"/>
          <w:color w:val="000000"/>
          <w:sz w:val="24"/>
          <w:szCs w:val="24"/>
          <w:rtl w:val="0"/>
        </w:rPr>
        <w:t xml:space="preserve"> and </w:t>
      </w:r>
      <w:r w:rsidDel="00000000" w:rsidR="00000000" w:rsidRPr="00000000">
        <w:rPr>
          <w:rFonts w:ascii="Times New Roman" w:cs="Times New Roman" w:eastAsia="Times New Roman" w:hAnsi="Times New Roman"/>
          <w:i w:val="1"/>
          <w:color w:val="000000"/>
          <w:sz w:val="24"/>
          <w:szCs w:val="24"/>
          <w:rtl w:val="0"/>
        </w:rPr>
        <w:t xml:space="preserve">Aspergillus sp.</w:t>
      </w:r>
      <w:r w:rsidDel="00000000" w:rsidR="00000000" w:rsidRPr="00000000">
        <w:rPr>
          <w:rFonts w:ascii="Times New Roman" w:cs="Times New Roman" w:eastAsia="Times New Roman" w:hAnsi="Times New Roman"/>
          <w:color w:val="000000"/>
          <w:sz w:val="24"/>
          <w:szCs w:val="24"/>
          <w:rtl w:val="0"/>
        </w:rPr>
        <w:t xml:space="preserve"> been the most predominant bacteria and fungi genera isolated. The proximate composition of untreated (control) and acetic acid-treated cabbage revealed  no significant  differences. The concentration of acetic acid and exposure time significantly influence its bactericidal activity, leading to a reduction in bacterial presence on cabbage surfaces.  </w:t>
      </w:r>
      <w:sdt>
        <w:sdtPr>
          <w:tag w:val="goog_rdk_0"/>
        </w:sdtPr>
        <w:sdtContent>
          <w:commentRangeStart w:id="0"/>
        </w:sdtContent>
      </w:sdt>
      <w:r w:rsidDel="00000000" w:rsidR="00000000" w:rsidRPr="00000000">
        <w:rPr>
          <w:rFonts w:ascii="Times New Roman" w:cs="Times New Roman" w:eastAsia="Times New Roman" w:hAnsi="Times New Roman"/>
          <w:sz w:val="24"/>
          <w:szCs w:val="24"/>
          <w:rtl w:val="0"/>
        </w:rPr>
        <w:t xml:space="preserve">This study contributes valuable information for the food industry and consumers seeking to extend the shelf life and nutritional value of cabbage through innovative preservation methods.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7">
      <w:pPr>
        <w:spacing w:line="240" w:lineRule="auto"/>
        <w:ind w:left="2880" w:firstLine="720"/>
        <w:jc w:val="both"/>
        <w:rPr>
          <w:rFonts w:ascii="Times New Roman" w:cs="Times New Roman" w:eastAsia="Times New Roman" w:hAnsi="Times New Roman"/>
          <w:b w:val="1"/>
          <w:color w:val="000000"/>
          <w:sz w:val="24"/>
          <w:szCs w:val="24"/>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4"/>
          <w:szCs w:val="24"/>
          <w:rtl w:val="0"/>
        </w:rPr>
        <w:t xml:space="preserve">INTRODUCTION</w:t>
      </w:r>
    </w:p>
    <w:p w:rsidR="00000000" w:rsidDel="00000000" w:rsidP="00000000" w:rsidRDefault="00000000" w:rsidRPr="00000000" w14:paraId="00000008">
      <w:pPr>
        <w:spacing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Cabbage (Brassica oleracea var. capitata L.) is one of the most cultivated vegetables in the world, it is a cruciferous vegetable used as a dietary supplement and in herbal medicines (Moreb et al., 2020). It is grouped in the genus Brassica and the mustard family Brassicaceae (Cruciferae). Brassicaceae is a monophyletic group consisting of 338 recognized genera and approximately 3,700 species, excluding Antarctica. Today, white cabbage is an economically important crop grown in more than 90 countries around the world. Several types of white cabbage are cultivated in different parts of the world with different morphological characteristics, nutritional properties, phytochemical composition and resistance to abiotic and biotic stress. Many   methods, such as morphological trait analysis, seed protein, isozymes, cytological   and biochemical   characteristics,  phytochemical  composition   and  various forms of DNA-based molecular markers, can study the diversity of crop germplasm (Wang et al., 2017).</w:t>
      </w:r>
    </w:p>
    <w:p w:rsidR="00000000" w:rsidDel="00000000" w:rsidP="00000000" w:rsidRDefault="00000000" w:rsidRPr="00000000" w14:paraId="00000009">
      <w:pPr>
        <w:spacing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Cabbage, which consists of several cultivars of Brassica oleracea, is a leafy green, red (purple) or white (light green) biennial plant grown as an annual vegetable crop for its densely leafy heads (Daniel et al., 2023). It comes from wild cabbage (B. oleracea var. oleracea) and belongs to the "collar crop" or brassicas, which means that it is closely related to broccoli and cauliflower (var. botrytis) Brussels sprouts (var. gemmiferous); and cabbage (var. sabauda). Cabbage usually weighs 500-1000 grams (1-2 1b). The most common are smooth-leafed green cabbages with a solid head, less common are smooth-leafed purple cabbages of both colors and less often. Cabbage can grow quite large in conditions of long sunny days. As of 2012, the heaviest cabbage was 62.71 kg (1381b 4oz). heads of cabbage are usually harvested during the first life cycle of the plant, but plants intended for seed are allowed to grow for a second year and must be kept separate from other crops to avoid cross-pollination (Pandita et al., 2023). Cabbage is susceptible to several nutrient deficiencies as well as several pests and bacterial and fungal diseases (Sharma et al., 2018)..</w:t>
      </w:r>
    </w:p>
    <w:p w:rsidR="00000000" w:rsidDel="00000000" w:rsidP="00000000" w:rsidRDefault="00000000" w:rsidRPr="00000000" w14:paraId="0000000A">
      <w:pPr>
        <w:spacing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Despite their nutritional value and health, human infections associated with the consumption of fresh or minimally processed fruits and vegetables have increased in recent years (Balali et al., 2020). Enteropathogens such as Escherichia coli and Salmonella are a major concern during foodborne outbreaks. Several cases of typhus have been linked to eating contaminated vegetables grown in contaminated soil or sewage or fertilized with contaminated soil. The increase in fruit and vegetable infections may have been due to increased consumption of contaminated fruits and vegetables outside the home, as most people spend long hours outside.</w:t>
        <w:br w:type="textWrapping"/>
        <w:t xml:space="preserve">Safe fruits and vegetables are essential to maximize the health benefits of proper consumption. of these products (Kapeleka et al., 2020). Proper washing of fruits and vegetables is essential for disinfection. Varying concentrations of organic acids such as acetic, citric, and sorbic acids has been shown to reduce microbial populations in fruits and vegetables. Previous studies have shown that vinegar soaking caused  a decrease in the number of aerobic bacteria in parsley leaves depending on the concentration of vinegar and the incubation time used (Bamkefa et al., 2022). </w:t>
      </w:r>
    </w:p>
    <w:p w:rsidR="00000000" w:rsidDel="00000000" w:rsidP="00000000" w:rsidRDefault="00000000" w:rsidRPr="00000000" w14:paraId="0000000B">
      <w:pPr>
        <w:spacing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Acetic acid is a colorless liquid organic compound sometimes called undiluted glacial acetic acid (Lynch et al., 2019). It comes from the fermentation of ethanol by acetic acid bacteria. It is considered a weak acid because it only partially dissociates in solution, but concentrated acetic acid is corrosive and can damage the skin. As an easily prepared mild acid, it has many industrial, medical, and domestic uses, some of which are still used today. Vinegar is widely used in cooking and as a general household cleaner (Cavdaroglu and Ozen 2023). Vinegar consists of roughly 5% acetic acid and 95% water. However, vinegars vary in the level of acidity they contain (Ertürkmen </w:t>
      </w:r>
      <w:r w:rsidDel="00000000" w:rsidR="00000000" w:rsidRPr="00000000">
        <w:rPr>
          <w:rFonts w:ascii="Times New Roman" w:cs="Times New Roman" w:eastAsia="Times New Roman" w:hAnsi="Times New Roman"/>
          <w:i w:val="1"/>
          <w:color w:val="000000"/>
          <w:sz w:val="24"/>
          <w:szCs w:val="24"/>
          <w:rtl w:val="0"/>
        </w:rPr>
        <w:t xml:space="preserve">et al.,</w:t>
      </w:r>
      <w:r w:rsidDel="00000000" w:rsidR="00000000" w:rsidRPr="00000000">
        <w:rPr>
          <w:rFonts w:ascii="Times New Roman" w:cs="Times New Roman" w:eastAsia="Times New Roman" w:hAnsi="Times New Roman"/>
          <w:color w:val="000000"/>
          <w:sz w:val="24"/>
          <w:szCs w:val="24"/>
          <w:rtl w:val="0"/>
        </w:rPr>
        <w:t xml:space="preserve"> 2023). For example, distilled white vinegar usually contains around 5% acidity, while champagne vinegar contains 6% acidity. A 5% acidity level is however common for most general all-purpose cleaning. The most commonly used vinegar in cleaning is distilled white vinegar. The organic variety is more earth-friendly, as the grains they are made of are organic and not treated with pesticides or fertilizers. Due to a pH of 2.0 and the acetic acid content, vinegar is an inhospitable environment for many microorganisms, so it is the perfect cleaner. Studies have been done testing how effectively it kills bacteria and viruses. For example, 10% malt vinegar solution was just as effective as commercial cleaning wipes in killing the Human Influenza A/H1N1 virus. (Şahin et al., 2023) showed that undiluted vinegar was just as effective as bleach in eliminating </w:t>
      </w:r>
      <w:r w:rsidDel="00000000" w:rsidR="00000000" w:rsidRPr="00000000">
        <w:rPr>
          <w:rFonts w:ascii="Times New Roman" w:cs="Times New Roman" w:eastAsia="Times New Roman" w:hAnsi="Times New Roman"/>
          <w:i w:val="1"/>
          <w:color w:val="000000"/>
          <w:sz w:val="24"/>
          <w:szCs w:val="24"/>
          <w:rtl w:val="0"/>
        </w:rPr>
        <w:t xml:space="preserve">E. coli</w:t>
      </w:r>
      <w:r w:rsidDel="00000000" w:rsidR="00000000" w:rsidRPr="00000000">
        <w:rPr>
          <w:rFonts w:ascii="Times New Roman" w:cs="Times New Roman" w:eastAsia="Times New Roman" w:hAnsi="Times New Roman"/>
          <w:color w:val="000000"/>
          <w:sz w:val="24"/>
          <w:szCs w:val="24"/>
          <w:rtl w:val="0"/>
        </w:rPr>
        <w:t xml:space="preserve"> from surfaces and sponges, but not as effective in eliminating S. aureus. Also, vinegar reduced viruses by 95% when used as a strawberry wash (Aguilera, 2023).  Cabbage is a very nutritious vegetable with  various culinary uses. Hoverever its short shelf life and susceptibility to spoilage have led researchers to explore preservation methods. Acetic acid, a key component in vinegar, has been identified as a potential treatment option due to its antimicrobial properties and ability to inhibit bacterial growth.</w:t>
      </w:r>
    </w:p>
    <w:p w:rsidR="00000000" w:rsidDel="00000000" w:rsidP="00000000" w:rsidRDefault="00000000" w:rsidRPr="00000000" w14:paraId="0000000C">
      <w:pPr>
        <w:spacing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Vinegar consists of approximately 5% acetic acid and 95% water. However, the degree of acidity of vinegars varies (Ertürkmen et al., 2023). For example, distilled white vinegar usually contains about 5% acidity, while champagne vinegar has 6%. However, 5% acidity is common for most general purpose cleaners. The most commonly used vinegar for cleaning is distilled white vinegar. The organic variety is more soil-friendly because their grains are organic and have not been treated with pesticides or fertilizers. With a pH of 2.0 and a content of acetic acid, vinegar is an unfavorable environment for many microorganisms, making it an ideal cleaning agent. There have been studies done on how effectively it kills bacteria and viruses. For example, a 10% solution of malt vinegar killed the human influenza A/H1N1 virus as effectively as commercial cleaning wipes. (Şahin et al., 2023) showed that undiluted vinegar was as effective as bleach E. coli from surfaces and fungi, but not as effective at removing S. aureus. Additionally, vinegar reduced viruses by 95% when used as a strawberry wash (Aguilera, 2023). Cabbage is a very nutritious vegetable that is used for a variety of culinary purposes. However, its short shelf life and tendency to spoil prompted researchers to investigate preservation methods. Acetic acid, the main component of vinegar, has been identified as a potential treatment option due to its antimicrobial properties and ability to inhibit bacterial growth..The study was aimed at determining the effect of the different concentration of acetic acid on the microbial quality and the proximate composition of cabbage (</w:t>
      </w:r>
      <w:r w:rsidDel="00000000" w:rsidR="00000000" w:rsidRPr="00000000">
        <w:rPr>
          <w:rFonts w:ascii="Times New Roman" w:cs="Times New Roman" w:eastAsia="Times New Roman" w:hAnsi="Times New Roman"/>
          <w:i w:val="1"/>
          <w:color w:val="000000"/>
          <w:sz w:val="24"/>
          <w:szCs w:val="24"/>
          <w:rtl w:val="0"/>
        </w:rPr>
        <w:t xml:space="preserve">Brassica oleracea var. capitata </w:t>
      </w:r>
      <w:sdt>
        <w:sdtPr>
          <w:tag w:val="goog_rdk_1"/>
        </w:sdtPr>
        <w:sdtContent>
          <w:commentRangeStart w:id="1"/>
        </w:sdtContent>
      </w:sdt>
      <w:r w:rsidDel="00000000" w:rsidR="00000000" w:rsidRPr="00000000">
        <w:rPr>
          <w:rFonts w:ascii="Times New Roman" w:cs="Times New Roman" w:eastAsia="Times New Roman" w:hAnsi="Times New Roman"/>
          <w:i w:val="1"/>
          <w:color w:val="000000"/>
          <w:sz w:val="24"/>
          <w:szCs w:val="24"/>
          <w:rtl w:val="0"/>
        </w:rPr>
        <w:t xml:space="preserve">L</w:t>
      </w:r>
      <w:commentRangeEnd w:id="1"/>
      <w:r w:rsidDel="00000000" w:rsidR="00000000" w:rsidRPr="00000000">
        <w:commentReference w:id="1"/>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0D">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 xml:space="preserve">MATERIALS AND METHDOS</w:t>
      </w:r>
    </w:p>
    <w:p w:rsidR="00000000" w:rsidDel="00000000" w:rsidP="00000000" w:rsidRDefault="00000000" w:rsidRPr="00000000" w14:paraId="0000000E">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 Sample collection and Procedure</w:t>
      </w:r>
      <w:r w:rsidDel="00000000" w:rsidR="00000000" w:rsidRPr="00000000">
        <w:rPr>
          <w:rtl w:val="0"/>
        </w:rPr>
      </w:r>
    </w:p>
    <w:p w:rsidR="00000000" w:rsidDel="00000000" w:rsidP="00000000" w:rsidRDefault="00000000" w:rsidRPr="00000000" w14:paraId="0000000F">
      <w:pPr>
        <w:spacing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Cabbage were randomly procured locally using simple random sampling technique from fruit/food vendors at Choba and were transported in a sterilized bag to the Microbiology laboratory for analysis. The cabbage were wash with distilled water and then treated with acetic acid of different concentrations, 0.5%, 1.5%, 2.5%, 3.5%, 4.5% and 5.5% for 10mins.</w:t>
      </w:r>
    </w:p>
    <w:p w:rsidR="00000000" w:rsidDel="00000000" w:rsidP="00000000" w:rsidRDefault="00000000" w:rsidRPr="00000000" w14:paraId="00000010">
      <w:pPr>
        <w:spacing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determine the efficacy of varying concentrations of acetic acid solution on the microbial load of Cabbage, 25 g of  the different cabbage samples was weighed and washed in 100 ml of 0.5, 1.5  2.5,3.5,4.5,5.5% acetic acid (vinegar) solutions respectively. Using 2 ml syringe, aliquot of 0.1 ml of each rinse solution was inoculated on  the different media at 10 min exposure and was incubated at 37 </w:t>
      </w:r>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for 24- 48 hours. Number of colonies on each plate was counted using a colony counter. As described by Bukola et al., (2022)</w:t>
      </w:r>
    </w:p>
    <w:p w:rsidR="00000000" w:rsidDel="00000000" w:rsidP="00000000" w:rsidRDefault="00000000" w:rsidRPr="00000000" w14:paraId="00000011">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 Samples preparation</w:t>
      </w:r>
      <w:r w:rsidDel="00000000" w:rsidR="00000000" w:rsidRPr="00000000">
        <w:rPr>
          <w:rtl w:val="0"/>
        </w:rPr>
      </w:r>
    </w:p>
    <w:p w:rsidR="00000000" w:rsidDel="00000000" w:rsidP="00000000" w:rsidRDefault="00000000" w:rsidRPr="00000000" w14:paraId="00000012">
      <w:pPr>
        <w:spacing w:line="480" w:lineRule="auto"/>
        <w:jc w:val="both"/>
        <w:rPr>
          <w:rFonts w:ascii="Times New Roman" w:cs="Times New Roman" w:eastAsia="Times New Roman" w:hAnsi="Times New Roman"/>
          <w:b w:val="1"/>
          <w:sz w:val="24"/>
          <w:szCs w:val="24"/>
        </w:rPr>
      </w:pPr>
      <w:bookmarkStart w:colFirst="0" w:colLast="0" w:name="_heading=h.30j0zll" w:id="1"/>
      <w:bookmarkEnd w:id="1"/>
      <w:r w:rsidDel="00000000" w:rsidR="00000000" w:rsidRPr="00000000">
        <w:rPr>
          <w:rFonts w:ascii="Times New Roman" w:cs="Times New Roman" w:eastAsia="Times New Roman" w:hAnsi="Times New Roman"/>
          <w:color w:val="000000"/>
          <w:sz w:val="24"/>
          <w:szCs w:val="24"/>
          <w:rtl w:val="0"/>
        </w:rPr>
        <w:t xml:space="preserve">25g of  untreated samples into 225ml of diluent/peptone water then homogenized in a stomacher to get the stock solution. The respective samples were serially diluted and 0.1 ml each of the dilutions of the different samples were plated using spread plate method on Eosin methylene blue agar, Mannitol Salt agar (MSA) and Potato dextrose agar (PDA), Plate count agar (PCA).. The plates were incubated at 37</w:t>
      </w:r>
      <w:r w:rsidDel="00000000" w:rsidR="00000000" w:rsidRPr="00000000">
        <w:rPr>
          <w:rFonts w:ascii="Times New Roman" w:cs="Times New Roman" w:eastAsia="Times New Roman" w:hAnsi="Times New Roman"/>
          <w:color w:val="000000"/>
          <w:sz w:val="24"/>
          <w:szCs w:val="24"/>
          <w:vertAlign w:val="superscript"/>
          <w:rtl w:val="0"/>
        </w:rPr>
        <w:t xml:space="preserve">0</w:t>
      </w:r>
      <w:r w:rsidDel="00000000" w:rsidR="00000000" w:rsidRPr="00000000">
        <w:rPr>
          <w:rFonts w:ascii="Times New Roman" w:cs="Times New Roman" w:eastAsia="Times New Roman" w:hAnsi="Times New Roman"/>
          <w:color w:val="000000"/>
          <w:sz w:val="24"/>
          <w:szCs w:val="24"/>
          <w:rtl w:val="0"/>
        </w:rPr>
        <w:t xml:space="preserve">C for 24 hours for bacteria isolates and 25</w:t>
      </w:r>
      <w:r w:rsidDel="00000000" w:rsidR="00000000" w:rsidRPr="00000000">
        <w:rPr>
          <w:rFonts w:ascii="Times New Roman" w:cs="Times New Roman" w:eastAsia="Times New Roman" w:hAnsi="Times New Roman"/>
          <w:color w:val="000000"/>
          <w:sz w:val="24"/>
          <w:szCs w:val="24"/>
          <w:vertAlign w:val="superscript"/>
          <w:rtl w:val="0"/>
        </w:rPr>
        <w:t xml:space="preserve">0</w:t>
      </w:r>
      <w:r w:rsidDel="00000000" w:rsidR="00000000" w:rsidRPr="00000000">
        <w:rPr>
          <w:rFonts w:ascii="Times New Roman" w:cs="Times New Roman" w:eastAsia="Times New Roman" w:hAnsi="Times New Roman"/>
          <w:color w:val="000000"/>
          <w:sz w:val="24"/>
          <w:szCs w:val="24"/>
          <w:rtl w:val="0"/>
        </w:rPr>
        <w:t xml:space="preserve">C at 72hours for fungi isolates.  The distinct colonies were carefully sub-cultured on separate petri dishes using the streak plate method on Nutrient agar. Pure cultures were characterized using Gram reaction and biochemical tests following the standard protocols and identified using the Bergey’s manual of determinative bacteriology . </w:t>
      </w:r>
      <w:r w:rsidDel="00000000" w:rsidR="00000000" w:rsidRPr="00000000">
        <w:rPr>
          <w:rtl w:val="0"/>
        </w:rPr>
      </w:r>
    </w:p>
    <w:p w:rsidR="00000000" w:rsidDel="00000000" w:rsidP="00000000" w:rsidRDefault="00000000" w:rsidRPr="00000000" w14:paraId="0000001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Total Bacteria Count</w:t>
      </w:r>
    </w:p>
    <w:p w:rsidR="00000000" w:rsidDel="00000000" w:rsidP="00000000" w:rsidRDefault="00000000" w:rsidRPr="00000000" w14:paraId="0000001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 ml of diluted sample was added onto the solidified PCA plates and spread on the surface using a sterile glass rod. The plates were then incubated at 37oC for 24hours. Colonies observed were enumerated and sub-cultured on nutrient agar plates to purify and stored on agar slants</w:t>
      </w:r>
    </w:p>
    <w:p w:rsidR="00000000" w:rsidDel="00000000" w:rsidP="00000000" w:rsidRDefault="00000000" w:rsidRPr="00000000" w14:paraId="00000015">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Total Fungal Count</w:t>
      </w:r>
    </w:p>
    <w:p w:rsidR="00000000" w:rsidDel="00000000" w:rsidP="00000000" w:rsidRDefault="00000000" w:rsidRPr="00000000" w14:paraId="0000001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0.1ml of each 10-¹ - 10</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diluted sample were spread on the potatoe dextrose agar, incubated for 25⁰C for 72 hours and observed for growth.  The cultural characteristics of each fungi isolates was identified according to their colour, shape and the cell morphology was done based on mycelia, hyphae, septate, spore formation using lactophenol blue. A piece of the mycelium from the Petri plates was mounted on a clean grease free slide using a sterile wire loop and covered with a cover slip, after which a drop of lactophenol cotton blue was added and examined with the microscope.</w:t>
      </w:r>
    </w:p>
    <w:p w:rsidR="00000000" w:rsidDel="00000000" w:rsidP="00000000" w:rsidRDefault="00000000" w:rsidRPr="00000000" w14:paraId="0000001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Total Staphylococcus Count</w:t>
      </w:r>
      <w:r w:rsidDel="00000000" w:rsidR="00000000" w:rsidRPr="00000000">
        <w:rPr>
          <w:rtl w:val="0"/>
        </w:rPr>
      </w:r>
    </w:p>
    <w:p w:rsidR="00000000" w:rsidDel="00000000" w:rsidP="00000000" w:rsidRDefault="00000000" w:rsidRPr="00000000" w14:paraId="0000001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1ml of each 10-¹ - 10</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Diluted sample was spread on the mannitol salt agar, incubated for 25°C for 24-48 hours and observed for growth. The colony that grows yellow on the mannitol salt agar, </w:t>
      </w:r>
      <w:r w:rsidDel="00000000" w:rsidR="00000000" w:rsidRPr="00000000">
        <w:rPr>
          <w:rFonts w:ascii="Times New Roman" w:cs="Times New Roman" w:eastAsia="Times New Roman" w:hAnsi="Times New Roman"/>
          <w:i w:val="1"/>
          <w:sz w:val="24"/>
          <w:szCs w:val="24"/>
          <w:rtl w:val="0"/>
        </w:rPr>
        <w:t xml:space="preserve">Staphylococcus aureus</w:t>
      </w:r>
      <w:r w:rsidDel="00000000" w:rsidR="00000000" w:rsidRPr="00000000">
        <w:rPr>
          <w:rFonts w:ascii="Times New Roman" w:cs="Times New Roman" w:eastAsia="Times New Roman" w:hAnsi="Times New Roman"/>
          <w:sz w:val="24"/>
          <w:szCs w:val="24"/>
          <w:rtl w:val="0"/>
        </w:rPr>
        <w:t xml:space="preserve"> and further identification is done using gram staining and biochemical test.</w:t>
      </w:r>
      <w:r w:rsidDel="00000000" w:rsidR="00000000" w:rsidRPr="00000000">
        <w:rPr>
          <w:rtl w:val="0"/>
        </w:rPr>
      </w:r>
    </w:p>
    <w:p w:rsidR="00000000" w:rsidDel="00000000" w:rsidP="00000000" w:rsidRDefault="00000000" w:rsidRPr="00000000" w14:paraId="00000019">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Total Escherichia count </w:t>
      </w:r>
    </w:p>
    <w:p w:rsidR="00000000" w:rsidDel="00000000" w:rsidP="00000000" w:rsidRDefault="00000000" w:rsidRPr="00000000" w14:paraId="0000001A">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1ml of each 10-¹ - 10</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diluted sample was spread on the Eosin methylene blue agar, incubated for 25°C for 24-48 hours and observed for growth. The colony that grows green metallic color on the Eosin methylene blue agar were presumed to be </w:t>
      </w:r>
      <w:r w:rsidDel="00000000" w:rsidR="00000000" w:rsidRPr="00000000">
        <w:rPr>
          <w:rFonts w:ascii="Times New Roman" w:cs="Times New Roman" w:eastAsia="Times New Roman" w:hAnsi="Times New Roman"/>
          <w:i w:val="1"/>
          <w:sz w:val="24"/>
          <w:szCs w:val="24"/>
          <w:rtl w:val="0"/>
        </w:rPr>
        <w:t xml:space="preserve">Escherichia coli </w:t>
      </w:r>
      <w:r w:rsidDel="00000000" w:rsidR="00000000" w:rsidRPr="00000000">
        <w:rPr>
          <w:rFonts w:ascii="Times New Roman" w:cs="Times New Roman" w:eastAsia="Times New Roman" w:hAnsi="Times New Roman"/>
          <w:sz w:val="24"/>
          <w:szCs w:val="24"/>
          <w:rtl w:val="0"/>
        </w:rPr>
        <w:t xml:space="preserve">and further identification is done using gram staining and biochemical test.</w:t>
      </w:r>
      <w:r w:rsidDel="00000000" w:rsidR="00000000" w:rsidRPr="00000000">
        <w:rPr>
          <w:rtl w:val="0"/>
        </w:rPr>
      </w:r>
    </w:p>
    <w:p w:rsidR="00000000" w:rsidDel="00000000" w:rsidP="00000000" w:rsidRDefault="00000000" w:rsidRPr="00000000" w14:paraId="0000001B">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Isolation and Preparation of Pure Colony</w:t>
      </w:r>
    </w:p>
    <w:p w:rsidR="00000000" w:rsidDel="00000000" w:rsidP="00000000" w:rsidRDefault="00000000" w:rsidRPr="00000000" w14:paraId="0000001C">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Using a sterile wire loop, random colony was pick from each culture and subculture on a freshly prepared sterile nutrient agar and incubated for 24hours for the bacteria while potato dextrose agar is used to incubate fungi for 5days to obtain pure colony.</w:t>
      </w:r>
      <w:r w:rsidDel="00000000" w:rsidR="00000000" w:rsidRPr="00000000">
        <w:rPr>
          <w:rtl w:val="0"/>
        </w:rPr>
      </w:r>
    </w:p>
    <w:p w:rsidR="00000000" w:rsidDel="00000000" w:rsidP="00000000" w:rsidRDefault="00000000" w:rsidRPr="00000000" w14:paraId="0000001D">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Enumeration of total bacterial count, total staphylococcus count, and total coliform count.</w:t>
      </w:r>
    </w:p>
    <w:p w:rsidR="00000000" w:rsidDel="00000000" w:rsidP="00000000" w:rsidRDefault="00000000" w:rsidRPr="00000000" w14:paraId="0000001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Counts from the incubated agar plates were enumerated after 24hours for bacteria and 72 hours for fungal count.</w:t>
      </w:r>
      <w:r w:rsidDel="00000000" w:rsidR="00000000" w:rsidRPr="00000000">
        <w:rPr>
          <w:rtl w:val="0"/>
        </w:rPr>
      </w:r>
    </w:p>
    <w:p w:rsidR="00000000" w:rsidDel="00000000" w:rsidP="00000000" w:rsidRDefault="00000000" w:rsidRPr="00000000" w14:paraId="0000001F">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IDENTIFICATION OF ISOLATES</w:t>
      </w:r>
    </w:p>
    <w:p w:rsidR="00000000" w:rsidDel="00000000" w:rsidP="00000000" w:rsidRDefault="00000000" w:rsidRPr="00000000" w14:paraId="00000020">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Identification of bacteria</w:t>
      </w:r>
    </w:p>
    <w:p w:rsidR="00000000" w:rsidDel="00000000" w:rsidP="00000000" w:rsidRDefault="00000000" w:rsidRPr="00000000" w14:paraId="00000021">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Bacterial isolates were characterized and identified using cultural, morphological and microscopic examinations. The macroscopic examination of the colonies was differentiated based on size, color, pigmentation, elevation surface texture and margin. Different biochemical tests such as Gram staining, Catalase, Coagulase, Methyl-red, Oxidase, Voges-proskauer and sugar fermentation test were employed to differentiate the bacterial isolates according to the standard microbiological methods</w:t>
      </w:r>
      <w:r w:rsidDel="00000000" w:rsidR="00000000" w:rsidRPr="00000000">
        <w:rPr>
          <w:rtl w:val="0"/>
        </w:rPr>
      </w:r>
    </w:p>
    <w:p w:rsidR="00000000" w:rsidDel="00000000" w:rsidP="00000000" w:rsidRDefault="00000000" w:rsidRPr="00000000" w14:paraId="00000022">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Fungal Identification </w:t>
      </w:r>
    </w:p>
    <w:p w:rsidR="00000000" w:rsidDel="00000000" w:rsidP="00000000" w:rsidRDefault="00000000" w:rsidRPr="00000000" w14:paraId="0000002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Identification of all fungal isolates was also carried out using standard methods based on macroscopic and microscopic features as described by Lacto-phenol (Cotton blue test). On a clean slide, a drop of methanol was placed and a portion of fungi growth was cut with the aid of surgical blade and tested in the methanol. A drop of lacto-phenol cotton blue was added. A cover slip was placed on it gently and observed under the microscope with X40 objectives.</w:t>
      </w:r>
    </w:p>
    <w:p w:rsidR="00000000" w:rsidDel="00000000" w:rsidP="00000000" w:rsidRDefault="00000000" w:rsidRPr="00000000" w14:paraId="00000024">
      <w:pPr>
        <w:spacing w:line="480" w:lineRule="auto"/>
        <w:jc w:val="both"/>
        <w:rPr>
          <w:rFonts w:ascii="Times New Roman" w:cs="Times New Roman" w:eastAsia="Times New Roman" w:hAnsi="Times New Roman"/>
          <w:sz w:val="24"/>
          <w:szCs w:val="24"/>
        </w:rPr>
      </w:pPr>
      <w:bookmarkStart w:colFirst="0" w:colLast="0" w:name="_heading=h.1fob9te" w:id="2"/>
      <w:bookmarkEnd w:id="2"/>
      <w:r w:rsidDel="00000000" w:rsidR="00000000" w:rsidRPr="00000000">
        <w:rPr>
          <w:rFonts w:ascii="Times New Roman" w:cs="Times New Roman" w:eastAsia="Times New Roman" w:hAnsi="Times New Roman"/>
          <w:b w:val="1"/>
          <w:sz w:val="24"/>
          <w:szCs w:val="24"/>
          <w:rtl w:val="0"/>
        </w:rPr>
        <w:t xml:space="preserve">Proximate Analysis  </w:t>
      </w:r>
      <w:r w:rsidDel="00000000" w:rsidR="00000000" w:rsidRPr="00000000">
        <w:rPr>
          <w:rFonts w:ascii="Times New Roman" w:cs="Times New Roman" w:eastAsia="Times New Roman" w:hAnsi="Times New Roman"/>
          <w:sz w:val="24"/>
          <w:szCs w:val="24"/>
          <w:rtl w:val="0"/>
        </w:rPr>
        <w:t xml:space="preserve">; Proximate Analysis  was done as described by Faiza</w:t>
      </w:r>
      <w:r w:rsidDel="00000000" w:rsidR="00000000" w:rsidRPr="00000000">
        <w:rPr>
          <w:rFonts w:ascii="Times New Roman" w:cs="Times New Roman" w:eastAsia="Times New Roman" w:hAnsi="Times New Roman"/>
          <w:i w:val="1"/>
          <w:sz w:val="24"/>
          <w:szCs w:val="24"/>
          <w:rtl w:val="0"/>
        </w:rPr>
        <w:t xml:space="preserve"> et al.</w:t>
      </w:r>
      <w:r w:rsidDel="00000000" w:rsidR="00000000" w:rsidRPr="00000000">
        <w:rPr>
          <w:rFonts w:ascii="Times New Roman" w:cs="Times New Roman" w:eastAsia="Times New Roman" w:hAnsi="Times New Roman"/>
          <w:sz w:val="24"/>
          <w:szCs w:val="24"/>
          <w:rtl w:val="0"/>
        </w:rPr>
        <w:t xml:space="preserve">, (2018)</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2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RESULTS</w:t>
      </w:r>
      <w:r w:rsidDel="00000000" w:rsidR="00000000" w:rsidRPr="00000000">
        <w:rPr>
          <w:rtl w:val="0"/>
        </w:rPr>
      </w:r>
    </w:p>
    <w:p w:rsidR="00000000" w:rsidDel="00000000" w:rsidP="00000000" w:rsidRDefault="00000000" w:rsidRPr="00000000" w14:paraId="0000002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Total heterotrophic bacteria count obtained from the cabbage treated with acetic acid on their different concentrations and one without acetic acid </w:t>
      </w:r>
    </w:p>
    <w:p w:rsidR="00000000" w:rsidDel="00000000" w:rsidP="00000000" w:rsidRDefault="00000000" w:rsidRPr="00000000" w14:paraId="0000002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heterotrophic bacteria count obtained from the cabbage treated with acetic acid of different concentrations ranged from 1.05 x10³ to 2.75 x 10⁵ cfu/g and one without acetic acid (control) were 1.6 x 10⁶cfu/g as shown in the figure 1 below.</w:t>
      </w:r>
    </w:p>
    <w:p w:rsidR="00000000" w:rsidDel="00000000" w:rsidP="00000000" w:rsidRDefault="00000000" w:rsidRPr="00000000" w14:paraId="00000028">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114300" distR="114300">
            <wp:extent cx="5486400" cy="2085975"/>
            <wp:docPr id="1034" name=""/>
            <a:graphic>
              <a:graphicData uri="http://schemas.openxmlformats.org/drawingml/2006/chart">
                <c:chart r:id="rId9"/>
              </a:graphicData>
            </a:graphic>
          </wp:inline>
        </w:drawing>
      </w: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Fig 1: T</w:t>
      </w:r>
      <w:r w:rsidDel="00000000" w:rsidR="00000000" w:rsidRPr="00000000">
        <w:rPr>
          <w:rFonts w:ascii="Times New Roman" w:cs="Times New Roman" w:eastAsia="Times New Roman" w:hAnsi="Times New Roman"/>
          <w:b w:val="1"/>
          <w:sz w:val="24"/>
          <w:szCs w:val="24"/>
          <w:rtl w:val="0"/>
        </w:rPr>
        <w:t xml:space="preserve">otal heterotrophic bacteria count obtained from the cabbage treated with acetic acid of different concentrations and one without acetic acid (control).</w:t>
      </w:r>
    </w:p>
    <w:p w:rsidR="00000000" w:rsidDel="00000000" w:rsidP="00000000" w:rsidRDefault="00000000" w:rsidRPr="00000000" w14:paraId="0000002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Total Staphylococcus bacteria count obtained from the cabbage treated with acetic acid on their different concentrations and one without acetic acid </w:t>
      </w:r>
      <w:r w:rsidDel="00000000" w:rsidR="00000000" w:rsidRPr="00000000">
        <w:rPr>
          <w:rtl w:val="0"/>
        </w:rPr>
      </w:r>
    </w:p>
    <w:p w:rsidR="00000000" w:rsidDel="00000000" w:rsidP="00000000" w:rsidRDefault="00000000" w:rsidRPr="00000000" w14:paraId="0000002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Total Staphylococcus count obtained from the cabbage treated with acetic of different concentrations ranged 1.15 x 10³cfu/g to 2.08 x 10⁴cfu/g and one without acetic acid 1.55 x 10⁴cfu/g shown in figure 2 below. </w:t>
      </w:r>
    </w:p>
    <w:p w:rsidR="00000000" w:rsidDel="00000000" w:rsidP="00000000" w:rsidRDefault="00000000" w:rsidRPr="00000000" w14:paraId="0000002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Pr>
        <w:drawing>
          <wp:inline distB="0" distT="0" distL="114300" distR="114300">
            <wp:extent cx="5486400" cy="1924050"/>
            <wp:docPr id="1036" name=""/>
            <a:graphic>
              <a:graphicData uri="http://schemas.openxmlformats.org/drawingml/2006/chart">
                <c:chart r:id="rId10"/>
              </a:graphicData>
            </a:graphic>
          </wp:inline>
        </w:drawing>
      </w: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2 Total Staphylococcus bacteria count obtained from the cabbage treated with acetic acid of  different concentrations and one without acetic acid </w:t>
      </w:r>
    </w:p>
    <w:p w:rsidR="00000000" w:rsidDel="00000000" w:rsidP="00000000" w:rsidRDefault="00000000" w:rsidRPr="00000000" w14:paraId="0000003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Total Escherichia count obtained from the cabbage treated with acetic acid on their different concentrations and one without acetic acid </w:t>
      </w:r>
    </w:p>
    <w:p w:rsidR="00000000" w:rsidDel="00000000" w:rsidP="00000000" w:rsidRDefault="00000000" w:rsidRPr="00000000" w14:paraId="00000031">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Total Escherichia count obtained from the cabbage treated with acetic of different concentrations ranged 2.5 x 10²cfu/g to 4 x 10³cfu/gand one without acetic acid 4.5 x 10⁵cfu/g shown in figure 3 below. </w:t>
      </w:r>
    </w:p>
    <w:p w:rsidR="00000000" w:rsidDel="00000000" w:rsidP="00000000" w:rsidRDefault="00000000" w:rsidRPr="00000000" w14:paraId="00000032">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3">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5">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Pr>
        <w:drawing>
          <wp:inline distB="0" distT="0" distL="114300" distR="114300">
            <wp:extent cx="5486400" cy="1857375"/>
            <wp:docPr id="1035" name=""/>
            <a:graphic>
              <a:graphicData uri="http://schemas.openxmlformats.org/drawingml/2006/chart">
                <c:chart r:id="rId11"/>
              </a:graphicData>
            </a:graphic>
          </wp:inline>
        </w:drawing>
      </w:r>
      <w:r w:rsidDel="00000000" w:rsidR="00000000" w:rsidRPr="00000000">
        <w:rPr>
          <w:rtl w:val="0"/>
        </w:rPr>
      </w:r>
    </w:p>
    <w:p w:rsidR="00000000" w:rsidDel="00000000" w:rsidP="00000000" w:rsidRDefault="00000000" w:rsidRPr="00000000" w14:paraId="0000003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3: Total Escherichia count obtained from the cabbage treated with acetic acid on their different concentrations and one without acetic acid </w:t>
      </w:r>
    </w:p>
    <w:p w:rsidR="00000000" w:rsidDel="00000000" w:rsidP="00000000" w:rsidRDefault="00000000" w:rsidRPr="00000000" w14:paraId="0000003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Total fungal count obtained from the cabbage treated with acetic acid on their different concentrations and one without acetic acid</w:t>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fungal load was observed to be higher in control sample having 6.5x10³cfu/g followed by 5.4x10³cfu/g of 0.5%, 4.4x10³cfu/g of 1.5% of acetic acid and the lowest count was recorded in the 5.5% acetic acid were 8x10cfu/g. </w:t>
      </w:r>
    </w:p>
    <w:p w:rsidR="00000000" w:rsidDel="00000000" w:rsidP="00000000" w:rsidRDefault="00000000" w:rsidRPr="00000000" w14:paraId="0000003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Pr>
        <w:drawing>
          <wp:inline distB="0" distT="0" distL="114300" distR="114300">
            <wp:extent cx="5486400" cy="2314575"/>
            <wp:docPr id="1037" name=""/>
            <a:graphic>
              <a:graphicData uri="http://schemas.openxmlformats.org/drawingml/2006/chart">
                <c:chart r:id="rId12"/>
              </a:graphicData>
            </a:graphic>
          </wp:inline>
        </w:drawing>
      </w: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4: Total fungal count obtained from the cabbage treated with acetic acid on their different concentrations and one without acetic acid</w:t>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Table 1 Percentage Occurrences of the different bacteria isolated from the cabbage treated with acetic acid on their different concentrations and one without acetic acid</w:t>
      </w:r>
      <w:r w:rsidDel="00000000" w:rsidR="00000000" w:rsidRPr="00000000">
        <w:rPr>
          <w:rtl w:val="0"/>
        </w:rPr>
      </w:r>
    </w:p>
    <w:tbl>
      <w:tblPr>
        <w:tblStyle w:val="Table1"/>
        <w:tblpPr w:leftFromText="180" w:rightFromText="180" w:topFromText="0" w:bottomFromText="0" w:vertAnchor="text" w:horzAnchor="text" w:tblpX="0" w:tblpY="1"/>
        <w:tblW w:w="6670.99999999999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38"/>
        <w:gridCol w:w="2261"/>
        <w:gridCol w:w="1872"/>
        <w:tblGridChange w:id="0">
          <w:tblGrid>
            <w:gridCol w:w="2538"/>
            <w:gridCol w:w="2261"/>
            <w:gridCol w:w="1872"/>
          </w:tblGrid>
        </w:tblGridChange>
      </w:tblGrid>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40">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Organisms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of occurrence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42">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Frequency (%)</w:t>
            </w:r>
          </w:p>
        </w:tc>
      </w:tr>
      <w:tr>
        <w:trPr>
          <w:cantSplit w:val="0"/>
          <w:tblHeader w:val="0"/>
        </w:trPr>
        <w:tc>
          <w:tcPr>
            <w:tcBorders>
              <w:top w:color="000000" w:space="0" w:sz="4" w:val="single"/>
              <w:right w:color="000000" w:space="0" w:sz="4" w:val="single"/>
            </w:tcBorders>
          </w:tcPr>
          <w:p w:rsidR="00000000" w:rsidDel="00000000" w:rsidP="00000000" w:rsidRDefault="00000000" w:rsidRPr="00000000" w14:paraId="00000043">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Bacillus sp.</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44">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tcBorders>
          </w:tcPr>
          <w:p w:rsidR="00000000" w:rsidDel="00000000" w:rsidP="00000000" w:rsidRDefault="00000000" w:rsidRPr="00000000" w14:paraId="00000045">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cantSplit w:val="0"/>
          <w:tblHeader w:val="0"/>
        </w:trPr>
        <w:tc>
          <w:tcPr>
            <w:tcBorders>
              <w:right w:color="000000" w:space="0" w:sz="4" w:val="single"/>
            </w:tcBorders>
          </w:tcPr>
          <w:p w:rsidR="00000000" w:rsidDel="00000000" w:rsidP="00000000" w:rsidRDefault="00000000" w:rsidRPr="00000000" w14:paraId="00000046">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Escherichia coli </w:t>
            </w:r>
          </w:p>
        </w:tc>
        <w:tc>
          <w:tcPr>
            <w:tcBorders>
              <w:left w:color="000000" w:space="0" w:sz="4" w:val="single"/>
              <w:right w:color="000000" w:space="0" w:sz="4" w:val="single"/>
            </w:tcBorders>
          </w:tcPr>
          <w:p w:rsidR="00000000" w:rsidDel="00000000" w:rsidP="00000000" w:rsidRDefault="00000000" w:rsidRPr="00000000" w14:paraId="00000047">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left w:color="000000" w:space="0" w:sz="4" w:val="single"/>
            </w:tcBorders>
          </w:tcPr>
          <w:p w:rsidR="00000000" w:rsidDel="00000000" w:rsidP="00000000" w:rsidRDefault="00000000" w:rsidRPr="00000000" w14:paraId="00000048">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24.3%</w:t>
            </w:r>
          </w:p>
        </w:tc>
      </w:tr>
      <w:tr>
        <w:trPr>
          <w:cantSplit w:val="0"/>
          <w:tblHeader w:val="0"/>
        </w:trPr>
        <w:tc>
          <w:tcPr>
            <w:tcBorders>
              <w:right w:color="000000" w:space="0" w:sz="4" w:val="single"/>
            </w:tcBorders>
          </w:tcPr>
          <w:p w:rsidR="00000000" w:rsidDel="00000000" w:rsidP="00000000" w:rsidRDefault="00000000" w:rsidRPr="00000000" w14:paraId="00000049">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Staphylococcus sp.</w:t>
            </w:r>
          </w:p>
        </w:tc>
        <w:tc>
          <w:tcPr>
            <w:tcBorders>
              <w:left w:color="000000" w:space="0" w:sz="4" w:val="single"/>
              <w:right w:color="000000" w:space="0" w:sz="4" w:val="single"/>
            </w:tcBorders>
          </w:tcPr>
          <w:p w:rsidR="00000000" w:rsidDel="00000000" w:rsidP="00000000" w:rsidRDefault="00000000" w:rsidRPr="00000000" w14:paraId="0000004A">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left w:color="000000" w:space="0" w:sz="4" w:val="single"/>
            </w:tcBorders>
          </w:tcPr>
          <w:p w:rsidR="00000000" w:rsidDel="00000000" w:rsidP="00000000" w:rsidRDefault="00000000" w:rsidRPr="00000000" w14:paraId="0000004B">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r>
      <w:tr>
        <w:trPr>
          <w:cantSplit w:val="0"/>
          <w:tblHeader w:val="0"/>
        </w:trPr>
        <w:tc>
          <w:tcPr>
            <w:tcBorders>
              <w:right w:color="000000" w:space="0" w:sz="4" w:val="single"/>
            </w:tcBorders>
          </w:tcPr>
          <w:p w:rsidR="00000000" w:rsidDel="00000000" w:rsidP="00000000" w:rsidRDefault="00000000" w:rsidRPr="00000000" w14:paraId="0000004C">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Klebsiella sp.</w:t>
            </w:r>
          </w:p>
        </w:tc>
        <w:tc>
          <w:tcPr>
            <w:tcBorders>
              <w:left w:color="000000" w:space="0" w:sz="4" w:val="single"/>
              <w:right w:color="000000" w:space="0" w:sz="4" w:val="single"/>
            </w:tcBorders>
          </w:tcPr>
          <w:p w:rsidR="00000000" w:rsidDel="00000000" w:rsidP="00000000" w:rsidRDefault="00000000" w:rsidRPr="00000000" w14:paraId="0000004D">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w:t>
            </w:r>
          </w:p>
        </w:tc>
        <w:tc>
          <w:tcPr>
            <w:tcBorders>
              <w:left w:color="000000" w:space="0" w:sz="4" w:val="single"/>
            </w:tcBorders>
          </w:tcPr>
          <w:p w:rsidR="00000000" w:rsidDel="00000000" w:rsidP="00000000" w:rsidRDefault="00000000" w:rsidRPr="00000000" w14:paraId="0000004E">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r>
      <w:tr>
        <w:trPr>
          <w:cantSplit w:val="0"/>
          <w:tblHeader w:val="0"/>
        </w:trPr>
        <w:tc>
          <w:tcPr>
            <w:tcBorders>
              <w:right w:color="000000" w:space="0" w:sz="4" w:val="single"/>
            </w:tcBorders>
          </w:tcPr>
          <w:p w:rsidR="00000000" w:rsidDel="00000000" w:rsidP="00000000" w:rsidRDefault="00000000" w:rsidRPr="00000000" w14:paraId="0000004F">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Proteus sp.</w:t>
            </w:r>
          </w:p>
        </w:tc>
        <w:tc>
          <w:tcPr>
            <w:tcBorders>
              <w:left w:color="000000" w:space="0" w:sz="4" w:val="single"/>
              <w:right w:color="000000" w:space="0" w:sz="4" w:val="single"/>
            </w:tcBorders>
          </w:tcPr>
          <w:p w:rsidR="00000000" w:rsidDel="00000000" w:rsidP="00000000" w:rsidRDefault="00000000" w:rsidRPr="00000000" w14:paraId="00000050">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left w:color="000000" w:space="0" w:sz="4" w:val="single"/>
            </w:tcBorders>
          </w:tcPr>
          <w:p w:rsidR="00000000" w:rsidDel="00000000" w:rsidP="00000000" w:rsidRDefault="00000000" w:rsidRPr="00000000" w14:paraId="00000051">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w:t>
            </w:r>
          </w:p>
        </w:tc>
      </w:tr>
      <w:tr>
        <w:trPr>
          <w:cantSplit w:val="0"/>
          <w:tblHeader w:val="0"/>
        </w:trPr>
        <w:tc>
          <w:tcPr>
            <w:tcBorders>
              <w:right w:color="000000" w:space="0" w:sz="4" w:val="single"/>
            </w:tcBorders>
          </w:tcPr>
          <w:p w:rsidR="00000000" w:rsidDel="00000000" w:rsidP="00000000" w:rsidRDefault="00000000" w:rsidRPr="00000000" w14:paraId="00000052">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Micrococcus sp.</w:t>
            </w:r>
          </w:p>
        </w:tc>
        <w:tc>
          <w:tcPr>
            <w:tcBorders>
              <w:left w:color="000000" w:space="0" w:sz="4" w:val="single"/>
              <w:right w:color="000000" w:space="0" w:sz="4" w:val="single"/>
            </w:tcBorders>
          </w:tcPr>
          <w:p w:rsidR="00000000" w:rsidDel="00000000" w:rsidP="00000000" w:rsidRDefault="00000000" w:rsidRPr="00000000" w14:paraId="00000053">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left w:color="000000" w:space="0" w:sz="4" w:val="single"/>
            </w:tcBorders>
          </w:tcPr>
          <w:p w:rsidR="00000000" w:rsidDel="00000000" w:rsidP="00000000" w:rsidRDefault="00000000" w:rsidRPr="00000000" w14:paraId="00000054">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055">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Pseudomonas sp</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56">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5</w:t>
            </w:r>
          </w:p>
        </w:tc>
        <w:tc>
          <w:tcPr>
            <w:tcBorders>
              <w:left w:color="000000" w:space="0" w:sz="4" w:val="single"/>
              <w:bottom w:color="000000" w:space="0" w:sz="4" w:val="single"/>
            </w:tcBorders>
          </w:tcPr>
          <w:p w:rsidR="00000000" w:rsidDel="00000000" w:rsidP="00000000" w:rsidRDefault="00000000" w:rsidRPr="00000000" w14:paraId="00000057">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12.2 %</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058">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59">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c>
          <w:tcPr>
            <w:tcBorders>
              <w:left w:color="000000" w:space="0" w:sz="4" w:val="single"/>
              <w:bottom w:color="000000" w:space="0" w:sz="4" w:val="single"/>
            </w:tcBorders>
          </w:tcPr>
          <w:p w:rsidR="00000000" w:rsidDel="00000000" w:rsidP="00000000" w:rsidRDefault="00000000" w:rsidRPr="00000000" w14:paraId="0000005A">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bl>
    <w:p w:rsidR="00000000" w:rsidDel="00000000" w:rsidP="00000000" w:rsidRDefault="00000000" w:rsidRPr="00000000" w14:paraId="0000005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Frequency of occurrence of fungal isolate obtained from the cabbage treated with acetic acid on their different concentrations and one without acetic acid</w:t>
      </w:r>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Percentage Occurrences of the different fungi isolated.</w:t>
      </w:r>
    </w:p>
    <w:tbl>
      <w:tblPr>
        <w:tblStyle w:val="Table2"/>
        <w:tblW w:w="6243.0" w:type="dxa"/>
        <w:jc w:val="left"/>
        <w:tblBorders>
          <w:top w:color="cce8cf" w:space="0" w:sz="8" w:val="single"/>
          <w:left w:color="000000" w:space="0" w:sz="0" w:val="nil"/>
          <w:bottom w:color="cce8cf" w:space="0" w:sz="8" w:val="single"/>
          <w:right w:color="000000" w:space="0" w:sz="0" w:val="nil"/>
          <w:insideH w:color="000000" w:space="0" w:sz="0" w:val="nil"/>
          <w:insideV w:color="000000" w:space="0" w:sz="0" w:val="nil"/>
        </w:tblBorders>
        <w:tblLayout w:type="fixed"/>
        <w:tblLook w:val="0400"/>
      </w:tblPr>
      <w:tblGrid>
        <w:gridCol w:w="2309"/>
        <w:gridCol w:w="2160"/>
        <w:gridCol w:w="1774"/>
        <w:tblGridChange w:id="0">
          <w:tblGrid>
            <w:gridCol w:w="2309"/>
            <w:gridCol w:w="2160"/>
            <w:gridCol w:w="1774"/>
          </w:tblGrid>
        </w:tblGridChange>
      </w:tblGrid>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68">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Organism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of occurrence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6A">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Frequency (%)</w:t>
            </w:r>
          </w:p>
        </w:tc>
      </w:tr>
      <w:tr>
        <w:trPr>
          <w:cantSplit w:val="0"/>
          <w:tblHeader w:val="0"/>
        </w:trPr>
        <w:tc>
          <w:tcPr>
            <w:tcBorders>
              <w:top w:color="000000" w:space="0" w:sz="4" w:val="single"/>
              <w:right w:color="000000" w:space="0" w:sz="4" w:val="single"/>
            </w:tcBorders>
          </w:tcPr>
          <w:p w:rsidR="00000000" w:rsidDel="00000000" w:rsidP="00000000" w:rsidRDefault="00000000" w:rsidRPr="00000000" w14:paraId="0000006B">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Fusarium sp.</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6C">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tcBorders>
          </w:tcPr>
          <w:p w:rsidR="00000000" w:rsidDel="00000000" w:rsidP="00000000" w:rsidRDefault="00000000" w:rsidRPr="00000000" w14:paraId="0000006D">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w:t>
            </w:r>
          </w:p>
        </w:tc>
      </w:tr>
      <w:tr>
        <w:trPr>
          <w:cantSplit w:val="0"/>
          <w:tblHeader w:val="0"/>
        </w:trPr>
        <w:tc>
          <w:tcPr>
            <w:tcBorders>
              <w:right w:color="000000" w:space="0" w:sz="4" w:val="single"/>
            </w:tcBorders>
          </w:tcPr>
          <w:p w:rsidR="00000000" w:rsidDel="00000000" w:rsidP="00000000" w:rsidRDefault="00000000" w:rsidRPr="00000000" w14:paraId="0000006E">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Saccharomyces sp</w:t>
            </w:r>
          </w:p>
        </w:tc>
        <w:tc>
          <w:tcPr>
            <w:tcBorders>
              <w:left w:color="000000" w:space="0" w:sz="4" w:val="single"/>
              <w:right w:color="000000" w:space="0" w:sz="4" w:val="single"/>
            </w:tcBorders>
          </w:tcPr>
          <w:p w:rsidR="00000000" w:rsidDel="00000000" w:rsidP="00000000" w:rsidRDefault="00000000" w:rsidRPr="00000000" w14:paraId="0000006F">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left w:color="000000" w:space="0" w:sz="4" w:val="single"/>
            </w:tcBorders>
          </w:tcPr>
          <w:p w:rsidR="00000000" w:rsidDel="00000000" w:rsidP="00000000" w:rsidRDefault="00000000" w:rsidRPr="00000000" w14:paraId="00000070">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29.4%</w:t>
            </w:r>
          </w:p>
        </w:tc>
      </w:tr>
      <w:tr>
        <w:trPr>
          <w:cantSplit w:val="0"/>
          <w:tblHeader w:val="0"/>
        </w:trPr>
        <w:tc>
          <w:tcPr>
            <w:tcBorders>
              <w:right w:color="000000" w:space="0" w:sz="4" w:val="single"/>
            </w:tcBorders>
          </w:tcPr>
          <w:p w:rsidR="00000000" w:rsidDel="00000000" w:rsidP="00000000" w:rsidRDefault="00000000" w:rsidRPr="00000000" w14:paraId="00000071">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Mucor</w:t>
            </w:r>
          </w:p>
        </w:tc>
        <w:tc>
          <w:tcPr>
            <w:tcBorders>
              <w:left w:color="000000" w:space="0" w:sz="4" w:val="single"/>
              <w:right w:color="000000" w:space="0" w:sz="4" w:val="single"/>
            </w:tcBorders>
          </w:tcPr>
          <w:p w:rsidR="00000000" w:rsidDel="00000000" w:rsidP="00000000" w:rsidRDefault="00000000" w:rsidRPr="00000000" w14:paraId="00000072">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left w:color="000000" w:space="0" w:sz="4" w:val="single"/>
            </w:tcBorders>
          </w:tcPr>
          <w:p w:rsidR="00000000" w:rsidDel="00000000" w:rsidP="00000000" w:rsidRDefault="00000000" w:rsidRPr="00000000" w14:paraId="00000073">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w:t>
            </w:r>
          </w:p>
        </w:tc>
      </w:tr>
      <w:tr>
        <w:trPr>
          <w:cantSplit w:val="0"/>
          <w:tblHeader w:val="0"/>
        </w:trPr>
        <w:tc>
          <w:tcPr>
            <w:tcBorders>
              <w:right w:color="000000" w:space="0" w:sz="4" w:val="single"/>
            </w:tcBorders>
          </w:tcPr>
          <w:p w:rsidR="00000000" w:rsidDel="00000000" w:rsidP="00000000" w:rsidRDefault="00000000" w:rsidRPr="00000000" w14:paraId="00000074">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Aspergillus sp</w:t>
            </w:r>
          </w:p>
        </w:tc>
        <w:tc>
          <w:tcPr>
            <w:tcBorders>
              <w:left w:color="000000" w:space="0" w:sz="4" w:val="single"/>
              <w:right w:color="000000" w:space="0" w:sz="4" w:val="single"/>
            </w:tcBorders>
          </w:tcPr>
          <w:p w:rsidR="00000000" w:rsidDel="00000000" w:rsidP="00000000" w:rsidRDefault="00000000" w:rsidRPr="00000000" w14:paraId="00000075">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left w:color="000000" w:space="0" w:sz="4" w:val="single"/>
            </w:tcBorders>
          </w:tcPr>
          <w:p w:rsidR="00000000" w:rsidDel="00000000" w:rsidP="00000000" w:rsidRDefault="00000000" w:rsidRPr="00000000" w14:paraId="00000076">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41.2%</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077">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Rhizopus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78">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left w:color="000000" w:space="0" w:sz="4" w:val="single"/>
              <w:bottom w:color="000000" w:space="0" w:sz="4" w:val="single"/>
            </w:tcBorders>
          </w:tcPr>
          <w:p w:rsidR="00000000" w:rsidDel="00000000" w:rsidP="00000000" w:rsidRDefault="00000000" w:rsidRPr="00000000" w14:paraId="00000079">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w:t>
            </w:r>
          </w:p>
        </w:tc>
      </w:tr>
      <w:tr>
        <w:trPr>
          <w:cantSplit w:val="0"/>
          <w:tblHeader w:val="0"/>
        </w:trPr>
        <w:tc>
          <w:tcPr>
            <w:tcBorders>
              <w:top w:color="000000" w:space="0" w:sz="4" w:val="single"/>
              <w:right w:color="000000" w:space="0" w:sz="4" w:val="single"/>
            </w:tcBorders>
          </w:tcPr>
          <w:p w:rsidR="00000000" w:rsidDel="00000000" w:rsidP="00000000" w:rsidRDefault="00000000" w:rsidRPr="00000000" w14:paraId="0000007A">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7B">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4" w:val="single"/>
              <w:left w:color="000000" w:space="0" w:sz="4" w:val="single"/>
            </w:tcBorders>
          </w:tcPr>
          <w:p w:rsidR="00000000" w:rsidDel="00000000" w:rsidP="00000000" w:rsidRDefault="00000000" w:rsidRPr="00000000" w14:paraId="0000007C">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bl>
    <w:p w:rsidR="00000000" w:rsidDel="00000000" w:rsidP="00000000" w:rsidRDefault="00000000" w:rsidRPr="00000000" w14:paraId="0000007D">
      <w:pPr>
        <w:tabs>
          <w:tab w:val="left" w:leader="none" w:pos="2880"/>
        </w:tabs>
        <w:spacing w:line="360" w:lineRule="auto"/>
        <w:jc w:val="both"/>
        <w:rPr>
          <w:rFonts w:ascii="Times New Roman" w:cs="Times New Roman" w:eastAsia="Times New Roman" w:hAnsi="Times New Roman"/>
          <w:b w:val="1"/>
          <w:sz w:val="24"/>
          <w:szCs w:val="24"/>
        </w:rPr>
      </w:pPr>
      <w:bookmarkStart w:colFirst="0" w:colLast="0" w:name="_heading=h.3znysh7" w:id="3"/>
      <w:bookmarkEnd w:id="3"/>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b w:val="1"/>
          <w:sz w:val="24"/>
          <w:szCs w:val="24"/>
        </w:rPr>
      </w:pPr>
      <w:sdt>
        <w:sdtPr>
          <w:tag w:val="goog_rdk_2"/>
        </w:sdtPr>
        <w:sdtContent>
          <w:commentRangeStart w:id="2"/>
        </w:sdtContent>
      </w:sdt>
      <w:r w:rsidDel="00000000" w:rsidR="00000000" w:rsidRPr="00000000">
        <w:rPr>
          <w:rFonts w:ascii="Times New Roman" w:cs="Times New Roman" w:eastAsia="Times New Roman" w:hAnsi="Times New Roman"/>
          <w:b w:val="1"/>
          <w:sz w:val="24"/>
          <w:szCs w:val="24"/>
          <w:rtl w:val="0"/>
        </w:rPr>
        <w:t xml:space="preserve">Table 3: Mean Proximate Composition of the samples studied </w:t>
      </w:r>
      <w:commentRangeEnd w:id="2"/>
      <w:r w:rsidDel="00000000" w:rsidR="00000000" w:rsidRPr="00000000">
        <w:commentReference w:id="2"/>
      </w:r>
      <w:r w:rsidDel="00000000" w:rsidR="00000000" w:rsidRPr="00000000">
        <w:rPr>
          <w:rtl w:val="0"/>
        </w:rPr>
      </w:r>
    </w:p>
    <w:tbl>
      <w:tblPr>
        <w:tblStyle w:val="Table3"/>
        <w:tblW w:w="9576.0" w:type="dxa"/>
        <w:jc w:val="left"/>
        <w:tblLayout w:type="fixed"/>
        <w:tblLook w:val="0400"/>
      </w:tblPr>
      <w:tblGrid>
        <w:gridCol w:w="2070"/>
        <w:gridCol w:w="1745"/>
        <w:gridCol w:w="995"/>
        <w:gridCol w:w="1368"/>
        <w:gridCol w:w="1185"/>
        <w:gridCol w:w="1132"/>
        <w:gridCol w:w="1081"/>
        <w:tblGridChange w:id="0">
          <w:tblGrid>
            <w:gridCol w:w="2070"/>
            <w:gridCol w:w="1745"/>
            <w:gridCol w:w="995"/>
            <w:gridCol w:w="1368"/>
            <w:gridCol w:w="1185"/>
            <w:gridCol w:w="1132"/>
            <w:gridCol w:w="1081"/>
          </w:tblGrid>
        </w:tblGridChange>
      </w:tblGrid>
      <w:tr>
        <w:trPr>
          <w:cantSplit w:val="0"/>
          <w:tblHeader w:val="0"/>
        </w:trPr>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Samples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Carbohydrates (%)</w:t>
            </w: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Lipid</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Ash</w:t>
            </w:r>
          </w:p>
          <w:p w:rsidR="00000000" w:rsidDel="00000000" w:rsidP="00000000" w:rsidRDefault="00000000" w:rsidRPr="00000000" w14:paraId="0000008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Moisture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Protein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8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Fibre (%)</w:t>
            </w:r>
          </w:p>
        </w:tc>
      </w:tr>
      <w:tr>
        <w:trPr>
          <w:cantSplit w:val="0"/>
          <w:tblHeader w:val="0"/>
        </w:trPr>
        <w:tc>
          <w:tcPr>
            <w:tcBorders>
              <w:top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Untreated cabbage </w:t>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5.420</w:t>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0.861</w:t>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0.393</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88.424</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8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2.551</w:t>
            </w:r>
          </w:p>
        </w:tc>
        <w:tc>
          <w:tcPr>
            <w:tcBorders>
              <w:top w:color="000000" w:space="0" w:sz="4" w:val="single"/>
              <w:left w:color="000000" w:space="0" w:sz="4" w:val="single"/>
            </w:tcBorders>
          </w:tcPr>
          <w:p w:rsidR="00000000" w:rsidDel="00000000" w:rsidP="00000000" w:rsidRDefault="00000000" w:rsidRPr="00000000" w14:paraId="0000008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2.351</w:t>
            </w:r>
          </w:p>
        </w:tc>
      </w:tr>
      <w:tr>
        <w:trPr>
          <w:cantSplit w:val="0"/>
          <w:tblHeader w:val="0"/>
        </w:trPr>
        <w:tc>
          <w:tcPr>
            <w:tcBorders>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Treated cabbage </w:t>
            </w:r>
          </w:p>
        </w:tc>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5.409</w:t>
            </w:r>
          </w:p>
        </w:tc>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1.272</w:t>
            </w:r>
          </w:p>
        </w:tc>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0.423</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86.661</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9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4.682</w:t>
            </w:r>
          </w:p>
        </w:tc>
        <w:tc>
          <w:tcPr>
            <w:tcBorders>
              <w:left w:color="000000" w:space="0" w:sz="4" w:val="single"/>
              <w:bottom w:color="000000" w:space="0" w:sz="4" w:val="single"/>
            </w:tcBorders>
          </w:tcPr>
          <w:p w:rsidR="00000000" w:rsidDel="00000000" w:rsidP="00000000" w:rsidRDefault="00000000" w:rsidRPr="00000000" w14:paraId="000000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2.553</w:t>
            </w:r>
          </w:p>
        </w:tc>
      </w:tr>
    </w:tbl>
    <w:p w:rsidR="00000000" w:rsidDel="00000000" w:rsidP="00000000" w:rsidRDefault="00000000" w:rsidRPr="00000000" w14:paraId="0000009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spacing w:line="360" w:lineRule="auto"/>
        <w:ind w:left="288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 </w:t>
      </w:r>
    </w:p>
    <w:p w:rsidR="00000000" w:rsidDel="00000000" w:rsidP="00000000" w:rsidRDefault="00000000" w:rsidRPr="00000000" w14:paraId="0000009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Microbial Quality of Treated and Untreated Cabbage</w:t>
      </w:r>
    </w:p>
    <w:p w:rsidR="00000000" w:rsidDel="00000000" w:rsidP="00000000" w:rsidRDefault="00000000" w:rsidRPr="00000000" w14:paraId="00000099">
      <w:pPr>
        <w:spacing w:line="360" w:lineRule="auto"/>
        <w:jc w:val="both"/>
        <w:rPr>
          <w:rFonts w:ascii="Times New Roman" w:cs="Times New Roman" w:eastAsia="Times New Roman" w:hAnsi="Times New Roman"/>
          <w:sz w:val="24"/>
          <w:szCs w:val="24"/>
        </w:rPr>
      </w:pPr>
      <w:bookmarkStart w:colFirst="0" w:colLast="0" w:name="_heading=h.2et92p0" w:id="4"/>
      <w:bookmarkEnd w:id="4"/>
      <w:r w:rsidDel="00000000" w:rsidR="00000000" w:rsidRPr="00000000">
        <w:rPr>
          <w:rFonts w:ascii="Times New Roman" w:cs="Times New Roman" w:eastAsia="Times New Roman" w:hAnsi="Times New Roman"/>
          <w:sz w:val="24"/>
          <w:szCs w:val="24"/>
          <w:rtl w:val="0"/>
        </w:rPr>
        <w:t xml:space="preserve">Results from the study obtained from the cabbage sample (control) before treatment of the acetic acid is 1.86x10⁶ cfu/g. Cenci-Goga</w:t>
      </w:r>
      <w:r w:rsidDel="00000000" w:rsidR="00000000" w:rsidRPr="00000000">
        <w:rPr>
          <w:rFonts w:ascii="Times New Roman" w:cs="Times New Roman" w:eastAsia="Times New Roman" w:hAnsi="Times New Roman"/>
          <w:i w:val="1"/>
          <w:sz w:val="24"/>
          <w:szCs w:val="24"/>
          <w:rtl w:val="0"/>
        </w:rPr>
        <w:t xml:space="preserve"> et al.</w:t>
      </w:r>
      <w:r w:rsidDel="00000000" w:rsidR="00000000" w:rsidRPr="00000000">
        <w:rPr>
          <w:rFonts w:ascii="Times New Roman" w:cs="Times New Roman" w:eastAsia="Times New Roman" w:hAnsi="Times New Roman"/>
          <w:sz w:val="24"/>
          <w:szCs w:val="24"/>
          <w:rtl w:val="0"/>
        </w:rPr>
        <w:t xml:space="preserve">, (2005) reported that the total heterotrophic bacteria counts was a good indicator of food safety. Results from the study showed that the cabbage treated with acetic acid of 0.5%, 1.5%, 2.5%,3.5%,4.5% and 5.5% concentrations ranging from1.05 x 10</w:t>
      </w:r>
      <w:r w:rsidDel="00000000" w:rsidR="00000000" w:rsidRPr="00000000">
        <w:rPr>
          <w:rFonts w:ascii="Cambria Math" w:cs="Cambria Math" w:eastAsia="Cambria Math" w:hAnsi="Cambria Math"/>
          <w:sz w:val="24"/>
          <w:szCs w:val="24"/>
          <w:rtl w:val="0"/>
        </w:rPr>
        <w:t xml:space="preserve">⁵</w:t>
      </w:r>
      <w:r w:rsidDel="00000000" w:rsidR="00000000" w:rsidRPr="00000000">
        <w:rPr>
          <w:rFonts w:ascii="Times New Roman" w:cs="Times New Roman" w:eastAsia="Times New Roman" w:hAnsi="Times New Roman"/>
          <w:sz w:val="24"/>
          <w:szCs w:val="24"/>
          <w:rtl w:val="0"/>
        </w:rPr>
        <w:t xml:space="preserve"> cfu/g to  2.75x10⁵ cfu/g  for 10 minutes duration for each treatment. The growth decreases as the concentrations increases. This was similar to the findings of Bukola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(2022) on Microbial profile of cabbage (</w:t>
      </w:r>
      <w:r w:rsidDel="00000000" w:rsidR="00000000" w:rsidRPr="00000000">
        <w:rPr>
          <w:rFonts w:ascii="Times New Roman" w:cs="Times New Roman" w:eastAsia="Times New Roman" w:hAnsi="Times New Roman"/>
          <w:i w:val="1"/>
          <w:sz w:val="24"/>
          <w:szCs w:val="24"/>
          <w:rtl w:val="0"/>
        </w:rPr>
        <w:t xml:space="preserve">Brassica oleraceae</w:t>
      </w:r>
      <w:r w:rsidDel="00000000" w:rsidR="00000000" w:rsidRPr="00000000">
        <w:rPr>
          <w:rFonts w:ascii="Times New Roman" w:cs="Times New Roman" w:eastAsia="Times New Roman" w:hAnsi="Times New Roman"/>
          <w:sz w:val="24"/>
          <w:szCs w:val="24"/>
          <w:rtl w:val="0"/>
        </w:rPr>
        <w:t xml:space="preserve">) sold in markets within Ibadan metropolis. The increase in the concentration of acetic acid (vinegar) with exposure time has great influence on microbial load, similar to the study of  Tran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The highest reduction rate was observed in 5.5% acetic acid for 10minutes. Staphylococcus count decreases as the concentrations of acetic acid increases. The Staphylococcus count ranging from to 1.15 x 10³cfu/g  to 2.08 x 10⁴cfu/g. The Staphylococcus count of the untreated cabbage (control) was 1.55 x10⁴ cfu/g.</w:t>
      </w:r>
    </w:p>
    <w:p w:rsidR="00000000" w:rsidDel="00000000" w:rsidP="00000000" w:rsidRDefault="00000000" w:rsidRPr="00000000" w14:paraId="000000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Escherichia .coli</w:t>
      </w:r>
      <w:r w:rsidDel="00000000" w:rsidR="00000000" w:rsidRPr="00000000">
        <w:rPr>
          <w:rFonts w:ascii="Times New Roman" w:cs="Times New Roman" w:eastAsia="Times New Roman" w:hAnsi="Times New Roman"/>
          <w:sz w:val="24"/>
          <w:szCs w:val="24"/>
          <w:rtl w:val="0"/>
        </w:rPr>
        <w:t xml:space="preserve"> count obtained from the cabbage without treatment (control) were 4.5x10⁵ cfu/g. The treated cabbage E.coli count ranging 2.5x10²cfu/g  to 4x10³cfu/g. The detection of </w:t>
      </w:r>
      <w:r w:rsidDel="00000000" w:rsidR="00000000" w:rsidRPr="00000000">
        <w:rPr>
          <w:rFonts w:ascii="Times New Roman" w:cs="Times New Roman" w:eastAsia="Times New Roman" w:hAnsi="Times New Roman"/>
          <w:i w:val="1"/>
          <w:sz w:val="24"/>
          <w:szCs w:val="24"/>
          <w:rtl w:val="0"/>
        </w:rPr>
        <w:t xml:space="preserve">Escherichia coli</w:t>
      </w:r>
      <w:r w:rsidDel="00000000" w:rsidR="00000000" w:rsidRPr="00000000">
        <w:rPr>
          <w:rFonts w:ascii="Times New Roman" w:cs="Times New Roman" w:eastAsia="Times New Roman" w:hAnsi="Times New Roman"/>
          <w:sz w:val="24"/>
          <w:szCs w:val="24"/>
          <w:rtl w:val="0"/>
        </w:rPr>
        <w:t xml:space="preserve"> in the study indicates poor hygiene standard in the handling of the cabbage or it could be from contamination during harvest (Mohammed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 Presence of </w:t>
      </w:r>
      <w:r w:rsidDel="00000000" w:rsidR="00000000" w:rsidRPr="00000000">
        <w:rPr>
          <w:rFonts w:ascii="Times New Roman" w:cs="Times New Roman" w:eastAsia="Times New Roman" w:hAnsi="Times New Roman"/>
          <w:i w:val="1"/>
          <w:sz w:val="24"/>
          <w:szCs w:val="24"/>
          <w:rtl w:val="0"/>
        </w:rPr>
        <w:t xml:space="preserve">Escherichia coli</w:t>
      </w:r>
      <w:r w:rsidDel="00000000" w:rsidR="00000000" w:rsidRPr="00000000">
        <w:rPr>
          <w:rFonts w:ascii="Times New Roman" w:cs="Times New Roman" w:eastAsia="Times New Roman" w:hAnsi="Times New Roman"/>
          <w:sz w:val="24"/>
          <w:szCs w:val="24"/>
          <w:rtl w:val="0"/>
        </w:rPr>
        <w:t xml:space="preserve"> indicate recent contamination by faecal matter and possible presence of other enteric pathogens known to be causative agent of food borne gastroenteritis and bacterial diarrhea diseases (Adebayo-Tayo</w:t>
      </w:r>
      <w:r w:rsidDel="00000000" w:rsidR="00000000" w:rsidRPr="00000000">
        <w:rPr>
          <w:rFonts w:ascii="Times New Roman" w:cs="Times New Roman" w:eastAsia="Times New Roman" w:hAnsi="Times New Roman"/>
          <w:i w:val="1"/>
          <w:sz w:val="24"/>
          <w:szCs w:val="24"/>
          <w:rtl w:val="0"/>
        </w:rPr>
        <w:t xml:space="preserve"> et al</w:t>
      </w:r>
      <w:r w:rsidDel="00000000" w:rsidR="00000000" w:rsidRPr="00000000">
        <w:rPr>
          <w:rFonts w:ascii="Times New Roman" w:cs="Times New Roman" w:eastAsia="Times New Roman" w:hAnsi="Times New Roman"/>
          <w:sz w:val="24"/>
          <w:szCs w:val="24"/>
          <w:rtl w:val="0"/>
        </w:rPr>
        <w:t xml:space="preserve">. 2012).</w:t>
      </w:r>
    </w:p>
    <w:p w:rsidR="00000000" w:rsidDel="00000000" w:rsidP="00000000" w:rsidRDefault="00000000" w:rsidRPr="00000000" w14:paraId="000000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fungal load was observed to be higher in control sample having 6.5x10³cfu/g followed by 5.4x10³cfu/g of 0.5%, 4.4x10³cfu/g of 1.5% of acetic acid and the lowest count was recorded in the 5.5% acetic acid treated cabbage was 2.3 x10</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cfu/g. The counts exceeded the recommended World Health Organization (WHO, 1996) and International Commission on Microbiological Specifications for Food (ICMSF, 1998) standards of 10</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CFU/g (for example, Log10 3.0 CFU/g) especially counts obtained from lower concentration of acetic acid. This may be due to the common agricultural practice of using microorganism-contaminated water to irrigate fields for vegetable production. It has also been reported when inappropriate mixed fertilizer is used to fertilize the farm field, which promotes microbial contamination of the produced vegetables, as shown by other studies (Taban and Halkman, 2011; Adjrah et al 2013, Mohammad 2022) at production levels, i.e. during cultivation, irrigation, harvesting, transportation, storage and processing. Dout et al., (2021). The results and microorganisms obtained in this condition are comparable to other studies where the organism was isolated from cabbage vegetables both in and outside of Nigeria. Balali et al., 2020]. The high microbial count observed in cabbage samples in this study is similar to other studies [11]. The high microbial contamination observed in this study reflects the storage and handling conditions and storage time before sampling. Bacteria and fungi in storage materials can transfer to stored products and cause cross-contamination of products stored together.The microbial quality comparison between acetic acid treated and untreated cabbage  showed a significant reduction in the overall microbial load, particularly in the treated samples. Acetic acid, being a common food preservative and disinfectant, is expected to have a negative impact on the growth and survival of various microorganisms, including bacteria, yeast, and mold. In general, the treated cabbage samples  exhibit a lower total viable count (TVC), fewer coliforms and E. coli, reduced yeast and mold counts. The  results may vary depending on factors such as the concentration of acetic acid used, the duration of treatment, and the initial microbial quality of the cabbage. Therefore, it is crucial to compare the results with the control (untreated cabbage) and ensure that the acetic acid treatment effectively improves the microbial quality of the cabbage while maintaining its overall safety and quality for consumption.</w:t>
      </w:r>
      <w:r w:rsidDel="00000000" w:rsidR="00000000" w:rsidRPr="00000000">
        <w:rPr>
          <w:rFonts w:ascii="Inter" w:cs="Inter" w:eastAsia="Inter" w:hAnsi="Inter"/>
          <w:color w:val="131314"/>
          <w:sz w:val="21"/>
          <w:szCs w:val="21"/>
          <w:highlight w:val="white"/>
          <w:rtl w:val="0"/>
        </w:rPr>
        <w:t xml:space="preserve"> U</w:t>
      </w:r>
      <w:r w:rsidDel="00000000" w:rsidR="00000000" w:rsidRPr="00000000">
        <w:rPr>
          <w:rFonts w:ascii="Times New Roman" w:cs="Times New Roman" w:eastAsia="Times New Roman" w:hAnsi="Times New Roman"/>
          <w:sz w:val="24"/>
          <w:szCs w:val="24"/>
          <w:rtl w:val="0"/>
        </w:rPr>
        <w:t xml:space="preserve">ntreated vegetable harboured microorganisms above recommended and acceptable standard for ready-to-eat vegetables. The reduction of level of contamination achieved with treatment with vinegar  suggests that these vegetables be washed in these solutions prior to preparation to ensure safety of consumers.</w:t>
      </w:r>
    </w:p>
    <w:p w:rsidR="00000000" w:rsidDel="00000000" w:rsidP="00000000" w:rsidRDefault="00000000" w:rsidRPr="00000000" w14:paraId="0000009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Microbiological and biochemical characterization identified twelve genera of bacteria and fungal species across treated cabbage and the control sample,</w:t>
      </w:r>
      <w:r w:rsidDel="00000000" w:rsidR="00000000" w:rsidRPr="00000000">
        <w:rPr>
          <w:rFonts w:ascii="Times New Roman" w:cs="Times New Roman" w:eastAsia="Times New Roman" w:hAnsi="Times New Roman"/>
          <w:i w:val="1"/>
          <w:sz w:val="24"/>
          <w:szCs w:val="24"/>
          <w:rtl w:val="0"/>
        </w:rPr>
        <w:t xml:space="preserve"> Klebsiella, Pseudomonas, Bacillus, Staphylococcus, Micrococcus, Escherichia coli, Proteus, Fusarium, Saccharomyce, Aspergillus, Mucor</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Rhizopus sp.</w:t>
      </w:r>
      <w:r w:rsidDel="00000000" w:rsidR="00000000" w:rsidRPr="00000000">
        <w:rPr>
          <w:rFonts w:ascii="Times New Roman" w:cs="Times New Roman" w:eastAsia="Times New Roman" w:hAnsi="Times New Roman"/>
          <w:sz w:val="24"/>
          <w:szCs w:val="24"/>
          <w:rtl w:val="0"/>
        </w:rPr>
        <w:t xml:space="preserve"> The frequency of occurrence revealed the </w:t>
      </w:r>
      <w:r w:rsidDel="00000000" w:rsidR="00000000" w:rsidRPr="00000000">
        <w:rPr>
          <w:rFonts w:ascii="Times New Roman" w:cs="Times New Roman" w:eastAsia="Times New Roman" w:hAnsi="Times New Roman"/>
          <w:i w:val="1"/>
          <w:sz w:val="24"/>
          <w:szCs w:val="24"/>
          <w:rtl w:val="0"/>
        </w:rPr>
        <w:t xml:space="preserve">Staphylococcus </w:t>
      </w:r>
      <w:r w:rsidDel="00000000" w:rsidR="00000000" w:rsidRPr="00000000">
        <w:rPr>
          <w:rFonts w:ascii="Times New Roman" w:cs="Times New Roman" w:eastAsia="Times New Roman" w:hAnsi="Times New Roman"/>
          <w:sz w:val="24"/>
          <w:szCs w:val="24"/>
          <w:rtl w:val="0"/>
        </w:rPr>
        <w:t xml:space="preserve">(22%), </w:t>
      </w:r>
      <w:r w:rsidDel="00000000" w:rsidR="00000000" w:rsidRPr="00000000">
        <w:rPr>
          <w:rFonts w:ascii="Times New Roman" w:cs="Times New Roman" w:eastAsia="Times New Roman" w:hAnsi="Times New Roman"/>
          <w:i w:val="1"/>
          <w:sz w:val="24"/>
          <w:szCs w:val="24"/>
          <w:rtl w:val="0"/>
        </w:rPr>
        <w:t xml:space="preserve">E coli</w:t>
      </w:r>
      <w:r w:rsidDel="00000000" w:rsidR="00000000" w:rsidRPr="00000000">
        <w:rPr>
          <w:rFonts w:ascii="Times New Roman" w:cs="Times New Roman" w:eastAsia="Times New Roman" w:hAnsi="Times New Roman"/>
          <w:sz w:val="24"/>
          <w:szCs w:val="24"/>
          <w:rtl w:val="0"/>
        </w:rPr>
        <w:t xml:space="preserve"> (24.3%), </w:t>
      </w:r>
      <w:r w:rsidDel="00000000" w:rsidR="00000000" w:rsidRPr="00000000">
        <w:rPr>
          <w:rFonts w:ascii="Times New Roman" w:cs="Times New Roman" w:eastAsia="Times New Roman" w:hAnsi="Times New Roman"/>
          <w:i w:val="1"/>
          <w:sz w:val="24"/>
          <w:szCs w:val="24"/>
          <w:rtl w:val="0"/>
        </w:rPr>
        <w:t xml:space="preserve">Bacillus</w:t>
      </w:r>
      <w:r w:rsidDel="00000000" w:rsidR="00000000" w:rsidRPr="00000000">
        <w:rPr>
          <w:rFonts w:ascii="Times New Roman" w:cs="Times New Roman" w:eastAsia="Times New Roman" w:hAnsi="Times New Roman"/>
          <w:sz w:val="24"/>
          <w:szCs w:val="24"/>
          <w:rtl w:val="0"/>
        </w:rPr>
        <w:t xml:space="preserve"> (17%),</w:t>
      </w:r>
      <w:r w:rsidDel="00000000" w:rsidR="00000000" w:rsidRPr="00000000">
        <w:rPr>
          <w:rFonts w:ascii="Times New Roman" w:cs="Times New Roman" w:eastAsia="Times New Roman" w:hAnsi="Times New Roman"/>
          <w:i w:val="1"/>
          <w:sz w:val="24"/>
          <w:szCs w:val="24"/>
          <w:rtl w:val="0"/>
        </w:rPr>
        <w:t xml:space="preserve"> Proteus </w:t>
      </w:r>
      <w:r w:rsidDel="00000000" w:rsidR="00000000" w:rsidRPr="00000000">
        <w:rPr>
          <w:rFonts w:ascii="Times New Roman" w:cs="Times New Roman" w:eastAsia="Times New Roman" w:hAnsi="Times New Roman"/>
          <w:sz w:val="24"/>
          <w:szCs w:val="24"/>
          <w:rtl w:val="0"/>
        </w:rPr>
        <w:t xml:space="preserve">(10%) </w:t>
      </w:r>
      <w:r w:rsidDel="00000000" w:rsidR="00000000" w:rsidRPr="00000000">
        <w:rPr>
          <w:rFonts w:ascii="Times New Roman" w:cs="Times New Roman" w:eastAsia="Times New Roman" w:hAnsi="Times New Roman"/>
          <w:i w:val="1"/>
          <w:sz w:val="24"/>
          <w:szCs w:val="24"/>
          <w:rtl w:val="0"/>
        </w:rPr>
        <w:t xml:space="preserve">Micrococcus</w:t>
      </w:r>
      <w:r w:rsidDel="00000000" w:rsidR="00000000" w:rsidRPr="00000000">
        <w:rPr>
          <w:rFonts w:ascii="Times New Roman" w:cs="Times New Roman" w:eastAsia="Times New Roman" w:hAnsi="Times New Roman"/>
          <w:sz w:val="24"/>
          <w:szCs w:val="24"/>
          <w:rtl w:val="0"/>
        </w:rPr>
        <w:t xml:space="preserve"> (10%), </w:t>
      </w:r>
      <w:r w:rsidDel="00000000" w:rsidR="00000000" w:rsidRPr="00000000">
        <w:rPr>
          <w:rFonts w:ascii="Times New Roman" w:cs="Times New Roman" w:eastAsia="Times New Roman" w:hAnsi="Times New Roman"/>
          <w:i w:val="1"/>
          <w:sz w:val="24"/>
          <w:szCs w:val="24"/>
          <w:rtl w:val="0"/>
        </w:rPr>
        <w:t xml:space="preserve">Pseudomonas</w:t>
      </w:r>
      <w:r w:rsidDel="00000000" w:rsidR="00000000" w:rsidRPr="00000000">
        <w:rPr>
          <w:rFonts w:ascii="Times New Roman" w:cs="Times New Roman" w:eastAsia="Times New Roman" w:hAnsi="Times New Roman"/>
          <w:sz w:val="24"/>
          <w:szCs w:val="24"/>
          <w:rtl w:val="0"/>
        </w:rPr>
        <w:t xml:space="preserve"> (12%), </w:t>
      </w:r>
      <w:r w:rsidDel="00000000" w:rsidR="00000000" w:rsidRPr="00000000">
        <w:rPr>
          <w:rFonts w:ascii="Times New Roman" w:cs="Times New Roman" w:eastAsia="Times New Roman" w:hAnsi="Times New Roman"/>
          <w:i w:val="1"/>
          <w:sz w:val="24"/>
          <w:szCs w:val="24"/>
          <w:rtl w:val="0"/>
        </w:rPr>
        <w:t xml:space="preserve">Klebsiella</w:t>
      </w:r>
      <w:r w:rsidDel="00000000" w:rsidR="00000000" w:rsidRPr="00000000">
        <w:rPr>
          <w:rFonts w:ascii="Times New Roman" w:cs="Times New Roman" w:eastAsia="Times New Roman" w:hAnsi="Times New Roman"/>
          <w:sz w:val="24"/>
          <w:szCs w:val="24"/>
          <w:rtl w:val="0"/>
        </w:rPr>
        <w:t xml:space="preserve"> (5%),</w:t>
      </w:r>
      <w:r w:rsidDel="00000000" w:rsidR="00000000" w:rsidRPr="00000000">
        <w:rPr>
          <w:rFonts w:ascii="Times New Roman" w:cs="Times New Roman" w:eastAsia="Times New Roman" w:hAnsi="Times New Roman"/>
          <w:i w:val="1"/>
          <w:sz w:val="24"/>
          <w:szCs w:val="24"/>
          <w:rtl w:val="0"/>
        </w:rPr>
        <w:t xml:space="preserve"> Mucor</w:t>
      </w:r>
      <w:r w:rsidDel="00000000" w:rsidR="00000000" w:rsidRPr="00000000">
        <w:rPr>
          <w:rFonts w:ascii="Times New Roman" w:cs="Times New Roman" w:eastAsia="Times New Roman" w:hAnsi="Times New Roman"/>
          <w:sz w:val="24"/>
          <w:szCs w:val="24"/>
          <w:rtl w:val="0"/>
        </w:rPr>
        <w:t xml:space="preserve"> (11.8%), </w:t>
      </w:r>
      <w:r w:rsidDel="00000000" w:rsidR="00000000" w:rsidRPr="00000000">
        <w:rPr>
          <w:rFonts w:ascii="Times New Roman" w:cs="Times New Roman" w:eastAsia="Times New Roman" w:hAnsi="Times New Roman"/>
          <w:i w:val="1"/>
          <w:sz w:val="24"/>
          <w:szCs w:val="24"/>
          <w:rtl w:val="0"/>
        </w:rPr>
        <w:t xml:space="preserve">Aspergillus sp</w:t>
      </w:r>
      <w:r w:rsidDel="00000000" w:rsidR="00000000" w:rsidRPr="00000000">
        <w:rPr>
          <w:rFonts w:ascii="Times New Roman" w:cs="Times New Roman" w:eastAsia="Times New Roman" w:hAnsi="Times New Roman"/>
          <w:sz w:val="24"/>
          <w:szCs w:val="24"/>
          <w:rtl w:val="0"/>
        </w:rPr>
        <w:t xml:space="preserve">. (41.2%), </w:t>
      </w:r>
      <w:r w:rsidDel="00000000" w:rsidR="00000000" w:rsidRPr="00000000">
        <w:rPr>
          <w:rFonts w:ascii="Times New Roman" w:cs="Times New Roman" w:eastAsia="Times New Roman" w:hAnsi="Times New Roman"/>
          <w:i w:val="1"/>
          <w:sz w:val="24"/>
          <w:szCs w:val="24"/>
          <w:rtl w:val="0"/>
        </w:rPr>
        <w:t xml:space="preserve">Saccharomyce</w:t>
      </w:r>
      <w:r w:rsidDel="00000000" w:rsidR="00000000" w:rsidRPr="00000000">
        <w:rPr>
          <w:rFonts w:ascii="Times New Roman" w:cs="Times New Roman" w:eastAsia="Times New Roman" w:hAnsi="Times New Roman"/>
          <w:sz w:val="24"/>
          <w:szCs w:val="24"/>
          <w:rtl w:val="0"/>
        </w:rPr>
        <w:t xml:space="preserve"> (29.4%), </w:t>
      </w:r>
      <w:r w:rsidDel="00000000" w:rsidR="00000000" w:rsidRPr="00000000">
        <w:rPr>
          <w:rFonts w:ascii="Times New Roman" w:cs="Times New Roman" w:eastAsia="Times New Roman" w:hAnsi="Times New Roman"/>
          <w:i w:val="1"/>
          <w:sz w:val="24"/>
          <w:szCs w:val="24"/>
          <w:rtl w:val="0"/>
        </w:rPr>
        <w:t xml:space="preserve">Fusarium</w:t>
      </w:r>
      <w:r w:rsidDel="00000000" w:rsidR="00000000" w:rsidRPr="00000000">
        <w:rPr>
          <w:rFonts w:ascii="Times New Roman" w:cs="Times New Roman" w:eastAsia="Times New Roman" w:hAnsi="Times New Roman"/>
          <w:sz w:val="24"/>
          <w:szCs w:val="24"/>
          <w:rtl w:val="0"/>
        </w:rPr>
        <w:t xml:space="preserve">(11.8%) and </w:t>
      </w:r>
      <w:r w:rsidDel="00000000" w:rsidR="00000000" w:rsidRPr="00000000">
        <w:rPr>
          <w:rFonts w:ascii="Times New Roman" w:cs="Times New Roman" w:eastAsia="Times New Roman" w:hAnsi="Times New Roman"/>
          <w:i w:val="1"/>
          <w:sz w:val="24"/>
          <w:szCs w:val="24"/>
          <w:rtl w:val="0"/>
        </w:rPr>
        <w:t xml:space="preserve">Rhizopus</w:t>
      </w: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i w:val="1"/>
          <w:sz w:val="24"/>
          <w:szCs w:val="24"/>
          <w:rtl w:val="0"/>
        </w:rPr>
        <w:t xml:space="preserve">Escherichia sp.</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Aspergillus sp</w:t>
      </w:r>
      <w:r w:rsidDel="00000000" w:rsidR="00000000" w:rsidRPr="00000000">
        <w:rPr>
          <w:rFonts w:ascii="Times New Roman" w:cs="Times New Roman" w:eastAsia="Times New Roman" w:hAnsi="Times New Roman"/>
          <w:sz w:val="24"/>
          <w:szCs w:val="24"/>
          <w:rtl w:val="0"/>
        </w:rPr>
        <w:t xml:space="preserve">. been the most predominant bacteria and fungi genera isolated. These listed organisms are known to cause severe public health implications and health related issues which can lead to severe gastrointestinal illnesses, including diarrhea and vomiting. In some cases, they can lead to life-threatening conditions such as hemolytic uremic syndrome. </w:t>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Aminu &amp; Ali (2017) and Bukola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(2022) isolated</w:t>
      </w:r>
      <w:r w:rsidDel="00000000" w:rsidR="00000000" w:rsidRPr="00000000">
        <w:rPr>
          <w:rFonts w:ascii="Times New Roman" w:cs="Times New Roman" w:eastAsia="Times New Roman" w:hAnsi="Times New Roman"/>
          <w:i w:val="1"/>
          <w:sz w:val="24"/>
          <w:szCs w:val="24"/>
          <w:rtl w:val="0"/>
        </w:rPr>
        <w:t xml:space="preserve"> Escherichia coli, Bacillus sp., Staphylococcus </w:t>
      </w:r>
      <w:r w:rsidDel="00000000" w:rsidR="00000000" w:rsidRPr="00000000">
        <w:rPr>
          <w:rFonts w:ascii="Times New Roman" w:cs="Times New Roman" w:eastAsia="Times New Roman" w:hAnsi="Times New Roman"/>
          <w:sz w:val="24"/>
          <w:szCs w:val="24"/>
          <w:rtl w:val="0"/>
        </w:rPr>
        <w:t xml:space="preserve">spp.,</w:t>
      </w:r>
      <w:r w:rsidDel="00000000" w:rsidR="00000000" w:rsidRPr="00000000">
        <w:rPr>
          <w:rFonts w:ascii="Times New Roman" w:cs="Times New Roman" w:eastAsia="Times New Roman" w:hAnsi="Times New Roman"/>
          <w:i w:val="1"/>
          <w:sz w:val="24"/>
          <w:szCs w:val="24"/>
          <w:rtl w:val="0"/>
        </w:rPr>
        <w:t xml:space="preserve"> Micrococcus </w:t>
      </w:r>
      <w:r w:rsidDel="00000000" w:rsidR="00000000" w:rsidRPr="00000000">
        <w:rPr>
          <w:rFonts w:ascii="Times New Roman" w:cs="Times New Roman" w:eastAsia="Times New Roman" w:hAnsi="Times New Roman"/>
          <w:sz w:val="24"/>
          <w:szCs w:val="24"/>
          <w:rtl w:val="0"/>
        </w:rPr>
        <w:t xml:space="preserve">spp</w:t>
      </w:r>
      <w:r w:rsidDel="00000000" w:rsidR="00000000" w:rsidRPr="00000000">
        <w:rPr>
          <w:rFonts w:ascii="Times New Roman" w:cs="Times New Roman" w:eastAsia="Times New Roman" w:hAnsi="Times New Roman"/>
          <w:i w:val="1"/>
          <w:sz w:val="24"/>
          <w:szCs w:val="24"/>
          <w:rtl w:val="0"/>
        </w:rPr>
        <w:t xml:space="preserve">., Pseudomonas spp.,</w:t>
      </w:r>
      <w:r w:rsidDel="00000000" w:rsidR="00000000" w:rsidRPr="00000000">
        <w:rPr>
          <w:rFonts w:ascii="Times New Roman" w:cs="Times New Roman" w:eastAsia="Times New Roman" w:hAnsi="Times New Roman"/>
          <w:sz w:val="24"/>
          <w:szCs w:val="24"/>
          <w:rtl w:val="0"/>
        </w:rPr>
        <w:t xml:space="preserve"> in their study. The microorganisms found align with findings from studies on cabbage, both within and outside Nigeria (Balali</w:t>
      </w:r>
      <w:r w:rsidDel="00000000" w:rsidR="00000000" w:rsidRPr="00000000">
        <w:rPr>
          <w:rFonts w:ascii="Times New Roman" w:cs="Times New Roman" w:eastAsia="Times New Roman" w:hAnsi="Times New Roman"/>
          <w:i w:val="1"/>
          <w:sz w:val="24"/>
          <w:szCs w:val="24"/>
          <w:rtl w:val="0"/>
        </w:rPr>
        <w:t xml:space="preserve"> et al., </w:t>
      </w:r>
      <w:r w:rsidDel="00000000" w:rsidR="00000000" w:rsidRPr="00000000">
        <w:rPr>
          <w:rFonts w:ascii="Times New Roman" w:cs="Times New Roman" w:eastAsia="Times New Roman" w:hAnsi="Times New Roman"/>
          <w:sz w:val="24"/>
          <w:szCs w:val="24"/>
          <w:rtl w:val="0"/>
        </w:rPr>
        <w:t xml:space="preserve">2020). The presence of </w:t>
      </w:r>
      <w:r w:rsidDel="00000000" w:rsidR="00000000" w:rsidRPr="00000000">
        <w:rPr>
          <w:rFonts w:ascii="Times New Roman" w:cs="Times New Roman" w:eastAsia="Times New Roman" w:hAnsi="Times New Roman"/>
          <w:i w:val="1"/>
          <w:sz w:val="24"/>
          <w:szCs w:val="24"/>
          <w:rtl w:val="0"/>
        </w:rPr>
        <w:t xml:space="preserve">Staphylococcus </w:t>
      </w:r>
      <w:r w:rsidDel="00000000" w:rsidR="00000000" w:rsidRPr="00000000">
        <w:rPr>
          <w:rFonts w:ascii="Times New Roman" w:cs="Times New Roman" w:eastAsia="Times New Roman" w:hAnsi="Times New Roman"/>
          <w:sz w:val="24"/>
          <w:szCs w:val="24"/>
          <w:rtl w:val="0"/>
        </w:rPr>
        <w:t xml:space="preserve">spp.,</w:t>
      </w:r>
      <w:r w:rsidDel="00000000" w:rsidR="00000000" w:rsidRPr="00000000">
        <w:rPr>
          <w:rFonts w:ascii="Times New Roman" w:cs="Times New Roman" w:eastAsia="Times New Roman" w:hAnsi="Times New Roman"/>
          <w:i w:val="1"/>
          <w:sz w:val="24"/>
          <w:szCs w:val="24"/>
          <w:rtl w:val="0"/>
        </w:rPr>
        <w:t xml:space="preserve"> Pseudomonas </w:t>
      </w:r>
      <w:r w:rsidDel="00000000" w:rsidR="00000000" w:rsidRPr="00000000">
        <w:rPr>
          <w:rFonts w:ascii="Times New Roman" w:cs="Times New Roman" w:eastAsia="Times New Roman" w:hAnsi="Times New Roman"/>
          <w:sz w:val="24"/>
          <w:szCs w:val="24"/>
          <w:rtl w:val="0"/>
        </w:rPr>
        <w:t xml:space="preserve">spp</w:t>
      </w:r>
      <w:r w:rsidDel="00000000" w:rsidR="00000000" w:rsidRPr="00000000">
        <w:rPr>
          <w:rFonts w:ascii="Times New Roman" w:cs="Times New Roman" w:eastAsia="Times New Roman" w:hAnsi="Times New Roman"/>
          <w:i w:val="1"/>
          <w:sz w:val="24"/>
          <w:szCs w:val="24"/>
          <w:rtl w:val="0"/>
        </w:rPr>
        <w:t xml:space="preserve">., Bacillus </w:t>
      </w:r>
      <w:r w:rsidDel="00000000" w:rsidR="00000000" w:rsidRPr="00000000">
        <w:rPr>
          <w:rFonts w:ascii="Times New Roman" w:cs="Times New Roman" w:eastAsia="Times New Roman" w:hAnsi="Times New Roman"/>
          <w:sz w:val="24"/>
          <w:szCs w:val="24"/>
          <w:rtl w:val="0"/>
        </w:rPr>
        <w:t xml:space="preserve">spp</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are natural flora among most common vegetable bacteria while </w:t>
      </w:r>
      <w:r w:rsidDel="00000000" w:rsidR="00000000" w:rsidRPr="00000000">
        <w:rPr>
          <w:rFonts w:ascii="Times New Roman" w:cs="Times New Roman" w:eastAsia="Times New Roman" w:hAnsi="Times New Roman"/>
          <w:i w:val="1"/>
          <w:sz w:val="24"/>
          <w:szCs w:val="24"/>
          <w:rtl w:val="0"/>
        </w:rPr>
        <w:t xml:space="preserve">Aspergillus </w:t>
      </w:r>
      <w:r w:rsidDel="00000000" w:rsidR="00000000" w:rsidRPr="00000000">
        <w:rPr>
          <w:rFonts w:ascii="Times New Roman" w:cs="Times New Roman" w:eastAsia="Times New Roman" w:hAnsi="Times New Roman"/>
          <w:sz w:val="24"/>
          <w:szCs w:val="24"/>
          <w:rtl w:val="0"/>
        </w:rPr>
        <w:t xml:space="preserve">spp.,</w:t>
      </w:r>
      <w:r w:rsidDel="00000000" w:rsidR="00000000" w:rsidRPr="00000000">
        <w:rPr>
          <w:rFonts w:ascii="Times New Roman" w:cs="Times New Roman" w:eastAsia="Times New Roman" w:hAnsi="Times New Roman"/>
          <w:i w:val="1"/>
          <w:sz w:val="24"/>
          <w:szCs w:val="24"/>
          <w:rtl w:val="0"/>
        </w:rPr>
        <w:t xml:space="preserve"> Fusarium </w:t>
      </w:r>
      <w:r w:rsidDel="00000000" w:rsidR="00000000" w:rsidRPr="00000000">
        <w:rPr>
          <w:rFonts w:ascii="Times New Roman" w:cs="Times New Roman" w:eastAsia="Times New Roman" w:hAnsi="Times New Roman"/>
          <w:sz w:val="24"/>
          <w:szCs w:val="24"/>
          <w:rtl w:val="0"/>
        </w:rPr>
        <w:t xml:space="preserve">spp. and </w:t>
      </w:r>
      <w:r w:rsidDel="00000000" w:rsidR="00000000" w:rsidRPr="00000000">
        <w:rPr>
          <w:rFonts w:ascii="Times New Roman" w:cs="Times New Roman" w:eastAsia="Times New Roman" w:hAnsi="Times New Roman"/>
          <w:i w:val="1"/>
          <w:sz w:val="24"/>
          <w:szCs w:val="24"/>
          <w:rtl w:val="0"/>
        </w:rPr>
        <w:t xml:space="preserve">Rhizopus</w:t>
      </w:r>
      <w:r w:rsidDel="00000000" w:rsidR="00000000" w:rsidRPr="00000000">
        <w:rPr>
          <w:rFonts w:ascii="Times New Roman" w:cs="Times New Roman" w:eastAsia="Times New Roman" w:hAnsi="Times New Roman"/>
          <w:sz w:val="24"/>
          <w:szCs w:val="24"/>
          <w:rtl w:val="0"/>
        </w:rPr>
        <w:t xml:space="preserve"> spp., are soil contaminant that contaminate vegetables. The presence of these organisms is of public health concern and are capable of causing food-borne illnesses. The reduction in microbial count and alteration in microbial composition observed in the acetic acid-treated cabbage group indicate that acetic acid treatment can effectively inhibit bacterial growth and extend the shelf life of cabbage. This is in line with previous studies that have demonstrated the antimicrobial properties of acetic acid against various foodborne pathogens. Kaczmarek et al., (2019).The study noted that increasing acetic acid concentration over time reduced microbial populations in cabbage, as bacteria tend not to survive in acidic environment. Chen &amp; Kan, (2021) Atter et al., (2023) Acetic acid treatment significantly reduced the overall microbial count and altered the microbial composition, suggesting improved preservation and reduced spoilage potential. The effectiveness of this method relies on various factors such as treatment type, target organism characteristics, produce surface qualities, exposure time, cleaner or sanitizer concentration, pH, and temperature (Kaczmarek et al., 2019) .</w:t>
      </w:r>
    </w:p>
    <w:p w:rsidR="00000000" w:rsidDel="00000000" w:rsidP="00000000" w:rsidRDefault="00000000" w:rsidRPr="00000000" w14:paraId="0000009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Proximate Composition of Treated and Untreated Cabbage </w:t>
      </w:r>
    </w:p>
    <w:p w:rsidR="00000000" w:rsidDel="00000000" w:rsidP="00000000" w:rsidRDefault="00000000" w:rsidRPr="00000000" w14:paraId="0000009F">
      <w:pPr>
        <w:spacing w:line="360" w:lineRule="auto"/>
        <w:jc w:val="both"/>
        <w:rPr>
          <w:rFonts w:ascii="Times New Roman" w:cs="Times New Roman" w:eastAsia="Times New Roman" w:hAnsi="Times New Roman"/>
          <w:b w:val="1"/>
          <w:sz w:val="24"/>
          <w:szCs w:val="24"/>
        </w:rPr>
      </w:pPr>
      <w:bookmarkStart w:colFirst="0" w:colLast="0" w:name="_heading=h.tyjcwt" w:id="5"/>
      <w:bookmarkEnd w:id="5"/>
      <w:r w:rsidDel="00000000" w:rsidR="00000000" w:rsidRPr="00000000">
        <w:rPr>
          <w:rFonts w:ascii="Times New Roman" w:cs="Times New Roman" w:eastAsia="Times New Roman" w:hAnsi="Times New Roman"/>
          <w:sz w:val="24"/>
          <w:szCs w:val="24"/>
          <w:rtl w:val="0"/>
        </w:rPr>
        <w:t xml:space="preserve">The proximate composition of cabbage of treated and untreated (control) and the cabbage treated with acetic acid studied showed that the carbohydrates (5.420%) is slightly higher in untreated cabbage than the treated cabbage (5.409%). The lipid content is higher in treated (1.272%) compared to the untreated cabbage (0.861%). The Ash content of the untreated (0.323%) and the Ash content of treated were 0.423%. The moisture content was higher in the untreated cabbage (88.424%) compare to the treated cabbage (86.661%). The protein was (2.551%) which lower than the treated (4.682%) and the fibre content of the untreated were 2.351% which is slightly lower than (2.553%) of the treated cabbage sample. The current results are lower values compared  to  Faiza</w:t>
      </w:r>
      <w:r w:rsidDel="00000000" w:rsidR="00000000" w:rsidRPr="00000000">
        <w:rPr>
          <w:rFonts w:ascii="Times New Roman" w:cs="Times New Roman" w:eastAsia="Times New Roman" w:hAnsi="Times New Roman"/>
          <w:i w:val="1"/>
          <w:sz w:val="24"/>
          <w:szCs w:val="24"/>
          <w:rtl w:val="0"/>
        </w:rPr>
        <w:t xml:space="preserve"> et al.</w:t>
      </w:r>
      <w:r w:rsidDel="00000000" w:rsidR="00000000" w:rsidRPr="00000000">
        <w:rPr>
          <w:rFonts w:ascii="Times New Roman" w:cs="Times New Roman" w:eastAsia="Times New Roman" w:hAnsi="Times New Roman"/>
          <w:sz w:val="24"/>
          <w:szCs w:val="24"/>
          <w:rtl w:val="0"/>
        </w:rPr>
        <w:t xml:space="preserve">, 2018, who measured crude fiber, carbohydrate, fat, protein, ash  in  cabbage,  21.64%, 62-%, 0.52%, 14.3%, 5.82% respectively. Using a higher concentration of acetic acid on cabbage, particularly in pickling or marinating, can alter the taste and texture of the cabbage, but it typically doesn't significantly affect the proximate composition (nutrient content) of the cabbage itself.</w:t>
      </w:r>
      <w:r w:rsidDel="00000000" w:rsidR="00000000" w:rsidRPr="00000000">
        <w:rPr>
          <w:rFonts w:ascii="Roboto" w:cs="Roboto" w:eastAsia="Roboto" w:hAnsi="Roboto"/>
          <w:color w:val="ffffff"/>
          <w:sz w:val="27"/>
          <w:szCs w:val="27"/>
          <w:shd w:fill="1a1a1a" w:val="clear"/>
          <w:rtl w:val="0"/>
        </w:rPr>
        <w:t xml:space="preserve"> </w:t>
      </w:r>
      <w:r w:rsidDel="00000000" w:rsidR="00000000" w:rsidRPr="00000000">
        <w:rPr>
          <w:rFonts w:ascii="Times New Roman" w:cs="Times New Roman" w:eastAsia="Times New Roman" w:hAnsi="Times New Roman"/>
          <w:sz w:val="24"/>
          <w:szCs w:val="24"/>
          <w:rtl w:val="0"/>
        </w:rPr>
        <w:t xml:space="preserve">proximate analysis revealed no significant changes in moisture, protein, fat, ash, and fiber content between control and treatment groups.The absence of significant changes in proximate analysis suggests that the acetic acid treatment does not significantly affect the nutritional value of cabbage. This is consistent with a study by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Faiza et al.,(2018</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 ), which found that acetic acid treatment did not cause significant changes in the proximate composition of cabbage.</w:t>
      </w:r>
      <w:r w:rsidDel="00000000" w:rsidR="00000000" w:rsidRPr="00000000">
        <w:rPr>
          <w:rtl w:val="0"/>
        </w:rPr>
      </w:r>
    </w:p>
    <w:p w:rsidR="00000000" w:rsidDel="00000000" w:rsidP="00000000" w:rsidRDefault="00000000" w:rsidRPr="00000000" w14:paraId="000000A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Conclusion </w:t>
      </w:r>
    </w:p>
    <w:p w:rsidR="00000000" w:rsidDel="00000000" w:rsidP="00000000" w:rsidRDefault="00000000" w:rsidRPr="00000000" w14:paraId="000000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application of acetic acid on cabbage exhibits a notable impact on microbial load, predominantly targeting bacteria while displaying limited effectiveness against fungi. The concentration of acetic acid and exposure time significantly influence its bactericidal activity, leading to a reduction in bacterial presence on cabbage surfaces. However, the observed lower susceptibility of fungi to acetic acid treatment necessitates further investigation and the development of complementary strategies to address fungal contamination effectively.</w:t>
      </w:r>
    </w:p>
    <w:p w:rsidR="00000000" w:rsidDel="00000000" w:rsidP="00000000" w:rsidRDefault="00000000" w:rsidRPr="00000000" w14:paraId="000000A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Recommendations</w:t>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recommends the use of vinegar in washing fruits and vegetable using the appropriate concentration is recommended .</w:t>
      </w:r>
    </w:p>
    <w:p w:rsidR="00000000" w:rsidDel="00000000" w:rsidP="00000000" w:rsidRDefault="00000000" w:rsidRPr="00000000" w14:paraId="000000A4">
      <w:pPr>
        <w:spacing w:line="360" w:lineRule="auto"/>
        <w:ind w:left="36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A5">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Aguilera, J. M. (2023). Berries as Foods: Processing, Products, and Health Implications. </w:t>
      </w:r>
      <w:r w:rsidDel="00000000" w:rsidR="00000000" w:rsidRPr="00000000">
        <w:rPr>
          <w:rFonts w:ascii="Times New Roman" w:cs="Times New Roman" w:eastAsia="Times New Roman" w:hAnsi="Times New Roman"/>
          <w:i w:val="1"/>
          <w:sz w:val="24"/>
          <w:szCs w:val="24"/>
          <w:highlight w:val="white"/>
          <w:rtl w:val="0"/>
        </w:rPr>
        <w:t xml:space="preserve">Annual</w:t>
        <w:tab/>
        <w:tab/>
        <w:t xml:space="preserve"> Review of Food Science and Technology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15</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A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Aminu, F., &amp; Ali, M. (2017). Isolation and identification of microorganisms associated with</w:t>
        <w:tab/>
        <w:tab/>
        <w:t xml:space="preserve"> spoilage of cabbage (Brassica oleracea) in Sabon-Gari Market Kano,</w:t>
        <w:tab/>
        <w:tab/>
        <w:tab/>
        <w:tab/>
        <w:t xml:space="preserve"> Nigeria. </w:t>
      </w:r>
      <w:r w:rsidDel="00000000" w:rsidR="00000000" w:rsidRPr="00000000">
        <w:rPr>
          <w:rFonts w:ascii="Times New Roman" w:cs="Times New Roman" w:eastAsia="Times New Roman" w:hAnsi="Times New Roman"/>
          <w:i w:val="1"/>
          <w:sz w:val="24"/>
          <w:szCs w:val="24"/>
          <w:highlight w:val="white"/>
          <w:rtl w:val="0"/>
        </w:rPr>
        <w:t xml:space="preserve">International Journal of Advanced Science and Research</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3</w:t>
      </w:r>
      <w:r w:rsidDel="00000000" w:rsidR="00000000" w:rsidRPr="00000000">
        <w:rPr>
          <w:rFonts w:ascii="Times New Roman" w:cs="Times New Roman" w:eastAsia="Times New Roman" w:hAnsi="Times New Roman"/>
          <w:sz w:val="24"/>
          <w:szCs w:val="24"/>
          <w:highlight w:val="white"/>
          <w:rtl w:val="0"/>
        </w:rPr>
        <w:t xml:space="preserve">, 1-8.</w:t>
      </w:r>
      <w:r w:rsidDel="00000000" w:rsidR="00000000" w:rsidRPr="00000000">
        <w:rPr>
          <w:rtl w:val="0"/>
        </w:rPr>
      </w:r>
    </w:p>
    <w:p w:rsidR="00000000" w:rsidDel="00000000" w:rsidP="00000000" w:rsidRDefault="00000000" w:rsidRPr="00000000" w14:paraId="000000A7">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Atter, A., Amewowor, D., &amp; Amoa-Awua, W. K. (2023). Reducing Bacterial Contamination of</w:t>
        <w:tab/>
        <w:tab/>
        <w:t xml:space="preserve"> Fresh Cabbage Using Vinegar and Salt. </w:t>
      </w:r>
      <w:r w:rsidDel="00000000" w:rsidR="00000000" w:rsidRPr="00000000">
        <w:rPr>
          <w:rFonts w:ascii="Times New Roman" w:cs="Times New Roman" w:eastAsia="Times New Roman" w:hAnsi="Times New Roman"/>
          <w:i w:val="1"/>
          <w:sz w:val="24"/>
          <w:szCs w:val="24"/>
          <w:highlight w:val="white"/>
          <w:rtl w:val="0"/>
        </w:rPr>
        <w:t xml:space="preserve">Current Perspectives in Agriculture and Food</w:t>
        <w:tab/>
        <w:tab/>
        <w:t xml:space="preserve"> Science Vol. 3</w:t>
      </w:r>
      <w:r w:rsidDel="00000000" w:rsidR="00000000" w:rsidRPr="00000000">
        <w:rPr>
          <w:rFonts w:ascii="Times New Roman" w:cs="Times New Roman" w:eastAsia="Times New Roman" w:hAnsi="Times New Roman"/>
          <w:sz w:val="24"/>
          <w:szCs w:val="24"/>
          <w:highlight w:val="white"/>
          <w:rtl w:val="0"/>
        </w:rPr>
        <w:t xml:space="preserve">, 18-31.</w:t>
      </w:r>
    </w:p>
    <w:p w:rsidR="00000000" w:rsidDel="00000000" w:rsidP="00000000" w:rsidRDefault="00000000" w:rsidRPr="00000000" w14:paraId="000000A8">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Adjrah, Y., Soncy, K., Anani, K., Blewussi, K. D. &amp; Karou, A. (2013), Socioeconomic profile of street food vendors and microbiological quality of ready to eat salads in Lome. International Food Research Journal 20(1), 65-77</w:t>
      </w:r>
    </w:p>
    <w:p w:rsidR="00000000" w:rsidDel="00000000" w:rsidP="00000000" w:rsidRDefault="00000000" w:rsidRPr="00000000" w14:paraId="000000A9">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Balali, G. I., Yar, D. D., Afua Dela, V. G., &amp; Adjei-Kusi, P. (2020). Microbial contamination, an</w:t>
        <w:tab/>
        <w:tab/>
        <w:t xml:space="preserve"> increasing threat to the consumption of fresh fruits and vegetables in today’s</w:t>
        <w:tab/>
        <w:tab/>
        <w:tab/>
        <w:t xml:space="preserve"> world. </w:t>
      </w:r>
      <w:r w:rsidDel="00000000" w:rsidR="00000000" w:rsidRPr="00000000">
        <w:rPr>
          <w:rFonts w:ascii="Times New Roman" w:cs="Times New Roman" w:eastAsia="Times New Roman" w:hAnsi="Times New Roman"/>
          <w:i w:val="1"/>
          <w:sz w:val="24"/>
          <w:szCs w:val="24"/>
          <w:highlight w:val="white"/>
          <w:rtl w:val="0"/>
        </w:rPr>
        <w:t xml:space="preserve">International journal of microbiology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2020</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AA">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Bamkefa, B. A., Umezurike, E. T., Oluboyede, O., &amp; Adegbehingbe, K. (2022). Microbial profile</w:t>
        <w:tab/>
        <w:tab/>
        <w:t xml:space="preserve"> of cabbage (Brassica oleraceae) sold in markets within Ibadan metropolis. </w:t>
      </w:r>
      <w:r w:rsidDel="00000000" w:rsidR="00000000" w:rsidRPr="00000000">
        <w:rPr>
          <w:rFonts w:ascii="Times New Roman" w:cs="Times New Roman" w:eastAsia="Times New Roman" w:hAnsi="Times New Roman"/>
          <w:i w:val="1"/>
          <w:sz w:val="24"/>
          <w:szCs w:val="24"/>
          <w:highlight w:val="white"/>
          <w:rtl w:val="0"/>
        </w:rPr>
        <w:t xml:space="preserve">GSC Biological</w:t>
        <w:tab/>
        <w:t xml:space="preserve"> and Pharmaceutical Sciences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21</w:t>
      </w:r>
      <w:r w:rsidDel="00000000" w:rsidR="00000000" w:rsidRPr="00000000">
        <w:rPr>
          <w:rFonts w:ascii="Times New Roman" w:cs="Times New Roman" w:eastAsia="Times New Roman" w:hAnsi="Times New Roman"/>
          <w:sz w:val="24"/>
          <w:szCs w:val="24"/>
          <w:highlight w:val="white"/>
          <w:rtl w:val="0"/>
        </w:rPr>
        <w:t xml:space="preserve">(3), 166-174.</w:t>
      </w:r>
    </w:p>
    <w:p w:rsidR="00000000" w:rsidDel="00000000" w:rsidP="00000000" w:rsidRDefault="00000000" w:rsidRPr="00000000" w14:paraId="000000AB">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Cavdaroglu, C., &amp; Ozen, B. (2023). Authentication of vinegars with targeted and non-targeted</w:t>
        <w:tab/>
        <w:tab/>
        <w:t xml:space="preserve"> methods. </w:t>
      </w:r>
      <w:r w:rsidDel="00000000" w:rsidR="00000000" w:rsidRPr="00000000">
        <w:rPr>
          <w:rFonts w:ascii="Times New Roman" w:cs="Times New Roman" w:eastAsia="Times New Roman" w:hAnsi="Times New Roman"/>
          <w:i w:val="1"/>
          <w:sz w:val="24"/>
          <w:szCs w:val="24"/>
          <w:highlight w:val="white"/>
          <w:rtl w:val="0"/>
        </w:rPr>
        <w:t xml:space="preserve">Food Reviews International</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39</w:t>
      </w:r>
      <w:r w:rsidDel="00000000" w:rsidR="00000000" w:rsidRPr="00000000">
        <w:rPr>
          <w:rFonts w:ascii="Times New Roman" w:cs="Times New Roman" w:eastAsia="Times New Roman" w:hAnsi="Times New Roman"/>
          <w:sz w:val="24"/>
          <w:szCs w:val="24"/>
          <w:highlight w:val="white"/>
          <w:rtl w:val="0"/>
        </w:rPr>
        <w:t xml:space="preserve">(1), 41-58.</w:t>
      </w:r>
    </w:p>
    <w:p w:rsidR="00000000" w:rsidDel="00000000" w:rsidP="00000000" w:rsidRDefault="00000000" w:rsidRPr="00000000" w14:paraId="000000AC">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Bukola, A. B., Emeka,T. U., Omolola, O., &amp; Kehinde, A. (2022). Microbial profile of cabbage (Brassica oleraceae) sold in markets within Ibadan metropolis.</w:t>
      </w:r>
      <w:r w:rsidDel="00000000" w:rsidR="00000000" w:rsidRPr="00000000">
        <w:rPr>
          <w:rFonts w:ascii="Times New Roman" w:cs="Times New Roman" w:eastAsia="Times New Roman" w:hAnsi="Times New Roman"/>
          <w:i w:val="1"/>
          <w:sz w:val="24"/>
          <w:szCs w:val="24"/>
          <w:highlight w:val="white"/>
          <w:rtl w:val="0"/>
        </w:rPr>
        <w:t xml:space="preserve"> Biological and Pharmaceutical Sciences,</w:t>
      </w:r>
      <w:r w:rsidDel="00000000" w:rsidR="00000000" w:rsidRPr="00000000">
        <w:rPr>
          <w:rFonts w:ascii="Times New Roman" w:cs="Times New Roman" w:eastAsia="Times New Roman" w:hAnsi="Times New Roman"/>
          <w:sz w:val="24"/>
          <w:szCs w:val="24"/>
          <w:highlight w:val="white"/>
          <w:rtl w:val="0"/>
        </w:rPr>
        <w:t xml:space="preserve"> 21(03), 166–174.</w:t>
      </w:r>
    </w:p>
    <w:p w:rsidR="00000000" w:rsidDel="00000000" w:rsidP="00000000" w:rsidRDefault="00000000" w:rsidRPr="00000000" w14:paraId="000000AD">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Cenci-Goga B., Robert Ortenzi, E Bartocci and A. Codega De Oliveira., (2005), Hygiene practices in urban restaurants; investigating possibilities of introducing HACCP system in Thika town ‘</w:t>
      </w:r>
    </w:p>
    <w:p w:rsidR="00000000" w:rsidDel="00000000" w:rsidP="00000000" w:rsidRDefault="00000000" w:rsidRPr="00000000" w14:paraId="000000AE">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Chen K, Kan J. Harmful Food Constituents. InEssentials of Food Chemistry 2021 (pp. 511-556). Springer, Singapore</w:t>
      </w:r>
    </w:p>
    <w:p w:rsidR="00000000" w:rsidDel="00000000" w:rsidP="00000000" w:rsidRDefault="00000000" w:rsidRPr="00000000" w14:paraId="000000AF">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Daniel, K. A. M., Muindi, E. M. D., &amp; Muti, S. M. D. (2023). Cabbage (Brassica oleracea)</w:t>
        <w:tab/>
        <w:tab/>
        <w:t xml:space="preserve"> Production in Kenya: A Review of its Economic Importance, Ecological Requirement and</w:t>
        <w:tab/>
        <w:t xml:space="preserve"> Production Constraints. </w:t>
      </w:r>
      <w:r w:rsidDel="00000000" w:rsidR="00000000" w:rsidRPr="00000000">
        <w:rPr>
          <w:rFonts w:ascii="Times New Roman" w:cs="Times New Roman" w:eastAsia="Times New Roman" w:hAnsi="Times New Roman"/>
          <w:i w:val="1"/>
          <w:sz w:val="24"/>
          <w:szCs w:val="24"/>
          <w:highlight w:val="white"/>
          <w:rtl w:val="0"/>
        </w:rPr>
        <w:t xml:space="preserve">International Journal of Plant &amp; Soil Science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35</w:t>
      </w:r>
      <w:r w:rsidDel="00000000" w:rsidR="00000000" w:rsidRPr="00000000">
        <w:rPr>
          <w:rFonts w:ascii="Times New Roman" w:cs="Times New Roman" w:eastAsia="Times New Roman" w:hAnsi="Times New Roman"/>
          <w:sz w:val="24"/>
          <w:szCs w:val="24"/>
          <w:highlight w:val="white"/>
          <w:rtl w:val="0"/>
        </w:rPr>
        <w:t xml:space="preserve">(18), 245-254.</w:t>
      </w:r>
    </w:p>
    <w:p w:rsidR="00000000" w:rsidDel="00000000" w:rsidP="00000000" w:rsidRDefault="00000000" w:rsidRPr="00000000" w14:paraId="000000B0">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Douti NB, Amuah EE, Abanyie SK, Amanin-Ennin P. Irrigation water quality and its impact on the physicochemical and microbiological contamination of vegetables produced from market gardening: a case of the Vea Irrigation Dam, UER, Ghana. Journal of Water and Health. 2021 Apr 1; 19(2):203-15</w:t>
      </w:r>
    </w:p>
    <w:p w:rsidR="00000000" w:rsidDel="00000000" w:rsidP="00000000" w:rsidRDefault="00000000" w:rsidRPr="00000000" w14:paraId="000000B1">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Ertürkmen, P., Bulantekin, Ö., &amp; Alp, D. (2023). Investigation of Food Additive Potential of the</w:t>
        <w:tab/>
        <w:tab/>
        <w:t xml:space="preserve"> Rosa damascena Mill. (Isparta Rose): Vinegar with Probiotic Addition.</w:t>
      </w:r>
    </w:p>
    <w:p w:rsidR="00000000" w:rsidDel="00000000" w:rsidP="00000000" w:rsidRDefault="00000000" w:rsidRPr="00000000" w14:paraId="000000B2">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Faiza, A., Masood, S. B , Akamal, N. &amp; Amer, J. (2018). Compositional analysis for Pakistan green and red cabbage. Journal of Agriculture science, 55(1), 191- 196.</w:t>
      </w:r>
    </w:p>
    <w:p w:rsidR="00000000" w:rsidDel="00000000" w:rsidP="00000000" w:rsidRDefault="00000000" w:rsidRPr="00000000" w14:paraId="000000B3">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Kaczmarek M, Avery SV, Singleton I. (2019)Microbes associated with fresh produce: Sources, types and methods to reduce spoilage and contamination. In Advances in Applied Microbiology (Vol. 107, pp. 29-82). Academic Press.</w:t>
      </w:r>
    </w:p>
    <w:p w:rsidR="00000000" w:rsidDel="00000000" w:rsidP="00000000" w:rsidRDefault="00000000" w:rsidRPr="00000000" w14:paraId="000000B4">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Kapeleka, J. A., Sauli, E., Sadik, O., &amp; Ndakidemi, P. A. (2020). Co-exposure risks of pesticides</w:t>
        <w:tab/>
        <w:tab/>
        <w:t xml:space="preserve"> residues and bacterial contamination in fresh fruits and vegetables under smallholder</w:t>
        <w:tab/>
        <w:tab/>
        <w:t xml:space="preserve"> horticultural production systems in Tanzania. </w:t>
      </w:r>
      <w:r w:rsidDel="00000000" w:rsidR="00000000" w:rsidRPr="00000000">
        <w:rPr>
          <w:rFonts w:ascii="Times New Roman" w:cs="Times New Roman" w:eastAsia="Times New Roman" w:hAnsi="Times New Roman"/>
          <w:i w:val="1"/>
          <w:sz w:val="24"/>
          <w:szCs w:val="24"/>
          <w:highlight w:val="white"/>
          <w:rtl w:val="0"/>
        </w:rPr>
        <w:t xml:space="preserve">PloS one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15</w:t>
      </w:r>
      <w:r w:rsidDel="00000000" w:rsidR="00000000" w:rsidRPr="00000000">
        <w:rPr>
          <w:rFonts w:ascii="Times New Roman" w:cs="Times New Roman" w:eastAsia="Times New Roman" w:hAnsi="Times New Roman"/>
          <w:sz w:val="24"/>
          <w:szCs w:val="24"/>
          <w:highlight w:val="white"/>
          <w:rtl w:val="0"/>
        </w:rPr>
        <w:t xml:space="preserve">(7), e0235345.</w:t>
      </w:r>
    </w:p>
    <w:p w:rsidR="00000000" w:rsidDel="00000000" w:rsidP="00000000" w:rsidRDefault="00000000" w:rsidRPr="00000000" w14:paraId="000000B5">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Lynch, K. M., Zannini, E., Wilkinson, S., Daenen, L., &amp; Arendt, E. K. (2019). Physiology of acetic</w:t>
        <w:tab/>
        <w:t xml:space="preserve"> acid bacteria and their role in vinegar and fermented beverages. </w:t>
      </w:r>
      <w:r w:rsidDel="00000000" w:rsidR="00000000" w:rsidRPr="00000000">
        <w:rPr>
          <w:rFonts w:ascii="Times New Roman" w:cs="Times New Roman" w:eastAsia="Times New Roman" w:hAnsi="Times New Roman"/>
          <w:i w:val="1"/>
          <w:sz w:val="24"/>
          <w:szCs w:val="24"/>
          <w:highlight w:val="white"/>
          <w:rtl w:val="0"/>
        </w:rPr>
        <w:t xml:space="preserve">Comprehensive Reviews</w:t>
        <w:tab/>
        <w:tab/>
        <w:t xml:space="preserve"> in Food Science and Food Safety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18</w:t>
      </w:r>
      <w:r w:rsidDel="00000000" w:rsidR="00000000" w:rsidRPr="00000000">
        <w:rPr>
          <w:rFonts w:ascii="Times New Roman" w:cs="Times New Roman" w:eastAsia="Times New Roman" w:hAnsi="Times New Roman"/>
          <w:sz w:val="24"/>
          <w:szCs w:val="24"/>
          <w:highlight w:val="white"/>
          <w:rtl w:val="0"/>
        </w:rPr>
        <w:t xml:space="preserve">(3), 587-625.</w:t>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Moreb, N., Murphy, A., Jaiswal, S., &amp; Jaiswal, A. K. (2020). Cabbage. </w:t>
      </w:r>
      <w:r w:rsidDel="00000000" w:rsidR="00000000" w:rsidRPr="00000000">
        <w:rPr>
          <w:rFonts w:ascii="Times New Roman" w:cs="Times New Roman" w:eastAsia="Times New Roman" w:hAnsi="Times New Roman"/>
          <w:i w:val="1"/>
          <w:sz w:val="24"/>
          <w:szCs w:val="24"/>
          <w:highlight w:val="white"/>
          <w:rtl w:val="0"/>
        </w:rPr>
        <w:t xml:space="preserve">Nutritional Composition</w:t>
        <w:tab/>
        <w:tab/>
        <w:t xml:space="preserve"> and Antioxidant Properties of Fruits and Vegetables</w:t>
      </w:r>
      <w:r w:rsidDel="00000000" w:rsidR="00000000" w:rsidRPr="00000000">
        <w:rPr>
          <w:rFonts w:ascii="Times New Roman" w:cs="Times New Roman" w:eastAsia="Times New Roman" w:hAnsi="Times New Roman"/>
          <w:sz w:val="24"/>
          <w:szCs w:val="24"/>
          <w:highlight w:val="white"/>
          <w:rtl w:val="0"/>
        </w:rPr>
        <w:t xml:space="preserve">, 33-54.</w:t>
      </w:r>
    </w:p>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Mohammed Murtala Kyari( 2022) Effects of Vinegar (5% Acetic Acid) Treatments On Reduction of Microbial Load On Lettuce  Fane-Fane Int’l Multidisciplinary Journal, Vol. 6;.2</w:t>
      </w:r>
    </w:p>
    <w:p w:rsidR="00000000" w:rsidDel="00000000" w:rsidP="00000000" w:rsidRDefault="00000000" w:rsidRPr="00000000" w14:paraId="000000B8">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Oyinlola KA, Ogunleye GE, Balogun AI, Ayo-Abimbola KI.(2022) efficacy of vinegar as a disinfectant on the microbial quality of  </w:t>
      </w:r>
      <w:r w:rsidDel="00000000" w:rsidR="00000000" w:rsidRPr="00000000">
        <w:rPr>
          <w:rFonts w:ascii="Times New Roman" w:cs="Times New Roman" w:eastAsia="Times New Roman" w:hAnsi="Times New Roman"/>
          <w:i w:val="1"/>
          <w:sz w:val="24"/>
          <w:szCs w:val="24"/>
          <w:highlight w:val="white"/>
          <w:rtl w:val="0"/>
        </w:rPr>
        <w:t xml:space="preserve">Lactuca sativa L</w:t>
      </w:r>
      <w:r w:rsidDel="00000000" w:rsidR="00000000" w:rsidRPr="00000000">
        <w:rPr>
          <w:rFonts w:ascii="Times New Roman" w:cs="Times New Roman" w:eastAsia="Times New Roman" w:hAnsi="Times New Roman"/>
          <w:sz w:val="24"/>
          <w:szCs w:val="24"/>
          <w:highlight w:val="white"/>
          <w:rtl w:val="0"/>
        </w:rPr>
        <w:t xml:space="preserve">. 4;3 .African Journal of Biological   Sciences. </w:t>
      </w:r>
    </w:p>
    <w:p w:rsidR="00000000" w:rsidDel="00000000" w:rsidP="00000000" w:rsidRDefault="00000000" w:rsidRPr="00000000" w14:paraId="000000B9">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Pandita, V. K., Singh, P. M., &amp; Gupta, N. (2023). Vegetable Seed Production. In </w:t>
      </w:r>
      <w:r w:rsidDel="00000000" w:rsidR="00000000" w:rsidRPr="00000000">
        <w:rPr>
          <w:rFonts w:ascii="Times New Roman" w:cs="Times New Roman" w:eastAsia="Times New Roman" w:hAnsi="Times New Roman"/>
          <w:i w:val="1"/>
          <w:sz w:val="24"/>
          <w:szCs w:val="24"/>
          <w:highlight w:val="white"/>
          <w:rtl w:val="0"/>
        </w:rPr>
        <w:t xml:space="preserve">Seed Science and</w:t>
        <w:tab/>
        <w:t xml:space="preserve"> Technology: Biology, Production, Quality</w:t>
      </w:r>
      <w:r w:rsidDel="00000000" w:rsidR="00000000" w:rsidRPr="00000000">
        <w:rPr>
          <w:rFonts w:ascii="Times New Roman" w:cs="Times New Roman" w:eastAsia="Times New Roman" w:hAnsi="Times New Roman"/>
          <w:sz w:val="24"/>
          <w:szCs w:val="24"/>
          <w:highlight w:val="white"/>
          <w:rtl w:val="0"/>
        </w:rPr>
        <w:t xml:space="preserve"> (pp. 133-152). Singapore: Springer Nature</w:t>
        <w:tab/>
        <w:tab/>
        <w:t xml:space="preserve"> Singapore.</w:t>
      </w:r>
    </w:p>
    <w:p w:rsidR="00000000" w:rsidDel="00000000" w:rsidP="00000000" w:rsidRDefault="00000000" w:rsidRPr="00000000" w14:paraId="000000BA">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Şahin, T. S., Rabia, E. R. O. L., &amp; Yildirim, Z. (2023). Effect of Vinegar, Thyme Water and</w:t>
        <w:tab/>
        <w:tab/>
        <w:t xml:space="preserve"> Vb_Ecom-P34 Phage in Inhibiting Escherichia coli O157: H7 IN LETTUCE. </w:t>
      </w:r>
      <w:r w:rsidDel="00000000" w:rsidR="00000000" w:rsidRPr="00000000">
        <w:rPr>
          <w:rFonts w:ascii="Times New Roman" w:cs="Times New Roman" w:eastAsia="Times New Roman" w:hAnsi="Times New Roman"/>
          <w:i w:val="1"/>
          <w:sz w:val="24"/>
          <w:szCs w:val="24"/>
          <w:highlight w:val="white"/>
          <w:rtl w:val="0"/>
        </w:rPr>
        <w:t xml:space="preserve">Gıda</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48</w:t>
      </w:r>
      <w:r w:rsidDel="00000000" w:rsidR="00000000" w:rsidRPr="00000000">
        <w:rPr>
          <w:rFonts w:ascii="Times New Roman" w:cs="Times New Roman" w:eastAsia="Times New Roman" w:hAnsi="Times New Roman"/>
          <w:sz w:val="24"/>
          <w:szCs w:val="24"/>
          <w:highlight w:val="white"/>
          <w:rtl w:val="0"/>
        </w:rPr>
        <w:t xml:space="preserve">(4),</w:t>
        <w:tab/>
        <w:t xml:space="preserve"> 772-783.</w:t>
      </w:r>
    </w:p>
    <w:p w:rsidR="00000000" w:rsidDel="00000000" w:rsidP="00000000" w:rsidRDefault="00000000" w:rsidRPr="00000000" w14:paraId="000000BB">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Sharma, A., Rathore, J. P., Ali, A., Qadri, I., Hussain, S. M., &amp; Angmo, T. (2018). Major diseases</w:t>
        <w:tab/>
        <w:tab/>
        <w:t xml:space="preserve"> and pathogen ecology of cabbage. </w:t>
      </w:r>
      <w:r w:rsidDel="00000000" w:rsidR="00000000" w:rsidRPr="00000000">
        <w:rPr>
          <w:rFonts w:ascii="Times New Roman" w:cs="Times New Roman" w:eastAsia="Times New Roman" w:hAnsi="Times New Roman"/>
          <w:i w:val="1"/>
          <w:sz w:val="24"/>
          <w:szCs w:val="24"/>
          <w:highlight w:val="white"/>
          <w:rtl w:val="0"/>
        </w:rPr>
        <w:t xml:space="preserve">The Pharma Innovation Journal</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7</w:t>
      </w:r>
      <w:r w:rsidDel="00000000" w:rsidR="00000000" w:rsidRPr="00000000">
        <w:rPr>
          <w:rFonts w:ascii="Times New Roman" w:cs="Times New Roman" w:eastAsia="Times New Roman" w:hAnsi="Times New Roman"/>
          <w:sz w:val="24"/>
          <w:szCs w:val="24"/>
          <w:highlight w:val="white"/>
          <w:rtl w:val="0"/>
        </w:rPr>
        <w:t xml:space="preserve">(7), 574-578.</w:t>
      </w:r>
    </w:p>
    <w:p w:rsidR="00000000" w:rsidDel="00000000" w:rsidP="00000000" w:rsidRDefault="00000000" w:rsidRPr="00000000" w14:paraId="000000BC">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Wang, L. J., Sheng, M. Y., Wen, P. C., &amp; Du, J. Y. (2017). Morphological, physiological,</w:t>
        <w:tab/>
        <w:tab/>
        <w:tab/>
        <w:t xml:space="preserve"> cytological and phytochemical studies in diploid and colchicine-induced tetraploid plants</w:t>
        <w:tab/>
        <w:tab/>
        <w:t xml:space="preserve"> of Fagopyrum tataricum (L.) Gaertn. </w:t>
      </w:r>
      <w:r w:rsidDel="00000000" w:rsidR="00000000" w:rsidRPr="00000000">
        <w:rPr>
          <w:rFonts w:ascii="Times New Roman" w:cs="Times New Roman" w:eastAsia="Times New Roman" w:hAnsi="Times New Roman"/>
          <w:i w:val="1"/>
          <w:sz w:val="24"/>
          <w:szCs w:val="24"/>
          <w:highlight w:val="white"/>
          <w:rtl w:val="0"/>
        </w:rPr>
        <w:t xml:space="preserve">Botanical studies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58</w:t>
      </w:r>
      <w:r w:rsidDel="00000000" w:rsidR="00000000" w:rsidRPr="00000000">
        <w:rPr>
          <w:rFonts w:ascii="Times New Roman" w:cs="Times New Roman" w:eastAsia="Times New Roman" w:hAnsi="Times New Roman"/>
          <w:sz w:val="24"/>
          <w:szCs w:val="24"/>
          <w:highlight w:val="white"/>
          <w:rtl w:val="0"/>
        </w:rPr>
        <w:t xml:space="preserve">, 1-12.</w:t>
      </w:r>
    </w:p>
    <w:p w:rsidR="00000000" w:rsidDel="00000000" w:rsidP="00000000" w:rsidRDefault="00000000" w:rsidRPr="00000000" w14:paraId="000000B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E">
      <w:pP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F">
      <w:pP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0">
      <w:pP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1">
      <w:pP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2">
      <w:pP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3">
      <w:pP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4">
      <w:pP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Gean Carlos Targino" w:id="0" w:date="2024-02-26T15:21:10Z">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Acetic acid is not an innovative technique in microbial growth control.</w:t>
      </w:r>
    </w:p>
  </w:comment>
  <w:comment w:author="Gean Carlos Targino" w:id="1" w:date="2024-02-26T15:28:42Z">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the objective of the research? Place it at the end of the introduction.</w:t>
      </w:r>
    </w:p>
  </w:comment>
  <w:comment w:author="Gean Carlos Targino" w:id="2" w:date="2024-02-26T16:13:32Z">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Standardize your tables!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CC" w15:done="0"/>
  <w15:commentEx w15:paraId="000000CD" w15:done="0"/>
  <w15:commentEx w15:paraId="000000CE"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jc w:val="center"/>
      <w:rPr/>
    </w:pPr>
    <w:r w:rsidDel="00000000" w:rsidR="00000000" w:rsidRPr="00000000">
      <w:rPr/>
      <w:pict>
        <v:shape id="PowerPlusWaterMarkObject3" style="position:absolute;width:555.5999212598425pt;height:104.1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1" style="position:absolute;width:555.5999212598425pt;height:104.1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2" style="position:absolute;width:555.5999212598425pt;height:104.1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120" w:before="320" w:line="276" w:lineRule="auto"/>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BF7CAC"/>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3">
    <w:name w:val="heading 3"/>
    <w:basedOn w:val="Normal"/>
    <w:next w:val="Normal"/>
    <w:link w:val="Heading3Char"/>
    <w:uiPriority w:val="9"/>
    <w:semiHidden w:val="1"/>
    <w:unhideWhenUsed w:val="1"/>
    <w:qFormat w:val="1"/>
    <w:pPr>
      <w:keepNext w:val="1"/>
      <w:keepLines w:val="1"/>
      <w:spacing w:after="120" w:before="320" w:line="276" w:lineRule="auto"/>
      <w:outlineLvl w:val="2"/>
    </w:pPr>
    <w:rPr>
      <w:rFonts w:ascii="Times New Roman" w:eastAsia="SimSun" w:hAnsi="Times New Roman"/>
      <w:b w:val="1"/>
      <w:bCs w:val="1"/>
      <w:kern w:val="0"/>
      <w:sz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pPr>
      <w:ind w:left="720"/>
      <w:contextualSpacing w:val="1"/>
    </w:pPr>
  </w:style>
  <w:style w:type="character" w:styleId="Heading3Char" w:customStyle="1">
    <w:name w:val="Heading 3 Char"/>
    <w:basedOn w:val="DefaultParagraphFont"/>
    <w:link w:val="Heading3"/>
    <w:uiPriority w:val="9"/>
    <w:rPr>
      <w:rFonts w:ascii="Times New Roman" w:cs="SimSun" w:eastAsia="SimSun" w:hAnsi="Times New Roman"/>
      <w:b w:val="1"/>
      <w:bCs w:val="1"/>
      <w:kern w:val="0"/>
      <w:sz w:val="28"/>
    </w:r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after="100" w:afterAutospacing="1" w:before="100" w:beforeAutospacing="1" w:line="240" w:lineRule="auto"/>
    </w:pPr>
    <w:rPr>
      <w:rFonts w:ascii="Times New Roman" w:cs="Times New Roman" w:eastAsia="Times New Roman" w:hAnsi="Times New Roman"/>
      <w:kern w:val="0"/>
      <w:sz w:val="24"/>
      <w:szCs w:val="24"/>
    </w:rPr>
  </w:style>
  <w:style w:type="paragraph" w:styleId="Default" w:customStyle="1">
    <w:name w:val="Default"/>
    <w:pPr>
      <w:autoSpaceDE w:val="0"/>
      <w:autoSpaceDN w:val="0"/>
      <w:adjustRightInd w:val="0"/>
      <w:spacing w:after="0" w:line="240" w:lineRule="auto"/>
    </w:pPr>
    <w:rPr>
      <w:rFonts w:ascii="Times New Roman" w:cs="Times New Roman" w:hAnsi="Times New Roman"/>
      <w:color w:val="000000"/>
      <w:kern w:val="0"/>
      <w:sz w:val="24"/>
      <w:szCs w:val="24"/>
    </w:rPr>
  </w:style>
  <w:style w:type="paragraph" w:styleId="Header">
    <w:name w:val="header"/>
    <w:basedOn w:val="Normal"/>
    <w:link w:val="HeaderChar"/>
    <w:uiPriority w:val="99"/>
    <w:pPr>
      <w:tabs>
        <w:tab w:val="center" w:pos="4680"/>
        <w:tab w:val="right" w:pos="9360"/>
      </w:tabs>
      <w:spacing w:after="0" w:line="240" w:lineRule="auto"/>
    </w:pPr>
    <w:rPr>
      <w:kern w:val="0"/>
    </w:rPr>
  </w:style>
  <w:style w:type="character" w:styleId="HeaderChar" w:customStyle="1">
    <w:name w:val="Header Char"/>
    <w:basedOn w:val="DefaultParagraphFont"/>
    <w:link w:val="Header"/>
    <w:uiPriority w:val="99"/>
    <w:rPr>
      <w:rFonts w:ascii="Calibri" w:cs="SimSun" w:eastAsia="Calibri" w:hAnsi="Calibri"/>
      <w:kern w:val="0"/>
    </w:rPr>
  </w:style>
  <w:style w:type="paragraph" w:styleId="Footer">
    <w:name w:val="footer"/>
    <w:basedOn w:val="Normal"/>
    <w:link w:val="FooterChar"/>
    <w:uiPriority w:val="99"/>
    <w:pPr>
      <w:tabs>
        <w:tab w:val="center" w:pos="4680"/>
        <w:tab w:val="right" w:pos="9360"/>
      </w:tabs>
      <w:spacing w:after="0" w:line="240" w:lineRule="auto"/>
    </w:pPr>
    <w:rPr>
      <w:kern w:val="0"/>
    </w:rPr>
  </w:style>
  <w:style w:type="character" w:styleId="FooterChar" w:customStyle="1">
    <w:name w:val="Footer Char"/>
    <w:basedOn w:val="DefaultParagraphFont"/>
    <w:link w:val="Footer"/>
    <w:uiPriority w:val="99"/>
    <w:rPr>
      <w:rFonts w:ascii="Calibri" w:cs="SimSun" w:eastAsia="Calibri" w:hAnsi="Calibri"/>
      <w:kern w:val="0"/>
    </w:rPr>
  </w:style>
  <w:style w:type="table" w:styleId="TableGrid">
    <w:name w:val="Table Grid"/>
    <w:basedOn w:val="TableNormal"/>
    <w:uiPriority w:val="59"/>
    <w:pPr>
      <w:spacing w:after="0" w:line="240" w:lineRule="auto"/>
    </w:pPr>
    <w:rPr>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Shading1" w:customStyle="1">
    <w:name w:val="Light Shading1"/>
    <w:basedOn w:val="TableNormal"/>
    <w:uiPriority w:val="60"/>
    <w:pPr>
      <w:spacing w:after="0" w:line="240" w:lineRule="auto"/>
    </w:pPr>
    <w:rPr>
      <w:color w:val="000000"/>
      <w:kern w:val="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paragraph" w:styleId="BalloonText">
    <w:name w:val="Balloon Text"/>
    <w:basedOn w:val="Normal"/>
    <w:link w:val="BalloonTextChar"/>
    <w:uiPriority w:val="99"/>
    <w:pPr>
      <w:spacing w:after="0" w:line="240" w:lineRule="auto"/>
    </w:pPr>
    <w:rPr>
      <w:rFonts w:ascii="Tahoma" w:cs="Tahoma" w:eastAsia="SimSun" w:hAnsi="Tahoma"/>
      <w:kern w:val="0"/>
      <w:sz w:val="16"/>
      <w:szCs w:val="16"/>
    </w:rPr>
  </w:style>
  <w:style w:type="character" w:styleId="BalloonTextChar" w:customStyle="1">
    <w:name w:val="Balloon Text Char"/>
    <w:basedOn w:val="DefaultParagraphFont"/>
    <w:link w:val="BalloonText"/>
    <w:uiPriority w:val="99"/>
    <w:rPr>
      <w:rFonts w:ascii="Tahoma" w:cs="Tahoma" w:eastAsia="SimSun" w:hAnsi="Tahoma"/>
      <w:kern w:val="0"/>
      <w:sz w:val="16"/>
      <w:szCs w:val="16"/>
    </w:rPr>
  </w:style>
  <w:style w:type="paragraph" w:styleId="Pa2" w:customStyle="1">
    <w:name w:val="&quot;&quot;Pa2&quot;&quot;"/>
    <w:pPr>
      <w:autoSpaceDE w:val="0"/>
      <w:autoSpaceDN w:val="0"/>
      <w:adjustRightInd w:val="0"/>
      <w:spacing w:after="0" w:line="241" w:lineRule="atLeast"/>
    </w:pPr>
    <w:rPr>
      <w:rFonts w:ascii="Cambria" w:eastAsia="SimSun" w:hAnsi="Cambria"/>
      <w:kern w:val="0"/>
      <w:sz w:val="21"/>
      <w:szCs w:val="24"/>
    </w:rPr>
  </w:style>
  <w:style w:type="paragraph" w:styleId="Default0" w:customStyle="1">
    <w:name w:val="&quot;&quot;&quot;&quot;Default&quot;&quot;&quot;&quot;"/>
    <w:pPr>
      <w:autoSpaceDE w:val="0"/>
      <w:autoSpaceDN w:val="0"/>
      <w:adjustRightInd w:val="0"/>
      <w:spacing w:after="0" w:line="276" w:lineRule="auto"/>
    </w:pPr>
    <w:rPr>
      <w:rFonts w:ascii="Times New Roman" w:eastAsia="SimSun" w:hAnsi="Times New Roman"/>
      <w:color w:val="000000"/>
      <w:kern w:val="0"/>
      <w:sz w:val="24"/>
      <w:szCs w:val="24"/>
      <w:lang w:eastAsia="zh-CN"/>
    </w:rPr>
  </w:style>
  <w:style w:type="table" w:styleId="MediumGrid3">
    <w:name w:val="Medium Grid 3"/>
    <w:basedOn w:val="TableNormal"/>
    <w:uiPriority w:val="69"/>
    <w:pPr>
      <w:spacing w:after="200" w:line="276" w:lineRule="auto"/>
    </w:pPr>
    <w:rPr>
      <w:rFonts w:eastAsia="SimSun"/>
      <w:kern w:val="0"/>
    </w:rPr>
    <w:tblPr>
      <w:tblStyleRowBandSize w:val="1"/>
      <w:tblStyleColBandSize w:val="1"/>
      <w:tblBorders>
        <w:top w:color="cce8cf" w:space="0" w:sz="8" w:val="single"/>
        <w:left w:color="cce8cf" w:space="0" w:sz="8" w:val="single"/>
        <w:bottom w:color="cce8cf" w:space="0" w:sz="8" w:val="single"/>
        <w:right w:color="cce8cf" w:space="0" w:sz="8" w:val="single"/>
        <w:insideH w:color="cce8cf" w:space="0" w:sz="6" w:val="single"/>
        <w:insideV w:color="cce8cf" w:space="0" w:sz="6" w:val="single"/>
      </w:tblBorders>
      <w:shd w:color="auto" w:fill="c0c0c0" w:val="clear"/>
    </w:tblPr>
    <w:tcPr>
      <w:shd w:color="auto" w:fill="c0c0c0" w:val="clear"/>
    </w:tcPr>
    <w:tblStylePr w:type="firstRow">
      <w:rPr>
        <w:b w:val="1"/>
        <w:bCs w:val="1"/>
        <w:i w:val="0"/>
        <w:iCs w:val="0"/>
        <w:color w:val="cce8cf"/>
      </w:rPr>
      <w:tblPr/>
      <w:tcPr>
        <w:tcBorders>
          <w:top w:color="cce8cf" w:space="0" w:sz="8" w:val="single"/>
          <w:left w:color="cce8cf" w:space="0" w:sz="8" w:val="single"/>
          <w:bottom w:color="cce8cf" w:space="0" w:sz="24" w:val="single"/>
          <w:right w:color="cce8cf" w:space="0" w:sz="8" w:val="single"/>
          <w:insideH w:space="0" w:sz="0" w:val="nil"/>
          <w:insideV w:color="cce8cf" w:space="0" w:sz="8" w:val="single"/>
        </w:tcBorders>
        <w:shd w:color="auto" w:fill="000000" w:val="clear"/>
      </w:tcPr>
    </w:tblStylePr>
    <w:tblStylePr w:type="lastRow">
      <w:rPr>
        <w:b w:val="1"/>
        <w:bCs w:val="1"/>
        <w:i w:val="0"/>
        <w:iCs w:val="0"/>
        <w:color w:val="cce8cf"/>
      </w:rPr>
      <w:tblPr/>
      <w:tcPr>
        <w:tcBorders>
          <w:top w:color="cce8cf" w:space="0" w:sz="24" w:val="single"/>
          <w:left w:color="cce8cf" w:space="0" w:sz="8" w:val="single"/>
          <w:bottom w:color="cce8cf" w:space="0" w:sz="8" w:val="single"/>
          <w:right w:color="cce8cf" w:space="0" w:sz="8" w:val="single"/>
          <w:insideH w:space="0" w:sz="0" w:val="nil"/>
          <w:insideV w:color="cce8cf" w:space="0" w:sz="8" w:val="single"/>
        </w:tcBorders>
        <w:shd w:color="auto" w:fill="000000" w:val="clear"/>
      </w:tcPr>
    </w:tblStylePr>
    <w:tblStylePr w:type="firstCol">
      <w:rPr>
        <w:b w:val="1"/>
        <w:bCs w:val="1"/>
        <w:i w:val="0"/>
        <w:iCs w:val="0"/>
        <w:color w:val="cce8cf"/>
      </w:rPr>
      <w:tblPr/>
      <w:tcPr>
        <w:tcBorders>
          <w:left w:color="cce8cf" w:space="0" w:sz="8" w:val="single"/>
          <w:right w:color="cce8cf" w:space="0" w:sz="24" w:val="single"/>
          <w:insideH w:space="0" w:sz="0" w:val="nil"/>
          <w:insideV w:space="0" w:sz="0" w:val="nil"/>
        </w:tcBorders>
        <w:shd w:color="auto" w:fill="000000" w:val="clear"/>
      </w:tcPr>
    </w:tblStylePr>
    <w:tblStylePr w:type="lastCol">
      <w:rPr>
        <w:b w:val="1"/>
        <w:bCs w:val="1"/>
        <w:i w:val="0"/>
        <w:iCs w:val="0"/>
        <w:color w:val="cce8cf"/>
      </w:rPr>
      <w:tblPr/>
      <w:tcPr>
        <w:tcBorders>
          <w:top w:space="0" w:sz="0" w:val="nil"/>
          <w:left w:color="cce8cf" w:space="0" w:sz="24" w:val="single"/>
          <w:bottom w:space="0" w:sz="0" w:val="nil"/>
          <w:right w:space="0" w:sz="0" w:val="nil"/>
          <w:insideH w:space="0" w:sz="0" w:val="nil"/>
          <w:insideV w:space="0" w:sz="0" w:val="nil"/>
        </w:tcBorders>
        <w:shd w:color="auto" w:fill="000000" w:val="clear"/>
      </w:tcPr>
    </w:tblStylePr>
    <w:tblStylePr w:type="band1Vert">
      <w:tblPr/>
      <w:tcPr>
        <w:tcBorders>
          <w:top w:color="cce8cf" w:space="0" w:sz="8" w:val="single"/>
          <w:left w:color="cce8cf" w:space="0" w:sz="8" w:val="single"/>
          <w:bottom w:color="cce8cf" w:space="0" w:sz="8" w:val="single"/>
          <w:right w:color="cce8cf" w:space="0" w:sz="8" w:val="single"/>
          <w:insideH w:space="0" w:sz="0" w:val="nil"/>
          <w:insideV w:space="0" w:sz="0" w:val="nil"/>
        </w:tcBorders>
        <w:shd w:color="auto" w:fill="808080" w:val="clear"/>
      </w:tcPr>
    </w:tblStylePr>
    <w:tblStylePr w:type="band1Horz">
      <w:tblPr/>
      <w:tcPr>
        <w:tcBorders>
          <w:top w:color="cce8cf" w:space="0" w:sz="8" w:val="single"/>
          <w:left w:color="cce8cf" w:space="0" w:sz="8" w:val="single"/>
          <w:bottom w:color="cce8cf" w:space="0" w:sz="8" w:val="single"/>
          <w:right w:color="cce8cf" w:space="0" w:sz="8" w:val="single"/>
          <w:insideH w:color="cce8cf" w:space="0" w:sz="8" w:val="single"/>
          <w:insideV w:color="cce8cf" w:space="0" w:sz="8" w:val="single"/>
        </w:tcBorders>
        <w:shd w:color="auto" w:fill="808080" w:val="clear"/>
      </w:tcPr>
    </w:tblStylePr>
  </w:style>
  <w:style w:type="table" w:styleId="MediumGrid3-Accent1">
    <w:name w:val="Medium Grid 3 Accent 1"/>
    <w:basedOn w:val="TableNormal"/>
    <w:uiPriority w:val="69"/>
    <w:pPr>
      <w:spacing w:after="200" w:line="276" w:lineRule="auto"/>
    </w:pPr>
    <w:rPr>
      <w:rFonts w:eastAsia="SimSun"/>
      <w:kern w:val="0"/>
    </w:rPr>
    <w:tblPr>
      <w:tblStyleRowBandSize w:val="1"/>
      <w:tblStyleColBandSize w:val="1"/>
      <w:tblBorders>
        <w:top w:color="cce8cf" w:space="0" w:sz="8" w:val="single"/>
        <w:left w:color="cce8cf" w:space="0" w:sz="8" w:val="single"/>
        <w:bottom w:color="cce8cf" w:space="0" w:sz="8" w:val="single"/>
        <w:right w:color="cce8cf" w:space="0" w:sz="8" w:val="single"/>
        <w:insideH w:color="cce8cf" w:space="0" w:sz="6" w:val="single"/>
        <w:insideV w:color="cce8cf" w:space="0" w:sz="6" w:val="single"/>
      </w:tblBorders>
      <w:shd w:color="auto" w:fill="d3dfee" w:val="clear"/>
    </w:tblPr>
    <w:tcPr>
      <w:shd w:color="auto" w:fill="d3dfee" w:val="clear"/>
    </w:tcPr>
    <w:tblStylePr w:type="firstRow">
      <w:rPr>
        <w:b w:val="1"/>
        <w:bCs w:val="1"/>
        <w:i w:val="0"/>
        <w:iCs w:val="0"/>
        <w:color w:val="cce8cf"/>
      </w:rPr>
      <w:tblPr/>
      <w:tcPr>
        <w:tcBorders>
          <w:top w:color="cce8cf" w:space="0" w:sz="8" w:val="single"/>
          <w:left w:color="cce8cf" w:space="0" w:sz="8" w:val="single"/>
          <w:bottom w:color="cce8cf" w:space="0" w:sz="24" w:val="single"/>
          <w:right w:color="cce8cf" w:space="0" w:sz="8" w:val="single"/>
          <w:insideH w:space="0" w:sz="0" w:val="nil"/>
          <w:insideV w:color="cce8cf" w:space="0" w:sz="8" w:val="single"/>
        </w:tcBorders>
        <w:shd w:color="auto" w:fill="4f81bd" w:val="clear"/>
      </w:tcPr>
    </w:tblStylePr>
    <w:tblStylePr w:type="lastRow">
      <w:rPr>
        <w:b w:val="1"/>
        <w:bCs w:val="1"/>
        <w:i w:val="0"/>
        <w:iCs w:val="0"/>
        <w:color w:val="cce8cf"/>
      </w:rPr>
      <w:tblPr/>
      <w:tcPr>
        <w:tcBorders>
          <w:top w:color="cce8cf" w:space="0" w:sz="24" w:val="single"/>
          <w:left w:color="cce8cf" w:space="0" w:sz="8" w:val="single"/>
          <w:bottom w:color="cce8cf" w:space="0" w:sz="8" w:val="single"/>
          <w:right w:color="cce8cf" w:space="0" w:sz="8" w:val="single"/>
          <w:insideH w:space="0" w:sz="0" w:val="nil"/>
          <w:insideV w:color="cce8cf" w:space="0" w:sz="8" w:val="single"/>
        </w:tcBorders>
        <w:shd w:color="auto" w:fill="4f81bd" w:val="clear"/>
      </w:tcPr>
    </w:tblStylePr>
    <w:tblStylePr w:type="firstCol">
      <w:rPr>
        <w:b w:val="1"/>
        <w:bCs w:val="1"/>
        <w:i w:val="0"/>
        <w:iCs w:val="0"/>
        <w:color w:val="cce8cf"/>
      </w:rPr>
      <w:tblPr/>
      <w:tcPr>
        <w:tcBorders>
          <w:left w:color="cce8cf" w:space="0" w:sz="8" w:val="single"/>
          <w:right w:color="cce8cf" w:space="0" w:sz="24" w:val="single"/>
          <w:insideH w:space="0" w:sz="0" w:val="nil"/>
          <w:insideV w:space="0" w:sz="0" w:val="nil"/>
        </w:tcBorders>
        <w:shd w:color="auto" w:fill="4f81bd" w:val="clear"/>
      </w:tcPr>
    </w:tblStylePr>
    <w:tblStylePr w:type="lastCol">
      <w:rPr>
        <w:b w:val="1"/>
        <w:bCs w:val="1"/>
        <w:i w:val="0"/>
        <w:iCs w:val="0"/>
        <w:color w:val="cce8cf"/>
      </w:rPr>
      <w:tblPr/>
      <w:tcPr>
        <w:tcBorders>
          <w:top w:space="0" w:sz="0" w:val="nil"/>
          <w:left w:color="cce8cf" w:space="0" w:sz="24" w:val="single"/>
          <w:bottom w:space="0" w:sz="0" w:val="nil"/>
          <w:right w:space="0" w:sz="0" w:val="nil"/>
          <w:insideH w:space="0" w:sz="0" w:val="nil"/>
          <w:insideV w:space="0" w:sz="0" w:val="nil"/>
        </w:tcBorders>
        <w:shd w:color="auto" w:fill="4f81bd" w:val="clear"/>
      </w:tcPr>
    </w:tblStylePr>
    <w:tblStylePr w:type="band1Vert">
      <w:tblPr/>
      <w:tcPr>
        <w:tcBorders>
          <w:top w:color="cce8cf" w:space="0" w:sz="8" w:val="single"/>
          <w:left w:color="cce8cf" w:space="0" w:sz="8" w:val="single"/>
          <w:bottom w:color="cce8cf" w:space="0" w:sz="8" w:val="single"/>
          <w:right w:color="cce8cf" w:space="0" w:sz="8" w:val="single"/>
          <w:insideH w:space="0" w:sz="0" w:val="nil"/>
          <w:insideV w:space="0" w:sz="0" w:val="nil"/>
        </w:tcBorders>
        <w:shd w:color="auto" w:fill="a7bfde" w:val="clear"/>
      </w:tcPr>
    </w:tblStylePr>
    <w:tblStylePr w:type="band1Horz">
      <w:tblPr/>
      <w:tcPr>
        <w:tcBorders>
          <w:top w:color="cce8cf" w:space="0" w:sz="8" w:val="single"/>
          <w:left w:color="cce8cf" w:space="0" w:sz="8" w:val="single"/>
          <w:bottom w:color="cce8cf" w:space="0" w:sz="8" w:val="single"/>
          <w:right w:color="cce8cf" w:space="0" w:sz="8" w:val="single"/>
          <w:insideH w:color="cce8cf" w:space="0" w:sz="8" w:val="single"/>
          <w:insideV w:color="cce8cf" w:space="0" w:sz="8" w:val="single"/>
        </w:tcBorders>
        <w:shd w:color="auto" w:fill="a7bfde" w:val="clear"/>
      </w:tcPr>
    </w:tblStylePr>
  </w:style>
  <w:style w:type="table" w:styleId="MediumGrid3-Accent2">
    <w:name w:val="Medium Grid 3 Accent 2"/>
    <w:basedOn w:val="TableNormal"/>
    <w:uiPriority w:val="69"/>
    <w:pPr>
      <w:spacing w:after="200" w:line="276" w:lineRule="auto"/>
    </w:pPr>
    <w:rPr>
      <w:rFonts w:eastAsia="SimSun"/>
      <w:kern w:val="0"/>
    </w:rPr>
    <w:tblPr>
      <w:tblStyleRowBandSize w:val="1"/>
      <w:tblStyleColBandSize w:val="1"/>
      <w:tblBorders>
        <w:top w:color="cce8cf" w:space="0" w:sz="8" w:val="single"/>
        <w:left w:color="cce8cf" w:space="0" w:sz="8" w:val="single"/>
        <w:bottom w:color="cce8cf" w:space="0" w:sz="8" w:val="single"/>
        <w:right w:color="cce8cf" w:space="0" w:sz="8" w:val="single"/>
        <w:insideH w:color="cce8cf" w:space="0" w:sz="6" w:val="single"/>
        <w:insideV w:color="cce8cf" w:space="0" w:sz="6" w:val="single"/>
      </w:tblBorders>
      <w:shd w:color="auto" w:fill="efd3d2" w:val="clear"/>
    </w:tblPr>
    <w:tcPr>
      <w:shd w:color="auto" w:fill="efd3d2" w:val="clear"/>
    </w:tcPr>
    <w:tblStylePr w:type="firstRow">
      <w:rPr>
        <w:b w:val="1"/>
        <w:bCs w:val="1"/>
        <w:i w:val="0"/>
        <w:iCs w:val="0"/>
        <w:color w:val="cce8cf"/>
      </w:rPr>
      <w:tblPr/>
      <w:tcPr>
        <w:tcBorders>
          <w:top w:color="cce8cf" w:space="0" w:sz="8" w:val="single"/>
          <w:left w:color="cce8cf" w:space="0" w:sz="8" w:val="single"/>
          <w:bottom w:color="cce8cf" w:space="0" w:sz="24" w:val="single"/>
          <w:right w:color="cce8cf" w:space="0" w:sz="8" w:val="single"/>
          <w:insideH w:space="0" w:sz="0" w:val="nil"/>
          <w:insideV w:color="cce8cf" w:space="0" w:sz="8" w:val="single"/>
        </w:tcBorders>
        <w:shd w:color="auto" w:fill="c0504d" w:val="clear"/>
      </w:tcPr>
    </w:tblStylePr>
    <w:tblStylePr w:type="lastRow">
      <w:rPr>
        <w:b w:val="1"/>
        <w:bCs w:val="1"/>
        <w:i w:val="0"/>
        <w:iCs w:val="0"/>
        <w:color w:val="cce8cf"/>
      </w:rPr>
      <w:tblPr/>
      <w:tcPr>
        <w:tcBorders>
          <w:top w:color="cce8cf" w:space="0" w:sz="24" w:val="single"/>
          <w:left w:color="cce8cf" w:space="0" w:sz="8" w:val="single"/>
          <w:bottom w:color="cce8cf" w:space="0" w:sz="8" w:val="single"/>
          <w:right w:color="cce8cf" w:space="0" w:sz="8" w:val="single"/>
          <w:insideH w:space="0" w:sz="0" w:val="nil"/>
          <w:insideV w:color="cce8cf" w:space="0" w:sz="8" w:val="single"/>
        </w:tcBorders>
        <w:shd w:color="auto" w:fill="c0504d" w:val="clear"/>
      </w:tcPr>
    </w:tblStylePr>
    <w:tblStylePr w:type="firstCol">
      <w:rPr>
        <w:b w:val="1"/>
        <w:bCs w:val="1"/>
        <w:i w:val="0"/>
        <w:iCs w:val="0"/>
        <w:color w:val="cce8cf"/>
      </w:rPr>
      <w:tblPr/>
      <w:tcPr>
        <w:tcBorders>
          <w:left w:color="cce8cf" w:space="0" w:sz="8" w:val="single"/>
          <w:right w:color="cce8cf" w:space="0" w:sz="24" w:val="single"/>
          <w:insideH w:space="0" w:sz="0" w:val="nil"/>
          <w:insideV w:space="0" w:sz="0" w:val="nil"/>
        </w:tcBorders>
        <w:shd w:color="auto" w:fill="c0504d" w:val="clear"/>
      </w:tcPr>
    </w:tblStylePr>
    <w:tblStylePr w:type="lastCol">
      <w:rPr>
        <w:b w:val="1"/>
        <w:bCs w:val="1"/>
        <w:i w:val="0"/>
        <w:iCs w:val="0"/>
        <w:color w:val="cce8cf"/>
      </w:rPr>
      <w:tblPr/>
      <w:tcPr>
        <w:tcBorders>
          <w:top w:space="0" w:sz="0" w:val="nil"/>
          <w:left w:color="cce8cf" w:space="0" w:sz="24" w:val="single"/>
          <w:bottom w:space="0" w:sz="0" w:val="nil"/>
          <w:right w:space="0" w:sz="0" w:val="nil"/>
          <w:insideH w:space="0" w:sz="0" w:val="nil"/>
          <w:insideV w:space="0" w:sz="0" w:val="nil"/>
        </w:tcBorders>
        <w:shd w:color="auto" w:fill="c0504d" w:val="clear"/>
      </w:tcPr>
    </w:tblStylePr>
    <w:tblStylePr w:type="band1Vert">
      <w:tblPr/>
      <w:tcPr>
        <w:tcBorders>
          <w:top w:color="cce8cf" w:space="0" w:sz="8" w:val="single"/>
          <w:left w:color="cce8cf" w:space="0" w:sz="8" w:val="single"/>
          <w:bottom w:color="cce8cf" w:space="0" w:sz="8" w:val="single"/>
          <w:right w:color="cce8cf" w:space="0" w:sz="8" w:val="single"/>
          <w:insideH w:space="0" w:sz="0" w:val="nil"/>
          <w:insideV w:space="0" w:sz="0" w:val="nil"/>
        </w:tcBorders>
        <w:shd w:color="auto" w:fill="dfa7a6" w:val="clear"/>
      </w:tcPr>
    </w:tblStylePr>
    <w:tblStylePr w:type="band1Horz">
      <w:tblPr/>
      <w:tcPr>
        <w:tcBorders>
          <w:top w:color="cce8cf" w:space="0" w:sz="8" w:val="single"/>
          <w:left w:color="cce8cf" w:space="0" w:sz="8" w:val="single"/>
          <w:bottom w:color="cce8cf" w:space="0" w:sz="8" w:val="single"/>
          <w:right w:color="cce8cf" w:space="0" w:sz="8" w:val="single"/>
          <w:insideH w:color="cce8cf" w:space="0" w:sz="8" w:val="single"/>
          <w:insideV w:color="cce8cf" w:space="0" w:sz="8" w:val="single"/>
        </w:tcBorders>
        <w:shd w:color="auto" w:fill="dfa7a6" w:val="clear"/>
      </w:tcPr>
    </w:tblStylePr>
  </w:style>
  <w:style w:type="table" w:styleId="MediumGrid3-Accent3">
    <w:name w:val="Medium Grid 3 Accent 3"/>
    <w:basedOn w:val="TableNormal"/>
    <w:uiPriority w:val="69"/>
    <w:pPr>
      <w:spacing w:after="200" w:line="276" w:lineRule="auto"/>
    </w:pPr>
    <w:rPr>
      <w:rFonts w:eastAsia="SimSun"/>
      <w:kern w:val="0"/>
    </w:rPr>
    <w:tblPr>
      <w:tblStyleRowBandSize w:val="1"/>
      <w:tblStyleColBandSize w:val="1"/>
      <w:tblBorders>
        <w:top w:color="cce8cf" w:space="0" w:sz="8" w:val="single"/>
        <w:left w:color="cce8cf" w:space="0" w:sz="8" w:val="single"/>
        <w:bottom w:color="cce8cf" w:space="0" w:sz="8" w:val="single"/>
        <w:right w:color="cce8cf" w:space="0" w:sz="8" w:val="single"/>
        <w:insideH w:color="cce8cf" w:space="0" w:sz="6" w:val="single"/>
        <w:insideV w:color="cce8cf" w:space="0" w:sz="6" w:val="single"/>
      </w:tblBorders>
      <w:shd w:color="auto" w:fill="e6eed5" w:val="clear"/>
    </w:tblPr>
    <w:tcPr>
      <w:shd w:color="auto" w:fill="e6eed5" w:val="clear"/>
    </w:tcPr>
    <w:tblStylePr w:type="firstRow">
      <w:rPr>
        <w:b w:val="1"/>
        <w:bCs w:val="1"/>
        <w:i w:val="0"/>
        <w:iCs w:val="0"/>
        <w:color w:val="cce8cf"/>
      </w:rPr>
      <w:tblPr/>
      <w:tcPr>
        <w:tcBorders>
          <w:top w:color="cce8cf" w:space="0" w:sz="8" w:val="single"/>
          <w:left w:color="cce8cf" w:space="0" w:sz="8" w:val="single"/>
          <w:bottom w:color="cce8cf" w:space="0" w:sz="24" w:val="single"/>
          <w:right w:color="cce8cf" w:space="0" w:sz="8" w:val="single"/>
          <w:insideH w:space="0" w:sz="0" w:val="nil"/>
          <w:insideV w:color="cce8cf" w:space="0" w:sz="8" w:val="single"/>
        </w:tcBorders>
        <w:shd w:color="auto" w:fill="9bbb59" w:val="clear"/>
      </w:tcPr>
    </w:tblStylePr>
    <w:tblStylePr w:type="lastRow">
      <w:rPr>
        <w:b w:val="1"/>
        <w:bCs w:val="1"/>
        <w:i w:val="0"/>
        <w:iCs w:val="0"/>
        <w:color w:val="cce8cf"/>
      </w:rPr>
      <w:tblPr/>
      <w:tcPr>
        <w:tcBorders>
          <w:top w:color="cce8cf" w:space="0" w:sz="24" w:val="single"/>
          <w:left w:color="cce8cf" w:space="0" w:sz="8" w:val="single"/>
          <w:bottom w:color="cce8cf" w:space="0" w:sz="8" w:val="single"/>
          <w:right w:color="cce8cf" w:space="0" w:sz="8" w:val="single"/>
          <w:insideH w:space="0" w:sz="0" w:val="nil"/>
          <w:insideV w:color="cce8cf" w:space="0" w:sz="8" w:val="single"/>
        </w:tcBorders>
        <w:shd w:color="auto" w:fill="9bbb59" w:val="clear"/>
      </w:tcPr>
    </w:tblStylePr>
    <w:tblStylePr w:type="firstCol">
      <w:rPr>
        <w:b w:val="1"/>
        <w:bCs w:val="1"/>
        <w:i w:val="0"/>
        <w:iCs w:val="0"/>
        <w:color w:val="cce8cf"/>
      </w:rPr>
      <w:tblPr/>
      <w:tcPr>
        <w:tcBorders>
          <w:left w:color="cce8cf" w:space="0" w:sz="8" w:val="single"/>
          <w:right w:color="cce8cf" w:space="0" w:sz="24" w:val="single"/>
          <w:insideH w:space="0" w:sz="0" w:val="nil"/>
          <w:insideV w:space="0" w:sz="0" w:val="nil"/>
        </w:tcBorders>
        <w:shd w:color="auto" w:fill="9bbb59" w:val="clear"/>
      </w:tcPr>
    </w:tblStylePr>
    <w:tblStylePr w:type="lastCol">
      <w:rPr>
        <w:b w:val="1"/>
        <w:bCs w:val="1"/>
        <w:i w:val="0"/>
        <w:iCs w:val="0"/>
        <w:color w:val="cce8cf"/>
      </w:rPr>
      <w:tblPr/>
      <w:tcPr>
        <w:tcBorders>
          <w:top w:space="0" w:sz="0" w:val="nil"/>
          <w:left w:color="cce8cf" w:space="0" w:sz="24" w:val="single"/>
          <w:bottom w:space="0" w:sz="0" w:val="nil"/>
          <w:right w:space="0" w:sz="0" w:val="nil"/>
          <w:insideH w:space="0" w:sz="0" w:val="nil"/>
          <w:insideV w:space="0" w:sz="0" w:val="nil"/>
        </w:tcBorders>
        <w:shd w:color="auto" w:fill="9bbb59" w:val="clear"/>
      </w:tcPr>
    </w:tblStylePr>
    <w:tblStylePr w:type="band1Vert">
      <w:tblPr/>
      <w:tcPr>
        <w:tcBorders>
          <w:top w:color="cce8cf" w:space="0" w:sz="8" w:val="single"/>
          <w:left w:color="cce8cf" w:space="0" w:sz="8" w:val="single"/>
          <w:bottom w:color="cce8cf" w:space="0" w:sz="8" w:val="single"/>
          <w:right w:color="cce8cf" w:space="0" w:sz="8" w:val="single"/>
          <w:insideH w:space="0" w:sz="0" w:val="nil"/>
          <w:insideV w:space="0" w:sz="0" w:val="nil"/>
        </w:tcBorders>
        <w:shd w:color="auto" w:fill="cdddac" w:val="clear"/>
      </w:tcPr>
    </w:tblStylePr>
    <w:tblStylePr w:type="band1Horz">
      <w:tblPr/>
      <w:tcPr>
        <w:tcBorders>
          <w:top w:color="cce8cf" w:space="0" w:sz="8" w:val="single"/>
          <w:left w:color="cce8cf" w:space="0" w:sz="8" w:val="single"/>
          <w:bottom w:color="cce8cf" w:space="0" w:sz="8" w:val="single"/>
          <w:right w:color="cce8cf" w:space="0" w:sz="8" w:val="single"/>
          <w:insideH w:color="cce8cf" w:space="0" w:sz="8" w:val="single"/>
          <w:insideV w:color="cce8cf" w:space="0" w:sz="8" w:val="single"/>
        </w:tcBorders>
        <w:shd w:color="auto" w:fill="cdddac" w:val="clear"/>
      </w:tcPr>
    </w:tblStylePr>
  </w:style>
  <w:style w:type="table" w:styleId="MediumGrid3-Accent4">
    <w:name w:val="Medium Grid 3 Accent 4"/>
    <w:basedOn w:val="TableNormal"/>
    <w:uiPriority w:val="69"/>
    <w:pPr>
      <w:spacing w:after="200" w:line="276" w:lineRule="auto"/>
    </w:pPr>
    <w:rPr>
      <w:rFonts w:eastAsia="SimSun"/>
      <w:kern w:val="0"/>
    </w:rPr>
    <w:tblPr>
      <w:tblStyleRowBandSize w:val="1"/>
      <w:tblStyleColBandSize w:val="1"/>
      <w:tblBorders>
        <w:top w:color="cce8cf" w:space="0" w:sz="8" w:val="single"/>
        <w:left w:color="cce8cf" w:space="0" w:sz="8" w:val="single"/>
        <w:bottom w:color="cce8cf" w:space="0" w:sz="8" w:val="single"/>
        <w:right w:color="cce8cf" w:space="0" w:sz="8" w:val="single"/>
        <w:insideH w:color="cce8cf" w:space="0" w:sz="6" w:val="single"/>
        <w:insideV w:color="cce8cf" w:space="0" w:sz="6" w:val="single"/>
      </w:tblBorders>
      <w:shd w:color="auto" w:fill="dfd8e8" w:val="clear"/>
    </w:tblPr>
    <w:tcPr>
      <w:shd w:color="auto" w:fill="dfd8e8" w:val="clear"/>
    </w:tcPr>
    <w:tblStylePr w:type="firstRow">
      <w:rPr>
        <w:b w:val="1"/>
        <w:bCs w:val="1"/>
        <w:i w:val="0"/>
        <w:iCs w:val="0"/>
        <w:color w:val="cce8cf"/>
      </w:rPr>
      <w:tblPr/>
      <w:tcPr>
        <w:tcBorders>
          <w:top w:color="cce8cf" w:space="0" w:sz="8" w:val="single"/>
          <w:left w:color="cce8cf" w:space="0" w:sz="8" w:val="single"/>
          <w:bottom w:color="cce8cf" w:space="0" w:sz="24" w:val="single"/>
          <w:right w:color="cce8cf" w:space="0" w:sz="8" w:val="single"/>
          <w:insideH w:space="0" w:sz="0" w:val="nil"/>
          <w:insideV w:color="cce8cf" w:space="0" w:sz="8" w:val="single"/>
        </w:tcBorders>
        <w:shd w:color="auto" w:fill="8064a2" w:val="clear"/>
      </w:tcPr>
    </w:tblStylePr>
    <w:tblStylePr w:type="lastRow">
      <w:rPr>
        <w:b w:val="1"/>
        <w:bCs w:val="1"/>
        <w:i w:val="0"/>
        <w:iCs w:val="0"/>
        <w:color w:val="cce8cf"/>
      </w:rPr>
      <w:tblPr/>
      <w:tcPr>
        <w:tcBorders>
          <w:top w:color="cce8cf" w:space="0" w:sz="24" w:val="single"/>
          <w:left w:color="cce8cf" w:space="0" w:sz="8" w:val="single"/>
          <w:bottom w:color="cce8cf" w:space="0" w:sz="8" w:val="single"/>
          <w:right w:color="cce8cf" w:space="0" w:sz="8" w:val="single"/>
          <w:insideH w:space="0" w:sz="0" w:val="nil"/>
          <w:insideV w:color="cce8cf" w:space="0" w:sz="8" w:val="single"/>
        </w:tcBorders>
        <w:shd w:color="auto" w:fill="8064a2" w:val="clear"/>
      </w:tcPr>
    </w:tblStylePr>
    <w:tblStylePr w:type="firstCol">
      <w:rPr>
        <w:b w:val="1"/>
        <w:bCs w:val="1"/>
        <w:i w:val="0"/>
        <w:iCs w:val="0"/>
        <w:color w:val="cce8cf"/>
      </w:rPr>
      <w:tblPr/>
      <w:tcPr>
        <w:tcBorders>
          <w:left w:color="cce8cf" w:space="0" w:sz="8" w:val="single"/>
          <w:right w:color="cce8cf" w:space="0" w:sz="24" w:val="single"/>
          <w:insideH w:space="0" w:sz="0" w:val="nil"/>
          <w:insideV w:space="0" w:sz="0" w:val="nil"/>
        </w:tcBorders>
        <w:shd w:color="auto" w:fill="8064a2" w:val="clear"/>
      </w:tcPr>
    </w:tblStylePr>
    <w:tblStylePr w:type="lastCol">
      <w:rPr>
        <w:b w:val="1"/>
        <w:bCs w:val="1"/>
        <w:i w:val="0"/>
        <w:iCs w:val="0"/>
        <w:color w:val="cce8cf"/>
      </w:rPr>
      <w:tblPr/>
      <w:tcPr>
        <w:tcBorders>
          <w:top w:space="0" w:sz="0" w:val="nil"/>
          <w:left w:color="cce8cf" w:space="0" w:sz="24" w:val="single"/>
          <w:bottom w:space="0" w:sz="0" w:val="nil"/>
          <w:right w:space="0" w:sz="0" w:val="nil"/>
          <w:insideH w:space="0" w:sz="0" w:val="nil"/>
          <w:insideV w:space="0" w:sz="0" w:val="nil"/>
        </w:tcBorders>
        <w:shd w:color="auto" w:fill="8064a2" w:val="clear"/>
      </w:tcPr>
    </w:tblStylePr>
    <w:tblStylePr w:type="band1Vert">
      <w:tblPr/>
      <w:tcPr>
        <w:tcBorders>
          <w:top w:color="cce8cf" w:space="0" w:sz="8" w:val="single"/>
          <w:left w:color="cce8cf" w:space="0" w:sz="8" w:val="single"/>
          <w:bottom w:color="cce8cf" w:space="0" w:sz="8" w:val="single"/>
          <w:right w:color="cce8cf" w:space="0" w:sz="8" w:val="single"/>
          <w:insideH w:space="0" w:sz="0" w:val="nil"/>
          <w:insideV w:space="0" w:sz="0" w:val="nil"/>
        </w:tcBorders>
        <w:shd w:color="auto" w:fill="bfb1d0" w:val="clear"/>
      </w:tcPr>
    </w:tblStylePr>
    <w:tblStylePr w:type="band1Horz">
      <w:tblPr/>
      <w:tcPr>
        <w:tcBorders>
          <w:top w:color="cce8cf" w:space="0" w:sz="8" w:val="single"/>
          <w:left w:color="cce8cf" w:space="0" w:sz="8" w:val="single"/>
          <w:bottom w:color="cce8cf" w:space="0" w:sz="8" w:val="single"/>
          <w:right w:color="cce8cf" w:space="0" w:sz="8" w:val="single"/>
          <w:insideH w:color="cce8cf" w:space="0" w:sz="8" w:val="single"/>
          <w:insideV w:color="cce8cf" w:space="0" w:sz="8" w:val="single"/>
        </w:tcBorders>
        <w:shd w:color="auto" w:fill="bfb1d0" w:val="clear"/>
      </w:tcPr>
    </w:tblStylePr>
  </w:style>
  <w:style w:type="table" w:styleId="MediumGrid3-Accent5">
    <w:name w:val="Medium Grid 3 Accent 5"/>
    <w:basedOn w:val="TableNormal"/>
    <w:uiPriority w:val="69"/>
    <w:pPr>
      <w:spacing w:after="200" w:line="276" w:lineRule="auto"/>
    </w:pPr>
    <w:rPr>
      <w:rFonts w:eastAsia="SimSun"/>
      <w:kern w:val="0"/>
    </w:rPr>
    <w:tblPr>
      <w:tblStyleRowBandSize w:val="1"/>
      <w:tblStyleColBandSize w:val="1"/>
      <w:tblBorders>
        <w:top w:color="cce8cf" w:space="0" w:sz="8" w:val="single"/>
        <w:left w:color="cce8cf" w:space="0" w:sz="8" w:val="single"/>
        <w:bottom w:color="cce8cf" w:space="0" w:sz="8" w:val="single"/>
        <w:right w:color="cce8cf" w:space="0" w:sz="8" w:val="single"/>
        <w:insideH w:color="cce8cf" w:space="0" w:sz="6" w:val="single"/>
        <w:insideV w:color="cce8cf" w:space="0" w:sz="6" w:val="single"/>
      </w:tblBorders>
      <w:shd w:color="auto" w:fill="d2eaf1" w:val="clear"/>
    </w:tblPr>
    <w:tcPr>
      <w:shd w:color="auto" w:fill="d2eaf1" w:val="clear"/>
    </w:tcPr>
    <w:tblStylePr w:type="firstRow">
      <w:rPr>
        <w:b w:val="1"/>
        <w:bCs w:val="1"/>
        <w:i w:val="0"/>
        <w:iCs w:val="0"/>
        <w:color w:val="cce8cf"/>
      </w:rPr>
      <w:tblPr/>
      <w:tcPr>
        <w:tcBorders>
          <w:top w:color="cce8cf" w:space="0" w:sz="8" w:val="single"/>
          <w:left w:color="cce8cf" w:space="0" w:sz="8" w:val="single"/>
          <w:bottom w:color="cce8cf" w:space="0" w:sz="24" w:val="single"/>
          <w:right w:color="cce8cf" w:space="0" w:sz="8" w:val="single"/>
          <w:insideH w:space="0" w:sz="0" w:val="nil"/>
          <w:insideV w:color="cce8cf" w:space="0" w:sz="8" w:val="single"/>
        </w:tcBorders>
        <w:shd w:color="auto" w:fill="4bacc6" w:val="clear"/>
      </w:tcPr>
    </w:tblStylePr>
    <w:tblStylePr w:type="lastRow">
      <w:rPr>
        <w:b w:val="1"/>
        <w:bCs w:val="1"/>
        <w:i w:val="0"/>
        <w:iCs w:val="0"/>
        <w:color w:val="cce8cf"/>
      </w:rPr>
      <w:tblPr/>
      <w:tcPr>
        <w:tcBorders>
          <w:top w:color="cce8cf" w:space="0" w:sz="24" w:val="single"/>
          <w:left w:color="cce8cf" w:space="0" w:sz="8" w:val="single"/>
          <w:bottom w:color="cce8cf" w:space="0" w:sz="8" w:val="single"/>
          <w:right w:color="cce8cf" w:space="0" w:sz="8" w:val="single"/>
          <w:insideH w:space="0" w:sz="0" w:val="nil"/>
          <w:insideV w:color="cce8cf" w:space="0" w:sz="8" w:val="single"/>
        </w:tcBorders>
        <w:shd w:color="auto" w:fill="4bacc6" w:val="clear"/>
      </w:tcPr>
    </w:tblStylePr>
    <w:tblStylePr w:type="firstCol">
      <w:rPr>
        <w:b w:val="1"/>
        <w:bCs w:val="1"/>
        <w:i w:val="0"/>
        <w:iCs w:val="0"/>
        <w:color w:val="cce8cf"/>
      </w:rPr>
      <w:tblPr/>
      <w:tcPr>
        <w:tcBorders>
          <w:left w:color="cce8cf" w:space="0" w:sz="8" w:val="single"/>
          <w:right w:color="cce8cf" w:space="0" w:sz="24" w:val="single"/>
          <w:insideH w:space="0" w:sz="0" w:val="nil"/>
          <w:insideV w:space="0" w:sz="0" w:val="nil"/>
        </w:tcBorders>
        <w:shd w:color="auto" w:fill="4bacc6" w:val="clear"/>
      </w:tcPr>
    </w:tblStylePr>
    <w:tblStylePr w:type="lastCol">
      <w:rPr>
        <w:b w:val="1"/>
        <w:bCs w:val="1"/>
        <w:i w:val="0"/>
        <w:iCs w:val="0"/>
        <w:color w:val="cce8cf"/>
      </w:rPr>
      <w:tblPr/>
      <w:tcPr>
        <w:tcBorders>
          <w:top w:space="0" w:sz="0" w:val="nil"/>
          <w:left w:color="cce8cf" w:space="0" w:sz="24" w:val="single"/>
          <w:bottom w:space="0" w:sz="0" w:val="nil"/>
          <w:right w:space="0" w:sz="0" w:val="nil"/>
          <w:insideH w:space="0" w:sz="0" w:val="nil"/>
          <w:insideV w:space="0" w:sz="0" w:val="nil"/>
        </w:tcBorders>
        <w:shd w:color="auto" w:fill="4bacc6" w:val="clear"/>
      </w:tcPr>
    </w:tblStylePr>
    <w:tblStylePr w:type="band1Vert">
      <w:tblPr/>
      <w:tcPr>
        <w:tcBorders>
          <w:top w:color="cce8cf" w:space="0" w:sz="8" w:val="single"/>
          <w:left w:color="cce8cf" w:space="0" w:sz="8" w:val="single"/>
          <w:bottom w:color="cce8cf" w:space="0" w:sz="8" w:val="single"/>
          <w:right w:color="cce8cf" w:space="0" w:sz="8" w:val="single"/>
          <w:insideH w:space="0" w:sz="0" w:val="nil"/>
          <w:insideV w:space="0" w:sz="0" w:val="nil"/>
        </w:tcBorders>
        <w:shd w:color="auto" w:fill="a5d5e2" w:val="clear"/>
      </w:tcPr>
    </w:tblStylePr>
    <w:tblStylePr w:type="band1Horz">
      <w:tblPr/>
      <w:tcPr>
        <w:tcBorders>
          <w:top w:color="cce8cf" w:space="0" w:sz="8" w:val="single"/>
          <w:left w:color="cce8cf" w:space="0" w:sz="8" w:val="single"/>
          <w:bottom w:color="cce8cf" w:space="0" w:sz="8" w:val="single"/>
          <w:right w:color="cce8cf" w:space="0" w:sz="8" w:val="single"/>
          <w:insideH w:color="cce8cf" w:space="0" w:sz="8" w:val="single"/>
          <w:insideV w:color="cce8cf" w:space="0" w:sz="8" w:val="single"/>
        </w:tcBorders>
        <w:shd w:color="auto" w:fill="a5d5e2" w:val="clear"/>
      </w:tcPr>
    </w:tblStylePr>
  </w:style>
  <w:style w:type="table" w:styleId="MediumGrid3-Accent6">
    <w:name w:val="Medium Grid 3 Accent 6"/>
    <w:basedOn w:val="TableNormal"/>
    <w:uiPriority w:val="69"/>
    <w:pPr>
      <w:spacing w:after="200" w:line="276" w:lineRule="auto"/>
    </w:pPr>
    <w:rPr>
      <w:rFonts w:eastAsia="SimSun"/>
      <w:kern w:val="0"/>
    </w:rPr>
    <w:tblPr>
      <w:tblStyleRowBandSize w:val="1"/>
      <w:tblStyleColBandSize w:val="1"/>
      <w:tblBorders>
        <w:top w:color="cce8cf" w:space="0" w:sz="8" w:val="single"/>
        <w:left w:color="cce8cf" w:space="0" w:sz="8" w:val="single"/>
        <w:bottom w:color="cce8cf" w:space="0" w:sz="8" w:val="single"/>
        <w:right w:color="cce8cf" w:space="0" w:sz="8" w:val="single"/>
        <w:insideH w:color="cce8cf" w:space="0" w:sz="6" w:val="single"/>
        <w:insideV w:color="cce8cf" w:space="0" w:sz="6" w:val="single"/>
      </w:tblBorders>
      <w:shd w:color="auto" w:fill="fde4d0" w:val="clear"/>
    </w:tblPr>
    <w:tcPr>
      <w:shd w:color="auto" w:fill="fde4d0" w:val="clear"/>
    </w:tcPr>
    <w:tblStylePr w:type="firstRow">
      <w:rPr>
        <w:b w:val="1"/>
        <w:bCs w:val="1"/>
        <w:i w:val="0"/>
        <w:iCs w:val="0"/>
        <w:color w:val="cce8cf"/>
      </w:rPr>
      <w:tblPr/>
      <w:tcPr>
        <w:tcBorders>
          <w:top w:color="cce8cf" w:space="0" w:sz="8" w:val="single"/>
          <w:left w:color="cce8cf" w:space="0" w:sz="8" w:val="single"/>
          <w:bottom w:color="cce8cf" w:space="0" w:sz="24" w:val="single"/>
          <w:right w:color="cce8cf" w:space="0" w:sz="8" w:val="single"/>
          <w:insideH w:space="0" w:sz="0" w:val="nil"/>
          <w:insideV w:color="cce8cf" w:space="0" w:sz="8" w:val="single"/>
        </w:tcBorders>
        <w:shd w:color="auto" w:fill="f79646" w:val="clear"/>
      </w:tcPr>
    </w:tblStylePr>
    <w:tblStylePr w:type="lastRow">
      <w:rPr>
        <w:b w:val="1"/>
        <w:bCs w:val="1"/>
        <w:i w:val="0"/>
        <w:iCs w:val="0"/>
        <w:color w:val="cce8cf"/>
      </w:rPr>
      <w:tblPr/>
      <w:tcPr>
        <w:tcBorders>
          <w:top w:color="cce8cf" w:space="0" w:sz="24" w:val="single"/>
          <w:left w:color="cce8cf" w:space="0" w:sz="8" w:val="single"/>
          <w:bottom w:color="cce8cf" w:space="0" w:sz="8" w:val="single"/>
          <w:right w:color="cce8cf" w:space="0" w:sz="8" w:val="single"/>
          <w:insideH w:space="0" w:sz="0" w:val="nil"/>
          <w:insideV w:color="cce8cf" w:space="0" w:sz="8" w:val="single"/>
        </w:tcBorders>
        <w:shd w:color="auto" w:fill="f79646" w:val="clear"/>
      </w:tcPr>
    </w:tblStylePr>
    <w:tblStylePr w:type="firstCol">
      <w:rPr>
        <w:b w:val="1"/>
        <w:bCs w:val="1"/>
        <w:i w:val="0"/>
        <w:iCs w:val="0"/>
        <w:color w:val="cce8cf"/>
      </w:rPr>
      <w:tblPr/>
      <w:tcPr>
        <w:tcBorders>
          <w:left w:color="cce8cf" w:space="0" w:sz="8" w:val="single"/>
          <w:right w:color="cce8cf" w:space="0" w:sz="24" w:val="single"/>
          <w:insideH w:space="0" w:sz="0" w:val="nil"/>
          <w:insideV w:space="0" w:sz="0" w:val="nil"/>
        </w:tcBorders>
        <w:shd w:color="auto" w:fill="f79646" w:val="clear"/>
      </w:tcPr>
    </w:tblStylePr>
    <w:tblStylePr w:type="lastCol">
      <w:rPr>
        <w:b w:val="1"/>
        <w:bCs w:val="1"/>
        <w:i w:val="0"/>
        <w:iCs w:val="0"/>
        <w:color w:val="cce8cf"/>
      </w:rPr>
      <w:tblPr/>
      <w:tcPr>
        <w:tcBorders>
          <w:top w:space="0" w:sz="0" w:val="nil"/>
          <w:left w:color="cce8cf" w:space="0" w:sz="24" w:val="single"/>
          <w:bottom w:space="0" w:sz="0" w:val="nil"/>
          <w:right w:space="0" w:sz="0" w:val="nil"/>
          <w:insideH w:space="0" w:sz="0" w:val="nil"/>
          <w:insideV w:space="0" w:sz="0" w:val="nil"/>
        </w:tcBorders>
        <w:shd w:color="auto" w:fill="f79646" w:val="clear"/>
      </w:tcPr>
    </w:tblStylePr>
    <w:tblStylePr w:type="band1Vert">
      <w:tblPr/>
      <w:tcPr>
        <w:tcBorders>
          <w:top w:color="cce8cf" w:space="0" w:sz="8" w:val="single"/>
          <w:left w:color="cce8cf" w:space="0" w:sz="8" w:val="single"/>
          <w:bottom w:color="cce8cf" w:space="0" w:sz="8" w:val="single"/>
          <w:right w:color="cce8cf" w:space="0" w:sz="8" w:val="single"/>
          <w:insideH w:space="0" w:sz="0" w:val="nil"/>
          <w:insideV w:space="0" w:sz="0" w:val="nil"/>
        </w:tcBorders>
        <w:shd w:color="auto" w:fill="fbcaa2" w:val="clear"/>
      </w:tcPr>
    </w:tblStylePr>
    <w:tblStylePr w:type="band1Horz">
      <w:tblPr/>
      <w:tcPr>
        <w:tcBorders>
          <w:top w:color="cce8cf" w:space="0" w:sz="8" w:val="single"/>
          <w:left w:color="cce8cf" w:space="0" w:sz="8" w:val="single"/>
          <w:bottom w:color="cce8cf" w:space="0" w:sz="8" w:val="single"/>
          <w:right w:color="cce8cf" w:space="0" w:sz="8" w:val="single"/>
          <w:insideH w:color="cce8cf" w:space="0" w:sz="8" w:val="single"/>
          <w:insideV w:color="cce8cf" w:space="0" w:sz="8" w:val="single"/>
        </w:tcBorders>
        <w:shd w:color="auto" w:fill="fbcaa2" w:val="clear"/>
      </w:tcPr>
    </w:tblStylePr>
  </w:style>
  <w:style w:type="paragraph" w:styleId="Pa20" w:customStyle="1">
    <w:name w:val="&quot;&quot;&quot;&quot;&quot;Pa2&quot;&quot;&quot;&quot;&quot;"/>
    <w:pPr>
      <w:autoSpaceDE w:val="0"/>
      <w:autoSpaceDN w:val="0"/>
      <w:adjustRightInd w:val="0"/>
      <w:spacing w:after="0" w:line="241" w:lineRule="atLeast"/>
    </w:pPr>
    <w:rPr>
      <w:rFonts w:ascii="Cambria" w:eastAsia="SimSun" w:hAnsi="Cambria"/>
      <w:kern w:val="0"/>
      <w:sz w:val="21"/>
      <w:szCs w:val="24"/>
    </w:rPr>
  </w:style>
  <w:style w:type="paragraph" w:styleId="Default1" w:customStyle="1">
    <w:name w:val="&quot;&quot;&quot;&quot;&quot;&quot;&quot;Default&quot;&quot;&quot;&quot;&quot;&quot;&quot;"/>
    <w:pPr>
      <w:autoSpaceDE w:val="0"/>
      <w:autoSpaceDN w:val="0"/>
      <w:adjustRightInd w:val="0"/>
      <w:spacing w:after="0" w:line="276" w:lineRule="auto"/>
    </w:pPr>
    <w:rPr>
      <w:rFonts w:ascii="Times New Roman" w:eastAsia="SimSun" w:hAnsi="Times New Roman"/>
      <w:color w:val="000000"/>
      <w:kern w:val="0"/>
      <w:sz w:val="24"/>
      <w:szCs w:val="24"/>
      <w:lang w:eastAsia="zh-CN"/>
    </w:rPr>
  </w:style>
  <w:style w:type="character" w:styleId="Heading1Char" w:customStyle="1">
    <w:name w:val="Heading 1 Char"/>
    <w:basedOn w:val="DefaultParagraphFont"/>
    <w:link w:val="Heading1"/>
    <w:uiPriority w:val="9"/>
    <w:rsid w:val="00BF7CAC"/>
    <w:rPr>
      <w:rFonts w:asciiTheme="majorHAnsi" w:cstheme="majorBidi" w:eastAsiaTheme="majorEastAsia" w:hAnsiTheme="majorHAnsi"/>
      <w:color w:val="2f5496" w:themeColor="accent1" w:themeShade="0000BF"/>
      <w:sz w:val="32"/>
      <w:szCs w:val="32"/>
    </w:rPr>
  </w:style>
  <w:style w:type="character" w:styleId="UnresolvedMention1" w:customStyle="1">
    <w:name w:val="Unresolved Mention1"/>
    <w:basedOn w:val="DefaultParagraphFont"/>
    <w:uiPriority w:val="99"/>
    <w:semiHidden w:val="1"/>
    <w:unhideWhenUsed w:val="1"/>
    <w:rsid w:val="00D703E0"/>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200" w:line="276" w:lineRule="auto"/>
    </w:pPr>
    <w:rPr>
      <w:color w:val="000000"/>
    </w:rPr>
    <w:tblPr>
      <w:tblStyleRowBandSize w:val="1"/>
      <w:tblStyleColBandSize w:val="1"/>
      <w:tblCellMar>
        <w:top w:w="0.0" w:type="dxa"/>
        <w:left w:w="115.0" w:type="dxa"/>
        <w:bottom w:w="0.0" w:type="dxa"/>
        <w:right w:w="115.0" w:type="dxa"/>
      </w:tblCellMar>
    </w:tblPr>
    <w:tcPr>
      <w:shd w:fill="fde4d0" w:val="clear"/>
    </w:tcPr>
  </w:style>
  <w:style w:type="table" w:styleId="Table2">
    <w:basedOn w:val="TableNormal"/>
    <w:pPr>
      <w:spacing w:after="200" w:line="276" w:lineRule="auto"/>
    </w:pPr>
    <w:rPr>
      <w:color w:val="000000"/>
    </w:rPr>
    <w:tblPr>
      <w:tblStyleRowBandSize w:val="1"/>
      <w:tblStyleColBandSize w:val="1"/>
      <w:tblCellMar>
        <w:top w:w="0.0" w:type="dxa"/>
        <w:left w:w="115.0" w:type="dxa"/>
        <w:bottom w:w="0.0" w:type="dxa"/>
        <w:right w:w="115.0" w:type="dxa"/>
      </w:tblCellMar>
    </w:tblPr>
    <w:tcPr>
      <w:shd w:fill="fde4d0" w:val="clear"/>
    </w:tc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chart" Target="charts/chart2.xml"/><Relationship Id="rId10" Type="http://schemas.openxmlformats.org/officeDocument/2006/relationships/chart" Target="charts/chart3.xml"/><Relationship Id="rId13" Type="http://schemas.openxmlformats.org/officeDocument/2006/relationships/header" Target="header1.xml"/><Relationship Id="rId12" Type="http://schemas.openxmlformats.org/officeDocument/2006/relationships/chart" Target="charts/chart4.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chart" Target="charts/chart1.xml"/><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CambriaMath-regular.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Log (CFU/g</c:v>
                </c:pt>
              </c:strCache>
            </c:strRef>
          </c:tx>
          <c:spPr>
            <a:solidFill>
              <a:schemeClr val="accent1"/>
            </a:solidFill>
            <a:ln>
              <a:noFill/>
            </a:ln>
            <a:effectLst/>
          </c:spPr>
          <c:invertIfNegative val="0"/>
          <c:cat>
            <c:numRef>
              <c:f>Sheet1!$A$2:$A$8</c:f>
              <c:numCache>
                <c:formatCode>General</c:formatCode>
                <c:ptCount val="7"/>
                <c:pt idx="0">
                  <c:v>0</c:v>
                </c:pt>
                <c:pt idx="1">
                  <c:v>0.5</c:v>
                </c:pt>
                <c:pt idx="2">
                  <c:v>1.5</c:v>
                </c:pt>
                <c:pt idx="3">
                  <c:v>2.5</c:v>
                </c:pt>
                <c:pt idx="4">
                  <c:v>3.5</c:v>
                </c:pt>
                <c:pt idx="5">
                  <c:v>4.5</c:v>
                </c:pt>
                <c:pt idx="6">
                  <c:v>5.5</c:v>
                </c:pt>
              </c:numCache>
            </c:numRef>
          </c:cat>
          <c:val>
            <c:numRef>
              <c:f>Sheet1!$B$2:$B$8</c:f>
              <c:numCache>
                <c:formatCode>General</c:formatCode>
                <c:ptCount val="7"/>
                <c:pt idx="0">
                  <c:v>6.27</c:v>
                </c:pt>
                <c:pt idx="1">
                  <c:v>6.0190000000000001</c:v>
                </c:pt>
                <c:pt idx="2">
                  <c:v>6.0190000000000001</c:v>
                </c:pt>
                <c:pt idx="3">
                  <c:v>5.8719999999999999</c:v>
                </c:pt>
                <c:pt idx="4">
                  <c:v>5.6529999999999996</c:v>
                </c:pt>
                <c:pt idx="5">
                  <c:v>5.5190000000000001</c:v>
                </c:pt>
                <c:pt idx="6">
                  <c:v>5.4390000000000001</c:v>
                </c:pt>
              </c:numCache>
            </c:numRef>
          </c:val>
          <c:extLst>
            <c:ext xmlns:c16="http://schemas.microsoft.com/office/drawing/2014/chart" uri="{C3380CC4-5D6E-409C-BE32-E72D297353CC}">
              <c16:uniqueId val="{00000000-F7B5-4DAC-9BF6-C2024C9577BC}"/>
            </c:ext>
          </c:extLst>
        </c:ser>
        <c:dLbls>
          <c:showLegendKey val="0"/>
          <c:showVal val="0"/>
          <c:showCatName val="0"/>
          <c:showSerName val="0"/>
          <c:showPercent val="0"/>
          <c:showBubbleSize val="0"/>
        </c:dLbls>
        <c:gapWidth val="219"/>
        <c:overlap val="-27"/>
        <c:axId val="4567392"/>
        <c:axId val="4575008"/>
      </c:barChart>
      <c:catAx>
        <c:axId val="4567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ascetic acid</a:t>
                </a:r>
                <a:r>
                  <a:rPr lang="en-US" i="0"/>
                  <a:t> (%)</a:t>
                </a:r>
              </a:p>
            </c:rich>
          </c:tx>
          <c:layout>
            <c:manualLayout>
              <c:xMode val="edge"/>
              <c:yMode val="edge"/>
              <c:x val="0.39131835083114613"/>
              <c:y val="0.919821272340957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5008"/>
        <c:crosses val="autoZero"/>
        <c:auto val="1"/>
        <c:lblAlgn val="ctr"/>
        <c:lblOffset val="100"/>
        <c:noMultiLvlLbl val="0"/>
      </c:catAx>
      <c:valAx>
        <c:axId val="4575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 CFU/g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7392"/>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Log (CFU/g</c:v>
                </c:pt>
              </c:strCache>
            </c:strRef>
          </c:tx>
          <c:spPr>
            <a:solidFill>
              <a:schemeClr val="accent1"/>
            </a:solidFill>
            <a:ln>
              <a:noFill/>
            </a:ln>
            <a:effectLst/>
          </c:spPr>
          <c:invertIfNegative val="0"/>
          <c:cat>
            <c:numRef>
              <c:f>Sheet1!$A$2:$A$8</c:f>
              <c:numCache>
                <c:formatCode>General</c:formatCode>
                <c:ptCount val="7"/>
                <c:pt idx="0">
                  <c:v>0</c:v>
                </c:pt>
                <c:pt idx="1">
                  <c:v>0.5</c:v>
                </c:pt>
                <c:pt idx="2">
                  <c:v>1.5</c:v>
                </c:pt>
                <c:pt idx="3">
                  <c:v>2.5</c:v>
                </c:pt>
                <c:pt idx="4">
                  <c:v>3.5</c:v>
                </c:pt>
                <c:pt idx="5">
                  <c:v>4.5</c:v>
                </c:pt>
                <c:pt idx="6">
                  <c:v>5.5</c:v>
                </c:pt>
              </c:numCache>
            </c:numRef>
          </c:cat>
          <c:val>
            <c:numRef>
              <c:f>Sheet1!$B$2:$B$8</c:f>
              <c:numCache>
                <c:formatCode>General</c:formatCode>
                <c:ptCount val="7"/>
                <c:pt idx="0">
                  <c:v>3.653</c:v>
                </c:pt>
                <c:pt idx="1">
                  <c:v>3.6019999999999999</c:v>
                </c:pt>
                <c:pt idx="2">
                  <c:v>3.484</c:v>
                </c:pt>
                <c:pt idx="3">
                  <c:v>3.13</c:v>
                </c:pt>
                <c:pt idx="4">
                  <c:v>2.9540000000000002</c:v>
                </c:pt>
                <c:pt idx="5">
                  <c:v>2.6989999999999998</c:v>
                </c:pt>
                <c:pt idx="6">
                  <c:v>2.3980000000000001</c:v>
                </c:pt>
              </c:numCache>
            </c:numRef>
          </c:val>
          <c:extLst>
            <c:ext xmlns:c16="http://schemas.microsoft.com/office/drawing/2014/chart" uri="{C3380CC4-5D6E-409C-BE32-E72D297353CC}">
              <c16:uniqueId val="{00000000-B0E2-4217-A625-ED1DCC6931E4}"/>
            </c:ext>
          </c:extLst>
        </c:ser>
        <c:dLbls>
          <c:showLegendKey val="0"/>
          <c:showVal val="0"/>
          <c:showCatName val="0"/>
          <c:showSerName val="0"/>
          <c:showPercent val="0"/>
          <c:showBubbleSize val="0"/>
        </c:dLbls>
        <c:gapWidth val="219"/>
        <c:overlap val="-27"/>
        <c:axId val="4567392"/>
        <c:axId val="4575008"/>
      </c:barChart>
      <c:catAx>
        <c:axId val="4567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ascetic acid (%)</a:t>
                </a:r>
                <a:r>
                  <a:rPr lang="en-US"/>
                  <a:t> </a:t>
                </a:r>
              </a:p>
            </c:rich>
          </c:tx>
          <c:layout>
            <c:manualLayout>
              <c:xMode val="edge"/>
              <c:yMode val="edge"/>
              <c:x val="0.39131835083114613"/>
              <c:y val="0.919821272340957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5008"/>
        <c:crosses val="autoZero"/>
        <c:auto val="1"/>
        <c:lblAlgn val="ctr"/>
        <c:lblOffset val="100"/>
        <c:noMultiLvlLbl val="0"/>
      </c:catAx>
      <c:valAx>
        <c:axId val="4575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 CFU/g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7392"/>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Log (CFU/g</c:v>
                </c:pt>
              </c:strCache>
            </c:strRef>
          </c:tx>
          <c:spPr>
            <a:solidFill>
              <a:schemeClr val="accent1"/>
            </a:solidFill>
            <a:ln>
              <a:noFill/>
            </a:ln>
            <a:effectLst/>
          </c:spPr>
          <c:invertIfNegative val="0"/>
          <c:cat>
            <c:numRef>
              <c:f>Sheet1!$A$2:$A$8</c:f>
              <c:numCache>
                <c:formatCode>General</c:formatCode>
                <c:ptCount val="7"/>
                <c:pt idx="0">
                  <c:v>0</c:v>
                </c:pt>
                <c:pt idx="1">
                  <c:v>0.5</c:v>
                </c:pt>
                <c:pt idx="2">
                  <c:v>1.5</c:v>
                </c:pt>
                <c:pt idx="3">
                  <c:v>2.5</c:v>
                </c:pt>
                <c:pt idx="4">
                  <c:v>3.5</c:v>
                </c:pt>
                <c:pt idx="5">
                  <c:v>4.5</c:v>
                </c:pt>
                <c:pt idx="6">
                  <c:v>5.5</c:v>
                </c:pt>
              </c:numCache>
            </c:numRef>
          </c:cat>
          <c:val>
            <c:numRef>
              <c:f>Sheet1!$B$2:$B$8</c:f>
              <c:numCache>
                <c:formatCode>General</c:formatCode>
                <c:ptCount val="7"/>
                <c:pt idx="0">
                  <c:v>4.3170000000000002</c:v>
                </c:pt>
                <c:pt idx="1">
                  <c:v>4.1900000000000004</c:v>
                </c:pt>
                <c:pt idx="2">
                  <c:v>4.1020000000000003</c:v>
                </c:pt>
                <c:pt idx="3">
                  <c:v>3.8889999999999998</c:v>
                </c:pt>
                <c:pt idx="4">
                  <c:v>3.802</c:v>
                </c:pt>
                <c:pt idx="5">
                  <c:v>3.6579999999999999</c:v>
                </c:pt>
                <c:pt idx="6">
                  <c:v>3.06</c:v>
                </c:pt>
              </c:numCache>
            </c:numRef>
          </c:val>
          <c:extLst>
            <c:ext xmlns:c16="http://schemas.microsoft.com/office/drawing/2014/chart" uri="{C3380CC4-5D6E-409C-BE32-E72D297353CC}">
              <c16:uniqueId val="{00000000-B4A4-44AB-904A-FBB92B98F787}"/>
            </c:ext>
          </c:extLst>
        </c:ser>
        <c:dLbls>
          <c:showLegendKey val="0"/>
          <c:showVal val="0"/>
          <c:showCatName val="0"/>
          <c:showSerName val="0"/>
          <c:showPercent val="0"/>
          <c:showBubbleSize val="0"/>
        </c:dLbls>
        <c:gapWidth val="219"/>
        <c:overlap val="-27"/>
        <c:axId val="4567392"/>
        <c:axId val="4575008"/>
      </c:barChart>
      <c:catAx>
        <c:axId val="4567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ascetic acid (%)</a:t>
                </a:r>
                <a:r>
                  <a:rPr lang="en-US"/>
                  <a:t> </a:t>
                </a:r>
              </a:p>
            </c:rich>
          </c:tx>
          <c:layout>
            <c:manualLayout>
              <c:xMode val="edge"/>
              <c:yMode val="edge"/>
              <c:x val="0.39131835083114613"/>
              <c:y val="0.919821272340957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5008"/>
        <c:crosses val="autoZero"/>
        <c:auto val="1"/>
        <c:lblAlgn val="ctr"/>
        <c:lblOffset val="100"/>
        <c:noMultiLvlLbl val="0"/>
      </c:catAx>
      <c:valAx>
        <c:axId val="4575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 CFU/g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7392"/>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Log (CFU/g</c:v>
                </c:pt>
              </c:strCache>
            </c:strRef>
          </c:tx>
          <c:spPr>
            <a:solidFill>
              <a:schemeClr val="accent1"/>
            </a:solidFill>
            <a:ln>
              <a:noFill/>
            </a:ln>
            <a:effectLst/>
          </c:spPr>
          <c:invertIfNegative val="0"/>
          <c:cat>
            <c:numRef>
              <c:f>Sheet1!$A$2:$A$8</c:f>
              <c:numCache>
                <c:formatCode>General</c:formatCode>
                <c:ptCount val="7"/>
                <c:pt idx="0">
                  <c:v>0</c:v>
                </c:pt>
                <c:pt idx="1">
                  <c:v>0.5</c:v>
                </c:pt>
                <c:pt idx="2">
                  <c:v>1.5</c:v>
                </c:pt>
                <c:pt idx="3">
                  <c:v>2.5</c:v>
                </c:pt>
                <c:pt idx="4">
                  <c:v>3.5</c:v>
                </c:pt>
                <c:pt idx="5">
                  <c:v>4.5</c:v>
                </c:pt>
                <c:pt idx="6">
                  <c:v>5.5</c:v>
                </c:pt>
              </c:numCache>
            </c:numRef>
          </c:cat>
          <c:val>
            <c:numRef>
              <c:f>Sheet1!$B$2:$B$8</c:f>
              <c:numCache>
                <c:formatCode>General</c:formatCode>
                <c:ptCount val="7"/>
                <c:pt idx="0">
                  <c:v>3.8159999999999998</c:v>
                </c:pt>
                <c:pt idx="1">
                  <c:v>3.7280000000000002</c:v>
                </c:pt>
                <c:pt idx="2">
                  <c:v>3.6429999999999998</c:v>
                </c:pt>
                <c:pt idx="3">
                  <c:v>3.423</c:v>
                </c:pt>
                <c:pt idx="4">
                  <c:v>3.3109999999999999</c:v>
                </c:pt>
                <c:pt idx="5">
                  <c:v>3.2429999999999999</c:v>
                </c:pt>
                <c:pt idx="6">
                  <c:v>2.903</c:v>
                </c:pt>
              </c:numCache>
            </c:numRef>
          </c:val>
          <c:extLst>
            <c:ext xmlns:c16="http://schemas.microsoft.com/office/drawing/2014/chart" uri="{C3380CC4-5D6E-409C-BE32-E72D297353CC}">
              <c16:uniqueId val="{00000000-572C-4BB8-82D3-A7CE31BD1929}"/>
            </c:ext>
          </c:extLst>
        </c:ser>
        <c:dLbls>
          <c:showLegendKey val="0"/>
          <c:showVal val="0"/>
          <c:showCatName val="0"/>
          <c:showSerName val="0"/>
          <c:showPercent val="0"/>
          <c:showBubbleSize val="0"/>
        </c:dLbls>
        <c:gapWidth val="219"/>
        <c:overlap val="-27"/>
        <c:axId val="4567392"/>
        <c:axId val="4575008"/>
      </c:barChart>
      <c:catAx>
        <c:axId val="4567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ascetic acid (%)</a:t>
                </a:r>
                <a:r>
                  <a:rPr lang="en-US"/>
                  <a:t> </a:t>
                </a:r>
              </a:p>
            </c:rich>
          </c:tx>
          <c:layout>
            <c:manualLayout>
              <c:xMode val="edge"/>
              <c:yMode val="edge"/>
              <c:x val="0.39131835083114613"/>
              <c:y val="0.919821272340957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5008"/>
        <c:crosses val="autoZero"/>
        <c:auto val="1"/>
        <c:lblAlgn val="ctr"/>
        <c:lblOffset val="100"/>
        <c:noMultiLvlLbl val="0"/>
      </c:catAx>
      <c:valAx>
        <c:axId val="4575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 CFU/g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7392"/>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XdZJb2bM1EKB+CippYzCD0ouTw==">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2024-02-07T18:50:00Z</dcterms:created>
  <dc:creator>CHISOM FREEDOM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e43b48bd23fd4dc4b2baeb149903db1a</vt:lpwstr>
  </property>
  <property fmtid="{D5CDD505-2E9C-101B-9397-08002B2CF9AE}" pid="3" name="ICV">
    <vt:lpwstr>e43b48bd23fd4dc4b2baeb149903db1a</vt:lpwstr>
  </property>
</Properties>
</file>