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FC091" w14:textId="2981EA63" w:rsidR="00A258C3" w:rsidRDefault="005B1FC0" w:rsidP="005B1FC0">
      <w:pPr>
        <w:pStyle w:val="Author"/>
        <w:spacing w:after="120" w:line="240" w:lineRule="auto"/>
        <w:rPr>
          <w:rFonts w:ascii="Arial" w:hAnsi="Arial" w:cs="Arial"/>
          <w:bCs/>
          <w:iCs/>
          <w:kern w:val="28"/>
          <w:sz w:val="36"/>
        </w:rPr>
      </w:pPr>
      <w:r w:rsidRPr="005B1FC0">
        <w:rPr>
          <w:rFonts w:ascii="Arial" w:hAnsi="Arial" w:cs="Arial"/>
          <w:bCs/>
          <w:iCs/>
          <w:kern w:val="28"/>
          <w:sz w:val="36"/>
        </w:rPr>
        <w:t xml:space="preserve">Changes in Some Physicochemical Properties of Loamy Sand </w:t>
      </w:r>
      <w:commentRangeStart w:id="0"/>
      <w:r w:rsidRPr="00DA5C3F">
        <w:rPr>
          <w:rFonts w:ascii="Arial" w:hAnsi="Arial" w:cs="Arial"/>
          <w:bCs/>
          <w:iCs/>
          <w:color w:val="C00000"/>
          <w:kern w:val="28"/>
          <w:sz w:val="36"/>
        </w:rPr>
        <w:t>Texture</w:t>
      </w:r>
      <w:commentRangeEnd w:id="0"/>
      <w:r w:rsidR="00DA5C3F">
        <w:rPr>
          <w:rStyle w:val="CommentReference"/>
          <w:rFonts w:ascii="Times New Roman" w:hAnsi="Times New Roman"/>
          <w:b w:val="0"/>
          <w:lang w:val="nb-NO" w:eastAsia="nb-NO"/>
        </w:rPr>
        <w:commentReference w:id="0"/>
      </w:r>
      <w:r w:rsidRPr="005B1FC0">
        <w:rPr>
          <w:rFonts w:ascii="Arial" w:hAnsi="Arial" w:cs="Arial"/>
          <w:bCs/>
          <w:iCs/>
          <w:kern w:val="28"/>
          <w:sz w:val="36"/>
        </w:rPr>
        <w:t xml:space="preserve"> Soil Using Different Organic </w:t>
      </w:r>
      <w:r w:rsidR="00B50E9B">
        <w:rPr>
          <w:rFonts w:ascii="Arial" w:hAnsi="Arial" w:cs="Arial"/>
          <w:bCs/>
          <w:iCs/>
          <w:kern w:val="28"/>
          <w:sz w:val="36"/>
        </w:rPr>
        <w:t>Materials</w:t>
      </w:r>
    </w:p>
    <w:p w14:paraId="2A8F94FC" w14:textId="77777777" w:rsidR="009F69A3" w:rsidRPr="00790ADA" w:rsidRDefault="009F69A3" w:rsidP="005B1FC0">
      <w:pPr>
        <w:pStyle w:val="Author"/>
        <w:spacing w:after="120" w:line="240" w:lineRule="auto"/>
        <w:rPr>
          <w:rFonts w:ascii="Arial" w:hAnsi="Arial" w:cs="Arial"/>
          <w:sz w:val="36"/>
        </w:rPr>
      </w:pPr>
    </w:p>
    <w:p w14:paraId="3EC010C0" w14:textId="77777777" w:rsidR="004E614A" w:rsidRDefault="004E614A" w:rsidP="00085C7C">
      <w:pPr>
        <w:pStyle w:val="Copyright"/>
        <w:spacing w:after="0" w:line="240" w:lineRule="auto"/>
        <w:jc w:val="both"/>
        <w:rPr>
          <w:rFonts w:ascii="Arial" w:hAnsi="Arial" w:cs="Arial"/>
        </w:rPr>
      </w:pPr>
    </w:p>
    <w:p w14:paraId="28395CDD" w14:textId="77777777" w:rsidR="004E614A" w:rsidRDefault="004E614A" w:rsidP="00085C7C">
      <w:pPr>
        <w:pStyle w:val="Copyright"/>
        <w:spacing w:after="0" w:line="240" w:lineRule="auto"/>
        <w:jc w:val="both"/>
        <w:rPr>
          <w:rFonts w:ascii="Arial" w:hAnsi="Arial" w:cs="Arial"/>
        </w:rPr>
      </w:pPr>
    </w:p>
    <w:p w14:paraId="5E565F22" w14:textId="77777777" w:rsidR="004E614A" w:rsidRDefault="004E614A" w:rsidP="00085C7C">
      <w:pPr>
        <w:pStyle w:val="Copyright"/>
        <w:spacing w:after="0" w:line="240" w:lineRule="auto"/>
        <w:jc w:val="both"/>
        <w:rPr>
          <w:rFonts w:ascii="Arial" w:hAnsi="Arial" w:cs="Arial"/>
        </w:rPr>
      </w:pPr>
    </w:p>
    <w:p w14:paraId="543EAA87" w14:textId="77777777" w:rsidR="004E614A" w:rsidRDefault="004E614A" w:rsidP="00085C7C">
      <w:pPr>
        <w:pStyle w:val="Copyright"/>
        <w:spacing w:after="0" w:line="240" w:lineRule="auto"/>
        <w:jc w:val="both"/>
        <w:rPr>
          <w:rFonts w:ascii="Arial" w:hAnsi="Arial" w:cs="Arial"/>
        </w:rPr>
      </w:pPr>
    </w:p>
    <w:p w14:paraId="207E2FA5" w14:textId="77777777" w:rsidR="004E614A" w:rsidRDefault="004E614A" w:rsidP="00085C7C">
      <w:pPr>
        <w:pStyle w:val="Copyright"/>
        <w:spacing w:after="0" w:line="240" w:lineRule="auto"/>
        <w:jc w:val="both"/>
        <w:rPr>
          <w:rFonts w:ascii="Arial" w:hAnsi="Arial" w:cs="Arial"/>
        </w:rPr>
      </w:pPr>
    </w:p>
    <w:p w14:paraId="426D1443" w14:textId="77777777" w:rsidR="004E614A" w:rsidRDefault="004E614A" w:rsidP="00085C7C">
      <w:pPr>
        <w:pStyle w:val="Copyright"/>
        <w:spacing w:after="0" w:line="240" w:lineRule="auto"/>
        <w:jc w:val="both"/>
        <w:rPr>
          <w:rFonts w:ascii="Arial" w:hAnsi="Arial" w:cs="Arial"/>
        </w:rPr>
      </w:pPr>
    </w:p>
    <w:p w14:paraId="73B0BDDD" w14:textId="77777777" w:rsidR="004E614A" w:rsidRDefault="004E614A" w:rsidP="00085C7C">
      <w:pPr>
        <w:pStyle w:val="Copyright"/>
        <w:spacing w:after="0" w:line="240" w:lineRule="auto"/>
        <w:jc w:val="both"/>
        <w:rPr>
          <w:rFonts w:ascii="Arial" w:hAnsi="Arial" w:cs="Arial"/>
        </w:rPr>
      </w:pPr>
    </w:p>
    <w:p w14:paraId="251DF521" w14:textId="77777777" w:rsidR="004E614A" w:rsidRDefault="004E614A" w:rsidP="00085C7C">
      <w:pPr>
        <w:pStyle w:val="Copyright"/>
        <w:spacing w:after="0" w:line="240" w:lineRule="auto"/>
        <w:jc w:val="both"/>
        <w:rPr>
          <w:rFonts w:ascii="Arial" w:hAnsi="Arial" w:cs="Arial"/>
        </w:rPr>
      </w:pPr>
    </w:p>
    <w:p w14:paraId="7ABF21EB" w14:textId="5E70B6B4" w:rsidR="00085C7C" w:rsidRDefault="00FB3A86" w:rsidP="00085C7C">
      <w:pPr>
        <w:pStyle w:val="Copyright"/>
        <w:spacing w:after="0" w:line="240" w:lineRule="auto"/>
        <w:jc w:val="both"/>
        <w:rPr>
          <w:rFonts w:ascii="Arial" w:hAnsi="Arial" w:cs="Arial"/>
        </w:rPr>
      </w:pPr>
      <w:r>
        <w:rPr>
          <w:rFonts w:ascii="Arial" w:hAnsi="Arial" w:cs="Arial"/>
        </w:rPr>
        <w:t>.</w:t>
      </w:r>
    </w:p>
    <w:p w14:paraId="542F1D30" w14:textId="2D1787BD" w:rsidR="00B01FCD" w:rsidRPr="00085C7C" w:rsidRDefault="00B01FCD" w:rsidP="00085C7C">
      <w:pPr>
        <w:pStyle w:val="Copyright"/>
        <w:spacing w:after="0" w:line="240" w:lineRule="auto"/>
        <w:jc w:val="both"/>
        <w:rPr>
          <w:rFonts w:ascii="Arial" w:hAnsi="Arial" w:cs="Arial"/>
          <w:b/>
          <w:bCs/>
          <w:sz w:val="24"/>
          <w:szCs w:val="24"/>
        </w:rPr>
      </w:pPr>
      <w:r w:rsidRPr="00085C7C">
        <w:rPr>
          <w:rFonts w:ascii="Arial" w:hAnsi="Arial" w:cs="Arial"/>
          <w:b/>
          <w:bCs/>
          <w:sz w:val="24"/>
          <w:szCs w:val="24"/>
        </w:rPr>
        <w:t>ABSTRACT</w:t>
      </w:r>
      <w:r w:rsidR="0066510A" w:rsidRPr="00085C7C">
        <w:rPr>
          <w:rFonts w:ascii="Arial" w:hAnsi="Arial" w:cs="Arial"/>
          <w:b/>
          <w:bCs/>
          <w:sz w:val="24"/>
          <w:szCs w:val="24"/>
        </w:rPr>
        <w:t xml:space="preserve"> </w:t>
      </w:r>
    </w:p>
    <w:p w14:paraId="2E7F8C5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57"/>
      </w:tblGrid>
      <w:tr w:rsidR="00296529" w:rsidRPr="001E44FE" w14:paraId="75AE5BC4" w14:textId="77777777" w:rsidTr="009812DC">
        <w:trPr>
          <w:jc w:val="center"/>
        </w:trPr>
        <w:tc>
          <w:tcPr>
            <w:tcW w:w="10057" w:type="dxa"/>
            <w:shd w:val="clear" w:color="auto" w:fill="F2F2F2"/>
          </w:tcPr>
          <w:p w14:paraId="1C54A0ED" w14:textId="392BA3A8" w:rsidR="00505F06" w:rsidRPr="009812DC" w:rsidRDefault="00B50E9B" w:rsidP="009812DC">
            <w:pPr>
              <w:ind w:firstLine="669"/>
              <w:jc w:val="both"/>
              <w:rPr>
                <w:rFonts w:ascii="Arial" w:hAnsi="Arial" w:cs="Arial"/>
              </w:rPr>
            </w:pPr>
            <w:commentRangeStart w:id="1"/>
            <w:r w:rsidRPr="00B50E9B">
              <w:rPr>
                <w:rFonts w:ascii="Arial" w:hAnsi="Arial" w:cs="Arial"/>
              </w:rPr>
              <w:t>Soil</w:t>
            </w:r>
            <w:commentRangeEnd w:id="1"/>
            <w:r w:rsidR="00DA5C3F">
              <w:rPr>
                <w:rStyle w:val="CommentReference"/>
                <w:rFonts w:ascii="Times New Roman" w:hAnsi="Times New Roman"/>
                <w:lang w:val="nb-NO" w:eastAsia="nb-NO"/>
              </w:rPr>
              <w:commentReference w:id="1"/>
            </w:r>
            <w:r w:rsidRPr="00B50E9B">
              <w:rPr>
                <w:rFonts w:ascii="Arial" w:hAnsi="Arial" w:cs="Arial"/>
              </w:rPr>
              <w:t xml:space="preserve"> degradation in sandy soils poses a major challenge to agricultural productivity, necessitating sustainable amendments to enhance soil quality.</w:t>
            </w:r>
            <w:r>
              <w:rPr>
                <w:rFonts w:ascii="Arial" w:hAnsi="Arial" w:cs="Arial"/>
              </w:rPr>
              <w:t xml:space="preserve"> </w:t>
            </w:r>
            <w:r w:rsidR="009812DC" w:rsidRPr="008C619A">
              <w:rPr>
                <w:rFonts w:ascii="Arial" w:hAnsi="Arial" w:cs="Arial"/>
              </w:rPr>
              <w:t xml:space="preserve">This laboratory incubation study, lasting 120 days, evaluated the effects of various organic </w:t>
            </w:r>
            <w:r>
              <w:rPr>
                <w:rFonts w:ascii="Arial" w:hAnsi="Arial" w:cs="Arial"/>
              </w:rPr>
              <w:t>materials</w:t>
            </w:r>
            <w:r w:rsidR="009812DC" w:rsidRPr="008C619A">
              <w:rPr>
                <w:rFonts w:ascii="Arial" w:hAnsi="Arial" w:cs="Arial"/>
              </w:rPr>
              <w:t xml:space="preserve"> on the physicochemical properties of loamy sand soil using a Completely Randomized Design (CRD) with four replicat</w:t>
            </w:r>
            <w:r w:rsidR="009812DC">
              <w:rPr>
                <w:rFonts w:ascii="Arial" w:hAnsi="Arial" w:cs="Arial"/>
              </w:rPr>
              <w:t>ion</w:t>
            </w:r>
            <w:r w:rsidR="009812DC" w:rsidRPr="008C619A">
              <w:rPr>
                <w:rFonts w:ascii="Arial" w:hAnsi="Arial" w:cs="Arial"/>
              </w:rPr>
              <w:t xml:space="preserve">s. The individual </w:t>
            </w:r>
            <w:r>
              <w:rPr>
                <w:rFonts w:ascii="Arial" w:hAnsi="Arial" w:cs="Arial"/>
              </w:rPr>
              <w:t>materials</w:t>
            </w:r>
            <w:r w:rsidR="009812DC" w:rsidRPr="008C619A">
              <w:rPr>
                <w:rFonts w:ascii="Arial" w:hAnsi="Arial" w:cs="Arial"/>
              </w:rPr>
              <w:t xml:space="preserve"> included cow dung manure, chicken manure, rice straw, and maize straw, along with five combination treatments (e.g., ½ cow dung + ½ rice straw), with unamended soil serving as the control. Key soil parameters</w:t>
            </w:r>
            <w:r w:rsidR="009812DC">
              <w:rPr>
                <w:rFonts w:ascii="Arial" w:hAnsi="Arial" w:cs="Arial"/>
              </w:rPr>
              <w:t xml:space="preserve"> such as </w:t>
            </w:r>
            <w:r w:rsidR="009812DC" w:rsidRPr="008C619A">
              <w:rPr>
                <w:rFonts w:ascii="Arial" w:hAnsi="Arial" w:cs="Arial"/>
              </w:rPr>
              <w:t>bulk density (BD), pH, organic carbon (OC), total nitrogen (TN), available phosphorus (P), available potassium (K), cation exchange capacity (CEC), and water holding capacity (WHC)</w:t>
            </w:r>
            <w:r w:rsidR="009812DC">
              <w:rPr>
                <w:rFonts w:ascii="Arial" w:hAnsi="Arial" w:cs="Arial"/>
              </w:rPr>
              <w:t xml:space="preserve"> </w:t>
            </w:r>
            <w:r w:rsidR="009812DC" w:rsidRPr="008C619A">
              <w:rPr>
                <w:rFonts w:ascii="Arial" w:hAnsi="Arial" w:cs="Arial"/>
              </w:rPr>
              <w:t xml:space="preserve">were analyzed post-incubation. Results indicated that maize straw (T5) most effectively reduced </w:t>
            </w:r>
            <w:r w:rsidR="009812DC">
              <w:rPr>
                <w:rFonts w:ascii="Arial" w:hAnsi="Arial" w:cs="Arial"/>
              </w:rPr>
              <w:t>BD</w:t>
            </w:r>
            <w:r w:rsidR="009812DC" w:rsidRPr="008C619A">
              <w:rPr>
                <w:rFonts w:ascii="Arial" w:hAnsi="Arial" w:cs="Arial"/>
              </w:rPr>
              <w:t xml:space="preserve"> to 1.20 g cm</w:t>
            </w:r>
            <w:r w:rsidR="009812DC" w:rsidRPr="008C619A">
              <w:rPr>
                <w:rFonts w:ascii="Cambria Math" w:hAnsi="Cambria Math" w:cs="Cambria Math"/>
              </w:rPr>
              <w:t>⁻</w:t>
            </w:r>
            <w:r w:rsidR="009812DC" w:rsidRPr="008C619A">
              <w:rPr>
                <w:rFonts w:ascii="Arial" w:hAnsi="Arial" w:cs="Arial"/>
              </w:rPr>
              <w:t xml:space="preserve">³, implying improved soil structure, likely due to its high lignin content and resistance to rapid decomposition. All </w:t>
            </w:r>
            <w:r>
              <w:rPr>
                <w:rFonts w:ascii="Arial" w:hAnsi="Arial" w:cs="Arial"/>
              </w:rPr>
              <w:t>materials</w:t>
            </w:r>
            <w:r w:rsidR="009812DC" w:rsidRPr="008C619A">
              <w:rPr>
                <w:rFonts w:ascii="Arial" w:hAnsi="Arial" w:cs="Arial"/>
              </w:rPr>
              <w:t xml:space="preserve"> increased soil OC and TN, with maize straw yielding the highest OC at 1.83% and chicken manure providing the highest TN at 786.75 ppm. Chicken manure also significantly enhanced available P (28.87 mg kg</w:t>
            </w:r>
            <w:r w:rsidR="009812DC" w:rsidRPr="008C619A">
              <w:rPr>
                <w:rFonts w:ascii="Cambria Math" w:hAnsi="Cambria Math" w:cs="Cambria Math"/>
              </w:rPr>
              <w:t>⁻</w:t>
            </w:r>
            <w:r w:rsidR="009812DC" w:rsidRPr="008C619A">
              <w:rPr>
                <w:rFonts w:ascii="Arial" w:hAnsi="Arial" w:cs="Arial"/>
              </w:rPr>
              <w:t>¹), available K (85.00 mg kg</w:t>
            </w:r>
            <w:r w:rsidR="009812DC" w:rsidRPr="008C619A">
              <w:rPr>
                <w:rFonts w:ascii="Cambria Math" w:hAnsi="Cambria Math" w:cs="Cambria Math"/>
              </w:rPr>
              <w:t>⁻</w:t>
            </w:r>
            <w:r w:rsidR="009812DC" w:rsidRPr="008C619A">
              <w:rPr>
                <w:rFonts w:ascii="Arial" w:hAnsi="Arial" w:cs="Arial"/>
              </w:rPr>
              <w:t>¹), and CEC (16.44 cmolc kg</w:t>
            </w:r>
            <w:r w:rsidR="009812DC" w:rsidRPr="008C619A">
              <w:rPr>
                <w:rFonts w:ascii="Cambria Math" w:hAnsi="Cambria Math" w:cs="Cambria Math"/>
              </w:rPr>
              <w:t>⁻</w:t>
            </w:r>
            <w:r w:rsidR="009812DC" w:rsidRPr="008C619A">
              <w:rPr>
                <w:rFonts w:ascii="Arial" w:hAnsi="Arial" w:cs="Arial"/>
              </w:rPr>
              <w:t xml:space="preserve">¹). However, all organic </w:t>
            </w:r>
            <w:r>
              <w:rPr>
                <w:rFonts w:ascii="Arial" w:hAnsi="Arial" w:cs="Arial"/>
              </w:rPr>
              <w:t>materials</w:t>
            </w:r>
            <w:r w:rsidR="009812DC" w:rsidRPr="008C619A">
              <w:rPr>
                <w:rFonts w:ascii="Arial" w:hAnsi="Arial" w:cs="Arial"/>
              </w:rPr>
              <w:t xml:space="preserve"> induced soil acidification, with the greatest reduction in pH observed in straw-amended treatments (T4: pH 4.83; T5: pH 4.79), attributed to the release of organic acids and nitrification processes. Correlation analysis revealed significant relationships: a very strong negative correlation between OC and pH (r = –0.97**, p &lt; 0.01), and a very strong positive correlation between OC and WHC (r = 0.95**, p &lt; 0.01). CEC showed very strong positive correlations with available P (r = 0.89**, p &lt; 0.01) and available K (r = 0.88**, p &lt; 0.01), and a strong correlation with TN (r = 0.84**, p &lt; 0.01). Additionally, BD was highly negatively correlated with porosity (r = –0.92**, p &lt; 0.01) and moderately correlated with OC (r = –0.64*, p &lt; 0.05). These findings demonstrate that organic </w:t>
            </w:r>
            <w:r>
              <w:rPr>
                <w:rFonts w:ascii="Arial" w:hAnsi="Arial" w:cs="Arial"/>
              </w:rPr>
              <w:t>materials</w:t>
            </w:r>
            <w:r w:rsidR="009812DC" w:rsidRPr="008C619A">
              <w:rPr>
                <w:rFonts w:ascii="Arial" w:hAnsi="Arial" w:cs="Arial"/>
              </w:rPr>
              <w:t xml:space="preserve">, particularly maize straw for improving physical properties and chicken manure for enhancing nutrient availability, significantly improve the physicochemical quality of loamy sand soils. While combined </w:t>
            </w:r>
            <w:r>
              <w:rPr>
                <w:rFonts w:ascii="Arial" w:hAnsi="Arial" w:cs="Arial"/>
              </w:rPr>
              <w:t>materials</w:t>
            </w:r>
            <w:r w:rsidR="009812DC" w:rsidRPr="008C619A">
              <w:rPr>
                <w:rFonts w:ascii="Arial" w:hAnsi="Arial" w:cs="Arial"/>
              </w:rPr>
              <w:t xml:space="preserve"> showed intermediate benefits, the consistent acidifying effect permits careful management in long-term applications. </w:t>
            </w:r>
          </w:p>
        </w:tc>
        <w:bookmarkStart w:id="2" w:name="_GoBack"/>
        <w:bookmarkEnd w:id="2"/>
      </w:tr>
    </w:tbl>
    <w:p w14:paraId="3D036CD5" w14:textId="77777777" w:rsidR="00636EB2" w:rsidRDefault="00636EB2" w:rsidP="00441B6F">
      <w:pPr>
        <w:pStyle w:val="Body"/>
        <w:spacing w:after="0"/>
        <w:rPr>
          <w:rFonts w:ascii="Arial" w:hAnsi="Arial" w:cs="Arial"/>
          <w:i/>
        </w:rPr>
      </w:pPr>
    </w:p>
    <w:p w14:paraId="21E01492" w14:textId="191E874E" w:rsidR="00790ADA" w:rsidRDefault="00A24E7E" w:rsidP="009812DC">
      <w:pPr>
        <w:pStyle w:val="Body"/>
        <w:spacing w:after="0"/>
        <w:ind w:left="990" w:hanging="990"/>
        <w:rPr>
          <w:rFonts w:ascii="Arial" w:hAnsi="Arial" w:cs="Arial"/>
          <w:i/>
        </w:rPr>
      </w:pPr>
      <w:r>
        <w:rPr>
          <w:rFonts w:ascii="Arial" w:hAnsi="Arial" w:cs="Arial"/>
          <w:i/>
        </w:rPr>
        <w:t xml:space="preserve">Keywords: </w:t>
      </w:r>
      <w:r w:rsidR="00650980" w:rsidRPr="00650980">
        <w:rPr>
          <w:rFonts w:ascii="Arial" w:hAnsi="Arial" w:cs="Arial"/>
          <w:i/>
        </w:rPr>
        <w:t xml:space="preserve">Organic </w:t>
      </w:r>
      <w:r w:rsidR="00B50E9B">
        <w:rPr>
          <w:rFonts w:ascii="Arial" w:hAnsi="Arial" w:cs="Arial"/>
          <w:i/>
        </w:rPr>
        <w:t>materials</w:t>
      </w:r>
      <w:r w:rsidR="00650980" w:rsidRPr="00650980">
        <w:rPr>
          <w:rFonts w:ascii="Arial" w:hAnsi="Arial" w:cs="Arial"/>
          <w:i/>
        </w:rPr>
        <w:t>, loamy sand soil, physicochemical properties, incubation study</w:t>
      </w:r>
    </w:p>
    <w:p w14:paraId="142AA504" w14:textId="77777777" w:rsidR="00505F06" w:rsidRPr="00A24E7E" w:rsidRDefault="00505F06" w:rsidP="00441B6F">
      <w:pPr>
        <w:pStyle w:val="Body"/>
        <w:spacing w:after="0"/>
        <w:rPr>
          <w:rFonts w:ascii="Arial" w:hAnsi="Arial" w:cs="Arial"/>
          <w:i/>
        </w:rPr>
      </w:pPr>
    </w:p>
    <w:p w14:paraId="530FD6D9" w14:textId="22FBEA10" w:rsidR="00790ADA" w:rsidRPr="00FB3A86" w:rsidRDefault="00902823" w:rsidP="00650980">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436E3C" w14:textId="3C2321ED"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Soil fertility is crucial for sustainable agriculture, particularly in developing countries like Myanmar, where crop production relies heavily on natural soil resources (Lal, 2008). The agricultural sector significantly contributes to the national economy and provides employment for a large portion of the population (Aye, 2022). However, many farming regions in Myanmar face challenges such as declining soil fertility, low organic matter </w:t>
      </w:r>
      <w:r w:rsidR="00336EC4">
        <w:rPr>
          <w:rFonts w:ascii="Arial" w:hAnsi="Arial" w:cs="Arial"/>
          <w:color w:val="2C2C36"/>
          <w:spacing w:val="5"/>
        </w:rPr>
        <w:t xml:space="preserve">(OM) </w:t>
      </w:r>
      <w:r w:rsidRPr="00281E13">
        <w:rPr>
          <w:rFonts w:ascii="Arial" w:hAnsi="Arial" w:cs="Arial"/>
          <w:color w:val="2C2C36"/>
          <w:spacing w:val="5"/>
        </w:rPr>
        <w:t>content, and poor nutrient retention</w:t>
      </w:r>
      <w:r w:rsidR="0054059F">
        <w:rPr>
          <w:rFonts w:ascii="Arial" w:hAnsi="Arial" w:cs="Arial"/>
          <w:color w:val="2C2C36"/>
          <w:spacing w:val="5"/>
        </w:rPr>
        <w:t xml:space="preserve"> </w:t>
      </w:r>
      <w:r w:rsidRPr="00281E13">
        <w:rPr>
          <w:rFonts w:ascii="Arial" w:hAnsi="Arial" w:cs="Arial"/>
          <w:color w:val="2C2C36"/>
          <w:spacing w:val="5"/>
        </w:rPr>
        <w:t>especially in sandy soils, which are less capable of supporting intensive cultivation (Shrestha, Thinn &amp; Qasim, 2019).</w:t>
      </w:r>
    </w:p>
    <w:p w14:paraId="269C6C23" w14:textId="28FF99EE" w:rsidR="00650980" w:rsidRPr="00281E13" w:rsidRDefault="00650980" w:rsidP="00085C7C">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These challenges are exacerbated by traditional farming practices that often depend heavily on chemical fertilizers, which can result in soil degradation and decreased long-term productivity (Zhang et al., 2021). Loamy sand soils</w:t>
      </w:r>
      <w:r w:rsidR="00B50E9B">
        <w:rPr>
          <w:rFonts w:ascii="Arial" w:hAnsi="Arial" w:cs="Arial"/>
          <w:color w:val="2C2C36"/>
          <w:spacing w:val="5"/>
        </w:rPr>
        <w:t xml:space="preserve"> </w:t>
      </w:r>
      <w:r w:rsidRPr="00281E13">
        <w:rPr>
          <w:rFonts w:ascii="Arial" w:hAnsi="Arial" w:cs="Arial"/>
          <w:color w:val="2C2C36"/>
          <w:spacing w:val="5"/>
        </w:rPr>
        <w:t>are particularly vulnerable due to their coarse texture, low cation exchange capacity (CEC), and limited water-holding capacity (Hillel, 2004). These soils frequently have insufficient levels of essential nutrients such as nitrogen (N), phosphorus (P), and potassium (K), making them unsuitable for sustainable crop production without effective management strategies.</w:t>
      </w:r>
      <w:r w:rsidR="00085C7C">
        <w:rPr>
          <w:rFonts w:ascii="Arial" w:hAnsi="Arial" w:cs="Arial"/>
          <w:color w:val="2C2C36"/>
          <w:spacing w:val="5"/>
        </w:rPr>
        <w:t xml:space="preserve"> </w:t>
      </w:r>
      <w:r w:rsidRPr="00281E13">
        <w:rPr>
          <w:rFonts w:ascii="Arial" w:hAnsi="Arial" w:cs="Arial"/>
          <w:color w:val="2C2C36"/>
          <w:spacing w:val="5"/>
        </w:rPr>
        <w:t xml:space="preserve">Improving the physical and chemical properties of these soils is essential for enhancing agricultural productivity and maintaining soil health over time. One promising strategy is the use of organic </w:t>
      </w:r>
      <w:r w:rsidR="00B50E9B">
        <w:rPr>
          <w:rFonts w:ascii="Arial" w:hAnsi="Arial" w:cs="Arial"/>
          <w:color w:val="2C2C36"/>
          <w:spacing w:val="5"/>
        </w:rPr>
        <w:t>materials</w:t>
      </w:r>
      <w:r w:rsidRPr="00281E13">
        <w:rPr>
          <w:rFonts w:ascii="Arial" w:hAnsi="Arial" w:cs="Arial"/>
          <w:color w:val="2C2C36"/>
          <w:spacing w:val="5"/>
        </w:rPr>
        <w:t>, such as animal manures and crop residues, which are readily available in rural Myanmar. These materials present a cost-effective and environmentally friendly alternative to synthetic fertilizers (Codling and Jaja, 2021). Organic inputs can improve soil structure, increase nutrient availability, enhance microbial activity, and support long-term soil fertility.</w:t>
      </w:r>
    </w:p>
    <w:p w14:paraId="7D4B05DD" w14:textId="704D0250"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However, the effectiveness of various organic </w:t>
      </w:r>
      <w:r w:rsidR="00B50E9B">
        <w:rPr>
          <w:rFonts w:ascii="Arial" w:hAnsi="Arial" w:cs="Arial"/>
          <w:color w:val="2C2C36"/>
          <w:spacing w:val="5"/>
        </w:rPr>
        <w:t>materials</w:t>
      </w:r>
      <w:r w:rsidRPr="00281E13">
        <w:rPr>
          <w:rFonts w:ascii="Arial" w:hAnsi="Arial" w:cs="Arial"/>
          <w:color w:val="2C2C36"/>
          <w:spacing w:val="5"/>
        </w:rPr>
        <w:t xml:space="preserve"> can differ depending on factors such as their chemical composition, decomposition rate, and interaction with soil. While the overall benefits of </w:t>
      </w:r>
      <w:r w:rsidR="00336EC4">
        <w:rPr>
          <w:rFonts w:ascii="Arial" w:hAnsi="Arial" w:cs="Arial"/>
          <w:color w:val="2C2C36"/>
          <w:spacing w:val="5"/>
        </w:rPr>
        <w:t xml:space="preserve">OM </w:t>
      </w:r>
      <w:r w:rsidRPr="00281E13">
        <w:rPr>
          <w:rFonts w:ascii="Arial" w:hAnsi="Arial" w:cs="Arial"/>
          <w:color w:val="2C2C36"/>
          <w:spacing w:val="5"/>
        </w:rPr>
        <w:t xml:space="preserve"> are well established, specific responses may vary based on the type of amendment used, its nutrient content, carbon-to-nitrogen (C:N) ratio, lignin content, and local environmental conditions (Rai and Saraswat, 2023). In the context of Myanmar, there is a pressing need for detailed, region-specific studies that assess how different locally available organic </w:t>
      </w:r>
      <w:r w:rsidR="00B50E9B">
        <w:rPr>
          <w:rFonts w:ascii="Arial" w:hAnsi="Arial" w:cs="Arial"/>
          <w:color w:val="2C2C36"/>
          <w:spacing w:val="5"/>
        </w:rPr>
        <w:t>materials</w:t>
      </w:r>
      <w:r w:rsidR="003E617C">
        <w:rPr>
          <w:rFonts w:ascii="Arial" w:hAnsi="Arial" w:cs="Arial"/>
          <w:color w:val="2C2C36"/>
          <w:spacing w:val="5"/>
        </w:rPr>
        <w:t xml:space="preserve"> </w:t>
      </w:r>
      <w:r w:rsidRPr="00281E13">
        <w:rPr>
          <w:rFonts w:ascii="Arial" w:hAnsi="Arial" w:cs="Arial"/>
          <w:color w:val="2C2C36"/>
          <w:spacing w:val="5"/>
        </w:rPr>
        <w:t>either used individually or in combination</w:t>
      </w:r>
      <w:r w:rsidR="003E617C">
        <w:rPr>
          <w:rFonts w:ascii="Arial" w:hAnsi="Arial" w:cs="Arial"/>
          <w:color w:val="2C2C36"/>
          <w:spacing w:val="5"/>
        </w:rPr>
        <w:t xml:space="preserve"> </w:t>
      </w:r>
      <w:r w:rsidRPr="00281E13">
        <w:rPr>
          <w:rFonts w:ascii="Arial" w:hAnsi="Arial" w:cs="Arial"/>
          <w:color w:val="2C2C36"/>
          <w:spacing w:val="5"/>
        </w:rPr>
        <w:t>affect key soil properties under controlled conditions similar to local farming systems.</w:t>
      </w:r>
      <w:r w:rsidR="003E617C">
        <w:rPr>
          <w:rFonts w:ascii="Arial" w:hAnsi="Arial" w:cs="Arial"/>
          <w:color w:val="2C2C36"/>
          <w:spacing w:val="5"/>
        </w:rPr>
        <w:t xml:space="preserve"> </w:t>
      </w:r>
      <w:r w:rsidRPr="00281E13">
        <w:rPr>
          <w:rFonts w:ascii="Arial" w:hAnsi="Arial" w:cs="Arial"/>
          <w:color w:val="2C2C36"/>
          <w:spacing w:val="5"/>
        </w:rPr>
        <w:t xml:space="preserve">Current recommendations may not fully capture the complex interactions between soil types and organic inputs across Myanmar’s diverse agroecological zones. A deeper understanding of these interactions will assist in optimizing the selection and application of organic </w:t>
      </w:r>
      <w:r w:rsidR="00B50E9B">
        <w:rPr>
          <w:rFonts w:ascii="Arial" w:hAnsi="Arial" w:cs="Arial"/>
          <w:color w:val="2C2C36"/>
          <w:spacing w:val="5"/>
        </w:rPr>
        <w:t>materials</w:t>
      </w:r>
      <w:r w:rsidRPr="00281E13">
        <w:rPr>
          <w:rFonts w:ascii="Arial" w:hAnsi="Arial" w:cs="Arial"/>
          <w:color w:val="2C2C36"/>
          <w:spacing w:val="5"/>
        </w:rPr>
        <w:t xml:space="preserve">, ensuring maximum benefits from soil </w:t>
      </w:r>
      <w:r w:rsidR="00336EC4">
        <w:rPr>
          <w:rFonts w:ascii="Arial" w:hAnsi="Arial" w:cs="Arial"/>
          <w:color w:val="2C2C36"/>
          <w:spacing w:val="5"/>
        </w:rPr>
        <w:t>OM</w:t>
      </w:r>
      <w:r w:rsidRPr="00281E13">
        <w:rPr>
          <w:rFonts w:ascii="Arial" w:hAnsi="Arial" w:cs="Arial"/>
          <w:color w:val="2C2C36"/>
          <w:spacing w:val="5"/>
        </w:rPr>
        <w:t xml:space="preserve"> management. This study aims to fill this knowledge gap by examining the effects of various organic </w:t>
      </w:r>
      <w:r w:rsidR="00B50E9B">
        <w:rPr>
          <w:rFonts w:ascii="Arial" w:hAnsi="Arial" w:cs="Arial"/>
          <w:color w:val="2C2C36"/>
          <w:spacing w:val="5"/>
        </w:rPr>
        <w:t>materials</w:t>
      </w:r>
      <w:r w:rsidRPr="00281E13">
        <w:rPr>
          <w:rFonts w:ascii="Arial" w:hAnsi="Arial" w:cs="Arial"/>
          <w:color w:val="2C2C36"/>
          <w:spacing w:val="5"/>
        </w:rPr>
        <w:t xml:space="preserve"> on a typical loamy sand soil found in parts of Myanmar.</w:t>
      </w:r>
    </w:p>
    <w:p w14:paraId="422CE4B3" w14:textId="77777777" w:rsidR="00650980" w:rsidRPr="00281E13"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2C2C36"/>
          <w:spacing w:val="5"/>
        </w:rPr>
      </w:pPr>
      <w:r w:rsidRPr="00281E13">
        <w:rPr>
          <w:rFonts w:ascii="Arial" w:hAnsi="Arial" w:cs="Arial"/>
          <w:b/>
          <w:bCs/>
          <w:color w:val="111827"/>
          <w:spacing w:val="5"/>
          <w:bdr w:val="single" w:sz="2" w:space="0" w:color="E3E3E3" w:frame="1"/>
        </w:rPr>
        <w:t>2. MATERIALS AND METHODS</w:t>
      </w:r>
    </w:p>
    <w:p w14:paraId="4F4E72C7"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color w:val="2C2C36"/>
          <w:spacing w:val="5"/>
          <w:sz w:val="22"/>
          <w:szCs w:val="22"/>
        </w:rPr>
      </w:pPr>
      <w:r w:rsidRPr="00281E13">
        <w:rPr>
          <w:rFonts w:ascii="Arial" w:hAnsi="Arial" w:cs="Arial"/>
          <w:b/>
          <w:bCs/>
          <w:color w:val="111827"/>
          <w:spacing w:val="5"/>
          <w:sz w:val="22"/>
          <w:szCs w:val="22"/>
          <w:bdr w:val="single" w:sz="2" w:space="0" w:color="E3E3E3" w:frame="1"/>
        </w:rPr>
        <w:t>2.1 Experimental Site</w:t>
      </w:r>
      <w:r w:rsidRPr="00281E13">
        <w:rPr>
          <w:rFonts w:ascii="Arial" w:hAnsi="Arial" w:cs="Arial"/>
          <w:b/>
          <w:bCs/>
          <w:color w:val="2C2C36"/>
          <w:spacing w:val="5"/>
          <w:sz w:val="22"/>
          <w:szCs w:val="22"/>
        </w:rPr>
        <w:t xml:space="preserve"> </w:t>
      </w:r>
    </w:p>
    <w:p w14:paraId="0F962EA3"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A laboratory incubation experiment was conducted from April to July 2024 at the Experiment and Lecture Building 1 (located at 19° 50′ N, 96° 16′ E), Department of Soil and Water Science, Yezin Agricultural University.</w:t>
      </w:r>
    </w:p>
    <w:p w14:paraId="0F87DDBD"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b/>
          <w:bCs/>
          <w:color w:val="2C2C36"/>
          <w:spacing w:val="5"/>
          <w:sz w:val="22"/>
          <w:szCs w:val="22"/>
        </w:rPr>
      </w:pPr>
      <w:r w:rsidRPr="00281E13">
        <w:rPr>
          <w:rFonts w:ascii="Arial" w:hAnsi="Arial" w:cs="Arial"/>
          <w:b/>
          <w:bCs/>
          <w:color w:val="111827"/>
          <w:spacing w:val="5"/>
          <w:sz w:val="22"/>
          <w:szCs w:val="22"/>
          <w:bdr w:val="single" w:sz="2" w:space="0" w:color="E3E3E3" w:frame="1"/>
        </w:rPr>
        <w:t>2.2 Experimental Design and Treatments</w:t>
      </w:r>
    </w:p>
    <w:p w14:paraId="6A5249D0" w14:textId="77777777" w:rsidR="00650980"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color w:val="2C2C36"/>
          <w:spacing w:val="5"/>
        </w:rPr>
      </w:pPr>
      <w:r w:rsidRPr="00281E13">
        <w:rPr>
          <w:rFonts w:ascii="Arial" w:hAnsi="Arial" w:cs="Arial"/>
          <w:b/>
          <w:bCs/>
          <w:color w:val="111827"/>
          <w:spacing w:val="5"/>
          <w:sz w:val="22"/>
          <w:szCs w:val="22"/>
          <w:bdr w:val="single" w:sz="2" w:space="0" w:color="E3E3E3" w:frame="1"/>
        </w:rPr>
        <w:t>2.2.1 Experimental Design</w:t>
      </w:r>
      <w:r w:rsidRPr="0004779F">
        <w:rPr>
          <w:color w:val="2C2C36"/>
          <w:spacing w:val="5"/>
        </w:rPr>
        <w:t xml:space="preserve"> </w:t>
      </w:r>
    </w:p>
    <w:p w14:paraId="71E6AC91" w14:textId="2CAF68A1"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This study evaluated four commonly used organic </w:t>
      </w:r>
      <w:r w:rsidR="00B50E9B">
        <w:rPr>
          <w:rFonts w:ascii="Arial" w:hAnsi="Arial" w:cs="Arial"/>
          <w:color w:val="2C2C36"/>
          <w:spacing w:val="5"/>
        </w:rPr>
        <w:t>materials</w:t>
      </w:r>
      <w:r w:rsidRPr="00281E13">
        <w:rPr>
          <w:rFonts w:ascii="Arial" w:hAnsi="Arial" w:cs="Arial"/>
          <w:color w:val="2C2C36"/>
          <w:spacing w:val="5"/>
        </w:rPr>
        <w:t xml:space="preserve">: cow dung manure, chicken manure, rice straw, and maize straw. These were chosen because they are readily available in the study region and are known to improve soil health and fertility. A Completely Randomized Design (CRD) was used for the experiment, with four replicates for each treatment. Each incubation jar contained 198 </w:t>
      </w:r>
      <w:commentRangeStart w:id="3"/>
      <w:r w:rsidRPr="00281E13">
        <w:rPr>
          <w:rFonts w:ascii="Arial" w:hAnsi="Arial" w:cs="Arial"/>
          <w:color w:val="2C2C36"/>
          <w:spacing w:val="5"/>
        </w:rPr>
        <w:t>grams</w:t>
      </w:r>
      <w:commentRangeEnd w:id="3"/>
      <w:r w:rsidR="00787021">
        <w:rPr>
          <w:rStyle w:val="CommentReference"/>
          <w:rFonts w:ascii="Times New Roman" w:hAnsi="Times New Roman"/>
          <w:lang w:val="nb-NO" w:eastAsia="nb-NO"/>
        </w:rPr>
        <w:commentReference w:id="3"/>
      </w:r>
      <w:r w:rsidRPr="00281E13">
        <w:rPr>
          <w:rFonts w:ascii="Arial" w:hAnsi="Arial" w:cs="Arial"/>
          <w:color w:val="2C2C36"/>
          <w:spacing w:val="5"/>
        </w:rPr>
        <w:t xml:space="preserve"> of soil and 2 grams of organic amendment, which represented 1% of the total soil weight.</w:t>
      </w:r>
    </w:p>
    <w:p w14:paraId="3977281E"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b/>
          <w:bCs/>
          <w:color w:val="2C2C36"/>
          <w:spacing w:val="5"/>
          <w:sz w:val="22"/>
          <w:szCs w:val="22"/>
        </w:rPr>
      </w:pPr>
      <w:r w:rsidRPr="00281E13">
        <w:rPr>
          <w:rFonts w:ascii="Arial" w:hAnsi="Arial" w:cs="Arial"/>
          <w:b/>
          <w:bCs/>
          <w:color w:val="111827"/>
          <w:spacing w:val="5"/>
          <w:sz w:val="22"/>
          <w:szCs w:val="22"/>
          <w:bdr w:val="single" w:sz="2" w:space="0" w:color="E3E3E3" w:frame="1"/>
        </w:rPr>
        <w:t>2.2.2 Experimental Treatments</w:t>
      </w:r>
      <w:r w:rsidRPr="00281E13">
        <w:rPr>
          <w:rFonts w:ascii="Arial" w:hAnsi="Arial" w:cs="Arial"/>
          <w:b/>
          <w:bCs/>
          <w:color w:val="2C2C36"/>
          <w:spacing w:val="5"/>
          <w:sz w:val="22"/>
          <w:szCs w:val="22"/>
        </w:rPr>
        <w:t xml:space="preserve"> The specific treatments applied were as follows:</w:t>
      </w:r>
    </w:p>
    <w:p w14:paraId="2B4AE10A"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T1: Control (no amendment)</w:t>
      </w:r>
    </w:p>
    <w:p w14:paraId="72A803D0"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lastRenderedPageBreak/>
        <w:t>T2: Cow dung manure</w:t>
      </w:r>
    </w:p>
    <w:p w14:paraId="32A731D5"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T3: Chicken manure</w:t>
      </w:r>
    </w:p>
    <w:p w14:paraId="532F882D"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T4: Rice straw</w:t>
      </w:r>
    </w:p>
    <w:p w14:paraId="61881158"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T5: Maize straw</w:t>
      </w:r>
    </w:p>
    <w:p w14:paraId="3C0E457F"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T6: ½ cow dung manure + ½ rice straw</w:t>
      </w:r>
    </w:p>
    <w:p w14:paraId="0A8CDB87"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T7: ½ cow dung manure + ½ maize straw</w:t>
      </w:r>
    </w:p>
    <w:p w14:paraId="58CE7AF8"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T8: ½ chicken manure + ½ rice straw</w:t>
      </w:r>
    </w:p>
    <w:p w14:paraId="04506D64"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T9: ½ chicken manure + ½ maize straw</w:t>
      </w:r>
    </w:p>
    <w:p w14:paraId="1C813B05" w14:textId="1E50AE4A" w:rsidR="00650980" w:rsidRPr="00281E13" w:rsidRDefault="00650980" w:rsidP="00085C7C">
      <w:p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 xml:space="preserve">The initial characteristics of these organic </w:t>
      </w:r>
      <w:r w:rsidR="00B50E9B">
        <w:rPr>
          <w:rFonts w:ascii="Arial" w:hAnsi="Arial" w:cs="Arial"/>
          <w:color w:val="2C2C36"/>
          <w:spacing w:val="5"/>
        </w:rPr>
        <w:t>materials</w:t>
      </w:r>
      <w:r w:rsidRPr="00281E13">
        <w:rPr>
          <w:rFonts w:ascii="Arial" w:hAnsi="Arial" w:cs="Arial"/>
          <w:color w:val="2C2C36"/>
          <w:spacing w:val="5"/>
        </w:rPr>
        <w:t xml:space="preserve"> are presented in Table 1.</w:t>
      </w:r>
    </w:p>
    <w:p w14:paraId="24C1F04E" w14:textId="77777777" w:rsidR="00650980" w:rsidRPr="00092171" w:rsidRDefault="00650980" w:rsidP="00650980">
      <w:pPr>
        <w:pStyle w:val="AbstHead"/>
        <w:spacing w:before="240" w:line="360" w:lineRule="auto"/>
        <w:jc w:val="both"/>
        <w:rPr>
          <w:rFonts w:ascii="Times New Roman" w:hAnsi="Times New Roman"/>
          <w:caps w:val="0"/>
          <w:sz w:val="24"/>
          <w:szCs w:val="24"/>
        </w:rPr>
      </w:pPr>
    </w:p>
    <w:p w14:paraId="3F2CB0BC"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br w:type="page"/>
      </w:r>
    </w:p>
    <w:p w14:paraId="3084F251" w14:textId="2E18D219" w:rsidR="00650980" w:rsidRPr="00281E13" w:rsidRDefault="00650980" w:rsidP="005B1FC0">
      <w:pPr>
        <w:pStyle w:val="AbstHead"/>
        <w:spacing w:after="120" w:line="360" w:lineRule="auto"/>
        <w:jc w:val="both"/>
        <w:rPr>
          <w:rFonts w:ascii="Arial" w:hAnsi="Arial" w:cs="Arial"/>
          <w:caps w:val="0"/>
          <w:sz w:val="20"/>
        </w:rPr>
      </w:pPr>
      <w:r w:rsidRPr="00281E13">
        <w:rPr>
          <w:rFonts w:ascii="Arial" w:hAnsi="Arial" w:cs="Arial"/>
          <w:caps w:val="0"/>
          <w:sz w:val="20"/>
        </w:rPr>
        <w:lastRenderedPageBreak/>
        <w:t xml:space="preserve">Table 1. Characteristics of organic </w:t>
      </w:r>
      <w:r w:rsidR="00B50E9B">
        <w:rPr>
          <w:rFonts w:ascii="Arial" w:hAnsi="Arial" w:cs="Arial"/>
          <w:caps w:val="0"/>
          <w:sz w:val="20"/>
        </w:rPr>
        <w:t>materials</w:t>
      </w:r>
      <w:r w:rsidRPr="00281E13">
        <w:rPr>
          <w:rFonts w:ascii="Arial" w:hAnsi="Arial" w:cs="Arial"/>
          <w:caps w:val="0"/>
          <w:sz w:val="20"/>
        </w:rPr>
        <w:t xml:space="preserve"> used in this experiment</w:t>
      </w:r>
    </w:p>
    <w:tbl>
      <w:tblPr>
        <w:tblW w:w="9720" w:type="dxa"/>
        <w:jc w:val="center"/>
        <w:tblLook w:val="04A0" w:firstRow="1" w:lastRow="0" w:firstColumn="1" w:lastColumn="0" w:noHBand="0" w:noVBand="1"/>
      </w:tblPr>
      <w:tblGrid>
        <w:gridCol w:w="2440"/>
        <w:gridCol w:w="2253"/>
        <w:gridCol w:w="2028"/>
        <w:gridCol w:w="1469"/>
        <w:gridCol w:w="1530"/>
      </w:tblGrid>
      <w:tr w:rsidR="00650980" w:rsidRPr="00281E13" w14:paraId="03B66819" w14:textId="77777777" w:rsidTr="00085C7C">
        <w:trPr>
          <w:trHeight w:val="20"/>
          <w:jc w:val="center"/>
        </w:trPr>
        <w:tc>
          <w:tcPr>
            <w:tcW w:w="2440" w:type="dxa"/>
            <w:vMerge w:val="restart"/>
            <w:tcBorders>
              <w:top w:val="single" w:sz="4" w:space="0" w:color="auto"/>
              <w:left w:val="nil"/>
              <w:bottom w:val="single" w:sz="4" w:space="0" w:color="000000"/>
              <w:right w:val="nil"/>
            </w:tcBorders>
            <w:noWrap/>
            <w:vAlign w:val="center"/>
            <w:hideMark/>
          </w:tcPr>
          <w:p w14:paraId="7750D4FB" w14:textId="77777777" w:rsidR="00650980" w:rsidRPr="00281E13" w:rsidRDefault="00650980" w:rsidP="00830578">
            <w:pPr>
              <w:tabs>
                <w:tab w:val="left" w:pos="720"/>
                <w:tab w:val="left" w:pos="1260"/>
                <w:tab w:val="left" w:pos="1620"/>
              </w:tabs>
              <w:spacing w:before="120" w:after="120"/>
              <w:rPr>
                <w:rFonts w:ascii="Arial" w:hAnsi="Arial" w:cs="Arial"/>
                <w:b/>
                <w:bCs/>
              </w:rPr>
            </w:pPr>
            <w:r w:rsidRPr="00281E13">
              <w:rPr>
                <w:rFonts w:ascii="Arial" w:hAnsi="Arial" w:cs="Arial"/>
                <w:b/>
                <w:bCs/>
              </w:rPr>
              <w:t>Parameters</w:t>
            </w:r>
          </w:p>
        </w:tc>
        <w:tc>
          <w:tcPr>
            <w:tcW w:w="7280" w:type="dxa"/>
            <w:gridSpan w:val="4"/>
            <w:tcBorders>
              <w:top w:val="single" w:sz="4" w:space="0" w:color="auto"/>
              <w:left w:val="nil"/>
              <w:bottom w:val="nil"/>
              <w:right w:val="nil"/>
            </w:tcBorders>
            <w:noWrap/>
            <w:vAlign w:val="center"/>
            <w:hideMark/>
          </w:tcPr>
          <w:p w14:paraId="73078CED" w14:textId="18EF6DAD" w:rsidR="00650980" w:rsidRPr="00281E13" w:rsidRDefault="00650980" w:rsidP="00830578">
            <w:pPr>
              <w:tabs>
                <w:tab w:val="left" w:pos="720"/>
                <w:tab w:val="left" w:pos="1260"/>
                <w:tab w:val="left" w:pos="1620"/>
              </w:tabs>
              <w:spacing w:before="120" w:after="120"/>
              <w:jc w:val="center"/>
              <w:rPr>
                <w:rFonts w:ascii="Arial" w:hAnsi="Arial" w:cs="Arial"/>
                <w:b/>
                <w:bCs/>
              </w:rPr>
            </w:pPr>
            <w:r w:rsidRPr="00281E13">
              <w:rPr>
                <w:rFonts w:ascii="Arial" w:hAnsi="Arial" w:cs="Arial"/>
                <w:b/>
                <w:bCs/>
              </w:rPr>
              <w:t xml:space="preserve">Organic </w:t>
            </w:r>
            <w:r w:rsidR="00B50E9B">
              <w:rPr>
                <w:rFonts w:ascii="Arial" w:hAnsi="Arial" w:cs="Arial"/>
                <w:b/>
                <w:bCs/>
              </w:rPr>
              <w:t>Materials</w:t>
            </w:r>
          </w:p>
        </w:tc>
      </w:tr>
      <w:tr w:rsidR="00650980" w:rsidRPr="00281E13" w14:paraId="63B652BC" w14:textId="77777777" w:rsidTr="00085C7C">
        <w:trPr>
          <w:trHeight w:val="20"/>
          <w:jc w:val="center"/>
        </w:trPr>
        <w:tc>
          <w:tcPr>
            <w:tcW w:w="2440" w:type="dxa"/>
            <w:vMerge/>
            <w:tcBorders>
              <w:top w:val="single" w:sz="4" w:space="0" w:color="auto"/>
              <w:left w:val="nil"/>
              <w:bottom w:val="single" w:sz="4" w:space="0" w:color="000000"/>
              <w:right w:val="nil"/>
            </w:tcBorders>
            <w:vAlign w:val="center"/>
            <w:hideMark/>
          </w:tcPr>
          <w:p w14:paraId="07C42E46" w14:textId="77777777" w:rsidR="00650980" w:rsidRPr="00281E13" w:rsidRDefault="00650980" w:rsidP="00830578">
            <w:pPr>
              <w:tabs>
                <w:tab w:val="left" w:pos="720"/>
                <w:tab w:val="left" w:pos="1260"/>
                <w:tab w:val="left" w:pos="1620"/>
              </w:tabs>
              <w:spacing w:before="120" w:after="120"/>
              <w:rPr>
                <w:rFonts w:ascii="Arial" w:hAnsi="Arial" w:cs="Arial"/>
                <w:b/>
                <w:bCs/>
              </w:rPr>
            </w:pPr>
          </w:p>
        </w:tc>
        <w:tc>
          <w:tcPr>
            <w:tcW w:w="2253" w:type="dxa"/>
            <w:tcBorders>
              <w:top w:val="single" w:sz="4" w:space="0" w:color="auto"/>
              <w:left w:val="nil"/>
              <w:bottom w:val="single" w:sz="4" w:space="0" w:color="auto"/>
              <w:right w:val="nil"/>
            </w:tcBorders>
            <w:noWrap/>
            <w:vAlign w:val="center"/>
            <w:hideMark/>
          </w:tcPr>
          <w:p w14:paraId="0C2FE6D6" w14:textId="77777777" w:rsidR="00650980" w:rsidRPr="00281E13" w:rsidRDefault="00650980" w:rsidP="00830578">
            <w:pPr>
              <w:tabs>
                <w:tab w:val="left" w:pos="720"/>
                <w:tab w:val="left" w:pos="1260"/>
                <w:tab w:val="left" w:pos="1620"/>
              </w:tabs>
              <w:spacing w:before="120" w:after="120"/>
              <w:rPr>
                <w:rFonts w:ascii="Arial" w:hAnsi="Arial" w:cs="Arial"/>
                <w:b/>
                <w:bCs/>
              </w:rPr>
            </w:pPr>
            <w:r w:rsidRPr="00281E13">
              <w:rPr>
                <w:rFonts w:ascii="Arial" w:hAnsi="Arial" w:cs="Arial"/>
                <w:b/>
                <w:bCs/>
              </w:rPr>
              <w:t>Cow dung manure</w:t>
            </w:r>
          </w:p>
        </w:tc>
        <w:tc>
          <w:tcPr>
            <w:tcW w:w="2028" w:type="dxa"/>
            <w:tcBorders>
              <w:top w:val="single" w:sz="4" w:space="0" w:color="auto"/>
              <w:left w:val="nil"/>
              <w:bottom w:val="single" w:sz="4" w:space="0" w:color="auto"/>
              <w:right w:val="nil"/>
            </w:tcBorders>
            <w:noWrap/>
            <w:vAlign w:val="center"/>
            <w:hideMark/>
          </w:tcPr>
          <w:p w14:paraId="24B74416" w14:textId="77777777" w:rsidR="00650980" w:rsidRPr="00281E13" w:rsidRDefault="00650980" w:rsidP="00830578">
            <w:pPr>
              <w:tabs>
                <w:tab w:val="left" w:pos="720"/>
                <w:tab w:val="left" w:pos="1260"/>
                <w:tab w:val="left" w:pos="1620"/>
              </w:tabs>
              <w:spacing w:before="120" w:after="120"/>
              <w:rPr>
                <w:rFonts w:ascii="Arial" w:hAnsi="Arial" w:cs="Arial"/>
                <w:b/>
                <w:bCs/>
              </w:rPr>
            </w:pPr>
            <w:r w:rsidRPr="00281E13">
              <w:rPr>
                <w:rFonts w:ascii="Arial" w:hAnsi="Arial" w:cs="Arial"/>
                <w:b/>
                <w:bCs/>
              </w:rPr>
              <w:t>Chicken manure</w:t>
            </w:r>
          </w:p>
        </w:tc>
        <w:tc>
          <w:tcPr>
            <w:tcW w:w="1469" w:type="dxa"/>
            <w:tcBorders>
              <w:top w:val="single" w:sz="4" w:space="0" w:color="auto"/>
              <w:left w:val="nil"/>
              <w:bottom w:val="single" w:sz="4" w:space="0" w:color="auto"/>
              <w:right w:val="nil"/>
            </w:tcBorders>
            <w:noWrap/>
            <w:vAlign w:val="center"/>
            <w:hideMark/>
          </w:tcPr>
          <w:p w14:paraId="25BBB724" w14:textId="77777777" w:rsidR="00650980" w:rsidRPr="00281E13" w:rsidRDefault="00650980" w:rsidP="00830578">
            <w:pPr>
              <w:tabs>
                <w:tab w:val="left" w:pos="720"/>
                <w:tab w:val="left" w:pos="1260"/>
                <w:tab w:val="left" w:pos="1620"/>
              </w:tabs>
              <w:spacing w:before="120" w:after="120"/>
              <w:rPr>
                <w:rFonts w:ascii="Arial" w:hAnsi="Arial" w:cs="Arial"/>
                <w:b/>
                <w:bCs/>
              </w:rPr>
            </w:pPr>
            <w:r w:rsidRPr="00281E13">
              <w:rPr>
                <w:rFonts w:ascii="Arial" w:hAnsi="Arial" w:cs="Arial"/>
                <w:b/>
                <w:bCs/>
              </w:rPr>
              <w:t>Rice straw</w:t>
            </w:r>
          </w:p>
        </w:tc>
        <w:tc>
          <w:tcPr>
            <w:tcW w:w="1530" w:type="dxa"/>
            <w:tcBorders>
              <w:top w:val="single" w:sz="4" w:space="0" w:color="auto"/>
              <w:left w:val="nil"/>
              <w:bottom w:val="single" w:sz="4" w:space="0" w:color="auto"/>
              <w:right w:val="nil"/>
            </w:tcBorders>
            <w:noWrap/>
            <w:vAlign w:val="center"/>
            <w:hideMark/>
          </w:tcPr>
          <w:p w14:paraId="2D6DADEE" w14:textId="77777777" w:rsidR="00650980" w:rsidRPr="00281E13" w:rsidRDefault="00650980" w:rsidP="00830578">
            <w:pPr>
              <w:tabs>
                <w:tab w:val="left" w:pos="720"/>
                <w:tab w:val="left" w:pos="1260"/>
                <w:tab w:val="left" w:pos="1620"/>
              </w:tabs>
              <w:spacing w:before="120" w:after="120"/>
              <w:rPr>
                <w:rFonts w:ascii="Arial" w:hAnsi="Arial" w:cs="Arial"/>
                <w:b/>
                <w:bCs/>
              </w:rPr>
            </w:pPr>
            <w:r w:rsidRPr="00281E13">
              <w:rPr>
                <w:rFonts w:ascii="Arial" w:hAnsi="Arial" w:cs="Arial"/>
                <w:b/>
                <w:bCs/>
              </w:rPr>
              <w:t>Maize straw</w:t>
            </w:r>
          </w:p>
        </w:tc>
      </w:tr>
      <w:tr w:rsidR="00650980" w:rsidRPr="00281E13" w14:paraId="1F099EBB" w14:textId="77777777" w:rsidTr="00085C7C">
        <w:trPr>
          <w:trHeight w:val="20"/>
          <w:jc w:val="center"/>
        </w:trPr>
        <w:tc>
          <w:tcPr>
            <w:tcW w:w="2440" w:type="dxa"/>
            <w:tcBorders>
              <w:top w:val="nil"/>
              <w:left w:val="nil"/>
              <w:bottom w:val="nil"/>
              <w:right w:val="nil"/>
            </w:tcBorders>
            <w:noWrap/>
            <w:vAlign w:val="center"/>
            <w:hideMark/>
          </w:tcPr>
          <w:p w14:paraId="6490D6E1"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Total N (%)</w:t>
            </w:r>
          </w:p>
        </w:tc>
        <w:tc>
          <w:tcPr>
            <w:tcW w:w="2253" w:type="dxa"/>
            <w:tcBorders>
              <w:top w:val="nil"/>
              <w:left w:val="nil"/>
              <w:bottom w:val="nil"/>
              <w:right w:val="nil"/>
            </w:tcBorders>
            <w:noWrap/>
            <w:vAlign w:val="center"/>
            <w:hideMark/>
          </w:tcPr>
          <w:p w14:paraId="239054C0"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3.37</w:t>
            </w:r>
          </w:p>
        </w:tc>
        <w:tc>
          <w:tcPr>
            <w:tcW w:w="2028" w:type="dxa"/>
            <w:tcBorders>
              <w:top w:val="nil"/>
              <w:left w:val="nil"/>
              <w:bottom w:val="nil"/>
              <w:right w:val="nil"/>
            </w:tcBorders>
            <w:noWrap/>
            <w:vAlign w:val="center"/>
            <w:hideMark/>
          </w:tcPr>
          <w:p w14:paraId="73100983"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5.09</w:t>
            </w:r>
          </w:p>
        </w:tc>
        <w:tc>
          <w:tcPr>
            <w:tcW w:w="1469" w:type="dxa"/>
            <w:tcBorders>
              <w:top w:val="nil"/>
              <w:left w:val="nil"/>
              <w:bottom w:val="nil"/>
              <w:right w:val="nil"/>
            </w:tcBorders>
            <w:noWrap/>
            <w:vAlign w:val="center"/>
            <w:hideMark/>
          </w:tcPr>
          <w:p w14:paraId="4949D688"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0.73</w:t>
            </w:r>
          </w:p>
        </w:tc>
        <w:tc>
          <w:tcPr>
            <w:tcW w:w="1530" w:type="dxa"/>
            <w:tcBorders>
              <w:top w:val="nil"/>
              <w:left w:val="nil"/>
              <w:bottom w:val="nil"/>
              <w:right w:val="nil"/>
            </w:tcBorders>
            <w:noWrap/>
            <w:vAlign w:val="center"/>
            <w:hideMark/>
          </w:tcPr>
          <w:p w14:paraId="30B807A2"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1.19</w:t>
            </w:r>
          </w:p>
        </w:tc>
      </w:tr>
      <w:tr w:rsidR="00650980" w:rsidRPr="00281E13" w14:paraId="2133C1D0" w14:textId="77777777" w:rsidTr="00085C7C">
        <w:trPr>
          <w:trHeight w:val="20"/>
          <w:jc w:val="center"/>
        </w:trPr>
        <w:tc>
          <w:tcPr>
            <w:tcW w:w="2440" w:type="dxa"/>
            <w:tcBorders>
              <w:top w:val="nil"/>
              <w:left w:val="nil"/>
              <w:bottom w:val="nil"/>
              <w:right w:val="nil"/>
            </w:tcBorders>
            <w:noWrap/>
            <w:vAlign w:val="center"/>
            <w:hideMark/>
          </w:tcPr>
          <w:p w14:paraId="4F1B2D58"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Organic Carbon (%)</w:t>
            </w:r>
          </w:p>
        </w:tc>
        <w:tc>
          <w:tcPr>
            <w:tcW w:w="2253" w:type="dxa"/>
            <w:tcBorders>
              <w:top w:val="nil"/>
              <w:left w:val="nil"/>
              <w:bottom w:val="nil"/>
              <w:right w:val="nil"/>
            </w:tcBorders>
            <w:noWrap/>
            <w:vAlign w:val="center"/>
            <w:hideMark/>
          </w:tcPr>
          <w:p w14:paraId="60A778C3"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42.37</w:t>
            </w:r>
          </w:p>
        </w:tc>
        <w:tc>
          <w:tcPr>
            <w:tcW w:w="2028" w:type="dxa"/>
            <w:tcBorders>
              <w:top w:val="nil"/>
              <w:left w:val="nil"/>
              <w:bottom w:val="nil"/>
              <w:right w:val="nil"/>
            </w:tcBorders>
            <w:noWrap/>
            <w:vAlign w:val="center"/>
            <w:hideMark/>
          </w:tcPr>
          <w:p w14:paraId="13D0AAFB"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34.06</w:t>
            </w:r>
          </w:p>
        </w:tc>
        <w:tc>
          <w:tcPr>
            <w:tcW w:w="1469" w:type="dxa"/>
            <w:tcBorders>
              <w:top w:val="nil"/>
              <w:left w:val="nil"/>
              <w:bottom w:val="nil"/>
              <w:right w:val="nil"/>
            </w:tcBorders>
            <w:noWrap/>
            <w:vAlign w:val="center"/>
            <w:hideMark/>
          </w:tcPr>
          <w:p w14:paraId="473C265E"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47.88</w:t>
            </w:r>
          </w:p>
        </w:tc>
        <w:tc>
          <w:tcPr>
            <w:tcW w:w="1530" w:type="dxa"/>
            <w:tcBorders>
              <w:top w:val="nil"/>
              <w:left w:val="nil"/>
              <w:bottom w:val="nil"/>
              <w:right w:val="nil"/>
            </w:tcBorders>
            <w:noWrap/>
            <w:vAlign w:val="center"/>
            <w:hideMark/>
          </w:tcPr>
          <w:p w14:paraId="6998AD0D"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53.05</w:t>
            </w:r>
          </w:p>
        </w:tc>
      </w:tr>
      <w:tr w:rsidR="00650980" w:rsidRPr="00281E13" w14:paraId="65C22D89" w14:textId="77777777" w:rsidTr="00085C7C">
        <w:trPr>
          <w:trHeight w:val="20"/>
          <w:jc w:val="center"/>
        </w:trPr>
        <w:tc>
          <w:tcPr>
            <w:tcW w:w="2440" w:type="dxa"/>
            <w:tcBorders>
              <w:top w:val="nil"/>
              <w:left w:val="nil"/>
              <w:bottom w:val="nil"/>
              <w:right w:val="nil"/>
            </w:tcBorders>
            <w:noWrap/>
            <w:vAlign w:val="center"/>
            <w:hideMark/>
          </w:tcPr>
          <w:p w14:paraId="599F063A"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C:N ratio</w:t>
            </w:r>
          </w:p>
        </w:tc>
        <w:tc>
          <w:tcPr>
            <w:tcW w:w="2253" w:type="dxa"/>
            <w:tcBorders>
              <w:top w:val="nil"/>
              <w:left w:val="nil"/>
              <w:bottom w:val="nil"/>
              <w:right w:val="nil"/>
            </w:tcBorders>
            <w:noWrap/>
            <w:vAlign w:val="center"/>
            <w:hideMark/>
          </w:tcPr>
          <w:p w14:paraId="44BECBB7"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12.57</w:t>
            </w:r>
          </w:p>
        </w:tc>
        <w:tc>
          <w:tcPr>
            <w:tcW w:w="2028" w:type="dxa"/>
            <w:tcBorders>
              <w:top w:val="nil"/>
              <w:left w:val="nil"/>
              <w:bottom w:val="nil"/>
              <w:right w:val="nil"/>
            </w:tcBorders>
            <w:noWrap/>
            <w:vAlign w:val="center"/>
            <w:hideMark/>
          </w:tcPr>
          <w:p w14:paraId="669A13DB"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6.69</w:t>
            </w:r>
          </w:p>
        </w:tc>
        <w:tc>
          <w:tcPr>
            <w:tcW w:w="1469" w:type="dxa"/>
            <w:tcBorders>
              <w:top w:val="nil"/>
              <w:left w:val="nil"/>
              <w:bottom w:val="nil"/>
              <w:right w:val="nil"/>
            </w:tcBorders>
            <w:noWrap/>
            <w:vAlign w:val="center"/>
            <w:hideMark/>
          </w:tcPr>
          <w:p w14:paraId="3FF8935F"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65.59</w:t>
            </w:r>
          </w:p>
        </w:tc>
        <w:tc>
          <w:tcPr>
            <w:tcW w:w="1530" w:type="dxa"/>
            <w:tcBorders>
              <w:top w:val="nil"/>
              <w:left w:val="nil"/>
              <w:bottom w:val="nil"/>
              <w:right w:val="nil"/>
            </w:tcBorders>
            <w:noWrap/>
            <w:vAlign w:val="center"/>
            <w:hideMark/>
          </w:tcPr>
          <w:p w14:paraId="3E3A830C"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44.58</w:t>
            </w:r>
          </w:p>
        </w:tc>
      </w:tr>
      <w:tr w:rsidR="00650980" w:rsidRPr="00281E13" w14:paraId="61129205" w14:textId="77777777" w:rsidTr="00085C7C">
        <w:trPr>
          <w:trHeight w:val="20"/>
          <w:jc w:val="center"/>
        </w:trPr>
        <w:tc>
          <w:tcPr>
            <w:tcW w:w="2440" w:type="dxa"/>
            <w:tcBorders>
              <w:top w:val="nil"/>
              <w:left w:val="nil"/>
              <w:bottom w:val="nil"/>
              <w:right w:val="nil"/>
            </w:tcBorders>
            <w:noWrap/>
            <w:vAlign w:val="center"/>
            <w:hideMark/>
          </w:tcPr>
          <w:p w14:paraId="6559DA3A"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pH</w:t>
            </w:r>
          </w:p>
        </w:tc>
        <w:tc>
          <w:tcPr>
            <w:tcW w:w="2253" w:type="dxa"/>
            <w:tcBorders>
              <w:top w:val="nil"/>
              <w:left w:val="nil"/>
              <w:bottom w:val="nil"/>
              <w:right w:val="nil"/>
            </w:tcBorders>
            <w:noWrap/>
            <w:vAlign w:val="center"/>
            <w:hideMark/>
          </w:tcPr>
          <w:p w14:paraId="4315CDC5"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6.40</w:t>
            </w:r>
          </w:p>
        </w:tc>
        <w:tc>
          <w:tcPr>
            <w:tcW w:w="2028" w:type="dxa"/>
            <w:tcBorders>
              <w:top w:val="nil"/>
              <w:left w:val="nil"/>
              <w:bottom w:val="nil"/>
              <w:right w:val="nil"/>
            </w:tcBorders>
            <w:noWrap/>
            <w:vAlign w:val="center"/>
            <w:hideMark/>
          </w:tcPr>
          <w:p w14:paraId="3683CB38"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6.30</w:t>
            </w:r>
          </w:p>
        </w:tc>
        <w:tc>
          <w:tcPr>
            <w:tcW w:w="1469" w:type="dxa"/>
            <w:tcBorders>
              <w:top w:val="nil"/>
              <w:left w:val="nil"/>
              <w:bottom w:val="nil"/>
              <w:right w:val="nil"/>
            </w:tcBorders>
            <w:noWrap/>
            <w:vAlign w:val="center"/>
            <w:hideMark/>
          </w:tcPr>
          <w:p w14:paraId="7917F636"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4.70</w:t>
            </w:r>
          </w:p>
        </w:tc>
        <w:tc>
          <w:tcPr>
            <w:tcW w:w="1530" w:type="dxa"/>
            <w:tcBorders>
              <w:top w:val="nil"/>
              <w:left w:val="nil"/>
              <w:bottom w:val="nil"/>
              <w:right w:val="nil"/>
            </w:tcBorders>
            <w:noWrap/>
            <w:vAlign w:val="center"/>
            <w:hideMark/>
          </w:tcPr>
          <w:p w14:paraId="274D71C6"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5.80</w:t>
            </w:r>
          </w:p>
        </w:tc>
      </w:tr>
      <w:tr w:rsidR="00650980" w:rsidRPr="00281E13" w14:paraId="2B6CEBF1" w14:textId="77777777" w:rsidTr="00085C7C">
        <w:trPr>
          <w:trHeight w:val="20"/>
          <w:jc w:val="center"/>
        </w:trPr>
        <w:tc>
          <w:tcPr>
            <w:tcW w:w="2440" w:type="dxa"/>
            <w:tcBorders>
              <w:top w:val="nil"/>
              <w:left w:val="nil"/>
              <w:bottom w:val="nil"/>
              <w:right w:val="nil"/>
            </w:tcBorders>
            <w:noWrap/>
            <w:vAlign w:val="center"/>
            <w:hideMark/>
          </w:tcPr>
          <w:p w14:paraId="2078A289"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Lignin (%)</w:t>
            </w:r>
          </w:p>
        </w:tc>
        <w:tc>
          <w:tcPr>
            <w:tcW w:w="2253" w:type="dxa"/>
            <w:tcBorders>
              <w:top w:val="nil"/>
              <w:left w:val="nil"/>
              <w:bottom w:val="nil"/>
              <w:right w:val="nil"/>
            </w:tcBorders>
            <w:noWrap/>
            <w:vAlign w:val="center"/>
            <w:hideMark/>
          </w:tcPr>
          <w:p w14:paraId="4F0017A4"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8.00</w:t>
            </w:r>
          </w:p>
        </w:tc>
        <w:tc>
          <w:tcPr>
            <w:tcW w:w="2028" w:type="dxa"/>
            <w:tcBorders>
              <w:top w:val="nil"/>
              <w:left w:val="nil"/>
              <w:bottom w:val="nil"/>
              <w:right w:val="nil"/>
            </w:tcBorders>
            <w:noWrap/>
            <w:vAlign w:val="center"/>
            <w:hideMark/>
          </w:tcPr>
          <w:p w14:paraId="5197DF6B"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8.40</w:t>
            </w:r>
          </w:p>
        </w:tc>
        <w:tc>
          <w:tcPr>
            <w:tcW w:w="1469" w:type="dxa"/>
            <w:tcBorders>
              <w:top w:val="nil"/>
              <w:left w:val="nil"/>
              <w:bottom w:val="nil"/>
              <w:right w:val="nil"/>
            </w:tcBorders>
            <w:noWrap/>
            <w:vAlign w:val="center"/>
            <w:hideMark/>
          </w:tcPr>
          <w:p w14:paraId="4A62FAD7"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16.90</w:t>
            </w:r>
          </w:p>
        </w:tc>
        <w:tc>
          <w:tcPr>
            <w:tcW w:w="1530" w:type="dxa"/>
            <w:tcBorders>
              <w:top w:val="nil"/>
              <w:left w:val="nil"/>
              <w:bottom w:val="nil"/>
              <w:right w:val="nil"/>
            </w:tcBorders>
            <w:noWrap/>
            <w:vAlign w:val="center"/>
            <w:hideMark/>
          </w:tcPr>
          <w:p w14:paraId="523DE451"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19.50</w:t>
            </w:r>
          </w:p>
        </w:tc>
      </w:tr>
      <w:tr w:rsidR="00650980" w:rsidRPr="00281E13" w14:paraId="64ACCEBE" w14:textId="77777777" w:rsidTr="00085C7C">
        <w:trPr>
          <w:trHeight w:val="20"/>
          <w:jc w:val="center"/>
        </w:trPr>
        <w:tc>
          <w:tcPr>
            <w:tcW w:w="2440" w:type="dxa"/>
            <w:tcBorders>
              <w:top w:val="nil"/>
              <w:left w:val="nil"/>
              <w:bottom w:val="nil"/>
              <w:right w:val="nil"/>
            </w:tcBorders>
            <w:noWrap/>
            <w:vAlign w:val="center"/>
          </w:tcPr>
          <w:p w14:paraId="0CA44157"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Total P</w:t>
            </w:r>
            <w:r w:rsidRPr="00281E13">
              <w:rPr>
                <w:rFonts w:ascii="Arial" w:hAnsi="Arial" w:cs="Arial"/>
                <w:vertAlign w:val="subscript"/>
              </w:rPr>
              <w:t>2</w:t>
            </w:r>
            <w:r w:rsidRPr="00281E13">
              <w:rPr>
                <w:rFonts w:ascii="Arial" w:hAnsi="Arial" w:cs="Arial"/>
              </w:rPr>
              <w:t>O</w:t>
            </w:r>
            <w:r w:rsidRPr="00281E13">
              <w:rPr>
                <w:rFonts w:ascii="Arial" w:hAnsi="Arial" w:cs="Arial"/>
                <w:vertAlign w:val="subscript"/>
              </w:rPr>
              <w:t>5</w:t>
            </w:r>
            <w:r w:rsidRPr="00281E13">
              <w:rPr>
                <w:rFonts w:ascii="Arial" w:hAnsi="Arial" w:cs="Arial"/>
              </w:rPr>
              <w:t xml:space="preserve"> (%)</w:t>
            </w:r>
          </w:p>
        </w:tc>
        <w:tc>
          <w:tcPr>
            <w:tcW w:w="2253" w:type="dxa"/>
            <w:tcBorders>
              <w:top w:val="nil"/>
              <w:left w:val="nil"/>
              <w:bottom w:val="nil"/>
              <w:right w:val="nil"/>
            </w:tcBorders>
            <w:noWrap/>
            <w:vAlign w:val="center"/>
          </w:tcPr>
          <w:p w14:paraId="146B5058"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1.60</w:t>
            </w:r>
          </w:p>
        </w:tc>
        <w:tc>
          <w:tcPr>
            <w:tcW w:w="2028" w:type="dxa"/>
            <w:tcBorders>
              <w:top w:val="nil"/>
              <w:left w:val="nil"/>
              <w:bottom w:val="nil"/>
              <w:right w:val="nil"/>
            </w:tcBorders>
            <w:noWrap/>
            <w:vAlign w:val="center"/>
          </w:tcPr>
          <w:p w14:paraId="73F5FA1C"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2.29</w:t>
            </w:r>
          </w:p>
        </w:tc>
        <w:tc>
          <w:tcPr>
            <w:tcW w:w="1469" w:type="dxa"/>
            <w:tcBorders>
              <w:top w:val="nil"/>
              <w:left w:val="nil"/>
              <w:bottom w:val="nil"/>
              <w:right w:val="nil"/>
            </w:tcBorders>
            <w:noWrap/>
            <w:vAlign w:val="center"/>
          </w:tcPr>
          <w:p w14:paraId="3E890294"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0.69</w:t>
            </w:r>
          </w:p>
        </w:tc>
        <w:tc>
          <w:tcPr>
            <w:tcW w:w="1530" w:type="dxa"/>
            <w:tcBorders>
              <w:top w:val="nil"/>
              <w:left w:val="nil"/>
              <w:bottom w:val="nil"/>
              <w:right w:val="nil"/>
            </w:tcBorders>
            <w:noWrap/>
            <w:vAlign w:val="center"/>
          </w:tcPr>
          <w:p w14:paraId="2934ABBA"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1.45</w:t>
            </w:r>
          </w:p>
        </w:tc>
      </w:tr>
      <w:tr w:rsidR="00650980" w:rsidRPr="00281E13" w14:paraId="73EAF055" w14:textId="77777777" w:rsidTr="00085C7C">
        <w:trPr>
          <w:trHeight w:val="20"/>
          <w:jc w:val="center"/>
        </w:trPr>
        <w:tc>
          <w:tcPr>
            <w:tcW w:w="2440" w:type="dxa"/>
            <w:tcBorders>
              <w:top w:val="nil"/>
              <w:left w:val="nil"/>
              <w:bottom w:val="single" w:sz="4" w:space="0" w:color="auto"/>
              <w:right w:val="nil"/>
            </w:tcBorders>
            <w:noWrap/>
            <w:vAlign w:val="center"/>
          </w:tcPr>
          <w:p w14:paraId="54843680"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Total K</w:t>
            </w:r>
            <w:r w:rsidRPr="00281E13">
              <w:rPr>
                <w:rFonts w:ascii="Arial" w:hAnsi="Arial" w:cs="Arial"/>
                <w:vertAlign w:val="subscript"/>
              </w:rPr>
              <w:t>2</w:t>
            </w:r>
            <w:r w:rsidRPr="00281E13">
              <w:rPr>
                <w:rFonts w:ascii="Arial" w:hAnsi="Arial" w:cs="Arial"/>
              </w:rPr>
              <w:t>O (%)</w:t>
            </w:r>
          </w:p>
        </w:tc>
        <w:tc>
          <w:tcPr>
            <w:tcW w:w="2253" w:type="dxa"/>
            <w:tcBorders>
              <w:top w:val="nil"/>
              <w:left w:val="nil"/>
              <w:bottom w:val="single" w:sz="4" w:space="0" w:color="auto"/>
              <w:right w:val="nil"/>
            </w:tcBorders>
            <w:noWrap/>
            <w:vAlign w:val="center"/>
          </w:tcPr>
          <w:p w14:paraId="6F2BA06B"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0.69</w:t>
            </w:r>
          </w:p>
        </w:tc>
        <w:tc>
          <w:tcPr>
            <w:tcW w:w="2028" w:type="dxa"/>
            <w:tcBorders>
              <w:top w:val="nil"/>
              <w:left w:val="nil"/>
              <w:bottom w:val="single" w:sz="4" w:space="0" w:color="auto"/>
              <w:right w:val="nil"/>
            </w:tcBorders>
            <w:noWrap/>
            <w:vAlign w:val="center"/>
          </w:tcPr>
          <w:p w14:paraId="77B6137E"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1.93</w:t>
            </w:r>
          </w:p>
        </w:tc>
        <w:tc>
          <w:tcPr>
            <w:tcW w:w="1469" w:type="dxa"/>
            <w:tcBorders>
              <w:top w:val="nil"/>
              <w:left w:val="nil"/>
              <w:bottom w:val="single" w:sz="4" w:space="0" w:color="auto"/>
              <w:right w:val="nil"/>
            </w:tcBorders>
            <w:noWrap/>
            <w:vAlign w:val="center"/>
          </w:tcPr>
          <w:p w14:paraId="1F16B4E6"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0.80</w:t>
            </w:r>
          </w:p>
        </w:tc>
        <w:tc>
          <w:tcPr>
            <w:tcW w:w="1530" w:type="dxa"/>
            <w:tcBorders>
              <w:top w:val="nil"/>
              <w:left w:val="nil"/>
              <w:bottom w:val="single" w:sz="4" w:space="0" w:color="auto"/>
              <w:right w:val="nil"/>
            </w:tcBorders>
            <w:noWrap/>
            <w:vAlign w:val="center"/>
          </w:tcPr>
          <w:p w14:paraId="4526933A" w14:textId="77777777" w:rsidR="00650980" w:rsidRPr="00281E13" w:rsidRDefault="00650980" w:rsidP="00830578">
            <w:pPr>
              <w:tabs>
                <w:tab w:val="left" w:pos="720"/>
                <w:tab w:val="left" w:pos="1260"/>
                <w:tab w:val="left" w:pos="1620"/>
              </w:tabs>
              <w:spacing w:before="120" w:after="120"/>
              <w:rPr>
                <w:rFonts w:ascii="Arial" w:hAnsi="Arial" w:cs="Arial"/>
              </w:rPr>
            </w:pPr>
            <w:r w:rsidRPr="00281E13">
              <w:rPr>
                <w:rFonts w:ascii="Arial" w:hAnsi="Arial" w:cs="Arial"/>
              </w:rPr>
              <w:t>1.20</w:t>
            </w:r>
          </w:p>
        </w:tc>
      </w:tr>
    </w:tbl>
    <w:p w14:paraId="1712EC09"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lastRenderedPageBreak/>
        <w:t xml:space="preserve">                     </w:t>
      </w:r>
      <w:r w:rsidRPr="00092171">
        <w:rPr>
          <w:rFonts w:ascii="Times New Roman" w:hAnsi="Times New Roman"/>
          <w:noProof/>
          <w:sz w:val="24"/>
          <w:szCs w:val="24"/>
        </w:rPr>
        <w:drawing>
          <wp:inline distT="0" distB="0" distL="0" distR="0" wp14:anchorId="4B87A5FF" wp14:editId="2DF7F749">
            <wp:extent cx="4563110" cy="2740660"/>
            <wp:effectExtent l="0" t="0" r="8890" b="2540"/>
            <wp:docPr id="93075178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506E71-F1E9-A989-FB26-BE8E26AD61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F5D230" w14:textId="77777777" w:rsidR="00650980" w:rsidRPr="00B50E9B" w:rsidRDefault="00650980" w:rsidP="00650980">
      <w:pPr>
        <w:pStyle w:val="AbstHead"/>
        <w:spacing w:before="240" w:line="360" w:lineRule="auto"/>
        <w:jc w:val="both"/>
        <w:rPr>
          <w:rFonts w:ascii="Arial" w:hAnsi="Arial" w:cs="Arial"/>
          <w:b w:val="0"/>
          <w:bCs/>
          <w:sz w:val="20"/>
        </w:rPr>
      </w:pPr>
      <w:r w:rsidRPr="00B50E9B">
        <w:rPr>
          <w:rFonts w:ascii="Arial" w:hAnsi="Arial" w:cs="Arial"/>
          <w:b w:val="0"/>
          <w:bCs/>
          <w:caps w:val="0"/>
          <w:sz w:val="20"/>
        </w:rPr>
        <w:t>Figure 1. Room temperature and relative humidity during the period of incubation.</w:t>
      </w:r>
    </w:p>
    <w:p w14:paraId="308D48C4" w14:textId="77777777" w:rsidR="00650980" w:rsidRPr="00092171" w:rsidRDefault="00650980" w:rsidP="00650980">
      <w:pPr>
        <w:pStyle w:val="AbstHead"/>
        <w:spacing w:before="240" w:line="360" w:lineRule="auto"/>
        <w:jc w:val="both"/>
        <w:rPr>
          <w:rFonts w:ascii="Times New Roman" w:hAnsi="Times New Roman"/>
          <w:caps w:val="0"/>
          <w:sz w:val="24"/>
          <w:szCs w:val="24"/>
        </w:rPr>
      </w:pPr>
    </w:p>
    <w:p w14:paraId="372D4C10"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br w:type="page"/>
      </w:r>
    </w:p>
    <w:p w14:paraId="5FCBD8E1" w14:textId="77777777" w:rsidR="00650980" w:rsidRPr="00281E13" w:rsidRDefault="00650980" w:rsidP="005B1FC0">
      <w:pPr>
        <w:pStyle w:val="AbstHead"/>
        <w:spacing w:after="120" w:line="360" w:lineRule="auto"/>
        <w:jc w:val="both"/>
        <w:rPr>
          <w:rFonts w:ascii="Arial" w:hAnsi="Arial" w:cs="Arial"/>
          <w:caps w:val="0"/>
          <w:sz w:val="20"/>
        </w:rPr>
      </w:pPr>
      <w:r w:rsidRPr="00281E13">
        <w:rPr>
          <w:rFonts w:ascii="Arial" w:hAnsi="Arial" w:cs="Arial"/>
          <w:caps w:val="0"/>
          <w:sz w:val="20"/>
        </w:rPr>
        <w:lastRenderedPageBreak/>
        <w:t>Table 2. Physicochemical properties of experimental soil</w:t>
      </w:r>
    </w:p>
    <w:tbl>
      <w:tblPr>
        <w:tblW w:w="5000" w:type="pct"/>
        <w:jc w:val="center"/>
        <w:tblLook w:val="04A0" w:firstRow="1" w:lastRow="0" w:firstColumn="1" w:lastColumn="0" w:noHBand="0" w:noVBand="1"/>
      </w:tblPr>
      <w:tblGrid>
        <w:gridCol w:w="5537"/>
        <w:gridCol w:w="583"/>
        <w:gridCol w:w="2875"/>
        <w:gridCol w:w="1089"/>
        <w:gridCol w:w="4954"/>
      </w:tblGrid>
      <w:tr w:rsidR="00650980" w:rsidRPr="00281E13" w14:paraId="10F665D8" w14:textId="77777777" w:rsidTr="00830578">
        <w:trPr>
          <w:trHeight w:val="300"/>
          <w:jc w:val="center"/>
        </w:trPr>
        <w:tc>
          <w:tcPr>
            <w:tcW w:w="1841" w:type="pct"/>
            <w:tcBorders>
              <w:top w:val="single" w:sz="8" w:space="0" w:color="auto"/>
              <w:left w:val="nil"/>
              <w:bottom w:val="single" w:sz="4" w:space="0" w:color="auto"/>
              <w:right w:val="nil"/>
            </w:tcBorders>
            <w:noWrap/>
            <w:vAlign w:val="center"/>
            <w:hideMark/>
          </w:tcPr>
          <w:p w14:paraId="2A4C0C20" w14:textId="77777777" w:rsidR="00650980" w:rsidRPr="00281E13" w:rsidRDefault="00650980" w:rsidP="00830578">
            <w:pPr>
              <w:spacing w:before="80" w:after="80"/>
              <w:rPr>
                <w:rFonts w:ascii="Arial" w:hAnsi="Arial" w:cs="Arial"/>
                <w:b/>
                <w:bCs/>
                <w:color w:val="000000"/>
              </w:rPr>
            </w:pPr>
            <w:r w:rsidRPr="00281E13">
              <w:rPr>
                <w:rFonts w:ascii="Arial" w:hAnsi="Arial" w:cs="Arial"/>
                <w:b/>
                <w:bCs/>
                <w:color w:val="000000"/>
              </w:rPr>
              <w:t>Characteristics</w:t>
            </w:r>
          </w:p>
        </w:tc>
        <w:tc>
          <w:tcPr>
            <w:tcW w:w="194" w:type="pct"/>
            <w:tcBorders>
              <w:top w:val="single" w:sz="8" w:space="0" w:color="auto"/>
              <w:left w:val="nil"/>
              <w:bottom w:val="single" w:sz="4" w:space="0" w:color="auto"/>
              <w:right w:val="nil"/>
            </w:tcBorders>
            <w:noWrap/>
            <w:vAlign w:val="center"/>
            <w:hideMark/>
          </w:tcPr>
          <w:p w14:paraId="427A000A" w14:textId="77777777" w:rsidR="00650980" w:rsidRPr="00281E13" w:rsidRDefault="00650980" w:rsidP="00830578">
            <w:pPr>
              <w:spacing w:before="80" w:after="80"/>
              <w:rPr>
                <w:rFonts w:ascii="Arial" w:hAnsi="Arial" w:cs="Arial"/>
                <w:b/>
                <w:bCs/>
                <w:color w:val="000000"/>
              </w:rPr>
            </w:pPr>
            <w:r w:rsidRPr="00281E13">
              <w:rPr>
                <w:rFonts w:ascii="Arial" w:hAnsi="Arial" w:cs="Arial"/>
                <w:b/>
                <w:bCs/>
                <w:color w:val="000000"/>
              </w:rPr>
              <w:t> </w:t>
            </w:r>
          </w:p>
        </w:tc>
        <w:tc>
          <w:tcPr>
            <w:tcW w:w="956" w:type="pct"/>
            <w:tcBorders>
              <w:top w:val="single" w:sz="8" w:space="0" w:color="auto"/>
              <w:left w:val="nil"/>
              <w:bottom w:val="single" w:sz="4" w:space="0" w:color="auto"/>
              <w:right w:val="nil"/>
            </w:tcBorders>
            <w:noWrap/>
            <w:vAlign w:val="center"/>
            <w:hideMark/>
          </w:tcPr>
          <w:p w14:paraId="5D60665C" w14:textId="77777777" w:rsidR="00650980" w:rsidRPr="00281E13" w:rsidRDefault="00650980" w:rsidP="00830578">
            <w:pPr>
              <w:spacing w:before="80" w:after="80"/>
              <w:rPr>
                <w:rFonts w:ascii="Arial" w:hAnsi="Arial" w:cs="Arial"/>
                <w:b/>
                <w:bCs/>
                <w:color w:val="000000"/>
              </w:rPr>
            </w:pPr>
            <w:r w:rsidRPr="00281E13">
              <w:rPr>
                <w:rFonts w:ascii="Arial" w:hAnsi="Arial" w:cs="Arial"/>
                <w:b/>
                <w:bCs/>
                <w:color w:val="000000"/>
              </w:rPr>
              <w:t>Values</w:t>
            </w:r>
          </w:p>
        </w:tc>
        <w:tc>
          <w:tcPr>
            <w:tcW w:w="362" w:type="pct"/>
            <w:tcBorders>
              <w:top w:val="single" w:sz="8" w:space="0" w:color="auto"/>
              <w:left w:val="nil"/>
              <w:bottom w:val="single" w:sz="4" w:space="0" w:color="auto"/>
              <w:right w:val="nil"/>
            </w:tcBorders>
            <w:noWrap/>
            <w:vAlign w:val="bottom"/>
            <w:hideMark/>
          </w:tcPr>
          <w:p w14:paraId="5643B262" w14:textId="77777777" w:rsidR="00650980" w:rsidRPr="00281E13" w:rsidRDefault="00650980" w:rsidP="00830578">
            <w:pPr>
              <w:spacing w:before="80" w:after="80"/>
              <w:rPr>
                <w:rFonts w:ascii="Arial" w:hAnsi="Arial" w:cs="Arial"/>
                <w:b/>
                <w:bCs/>
                <w:color w:val="000000"/>
              </w:rPr>
            </w:pPr>
            <w:r w:rsidRPr="00281E13">
              <w:rPr>
                <w:rFonts w:ascii="Arial" w:hAnsi="Arial" w:cs="Arial"/>
                <w:b/>
                <w:bCs/>
                <w:color w:val="000000"/>
              </w:rPr>
              <w:t> </w:t>
            </w:r>
          </w:p>
        </w:tc>
        <w:tc>
          <w:tcPr>
            <w:tcW w:w="1647" w:type="pct"/>
            <w:tcBorders>
              <w:top w:val="single" w:sz="8" w:space="0" w:color="auto"/>
              <w:left w:val="nil"/>
              <w:bottom w:val="single" w:sz="4" w:space="0" w:color="auto"/>
              <w:right w:val="nil"/>
            </w:tcBorders>
            <w:noWrap/>
            <w:vAlign w:val="center"/>
            <w:hideMark/>
          </w:tcPr>
          <w:p w14:paraId="7E1F4711" w14:textId="77777777" w:rsidR="00650980" w:rsidRPr="00281E13" w:rsidRDefault="00650980" w:rsidP="00830578">
            <w:pPr>
              <w:spacing w:before="80" w:after="80"/>
              <w:rPr>
                <w:rFonts w:ascii="Arial" w:hAnsi="Arial" w:cs="Arial"/>
                <w:b/>
                <w:bCs/>
                <w:color w:val="000000"/>
              </w:rPr>
            </w:pPr>
            <w:r w:rsidRPr="00281E13">
              <w:rPr>
                <w:rFonts w:ascii="Arial" w:hAnsi="Arial" w:cs="Arial"/>
                <w:b/>
                <w:bCs/>
                <w:color w:val="000000"/>
              </w:rPr>
              <w:t>Rating</w:t>
            </w:r>
          </w:p>
        </w:tc>
      </w:tr>
      <w:tr w:rsidR="00650980" w:rsidRPr="00281E13" w14:paraId="76EA3E87" w14:textId="77777777" w:rsidTr="00830578">
        <w:trPr>
          <w:trHeight w:val="300"/>
          <w:jc w:val="center"/>
        </w:trPr>
        <w:tc>
          <w:tcPr>
            <w:tcW w:w="1841" w:type="pct"/>
            <w:tcBorders>
              <w:top w:val="nil"/>
              <w:left w:val="nil"/>
              <w:bottom w:val="nil"/>
              <w:right w:val="nil"/>
            </w:tcBorders>
            <w:noWrap/>
            <w:vAlign w:val="center"/>
            <w:hideMark/>
          </w:tcPr>
          <w:p w14:paraId="57ADBCF3"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 sand</w:t>
            </w:r>
          </w:p>
        </w:tc>
        <w:tc>
          <w:tcPr>
            <w:tcW w:w="194" w:type="pct"/>
            <w:tcBorders>
              <w:top w:val="nil"/>
              <w:left w:val="nil"/>
              <w:bottom w:val="nil"/>
              <w:right w:val="nil"/>
            </w:tcBorders>
            <w:noWrap/>
            <w:vAlign w:val="center"/>
            <w:hideMark/>
          </w:tcPr>
          <w:p w14:paraId="3F3699EF"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CBC2FA1"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82.9</w:t>
            </w:r>
          </w:p>
        </w:tc>
        <w:tc>
          <w:tcPr>
            <w:tcW w:w="362" w:type="pct"/>
            <w:tcBorders>
              <w:top w:val="nil"/>
              <w:left w:val="nil"/>
              <w:bottom w:val="nil"/>
              <w:right w:val="nil"/>
            </w:tcBorders>
            <w:noWrap/>
            <w:vAlign w:val="bottom"/>
            <w:hideMark/>
          </w:tcPr>
          <w:p w14:paraId="4A7C0A1B"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139C86C0" w14:textId="77777777" w:rsidR="00650980" w:rsidRPr="00281E13" w:rsidRDefault="00650980" w:rsidP="00830578">
            <w:pPr>
              <w:spacing w:before="80" w:after="80"/>
              <w:rPr>
                <w:rFonts w:ascii="Arial" w:hAnsi="Arial" w:cs="Arial"/>
              </w:rPr>
            </w:pPr>
          </w:p>
        </w:tc>
      </w:tr>
      <w:tr w:rsidR="00650980" w:rsidRPr="00281E13" w14:paraId="2E884451" w14:textId="77777777" w:rsidTr="00830578">
        <w:trPr>
          <w:trHeight w:val="300"/>
          <w:jc w:val="center"/>
        </w:trPr>
        <w:tc>
          <w:tcPr>
            <w:tcW w:w="1841" w:type="pct"/>
            <w:tcBorders>
              <w:top w:val="nil"/>
              <w:left w:val="nil"/>
              <w:bottom w:val="nil"/>
              <w:right w:val="nil"/>
            </w:tcBorders>
            <w:noWrap/>
            <w:vAlign w:val="center"/>
            <w:hideMark/>
          </w:tcPr>
          <w:p w14:paraId="136DA586"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 xml:space="preserve">% silt </w:t>
            </w:r>
          </w:p>
        </w:tc>
        <w:tc>
          <w:tcPr>
            <w:tcW w:w="194" w:type="pct"/>
            <w:tcBorders>
              <w:top w:val="nil"/>
              <w:left w:val="nil"/>
              <w:bottom w:val="nil"/>
              <w:right w:val="nil"/>
            </w:tcBorders>
            <w:noWrap/>
            <w:vAlign w:val="center"/>
            <w:hideMark/>
          </w:tcPr>
          <w:p w14:paraId="7073CF7B"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5EB9EAA"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8.52</w:t>
            </w:r>
          </w:p>
        </w:tc>
        <w:tc>
          <w:tcPr>
            <w:tcW w:w="362" w:type="pct"/>
            <w:tcBorders>
              <w:top w:val="nil"/>
              <w:left w:val="nil"/>
              <w:bottom w:val="nil"/>
              <w:right w:val="nil"/>
            </w:tcBorders>
            <w:noWrap/>
            <w:vAlign w:val="bottom"/>
            <w:hideMark/>
          </w:tcPr>
          <w:p w14:paraId="5B32B8B2"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43E475CE" w14:textId="77777777" w:rsidR="00650980" w:rsidRPr="00281E13" w:rsidRDefault="00650980" w:rsidP="00830578">
            <w:pPr>
              <w:spacing w:before="80" w:after="80"/>
              <w:rPr>
                <w:rFonts w:ascii="Arial" w:hAnsi="Arial" w:cs="Arial"/>
              </w:rPr>
            </w:pPr>
          </w:p>
        </w:tc>
      </w:tr>
      <w:tr w:rsidR="00650980" w:rsidRPr="00281E13" w14:paraId="7E60D012" w14:textId="77777777" w:rsidTr="00830578">
        <w:trPr>
          <w:trHeight w:val="300"/>
          <w:jc w:val="center"/>
        </w:trPr>
        <w:tc>
          <w:tcPr>
            <w:tcW w:w="1841" w:type="pct"/>
            <w:tcBorders>
              <w:top w:val="nil"/>
              <w:left w:val="nil"/>
              <w:bottom w:val="nil"/>
              <w:right w:val="nil"/>
            </w:tcBorders>
            <w:noWrap/>
            <w:vAlign w:val="center"/>
            <w:hideMark/>
          </w:tcPr>
          <w:p w14:paraId="3CB1A128"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 xml:space="preserve">% clay </w:t>
            </w:r>
          </w:p>
        </w:tc>
        <w:tc>
          <w:tcPr>
            <w:tcW w:w="194" w:type="pct"/>
            <w:tcBorders>
              <w:top w:val="nil"/>
              <w:left w:val="nil"/>
              <w:bottom w:val="nil"/>
              <w:right w:val="nil"/>
            </w:tcBorders>
            <w:noWrap/>
            <w:vAlign w:val="center"/>
            <w:hideMark/>
          </w:tcPr>
          <w:p w14:paraId="05804B2F"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5D100C6"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8.58</w:t>
            </w:r>
          </w:p>
        </w:tc>
        <w:tc>
          <w:tcPr>
            <w:tcW w:w="362" w:type="pct"/>
            <w:tcBorders>
              <w:top w:val="nil"/>
              <w:left w:val="nil"/>
              <w:bottom w:val="nil"/>
              <w:right w:val="nil"/>
            </w:tcBorders>
            <w:noWrap/>
            <w:vAlign w:val="bottom"/>
            <w:hideMark/>
          </w:tcPr>
          <w:p w14:paraId="5E177655"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452382E1" w14:textId="77777777" w:rsidR="00650980" w:rsidRPr="00281E13" w:rsidRDefault="00650980" w:rsidP="00830578">
            <w:pPr>
              <w:spacing w:before="80" w:after="80"/>
              <w:rPr>
                <w:rFonts w:ascii="Arial" w:hAnsi="Arial" w:cs="Arial"/>
              </w:rPr>
            </w:pPr>
          </w:p>
        </w:tc>
      </w:tr>
      <w:tr w:rsidR="00650980" w:rsidRPr="00281E13" w14:paraId="42B4C193" w14:textId="77777777" w:rsidTr="00830578">
        <w:trPr>
          <w:trHeight w:val="300"/>
          <w:jc w:val="center"/>
        </w:trPr>
        <w:tc>
          <w:tcPr>
            <w:tcW w:w="1841" w:type="pct"/>
            <w:tcBorders>
              <w:top w:val="nil"/>
              <w:left w:val="nil"/>
              <w:bottom w:val="nil"/>
              <w:right w:val="nil"/>
            </w:tcBorders>
            <w:noWrap/>
            <w:vAlign w:val="center"/>
            <w:hideMark/>
          </w:tcPr>
          <w:p w14:paraId="631B36AD"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Texture class</w:t>
            </w:r>
          </w:p>
        </w:tc>
        <w:tc>
          <w:tcPr>
            <w:tcW w:w="194" w:type="pct"/>
            <w:tcBorders>
              <w:top w:val="nil"/>
              <w:left w:val="nil"/>
              <w:bottom w:val="nil"/>
              <w:right w:val="nil"/>
            </w:tcBorders>
            <w:noWrap/>
            <w:vAlign w:val="center"/>
            <w:hideMark/>
          </w:tcPr>
          <w:p w14:paraId="260D79AB"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6E016165"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Loamy sand</w:t>
            </w:r>
          </w:p>
        </w:tc>
        <w:tc>
          <w:tcPr>
            <w:tcW w:w="362" w:type="pct"/>
            <w:tcBorders>
              <w:top w:val="nil"/>
              <w:left w:val="nil"/>
              <w:bottom w:val="nil"/>
              <w:right w:val="nil"/>
            </w:tcBorders>
            <w:noWrap/>
            <w:vAlign w:val="bottom"/>
            <w:hideMark/>
          </w:tcPr>
          <w:p w14:paraId="46025C72"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63A16BE3" w14:textId="77777777" w:rsidR="00650980" w:rsidRPr="00281E13" w:rsidRDefault="00650980" w:rsidP="00830578">
            <w:pPr>
              <w:spacing w:before="80" w:after="80"/>
              <w:rPr>
                <w:rFonts w:ascii="Arial" w:hAnsi="Arial" w:cs="Arial"/>
              </w:rPr>
            </w:pPr>
          </w:p>
        </w:tc>
      </w:tr>
      <w:tr w:rsidR="00650980" w:rsidRPr="00281E13" w14:paraId="60B4178E" w14:textId="77777777" w:rsidTr="00830578">
        <w:trPr>
          <w:trHeight w:val="330"/>
          <w:jc w:val="center"/>
        </w:trPr>
        <w:tc>
          <w:tcPr>
            <w:tcW w:w="1841" w:type="pct"/>
            <w:tcBorders>
              <w:top w:val="nil"/>
              <w:left w:val="nil"/>
              <w:bottom w:val="nil"/>
              <w:right w:val="nil"/>
            </w:tcBorders>
            <w:noWrap/>
            <w:vAlign w:val="center"/>
            <w:hideMark/>
          </w:tcPr>
          <w:p w14:paraId="2B7303A3"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Bulk density (g cm</w:t>
            </w:r>
            <w:r w:rsidRPr="00281E13">
              <w:rPr>
                <w:rFonts w:ascii="Arial" w:hAnsi="Arial" w:cs="Arial"/>
                <w:color w:val="000000"/>
                <w:vertAlign w:val="superscript"/>
              </w:rPr>
              <w:t>-3</w:t>
            </w:r>
            <w:r w:rsidRPr="00281E13">
              <w:rPr>
                <w:rFonts w:ascii="Arial" w:hAnsi="Arial" w:cs="Arial"/>
                <w:color w:val="000000"/>
              </w:rPr>
              <w:t>)</w:t>
            </w:r>
          </w:p>
        </w:tc>
        <w:tc>
          <w:tcPr>
            <w:tcW w:w="194" w:type="pct"/>
            <w:tcBorders>
              <w:top w:val="nil"/>
              <w:left w:val="nil"/>
              <w:bottom w:val="nil"/>
              <w:right w:val="nil"/>
            </w:tcBorders>
            <w:noWrap/>
            <w:vAlign w:val="center"/>
            <w:hideMark/>
          </w:tcPr>
          <w:p w14:paraId="765F58E1"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42E1B9AE"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1.3</w:t>
            </w:r>
          </w:p>
        </w:tc>
        <w:tc>
          <w:tcPr>
            <w:tcW w:w="362" w:type="pct"/>
            <w:tcBorders>
              <w:top w:val="nil"/>
              <w:left w:val="nil"/>
              <w:bottom w:val="nil"/>
              <w:right w:val="nil"/>
            </w:tcBorders>
            <w:noWrap/>
            <w:vAlign w:val="bottom"/>
            <w:hideMark/>
          </w:tcPr>
          <w:p w14:paraId="689D317C"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718043C0"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Low</w:t>
            </w:r>
          </w:p>
        </w:tc>
      </w:tr>
      <w:tr w:rsidR="00650980" w:rsidRPr="00281E13" w14:paraId="20DCF444" w14:textId="77777777" w:rsidTr="00830578">
        <w:trPr>
          <w:trHeight w:val="300"/>
          <w:jc w:val="center"/>
        </w:trPr>
        <w:tc>
          <w:tcPr>
            <w:tcW w:w="1841" w:type="pct"/>
            <w:tcBorders>
              <w:top w:val="nil"/>
              <w:left w:val="nil"/>
              <w:bottom w:val="nil"/>
              <w:right w:val="nil"/>
            </w:tcBorders>
            <w:noWrap/>
            <w:vAlign w:val="center"/>
            <w:hideMark/>
          </w:tcPr>
          <w:p w14:paraId="77F897B2"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Water holding capacity (%)</w:t>
            </w:r>
          </w:p>
        </w:tc>
        <w:tc>
          <w:tcPr>
            <w:tcW w:w="194" w:type="pct"/>
            <w:tcBorders>
              <w:top w:val="nil"/>
              <w:left w:val="nil"/>
              <w:bottom w:val="nil"/>
              <w:right w:val="nil"/>
            </w:tcBorders>
            <w:noWrap/>
            <w:vAlign w:val="center"/>
            <w:hideMark/>
          </w:tcPr>
          <w:p w14:paraId="16E08433"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3E3C47CF"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46</w:t>
            </w:r>
          </w:p>
        </w:tc>
        <w:tc>
          <w:tcPr>
            <w:tcW w:w="362" w:type="pct"/>
            <w:tcBorders>
              <w:top w:val="nil"/>
              <w:left w:val="nil"/>
              <w:bottom w:val="nil"/>
              <w:right w:val="nil"/>
            </w:tcBorders>
            <w:noWrap/>
            <w:vAlign w:val="bottom"/>
            <w:hideMark/>
          </w:tcPr>
          <w:p w14:paraId="299B9B47"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51A0CCC8" w14:textId="77777777" w:rsidR="00650980" w:rsidRPr="00281E13" w:rsidRDefault="00650980" w:rsidP="00830578">
            <w:pPr>
              <w:spacing w:before="80" w:after="80"/>
              <w:rPr>
                <w:rFonts w:ascii="Arial" w:hAnsi="Arial" w:cs="Arial"/>
              </w:rPr>
            </w:pPr>
          </w:p>
        </w:tc>
      </w:tr>
      <w:tr w:rsidR="00650980" w:rsidRPr="00281E13" w14:paraId="04664E8C" w14:textId="77777777" w:rsidTr="00830578">
        <w:trPr>
          <w:trHeight w:val="300"/>
          <w:jc w:val="center"/>
        </w:trPr>
        <w:tc>
          <w:tcPr>
            <w:tcW w:w="1841" w:type="pct"/>
            <w:tcBorders>
              <w:top w:val="nil"/>
              <w:left w:val="nil"/>
              <w:bottom w:val="nil"/>
              <w:right w:val="nil"/>
            </w:tcBorders>
            <w:noWrap/>
            <w:vAlign w:val="center"/>
            <w:hideMark/>
          </w:tcPr>
          <w:p w14:paraId="5793A5D9" w14:textId="40345EB6" w:rsidR="00650980" w:rsidRPr="00281E13" w:rsidRDefault="00830578" w:rsidP="00830578">
            <w:pPr>
              <w:spacing w:before="80" w:after="80"/>
              <w:rPr>
                <w:rFonts w:ascii="Arial" w:hAnsi="Arial" w:cs="Arial"/>
                <w:color w:val="000000"/>
              </w:rPr>
            </w:pPr>
            <w:commentRangeStart w:id="4"/>
            <w:r w:rsidRPr="00787021">
              <w:rPr>
                <w:rFonts w:ascii="Arial" w:hAnsi="Arial" w:cs="Arial"/>
                <w:color w:val="C00000"/>
              </w:rPr>
              <w:t>Ph</w:t>
            </w:r>
            <w:commentRangeEnd w:id="4"/>
            <w:r w:rsidR="00787021">
              <w:rPr>
                <w:rStyle w:val="CommentReference"/>
                <w:rFonts w:ascii="Times New Roman" w:hAnsi="Times New Roman"/>
                <w:lang w:val="nb-NO" w:eastAsia="nb-NO"/>
              </w:rPr>
              <w:commentReference w:id="4"/>
            </w:r>
          </w:p>
        </w:tc>
        <w:tc>
          <w:tcPr>
            <w:tcW w:w="194" w:type="pct"/>
            <w:tcBorders>
              <w:top w:val="nil"/>
              <w:left w:val="nil"/>
              <w:bottom w:val="nil"/>
              <w:right w:val="nil"/>
            </w:tcBorders>
            <w:noWrap/>
            <w:vAlign w:val="center"/>
            <w:hideMark/>
          </w:tcPr>
          <w:p w14:paraId="564E6B2B"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9723BB2"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5.75</w:t>
            </w:r>
          </w:p>
        </w:tc>
        <w:tc>
          <w:tcPr>
            <w:tcW w:w="362" w:type="pct"/>
            <w:tcBorders>
              <w:top w:val="nil"/>
              <w:left w:val="nil"/>
              <w:bottom w:val="nil"/>
              <w:right w:val="nil"/>
            </w:tcBorders>
            <w:noWrap/>
            <w:vAlign w:val="bottom"/>
            <w:hideMark/>
          </w:tcPr>
          <w:p w14:paraId="4E68E4CB"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291E2460"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Moderately acid</w:t>
            </w:r>
          </w:p>
        </w:tc>
      </w:tr>
      <w:tr w:rsidR="00650980" w:rsidRPr="00281E13" w14:paraId="0D1ED5A4" w14:textId="77777777" w:rsidTr="00830578">
        <w:trPr>
          <w:trHeight w:val="360"/>
          <w:jc w:val="center"/>
        </w:trPr>
        <w:tc>
          <w:tcPr>
            <w:tcW w:w="1841" w:type="pct"/>
            <w:tcBorders>
              <w:top w:val="nil"/>
              <w:left w:val="nil"/>
              <w:bottom w:val="nil"/>
              <w:right w:val="nil"/>
            </w:tcBorders>
            <w:noWrap/>
            <w:vAlign w:val="center"/>
            <w:hideMark/>
          </w:tcPr>
          <w:p w14:paraId="63DFF1E7"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CEC (cmol</w:t>
            </w:r>
            <w:r w:rsidRPr="00281E13">
              <w:rPr>
                <w:rFonts w:ascii="Arial" w:hAnsi="Arial" w:cs="Arial"/>
                <w:color w:val="000000"/>
                <w:vertAlign w:val="subscript"/>
              </w:rPr>
              <w:t>c</w:t>
            </w:r>
            <w:r w:rsidRPr="00281E13">
              <w:rPr>
                <w:rFonts w:ascii="Arial" w:hAnsi="Arial" w:cs="Arial"/>
                <w:color w:val="000000"/>
              </w:rPr>
              <w:t xml:space="preserve"> kg</w:t>
            </w:r>
            <w:r w:rsidRPr="00281E13">
              <w:rPr>
                <w:rFonts w:ascii="Arial" w:hAnsi="Arial" w:cs="Arial"/>
                <w:color w:val="000000"/>
                <w:vertAlign w:val="superscript"/>
              </w:rPr>
              <w:t>-1</w:t>
            </w:r>
            <w:r w:rsidRPr="00281E13">
              <w:rPr>
                <w:rFonts w:ascii="Arial" w:hAnsi="Arial" w:cs="Arial"/>
                <w:color w:val="000000"/>
              </w:rPr>
              <w:t>)</w:t>
            </w:r>
          </w:p>
        </w:tc>
        <w:tc>
          <w:tcPr>
            <w:tcW w:w="194" w:type="pct"/>
            <w:tcBorders>
              <w:top w:val="nil"/>
              <w:left w:val="nil"/>
              <w:bottom w:val="nil"/>
              <w:right w:val="nil"/>
            </w:tcBorders>
            <w:noWrap/>
            <w:vAlign w:val="center"/>
            <w:hideMark/>
          </w:tcPr>
          <w:p w14:paraId="215008BB"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66BB14C"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13.26</w:t>
            </w:r>
          </w:p>
        </w:tc>
        <w:tc>
          <w:tcPr>
            <w:tcW w:w="362" w:type="pct"/>
            <w:tcBorders>
              <w:top w:val="nil"/>
              <w:left w:val="nil"/>
              <w:bottom w:val="nil"/>
              <w:right w:val="nil"/>
            </w:tcBorders>
            <w:noWrap/>
            <w:vAlign w:val="bottom"/>
            <w:hideMark/>
          </w:tcPr>
          <w:p w14:paraId="3C7D6F66"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33277E23"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Medium</w:t>
            </w:r>
          </w:p>
        </w:tc>
      </w:tr>
      <w:tr w:rsidR="00650980" w:rsidRPr="00281E13" w14:paraId="3B13BA0B" w14:textId="77777777" w:rsidTr="00830578">
        <w:trPr>
          <w:trHeight w:val="300"/>
          <w:jc w:val="center"/>
        </w:trPr>
        <w:tc>
          <w:tcPr>
            <w:tcW w:w="1841" w:type="pct"/>
            <w:tcBorders>
              <w:top w:val="nil"/>
              <w:left w:val="nil"/>
              <w:bottom w:val="nil"/>
              <w:right w:val="nil"/>
            </w:tcBorders>
            <w:noWrap/>
            <w:vAlign w:val="center"/>
            <w:hideMark/>
          </w:tcPr>
          <w:p w14:paraId="256ADE26"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Organic carbon (%)</w:t>
            </w:r>
          </w:p>
        </w:tc>
        <w:tc>
          <w:tcPr>
            <w:tcW w:w="194" w:type="pct"/>
            <w:tcBorders>
              <w:top w:val="nil"/>
              <w:left w:val="nil"/>
              <w:bottom w:val="nil"/>
              <w:right w:val="nil"/>
            </w:tcBorders>
            <w:noWrap/>
            <w:vAlign w:val="center"/>
            <w:hideMark/>
          </w:tcPr>
          <w:p w14:paraId="0FD916F9"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65306A8"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1.35</w:t>
            </w:r>
          </w:p>
        </w:tc>
        <w:tc>
          <w:tcPr>
            <w:tcW w:w="362" w:type="pct"/>
            <w:tcBorders>
              <w:top w:val="nil"/>
              <w:left w:val="nil"/>
              <w:bottom w:val="nil"/>
              <w:right w:val="nil"/>
            </w:tcBorders>
            <w:noWrap/>
            <w:vAlign w:val="bottom"/>
            <w:hideMark/>
          </w:tcPr>
          <w:p w14:paraId="0A33175A"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651393A3"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Medium</w:t>
            </w:r>
          </w:p>
        </w:tc>
      </w:tr>
      <w:tr w:rsidR="00650980" w:rsidRPr="00281E13" w14:paraId="73B4D087" w14:textId="77777777" w:rsidTr="00830578">
        <w:trPr>
          <w:trHeight w:val="330"/>
          <w:jc w:val="center"/>
        </w:trPr>
        <w:tc>
          <w:tcPr>
            <w:tcW w:w="1841" w:type="pct"/>
            <w:tcBorders>
              <w:top w:val="nil"/>
              <w:left w:val="nil"/>
              <w:bottom w:val="nil"/>
              <w:right w:val="nil"/>
            </w:tcBorders>
            <w:noWrap/>
            <w:vAlign w:val="center"/>
            <w:hideMark/>
          </w:tcPr>
          <w:p w14:paraId="7ED50C10"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Available N ( mg kg</w:t>
            </w:r>
            <w:r w:rsidRPr="00281E13">
              <w:rPr>
                <w:rFonts w:ascii="Arial" w:hAnsi="Arial" w:cs="Arial"/>
                <w:color w:val="000000"/>
                <w:vertAlign w:val="superscript"/>
              </w:rPr>
              <w:t>-1</w:t>
            </w:r>
            <w:r w:rsidRPr="00281E13">
              <w:rPr>
                <w:rFonts w:ascii="Arial" w:hAnsi="Arial" w:cs="Arial"/>
                <w:color w:val="000000"/>
              </w:rPr>
              <w:t xml:space="preserve"> )</w:t>
            </w:r>
          </w:p>
        </w:tc>
        <w:tc>
          <w:tcPr>
            <w:tcW w:w="194" w:type="pct"/>
            <w:tcBorders>
              <w:top w:val="nil"/>
              <w:left w:val="nil"/>
              <w:bottom w:val="nil"/>
              <w:right w:val="nil"/>
            </w:tcBorders>
            <w:noWrap/>
            <w:vAlign w:val="center"/>
            <w:hideMark/>
          </w:tcPr>
          <w:p w14:paraId="4E3CBA5F"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0AC6B265"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25.23</w:t>
            </w:r>
          </w:p>
        </w:tc>
        <w:tc>
          <w:tcPr>
            <w:tcW w:w="362" w:type="pct"/>
            <w:tcBorders>
              <w:top w:val="nil"/>
              <w:left w:val="nil"/>
              <w:bottom w:val="nil"/>
              <w:right w:val="nil"/>
            </w:tcBorders>
            <w:noWrap/>
            <w:vAlign w:val="bottom"/>
            <w:hideMark/>
          </w:tcPr>
          <w:p w14:paraId="03B6850B"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0C1A9AE4"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Very low</w:t>
            </w:r>
          </w:p>
        </w:tc>
      </w:tr>
      <w:tr w:rsidR="00650980" w:rsidRPr="00281E13" w14:paraId="3D6C27E6" w14:textId="77777777" w:rsidTr="00830578">
        <w:trPr>
          <w:trHeight w:val="330"/>
          <w:jc w:val="center"/>
        </w:trPr>
        <w:tc>
          <w:tcPr>
            <w:tcW w:w="1841" w:type="pct"/>
            <w:tcBorders>
              <w:top w:val="nil"/>
              <w:left w:val="nil"/>
              <w:bottom w:val="nil"/>
              <w:right w:val="nil"/>
            </w:tcBorders>
            <w:noWrap/>
            <w:vAlign w:val="center"/>
            <w:hideMark/>
          </w:tcPr>
          <w:p w14:paraId="7AB0B19E"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Available P ( mg kg</w:t>
            </w:r>
            <w:r w:rsidRPr="00281E13">
              <w:rPr>
                <w:rFonts w:ascii="Arial" w:hAnsi="Arial" w:cs="Arial"/>
                <w:color w:val="000000"/>
                <w:vertAlign w:val="superscript"/>
              </w:rPr>
              <w:t>-1</w:t>
            </w:r>
            <w:r w:rsidRPr="00281E13">
              <w:rPr>
                <w:rFonts w:ascii="Arial" w:hAnsi="Arial" w:cs="Arial"/>
                <w:color w:val="000000"/>
              </w:rPr>
              <w:t xml:space="preserve"> )</w:t>
            </w:r>
          </w:p>
        </w:tc>
        <w:tc>
          <w:tcPr>
            <w:tcW w:w="194" w:type="pct"/>
            <w:tcBorders>
              <w:top w:val="nil"/>
              <w:left w:val="nil"/>
              <w:bottom w:val="nil"/>
              <w:right w:val="nil"/>
            </w:tcBorders>
            <w:noWrap/>
            <w:vAlign w:val="center"/>
            <w:hideMark/>
          </w:tcPr>
          <w:p w14:paraId="679AEDDC" w14:textId="77777777" w:rsidR="00650980" w:rsidRPr="00281E13" w:rsidRDefault="00650980" w:rsidP="00830578">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3DA40DAE"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22.58</w:t>
            </w:r>
          </w:p>
        </w:tc>
        <w:tc>
          <w:tcPr>
            <w:tcW w:w="362" w:type="pct"/>
            <w:tcBorders>
              <w:top w:val="nil"/>
              <w:left w:val="nil"/>
              <w:bottom w:val="nil"/>
              <w:right w:val="nil"/>
            </w:tcBorders>
            <w:noWrap/>
            <w:vAlign w:val="bottom"/>
            <w:hideMark/>
          </w:tcPr>
          <w:p w14:paraId="59AD903F" w14:textId="77777777" w:rsidR="00650980" w:rsidRPr="00281E13" w:rsidRDefault="00650980" w:rsidP="00830578">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72839807"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High</w:t>
            </w:r>
          </w:p>
        </w:tc>
      </w:tr>
      <w:tr w:rsidR="00650980" w:rsidRPr="00281E13" w14:paraId="0BAC19A7" w14:textId="77777777" w:rsidTr="00830578">
        <w:trPr>
          <w:trHeight w:val="345"/>
          <w:jc w:val="center"/>
        </w:trPr>
        <w:tc>
          <w:tcPr>
            <w:tcW w:w="1841" w:type="pct"/>
            <w:tcBorders>
              <w:top w:val="nil"/>
              <w:left w:val="nil"/>
              <w:bottom w:val="single" w:sz="8" w:space="0" w:color="auto"/>
              <w:right w:val="nil"/>
            </w:tcBorders>
            <w:noWrap/>
            <w:vAlign w:val="center"/>
            <w:hideMark/>
          </w:tcPr>
          <w:p w14:paraId="794376FF"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Available K ( mg kg</w:t>
            </w:r>
            <w:r w:rsidRPr="00281E13">
              <w:rPr>
                <w:rFonts w:ascii="Arial" w:hAnsi="Arial" w:cs="Arial"/>
                <w:color w:val="000000"/>
                <w:vertAlign w:val="superscript"/>
              </w:rPr>
              <w:t>-1</w:t>
            </w:r>
            <w:r w:rsidRPr="00281E13">
              <w:rPr>
                <w:rFonts w:ascii="Arial" w:hAnsi="Arial" w:cs="Arial"/>
                <w:color w:val="000000"/>
              </w:rPr>
              <w:t xml:space="preserve"> )</w:t>
            </w:r>
          </w:p>
        </w:tc>
        <w:tc>
          <w:tcPr>
            <w:tcW w:w="194" w:type="pct"/>
            <w:tcBorders>
              <w:top w:val="nil"/>
              <w:left w:val="nil"/>
              <w:bottom w:val="single" w:sz="8" w:space="0" w:color="auto"/>
              <w:right w:val="nil"/>
            </w:tcBorders>
            <w:noWrap/>
            <w:vAlign w:val="center"/>
            <w:hideMark/>
          </w:tcPr>
          <w:p w14:paraId="2C3909AD"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 </w:t>
            </w:r>
          </w:p>
        </w:tc>
        <w:tc>
          <w:tcPr>
            <w:tcW w:w="956" w:type="pct"/>
            <w:tcBorders>
              <w:top w:val="nil"/>
              <w:left w:val="nil"/>
              <w:bottom w:val="single" w:sz="8" w:space="0" w:color="auto"/>
              <w:right w:val="nil"/>
            </w:tcBorders>
            <w:noWrap/>
            <w:vAlign w:val="center"/>
            <w:hideMark/>
          </w:tcPr>
          <w:p w14:paraId="23350133"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78.43</w:t>
            </w:r>
          </w:p>
        </w:tc>
        <w:tc>
          <w:tcPr>
            <w:tcW w:w="362" w:type="pct"/>
            <w:tcBorders>
              <w:top w:val="nil"/>
              <w:left w:val="nil"/>
              <w:bottom w:val="single" w:sz="8" w:space="0" w:color="auto"/>
              <w:right w:val="nil"/>
            </w:tcBorders>
            <w:noWrap/>
            <w:vAlign w:val="bottom"/>
            <w:hideMark/>
          </w:tcPr>
          <w:p w14:paraId="437BC2B7"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 </w:t>
            </w:r>
          </w:p>
        </w:tc>
        <w:tc>
          <w:tcPr>
            <w:tcW w:w="1647" w:type="pct"/>
            <w:tcBorders>
              <w:top w:val="nil"/>
              <w:left w:val="nil"/>
              <w:bottom w:val="single" w:sz="8" w:space="0" w:color="auto"/>
              <w:right w:val="nil"/>
            </w:tcBorders>
            <w:noWrap/>
            <w:vAlign w:val="bottom"/>
            <w:hideMark/>
          </w:tcPr>
          <w:p w14:paraId="7DE9C15D" w14:textId="77777777" w:rsidR="00650980" w:rsidRPr="00281E13" w:rsidRDefault="00650980" w:rsidP="00830578">
            <w:pPr>
              <w:spacing w:before="80" w:after="80"/>
              <w:rPr>
                <w:rFonts w:ascii="Arial" w:hAnsi="Arial" w:cs="Arial"/>
                <w:color w:val="000000"/>
              </w:rPr>
            </w:pPr>
            <w:r w:rsidRPr="00281E13">
              <w:rPr>
                <w:rFonts w:ascii="Arial" w:hAnsi="Arial" w:cs="Arial"/>
                <w:color w:val="000000"/>
              </w:rPr>
              <w:t>Low</w:t>
            </w:r>
          </w:p>
        </w:tc>
      </w:tr>
    </w:tbl>
    <w:p w14:paraId="6460E1B9" w14:textId="77777777" w:rsidR="00650980" w:rsidRPr="00281E13" w:rsidRDefault="00650980" w:rsidP="005B1FC0">
      <w:pPr>
        <w:spacing w:before="120" w:after="120"/>
        <w:jc w:val="both"/>
        <w:rPr>
          <w:rFonts w:ascii="Arial" w:hAnsi="Arial" w:cs="Arial"/>
          <w:b/>
          <w:sz w:val="22"/>
          <w:szCs w:val="22"/>
        </w:rPr>
      </w:pPr>
      <w:r w:rsidRPr="00281E13">
        <w:rPr>
          <w:rFonts w:ascii="Arial" w:hAnsi="Arial" w:cs="Arial"/>
          <w:b/>
          <w:sz w:val="22"/>
          <w:szCs w:val="22"/>
        </w:rPr>
        <w:t xml:space="preserve">2.3 Incubation Experiment </w:t>
      </w:r>
    </w:p>
    <w:p w14:paraId="73C0700A" w14:textId="77777777" w:rsidR="00650980" w:rsidRPr="00281E13" w:rsidRDefault="00650980" w:rsidP="00650980">
      <w:pPr>
        <w:spacing w:after="120"/>
        <w:ind w:firstLine="720"/>
        <w:jc w:val="both"/>
        <w:rPr>
          <w:rFonts w:ascii="Arial" w:hAnsi="Arial" w:cs="Arial"/>
          <w:bCs/>
        </w:rPr>
      </w:pPr>
      <w:r w:rsidRPr="00281E13">
        <w:rPr>
          <w:rFonts w:ascii="Arial" w:hAnsi="Arial" w:cs="Arial"/>
          <w:bCs/>
        </w:rPr>
        <w:t>Soil samples were collected from a research farm at Yezin Agricultural University, located in Nay Pyi Taw Territory, Myanmar. The soil was then air-dried in a shaded area, thoroughly mixed (homogenized), and passed through a 2 mm sieve. For each incubation jar (measuring 6.5 cm in diameter and 17 cm in height), 198 grams of the prepared soil was added. Two grams of each oven-dried organic amendment, ground to pass through a 2 mm sieve, were mixed into the soil for the respective treatments, while the control treatment (T1) received no amendment. The soil moisture content was maintained at 60% of the soil's water-holding capacity throughout the incubation period to ensure optimal microbial activity. To provide adequate aeration, the jars were left open for three hours on specific days (days 3, 10, 17, 24, 31, 38, 45, 59, 73, 87, 101, and 120) (Hopkins, 2008). The temperature and relative humidity during the incubation are shown in Figure 1.</w:t>
      </w:r>
    </w:p>
    <w:p w14:paraId="389716CF"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3. DATA COLLECTION AND ANALYSIS</w:t>
      </w:r>
    </w:p>
    <w:p w14:paraId="1752E1B0" w14:textId="66C4246E" w:rsidR="00650980" w:rsidRPr="00281E13" w:rsidRDefault="00650980" w:rsidP="00650980">
      <w:pPr>
        <w:spacing w:after="120"/>
        <w:ind w:firstLine="720"/>
        <w:jc w:val="both"/>
        <w:rPr>
          <w:rFonts w:ascii="Arial" w:hAnsi="Arial" w:cs="Arial"/>
          <w:bCs/>
        </w:rPr>
      </w:pPr>
      <w:r w:rsidRPr="00281E13">
        <w:rPr>
          <w:rFonts w:ascii="Arial" w:hAnsi="Arial" w:cs="Arial"/>
          <w:bCs/>
        </w:rPr>
        <w:t xml:space="preserve">After the 120-day incubation period, </w:t>
      </w:r>
      <w:r w:rsidR="003A08BD" w:rsidRPr="00281E13">
        <w:rPr>
          <w:rFonts w:ascii="Arial" w:hAnsi="Arial" w:cs="Arial"/>
          <w:bCs/>
        </w:rPr>
        <w:t>various</w:t>
      </w:r>
      <w:r w:rsidRPr="00281E13">
        <w:rPr>
          <w:rFonts w:ascii="Arial" w:hAnsi="Arial" w:cs="Arial"/>
          <w:bCs/>
        </w:rPr>
        <w:t xml:space="preserve"> physical and chemical properties were measured. These included physical properties such as bulk density, particle density, and porosity, as well as chemical properties such as pH, organic carbon, total nitrogen, available phosphorus, available potassium, and cation exchange capacity. Bulk density was determined using the core (cylinder) method (Blake, 1965). Particle density was measured using the pycnometer method (Blake, 1965). Porosity was then calculated using the formula: porosity = [1 - (bulk density / particle density)] × 100. Soil pH was measured using a pH meter with a 1:5 soil-to-water suspension ratio (4AI) following the method described by Horneck et al. (2011). The organic carbon content was analyzed using the Walkley-Black method (6AI) as outlined by </w:t>
      </w:r>
      <w:r w:rsidR="00E41374" w:rsidRPr="00336EC4">
        <w:rPr>
          <w:rFonts w:ascii="Arial" w:hAnsi="Arial" w:cs="Arial"/>
          <w:bCs/>
          <w:color w:val="000000" w:themeColor="text1"/>
        </w:rPr>
        <w:t xml:space="preserve">Ethiosis, </w:t>
      </w:r>
      <w:r w:rsidRPr="00336EC4">
        <w:rPr>
          <w:rFonts w:ascii="Arial" w:hAnsi="Arial" w:cs="Arial"/>
          <w:bCs/>
          <w:color w:val="000000" w:themeColor="text1"/>
        </w:rPr>
        <w:t xml:space="preserve">2014. Total nitrogen was determined through the Kjeldahl digestion method, according to </w:t>
      </w:r>
      <w:r w:rsidR="00E41374" w:rsidRPr="00336EC4">
        <w:rPr>
          <w:rFonts w:ascii="Arial" w:hAnsi="Arial" w:cs="Arial"/>
          <w:bCs/>
          <w:color w:val="000000" w:themeColor="text1"/>
        </w:rPr>
        <w:t>Ethiosis, 2014.</w:t>
      </w:r>
      <w:r w:rsidR="00E41374" w:rsidRPr="00285B2D">
        <w:rPr>
          <w:rFonts w:ascii="Arial" w:hAnsi="Arial" w:cs="Arial"/>
          <w:bCs/>
          <w:color w:val="EE0000"/>
        </w:rPr>
        <w:t xml:space="preserve"> </w:t>
      </w:r>
      <w:r w:rsidRPr="00281E13">
        <w:rPr>
          <w:rFonts w:ascii="Arial" w:hAnsi="Arial" w:cs="Arial"/>
          <w:bCs/>
        </w:rPr>
        <w:t xml:space="preserve">Available phosphorus was measured </w:t>
      </w:r>
      <w:r w:rsidRPr="00281E13">
        <w:rPr>
          <w:rFonts w:ascii="Arial" w:hAnsi="Arial" w:cs="Arial"/>
          <w:bCs/>
        </w:rPr>
        <w:lastRenderedPageBreak/>
        <w:t xml:space="preserve">using the Olsen method, with the concentration determined via spectrophotometric analysis following </w:t>
      </w:r>
      <w:r w:rsidRPr="00085C7C">
        <w:rPr>
          <w:rFonts w:ascii="Arial" w:hAnsi="Arial" w:cs="Arial"/>
          <w:bCs/>
        </w:rPr>
        <w:t>Motomizu et al. (1983).</w:t>
      </w:r>
      <w:r w:rsidRPr="00281E13">
        <w:rPr>
          <w:rFonts w:ascii="Arial" w:hAnsi="Arial" w:cs="Arial"/>
          <w:bCs/>
        </w:rPr>
        <w:t xml:space="preserve"> Available potassium was assessed using 1N ammonium acetate extraction (15AI), as described by Horneck et al. (2011). Cation exchange capacity was also determined using the 1N ammonium acetate extraction method (6AI), according to Hazelton and Murphy (2016).</w:t>
      </w:r>
    </w:p>
    <w:p w14:paraId="61A8D249"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3.1 Statistical analysis</w:t>
      </w:r>
    </w:p>
    <w:p w14:paraId="249820F3" w14:textId="77777777" w:rsidR="00650980" w:rsidRPr="00281E13" w:rsidRDefault="00650980" w:rsidP="00650980">
      <w:pPr>
        <w:spacing w:after="120"/>
        <w:ind w:firstLine="720"/>
        <w:jc w:val="both"/>
        <w:rPr>
          <w:rFonts w:ascii="Arial" w:hAnsi="Arial" w:cs="Arial"/>
          <w:bCs/>
        </w:rPr>
      </w:pPr>
      <w:bookmarkStart w:id="5" w:name="_Hlk181639426"/>
      <w:r w:rsidRPr="00281E13">
        <w:rPr>
          <w:rFonts w:ascii="Arial" w:hAnsi="Arial" w:cs="Arial"/>
          <w:bCs/>
        </w:rPr>
        <w:t xml:space="preserve">The collected data were analyzed using analysis of variance (ANOVA) within a Completely Randomized Design (CRD) framework, using Statistix 8 software (Analytical Software). To differentiate the means, the least significant differences were applied at a significance level of p ≤ 0.05 (Gomez,1984). </w:t>
      </w:r>
      <w:bookmarkEnd w:id="5"/>
    </w:p>
    <w:p w14:paraId="7B34C95D" w14:textId="77777777" w:rsidR="00650980" w:rsidRPr="00281E13"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281E13">
        <w:rPr>
          <w:rFonts w:ascii="Arial" w:hAnsi="Arial" w:cs="Arial"/>
          <w:b/>
          <w:bCs/>
          <w:color w:val="111827"/>
          <w:spacing w:val="5"/>
          <w:bdr w:val="single" w:sz="2" w:space="0" w:color="E3E3E3" w:frame="1"/>
        </w:rPr>
        <w:t>4. RESULTS AND DISCUSSION</w:t>
      </w:r>
    </w:p>
    <w:p w14:paraId="331DF2BE" w14:textId="6167B384" w:rsidR="00650980" w:rsidRPr="003A43EE" w:rsidRDefault="00650980" w:rsidP="00650980">
      <w:pPr>
        <w:spacing w:after="120"/>
        <w:ind w:firstLine="720"/>
        <w:jc w:val="both"/>
        <w:rPr>
          <w:color w:val="111827"/>
          <w:spacing w:val="5"/>
          <w:bdr w:val="single" w:sz="2" w:space="0" w:color="E3E3E3" w:frame="1"/>
        </w:rPr>
      </w:pPr>
      <w:r w:rsidRPr="00281E13">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281E13">
        <w:rPr>
          <w:rFonts w:ascii="Arial" w:hAnsi="Arial" w:cs="Arial"/>
          <w:color w:val="111827"/>
          <w:spacing w:val="5"/>
          <w:bdr w:val="single" w:sz="2" w:space="0" w:color="E3E3E3" w:frame="1"/>
        </w:rPr>
        <w:t xml:space="preserve"> significantly altered the physicochemical properties of the incubated soil over the 120-day period. </w:t>
      </w:r>
    </w:p>
    <w:p w14:paraId="1EF6238A" w14:textId="4EE27B12"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4.1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Bulk Density </w:t>
      </w:r>
      <w:r w:rsidR="00336EC4" w:rsidRPr="00730A59">
        <w:rPr>
          <w:rFonts w:ascii="Arial" w:hAnsi="Arial" w:cs="Arial"/>
          <w:b/>
          <w:bCs/>
          <w:color w:val="111827"/>
          <w:spacing w:val="5"/>
          <w:bdr w:val="single" w:sz="2" w:space="0" w:color="E3E3E3" w:frame="1"/>
        </w:rPr>
        <w:t>(BD)</w:t>
      </w:r>
    </w:p>
    <w:p w14:paraId="63BE27AB" w14:textId="684CB993" w:rsidR="00650980" w:rsidRPr="00336EC4" w:rsidRDefault="00336EC4" w:rsidP="00650980">
      <w:pPr>
        <w:spacing w:after="120"/>
        <w:ind w:firstLine="720"/>
        <w:jc w:val="both"/>
        <w:rPr>
          <w:rFonts w:ascii="Arial" w:hAnsi="Arial" w:cs="Arial"/>
          <w:color w:val="000000" w:themeColor="text1"/>
          <w:spacing w:val="5"/>
          <w:bdr w:val="single" w:sz="2" w:space="0" w:color="E3E3E3" w:frame="1"/>
        </w:rPr>
      </w:pPr>
      <w:r>
        <w:rPr>
          <w:rFonts w:ascii="Arial" w:hAnsi="Arial" w:cs="Arial"/>
          <w:color w:val="111827"/>
          <w:spacing w:val="5"/>
          <w:bdr w:val="single" w:sz="2" w:space="0" w:color="E3E3E3" w:frame="1"/>
        </w:rPr>
        <w:t>BD</w:t>
      </w:r>
      <w:r w:rsidR="00650980" w:rsidRPr="00E51CA7">
        <w:rPr>
          <w:rFonts w:ascii="Arial" w:hAnsi="Arial" w:cs="Arial"/>
          <w:color w:val="111827"/>
          <w:spacing w:val="5"/>
          <w:bdr w:val="single" w:sz="2" w:space="0" w:color="E3E3E3" w:frame="1"/>
        </w:rPr>
        <w:t xml:space="preserve"> is a critical indicator of soil physical condition and was notably influenced by the type of organic amendment applied (</w:t>
      </w:r>
      <w:r w:rsidR="00650980" w:rsidRPr="00C04FA3">
        <w:rPr>
          <w:rFonts w:ascii="Arial" w:hAnsi="Arial" w:cs="Arial"/>
          <w:color w:val="C00000"/>
          <w:spacing w:val="5"/>
          <w:bdr w:val="single" w:sz="2" w:space="0" w:color="E3E3E3" w:frame="1"/>
        </w:rPr>
        <w:t xml:space="preserve">Figure </w:t>
      </w:r>
      <w:commentRangeStart w:id="6"/>
      <w:r w:rsidR="00650980" w:rsidRPr="00C04FA3">
        <w:rPr>
          <w:rFonts w:ascii="Arial" w:hAnsi="Arial" w:cs="Arial"/>
          <w:color w:val="C00000"/>
          <w:spacing w:val="5"/>
          <w:bdr w:val="single" w:sz="2" w:space="0" w:color="E3E3E3" w:frame="1"/>
        </w:rPr>
        <w:t>2</w:t>
      </w:r>
      <w:commentRangeEnd w:id="6"/>
      <w:r w:rsidR="00550165" w:rsidRPr="00C04FA3">
        <w:rPr>
          <w:rStyle w:val="CommentReference"/>
          <w:rFonts w:ascii="Times New Roman" w:hAnsi="Times New Roman"/>
          <w:color w:val="C00000"/>
          <w:lang w:val="nb-NO" w:eastAsia="nb-NO"/>
        </w:rPr>
        <w:commentReference w:id="6"/>
      </w:r>
      <w:r w:rsidR="00650980" w:rsidRPr="00E51CA7">
        <w:rPr>
          <w:rFonts w:ascii="Arial" w:hAnsi="Arial" w:cs="Arial"/>
          <w:color w:val="111827"/>
          <w:spacing w:val="5"/>
          <w:bdr w:val="single" w:sz="2" w:space="0" w:color="E3E3E3" w:frame="1"/>
        </w:rPr>
        <w:t xml:space="preserve">). The treatment that used maize straw (T5) recorded the lowest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at 1.20 g cm</w:t>
      </w:r>
      <w:r w:rsidR="00650980" w:rsidRPr="00E51CA7">
        <w:rPr>
          <w:rFonts w:ascii="Cambria Math" w:hAnsi="Cambria Math" w:cs="Cambria Math"/>
          <w:color w:val="111827"/>
          <w:spacing w:val="5"/>
          <w:bdr w:val="single" w:sz="2" w:space="0" w:color="E3E3E3" w:frame="1"/>
        </w:rPr>
        <w:t>⁻</w:t>
      </w:r>
      <w:r w:rsidR="00650980" w:rsidRPr="00E51CA7">
        <w:rPr>
          <w:rFonts w:ascii="Arial" w:hAnsi="Arial" w:cs="Arial"/>
          <w:color w:val="111827"/>
          <w:spacing w:val="5"/>
          <w:bdr w:val="single" w:sz="2" w:space="0" w:color="E3E3E3" w:frame="1"/>
        </w:rPr>
        <w:t xml:space="preserve">³, which was significantly lower than the control treatment (T1), which had a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of 1.26 g cm</w:t>
      </w:r>
      <w:r w:rsidR="00650980" w:rsidRPr="00E51CA7">
        <w:rPr>
          <w:rFonts w:ascii="Cambria Math" w:hAnsi="Cambria Math" w:cs="Cambria Math"/>
          <w:color w:val="111827"/>
          <w:spacing w:val="5"/>
          <w:bdr w:val="single" w:sz="2" w:space="0" w:color="E3E3E3" w:frame="1"/>
        </w:rPr>
        <w:t>⁻</w:t>
      </w:r>
      <w:r w:rsidR="00650980" w:rsidRPr="00E51CA7">
        <w:rPr>
          <w:rFonts w:ascii="Arial" w:hAnsi="Arial" w:cs="Arial"/>
          <w:color w:val="111827"/>
          <w:spacing w:val="5"/>
          <w:bdr w:val="single" w:sz="2" w:space="0" w:color="E3E3E3" w:frame="1"/>
        </w:rPr>
        <w:t xml:space="preserve">³. Treatments that incorporated straw </w:t>
      </w:r>
      <w:r w:rsidR="00B50E9B">
        <w:rPr>
          <w:rFonts w:ascii="Arial" w:hAnsi="Arial" w:cs="Arial"/>
          <w:color w:val="111827"/>
          <w:spacing w:val="5"/>
          <w:bdr w:val="single" w:sz="2" w:space="0" w:color="E3E3E3" w:frame="1"/>
        </w:rPr>
        <w:t>materials</w:t>
      </w:r>
      <w:r w:rsidR="00650980" w:rsidRPr="00E51CA7">
        <w:rPr>
          <w:rFonts w:ascii="Arial" w:hAnsi="Arial" w:cs="Arial"/>
          <w:color w:val="111827"/>
          <w:spacing w:val="5"/>
          <w:bdr w:val="single" w:sz="2" w:space="0" w:color="E3E3E3" w:frame="1"/>
        </w:rPr>
        <w:t xml:space="preserve"> (T4, T5, T6, T7) generally exhibited lower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 xml:space="preserve">compared to the control and the treatments that received only manures. This reduction in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 xml:space="preserve">aligns with previous findings that organic materials, particularly those with high lignin content and fibrous structures like maize straw (Table 1), resist rapid decomposition. They enhance pore formation, improve soil aggregation, and reduce compaction (Singh et al., 2022). </w:t>
      </w:r>
      <w:r w:rsidR="00650980" w:rsidRPr="00336EC4">
        <w:rPr>
          <w:rFonts w:ascii="Arial" w:hAnsi="Arial" w:cs="Arial"/>
          <w:color w:val="000000" w:themeColor="text1"/>
          <w:spacing w:val="5"/>
          <w:bdr w:val="single" w:sz="2" w:space="0" w:color="E3E3E3" w:frame="1"/>
        </w:rPr>
        <w:t xml:space="preserve">The high C:N ratio of maize straw (44.58) likely slowed its decomposition, thus preserving the structure and maintaining pore space throughout the incubation period. In contrast, the control treatment (T1) exhibited the highest </w:t>
      </w:r>
      <w:r w:rsidRPr="00336EC4">
        <w:rPr>
          <w:rFonts w:ascii="Arial" w:hAnsi="Arial" w:cs="Arial"/>
          <w:color w:val="000000" w:themeColor="text1"/>
          <w:spacing w:val="5"/>
          <w:bdr w:val="single" w:sz="2" w:space="0" w:color="E3E3E3" w:frame="1"/>
        </w:rPr>
        <w:t>BD</w:t>
      </w:r>
      <w:r w:rsidR="00650980" w:rsidRPr="00336EC4">
        <w:rPr>
          <w:rFonts w:ascii="Arial" w:hAnsi="Arial" w:cs="Arial"/>
          <w:color w:val="000000" w:themeColor="text1"/>
          <w:spacing w:val="5"/>
          <w:bdr w:val="single" w:sz="2" w:space="0" w:color="E3E3E3" w:frame="1"/>
        </w:rPr>
        <w:t xml:space="preserve">, likely due to the lack of organic inputs and the continuous mineralization of native soil </w:t>
      </w:r>
      <w:r w:rsidRPr="00336EC4">
        <w:rPr>
          <w:rFonts w:ascii="Arial" w:hAnsi="Arial" w:cs="Arial"/>
          <w:color w:val="000000" w:themeColor="text1"/>
          <w:spacing w:val="5"/>
          <w:bdr w:val="single" w:sz="2" w:space="0" w:color="E3E3E3" w:frame="1"/>
        </w:rPr>
        <w:t>OM</w:t>
      </w:r>
      <w:r w:rsidR="00650980" w:rsidRPr="00336EC4">
        <w:rPr>
          <w:rFonts w:ascii="Arial" w:hAnsi="Arial" w:cs="Arial"/>
          <w:color w:val="000000" w:themeColor="text1"/>
          <w:spacing w:val="5"/>
          <w:bdr w:val="single" w:sz="2" w:space="0" w:color="E3E3E3" w:frame="1"/>
        </w:rPr>
        <w:t>, which resulted in reduced pore space and increased compaction (Codling and Jaja, 2021).</w:t>
      </w:r>
    </w:p>
    <w:p w14:paraId="1104B05A" w14:textId="0483846C" w:rsidR="00650980" w:rsidRDefault="00C90B11" w:rsidP="00650980">
      <w:pPr>
        <w:tabs>
          <w:tab w:val="center" w:pos="5040"/>
        </w:tabs>
        <w:spacing w:before="240" w:after="240"/>
        <w:ind w:firstLine="720"/>
        <w:rPr>
          <w:color w:val="111827"/>
          <w:spacing w:val="5"/>
          <w:bdr w:val="single" w:sz="2" w:space="0" w:color="E3E3E3" w:frame="1"/>
        </w:rPr>
      </w:pPr>
      <w:r w:rsidRPr="00B56AD3">
        <w:rPr>
          <w:noProof/>
        </w:rPr>
        <mc:AlternateContent>
          <mc:Choice Requires="wps">
            <w:drawing>
              <wp:anchor distT="0" distB="0" distL="114300" distR="114300" simplePos="0" relativeHeight="251646976" behindDoc="0" locked="0" layoutInCell="1" allowOverlap="1" wp14:anchorId="184D9E3E" wp14:editId="7C884EDB">
                <wp:simplePos x="0" y="0"/>
                <wp:positionH relativeFrom="column">
                  <wp:posOffset>3605518</wp:posOffset>
                </wp:positionH>
                <wp:positionV relativeFrom="paragraph">
                  <wp:posOffset>97670</wp:posOffset>
                </wp:positionV>
                <wp:extent cx="1160145" cy="1404620"/>
                <wp:effectExtent l="0" t="0" r="1905" b="4445"/>
                <wp:wrapNone/>
                <wp:docPr id="1061017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404620"/>
                        </a:xfrm>
                        <a:prstGeom prst="rect">
                          <a:avLst/>
                        </a:prstGeom>
                        <a:solidFill>
                          <a:srgbClr val="FFFFFF"/>
                        </a:solidFill>
                        <a:ln w="9525">
                          <a:noFill/>
                          <a:miter lim="800000"/>
                          <a:headEnd/>
                          <a:tailEnd/>
                        </a:ln>
                      </wps:spPr>
                      <wps:txbx>
                        <w:txbxContent>
                          <w:p w14:paraId="067D9615" w14:textId="04ED3752"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 xml:space="preserve">Pr&gt;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p>
                          <w:p w14:paraId="1AF35A41" w14:textId="3B88B206"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0.03</w:t>
                            </w:r>
                          </w:p>
                          <w:p w14:paraId="04DA330D" w14:textId="2546D457"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CV(%)</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1.83</w:t>
                            </w:r>
                          </w:p>
                        </w:txbxContent>
                      </wps:txbx>
                      <wps:bodyPr rot="0" vert="horz" wrap="square" lIns="91440" tIns="45720" rIns="91440" bIns="45720" anchor="t" anchorCtr="0">
                        <a:spAutoFit/>
                      </wps:bodyPr>
                    </wps:wsp>
                  </a:graphicData>
                </a:graphic>
              </wp:anchor>
            </w:drawing>
          </mc:Choice>
          <mc:Fallback>
            <w:pict>
              <v:shapetype w14:anchorId="184D9E3E" id="_x0000_t202" coordsize="21600,21600" o:spt="202" path="m,l,21600r21600,l21600,xe">
                <v:stroke joinstyle="miter"/>
                <v:path gradientshapeok="t" o:connecttype="rect"/>
              </v:shapetype>
              <v:shape id="Text Box 2" o:spid="_x0000_s1026" type="#_x0000_t202" style="position:absolute;left:0;text-align:left;margin-left:283.9pt;margin-top:7.7pt;width:91.35pt;height:110.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" stroked="f">
                <v:textbox style="mso-fit-shape-to-text:t">
                  <w:txbxContent>
                    <w:p w14:paraId="067D9615" w14:textId="04ED3752"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 xml:space="preserve">Pr&gt;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p>
                    <w:p w14:paraId="1AF35A41" w14:textId="3B88B206"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0.03</w:t>
                      </w:r>
                    </w:p>
                    <w:p w14:paraId="04DA330D" w14:textId="2546D457"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CV(%)</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1.83</w:t>
                      </w:r>
                    </w:p>
                  </w:txbxContent>
                </v:textbox>
              </v:shape>
            </w:pict>
          </mc:Fallback>
        </mc:AlternateContent>
      </w:r>
      <w:r w:rsidR="00650980">
        <w:rPr>
          <w:color w:val="111827"/>
          <w:spacing w:val="5"/>
          <w:bdr w:val="single" w:sz="2" w:space="0" w:color="E3E3E3" w:frame="1"/>
        </w:rPr>
        <w:tab/>
      </w:r>
      <w:r>
        <w:rPr>
          <w:noProof/>
        </w:rPr>
        <w:drawing>
          <wp:inline distT="0" distB="0" distL="0" distR="0" wp14:anchorId="59E68534" wp14:editId="689FE0F5">
            <wp:extent cx="4204031" cy="2527685"/>
            <wp:effectExtent l="0" t="0" r="6350" b="6350"/>
            <wp:docPr id="128770061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D71EE0-2482-378B-4923-A652879AA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EE2F61" w14:textId="5362FB84" w:rsidR="00650980" w:rsidRPr="00E51CA7" w:rsidRDefault="00650980" w:rsidP="00336EC4">
      <w:pPr>
        <w:tabs>
          <w:tab w:val="center" w:pos="5040"/>
        </w:tabs>
        <w:spacing w:after="120"/>
        <w:ind w:left="990" w:hanging="99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Figure 2.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the bulk density of loamy sand soil after a 120-day incubation period.</w:t>
      </w:r>
    </w:p>
    <w:p w14:paraId="7B9C8F66" w14:textId="5755B833" w:rsidR="00650980" w:rsidRPr="00730A59" w:rsidRDefault="00650980" w:rsidP="00650980">
      <w:pPr>
        <w:spacing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lastRenderedPageBreak/>
        <w:t xml:space="preserve">4.2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Particle Density </w:t>
      </w:r>
      <w:r w:rsidR="00336EC4" w:rsidRPr="00730A59">
        <w:rPr>
          <w:rFonts w:ascii="Arial" w:hAnsi="Arial" w:cs="Arial"/>
          <w:b/>
          <w:bCs/>
          <w:color w:val="111827"/>
          <w:spacing w:val="5"/>
          <w:bdr w:val="single" w:sz="2" w:space="0" w:color="E3E3E3" w:frame="1"/>
        </w:rPr>
        <w:t>(PD)</w:t>
      </w:r>
    </w:p>
    <w:p w14:paraId="4036434D" w14:textId="58860E70" w:rsidR="003C2D41" w:rsidRDefault="00650980" w:rsidP="00650980">
      <w:pPr>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No significant differences in </w:t>
      </w:r>
      <w:r w:rsidR="00336EC4">
        <w:rPr>
          <w:rFonts w:ascii="Arial" w:hAnsi="Arial" w:cs="Arial"/>
          <w:color w:val="111827"/>
          <w:spacing w:val="5"/>
          <w:bdr w:val="single" w:sz="2" w:space="0" w:color="E3E3E3" w:frame="1"/>
        </w:rPr>
        <w:t>PD</w:t>
      </w:r>
      <w:r w:rsidRPr="00E51CA7">
        <w:rPr>
          <w:rFonts w:ascii="Arial" w:hAnsi="Arial" w:cs="Arial"/>
          <w:color w:val="111827"/>
          <w:spacing w:val="5"/>
          <w:bdr w:val="single" w:sz="2" w:space="0" w:color="E3E3E3" w:frame="1"/>
        </w:rPr>
        <w:t xml:space="preserve"> were observed across the various treatments (</w:t>
      </w:r>
      <w:commentRangeStart w:id="7"/>
      <w:commentRangeStart w:id="8"/>
      <w:r w:rsidRPr="00C04FA3">
        <w:rPr>
          <w:rFonts w:ascii="Arial" w:hAnsi="Arial" w:cs="Arial"/>
          <w:color w:val="C00000"/>
          <w:spacing w:val="5"/>
          <w:bdr w:val="single" w:sz="2" w:space="0" w:color="E3E3E3" w:frame="1"/>
        </w:rPr>
        <w:t>Figure</w:t>
      </w:r>
      <w:commentRangeEnd w:id="7"/>
      <w:r w:rsidR="007C2153">
        <w:rPr>
          <w:rStyle w:val="CommentReference"/>
          <w:rFonts w:ascii="Times New Roman" w:hAnsi="Times New Roman"/>
          <w:lang w:val="nb-NO" w:eastAsia="nb-NO"/>
        </w:rPr>
        <w:commentReference w:id="7"/>
      </w:r>
      <w:commentRangeEnd w:id="8"/>
      <w:r w:rsidR="007C2153">
        <w:rPr>
          <w:rStyle w:val="CommentReference"/>
          <w:rFonts w:ascii="Times New Roman" w:hAnsi="Times New Roman"/>
          <w:lang w:val="nb-NO" w:eastAsia="nb-NO"/>
        </w:rPr>
        <w:commentReference w:id="8"/>
      </w:r>
      <w:r w:rsidRPr="00C04FA3">
        <w:rPr>
          <w:rFonts w:ascii="Arial" w:hAnsi="Arial" w:cs="Arial"/>
          <w:color w:val="C00000"/>
          <w:spacing w:val="5"/>
          <w:bdr w:val="single" w:sz="2" w:space="0" w:color="E3E3E3" w:frame="1"/>
        </w:rPr>
        <w:t xml:space="preserve"> 3). </w:t>
      </w:r>
      <w:r w:rsidR="00336EC4" w:rsidRPr="00336EC4">
        <w:rPr>
          <w:rFonts w:ascii="Arial" w:hAnsi="Arial" w:cs="Arial"/>
          <w:color w:val="111827"/>
          <w:spacing w:val="5"/>
          <w:bdr w:val="single" w:sz="2" w:space="0" w:color="E3E3E3" w:frame="1"/>
        </w:rPr>
        <w:t>PD</w:t>
      </w:r>
      <w:r w:rsidRPr="00E51CA7">
        <w:rPr>
          <w:rFonts w:ascii="Arial" w:hAnsi="Arial" w:cs="Arial"/>
          <w:color w:val="111827"/>
          <w:spacing w:val="5"/>
          <w:bdr w:val="single" w:sz="2" w:space="0" w:color="E3E3E3" w:frame="1"/>
        </w:rPr>
        <w:t xml:space="preserve"> is primarily determined by the mineral composition of the soil (Di Giuseppe et al., 2016). Since all treatments used the same mineral soil base, any minor variations that were observed are likely due to experimental error rather than the impact of the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w:t>
      </w:r>
    </w:p>
    <w:p w14:paraId="2A8F38A0" w14:textId="77777777" w:rsidR="00650980" w:rsidRDefault="00650980" w:rsidP="00650980">
      <w:pPr>
        <w:spacing w:after="120"/>
        <w:ind w:firstLine="720"/>
        <w:jc w:val="both"/>
        <w:rPr>
          <w:rFonts w:ascii="Arial" w:hAnsi="Arial" w:cs="Arial"/>
          <w:color w:val="111827"/>
          <w:spacing w:val="5"/>
          <w:bdr w:val="single" w:sz="2" w:space="0" w:color="E3E3E3" w:frame="1"/>
        </w:rPr>
      </w:pPr>
    </w:p>
    <w:p w14:paraId="7CC0B590" w14:textId="2905A8F0" w:rsidR="00650980" w:rsidRDefault="00C90B11" w:rsidP="00650980">
      <w:pPr>
        <w:spacing w:before="240" w:after="240"/>
        <w:ind w:firstLine="720"/>
        <w:rPr>
          <w:color w:val="111827"/>
          <w:spacing w:val="5"/>
          <w:bdr w:val="single" w:sz="2" w:space="0" w:color="E3E3E3" w:frame="1"/>
        </w:rPr>
      </w:pPr>
      <w:r w:rsidRPr="00B56AD3">
        <w:rPr>
          <w:noProof/>
        </w:rPr>
        <mc:AlternateContent>
          <mc:Choice Requires="wps">
            <w:drawing>
              <wp:anchor distT="0" distB="0" distL="114300" distR="114300" simplePos="0" relativeHeight="251650048" behindDoc="0" locked="0" layoutInCell="1" allowOverlap="1" wp14:anchorId="37B12C08" wp14:editId="254041B5">
                <wp:simplePos x="0" y="0"/>
                <wp:positionH relativeFrom="column">
                  <wp:posOffset>3867150</wp:posOffset>
                </wp:positionH>
                <wp:positionV relativeFrom="paragraph">
                  <wp:posOffset>202565</wp:posOffset>
                </wp:positionV>
                <wp:extent cx="1160145" cy="1404620"/>
                <wp:effectExtent l="0" t="0" r="1905" b="4445"/>
                <wp:wrapNone/>
                <wp:docPr id="1872959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404620"/>
                        </a:xfrm>
                        <a:prstGeom prst="rect">
                          <a:avLst/>
                        </a:prstGeom>
                        <a:solidFill>
                          <a:srgbClr val="FFFFFF"/>
                        </a:solidFill>
                        <a:ln w="9525">
                          <a:noFill/>
                          <a:miter lim="800000"/>
                          <a:headEnd/>
                          <a:tailEnd/>
                        </a:ln>
                      </wps:spPr>
                      <wps:txbx>
                        <w:txbxContent>
                          <w:p w14:paraId="260E2780" w14:textId="58203A17"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 xml:space="preserve">Pr&gt;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ns</w:t>
                            </w:r>
                          </w:p>
                          <w:p w14:paraId="080E1692" w14:textId="1D5ED63A"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0.05</w:t>
                            </w:r>
                          </w:p>
                          <w:p w14:paraId="1F8493F1" w14:textId="3D3D34E2"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CV(%)</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1.34</w:t>
                            </w:r>
                          </w:p>
                        </w:txbxContent>
                      </wps:txbx>
                      <wps:bodyPr rot="0" vert="horz" wrap="square" lIns="91440" tIns="45720" rIns="91440" bIns="45720" anchor="t" anchorCtr="0">
                        <a:spAutoFit/>
                      </wps:bodyPr>
                    </wps:wsp>
                  </a:graphicData>
                </a:graphic>
              </wp:anchor>
            </w:drawing>
          </mc:Choice>
          <mc:Fallback>
            <w:pict>
              <v:shape w14:anchorId="37B12C08" id="_x0000_s1027" type="#_x0000_t202" style="position:absolute;left:0;text-align:left;margin-left:304.5pt;margin-top:15.95pt;width:91.35pt;height:110.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" stroked="f">
                <v:textbox style="mso-fit-shape-to-text:t">
                  <w:txbxContent>
                    <w:p w14:paraId="260E2780" w14:textId="58203A17"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 xml:space="preserve">Pr&gt;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ns</w:t>
                      </w:r>
                    </w:p>
                    <w:p w14:paraId="080E1692" w14:textId="1D5ED63A"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0.05</w:t>
                      </w:r>
                    </w:p>
                    <w:p w14:paraId="1F8493F1" w14:textId="3D3D34E2" w:rsidR="00830578" w:rsidRPr="00C90B11" w:rsidRDefault="00830578" w:rsidP="00C90B11">
                      <w:pPr>
                        <w:tabs>
                          <w:tab w:val="left" w:pos="630"/>
                          <w:tab w:val="left" w:pos="900"/>
                        </w:tabs>
                        <w:rPr>
                          <w:rFonts w:ascii="Arial" w:hAnsi="Arial" w:cs="Arial"/>
                          <w:sz w:val="16"/>
                          <w:szCs w:val="16"/>
                        </w:rPr>
                      </w:pPr>
                      <w:r w:rsidRPr="00C90B11">
                        <w:rPr>
                          <w:rFonts w:ascii="Arial" w:hAnsi="Arial" w:cs="Arial"/>
                          <w:sz w:val="16"/>
                          <w:szCs w:val="16"/>
                        </w:rPr>
                        <w:t>CV(%)</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1.34</w:t>
                      </w:r>
                    </w:p>
                  </w:txbxContent>
                </v:textbox>
              </v:shape>
            </w:pict>
          </mc:Fallback>
        </mc:AlternateContent>
      </w:r>
      <w:r w:rsidR="00650980">
        <w:rPr>
          <w:color w:val="111827"/>
          <w:spacing w:val="5"/>
          <w:bdr w:val="single" w:sz="2" w:space="0" w:color="E3E3E3" w:frame="1"/>
        </w:rPr>
        <w:tab/>
      </w:r>
      <w:r>
        <w:rPr>
          <w:noProof/>
        </w:rPr>
        <w:drawing>
          <wp:inline distT="0" distB="0" distL="0" distR="0" wp14:anchorId="2CC2B7D1" wp14:editId="6860AC81">
            <wp:extent cx="4427627" cy="2663359"/>
            <wp:effectExtent l="0" t="0" r="0" b="3810"/>
            <wp:docPr id="73686232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F98C6A-FA4E-7EE8-6493-A1F188FB1A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02584A" w14:textId="3095818F" w:rsidR="00650980" w:rsidRPr="00E51CA7" w:rsidRDefault="00650980" w:rsidP="00650980">
      <w:pPr>
        <w:spacing w:after="120"/>
        <w:ind w:left="900" w:hanging="90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Figure 3.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the particle density of loamy sand soil after a 120-day incubation period.</w:t>
      </w:r>
    </w:p>
    <w:p w14:paraId="67C85C6F" w14:textId="77777777" w:rsidR="00730A59" w:rsidRDefault="00730A59"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p>
    <w:p w14:paraId="64DCFD5B" w14:textId="77777777" w:rsidR="00730A59" w:rsidRDefault="00730A59"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p>
    <w:p w14:paraId="5D01D5D7" w14:textId="0C8EFF18"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4.3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Porosity </w:t>
      </w:r>
    </w:p>
    <w:p w14:paraId="2A757378" w14:textId="4E3BD3EC" w:rsidR="00650980" w:rsidRPr="00E51CA7" w:rsidRDefault="00650980" w:rsidP="00650980">
      <w:pPr>
        <w:spacing w:after="120"/>
        <w:jc w:val="both"/>
        <w:rPr>
          <w:rFonts w:ascii="Arial" w:hAnsi="Arial" w:cs="Arial"/>
          <w:color w:val="111827"/>
          <w:spacing w:val="5"/>
          <w:bdr w:val="single" w:sz="2" w:space="0" w:color="E3E3E3" w:frame="1"/>
        </w:rPr>
      </w:pPr>
      <w:r>
        <w:rPr>
          <w:rFonts w:ascii="Arial" w:hAnsi="Arial" w:cs="Arial"/>
          <w:color w:val="111827"/>
          <w:spacing w:val="5"/>
          <w:bdr w:val="single" w:sz="2" w:space="0" w:color="E3E3E3" w:frame="1"/>
        </w:rPr>
        <w:tab/>
      </w:r>
      <w:r w:rsidRPr="00E51CA7">
        <w:rPr>
          <w:rFonts w:ascii="Arial" w:hAnsi="Arial" w:cs="Arial"/>
          <w:color w:val="111827"/>
          <w:spacing w:val="5"/>
          <w:bdr w:val="single" w:sz="2" w:space="0" w:color="E3E3E3" w:frame="1"/>
        </w:rPr>
        <w:t xml:space="preserve">While porosity generally exhibited a trend similar to </w:t>
      </w:r>
      <w:commentRangeStart w:id="9"/>
      <w:r w:rsidRPr="00E51CA7">
        <w:rPr>
          <w:rFonts w:ascii="Arial" w:hAnsi="Arial" w:cs="Arial"/>
          <w:color w:val="111827"/>
          <w:spacing w:val="5"/>
          <w:bdr w:val="single" w:sz="2" w:space="0" w:color="E3E3E3" w:frame="1"/>
        </w:rPr>
        <w:t>that</w:t>
      </w:r>
      <w:commentRangeEnd w:id="9"/>
      <w:r w:rsidR="00550165">
        <w:rPr>
          <w:rStyle w:val="CommentReference"/>
          <w:rFonts w:ascii="Times New Roman" w:hAnsi="Times New Roman"/>
          <w:lang w:val="nb-NO" w:eastAsia="nb-NO"/>
        </w:rPr>
        <w:commentReference w:id="9"/>
      </w:r>
      <w:r w:rsidRPr="00E51CA7">
        <w:rPr>
          <w:rFonts w:ascii="Arial" w:hAnsi="Arial" w:cs="Arial"/>
          <w:color w:val="111827"/>
          <w:spacing w:val="5"/>
          <w:bdr w:val="single" w:sz="2" w:space="0" w:color="E3E3E3" w:frame="1"/>
        </w:rPr>
        <w:t xml:space="preserve"> of </w:t>
      </w:r>
      <w:r w:rsidR="00336EC4">
        <w:rPr>
          <w:rFonts w:ascii="Arial" w:hAnsi="Arial" w:cs="Arial"/>
          <w:color w:val="111827"/>
          <w:spacing w:val="5"/>
          <w:bdr w:val="single" w:sz="2" w:space="0" w:color="E3E3E3" w:frame="1"/>
        </w:rPr>
        <w:t>BD</w:t>
      </w:r>
      <w:r w:rsidRPr="00E51CA7">
        <w:rPr>
          <w:rFonts w:ascii="Arial" w:hAnsi="Arial" w:cs="Arial"/>
          <w:color w:val="111827"/>
          <w:spacing w:val="5"/>
          <w:bdr w:val="single" w:sz="2" w:space="0" w:color="E3E3E3" w:frame="1"/>
        </w:rPr>
        <w:t xml:space="preserve">, with the highest numerical values found in treatments containing maize straw (T5 and T7), these differences were not statistically significant (Figure 4). Nevertheless, the observed numerical increases suggest a positive, although not statistically detectable,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pore development. This may be due to the inadequate duration of the incubation period, which may not have allowed for measurable structural changes to occur. As noted by Hillel (2004), porosity responds slowly to management practices, especially in controlled laboratory settings that do not include dynamic biotic factors, such as plant roots or soil organisms.</w:t>
      </w:r>
    </w:p>
    <w:p w14:paraId="76DB9EAD" w14:textId="4EB7A910" w:rsidR="00650980" w:rsidRDefault="00C90B11" w:rsidP="00650980">
      <w:pPr>
        <w:tabs>
          <w:tab w:val="center" w:pos="5040"/>
        </w:tabs>
        <w:spacing w:before="240" w:after="240"/>
        <w:rPr>
          <w:color w:val="111827"/>
          <w:spacing w:val="5"/>
          <w:bdr w:val="single" w:sz="2" w:space="0" w:color="E3E3E3" w:frame="1"/>
        </w:rPr>
      </w:pPr>
      <w:r w:rsidRPr="00B56AD3">
        <w:rPr>
          <w:noProof/>
        </w:rPr>
        <w:lastRenderedPageBreak/>
        <mc:AlternateContent>
          <mc:Choice Requires="wps">
            <w:drawing>
              <wp:anchor distT="0" distB="0" distL="114300" distR="114300" simplePos="0" relativeHeight="251653120" behindDoc="0" locked="0" layoutInCell="1" allowOverlap="1" wp14:anchorId="0D2ED818" wp14:editId="6496B7D7">
                <wp:simplePos x="0" y="0"/>
                <wp:positionH relativeFrom="column">
                  <wp:posOffset>3867150</wp:posOffset>
                </wp:positionH>
                <wp:positionV relativeFrom="paragraph">
                  <wp:posOffset>183515</wp:posOffset>
                </wp:positionV>
                <wp:extent cx="1160145" cy="1404620"/>
                <wp:effectExtent l="0" t="0" r="1905" b="4445"/>
                <wp:wrapNone/>
                <wp:docPr id="801813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404620"/>
                        </a:xfrm>
                        <a:prstGeom prst="rect">
                          <a:avLst/>
                        </a:prstGeom>
                        <a:solidFill>
                          <a:srgbClr val="FFFFFF"/>
                        </a:solidFill>
                        <a:ln w="9525">
                          <a:noFill/>
                          <a:miter lim="800000"/>
                          <a:headEnd/>
                          <a:tailEnd/>
                        </a:ln>
                      </wps:spPr>
                      <wps:txbx>
                        <w:txbxContent>
                          <w:p w14:paraId="17A1590F" w14:textId="77777777" w:rsidR="00830578" w:rsidRPr="007C2153" w:rsidRDefault="00830578" w:rsidP="00C90B11">
                            <w:pPr>
                              <w:tabs>
                                <w:tab w:val="left" w:pos="630"/>
                                <w:tab w:val="left" w:pos="900"/>
                              </w:tabs>
                              <w:rPr>
                                <w:rFonts w:ascii="Arial" w:hAnsi="Arial" w:cs="Arial"/>
                                <w:color w:val="C00000"/>
                                <w:sz w:val="16"/>
                                <w:szCs w:val="16"/>
                              </w:rPr>
                            </w:pPr>
                            <w:r w:rsidRPr="007C2153">
                              <w:rPr>
                                <w:rFonts w:ascii="Arial" w:hAnsi="Arial" w:cs="Arial"/>
                                <w:color w:val="C00000"/>
                                <w:sz w:val="16"/>
                                <w:szCs w:val="16"/>
                              </w:rPr>
                              <w:t xml:space="preserve">Pr&gt; F </w:t>
                            </w:r>
                            <w:r w:rsidRPr="007C2153">
                              <w:rPr>
                                <w:rFonts w:ascii="Arial" w:hAnsi="Arial" w:cs="Arial"/>
                                <w:color w:val="C00000"/>
                                <w:sz w:val="16"/>
                                <w:szCs w:val="16"/>
                              </w:rPr>
                              <w:tab/>
                              <w:t>=</w:t>
                            </w:r>
                            <w:r w:rsidRPr="007C2153">
                              <w:rPr>
                                <w:rFonts w:ascii="Arial" w:hAnsi="Arial" w:cs="Arial"/>
                                <w:color w:val="C00000"/>
                                <w:sz w:val="16"/>
                                <w:szCs w:val="16"/>
                              </w:rPr>
                              <w:tab/>
                              <w:t>ns</w:t>
                            </w:r>
                          </w:p>
                          <w:p w14:paraId="23E24920" w14:textId="4D483F00" w:rsidR="00830578" w:rsidRPr="007C2153" w:rsidRDefault="00830578" w:rsidP="00C90B11">
                            <w:pPr>
                              <w:tabs>
                                <w:tab w:val="left" w:pos="630"/>
                                <w:tab w:val="left" w:pos="900"/>
                              </w:tabs>
                              <w:rPr>
                                <w:rFonts w:ascii="Arial" w:hAnsi="Arial" w:cs="Arial"/>
                                <w:color w:val="C00000"/>
                                <w:sz w:val="16"/>
                                <w:szCs w:val="16"/>
                              </w:rPr>
                            </w:pPr>
                            <w:r w:rsidRPr="007C2153">
                              <w:rPr>
                                <w:rFonts w:ascii="Arial" w:hAnsi="Arial" w:cs="Arial"/>
                                <w:color w:val="C00000"/>
                                <w:sz w:val="16"/>
                                <w:szCs w:val="16"/>
                              </w:rPr>
                              <w:t>LSD</w:t>
                            </w:r>
                            <w:r w:rsidRPr="007C2153">
                              <w:rPr>
                                <w:rFonts w:ascii="Arial" w:hAnsi="Arial" w:cs="Arial"/>
                                <w:color w:val="C00000"/>
                                <w:sz w:val="16"/>
                                <w:szCs w:val="16"/>
                                <w:vertAlign w:val="subscript"/>
                              </w:rPr>
                              <w:t xml:space="preserve">0.05 </w:t>
                            </w:r>
                            <w:r w:rsidRPr="007C2153">
                              <w:rPr>
                                <w:rFonts w:ascii="Arial" w:hAnsi="Arial" w:cs="Arial"/>
                                <w:color w:val="C00000"/>
                                <w:sz w:val="16"/>
                                <w:szCs w:val="16"/>
                                <w:vertAlign w:val="subscript"/>
                              </w:rPr>
                              <w:tab/>
                            </w:r>
                            <w:r w:rsidRPr="007C2153">
                              <w:rPr>
                                <w:rFonts w:ascii="Arial" w:hAnsi="Arial" w:cs="Arial"/>
                                <w:color w:val="C00000"/>
                                <w:sz w:val="16"/>
                                <w:szCs w:val="16"/>
                              </w:rPr>
                              <w:t>=</w:t>
                            </w:r>
                            <w:r w:rsidRPr="007C2153">
                              <w:rPr>
                                <w:rFonts w:ascii="Arial" w:hAnsi="Arial" w:cs="Arial"/>
                                <w:color w:val="C00000"/>
                                <w:sz w:val="16"/>
                                <w:szCs w:val="16"/>
                              </w:rPr>
                              <w:tab/>
                              <w:t>1.72</w:t>
                            </w:r>
                          </w:p>
                          <w:p w14:paraId="3B1C1EB3" w14:textId="190C606F" w:rsidR="00830578" w:rsidRPr="007C2153" w:rsidRDefault="00830578" w:rsidP="00C90B11">
                            <w:pPr>
                              <w:tabs>
                                <w:tab w:val="left" w:pos="630"/>
                                <w:tab w:val="left" w:pos="900"/>
                              </w:tabs>
                              <w:rPr>
                                <w:rFonts w:ascii="Arial" w:hAnsi="Arial" w:cs="Arial"/>
                                <w:color w:val="C00000"/>
                                <w:sz w:val="16"/>
                                <w:szCs w:val="16"/>
                              </w:rPr>
                            </w:pPr>
                            <w:r w:rsidRPr="007C2153">
                              <w:rPr>
                                <w:rFonts w:ascii="Arial" w:hAnsi="Arial" w:cs="Arial"/>
                                <w:color w:val="C00000"/>
                                <w:sz w:val="16"/>
                                <w:szCs w:val="16"/>
                              </w:rPr>
                              <w:t>CV(%)</w:t>
                            </w:r>
                            <w:r w:rsidRPr="007C2153">
                              <w:rPr>
                                <w:rFonts w:ascii="Arial" w:hAnsi="Arial" w:cs="Arial"/>
                                <w:color w:val="C00000"/>
                                <w:sz w:val="16"/>
                                <w:szCs w:val="16"/>
                              </w:rPr>
                              <w:tab/>
                              <w:t>=</w:t>
                            </w:r>
                            <w:r w:rsidRPr="007C2153">
                              <w:rPr>
                                <w:rFonts w:ascii="Arial" w:hAnsi="Arial" w:cs="Arial"/>
                                <w:color w:val="C00000"/>
                                <w:sz w:val="16"/>
                                <w:szCs w:val="16"/>
                              </w:rPr>
                              <w:tab/>
                              <w:t>2.44</w:t>
                            </w:r>
                          </w:p>
                        </w:txbxContent>
                      </wps:txbx>
                      <wps:bodyPr rot="0" vert="horz" wrap="square" lIns="91440" tIns="45720" rIns="91440" bIns="45720" anchor="t" anchorCtr="0">
                        <a:spAutoFit/>
                      </wps:bodyPr>
                    </wps:wsp>
                  </a:graphicData>
                </a:graphic>
              </wp:anchor>
            </w:drawing>
          </mc:Choice>
          <mc:Fallback>
            <w:pict>
              <v:shape w14:anchorId="0D2ED818" id="_x0000_s1028" type="#_x0000_t202" style="position:absolute;margin-left:304.5pt;margin-top:14.45pt;width:91.35pt;height:110.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" stroked="f">
                <v:textbox style="mso-fit-shape-to-text:t">
                  <w:txbxContent>
                    <w:p w14:paraId="17A1590F" w14:textId="77777777" w:rsidR="00830578" w:rsidRPr="007C2153" w:rsidRDefault="00830578" w:rsidP="00C90B11">
                      <w:pPr>
                        <w:tabs>
                          <w:tab w:val="left" w:pos="630"/>
                          <w:tab w:val="left" w:pos="900"/>
                        </w:tabs>
                        <w:rPr>
                          <w:rFonts w:ascii="Arial" w:hAnsi="Arial" w:cs="Arial"/>
                          <w:color w:val="C00000"/>
                          <w:sz w:val="16"/>
                          <w:szCs w:val="16"/>
                        </w:rPr>
                      </w:pPr>
                      <w:r w:rsidRPr="007C2153">
                        <w:rPr>
                          <w:rFonts w:ascii="Arial" w:hAnsi="Arial" w:cs="Arial"/>
                          <w:color w:val="C00000"/>
                          <w:sz w:val="16"/>
                          <w:szCs w:val="16"/>
                        </w:rPr>
                        <w:t xml:space="preserve">Pr&gt; F </w:t>
                      </w:r>
                      <w:r w:rsidRPr="007C2153">
                        <w:rPr>
                          <w:rFonts w:ascii="Arial" w:hAnsi="Arial" w:cs="Arial"/>
                          <w:color w:val="C00000"/>
                          <w:sz w:val="16"/>
                          <w:szCs w:val="16"/>
                        </w:rPr>
                        <w:tab/>
                        <w:t>=</w:t>
                      </w:r>
                      <w:r w:rsidRPr="007C2153">
                        <w:rPr>
                          <w:rFonts w:ascii="Arial" w:hAnsi="Arial" w:cs="Arial"/>
                          <w:color w:val="C00000"/>
                          <w:sz w:val="16"/>
                          <w:szCs w:val="16"/>
                        </w:rPr>
                        <w:tab/>
                        <w:t>ns</w:t>
                      </w:r>
                    </w:p>
                    <w:p w14:paraId="23E24920" w14:textId="4D483F00" w:rsidR="00830578" w:rsidRPr="007C2153" w:rsidRDefault="00830578" w:rsidP="00C90B11">
                      <w:pPr>
                        <w:tabs>
                          <w:tab w:val="left" w:pos="630"/>
                          <w:tab w:val="left" w:pos="900"/>
                        </w:tabs>
                        <w:rPr>
                          <w:rFonts w:ascii="Arial" w:hAnsi="Arial" w:cs="Arial"/>
                          <w:color w:val="C00000"/>
                          <w:sz w:val="16"/>
                          <w:szCs w:val="16"/>
                        </w:rPr>
                      </w:pPr>
                      <w:r w:rsidRPr="007C2153">
                        <w:rPr>
                          <w:rFonts w:ascii="Arial" w:hAnsi="Arial" w:cs="Arial"/>
                          <w:color w:val="C00000"/>
                          <w:sz w:val="16"/>
                          <w:szCs w:val="16"/>
                        </w:rPr>
                        <w:t>LSD</w:t>
                      </w:r>
                      <w:r w:rsidRPr="007C2153">
                        <w:rPr>
                          <w:rFonts w:ascii="Arial" w:hAnsi="Arial" w:cs="Arial"/>
                          <w:color w:val="C00000"/>
                          <w:sz w:val="16"/>
                          <w:szCs w:val="16"/>
                          <w:vertAlign w:val="subscript"/>
                        </w:rPr>
                        <w:t xml:space="preserve">0.05 </w:t>
                      </w:r>
                      <w:r w:rsidRPr="007C2153">
                        <w:rPr>
                          <w:rFonts w:ascii="Arial" w:hAnsi="Arial" w:cs="Arial"/>
                          <w:color w:val="C00000"/>
                          <w:sz w:val="16"/>
                          <w:szCs w:val="16"/>
                          <w:vertAlign w:val="subscript"/>
                        </w:rPr>
                        <w:tab/>
                      </w:r>
                      <w:r w:rsidRPr="007C2153">
                        <w:rPr>
                          <w:rFonts w:ascii="Arial" w:hAnsi="Arial" w:cs="Arial"/>
                          <w:color w:val="C00000"/>
                          <w:sz w:val="16"/>
                          <w:szCs w:val="16"/>
                        </w:rPr>
                        <w:t>=</w:t>
                      </w:r>
                      <w:r w:rsidRPr="007C2153">
                        <w:rPr>
                          <w:rFonts w:ascii="Arial" w:hAnsi="Arial" w:cs="Arial"/>
                          <w:color w:val="C00000"/>
                          <w:sz w:val="16"/>
                          <w:szCs w:val="16"/>
                        </w:rPr>
                        <w:tab/>
                        <w:t>1.72</w:t>
                      </w:r>
                    </w:p>
                    <w:p w14:paraId="3B1C1EB3" w14:textId="190C606F" w:rsidR="00830578" w:rsidRPr="007C2153" w:rsidRDefault="00830578" w:rsidP="00C90B11">
                      <w:pPr>
                        <w:tabs>
                          <w:tab w:val="left" w:pos="630"/>
                          <w:tab w:val="left" w:pos="900"/>
                        </w:tabs>
                        <w:rPr>
                          <w:rFonts w:ascii="Arial" w:hAnsi="Arial" w:cs="Arial"/>
                          <w:color w:val="C00000"/>
                          <w:sz w:val="16"/>
                          <w:szCs w:val="16"/>
                        </w:rPr>
                      </w:pPr>
                      <w:r w:rsidRPr="007C2153">
                        <w:rPr>
                          <w:rFonts w:ascii="Arial" w:hAnsi="Arial" w:cs="Arial"/>
                          <w:color w:val="C00000"/>
                          <w:sz w:val="16"/>
                          <w:szCs w:val="16"/>
                        </w:rPr>
                        <w:t>CV(%)</w:t>
                      </w:r>
                      <w:r w:rsidRPr="007C2153">
                        <w:rPr>
                          <w:rFonts w:ascii="Arial" w:hAnsi="Arial" w:cs="Arial"/>
                          <w:color w:val="C00000"/>
                          <w:sz w:val="16"/>
                          <w:szCs w:val="16"/>
                        </w:rPr>
                        <w:tab/>
                        <w:t>=</w:t>
                      </w:r>
                      <w:r w:rsidRPr="007C2153">
                        <w:rPr>
                          <w:rFonts w:ascii="Arial" w:hAnsi="Arial" w:cs="Arial"/>
                          <w:color w:val="C00000"/>
                          <w:sz w:val="16"/>
                          <w:szCs w:val="16"/>
                        </w:rPr>
                        <w:tab/>
                        <w:t>2.44</w:t>
                      </w:r>
                    </w:p>
                  </w:txbxContent>
                </v:textbox>
              </v:shape>
            </w:pict>
          </mc:Fallback>
        </mc:AlternateContent>
      </w:r>
      <w:r w:rsidR="00650980">
        <w:rPr>
          <w:color w:val="111827"/>
          <w:spacing w:val="5"/>
          <w:bdr w:val="single" w:sz="2" w:space="0" w:color="E3E3E3" w:frame="1"/>
        </w:rPr>
        <w:tab/>
      </w:r>
      <w:commentRangeStart w:id="10"/>
      <w:r>
        <w:rPr>
          <w:noProof/>
        </w:rPr>
        <w:drawing>
          <wp:inline distT="0" distB="0" distL="0" distR="0" wp14:anchorId="3172F440" wp14:editId="370C637C">
            <wp:extent cx="4182085" cy="2514490"/>
            <wp:effectExtent l="0" t="0" r="0" b="635"/>
            <wp:docPr id="207132495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B1A807-4F2E-0994-390B-4FCB55121D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10"/>
      <w:r w:rsidR="007C2153">
        <w:rPr>
          <w:rStyle w:val="CommentReference"/>
          <w:rFonts w:ascii="Times New Roman" w:hAnsi="Times New Roman"/>
          <w:lang w:val="nb-NO" w:eastAsia="nb-NO"/>
        </w:rPr>
        <w:commentReference w:id="10"/>
      </w:r>
    </w:p>
    <w:p w14:paraId="62635C1D" w14:textId="28348337" w:rsidR="00650980" w:rsidRPr="00E51CA7" w:rsidRDefault="00650980" w:rsidP="00650980">
      <w:pPr>
        <w:tabs>
          <w:tab w:val="center" w:pos="5040"/>
        </w:tabs>
        <w:spacing w:after="120"/>
        <w:ind w:left="990" w:hanging="99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Figure 4.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the porosity of loamy sand soil after a 120-day incubation period.</w:t>
      </w:r>
    </w:p>
    <w:p w14:paraId="18D1BBC0" w14:textId="273013A9"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4.4 Soil pH </w:t>
      </w:r>
    </w:p>
    <w:p w14:paraId="411C67DA" w14:textId="797F92A3" w:rsidR="00650980" w:rsidRPr="00E51CA7" w:rsidRDefault="00650980" w:rsidP="00650980">
      <w:pPr>
        <w:tabs>
          <w:tab w:val="center" w:pos="5040"/>
        </w:tabs>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All treatments amended with organic materials resulted in a decrease in soil pH compared to the unamended control (T1: pH 5.37) (</w:t>
      </w:r>
      <w:r w:rsidR="00F154F4">
        <w:rPr>
          <w:rFonts w:ascii="Arial" w:hAnsi="Arial" w:cs="Arial"/>
          <w:color w:val="111827"/>
          <w:spacing w:val="5"/>
          <w:bdr w:val="single" w:sz="2" w:space="0" w:color="E3E3E3" w:frame="1"/>
        </w:rPr>
        <w:t>Table 3</w:t>
      </w:r>
      <w:r w:rsidRPr="00E51CA7">
        <w:rPr>
          <w:rFonts w:ascii="Arial" w:hAnsi="Arial" w:cs="Arial"/>
          <w:color w:val="111827"/>
          <w:spacing w:val="5"/>
          <w:bdr w:val="single" w:sz="2" w:space="0" w:color="E3E3E3" w:frame="1"/>
        </w:rPr>
        <w:t xml:space="preserve">). The most significant acidification was observed in the treatments amended with maize straw (T5: pH 4.79) and rice straw (T4: pH 4.83). This acidification likely occurs due to the inherently acidic nature of the straws (Table 1; rice straw pH 4.70) and the release of organic acids, such as acetic acid and humic acids, during their decomposition (Alzamel et al., 2022). Notably,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with chicken manure (T3: pH 6.30) and cow dung (T2: pH 6.40) also led to soil acidification, despite their near-neutral initial pH (Table 1). This phenomenon can be explained by microbial nitrification processes (NH</w:t>
      </w:r>
      <w:r w:rsidRPr="00E51CA7">
        <w:rPr>
          <w:rFonts w:ascii="Cambria Math" w:hAnsi="Cambria Math" w:cs="Cambria Math"/>
          <w:color w:val="111827"/>
          <w:spacing w:val="5"/>
          <w:bdr w:val="single" w:sz="2" w:space="0" w:color="E3E3E3" w:frame="1"/>
        </w:rPr>
        <w:t>₄⁺</w:t>
      </w:r>
      <w:r w:rsidRPr="00E51CA7">
        <w:rPr>
          <w:rFonts w:ascii="Arial" w:hAnsi="Arial" w:cs="Arial"/>
          <w:color w:val="111827"/>
          <w:spacing w:val="5"/>
          <w:bdr w:val="single" w:sz="2" w:space="0" w:color="E3E3E3" w:frame="1"/>
        </w:rPr>
        <w:t xml:space="preserve"> + 2O</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 xml:space="preserve"> → NO</w:t>
      </w:r>
      <w:r w:rsidRPr="00E51CA7">
        <w:rPr>
          <w:rFonts w:ascii="Cambria Math" w:hAnsi="Cambria Math" w:cs="Cambria Math"/>
          <w:color w:val="111827"/>
          <w:spacing w:val="5"/>
          <w:bdr w:val="single" w:sz="2" w:space="0" w:color="E3E3E3" w:frame="1"/>
        </w:rPr>
        <w:t>₃⁻</w:t>
      </w:r>
      <w:r w:rsidRPr="00E51CA7">
        <w:rPr>
          <w:rFonts w:ascii="Arial" w:hAnsi="Arial" w:cs="Arial"/>
          <w:color w:val="111827"/>
          <w:spacing w:val="5"/>
          <w:bdr w:val="single" w:sz="2" w:space="0" w:color="E3E3E3" w:frame="1"/>
        </w:rPr>
        <w:t xml:space="preserve"> + 2H</w:t>
      </w:r>
      <w:r w:rsidRPr="00E51CA7">
        <w:rPr>
          <w:rFonts w:ascii="Cambria Math" w:hAnsi="Cambria Math" w:cs="Cambria Math"/>
          <w:color w:val="111827"/>
          <w:spacing w:val="5"/>
          <w:bdr w:val="single" w:sz="2" w:space="0" w:color="E3E3E3" w:frame="1"/>
        </w:rPr>
        <w:t>⁺</w:t>
      </w:r>
      <w:r w:rsidRPr="00E51CA7">
        <w:rPr>
          <w:rFonts w:ascii="Arial" w:hAnsi="Arial" w:cs="Arial"/>
          <w:color w:val="111827"/>
          <w:spacing w:val="5"/>
          <w:bdr w:val="single" w:sz="2" w:space="0" w:color="E3E3E3" w:frame="1"/>
        </w:rPr>
        <w:t xml:space="preserve"> + H</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O) and the production of CO</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 which increase H</w:t>
      </w:r>
      <w:r w:rsidRPr="00E51CA7">
        <w:rPr>
          <w:rFonts w:ascii="Cambria Math" w:hAnsi="Cambria Math" w:cs="Cambria Math"/>
          <w:color w:val="111827"/>
          <w:spacing w:val="5"/>
          <w:bdr w:val="single" w:sz="2" w:space="0" w:color="E3E3E3" w:frame="1"/>
        </w:rPr>
        <w:t>⁺</w:t>
      </w:r>
      <w:r w:rsidRPr="00E51CA7">
        <w:rPr>
          <w:rFonts w:ascii="Arial" w:hAnsi="Arial" w:cs="Arial"/>
          <w:color w:val="111827"/>
          <w:spacing w:val="5"/>
          <w:bdr w:val="single" w:sz="2" w:space="0" w:color="E3E3E3" w:frame="1"/>
        </w:rPr>
        <w:t xml:space="preserve"> concentration in the soil solution (Stevenson </w:t>
      </w:r>
      <w:r w:rsidR="00F435F1">
        <w:rPr>
          <w:rFonts w:ascii="Arial" w:hAnsi="Arial" w:cs="Arial"/>
          <w:color w:val="111827"/>
          <w:spacing w:val="5"/>
          <w:bdr w:val="single" w:sz="2" w:space="0" w:color="E3E3E3" w:frame="1"/>
        </w:rPr>
        <w:t>and</w:t>
      </w:r>
      <w:r w:rsidRPr="00E51CA7">
        <w:rPr>
          <w:rFonts w:ascii="Arial" w:hAnsi="Arial" w:cs="Arial"/>
          <w:color w:val="111827"/>
          <w:spacing w:val="5"/>
          <w:bdr w:val="single" w:sz="2" w:space="0" w:color="E3E3E3" w:frame="1"/>
        </w:rPr>
        <w:t xml:space="preserve"> Cole, 1999).</w:t>
      </w:r>
    </w:p>
    <w:p w14:paraId="5C7903B8"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4.5 Soil Organic Carbon (SOC) </w:t>
      </w:r>
    </w:p>
    <w:p w14:paraId="29908735" w14:textId="35D6F8E3" w:rsidR="00650980" w:rsidRPr="00E51CA7" w:rsidRDefault="00650980" w:rsidP="00E41778">
      <w:pPr>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resulted in significant increases in SOC content compared to the control treatment (</w:t>
      </w:r>
      <w:r w:rsidR="00F154F4" w:rsidRPr="00F154F4">
        <w:rPr>
          <w:rFonts w:ascii="Arial" w:hAnsi="Arial" w:cs="Arial"/>
          <w:color w:val="111827"/>
          <w:spacing w:val="5"/>
          <w:bdr w:val="single" w:sz="2" w:space="0" w:color="E3E3E3" w:frame="1"/>
        </w:rPr>
        <w:t>Table 3</w:t>
      </w:r>
      <w:r w:rsidRPr="00E51CA7">
        <w:rPr>
          <w:rFonts w:ascii="Arial" w:hAnsi="Arial" w:cs="Arial"/>
          <w:color w:val="111827"/>
          <w:spacing w:val="5"/>
          <w:bdr w:val="single" w:sz="2" w:space="0" w:color="E3E3E3" w:frame="1"/>
        </w:rPr>
        <w:t xml:space="preserve">). The highest SOC content observed was in the maize straw treatment (T5) at 1.83%, followed closely by the combined treatment of half chicken manure and half maize straw (T9: 1.76%) and the rice straw treatment (T4: 1.74%). These results correspond with the initial </w:t>
      </w:r>
      <w:r w:rsidR="00F435F1">
        <w:rPr>
          <w:rFonts w:ascii="Arial" w:hAnsi="Arial" w:cs="Arial"/>
          <w:color w:val="111827"/>
          <w:spacing w:val="5"/>
          <w:bdr w:val="single" w:sz="2" w:space="0" w:color="E3E3E3" w:frame="1"/>
        </w:rPr>
        <w:t>OC</w:t>
      </w:r>
      <w:r w:rsidRPr="00E51CA7">
        <w:rPr>
          <w:rFonts w:ascii="Arial" w:hAnsi="Arial" w:cs="Arial"/>
          <w:color w:val="111827"/>
          <w:spacing w:val="5"/>
          <w:bdr w:val="single" w:sz="2" w:space="0" w:color="E3E3E3" w:frame="1"/>
        </w:rPr>
        <w:t xml:space="preserve"> content of the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reported in Table 1, where maize straw (53.05%) and rice straw (47.88%) had higher </w:t>
      </w:r>
      <w:r w:rsidR="00F435F1">
        <w:rPr>
          <w:rFonts w:ascii="Arial" w:hAnsi="Arial" w:cs="Arial"/>
          <w:color w:val="111827"/>
          <w:spacing w:val="5"/>
          <w:bdr w:val="single" w:sz="2" w:space="0" w:color="E3E3E3" w:frame="1"/>
        </w:rPr>
        <w:t>OC</w:t>
      </w:r>
      <w:r w:rsidRPr="00E51CA7">
        <w:rPr>
          <w:rFonts w:ascii="Arial" w:hAnsi="Arial" w:cs="Arial"/>
          <w:color w:val="111827"/>
          <w:spacing w:val="5"/>
          <w:bdr w:val="single" w:sz="2" w:space="0" w:color="E3E3E3" w:frame="1"/>
        </w:rPr>
        <w:t xml:space="preserve"> levels </w:t>
      </w:r>
      <w:commentRangeStart w:id="11"/>
      <w:r w:rsidRPr="00E51CA7">
        <w:rPr>
          <w:rFonts w:ascii="Arial" w:hAnsi="Arial" w:cs="Arial"/>
          <w:color w:val="111827"/>
          <w:spacing w:val="5"/>
          <w:bdr w:val="single" w:sz="2" w:space="0" w:color="E3E3E3" w:frame="1"/>
        </w:rPr>
        <w:t>compared</w:t>
      </w:r>
      <w:commentRangeEnd w:id="11"/>
      <w:r w:rsidR="00B6383B">
        <w:rPr>
          <w:rStyle w:val="CommentReference"/>
          <w:rFonts w:ascii="Times New Roman" w:hAnsi="Times New Roman"/>
          <w:lang w:val="nb-NO" w:eastAsia="nb-NO"/>
        </w:rPr>
        <w:commentReference w:id="11"/>
      </w:r>
      <w:r w:rsidRPr="00E51CA7">
        <w:rPr>
          <w:rFonts w:ascii="Arial" w:hAnsi="Arial" w:cs="Arial"/>
          <w:color w:val="111827"/>
          <w:spacing w:val="5"/>
          <w:bdr w:val="single" w:sz="2" w:space="0" w:color="E3E3E3" w:frame="1"/>
        </w:rPr>
        <w:t xml:space="preserve"> to chicken manure (34.06%).</w:t>
      </w:r>
    </w:p>
    <w:p w14:paraId="289FBC2B" w14:textId="2EFDEDEB" w:rsidR="00650980" w:rsidRDefault="00650980" w:rsidP="00E41778">
      <w:pPr>
        <w:ind w:firstLine="720"/>
        <w:jc w:val="both"/>
        <w:rPr>
          <w:color w:val="111827"/>
          <w:spacing w:val="5"/>
          <w:bdr w:val="single" w:sz="2" w:space="0" w:color="E3E3E3" w:frame="1"/>
        </w:rPr>
      </w:pPr>
      <w:r w:rsidRPr="00E51CA7">
        <w:rPr>
          <w:rFonts w:ascii="Arial" w:hAnsi="Arial" w:cs="Arial"/>
          <w:color w:val="111827"/>
          <w:spacing w:val="5"/>
          <w:bdr w:val="single" w:sz="2" w:space="0" w:color="E3E3E3" w:frame="1"/>
        </w:rPr>
        <w:t xml:space="preserve">The high lignin content (19.5%) and C:N ratio (44.58) of maize straw likely inhibited its decomposition, leading to a greater accumulation of residual organic carbon (Bi et al., 2009). In contrast, the control treatment (T1) showed a decrease in SOC content, dropping from an initial 1.35% to 1.18% by the end of the incubation period, primarily due to the ongoing mineralization of native </w:t>
      </w:r>
      <w:r w:rsidR="00F435F1">
        <w:rPr>
          <w:rFonts w:ascii="Arial" w:hAnsi="Arial" w:cs="Arial"/>
          <w:color w:val="111827"/>
          <w:spacing w:val="5"/>
          <w:bdr w:val="single" w:sz="2" w:space="0" w:color="E3E3E3" w:frame="1"/>
        </w:rPr>
        <w:t>SOC</w:t>
      </w:r>
      <w:r w:rsidR="00730A59">
        <w:rPr>
          <w:rFonts w:ascii="Arial" w:hAnsi="Arial" w:cs="Arial"/>
          <w:color w:val="111827"/>
          <w:spacing w:val="5"/>
          <w:bdr w:val="single" w:sz="2" w:space="0" w:color="E3E3E3" w:frame="1"/>
        </w:rPr>
        <w:t xml:space="preserve"> (Htun et., 2025)</w:t>
      </w:r>
      <w:r w:rsidRPr="00E51CA7">
        <w:rPr>
          <w:rFonts w:ascii="Arial" w:hAnsi="Arial" w:cs="Arial"/>
          <w:color w:val="111827"/>
          <w:spacing w:val="5"/>
          <w:bdr w:val="single" w:sz="2" w:space="0" w:color="E3E3E3" w:frame="1"/>
        </w:rPr>
        <w:t xml:space="preserve">. The chicken manure treatment (T3: 1.71%) also contributed notably to SOC, likely due to its high nutrient content, which stimulated microbial biomass production. However, its relatively low C:N ratio (6.69) led to faster mineralization compared to the straw </w:t>
      </w:r>
      <w:commentRangeStart w:id="12"/>
      <w:r w:rsidR="00B50E9B">
        <w:rPr>
          <w:rFonts w:ascii="Arial" w:hAnsi="Arial" w:cs="Arial"/>
          <w:color w:val="111827"/>
          <w:spacing w:val="5"/>
          <w:bdr w:val="single" w:sz="2" w:space="0" w:color="E3E3E3" w:frame="1"/>
        </w:rPr>
        <w:t>materials</w:t>
      </w:r>
      <w:commentRangeEnd w:id="12"/>
      <w:r w:rsidR="00B6383B">
        <w:rPr>
          <w:rStyle w:val="CommentReference"/>
          <w:rFonts w:ascii="Times New Roman" w:hAnsi="Times New Roman"/>
          <w:lang w:val="nb-NO" w:eastAsia="nb-NO"/>
        </w:rPr>
        <w:commentReference w:id="12"/>
      </w:r>
      <w:r w:rsidRPr="00E51CA7">
        <w:rPr>
          <w:rFonts w:ascii="Arial" w:hAnsi="Arial" w:cs="Arial"/>
          <w:color w:val="111827"/>
          <w:spacing w:val="5"/>
          <w:bdr w:val="single" w:sz="2" w:space="0" w:color="E3E3E3" w:frame="1"/>
        </w:rPr>
        <w:t>.</w:t>
      </w:r>
    </w:p>
    <w:p w14:paraId="2132C3EA" w14:textId="2EEE8490"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4.6 Total Nitrogen (TN) </w:t>
      </w:r>
    </w:p>
    <w:p w14:paraId="1CA85B99" w14:textId="79A9275D" w:rsidR="00650980" w:rsidRDefault="00650980" w:rsidP="00B6383B">
      <w:pPr>
        <w:pStyle w:val="NoSpacing"/>
        <w:rPr>
          <w:bdr w:val="single" w:sz="2" w:space="0" w:color="E3E3E3" w:frame="1"/>
        </w:rPr>
      </w:pPr>
      <w:r w:rsidRPr="00430A9C">
        <w:rPr>
          <w:bdr w:val="single" w:sz="2" w:space="0" w:color="E3E3E3" w:frame="1"/>
        </w:rPr>
        <w:lastRenderedPageBreak/>
        <w:t xml:space="preserve">TN levels were significantly </w:t>
      </w:r>
      <w:commentRangeStart w:id="13"/>
      <w:r w:rsidRPr="00430A9C">
        <w:rPr>
          <w:bdr w:val="single" w:sz="2" w:space="0" w:color="E3E3E3" w:frame="1"/>
        </w:rPr>
        <w:t>higher</w:t>
      </w:r>
      <w:commentRangeEnd w:id="13"/>
      <w:r w:rsidR="00F45E02">
        <w:rPr>
          <w:rStyle w:val="CommentReference"/>
          <w:rFonts w:ascii="Times New Roman" w:hAnsi="Times New Roman"/>
          <w:lang w:val="nb-NO" w:eastAsia="nb-NO"/>
        </w:rPr>
        <w:commentReference w:id="13"/>
      </w:r>
      <w:r w:rsidRPr="00430A9C">
        <w:rPr>
          <w:bdr w:val="single" w:sz="2" w:space="0" w:color="E3E3E3" w:frame="1"/>
        </w:rPr>
        <w:t xml:space="preserve"> in treatments that included organic materials rich in </w:t>
      </w:r>
      <w:r w:rsidR="00F435F1">
        <w:rPr>
          <w:bdr w:val="single" w:sz="2" w:space="0" w:color="E3E3E3" w:frame="1"/>
        </w:rPr>
        <w:t>N</w:t>
      </w:r>
      <w:r w:rsidRPr="00430A9C">
        <w:rPr>
          <w:bdr w:val="single" w:sz="2" w:space="0" w:color="E3E3E3" w:frame="1"/>
        </w:rPr>
        <w:t xml:space="preserve">, specifically cow dung (795.50 ppm) and chicken manure (786.75 </w:t>
      </w:r>
      <w:commentRangeStart w:id="14"/>
      <w:r w:rsidRPr="00430A9C">
        <w:rPr>
          <w:bdr w:val="single" w:sz="2" w:space="0" w:color="E3E3E3" w:frame="1"/>
        </w:rPr>
        <w:t>ppm</w:t>
      </w:r>
      <w:commentRangeEnd w:id="14"/>
      <w:r w:rsidR="00B6383B">
        <w:rPr>
          <w:rStyle w:val="CommentReference"/>
          <w:rFonts w:ascii="Times New Roman" w:hAnsi="Times New Roman"/>
          <w:lang w:val="nb-NO" w:eastAsia="nb-NO"/>
        </w:rPr>
        <w:commentReference w:id="14"/>
      </w:r>
      <w:r w:rsidRPr="00430A9C">
        <w:rPr>
          <w:bdr w:val="single" w:sz="2" w:space="0" w:color="E3E3E3" w:frame="1"/>
        </w:rPr>
        <w:t>) (</w:t>
      </w:r>
      <w:r w:rsidR="00F154F4" w:rsidRPr="00F154F4">
        <w:rPr>
          <w:bdr w:val="single" w:sz="2" w:space="0" w:color="E3E3E3" w:frame="1"/>
        </w:rPr>
        <w:t>Table 3</w:t>
      </w:r>
      <w:r w:rsidRPr="00430A9C">
        <w:rPr>
          <w:bdr w:val="single" w:sz="2" w:space="0" w:color="E3E3E3" w:frame="1"/>
        </w:rPr>
        <w:t xml:space="preserve">). The highest TN retention was observed in treatments T2, T3, T6, T8, and T9, which incorporated either full or half rates of animal manures. This outcome reflects the high initial </w:t>
      </w:r>
      <w:r w:rsidR="00F435F1">
        <w:rPr>
          <w:bdr w:val="single" w:sz="2" w:space="0" w:color="E3E3E3" w:frame="1"/>
        </w:rPr>
        <w:t>N</w:t>
      </w:r>
      <w:r w:rsidRPr="00430A9C">
        <w:rPr>
          <w:bdr w:val="single" w:sz="2" w:space="0" w:color="E3E3E3" w:frame="1"/>
        </w:rPr>
        <w:t xml:space="preserve"> content and favorable C:N ratios (less than 13) of these </w:t>
      </w:r>
      <w:r w:rsidR="00B50E9B">
        <w:rPr>
          <w:bdr w:val="single" w:sz="2" w:space="0" w:color="E3E3E3" w:frame="1"/>
        </w:rPr>
        <w:t>materials</w:t>
      </w:r>
      <w:r w:rsidRPr="00430A9C">
        <w:rPr>
          <w:bdr w:val="single" w:sz="2" w:space="0" w:color="E3E3E3" w:frame="1"/>
        </w:rPr>
        <w:t xml:space="preserve">, which reduce </w:t>
      </w:r>
      <w:r w:rsidR="00F435F1">
        <w:rPr>
          <w:bdr w:val="single" w:sz="2" w:space="0" w:color="E3E3E3" w:frame="1"/>
        </w:rPr>
        <w:t>N</w:t>
      </w:r>
      <w:r w:rsidRPr="00430A9C">
        <w:rPr>
          <w:bdr w:val="single" w:sz="2" w:space="0" w:color="E3E3E3" w:frame="1"/>
        </w:rPr>
        <w:t xml:space="preserve"> immobilization and enhance stabilization through humification processes (Zhang et al., 2021). In contrast, treatments that were amended solely with straw (T4, T5) exhibited only slight increases in TN, likely due to their wider C:N ratios (65.59 for rice straw, as indicated in Table 1). The high C:N ratios temporarily immobilize </w:t>
      </w:r>
      <w:r w:rsidR="00F435F1">
        <w:rPr>
          <w:bdr w:val="single" w:sz="2" w:space="0" w:color="E3E3E3" w:frame="1"/>
        </w:rPr>
        <w:t>N</w:t>
      </w:r>
      <w:r w:rsidRPr="00430A9C">
        <w:rPr>
          <w:bdr w:val="single" w:sz="2" w:space="0" w:color="E3E3E3" w:frame="1"/>
        </w:rPr>
        <w:t xml:space="preserve"> during the early stages of decomposition, as microorganisms utilize the available </w:t>
      </w:r>
      <w:r w:rsidR="00F435F1">
        <w:rPr>
          <w:bdr w:val="single" w:sz="2" w:space="0" w:color="E3E3E3" w:frame="1"/>
        </w:rPr>
        <w:t>N</w:t>
      </w:r>
      <w:r w:rsidRPr="00430A9C">
        <w:rPr>
          <w:bdr w:val="single" w:sz="2" w:space="0" w:color="E3E3E3" w:frame="1"/>
        </w:rPr>
        <w:t xml:space="preserve"> to decompose the high-carbon substrate (Dhaliwal et al., 2019).</w:t>
      </w:r>
      <w:r>
        <w:rPr>
          <w:bdr w:val="single" w:sz="2" w:space="0" w:color="E3E3E3" w:frame="1"/>
        </w:rPr>
        <w:tab/>
      </w:r>
    </w:p>
    <w:p w14:paraId="72EE6DFA"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4.7 Available Phosphorus (P) </w:t>
      </w:r>
    </w:p>
    <w:p w14:paraId="113DD8E9" w14:textId="77233598" w:rsidR="00650980" w:rsidRDefault="00650980" w:rsidP="00F154F4">
      <w:pPr>
        <w:tabs>
          <w:tab w:val="center" w:pos="5040"/>
        </w:tabs>
        <w:ind w:firstLine="720"/>
        <w:jc w:val="both"/>
        <w:rPr>
          <w:color w:val="111827"/>
          <w:spacing w:val="5"/>
          <w:bdr w:val="single" w:sz="2" w:space="0" w:color="E3E3E3" w:frame="1"/>
        </w:rPr>
      </w:pPr>
      <w:r w:rsidRPr="00430A9C">
        <w:rPr>
          <w:rFonts w:ascii="Arial" w:hAnsi="Arial" w:cs="Arial"/>
          <w:color w:val="111827"/>
          <w:spacing w:val="5"/>
          <w:bdr w:val="single" w:sz="2" w:space="0" w:color="E3E3E3" w:frame="1"/>
        </w:rPr>
        <w:t xml:space="preserve">Significant </w:t>
      </w:r>
      <w:commentRangeStart w:id="15"/>
      <w:r w:rsidRPr="00430A9C">
        <w:rPr>
          <w:rFonts w:ascii="Arial" w:hAnsi="Arial" w:cs="Arial"/>
          <w:color w:val="111827"/>
          <w:spacing w:val="5"/>
          <w:bdr w:val="single" w:sz="2" w:space="0" w:color="E3E3E3" w:frame="1"/>
        </w:rPr>
        <w:t>differences</w:t>
      </w:r>
      <w:commentRangeEnd w:id="15"/>
      <w:r w:rsidR="00C81E06">
        <w:rPr>
          <w:rStyle w:val="CommentReference"/>
          <w:rFonts w:ascii="Times New Roman" w:hAnsi="Times New Roman"/>
          <w:lang w:val="nb-NO" w:eastAsia="nb-NO"/>
        </w:rPr>
        <w:commentReference w:id="15"/>
      </w:r>
      <w:r w:rsidRPr="00430A9C">
        <w:rPr>
          <w:rFonts w:ascii="Arial" w:hAnsi="Arial" w:cs="Arial"/>
          <w:color w:val="111827"/>
          <w:spacing w:val="5"/>
          <w:bdr w:val="single" w:sz="2" w:space="0" w:color="E3E3E3" w:frame="1"/>
        </w:rPr>
        <w:t xml:space="preserve"> in availabl</w:t>
      </w:r>
      <w:r w:rsidR="00CE69B7">
        <w:rPr>
          <w:rFonts w:ascii="Arial" w:hAnsi="Arial" w:cs="Arial"/>
          <w:color w:val="111827"/>
          <w:spacing w:val="5"/>
          <w:bdr w:val="single" w:sz="2" w:space="0" w:color="E3E3E3" w:frame="1"/>
        </w:rPr>
        <w:t xml:space="preserve">e </w:t>
      </w:r>
      <w:r w:rsidRPr="00430A9C">
        <w:rPr>
          <w:rFonts w:ascii="Arial" w:hAnsi="Arial" w:cs="Arial"/>
          <w:color w:val="111827"/>
          <w:spacing w:val="5"/>
          <w:bdr w:val="single" w:sz="2" w:space="0" w:color="E3E3E3" w:frame="1"/>
        </w:rPr>
        <w:t>P were observed among the treatments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The highest level of available P (28.87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was recorded in the chicken manure treatment (T3), which is consistent with its high P</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w:t>
      </w:r>
      <w:r w:rsidRPr="00430A9C">
        <w:rPr>
          <w:rFonts w:ascii="Cambria Math" w:hAnsi="Cambria Math" w:cs="Cambria Math"/>
          <w:color w:val="111827"/>
          <w:spacing w:val="5"/>
          <w:bdr w:val="single" w:sz="2" w:space="0" w:color="E3E3E3" w:frame="1"/>
        </w:rPr>
        <w:t>₅</w:t>
      </w:r>
      <w:r w:rsidRPr="00430A9C">
        <w:rPr>
          <w:rFonts w:ascii="Arial" w:hAnsi="Arial" w:cs="Arial"/>
          <w:color w:val="111827"/>
          <w:spacing w:val="5"/>
          <w:bdr w:val="single" w:sz="2" w:space="0" w:color="E3E3E3" w:frame="1"/>
        </w:rPr>
        <w:t xml:space="preserve"> content of 2.29% (Table 1). Chicken manure is recognized as a rich source of readily available </w:t>
      </w:r>
      <w:r w:rsidR="00CE69B7" w:rsidRP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often containing soluble forms derived from poultry feed (Melenya et al., 2015). Treatments that combined chicken manure with straw (T8 and T9) also exhibited elevated available P levels of 26.77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and 26.06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respectively. This suggests the potential for synergistic mineralization effects or a cumulative impact of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xml:space="preserve"> from both components. In contrast, the control treatment (T1) and rice straw treatment (T4) showed the lowest available P </w:t>
      </w:r>
      <w:commentRangeStart w:id="16"/>
      <w:r w:rsidRPr="00430A9C">
        <w:rPr>
          <w:rFonts w:ascii="Arial" w:hAnsi="Arial" w:cs="Arial"/>
          <w:color w:val="111827"/>
          <w:spacing w:val="5"/>
          <w:bdr w:val="single" w:sz="2" w:space="0" w:color="E3E3E3" w:frame="1"/>
        </w:rPr>
        <w:t>values</w:t>
      </w:r>
      <w:commentRangeEnd w:id="16"/>
      <w:r w:rsidR="000436EC">
        <w:rPr>
          <w:rStyle w:val="CommentReference"/>
          <w:rFonts w:ascii="Times New Roman" w:hAnsi="Times New Roman"/>
          <w:lang w:val="nb-NO" w:eastAsia="nb-NO"/>
        </w:rPr>
        <w:commentReference w:id="16"/>
      </w:r>
      <w:r w:rsidRPr="00430A9C">
        <w:rPr>
          <w:rFonts w:ascii="Arial" w:hAnsi="Arial" w:cs="Arial"/>
          <w:color w:val="111827"/>
          <w:spacing w:val="5"/>
          <w:bdr w:val="single" w:sz="2" w:space="0" w:color="E3E3E3" w:frame="1"/>
        </w:rPr>
        <w:t xml:space="preserve">, confirming the minimal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xml:space="preserve"> input from these sources (Table 1). The release of organic acids during the decomposition of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may have also helped solubilize native soil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further contributing to its availability (Jones, 1998).</w:t>
      </w:r>
      <w:r>
        <w:rPr>
          <w:color w:val="111827"/>
          <w:spacing w:val="5"/>
          <w:bdr w:val="single" w:sz="2" w:space="0" w:color="E3E3E3" w:frame="1"/>
        </w:rPr>
        <w:tab/>
      </w:r>
    </w:p>
    <w:p w14:paraId="65C1A17A"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4.8 Available Potassium (K)</w:t>
      </w:r>
    </w:p>
    <w:p w14:paraId="0EAB7E8A" w14:textId="5149FE87" w:rsidR="00650980" w:rsidRPr="00730A59" w:rsidRDefault="00650980" w:rsidP="00730A59">
      <w:pPr>
        <w:tabs>
          <w:tab w:val="center" w:pos="5040"/>
        </w:tabs>
        <w:ind w:firstLine="720"/>
        <w:jc w:val="both"/>
        <w:rPr>
          <w:rFonts w:ascii="Arial" w:hAnsi="Arial" w:cs="Arial"/>
          <w:color w:val="111827"/>
          <w:spacing w:val="5"/>
          <w:bdr w:val="single" w:sz="2" w:space="0" w:color="E3E3E3" w:frame="1"/>
        </w:rPr>
      </w:pPr>
      <w:r w:rsidRPr="00430A9C">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w:t>
      </w:r>
      <w:commentRangeStart w:id="17"/>
      <w:r w:rsidRPr="00430A9C">
        <w:rPr>
          <w:rFonts w:ascii="Arial" w:hAnsi="Arial" w:cs="Arial"/>
          <w:color w:val="111827"/>
          <w:spacing w:val="5"/>
          <w:bdr w:val="single" w:sz="2" w:space="0" w:color="E3E3E3" w:frame="1"/>
        </w:rPr>
        <w:t>significantly</w:t>
      </w:r>
      <w:commentRangeEnd w:id="17"/>
      <w:r w:rsidR="00731805">
        <w:rPr>
          <w:rStyle w:val="CommentReference"/>
          <w:rFonts w:ascii="Times New Roman" w:hAnsi="Times New Roman"/>
          <w:lang w:val="nb-NO" w:eastAsia="nb-NO"/>
        </w:rPr>
        <w:commentReference w:id="17"/>
      </w:r>
      <w:r w:rsidRPr="00430A9C">
        <w:rPr>
          <w:rFonts w:ascii="Arial" w:hAnsi="Arial" w:cs="Arial"/>
          <w:color w:val="111827"/>
          <w:spacing w:val="5"/>
          <w:bdr w:val="single" w:sz="2" w:space="0" w:color="E3E3E3" w:frame="1"/>
        </w:rPr>
        <w:t xml:space="preserve"> influenced the levels of available K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xml:space="preserve">). The highest available </w:t>
      </w:r>
      <w:r w:rsidR="00CE69B7">
        <w:rPr>
          <w:rFonts w:ascii="Arial" w:hAnsi="Arial" w:cs="Arial"/>
          <w:color w:val="111827"/>
          <w:spacing w:val="5"/>
          <w:bdr w:val="single" w:sz="2" w:space="0" w:color="E3E3E3" w:frame="1"/>
        </w:rPr>
        <w:t>K</w:t>
      </w:r>
      <w:r w:rsidRPr="00430A9C">
        <w:rPr>
          <w:rFonts w:ascii="Arial" w:hAnsi="Arial" w:cs="Arial"/>
          <w:color w:val="111827"/>
          <w:spacing w:val="5"/>
          <w:bdr w:val="single" w:sz="2" w:space="0" w:color="E3E3E3" w:frame="1"/>
        </w:rPr>
        <w:t xml:space="preserve"> content was observed in the chicken manure treatment (T3), with a measurement of 85.00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reflecting its high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content of 1.93% (Table 1). The combined treatment of half chicken manure and half maize straw (T9) also demonstrated high K availability, with a value of 84.60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indicating an additive effect of K from both </w:t>
      </w:r>
      <w:commentRangeStart w:id="18"/>
      <w:r w:rsidR="00B50E9B">
        <w:rPr>
          <w:rFonts w:ascii="Arial" w:hAnsi="Arial" w:cs="Arial"/>
          <w:color w:val="111827"/>
          <w:spacing w:val="5"/>
          <w:bdr w:val="single" w:sz="2" w:space="0" w:color="E3E3E3" w:frame="1"/>
        </w:rPr>
        <w:t>materials</w:t>
      </w:r>
      <w:commentRangeEnd w:id="18"/>
      <w:r w:rsidR="00731805">
        <w:rPr>
          <w:rStyle w:val="CommentReference"/>
          <w:rFonts w:ascii="Times New Roman" w:hAnsi="Times New Roman"/>
          <w:lang w:val="nb-NO" w:eastAsia="nb-NO"/>
        </w:rPr>
        <w:commentReference w:id="18"/>
      </w:r>
      <w:r w:rsidRPr="00430A9C">
        <w:rPr>
          <w:rFonts w:ascii="Arial" w:hAnsi="Arial" w:cs="Arial"/>
          <w:color w:val="111827"/>
          <w:spacing w:val="5"/>
          <w:bdr w:val="single" w:sz="2" w:space="0" w:color="E3E3E3" w:frame="1"/>
        </w:rPr>
        <w:t>. Maize straw, which contains 1.20%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contributed moderately to available K, resulting in a value of 82.40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(T5). In contrast, rice straw, with 0.80%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had a lesser impact (T4: 80.20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and cow dung, containing 0.69%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showed the minimal contribution. The relatively high availability of K from organic sources can be attributed to its ionic nature and its weak binding to soil particles, making it readily mineralizable upon decomposition (Alloway, 2012).</w:t>
      </w:r>
    </w:p>
    <w:p w14:paraId="106CD9C8"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4.9 Cation Exchange Capacity (CEC) </w:t>
      </w:r>
    </w:p>
    <w:p w14:paraId="1E6DC389" w14:textId="25824D35" w:rsidR="00650980" w:rsidRPr="00430A9C" w:rsidRDefault="00650980" w:rsidP="00730A59">
      <w:pPr>
        <w:tabs>
          <w:tab w:val="center" w:pos="5040"/>
        </w:tabs>
        <w:ind w:firstLine="720"/>
        <w:jc w:val="both"/>
        <w:rPr>
          <w:rFonts w:ascii="Arial" w:hAnsi="Arial" w:cs="Arial"/>
          <w:color w:val="111827"/>
          <w:spacing w:val="5"/>
          <w:bdr w:val="single" w:sz="2" w:space="0" w:color="E3E3E3" w:frame="1"/>
        </w:rPr>
      </w:pPr>
      <w:r w:rsidRPr="00430A9C">
        <w:rPr>
          <w:rFonts w:ascii="Arial" w:hAnsi="Arial" w:cs="Arial"/>
          <w:color w:val="111827"/>
          <w:spacing w:val="5"/>
          <w:bdr w:val="single" w:sz="2" w:space="0" w:color="E3E3E3" w:frame="1"/>
        </w:rPr>
        <w:t xml:space="preserve">CEC increased </w:t>
      </w:r>
      <w:commentRangeStart w:id="19"/>
      <w:r w:rsidRPr="00430A9C">
        <w:rPr>
          <w:rFonts w:ascii="Arial" w:hAnsi="Arial" w:cs="Arial"/>
          <w:color w:val="111827"/>
          <w:spacing w:val="5"/>
          <w:bdr w:val="single" w:sz="2" w:space="0" w:color="E3E3E3" w:frame="1"/>
        </w:rPr>
        <w:t>significantly</w:t>
      </w:r>
      <w:commentRangeEnd w:id="19"/>
      <w:r w:rsidR="00731805">
        <w:rPr>
          <w:rStyle w:val="CommentReference"/>
          <w:rFonts w:ascii="Times New Roman" w:hAnsi="Times New Roman"/>
          <w:lang w:val="nb-NO" w:eastAsia="nb-NO"/>
        </w:rPr>
        <w:commentReference w:id="19"/>
      </w:r>
      <w:r w:rsidRPr="00430A9C">
        <w:rPr>
          <w:rFonts w:ascii="Arial" w:hAnsi="Arial" w:cs="Arial"/>
          <w:color w:val="111827"/>
          <w:spacing w:val="5"/>
          <w:bdr w:val="single" w:sz="2" w:space="0" w:color="E3E3E3" w:frame="1"/>
        </w:rPr>
        <w:t xml:space="preserve"> in all amended soils compared to the control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The treatment with chicken manure (T3) showed the most substantial enhancement, reaching 16.44 cmol</w:t>
      </w:r>
      <w:r w:rsidRPr="00DC7609">
        <w:rPr>
          <w:rFonts w:ascii="Arial" w:hAnsi="Arial" w:cs="Arial"/>
          <w:color w:val="111827"/>
          <w:spacing w:val="5"/>
          <w:bdr w:val="single" w:sz="2" w:space="0" w:color="E3E3E3" w:frame="1"/>
          <w:vertAlign w:val="subscript"/>
        </w:rPr>
        <w:t>c</w:t>
      </w:r>
      <w:r w:rsidRPr="00430A9C">
        <w:rPr>
          <w:rFonts w:ascii="Arial" w:hAnsi="Arial" w:cs="Arial"/>
          <w:color w:val="111827"/>
          <w:spacing w:val="5"/>
          <w:bdr w:val="single" w:sz="2" w:space="0" w:color="E3E3E3" w:frame="1"/>
        </w:rPr>
        <w:t xml:space="preserve">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This notable increase is likely due to the formation of stable humic substances during the decomposition of chicken manure, which introduces negatively charged functional groups (such as –COOH and –OH) that improve cation retention (Zhu et al., 2023). Additionally, treatments that included combined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(T8, T9) also displayed considerable improvements in CEC, likely because the balanced carbon and nitrogen content fosters microbial-mediated humification processes. The initial CEC of the soil was classified as medium, measuring 13.26 cmol</w:t>
      </w:r>
      <w:r w:rsidRPr="00DC7609">
        <w:rPr>
          <w:rFonts w:ascii="Arial" w:hAnsi="Arial" w:cs="Arial"/>
          <w:color w:val="111827"/>
          <w:spacing w:val="5"/>
          <w:bdr w:val="single" w:sz="2" w:space="0" w:color="E3E3E3" w:frame="1"/>
          <w:vertAlign w:val="subscript"/>
        </w:rPr>
        <w:t>c</w:t>
      </w:r>
      <w:r w:rsidRPr="00430A9C">
        <w:rPr>
          <w:rFonts w:ascii="Arial" w:hAnsi="Arial" w:cs="Arial"/>
          <w:color w:val="111827"/>
          <w:spacing w:val="5"/>
          <w:bdr w:val="single" w:sz="2" w:space="0" w:color="E3E3E3" w:frame="1"/>
        </w:rPr>
        <w:t xml:space="preserve">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(Table 2), and the loamy sand texture limits CEC inherently due to its low clay content (8.58%). Therefore, the observed increases in CEC resulting from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are considered practically significant. As noted by Lal (2015), even modest additions of </w:t>
      </w:r>
      <w:r w:rsidR="00336EC4">
        <w:rPr>
          <w:rFonts w:ascii="Arial" w:hAnsi="Arial" w:cs="Arial"/>
          <w:color w:val="111827"/>
          <w:spacing w:val="5"/>
          <w:bdr w:val="single" w:sz="2" w:space="0" w:color="E3E3E3" w:frame="1"/>
        </w:rPr>
        <w:t>OM</w:t>
      </w:r>
      <w:r w:rsidRPr="00430A9C">
        <w:rPr>
          <w:rFonts w:ascii="Arial" w:hAnsi="Arial" w:cs="Arial"/>
          <w:color w:val="111827"/>
          <w:spacing w:val="5"/>
          <w:bdr w:val="single" w:sz="2" w:space="0" w:color="E3E3E3" w:frame="1"/>
        </w:rPr>
        <w:t xml:space="preserve"> can significantly enhance CEC in sandy soils with low clay content.</w:t>
      </w:r>
    </w:p>
    <w:p w14:paraId="73F30FD8" w14:textId="0FC49F9E"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4.10 Correlation between Physicochemical Properties</w:t>
      </w:r>
    </w:p>
    <w:p w14:paraId="11460580" w14:textId="2AEF8E91"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Correlation analysis revealed significant interrelationships among soil physicochemical properties following the application of organic </w:t>
      </w:r>
      <w:r w:rsidR="00B50E9B">
        <w:rPr>
          <w:rFonts w:ascii="Arial" w:hAnsi="Arial" w:cs="Arial"/>
        </w:rPr>
        <w:t>materials</w:t>
      </w:r>
      <w:r>
        <w:rPr>
          <w:rFonts w:ascii="Arial" w:hAnsi="Arial" w:cs="Arial"/>
        </w:rPr>
        <w:t xml:space="preserve"> (Table </w:t>
      </w:r>
      <w:r w:rsidR="00F154F4">
        <w:rPr>
          <w:rFonts w:ascii="Arial" w:hAnsi="Arial" w:cs="Arial"/>
        </w:rPr>
        <w:t>4</w:t>
      </w:r>
      <w:r>
        <w:rPr>
          <w:rFonts w:ascii="Arial" w:hAnsi="Arial" w:cs="Arial"/>
        </w:rPr>
        <w:t>)</w:t>
      </w:r>
      <w:r w:rsidRPr="00A64064">
        <w:rPr>
          <w:rFonts w:ascii="Arial" w:hAnsi="Arial" w:cs="Arial"/>
        </w:rPr>
        <w:t>.</w:t>
      </w:r>
    </w:p>
    <w:p w14:paraId="464DAB8F"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BD exhibited a highly significant negative correlation with porosity (r = –0.92**, p &lt; 0.01), supporting the inverse physical relationship between these parameters (Brady &amp; Weil, 2016). A significant negative correlation with </w:t>
      </w:r>
      <w:r>
        <w:rPr>
          <w:rFonts w:ascii="Arial" w:hAnsi="Arial" w:cs="Arial"/>
        </w:rPr>
        <w:t>WHC</w:t>
      </w:r>
      <w:r w:rsidRPr="00A64064">
        <w:rPr>
          <w:rFonts w:ascii="Arial" w:hAnsi="Arial" w:cs="Arial"/>
        </w:rPr>
        <w:t xml:space="preserve"> (WHC; r = –0.79*, p &lt; 0.05) and OC (r = –0.64*, p &lt; 0.05) indicates that reduced </w:t>
      </w:r>
      <w:r w:rsidRPr="00A64064">
        <w:rPr>
          <w:rFonts w:ascii="Arial" w:hAnsi="Arial" w:cs="Arial"/>
        </w:rPr>
        <w:lastRenderedPageBreak/>
        <w:t>compaction is associated with improved soil structure and enhanced OM content (Haynes &amp; Naidu, 1998). Conversely, the positive correlation between BD and pH (r = 0.75*, p &lt; 0.05) suggests that compacted soils may restrict aeration and slow down acid-producing processes (e.g., nitrification and organic acid release), thereby maintaining higher pH levels (Bolan et al., 2003).</w:t>
      </w:r>
    </w:p>
    <w:p w14:paraId="2CBB5F4C"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PD exhibited non-significant correlations with all other properties (r = –0.10 to 0.54, p &gt; 0.05), which is consistent with its reliance on mineral composition, remaining unchanged across treatments (Hillel, 200</w:t>
      </w:r>
      <w:r>
        <w:rPr>
          <w:rFonts w:ascii="Arial" w:hAnsi="Arial" w:cs="Arial"/>
        </w:rPr>
        <w:t>3</w:t>
      </w:r>
      <w:r w:rsidRPr="00A64064">
        <w:rPr>
          <w:rFonts w:ascii="Arial" w:hAnsi="Arial" w:cs="Arial"/>
        </w:rPr>
        <w:t>).</w:t>
      </w:r>
    </w:p>
    <w:p w14:paraId="2B43B1FD"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Porosity showed a strong negative correlation with BD (r = –0.92**, p &lt; 0.01) and a moderate positive correlation with WHC (r = 0.69*, p &lt; 0.05), reflecting the importance of pore space in water retention (Rawls et al., 2003). Although the correlation with OC was numerically positive (r = 0.52, p &gt; 0.05), it was not significant; this may be attributed to the short incubation period limiting measurable structural development (Six et al., 2002).</w:t>
      </w:r>
    </w:p>
    <w:p w14:paraId="5F100668"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WHC displayed a very strong positive correlation with OC (r = 0.95**, p &lt; 0.01), highlighting the hydrophilic nature of OM and its critical role in enhancing water retention in sandy soils (Rawls et al., 2003). Additionally, a very strong negative correlation with pH (r = –0.95**, p &lt; 0.01) indicates that higher moisture retention in OM-rich soils extends the residence time of organic acids and CO</w:t>
      </w:r>
      <w:r w:rsidRPr="00A64064">
        <w:rPr>
          <w:rFonts w:ascii="Cambria Math" w:hAnsi="Cambria Math" w:cs="Cambria Math"/>
        </w:rPr>
        <w:t>₂</w:t>
      </w:r>
      <w:r w:rsidRPr="00A64064">
        <w:rPr>
          <w:rFonts w:ascii="Arial" w:hAnsi="Arial" w:cs="Arial"/>
        </w:rPr>
        <w:t xml:space="preserve">-derived carbonic acid, thereby promoting acidification (Ritchie &amp; Dolling, 1985). Moderate positive correlations with available potassium (K; r = 0.65, p &gt; 0.05) and </w:t>
      </w:r>
      <w:r>
        <w:rPr>
          <w:rFonts w:ascii="Arial" w:hAnsi="Arial" w:cs="Arial"/>
        </w:rPr>
        <w:t>CEC</w:t>
      </w:r>
      <w:r w:rsidRPr="00A64064">
        <w:rPr>
          <w:rFonts w:ascii="Arial" w:hAnsi="Arial" w:cs="Arial"/>
        </w:rPr>
        <w:t xml:space="preserve"> (r = 0.55, p &gt; 0.05) suggest improved nutrient retention in well-hydrated, OM-enriched soils (Havlin et al., 201</w:t>
      </w:r>
      <w:r>
        <w:rPr>
          <w:rFonts w:ascii="Arial" w:hAnsi="Arial" w:cs="Arial"/>
        </w:rPr>
        <w:t>6</w:t>
      </w:r>
      <w:r w:rsidRPr="00A64064">
        <w:rPr>
          <w:rFonts w:ascii="Arial" w:hAnsi="Arial" w:cs="Arial"/>
        </w:rPr>
        <w:t>).</w:t>
      </w:r>
    </w:p>
    <w:p w14:paraId="04D2B946"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The very strong negative correlation between pH and OC (r = –0.97**, p &lt; 0.01) is a notable finding, indicating consistent acidification with increasing OM, particularly from materials rich in C:N ratios and lignin, such as maize and rice straw (Marschner &amp; Noble, 2000). This phenomenon is attributed to the release of organic acids, nitrification of ammonium (NH</w:t>
      </w:r>
      <w:r w:rsidRPr="00A64064">
        <w:rPr>
          <w:rFonts w:ascii="Cambria Math" w:hAnsi="Cambria Math" w:cs="Cambria Math"/>
        </w:rPr>
        <w:t>₄⁺</w:t>
      </w:r>
      <w:r w:rsidRPr="00A64064">
        <w:rPr>
          <w:rFonts w:ascii="Arial" w:hAnsi="Arial" w:cs="Arial"/>
        </w:rPr>
        <w:t>), and CO</w:t>
      </w:r>
      <w:r w:rsidRPr="00A64064">
        <w:rPr>
          <w:rFonts w:ascii="Cambria Math" w:hAnsi="Cambria Math" w:cs="Cambria Math"/>
        </w:rPr>
        <w:t>₂</w:t>
      </w:r>
      <w:r w:rsidRPr="00A64064">
        <w:rPr>
          <w:rFonts w:ascii="Arial" w:hAnsi="Arial" w:cs="Arial"/>
        </w:rPr>
        <w:t xml:space="preserve"> dissolution (Bolan et al., 2003). Moderate negative correlations with available K (r = –0.67*, p &lt; 0.05) and CEC (r = –0.66*, p &lt; 0.05) reflect proton competition for exchange sites under acidic conditions; nevertheless, net CEC increases due to the negative charges derived from OM (Havlin et al., 201</w:t>
      </w:r>
      <w:r>
        <w:rPr>
          <w:rFonts w:ascii="Arial" w:hAnsi="Arial" w:cs="Arial"/>
        </w:rPr>
        <w:t>6</w:t>
      </w:r>
      <w:r w:rsidRPr="00A64064">
        <w:rPr>
          <w:rFonts w:ascii="Arial" w:hAnsi="Arial" w:cs="Arial"/>
        </w:rPr>
        <w:t>).</w:t>
      </w:r>
    </w:p>
    <w:p w14:paraId="231A5EB7" w14:textId="2388E2E1" w:rsidR="00AF7BE9" w:rsidRPr="00A64064" w:rsidRDefault="00AF7BE9" w:rsidP="00AF7BE9">
      <w:pPr>
        <w:spacing w:before="100" w:after="100"/>
        <w:ind w:firstLine="720"/>
        <w:jc w:val="both"/>
        <w:rPr>
          <w:rFonts w:ascii="Arial" w:hAnsi="Arial" w:cs="Arial"/>
        </w:rPr>
      </w:pPr>
      <w:r w:rsidRPr="00A64064">
        <w:rPr>
          <w:rFonts w:ascii="Arial" w:hAnsi="Arial" w:cs="Arial"/>
        </w:rPr>
        <w:t>OC was strongly and positively correlated with WHC (r = 0.95**, p &lt; 0.01), available K (r = 0.76*, p &lt; 0.05), and CEC (r = 0.74*, p &lt; 0.05), highlighting its role in enhancing both physical and chemical soil fertility (</w:t>
      </w:r>
      <w:r w:rsidRPr="00520016">
        <w:rPr>
          <w:rFonts w:ascii="Arial" w:hAnsi="Arial" w:cs="Arial"/>
        </w:rPr>
        <w:t>Gurmu</w:t>
      </w:r>
      <w:r w:rsidRPr="00A64064">
        <w:rPr>
          <w:rFonts w:ascii="Arial" w:hAnsi="Arial" w:cs="Arial"/>
        </w:rPr>
        <w:t>, 20</w:t>
      </w:r>
      <w:r>
        <w:rPr>
          <w:rFonts w:ascii="Arial" w:hAnsi="Arial" w:cs="Arial"/>
        </w:rPr>
        <w:t>19</w:t>
      </w:r>
      <w:r w:rsidRPr="00A64064">
        <w:rPr>
          <w:rFonts w:ascii="Arial" w:hAnsi="Arial" w:cs="Arial"/>
        </w:rPr>
        <w:t xml:space="preserve">). The moderate correlation with total nitrogen (r = 0.56, p &gt; 0.05) reflects variable nitrogen dynamics depending on the C:N ratio of </w:t>
      </w:r>
      <w:r w:rsidR="00B50E9B">
        <w:rPr>
          <w:rFonts w:ascii="Arial" w:hAnsi="Arial" w:cs="Arial"/>
        </w:rPr>
        <w:t>materials</w:t>
      </w:r>
      <w:r w:rsidRPr="00A64064">
        <w:rPr>
          <w:rFonts w:ascii="Arial" w:hAnsi="Arial" w:cs="Arial"/>
        </w:rPr>
        <w:t xml:space="preserve"> (Havlin et al., 201</w:t>
      </w:r>
      <w:r>
        <w:rPr>
          <w:rFonts w:ascii="Arial" w:hAnsi="Arial" w:cs="Arial"/>
        </w:rPr>
        <w:t>6</w:t>
      </w:r>
      <w:r w:rsidRPr="00A64064">
        <w:rPr>
          <w:rFonts w:ascii="Arial" w:hAnsi="Arial" w:cs="Arial"/>
        </w:rPr>
        <w:t xml:space="preserve">), while the weak relationship with available </w:t>
      </w:r>
      <w:r>
        <w:rPr>
          <w:rFonts w:ascii="Arial" w:hAnsi="Arial" w:cs="Arial"/>
        </w:rPr>
        <w:t>P</w:t>
      </w:r>
      <w:r w:rsidRPr="00A64064">
        <w:rPr>
          <w:rFonts w:ascii="Arial" w:hAnsi="Arial" w:cs="Arial"/>
        </w:rPr>
        <w:t xml:space="preserve"> (r = 0.45, p &gt; 0.05) suggests that </w:t>
      </w:r>
      <w:r>
        <w:rPr>
          <w:rFonts w:ascii="Arial" w:hAnsi="Arial" w:cs="Arial"/>
        </w:rPr>
        <w:t>P</w:t>
      </w:r>
      <w:r w:rsidRPr="00A64064">
        <w:rPr>
          <w:rFonts w:ascii="Arial" w:hAnsi="Arial" w:cs="Arial"/>
        </w:rPr>
        <w:t xml:space="preserve"> availability is influenced more by mineralization and solubilization than by OC alone (</w:t>
      </w:r>
      <w:r w:rsidRPr="00520016">
        <w:rPr>
          <w:rFonts w:ascii="Arial" w:hAnsi="Arial" w:cs="Arial"/>
        </w:rPr>
        <w:t>Sumner,</w:t>
      </w:r>
      <w:r>
        <w:rPr>
          <w:rFonts w:ascii="Arial" w:hAnsi="Arial" w:cs="Arial"/>
        </w:rPr>
        <w:t xml:space="preserve"> 1999</w:t>
      </w:r>
      <w:r w:rsidRPr="00A64064">
        <w:rPr>
          <w:rFonts w:ascii="Arial" w:hAnsi="Arial" w:cs="Arial"/>
        </w:rPr>
        <w:t>).</w:t>
      </w:r>
    </w:p>
    <w:p w14:paraId="45B0535E" w14:textId="73F90BB3"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TN exhibited a highly significant positive correlation with CEC (r = 0.84**, p &lt; 0.01), indicating that </w:t>
      </w:r>
      <w:r>
        <w:rPr>
          <w:rFonts w:ascii="Arial" w:hAnsi="Arial" w:cs="Arial"/>
        </w:rPr>
        <w:t>N</w:t>
      </w:r>
      <w:r w:rsidRPr="00A64064">
        <w:rPr>
          <w:rFonts w:ascii="Arial" w:hAnsi="Arial" w:cs="Arial"/>
        </w:rPr>
        <w:t xml:space="preserve">-rich </w:t>
      </w:r>
      <w:r w:rsidR="00B50E9B">
        <w:rPr>
          <w:rFonts w:ascii="Arial" w:hAnsi="Arial" w:cs="Arial"/>
        </w:rPr>
        <w:t>materials</w:t>
      </w:r>
      <w:r w:rsidRPr="00A64064">
        <w:rPr>
          <w:rFonts w:ascii="Arial" w:hAnsi="Arial" w:cs="Arial"/>
        </w:rPr>
        <w:t>, such as manures, enhance cation retention through microbial biomass and humification (Stevenson, 1994). Correlations with available P (r = 0.63, p &gt; 0.05) and K (r = 0.66, p &gt; 0.05) were positive but non-significant, possibly due to differing release kinetics (Havlin et al., 201</w:t>
      </w:r>
      <w:r>
        <w:rPr>
          <w:rFonts w:ascii="Arial" w:hAnsi="Arial" w:cs="Arial"/>
        </w:rPr>
        <w:t>6</w:t>
      </w:r>
      <w:r w:rsidRPr="00A64064">
        <w:rPr>
          <w:rFonts w:ascii="Arial" w:hAnsi="Arial" w:cs="Arial"/>
        </w:rPr>
        <w:t>).</w:t>
      </w:r>
    </w:p>
    <w:p w14:paraId="187B2287"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Available P displayed a very strong positive correlation with CEC (r = 0.89**, p &lt; 0.01) and strong correlations with available K (r = 0.71*, p &lt; 0.05) and TN (r = 0.63, p &gt; 0.05), suggesting synchronized nutrient release from decomposing OM (</w:t>
      </w:r>
      <w:r w:rsidRPr="00520016">
        <w:rPr>
          <w:rFonts w:ascii="Arial" w:hAnsi="Arial" w:cs="Arial"/>
        </w:rPr>
        <w:t>Sumner, 1999</w:t>
      </w:r>
      <w:r w:rsidRPr="00A64064">
        <w:rPr>
          <w:rFonts w:ascii="Arial" w:hAnsi="Arial" w:cs="Arial"/>
        </w:rPr>
        <w:t>). The strong correlation between CEC and P implies that OM enhances P retention by reducing fixation through organo-mineral interactions (Guppy et al., 2005).</w:t>
      </w:r>
    </w:p>
    <w:p w14:paraId="46E865AA"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Available K showed strong positive correlations with OC (r = 0.76*, p &lt; 0.05), CEC (r = 0.88**, p &lt; 0.01), and available P (r = 0.71*, p &lt; 0.05), indicating its release from OM and retention on exchange sites (Havlin et al., 201</w:t>
      </w:r>
      <w:r>
        <w:rPr>
          <w:rFonts w:ascii="Arial" w:hAnsi="Arial" w:cs="Arial"/>
        </w:rPr>
        <w:t>6</w:t>
      </w:r>
      <w:r w:rsidRPr="00A64064">
        <w:rPr>
          <w:rFonts w:ascii="Arial" w:hAnsi="Arial" w:cs="Arial"/>
        </w:rPr>
        <w:t>). The correlation with WHC (r = 0.65, p &gt; 0.05) suggests reduced leaching in soils with improved water retention (Rawls et al., 2003).</w:t>
      </w:r>
    </w:p>
    <w:p w14:paraId="5C9115AE" w14:textId="77777777" w:rsidR="00AF7BE9" w:rsidRDefault="00AF7BE9" w:rsidP="00AF7BE9">
      <w:pPr>
        <w:spacing w:before="100" w:after="100"/>
        <w:ind w:firstLine="720"/>
        <w:rPr>
          <w:rFonts w:ascii="Arial" w:hAnsi="Arial" w:cs="Arial"/>
        </w:rPr>
      </w:pPr>
      <w:r w:rsidRPr="00A64064">
        <w:rPr>
          <w:rFonts w:ascii="Arial" w:hAnsi="Arial" w:cs="Arial"/>
        </w:rPr>
        <w:t>CEC exhibited very strong positive correlations with TN (r = 0.84**, p &lt; 0.01), available P (r = 0.89**, p &lt; 0.01), and available K (r = 0.88**, p &lt; 0.01), emphasizing its role as an integrative indicator of soil fertility (Havlin et al., 201</w:t>
      </w:r>
      <w:r>
        <w:rPr>
          <w:rFonts w:ascii="Arial" w:hAnsi="Arial" w:cs="Arial"/>
        </w:rPr>
        <w:t>6</w:t>
      </w:r>
      <w:r w:rsidRPr="00A64064">
        <w:rPr>
          <w:rFonts w:ascii="Arial" w:hAnsi="Arial" w:cs="Arial"/>
        </w:rPr>
        <w:t>). These relationships are driven by the formation of negatively charged humic substances from OM decomposition, which increase cation retention capacity, particularly in low-clay loamy sand soils (Stevenson, 1994).</w:t>
      </w:r>
    </w:p>
    <w:p w14:paraId="448B502F" w14:textId="6D7095A4" w:rsidR="00862F28" w:rsidRDefault="00862F28" w:rsidP="00862F28">
      <w:pPr>
        <w:spacing w:before="240" w:after="240"/>
        <w:ind w:left="900" w:hanging="900"/>
        <w:rPr>
          <w:rFonts w:ascii="Arial" w:hAnsi="Arial" w:cs="Arial"/>
        </w:rPr>
      </w:pPr>
      <w:r w:rsidRPr="006557F6">
        <w:rPr>
          <w:rFonts w:ascii="Arial" w:hAnsi="Arial" w:cs="Arial"/>
          <w:b/>
          <w:bCs/>
        </w:rPr>
        <w:t>Table 3. Physicochemical properties of experimental soil after 120 days of incubation.</w:t>
      </w:r>
    </w:p>
    <w:tbl>
      <w:tblPr>
        <w:tblW w:w="5000" w:type="pct"/>
        <w:tblLook w:val="04A0" w:firstRow="1" w:lastRow="0" w:firstColumn="1" w:lastColumn="0" w:noHBand="0" w:noVBand="1"/>
      </w:tblPr>
      <w:tblGrid>
        <w:gridCol w:w="2447"/>
        <w:gridCol w:w="1145"/>
        <w:gridCol w:w="1020"/>
        <w:gridCol w:w="1245"/>
        <w:gridCol w:w="620"/>
        <w:gridCol w:w="1567"/>
        <w:gridCol w:w="866"/>
        <w:gridCol w:w="1459"/>
        <w:gridCol w:w="620"/>
        <w:gridCol w:w="1456"/>
        <w:gridCol w:w="620"/>
        <w:gridCol w:w="1356"/>
        <w:gridCol w:w="617"/>
      </w:tblGrid>
      <w:tr w:rsidR="00862F28" w:rsidRPr="006557F6" w14:paraId="273024C9" w14:textId="77777777" w:rsidTr="00730A59">
        <w:trPr>
          <w:trHeight w:val="288"/>
        </w:trPr>
        <w:tc>
          <w:tcPr>
            <w:tcW w:w="814" w:type="pct"/>
            <w:tcBorders>
              <w:top w:val="single" w:sz="4" w:space="0" w:color="auto"/>
              <w:left w:val="nil"/>
              <w:bottom w:val="single" w:sz="4" w:space="0" w:color="auto"/>
              <w:right w:val="nil"/>
            </w:tcBorders>
            <w:noWrap/>
            <w:vAlign w:val="center"/>
            <w:hideMark/>
          </w:tcPr>
          <w:p w14:paraId="03DDB5CF" w14:textId="77777777" w:rsidR="00862F28" w:rsidRPr="006557F6" w:rsidRDefault="00862F28" w:rsidP="00830578">
            <w:pPr>
              <w:spacing w:before="60" w:after="60"/>
              <w:rPr>
                <w:rFonts w:ascii="Arial" w:hAnsi="Arial" w:cs="Arial"/>
                <w:b/>
                <w:bCs/>
                <w:color w:val="000000"/>
              </w:rPr>
            </w:pPr>
            <w:r w:rsidRPr="006557F6">
              <w:rPr>
                <w:rFonts w:ascii="Arial" w:hAnsi="Arial" w:cs="Arial"/>
                <w:b/>
                <w:bCs/>
                <w:color w:val="000000"/>
              </w:rPr>
              <w:lastRenderedPageBreak/>
              <w:t>Treatments</w:t>
            </w:r>
          </w:p>
        </w:tc>
        <w:tc>
          <w:tcPr>
            <w:tcW w:w="720" w:type="pct"/>
            <w:gridSpan w:val="2"/>
            <w:tcBorders>
              <w:top w:val="single" w:sz="4" w:space="0" w:color="auto"/>
              <w:left w:val="nil"/>
              <w:bottom w:val="single" w:sz="4" w:space="0" w:color="auto"/>
              <w:right w:val="nil"/>
            </w:tcBorders>
            <w:noWrap/>
            <w:vAlign w:val="center"/>
            <w:hideMark/>
          </w:tcPr>
          <w:p w14:paraId="0FF1EEB6" w14:textId="77777777" w:rsidR="00862F28" w:rsidRPr="006557F6" w:rsidRDefault="00862F28" w:rsidP="00830578">
            <w:pPr>
              <w:spacing w:before="60" w:after="60"/>
              <w:jc w:val="center"/>
              <w:rPr>
                <w:rFonts w:ascii="Arial" w:hAnsi="Arial" w:cs="Arial"/>
                <w:b/>
                <w:bCs/>
                <w:color w:val="000000"/>
              </w:rPr>
            </w:pPr>
            <w:r w:rsidRPr="006557F6">
              <w:rPr>
                <w:rFonts w:ascii="Arial" w:hAnsi="Arial" w:cs="Arial"/>
                <w:b/>
                <w:bCs/>
                <w:color w:val="000000"/>
              </w:rPr>
              <w:t>pH</w:t>
            </w:r>
          </w:p>
        </w:tc>
        <w:tc>
          <w:tcPr>
            <w:tcW w:w="620" w:type="pct"/>
            <w:gridSpan w:val="2"/>
            <w:tcBorders>
              <w:top w:val="single" w:sz="4" w:space="0" w:color="auto"/>
              <w:left w:val="nil"/>
              <w:bottom w:val="single" w:sz="4" w:space="0" w:color="auto"/>
              <w:right w:val="nil"/>
            </w:tcBorders>
            <w:vAlign w:val="center"/>
            <w:hideMark/>
          </w:tcPr>
          <w:p w14:paraId="4F5F6DF2" w14:textId="77777777" w:rsidR="00862F28" w:rsidRPr="006557F6" w:rsidRDefault="00862F28" w:rsidP="00830578">
            <w:pPr>
              <w:spacing w:before="60" w:after="60"/>
              <w:jc w:val="center"/>
              <w:rPr>
                <w:rFonts w:ascii="Arial" w:hAnsi="Arial" w:cs="Arial"/>
                <w:b/>
                <w:bCs/>
                <w:color w:val="000000"/>
              </w:rPr>
            </w:pPr>
            <w:r w:rsidRPr="006557F6">
              <w:rPr>
                <w:rFonts w:ascii="Arial" w:hAnsi="Arial" w:cs="Arial"/>
                <w:b/>
                <w:bCs/>
                <w:color w:val="000000"/>
              </w:rPr>
              <w:t>Organic carbon (%)</w:t>
            </w:r>
          </w:p>
        </w:tc>
        <w:tc>
          <w:tcPr>
            <w:tcW w:w="809" w:type="pct"/>
            <w:gridSpan w:val="2"/>
            <w:tcBorders>
              <w:top w:val="single" w:sz="4" w:space="0" w:color="auto"/>
              <w:left w:val="nil"/>
              <w:bottom w:val="single" w:sz="4" w:space="0" w:color="auto"/>
              <w:right w:val="nil"/>
            </w:tcBorders>
            <w:noWrap/>
            <w:vAlign w:val="center"/>
            <w:hideMark/>
          </w:tcPr>
          <w:p w14:paraId="1B09AEBD" w14:textId="77777777" w:rsidR="00862F28" w:rsidRPr="006557F6" w:rsidRDefault="00862F28" w:rsidP="00830578">
            <w:pPr>
              <w:spacing w:before="60" w:after="60"/>
              <w:jc w:val="center"/>
              <w:rPr>
                <w:rFonts w:ascii="Arial" w:hAnsi="Arial" w:cs="Arial"/>
                <w:b/>
                <w:bCs/>
                <w:color w:val="000000"/>
              </w:rPr>
            </w:pPr>
            <w:r w:rsidRPr="006557F6">
              <w:rPr>
                <w:rFonts w:ascii="Arial" w:hAnsi="Arial" w:cs="Arial"/>
                <w:b/>
                <w:bCs/>
                <w:color w:val="000000"/>
              </w:rPr>
              <w:t>Total N (%)</w:t>
            </w:r>
          </w:p>
        </w:tc>
        <w:tc>
          <w:tcPr>
            <w:tcW w:w="691" w:type="pct"/>
            <w:gridSpan w:val="2"/>
            <w:tcBorders>
              <w:top w:val="single" w:sz="4" w:space="0" w:color="auto"/>
              <w:left w:val="nil"/>
              <w:bottom w:val="single" w:sz="4" w:space="0" w:color="auto"/>
              <w:right w:val="nil"/>
            </w:tcBorders>
            <w:vAlign w:val="center"/>
            <w:hideMark/>
          </w:tcPr>
          <w:p w14:paraId="5D81499F" w14:textId="77777777" w:rsidR="00862F28" w:rsidRPr="006557F6" w:rsidRDefault="00862F28" w:rsidP="00830578">
            <w:pPr>
              <w:spacing w:before="60" w:after="60"/>
              <w:jc w:val="center"/>
              <w:rPr>
                <w:rFonts w:ascii="Arial" w:hAnsi="Arial" w:cs="Arial"/>
                <w:b/>
                <w:bCs/>
                <w:color w:val="000000"/>
              </w:rPr>
            </w:pPr>
            <w:r w:rsidRPr="006557F6">
              <w:rPr>
                <w:rFonts w:ascii="Arial" w:hAnsi="Arial" w:cs="Arial"/>
                <w:b/>
                <w:bCs/>
                <w:color w:val="000000"/>
              </w:rPr>
              <w:t>Available P  ( mg kg</w:t>
            </w:r>
            <w:r w:rsidRPr="006557F6">
              <w:rPr>
                <w:rFonts w:ascii="Arial" w:hAnsi="Arial" w:cs="Arial"/>
                <w:b/>
                <w:bCs/>
                <w:color w:val="000000"/>
                <w:vertAlign w:val="superscript"/>
              </w:rPr>
              <w:t>-1</w:t>
            </w:r>
            <w:r w:rsidRPr="006557F6">
              <w:rPr>
                <w:rFonts w:ascii="Arial" w:hAnsi="Arial" w:cs="Arial"/>
                <w:b/>
                <w:bCs/>
                <w:color w:val="000000"/>
              </w:rPr>
              <w:t xml:space="preserve"> )</w:t>
            </w:r>
          </w:p>
        </w:tc>
        <w:tc>
          <w:tcPr>
            <w:tcW w:w="690" w:type="pct"/>
            <w:gridSpan w:val="2"/>
            <w:tcBorders>
              <w:top w:val="single" w:sz="4" w:space="0" w:color="auto"/>
              <w:left w:val="nil"/>
              <w:bottom w:val="single" w:sz="4" w:space="0" w:color="auto"/>
              <w:right w:val="nil"/>
            </w:tcBorders>
            <w:vAlign w:val="center"/>
            <w:hideMark/>
          </w:tcPr>
          <w:p w14:paraId="43F2451C" w14:textId="77777777" w:rsidR="00862F28" w:rsidRPr="006557F6" w:rsidRDefault="00862F28" w:rsidP="00830578">
            <w:pPr>
              <w:spacing w:before="60" w:after="60"/>
              <w:jc w:val="center"/>
              <w:rPr>
                <w:rFonts w:ascii="Arial" w:hAnsi="Arial" w:cs="Arial"/>
                <w:b/>
                <w:bCs/>
                <w:color w:val="000000"/>
              </w:rPr>
            </w:pPr>
            <w:r w:rsidRPr="006557F6">
              <w:rPr>
                <w:rFonts w:ascii="Arial" w:hAnsi="Arial" w:cs="Arial"/>
                <w:b/>
                <w:bCs/>
                <w:color w:val="000000"/>
              </w:rPr>
              <w:t>Available K  ( mg kg</w:t>
            </w:r>
            <w:r w:rsidRPr="006557F6">
              <w:rPr>
                <w:rFonts w:ascii="Arial" w:hAnsi="Arial" w:cs="Arial"/>
                <w:b/>
                <w:bCs/>
                <w:color w:val="000000"/>
                <w:vertAlign w:val="superscript"/>
              </w:rPr>
              <w:t>-1</w:t>
            </w:r>
            <w:r w:rsidRPr="006557F6">
              <w:rPr>
                <w:rFonts w:ascii="Arial" w:hAnsi="Arial" w:cs="Arial"/>
                <w:b/>
                <w:bCs/>
                <w:color w:val="000000"/>
              </w:rPr>
              <w:t xml:space="preserve"> )</w:t>
            </w:r>
          </w:p>
        </w:tc>
        <w:tc>
          <w:tcPr>
            <w:tcW w:w="657" w:type="pct"/>
            <w:gridSpan w:val="2"/>
            <w:tcBorders>
              <w:top w:val="single" w:sz="4" w:space="0" w:color="auto"/>
              <w:left w:val="nil"/>
              <w:bottom w:val="single" w:sz="4" w:space="0" w:color="auto"/>
              <w:right w:val="nil"/>
            </w:tcBorders>
            <w:vAlign w:val="center"/>
            <w:hideMark/>
          </w:tcPr>
          <w:p w14:paraId="40520FAD" w14:textId="77777777" w:rsidR="00862F28" w:rsidRPr="006557F6" w:rsidRDefault="00862F28" w:rsidP="00830578">
            <w:pPr>
              <w:spacing w:before="60" w:after="60"/>
              <w:jc w:val="center"/>
              <w:rPr>
                <w:rFonts w:ascii="Arial" w:hAnsi="Arial" w:cs="Arial"/>
                <w:b/>
                <w:bCs/>
                <w:color w:val="000000"/>
              </w:rPr>
            </w:pPr>
            <w:r w:rsidRPr="006557F6">
              <w:rPr>
                <w:rFonts w:ascii="Arial" w:hAnsi="Arial" w:cs="Arial"/>
                <w:b/>
                <w:bCs/>
                <w:color w:val="000000"/>
              </w:rPr>
              <w:t>CEC      (cmolc kg</w:t>
            </w:r>
            <w:r w:rsidRPr="006557F6">
              <w:rPr>
                <w:rFonts w:ascii="Arial" w:hAnsi="Arial" w:cs="Arial"/>
                <w:b/>
                <w:bCs/>
                <w:color w:val="000000"/>
                <w:vertAlign w:val="superscript"/>
              </w:rPr>
              <w:t>-1</w:t>
            </w:r>
            <w:r w:rsidRPr="006557F6">
              <w:rPr>
                <w:rFonts w:ascii="Arial" w:hAnsi="Arial" w:cs="Arial"/>
                <w:b/>
                <w:bCs/>
                <w:color w:val="000000"/>
              </w:rPr>
              <w:t>)</w:t>
            </w:r>
          </w:p>
        </w:tc>
      </w:tr>
      <w:tr w:rsidR="00862F28" w:rsidRPr="006557F6" w14:paraId="17525619" w14:textId="77777777" w:rsidTr="00730A59">
        <w:trPr>
          <w:trHeight w:val="288"/>
        </w:trPr>
        <w:tc>
          <w:tcPr>
            <w:tcW w:w="814" w:type="pct"/>
            <w:tcBorders>
              <w:top w:val="nil"/>
              <w:left w:val="nil"/>
              <w:bottom w:val="nil"/>
              <w:right w:val="nil"/>
            </w:tcBorders>
            <w:noWrap/>
            <w:vAlign w:val="center"/>
            <w:hideMark/>
          </w:tcPr>
          <w:p w14:paraId="7CFFEAB0"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T1</w:t>
            </w:r>
          </w:p>
        </w:tc>
        <w:tc>
          <w:tcPr>
            <w:tcW w:w="381" w:type="pct"/>
            <w:tcBorders>
              <w:top w:val="nil"/>
              <w:left w:val="nil"/>
              <w:bottom w:val="nil"/>
              <w:right w:val="nil"/>
            </w:tcBorders>
            <w:noWrap/>
            <w:vAlign w:val="center"/>
            <w:hideMark/>
          </w:tcPr>
          <w:p w14:paraId="4B8D8BD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5.37</w:t>
            </w:r>
          </w:p>
        </w:tc>
        <w:tc>
          <w:tcPr>
            <w:tcW w:w="339" w:type="pct"/>
            <w:tcBorders>
              <w:top w:val="nil"/>
              <w:left w:val="nil"/>
              <w:bottom w:val="nil"/>
              <w:right w:val="nil"/>
            </w:tcBorders>
            <w:noWrap/>
            <w:vAlign w:val="center"/>
            <w:hideMark/>
          </w:tcPr>
          <w:p w14:paraId="103A2533"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a</w:t>
            </w:r>
          </w:p>
        </w:tc>
        <w:tc>
          <w:tcPr>
            <w:tcW w:w="414" w:type="pct"/>
            <w:tcBorders>
              <w:top w:val="nil"/>
              <w:left w:val="nil"/>
              <w:bottom w:val="nil"/>
              <w:right w:val="nil"/>
            </w:tcBorders>
            <w:noWrap/>
            <w:vAlign w:val="center"/>
            <w:hideMark/>
          </w:tcPr>
          <w:p w14:paraId="21B1DF8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1.18</w:t>
            </w:r>
          </w:p>
        </w:tc>
        <w:tc>
          <w:tcPr>
            <w:tcW w:w="206" w:type="pct"/>
            <w:tcBorders>
              <w:top w:val="nil"/>
              <w:left w:val="nil"/>
              <w:bottom w:val="nil"/>
              <w:right w:val="nil"/>
            </w:tcBorders>
            <w:noWrap/>
            <w:vAlign w:val="center"/>
            <w:hideMark/>
          </w:tcPr>
          <w:p w14:paraId="3FDA361C" w14:textId="07C077BE" w:rsidR="00862F28" w:rsidRPr="006557F6" w:rsidRDefault="00B91E5A" w:rsidP="00830578">
            <w:pPr>
              <w:spacing w:before="60" w:after="60"/>
              <w:rPr>
                <w:rFonts w:ascii="Arial" w:hAnsi="Arial" w:cs="Arial"/>
                <w:color w:val="000000"/>
              </w:rPr>
            </w:pPr>
            <w:r w:rsidRPr="006557F6">
              <w:rPr>
                <w:rFonts w:ascii="Arial" w:hAnsi="Arial" w:cs="Arial"/>
                <w:color w:val="000000"/>
              </w:rPr>
              <w:t>I</w:t>
            </w:r>
          </w:p>
        </w:tc>
        <w:tc>
          <w:tcPr>
            <w:tcW w:w="521" w:type="pct"/>
            <w:tcBorders>
              <w:top w:val="nil"/>
              <w:left w:val="nil"/>
              <w:bottom w:val="nil"/>
              <w:right w:val="nil"/>
            </w:tcBorders>
            <w:noWrap/>
            <w:vAlign w:val="center"/>
          </w:tcPr>
          <w:p w14:paraId="315A9CC0"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617.75</w:t>
            </w:r>
          </w:p>
        </w:tc>
        <w:tc>
          <w:tcPr>
            <w:tcW w:w="288" w:type="pct"/>
            <w:tcBorders>
              <w:top w:val="nil"/>
              <w:left w:val="nil"/>
              <w:bottom w:val="nil"/>
              <w:right w:val="nil"/>
            </w:tcBorders>
            <w:noWrap/>
            <w:vAlign w:val="center"/>
          </w:tcPr>
          <w:p w14:paraId="7C3C3DA6" w14:textId="236F47D5" w:rsidR="00862F28" w:rsidRPr="006557F6" w:rsidRDefault="00830578" w:rsidP="00830578">
            <w:pPr>
              <w:spacing w:before="60" w:after="60"/>
              <w:rPr>
                <w:rFonts w:ascii="Arial" w:hAnsi="Arial" w:cs="Arial"/>
                <w:color w:val="000000"/>
              </w:rPr>
            </w:pPr>
            <w:r w:rsidRPr="006557F6">
              <w:rPr>
                <w:rFonts w:ascii="Arial" w:hAnsi="Arial" w:cs="Arial"/>
                <w:color w:val="000000"/>
              </w:rPr>
              <w:t>G</w:t>
            </w:r>
          </w:p>
        </w:tc>
        <w:tc>
          <w:tcPr>
            <w:tcW w:w="485" w:type="pct"/>
            <w:tcBorders>
              <w:top w:val="nil"/>
              <w:left w:val="nil"/>
              <w:bottom w:val="nil"/>
              <w:right w:val="nil"/>
            </w:tcBorders>
            <w:noWrap/>
            <w:vAlign w:val="center"/>
            <w:hideMark/>
          </w:tcPr>
          <w:p w14:paraId="2E16099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21.67</w:t>
            </w:r>
          </w:p>
        </w:tc>
        <w:tc>
          <w:tcPr>
            <w:tcW w:w="206" w:type="pct"/>
            <w:tcBorders>
              <w:top w:val="nil"/>
              <w:left w:val="nil"/>
              <w:bottom w:val="nil"/>
              <w:right w:val="nil"/>
            </w:tcBorders>
            <w:noWrap/>
            <w:vAlign w:val="center"/>
            <w:hideMark/>
          </w:tcPr>
          <w:p w14:paraId="1E7A71C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i</w:t>
            </w:r>
          </w:p>
        </w:tc>
        <w:tc>
          <w:tcPr>
            <w:tcW w:w="484" w:type="pct"/>
            <w:tcBorders>
              <w:top w:val="nil"/>
              <w:left w:val="nil"/>
              <w:bottom w:val="nil"/>
              <w:right w:val="nil"/>
            </w:tcBorders>
            <w:noWrap/>
            <w:vAlign w:val="center"/>
            <w:hideMark/>
          </w:tcPr>
          <w:p w14:paraId="5A6B67D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77.43</w:t>
            </w:r>
          </w:p>
        </w:tc>
        <w:tc>
          <w:tcPr>
            <w:tcW w:w="206" w:type="pct"/>
            <w:tcBorders>
              <w:top w:val="nil"/>
              <w:left w:val="nil"/>
              <w:bottom w:val="nil"/>
              <w:right w:val="nil"/>
            </w:tcBorders>
            <w:noWrap/>
            <w:vAlign w:val="center"/>
            <w:hideMark/>
          </w:tcPr>
          <w:p w14:paraId="657B4B57"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i</w:t>
            </w:r>
          </w:p>
        </w:tc>
        <w:tc>
          <w:tcPr>
            <w:tcW w:w="451" w:type="pct"/>
            <w:tcBorders>
              <w:top w:val="nil"/>
              <w:left w:val="nil"/>
              <w:bottom w:val="nil"/>
              <w:right w:val="nil"/>
            </w:tcBorders>
            <w:noWrap/>
            <w:vAlign w:val="center"/>
            <w:hideMark/>
          </w:tcPr>
          <w:p w14:paraId="46063733"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13.26</w:t>
            </w:r>
          </w:p>
        </w:tc>
        <w:tc>
          <w:tcPr>
            <w:tcW w:w="206" w:type="pct"/>
            <w:tcBorders>
              <w:top w:val="nil"/>
              <w:left w:val="nil"/>
              <w:bottom w:val="nil"/>
              <w:right w:val="nil"/>
            </w:tcBorders>
            <w:noWrap/>
            <w:vAlign w:val="center"/>
            <w:hideMark/>
          </w:tcPr>
          <w:p w14:paraId="77807D42"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i</w:t>
            </w:r>
          </w:p>
        </w:tc>
      </w:tr>
      <w:tr w:rsidR="00862F28" w:rsidRPr="006557F6" w14:paraId="535F4355" w14:textId="77777777" w:rsidTr="00730A59">
        <w:trPr>
          <w:trHeight w:val="288"/>
        </w:trPr>
        <w:tc>
          <w:tcPr>
            <w:tcW w:w="814" w:type="pct"/>
            <w:tcBorders>
              <w:top w:val="nil"/>
              <w:left w:val="nil"/>
              <w:bottom w:val="nil"/>
              <w:right w:val="nil"/>
            </w:tcBorders>
            <w:noWrap/>
            <w:vAlign w:val="center"/>
            <w:hideMark/>
          </w:tcPr>
          <w:p w14:paraId="4CBDC02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T2</w:t>
            </w:r>
          </w:p>
        </w:tc>
        <w:tc>
          <w:tcPr>
            <w:tcW w:w="381" w:type="pct"/>
            <w:tcBorders>
              <w:top w:val="nil"/>
              <w:left w:val="nil"/>
              <w:bottom w:val="nil"/>
              <w:right w:val="nil"/>
            </w:tcBorders>
            <w:noWrap/>
            <w:vAlign w:val="center"/>
            <w:hideMark/>
          </w:tcPr>
          <w:p w14:paraId="59E9CA0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4.92</w:t>
            </w:r>
          </w:p>
        </w:tc>
        <w:tc>
          <w:tcPr>
            <w:tcW w:w="339" w:type="pct"/>
            <w:tcBorders>
              <w:top w:val="nil"/>
              <w:left w:val="nil"/>
              <w:bottom w:val="nil"/>
              <w:right w:val="nil"/>
            </w:tcBorders>
            <w:noWrap/>
            <w:vAlign w:val="center"/>
            <w:hideMark/>
          </w:tcPr>
          <w:p w14:paraId="78F7763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b</w:t>
            </w:r>
          </w:p>
        </w:tc>
        <w:tc>
          <w:tcPr>
            <w:tcW w:w="414" w:type="pct"/>
            <w:tcBorders>
              <w:top w:val="nil"/>
              <w:left w:val="nil"/>
              <w:bottom w:val="nil"/>
              <w:right w:val="nil"/>
            </w:tcBorders>
            <w:noWrap/>
            <w:vAlign w:val="center"/>
            <w:hideMark/>
          </w:tcPr>
          <w:p w14:paraId="487EB40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1.64</w:t>
            </w:r>
          </w:p>
        </w:tc>
        <w:tc>
          <w:tcPr>
            <w:tcW w:w="206" w:type="pct"/>
            <w:tcBorders>
              <w:top w:val="nil"/>
              <w:left w:val="nil"/>
              <w:bottom w:val="nil"/>
              <w:right w:val="nil"/>
            </w:tcBorders>
            <w:noWrap/>
            <w:vAlign w:val="center"/>
            <w:hideMark/>
          </w:tcPr>
          <w:p w14:paraId="3FCD7C96" w14:textId="0E3078AE" w:rsidR="00862F28" w:rsidRPr="006557F6" w:rsidRDefault="00B91E5A" w:rsidP="00830578">
            <w:pPr>
              <w:spacing w:before="60" w:after="60"/>
              <w:rPr>
                <w:rFonts w:ascii="Arial" w:hAnsi="Arial" w:cs="Arial"/>
                <w:color w:val="000000"/>
              </w:rPr>
            </w:pPr>
            <w:r w:rsidRPr="006557F6">
              <w:rPr>
                <w:rFonts w:ascii="Arial" w:hAnsi="Arial" w:cs="Arial"/>
                <w:color w:val="000000"/>
              </w:rPr>
              <w:t>G</w:t>
            </w:r>
          </w:p>
        </w:tc>
        <w:tc>
          <w:tcPr>
            <w:tcW w:w="521" w:type="pct"/>
            <w:tcBorders>
              <w:top w:val="nil"/>
              <w:left w:val="nil"/>
              <w:bottom w:val="nil"/>
              <w:right w:val="nil"/>
            </w:tcBorders>
            <w:noWrap/>
            <w:vAlign w:val="center"/>
          </w:tcPr>
          <w:p w14:paraId="49314CA0"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795.50</w:t>
            </w:r>
          </w:p>
        </w:tc>
        <w:tc>
          <w:tcPr>
            <w:tcW w:w="288" w:type="pct"/>
            <w:tcBorders>
              <w:top w:val="nil"/>
              <w:left w:val="nil"/>
              <w:bottom w:val="nil"/>
              <w:right w:val="nil"/>
            </w:tcBorders>
            <w:noWrap/>
            <w:vAlign w:val="center"/>
          </w:tcPr>
          <w:p w14:paraId="03557091" w14:textId="0D923D5F" w:rsidR="00862F28" w:rsidRPr="006557F6" w:rsidRDefault="00830578" w:rsidP="00830578">
            <w:pPr>
              <w:spacing w:before="60" w:after="60"/>
              <w:rPr>
                <w:rFonts w:ascii="Arial" w:hAnsi="Arial" w:cs="Arial"/>
                <w:color w:val="000000"/>
              </w:rPr>
            </w:pPr>
            <w:r w:rsidRPr="006557F6">
              <w:rPr>
                <w:rFonts w:ascii="Arial" w:hAnsi="Arial" w:cs="Arial"/>
                <w:color w:val="000000"/>
              </w:rPr>
              <w:t>A</w:t>
            </w:r>
          </w:p>
        </w:tc>
        <w:tc>
          <w:tcPr>
            <w:tcW w:w="485" w:type="pct"/>
            <w:tcBorders>
              <w:top w:val="nil"/>
              <w:left w:val="nil"/>
              <w:bottom w:val="nil"/>
              <w:right w:val="nil"/>
            </w:tcBorders>
            <w:noWrap/>
            <w:vAlign w:val="center"/>
            <w:hideMark/>
          </w:tcPr>
          <w:p w14:paraId="7FCC275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25.70</w:t>
            </w:r>
          </w:p>
        </w:tc>
        <w:tc>
          <w:tcPr>
            <w:tcW w:w="206" w:type="pct"/>
            <w:tcBorders>
              <w:top w:val="nil"/>
              <w:left w:val="nil"/>
              <w:bottom w:val="nil"/>
              <w:right w:val="nil"/>
            </w:tcBorders>
            <w:noWrap/>
            <w:vAlign w:val="center"/>
            <w:hideMark/>
          </w:tcPr>
          <w:p w14:paraId="560F1FE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d</w:t>
            </w:r>
          </w:p>
        </w:tc>
        <w:tc>
          <w:tcPr>
            <w:tcW w:w="484" w:type="pct"/>
            <w:tcBorders>
              <w:top w:val="nil"/>
              <w:left w:val="nil"/>
              <w:bottom w:val="nil"/>
              <w:right w:val="nil"/>
            </w:tcBorders>
            <w:noWrap/>
            <w:vAlign w:val="center"/>
            <w:hideMark/>
          </w:tcPr>
          <w:p w14:paraId="1D48FC0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81.00</w:t>
            </w:r>
          </w:p>
        </w:tc>
        <w:tc>
          <w:tcPr>
            <w:tcW w:w="206" w:type="pct"/>
            <w:tcBorders>
              <w:top w:val="nil"/>
              <w:left w:val="nil"/>
              <w:bottom w:val="nil"/>
              <w:right w:val="nil"/>
            </w:tcBorders>
            <w:noWrap/>
            <w:vAlign w:val="center"/>
            <w:hideMark/>
          </w:tcPr>
          <w:p w14:paraId="13FA4B9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g</w:t>
            </w:r>
          </w:p>
        </w:tc>
        <w:tc>
          <w:tcPr>
            <w:tcW w:w="451" w:type="pct"/>
            <w:tcBorders>
              <w:top w:val="nil"/>
              <w:left w:val="nil"/>
              <w:bottom w:val="nil"/>
              <w:right w:val="nil"/>
            </w:tcBorders>
            <w:noWrap/>
            <w:vAlign w:val="center"/>
            <w:hideMark/>
          </w:tcPr>
          <w:p w14:paraId="0433145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15.52</w:t>
            </w:r>
          </w:p>
        </w:tc>
        <w:tc>
          <w:tcPr>
            <w:tcW w:w="206" w:type="pct"/>
            <w:tcBorders>
              <w:top w:val="nil"/>
              <w:left w:val="nil"/>
              <w:bottom w:val="nil"/>
              <w:right w:val="nil"/>
            </w:tcBorders>
            <w:noWrap/>
            <w:vAlign w:val="center"/>
            <w:hideMark/>
          </w:tcPr>
          <w:p w14:paraId="36A0D6D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d</w:t>
            </w:r>
          </w:p>
        </w:tc>
      </w:tr>
      <w:tr w:rsidR="00862F28" w:rsidRPr="006557F6" w14:paraId="4BBB8C32" w14:textId="77777777" w:rsidTr="00730A59">
        <w:trPr>
          <w:trHeight w:val="288"/>
        </w:trPr>
        <w:tc>
          <w:tcPr>
            <w:tcW w:w="814" w:type="pct"/>
            <w:tcBorders>
              <w:top w:val="nil"/>
              <w:left w:val="nil"/>
              <w:bottom w:val="nil"/>
              <w:right w:val="nil"/>
            </w:tcBorders>
            <w:noWrap/>
            <w:vAlign w:val="center"/>
            <w:hideMark/>
          </w:tcPr>
          <w:p w14:paraId="08A7016E"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T3</w:t>
            </w:r>
          </w:p>
        </w:tc>
        <w:tc>
          <w:tcPr>
            <w:tcW w:w="381" w:type="pct"/>
            <w:tcBorders>
              <w:top w:val="nil"/>
              <w:left w:val="nil"/>
              <w:bottom w:val="nil"/>
              <w:right w:val="nil"/>
            </w:tcBorders>
            <w:noWrap/>
            <w:vAlign w:val="center"/>
            <w:hideMark/>
          </w:tcPr>
          <w:p w14:paraId="2297E4B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4.91</w:t>
            </w:r>
          </w:p>
        </w:tc>
        <w:tc>
          <w:tcPr>
            <w:tcW w:w="339" w:type="pct"/>
            <w:tcBorders>
              <w:top w:val="nil"/>
              <w:left w:val="nil"/>
              <w:bottom w:val="nil"/>
              <w:right w:val="nil"/>
            </w:tcBorders>
            <w:noWrap/>
            <w:vAlign w:val="center"/>
            <w:hideMark/>
          </w:tcPr>
          <w:p w14:paraId="382F27E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bc</w:t>
            </w:r>
          </w:p>
        </w:tc>
        <w:tc>
          <w:tcPr>
            <w:tcW w:w="414" w:type="pct"/>
            <w:tcBorders>
              <w:top w:val="nil"/>
              <w:left w:val="nil"/>
              <w:bottom w:val="nil"/>
              <w:right w:val="nil"/>
            </w:tcBorders>
            <w:noWrap/>
            <w:vAlign w:val="center"/>
            <w:hideMark/>
          </w:tcPr>
          <w:p w14:paraId="041AFC27"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1.71</w:t>
            </w:r>
          </w:p>
        </w:tc>
        <w:tc>
          <w:tcPr>
            <w:tcW w:w="206" w:type="pct"/>
            <w:tcBorders>
              <w:top w:val="nil"/>
              <w:left w:val="nil"/>
              <w:bottom w:val="nil"/>
              <w:right w:val="nil"/>
            </w:tcBorders>
            <w:noWrap/>
            <w:vAlign w:val="center"/>
            <w:hideMark/>
          </w:tcPr>
          <w:p w14:paraId="1A4803DE" w14:textId="31E4EDF8" w:rsidR="00862F28" w:rsidRPr="006557F6" w:rsidRDefault="00B91E5A" w:rsidP="00830578">
            <w:pPr>
              <w:spacing w:before="60" w:after="60"/>
              <w:rPr>
                <w:rFonts w:ascii="Arial" w:hAnsi="Arial" w:cs="Arial"/>
                <w:color w:val="000000"/>
              </w:rPr>
            </w:pPr>
            <w:r w:rsidRPr="006557F6">
              <w:rPr>
                <w:rFonts w:ascii="Arial" w:hAnsi="Arial" w:cs="Arial"/>
                <w:color w:val="000000"/>
              </w:rPr>
              <w:t>F</w:t>
            </w:r>
          </w:p>
        </w:tc>
        <w:tc>
          <w:tcPr>
            <w:tcW w:w="521" w:type="pct"/>
            <w:tcBorders>
              <w:top w:val="nil"/>
              <w:left w:val="nil"/>
              <w:bottom w:val="nil"/>
              <w:right w:val="nil"/>
            </w:tcBorders>
            <w:noWrap/>
            <w:vAlign w:val="center"/>
          </w:tcPr>
          <w:p w14:paraId="57C908C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786.75</w:t>
            </w:r>
          </w:p>
        </w:tc>
        <w:tc>
          <w:tcPr>
            <w:tcW w:w="288" w:type="pct"/>
            <w:tcBorders>
              <w:top w:val="nil"/>
              <w:left w:val="nil"/>
              <w:bottom w:val="nil"/>
              <w:right w:val="nil"/>
            </w:tcBorders>
            <w:noWrap/>
            <w:vAlign w:val="center"/>
          </w:tcPr>
          <w:p w14:paraId="5661BB4A" w14:textId="152275A7" w:rsidR="00862F28" w:rsidRPr="006557F6" w:rsidRDefault="00830578" w:rsidP="00830578">
            <w:pPr>
              <w:spacing w:before="60" w:after="60"/>
              <w:rPr>
                <w:rFonts w:ascii="Arial" w:hAnsi="Arial" w:cs="Arial"/>
                <w:color w:val="000000"/>
              </w:rPr>
            </w:pPr>
            <w:r w:rsidRPr="006557F6">
              <w:rPr>
                <w:rFonts w:ascii="Arial" w:hAnsi="Arial" w:cs="Arial"/>
                <w:color w:val="000000"/>
              </w:rPr>
              <w:t>B</w:t>
            </w:r>
          </w:p>
        </w:tc>
        <w:tc>
          <w:tcPr>
            <w:tcW w:w="485" w:type="pct"/>
            <w:tcBorders>
              <w:top w:val="nil"/>
              <w:left w:val="nil"/>
              <w:bottom w:val="nil"/>
              <w:right w:val="nil"/>
            </w:tcBorders>
            <w:noWrap/>
            <w:vAlign w:val="center"/>
            <w:hideMark/>
          </w:tcPr>
          <w:p w14:paraId="7E5AE44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28.87</w:t>
            </w:r>
          </w:p>
        </w:tc>
        <w:tc>
          <w:tcPr>
            <w:tcW w:w="206" w:type="pct"/>
            <w:tcBorders>
              <w:top w:val="nil"/>
              <w:left w:val="nil"/>
              <w:bottom w:val="nil"/>
              <w:right w:val="nil"/>
            </w:tcBorders>
            <w:noWrap/>
            <w:vAlign w:val="center"/>
            <w:hideMark/>
          </w:tcPr>
          <w:p w14:paraId="7FF4E5F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a</w:t>
            </w:r>
          </w:p>
        </w:tc>
        <w:tc>
          <w:tcPr>
            <w:tcW w:w="484" w:type="pct"/>
            <w:tcBorders>
              <w:top w:val="nil"/>
              <w:left w:val="nil"/>
              <w:bottom w:val="nil"/>
              <w:right w:val="nil"/>
            </w:tcBorders>
            <w:noWrap/>
            <w:vAlign w:val="center"/>
            <w:hideMark/>
          </w:tcPr>
          <w:p w14:paraId="7128058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85.00</w:t>
            </w:r>
          </w:p>
        </w:tc>
        <w:tc>
          <w:tcPr>
            <w:tcW w:w="206" w:type="pct"/>
            <w:tcBorders>
              <w:top w:val="nil"/>
              <w:left w:val="nil"/>
              <w:bottom w:val="nil"/>
              <w:right w:val="nil"/>
            </w:tcBorders>
            <w:noWrap/>
            <w:vAlign w:val="center"/>
            <w:hideMark/>
          </w:tcPr>
          <w:p w14:paraId="27691E8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a</w:t>
            </w:r>
          </w:p>
        </w:tc>
        <w:tc>
          <w:tcPr>
            <w:tcW w:w="451" w:type="pct"/>
            <w:tcBorders>
              <w:top w:val="nil"/>
              <w:left w:val="nil"/>
              <w:bottom w:val="nil"/>
              <w:right w:val="nil"/>
            </w:tcBorders>
            <w:noWrap/>
            <w:vAlign w:val="center"/>
            <w:hideMark/>
          </w:tcPr>
          <w:p w14:paraId="06C4FF1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16.44</w:t>
            </w:r>
          </w:p>
        </w:tc>
        <w:tc>
          <w:tcPr>
            <w:tcW w:w="206" w:type="pct"/>
            <w:tcBorders>
              <w:top w:val="nil"/>
              <w:left w:val="nil"/>
              <w:bottom w:val="nil"/>
              <w:right w:val="nil"/>
            </w:tcBorders>
            <w:noWrap/>
            <w:vAlign w:val="center"/>
            <w:hideMark/>
          </w:tcPr>
          <w:p w14:paraId="4E7A7A8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a</w:t>
            </w:r>
          </w:p>
        </w:tc>
      </w:tr>
      <w:tr w:rsidR="00862F28" w:rsidRPr="006557F6" w14:paraId="5AC44154" w14:textId="77777777" w:rsidTr="00730A59">
        <w:trPr>
          <w:trHeight w:val="288"/>
        </w:trPr>
        <w:tc>
          <w:tcPr>
            <w:tcW w:w="814" w:type="pct"/>
            <w:tcBorders>
              <w:top w:val="nil"/>
              <w:left w:val="nil"/>
              <w:bottom w:val="nil"/>
              <w:right w:val="nil"/>
            </w:tcBorders>
            <w:noWrap/>
            <w:vAlign w:val="center"/>
            <w:hideMark/>
          </w:tcPr>
          <w:p w14:paraId="74FE3D5E"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T4</w:t>
            </w:r>
          </w:p>
        </w:tc>
        <w:tc>
          <w:tcPr>
            <w:tcW w:w="381" w:type="pct"/>
            <w:tcBorders>
              <w:top w:val="nil"/>
              <w:left w:val="nil"/>
              <w:bottom w:val="nil"/>
              <w:right w:val="nil"/>
            </w:tcBorders>
            <w:noWrap/>
            <w:vAlign w:val="center"/>
            <w:hideMark/>
          </w:tcPr>
          <w:p w14:paraId="51CBD170"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4.83</w:t>
            </w:r>
          </w:p>
        </w:tc>
        <w:tc>
          <w:tcPr>
            <w:tcW w:w="339" w:type="pct"/>
            <w:tcBorders>
              <w:top w:val="nil"/>
              <w:left w:val="nil"/>
              <w:bottom w:val="nil"/>
              <w:right w:val="nil"/>
            </w:tcBorders>
            <w:noWrap/>
            <w:vAlign w:val="center"/>
            <w:hideMark/>
          </w:tcPr>
          <w:p w14:paraId="132E9706"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e</w:t>
            </w:r>
          </w:p>
        </w:tc>
        <w:tc>
          <w:tcPr>
            <w:tcW w:w="414" w:type="pct"/>
            <w:tcBorders>
              <w:top w:val="nil"/>
              <w:left w:val="nil"/>
              <w:bottom w:val="nil"/>
              <w:right w:val="nil"/>
            </w:tcBorders>
            <w:noWrap/>
            <w:vAlign w:val="center"/>
            <w:hideMark/>
          </w:tcPr>
          <w:p w14:paraId="7D6472C7"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1.74</w:t>
            </w:r>
          </w:p>
        </w:tc>
        <w:tc>
          <w:tcPr>
            <w:tcW w:w="206" w:type="pct"/>
            <w:tcBorders>
              <w:top w:val="nil"/>
              <w:left w:val="nil"/>
              <w:bottom w:val="nil"/>
              <w:right w:val="nil"/>
            </w:tcBorders>
            <w:noWrap/>
            <w:vAlign w:val="center"/>
            <w:hideMark/>
          </w:tcPr>
          <w:p w14:paraId="119445F0" w14:textId="680F7654" w:rsidR="00862F28" w:rsidRPr="006557F6" w:rsidRDefault="00B91E5A" w:rsidP="00830578">
            <w:pPr>
              <w:spacing w:before="60" w:after="60"/>
              <w:rPr>
                <w:rFonts w:ascii="Arial" w:hAnsi="Arial" w:cs="Arial"/>
                <w:color w:val="000000"/>
              </w:rPr>
            </w:pPr>
            <w:r w:rsidRPr="006557F6">
              <w:rPr>
                <w:rFonts w:ascii="Arial" w:hAnsi="Arial" w:cs="Arial"/>
                <w:color w:val="000000"/>
              </w:rPr>
              <w:t>C</w:t>
            </w:r>
          </w:p>
        </w:tc>
        <w:tc>
          <w:tcPr>
            <w:tcW w:w="521" w:type="pct"/>
            <w:tcBorders>
              <w:top w:val="nil"/>
              <w:left w:val="nil"/>
              <w:bottom w:val="nil"/>
              <w:right w:val="nil"/>
            </w:tcBorders>
            <w:noWrap/>
            <w:vAlign w:val="center"/>
          </w:tcPr>
          <w:p w14:paraId="004BD59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676.00</w:t>
            </w:r>
          </w:p>
        </w:tc>
        <w:tc>
          <w:tcPr>
            <w:tcW w:w="288" w:type="pct"/>
            <w:tcBorders>
              <w:top w:val="nil"/>
              <w:left w:val="nil"/>
              <w:bottom w:val="nil"/>
              <w:right w:val="nil"/>
            </w:tcBorders>
            <w:noWrap/>
            <w:vAlign w:val="center"/>
          </w:tcPr>
          <w:p w14:paraId="784DCDAE" w14:textId="68E25D4C" w:rsidR="00862F28" w:rsidRPr="006557F6" w:rsidRDefault="00830578" w:rsidP="00830578">
            <w:pPr>
              <w:spacing w:before="60" w:after="60"/>
              <w:rPr>
                <w:rFonts w:ascii="Arial" w:hAnsi="Arial" w:cs="Arial"/>
                <w:color w:val="000000"/>
              </w:rPr>
            </w:pPr>
            <w:r w:rsidRPr="006557F6">
              <w:rPr>
                <w:rFonts w:ascii="Arial" w:hAnsi="Arial" w:cs="Arial"/>
                <w:color w:val="000000"/>
              </w:rPr>
              <w:t>E</w:t>
            </w:r>
          </w:p>
        </w:tc>
        <w:tc>
          <w:tcPr>
            <w:tcW w:w="485" w:type="pct"/>
            <w:tcBorders>
              <w:top w:val="nil"/>
              <w:left w:val="nil"/>
              <w:bottom w:val="nil"/>
              <w:right w:val="nil"/>
            </w:tcBorders>
            <w:noWrap/>
            <w:vAlign w:val="center"/>
            <w:hideMark/>
          </w:tcPr>
          <w:p w14:paraId="5BD8858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21.90</w:t>
            </w:r>
          </w:p>
        </w:tc>
        <w:tc>
          <w:tcPr>
            <w:tcW w:w="206" w:type="pct"/>
            <w:tcBorders>
              <w:top w:val="nil"/>
              <w:left w:val="nil"/>
              <w:bottom w:val="nil"/>
              <w:right w:val="nil"/>
            </w:tcBorders>
            <w:noWrap/>
            <w:vAlign w:val="center"/>
            <w:hideMark/>
          </w:tcPr>
          <w:p w14:paraId="1C872A8B"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h</w:t>
            </w:r>
          </w:p>
        </w:tc>
        <w:tc>
          <w:tcPr>
            <w:tcW w:w="484" w:type="pct"/>
            <w:tcBorders>
              <w:top w:val="nil"/>
              <w:left w:val="nil"/>
              <w:bottom w:val="nil"/>
              <w:right w:val="nil"/>
            </w:tcBorders>
            <w:noWrap/>
            <w:vAlign w:val="center"/>
            <w:hideMark/>
          </w:tcPr>
          <w:p w14:paraId="0877C73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80.20</w:t>
            </w:r>
          </w:p>
        </w:tc>
        <w:tc>
          <w:tcPr>
            <w:tcW w:w="206" w:type="pct"/>
            <w:tcBorders>
              <w:top w:val="nil"/>
              <w:left w:val="nil"/>
              <w:bottom w:val="nil"/>
              <w:right w:val="nil"/>
            </w:tcBorders>
            <w:noWrap/>
            <w:vAlign w:val="center"/>
            <w:hideMark/>
          </w:tcPr>
          <w:p w14:paraId="7621CBE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h</w:t>
            </w:r>
          </w:p>
        </w:tc>
        <w:tc>
          <w:tcPr>
            <w:tcW w:w="451" w:type="pct"/>
            <w:tcBorders>
              <w:top w:val="nil"/>
              <w:left w:val="nil"/>
              <w:bottom w:val="nil"/>
              <w:right w:val="nil"/>
            </w:tcBorders>
            <w:noWrap/>
            <w:vAlign w:val="center"/>
            <w:hideMark/>
          </w:tcPr>
          <w:p w14:paraId="0998A86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14.38</w:t>
            </w:r>
          </w:p>
        </w:tc>
        <w:tc>
          <w:tcPr>
            <w:tcW w:w="206" w:type="pct"/>
            <w:tcBorders>
              <w:top w:val="nil"/>
              <w:left w:val="nil"/>
              <w:bottom w:val="nil"/>
              <w:right w:val="nil"/>
            </w:tcBorders>
            <w:noWrap/>
            <w:vAlign w:val="center"/>
            <w:hideMark/>
          </w:tcPr>
          <w:p w14:paraId="40821DF6"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h</w:t>
            </w:r>
          </w:p>
        </w:tc>
      </w:tr>
      <w:tr w:rsidR="00862F28" w:rsidRPr="006557F6" w14:paraId="61DD211E" w14:textId="77777777" w:rsidTr="00730A59">
        <w:trPr>
          <w:trHeight w:val="288"/>
        </w:trPr>
        <w:tc>
          <w:tcPr>
            <w:tcW w:w="814" w:type="pct"/>
            <w:tcBorders>
              <w:top w:val="nil"/>
              <w:left w:val="nil"/>
              <w:bottom w:val="nil"/>
              <w:right w:val="nil"/>
            </w:tcBorders>
            <w:noWrap/>
            <w:vAlign w:val="center"/>
            <w:hideMark/>
          </w:tcPr>
          <w:p w14:paraId="360B20F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T5</w:t>
            </w:r>
          </w:p>
        </w:tc>
        <w:tc>
          <w:tcPr>
            <w:tcW w:w="381" w:type="pct"/>
            <w:tcBorders>
              <w:top w:val="nil"/>
              <w:left w:val="nil"/>
              <w:bottom w:val="nil"/>
              <w:right w:val="nil"/>
            </w:tcBorders>
            <w:noWrap/>
            <w:vAlign w:val="center"/>
            <w:hideMark/>
          </w:tcPr>
          <w:p w14:paraId="4AE89FB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4.79</w:t>
            </w:r>
          </w:p>
        </w:tc>
        <w:tc>
          <w:tcPr>
            <w:tcW w:w="339" w:type="pct"/>
            <w:tcBorders>
              <w:top w:val="nil"/>
              <w:left w:val="nil"/>
              <w:bottom w:val="nil"/>
              <w:right w:val="nil"/>
            </w:tcBorders>
            <w:noWrap/>
            <w:vAlign w:val="center"/>
            <w:hideMark/>
          </w:tcPr>
          <w:p w14:paraId="5944EE9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f</w:t>
            </w:r>
          </w:p>
        </w:tc>
        <w:tc>
          <w:tcPr>
            <w:tcW w:w="414" w:type="pct"/>
            <w:tcBorders>
              <w:top w:val="nil"/>
              <w:left w:val="nil"/>
              <w:bottom w:val="nil"/>
              <w:right w:val="nil"/>
            </w:tcBorders>
            <w:noWrap/>
            <w:vAlign w:val="center"/>
            <w:hideMark/>
          </w:tcPr>
          <w:p w14:paraId="448254B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1.83</w:t>
            </w:r>
          </w:p>
        </w:tc>
        <w:tc>
          <w:tcPr>
            <w:tcW w:w="206" w:type="pct"/>
            <w:tcBorders>
              <w:top w:val="nil"/>
              <w:left w:val="nil"/>
              <w:bottom w:val="nil"/>
              <w:right w:val="nil"/>
            </w:tcBorders>
            <w:noWrap/>
            <w:vAlign w:val="center"/>
            <w:hideMark/>
          </w:tcPr>
          <w:p w14:paraId="56F921AF" w14:textId="62A705D0" w:rsidR="00862F28" w:rsidRPr="006557F6" w:rsidRDefault="00B91E5A" w:rsidP="00830578">
            <w:pPr>
              <w:spacing w:before="60" w:after="60"/>
              <w:rPr>
                <w:rFonts w:ascii="Arial" w:hAnsi="Arial" w:cs="Arial"/>
                <w:color w:val="000000"/>
              </w:rPr>
            </w:pPr>
            <w:r w:rsidRPr="006557F6">
              <w:rPr>
                <w:rFonts w:ascii="Arial" w:hAnsi="Arial" w:cs="Arial"/>
                <w:color w:val="000000"/>
              </w:rPr>
              <w:t>A</w:t>
            </w:r>
          </w:p>
        </w:tc>
        <w:tc>
          <w:tcPr>
            <w:tcW w:w="521" w:type="pct"/>
            <w:tcBorders>
              <w:top w:val="nil"/>
              <w:left w:val="nil"/>
              <w:bottom w:val="nil"/>
              <w:right w:val="nil"/>
            </w:tcBorders>
            <w:noWrap/>
            <w:vAlign w:val="center"/>
          </w:tcPr>
          <w:p w14:paraId="2E8E26AB"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651.75</w:t>
            </w:r>
          </w:p>
        </w:tc>
        <w:tc>
          <w:tcPr>
            <w:tcW w:w="288" w:type="pct"/>
            <w:tcBorders>
              <w:top w:val="nil"/>
              <w:left w:val="nil"/>
              <w:bottom w:val="nil"/>
              <w:right w:val="nil"/>
            </w:tcBorders>
            <w:noWrap/>
            <w:vAlign w:val="center"/>
          </w:tcPr>
          <w:p w14:paraId="1E6E3DC6" w14:textId="67F3B4B9" w:rsidR="00862F28" w:rsidRPr="006557F6" w:rsidRDefault="00830578" w:rsidP="00830578">
            <w:pPr>
              <w:spacing w:before="60" w:after="60"/>
              <w:rPr>
                <w:rFonts w:ascii="Arial" w:hAnsi="Arial" w:cs="Arial"/>
                <w:color w:val="000000"/>
              </w:rPr>
            </w:pPr>
            <w:r w:rsidRPr="006557F6">
              <w:rPr>
                <w:rFonts w:ascii="Arial" w:hAnsi="Arial" w:cs="Arial"/>
                <w:color w:val="000000"/>
              </w:rPr>
              <w:t>F</w:t>
            </w:r>
          </w:p>
        </w:tc>
        <w:tc>
          <w:tcPr>
            <w:tcW w:w="485" w:type="pct"/>
            <w:tcBorders>
              <w:top w:val="nil"/>
              <w:left w:val="nil"/>
              <w:bottom w:val="nil"/>
              <w:right w:val="nil"/>
            </w:tcBorders>
            <w:noWrap/>
            <w:vAlign w:val="center"/>
            <w:hideMark/>
          </w:tcPr>
          <w:p w14:paraId="06448BA2"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24.93</w:t>
            </w:r>
          </w:p>
        </w:tc>
        <w:tc>
          <w:tcPr>
            <w:tcW w:w="206" w:type="pct"/>
            <w:tcBorders>
              <w:top w:val="nil"/>
              <w:left w:val="nil"/>
              <w:bottom w:val="nil"/>
              <w:right w:val="nil"/>
            </w:tcBorders>
            <w:noWrap/>
            <w:vAlign w:val="center"/>
            <w:hideMark/>
          </w:tcPr>
          <w:p w14:paraId="0EAD69E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e</w:t>
            </w:r>
          </w:p>
        </w:tc>
        <w:tc>
          <w:tcPr>
            <w:tcW w:w="484" w:type="pct"/>
            <w:tcBorders>
              <w:top w:val="nil"/>
              <w:left w:val="nil"/>
              <w:bottom w:val="nil"/>
              <w:right w:val="nil"/>
            </w:tcBorders>
            <w:noWrap/>
            <w:vAlign w:val="center"/>
            <w:hideMark/>
          </w:tcPr>
          <w:p w14:paraId="2DC437D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82.40</w:t>
            </w:r>
          </w:p>
        </w:tc>
        <w:tc>
          <w:tcPr>
            <w:tcW w:w="206" w:type="pct"/>
            <w:tcBorders>
              <w:top w:val="nil"/>
              <w:left w:val="nil"/>
              <w:bottom w:val="nil"/>
              <w:right w:val="nil"/>
            </w:tcBorders>
            <w:noWrap/>
            <w:vAlign w:val="center"/>
            <w:hideMark/>
          </w:tcPr>
          <w:p w14:paraId="5B9E9E5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e</w:t>
            </w:r>
          </w:p>
        </w:tc>
        <w:tc>
          <w:tcPr>
            <w:tcW w:w="451" w:type="pct"/>
            <w:tcBorders>
              <w:top w:val="nil"/>
              <w:left w:val="nil"/>
              <w:bottom w:val="nil"/>
              <w:right w:val="nil"/>
            </w:tcBorders>
            <w:noWrap/>
            <w:vAlign w:val="center"/>
            <w:hideMark/>
          </w:tcPr>
          <w:p w14:paraId="6F2DB07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15.32</w:t>
            </w:r>
          </w:p>
        </w:tc>
        <w:tc>
          <w:tcPr>
            <w:tcW w:w="206" w:type="pct"/>
            <w:tcBorders>
              <w:top w:val="nil"/>
              <w:left w:val="nil"/>
              <w:bottom w:val="nil"/>
              <w:right w:val="nil"/>
            </w:tcBorders>
            <w:noWrap/>
            <w:vAlign w:val="center"/>
            <w:hideMark/>
          </w:tcPr>
          <w:p w14:paraId="46D7DA43"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e</w:t>
            </w:r>
          </w:p>
        </w:tc>
      </w:tr>
      <w:tr w:rsidR="00862F28" w:rsidRPr="006557F6" w14:paraId="3A5C1604" w14:textId="77777777" w:rsidTr="00730A59">
        <w:trPr>
          <w:trHeight w:val="288"/>
        </w:trPr>
        <w:tc>
          <w:tcPr>
            <w:tcW w:w="814" w:type="pct"/>
            <w:tcBorders>
              <w:top w:val="nil"/>
              <w:left w:val="nil"/>
              <w:bottom w:val="nil"/>
              <w:right w:val="nil"/>
            </w:tcBorders>
            <w:noWrap/>
            <w:vAlign w:val="center"/>
            <w:hideMark/>
          </w:tcPr>
          <w:p w14:paraId="7B4C617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T6</w:t>
            </w:r>
          </w:p>
        </w:tc>
        <w:tc>
          <w:tcPr>
            <w:tcW w:w="381" w:type="pct"/>
            <w:tcBorders>
              <w:top w:val="nil"/>
              <w:left w:val="nil"/>
              <w:bottom w:val="nil"/>
              <w:right w:val="nil"/>
            </w:tcBorders>
            <w:noWrap/>
            <w:vAlign w:val="center"/>
            <w:hideMark/>
          </w:tcPr>
          <w:p w14:paraId="3F77799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4.88</w:t>
            </w:r>
          </w:p>
        </w:tc>
        <w:tc>
          <w:tcPr>
            <w:tcW w:w="339" w:type="pct"/>
            <w:tcBorders>
              <w:top w:val="nil"/>
              <w:left w:val="nil"/>
              <w:bottom w:val="nil"/>
              <w:right w:val="nil"/>
            </w:tcBorders>
            <w:noWrap/>
            <w:vAlign w:val="center"/>
            <w:hideMark/>
          </w:tcPr>
          <w:p w14:paraId="657F873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cd</w:t>
            </w:r>
          </w:p>
        </w:tc>
        <w:tc>
          <w:tcPr>
            <w:tcW w:w="414" w:type="pct"/>
            <w:tcBorders>
              <w:top w:val="nil"/>
              <w:left w:val="nil"/>
              <w:bottom w:val="nil"/>
              <w:right w:val="nil"/>
            </w:tcBorders>
            <w:noWrap/>
            <w:vAlign w:val="center"/>
            <w:hideMark/>
          </w:tcPr>
          <w:p w14:paraId="687242A2"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1.72</w:t>
            </w:r>
          </w:p>
        </w:tc>
        <w:tc>
          <w:tcPr>
            <w:tcW w:w="206" w:type="pct"/>
            <w:tcBorders>
              <w:top w:val="nil"/>
              <w:left w:val="nil"/>
              <w:bottom w:val="nil"/>
              <w:right w:val="nil"/>
            </w:tcBorders>
            <w:noWrap/>
            <w:vAlign w:val="center"/>
            <w:hideMark/>
          </w:tcPr>
          <w:p w14:paraId="027326E8" w14:textId="06E1C316" w:rsidR="00862F28" w:rsidRPr="006557F6" w:rsidRDefault="00B91E5A" w:rsidP="00830578">
            <w:pPr>
              <w:spacing w:before="60" w:after="60"/>
              <w:rPr>
                <w:rFonts w:ascii="Arial" w:hAnsi="Arial" w:cs="Arial"/>
                <w:color w:val="000000"/>
              </w:rPr>
            </w:pPr>
            <w:r w:rsidRPr="006557F6">
              <w:rPr>
                <w:rFonts w:ascii="Arial" w:hAnsi="Arial" w:cs="Arial"/>
                <w:color w:val="000000"/>
              </w:rPr>
              <w:t>E</w:t>
            </w:r>
          </w:p>
        </w:tc>
        <w:tc>
          <w:tcPr>
            <w:tcW w:w="521" w:type="pct"/>
            <w:tcBorders>
              <w:top w:val="nil"/>
              <w:left w:val="nil"/>
              <w:bottom w:val="nil"/>
              <w:right w:val="nil"/>
            </w:tcBorders>
            <w:noWrap/>
            <w:vAlign w:val="center"/>
          </w:tcPr>
          <w:p w14:paraId="16A854E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780.75</w:t>
            </w:r>
          </w:p>
        </w:tc>
        <w:tc>
          <w:tcPr>
            <w:tcW w:w="288" w:type="pct"/>
            <w:tcBorders>
              <w:top w:val="nil"/>
              <w:left w:val="nil"/>
              <w:bottom w:val="nil"/>
              <w:right w:val="nil"/>
            </w:tcBorders>
            <w:noWrap/>
            <w:vAlign w:val="center"/>
          </w:tcPr>
          <w:p w14:paraId="52CD9B07" w14:textId="572A7E64" w:rsidR="00862F28" w:rsidRPr="006557F6" w:rsidRDefault="00830578" w:rsidP="00830578">
            <w:pPr>
              <w:spacing w:before="60" w:after="60"/>
              <w:rPr>
                <w:rFonts w:ascii="Arial" w:hAnsi="Arial" w:cs="Arial"/>
                <w:color w:val="000000"/>
              </w:rPr>
            </w:pPr>
            <w:r w:rsidRPr="006557F6">
              <w:rPr>
                <w:rFonts w:ascii="Arial" w:hAnsi="Arial" w:cs="Arial"/>
                <w:color w:val="000000"/>
              </w:rPr>
              <w:t>B</w:t>
            </w:r>
          </w:p>
        </w:tc>
        <w:tc>
          <w:tcPr>
            <w:tcW w:w="485" w:type="pct"/>
            <w:tcBorders>
              <w:top w:val="nil"/>
              <w:left w:val="nil"/>
              <w:bottom w:val="nil"/>
              <w:right w:val="nil"/>
            </w:tcBorders>
            <w:noWrap/>
            <w:vAlign w:val="center"/>
            <w:hideMark/>
          </w:tcPr>
          <w:p w14:paraId="34C1311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22.65</w:t>
            </w:r>
          </w:p>
        </w:tc>
        <w:tc>
          <w:tcPr>
            <w:tcW w:w="206" w:type="pct"/>
            <w:tcBorders>
              <w:top w:val="nil"/>
              <w:left w:val="nil"/>
              <w:bottom w:val="nil"/>
              <w:right w:val="nil"/>
            </w:tcBorders>
            <w:noWrap/>
            <w:vAlign w:val="center"/>
            <w:hideMark/>
          </w:tcPr>
          <w:p w14:paraId="7285E9A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g</w:t>
            </w:r>
          </w:p>
        </w:tc>
        <w:tc>
          <w:tcPr>
            <w:tcW w:w="484" w:type="pct"/>
            <w:tcBorders>
              <w:top w:val="nil"/>
              <w:left w:val="nil"/>
              <w:bottom w:val="nil"/>
              <w:right w:val="nil"/>
            </w:tcBorders>
            <w:noWrap/>
            <w:vAlign w:val="center"/>
            <w:hideMark/>
          </w:tcPr>
          <w:p w14:paraId="16613D0E"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83.50</w:t>
            </w:r>
          </w:p>
        </w:tc>
        <w:tc>
          <w:tcPr>
            <w:tcW w:w="206" w:type="pct"/>
            <w:tcBorders>
              <w:top w:val="nil"/>
              <w:left w:val="nil"/>
              <w:bottom w:val="nil"/>
              <w:right w:val="nil"/>
            </w:tcBorders>
            <w:noWrap/>
            <w:vAlign w:val="center"/>
            <w:hideMark/>
          </w:tcPr>
          <w:p w14:paraId="2B6FFAF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c</w:t>
            </w:r>
          </w:p>
        </w:tc>
        <w:tc>
          <w:tcPr>
            <w:tcW w:w="451" w:type="pct"/>
            <w:tcBorders>
              <w:top w:val="nil"/>
              <w:left w:val="nil"/>
              <w:bottom w:val="nil"/>
              <w:right w:val="nil"/>
            </w:tcBorders>
            <w:noWrap/>
            <w:vAlign w:val="center"/>
            <w:hideMark/>
          </w:tcPr>
          <w:p w14:paraId="01FB5DA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15.24</w:t>
            </w:r>
          </w:p>
        </w:tc>
        <w:tc>
          <w:tcPr>
            <w:tcW w:w="206" w:type="pct"/>
            <w:tcBorders>
              <w:top w:val="nil"/>
              <w:left w:val="nil"/>
              <w:bottom w:val="nil"/>
              <w:right w:val="nil"/>
            </w:tcBorders>
            <w:noWrap/>
            <w:vAlign w:val="center"/>
            <w:hideMark/>
          </w:tcPr>
          <w:p w14:paraId="2345731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f</w:t>
            </w:r>
          </w:p>
        </w:tc>
      </w:tr>
      <w:tr w:rsidR="00862F28" w:rsidRPr="006557F6" w14:paraId="2BCA1381" w14:textId="77777777" w:rsidTr="00730A59">
        <w:trPr>
          <w:trHeight w:val="288"/>
        </w:trPr>
        <w:tc>
          <w:tcPr>
            <w:tcW w:w="814" w:type="pct"/>
            <w:tcBorders>
              <w:top w:val="nil"/>
              <w:left w:val="nil"/>
              <w:bottom w:val="nil"/>
              <w:right w:val="nil"/>
            </w:tcBorders>
            <w:noWrap/>
            <w:vAlign w:val="center"/>
            <w:hideMark/>
          </w:tcPr>
          <w:p w14:paraId="79C562D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T7</w:t>
            </w:r>
          </w:p>
        </w:tc>
        <w:tc>
          <w:tcPr>
            <w:tcW w:w="381" w:type="pct"/>
            <w:tcBorders>
              <w:top w:val="nil"/>
              <w:left w:val="nil"/>
              <w:bottom w:val="nil"/>
              <w:right w:val="nil"/>
            </w:tcBorders>
            <w:noWrap/>
            <w:vAlign w:val="center"/>
            <w:hideMark/>
          </w:tcPr>
          <w:p w14:paraId="1286CAB3"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4.86</w:t>
            </w:r>
          </w:p>
        </w:tc>
        <w:tc>
          <w:tcPr>
            <w:tcW w:w="339" w:type="pct"/>
            <w:tcBorders>
              <w:top w:val="nil"/>
              <w:left w:val="nil"/>
              <w:bottom w:val="nil"/>
              <w:right w:val="nil"/>
            </w:tcBorders>
            <w:noWrap/>
            <w:vAlign w:val="center"/>
            <w:hideMark/>
          </w:tcPr>
          <w:p w14:paraId="581B022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d</w:t>
            </w:r>
          </w:p>
        </w:tc>
        <w:tc>
          <w:tcPr>
            <w:tcW w:w="414" w:type="pct"/>
            <w:tcBorders>
              <w:top w:val="nil"/>
              <w:left w:val="nil"/>
              <w:bottom w:val="nil"/>
              <w:right w:val="nil"/>
            </w:tcBorders>
            <w:noWrap/>
            <w:vAlign w:val="center"/>
            <w:hideMark/>
          </w:tcPr>
          <w:p w14:paraId="1F2D824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1.63</w:t>
            </w:r>
          </w:p>
        </w:tc>
        <w:tc>
          <w:tcPr>
            <w:tcW w:w="206" w:type="pct"/>
            <w:tcBorders>
              <w:top w:val="nil"/>
              <w:left w:val="nil"/>
              <w:bottom w:val="nil"/>
              <w:right w:val="nil"/>
            </w:tcBorders>
            <w:noWrap/>
            <w:vAlign w:val="center"/>
            <w:hideMark/>
          </w:tcPr>
          <w:p w14:paraId="2FECCDC4" w14:textId="61D641B2" w:rsidR="00862F28" w:rsidRPr="006557F6" w:rsidRDefault="00B91E5A" w:rsidP="00830578">
            <w:pPr>
              <w:spacing w:before="60" w:after="60"/>
              <w:rPr>
                <w:rFonts w:ascii="Arial" w:hAnsi="Arial" w:cs="Arial"/>
                <w:color w:val="000000"/>
              </w:rPr>
            </w:pPr>
            <w:r w:rsidRPr="006557F6">
              <w:rPr>
                <w:rFonts w:ascii="Arial" w:hAnsi="Arial" w:cs="Arial"/>
                <w:color w:val="000000"/>
              </w:rPr>
              <w:t>H</w:t>
            </w:r>
          </w:p>
        </w:tc>
        <w:tc>
          <w:tcPr>
            <w:tcW w:w="521" w:type="pct"/>
            <w:tcBorders>
              <w:top w:val="nil"/>
              <w:left w:val="nil"/>
              <w:bottom w:val="nil"/>
              <w:right w:val="nil"/>
            </w:tcBorders>
            <w:noWrap/>
            <w:vAlign w:val="center"/>
          </w:tcPr>
          <w:p w14:paraId="2A9EB37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782.00</w:t>
            </w:r>
          </w:p>
        </w:tc>
        <w:tc>
          <w:tcPr>
            <w:tcW w:w="288" w:type="pct"/>
            <w:tcBorders>
              <w:top w:val="nil"/>
              <w:left w:val="nil"/>
              <w:bottom w:val="nil"/>
              <w:right w:val="nil"/>
            </w:tcBorders>
            <w:noWrap/>
            <w:vAlign w:val="center"/>
          </w:tcPr>
          <w:p w14:paraId="2557BF36" w14:textId="6687F89A" w:rsidR="00862F28" w:rsidRPr="006557F6" w:rsidRDefault="00830578" w:rsidP="00830578">
            <w:pPr>
              <w:spacing w:before="60" w:after="60"/>
              <w:rPr>
                <w:rFonts w:ascii="Arial" w:hAnsi="Arial" w:cs="Arial"/>
                <w:color w:val="000000"/>
              </w:rPr>
            </w:pPr>
            <w:r w:rsidRPr="006557F6">
              <w:rPr>
                <w:rFonts w:ascii="Arial" w:hAnsi="Arial" w:cs="Arial"/>
                <w:color w:val="000000"/>
              </w:rPr>
              <w:t>B</w:t>
            </w:r>
          </w:p>
        </w:tc>
        <w:tc>
          <w:tcPr>
            <w:tcW w:w="485" w:type="pct"/>
            <w:tcBorders>
              <w:top w:val="nil"/>
              <w:left w:val="nil"/>
              <w:bottom w:val="nil"/>
              <w:right w:val="nil"/>
            </w:tcBorders>
            <w:noWrap/>
            <w:vAlign w:val="center"/>
            <w:hideMark/>
          </w:tcPr>
          <w:p w14:paraId="324F526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23.77</w:t>
            </w:r>
          </w:p>
        </w:tc>
        <w:tc>
          <w:tcPr>
            <w:tcW w:w="206" w:type="pct"/>
            <w:tcBorders>
              <w:top w:val="nil"/>
              <w:left w:val="nil"/>
              <w:bottom w:val="nil"/>
              <w:right w:val="nil"/>
            </w:tcBorders>
            <w:noWrap/>
            <w:vAlign w:val="center"/>
            <w:hideMark/>
          </w:tcPr>
          <w:p w14:paraId="281A41AB"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f</w:t>
            </w:r>
          </w:p>
        </w:tc>
        <w:tc>
          <w:tcPr>
            <w:tcW w:w="484" w:type="pct"/>
            <w:tcBorders>
              <w:top w:val="nil"/>
              <w:left w:val="nil"/>
              <w:bottom w:val="nil"/>
              <w:right w:val="nil"/>
            </w:tcBorders>
            <w:noWrap/>
            <w:vAlign w:val="center"/>
            <w:hideMark/>
          </w:tcPr>
          <w:p w14:paraId="125612B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81.80</w:t>
            </w:r>
          </w:p>
        </w:tc>
        <w:tc>
          <w:tcPr>
            <w:tcW w:w="206" w:type="pct"/>
            <w:tcBorders>
              <w:top w:val="nil"/>
              <w:left w:val="nil"/>
              <w:bottom w:val="nil"/>
              <w:right w:val="nil"/>
            </w:tcBorders>
            <w:noWrap/>
            <w:vAlign w:val="center"/>
            <w:hideMark/>
          </w:tcPr>
          <w:p w14:paraId="0B17D46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f</w:t>
            </w:r>
          </w:p>
        </w:tc>
        <w:tc>
          <w:tcPr>
            <w:tcW w:w="451" w:type="pct"/>
            <w:tcBorders>
              <w:top w:val="nil"/>
              <w:left w:val="nil"/>
              <w:bottom w:val="nil"/>
              <w:right w:val="nil"/>
            </w:tcBorders>
            <w:noWrap/>
            <w:vAlign w:val="center"/>
            <w:hideMark/>
          </w:tcPr>
          <w:p w14:paraId="2C3C9E42"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14.86</w:t>
            </w:r>
          </w:p>
        </w:tc>
        <w:tc>
          <w:tcPr>
            <w:tcW w:w="206" w:type="pct"/>
            <w:tcBorders>
              <w:top w:val="nil"/>
              <w:left w:val="nil"/>
              <w:bottom w:val="nil"/>
              <w:right w:val="nil"/>
            </w:tcBorders>
            <w:noWrap/>
            <w:vAlign w:val="center"/>
            <w:hideMark/>
          </w:tcPr>
          <w:p w14:paraId="2C9002D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g</w:t>
            </w:r>
          </w:p>
        </w:tc>
      </w:tr>
      <w:tr w:rsidR="00862F28" w:rsidRPr="006557F6" w14:paraId="0D3489A9" w14:textId="77777777" w:rsidTr="00730A59">
        <w:trPr>
          <w:trHeight w:val="288"/>
        </w:trPr>
        <w:tc>
          <w:tcPr>
            <w:tcW w:w="814" w:type="pct"/>
            <w:tcBorders>
              <w:top w:val="nil"/>
              <w:left w:val="nil"/>
              <w:bottom w:val="nil"/>
              <w:right w:val="nil"/>
            </w:tcBorders>
            <w:noWrap/>
            <w:vAlign w:val="center"/>
            <w:hideMark/>
          </w:tcPr>
          <w:p w14:paraId="025AF915"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T8</w:t>
            </w:r>
          </w:p>
        </w:tc>
        <w:tc>
          <w:tcPr>
            <w:tcW w:w="381" w:type="pct"/>
            <w:tcBorders>
              <w:top w:val="nil"/>
              <w:left w:val="nil"/>
              <w:bottom w:val="nil"/>
              <w:right w:val="nil"/>
            </w:tcBorders>
            <w:noWrap/>
            <w:vAlign w:val="center"/>
            <w:hideMark/>
          </w:tcPr>
          <w:p w14:paraId="19D062D2"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4.89</w:t>
            </w:r>
          </w:p>
        </w:tc>
        <w:tc>
          <w:tcPr>
            <w:tcW w:w="339" w:type="pct"/>
            <w:tcBorders>
              <w:top w:val="nil"/>
              <w:left w:val="nil"/>
              <w:bottom w:val="nil"/>
              <w:right w:val="nil"/>
            </w:tcBorders>
            <w:noWrap/>
            <w:vAlign w:val="center"/>
            <w:hideMark/>
          </w:tcPr>
          <w:p w14:paraId="6A6BDA1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bcd</w:t>
            </w:r>
          </w:p>
        </w:tc>
        <w:tc>
          <w:tcPr>
            <w:tcW w:w="414" w:type="pct"/>
            <w:tcBorders>
              <w:top w:val="nil"/>
              <w:left w:val="nil"/>
              <w:bottom w:val="nil"/>
              <w:right w:val="nil"/>
            </w:tcBorders>
            <w:noWrap/>
            <w:vAlign w:val="center"/>
            <w:hideMark/>
          </w:tcPr>
          <w:p w14:paraId="4699BED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1.73</w:t>
            </w:r>
          </w:p>
        </w:tc>
        <w:tc>
          <w:tcPr>
            <w:tcW w:w="206" w:type="pct"/>
            <w:tcBorders>
              <w:top w:val="nil"/>
              <w:left w:val="nil"/>
              <w:bottom w:val="nil"/>
              <w:right w:val="nil"/>
            </w:tcBorders>
            <w:noWrap/>
            <w:vAlign w:val="center"/>
            <w:hideMark/>
          </w:tcPr>
          <w:p w14:paraId="133AA023" w14:textId="54CF5AF3" w:rsidR="00862F28" w:rsidRPr="006557F6" w:rsidRDefault="00B91E5A" w:rsidP="00830578">
            <w:pPr>
              <w:spacing w:before="60" w:after="60"/>
              <w:rPr>
                <w:rFonts w:ascii="Arial" w:hAnsi="Arial" w:cs="Arial"/>
                <w:color w:val="000000"/>
              </w:rPr>
            </w:pPr>
            <w:r w:rsidRPr="006557F6">
              <w:rPr>
                <w:rFonts w:ascii="Arial" w:hAnsi="Arial" w:cs="Arial"/>
                <w:color w:val="000000"/>
              </w:rPr>
              <w:t>D</w:t>
            </w:r>
          </w:p>
        </w:tc>
        <w:tc>
          <w:tcPr>
            <w:tcW w:w="521" w:type="pct"/>
            <w:tcBorders>
              <w:top w:val="nil"/>
              <w:left w:val="nil"/>
              <w:bottom w:val="nil"/>
              <w:right w:val="nil"/>
            </w:tcBorders>
            <w:noWrap/>
            <w:vAlign w:val="center"/>
          </w:tcPr>
          <w:p w14:paraId="4B1E1F61"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744.25</w:t>
            </w:r>
          </w:p>
        </w:tc>
        <w:tc>
          <w:tcPr>
            <w:tcW w:w="288" w:type="pct"/>
            <w:tcBorders>
              <w:top w:val="nil"/>
              <w:left w:val="nil"/>
              <w:bottom w:val="nil"/>
              <w:right w:val="nil"/>
            </w:tcBorders>
            <w:noWrap/>
            <w:vAlign w:val="center"/>
          </w:tcPr>
          <w:p w14:paraId="5DA69CB6" w14:textId="3B6751D7" w:rsidR="00862F28" w:rsidRPr="006557F6" w:rsidRDefault="00830578" w:rsidP="00830578">
            <w:pPr>
              <w:spacing w:before="60" w:after="60"/>
              <w:rPr>
                <w:rFonts w:ascii="Arial" w:hAnsi="Arial" w:cs="Arial"/>
                <w:color w:val="000000"/>
              </w:rPr>
            </w:pPr>
            <w:r w:rsidRPr="006557F6">
              <w:rPr>
                <w:rFonts w:ascii="Arial" w:hAnsi="Arial" w:cs="Arial"/>
                <w:color w:val="000000"/>
              </w:rPr>
              <w:t>C</w:t>
            </w:r>
          </w:p>
        </w:tc>
        <w:tc>
          <w:tcPr>
            <w:tcW w:w="485" w:type="pct"/>
            <w:tcBorders>
              <w:top w:val="nil"/>
              <w:left w:val="nil"/>
              <w:bottom w:val="nil"/>
              <w:right w:val="nil"/>
            </w:tcBorders>
            <w:noWrap/>
            <w:vAlign w:val="center"/>
            <w:hideMark/>
          </w:tcPr>
          <w:p w14:paraId="5BD6CF1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26.77</w:t>
            </w:r>
          </w:p>
        </w:tc>
        <w:tc>
          <w:tcPr>
            <w:tcW w:w="206" w:type="pct"/>
            <w:tcBorders>
              <w:top w:val="nil"/>
              <w:left w:val="nil"/>
              <w:bottom w:val="nil"/>
              <w:right w:val="nil"/>
            </w:tcBorders>
            <w:noWrap/>
            <w:vAlign w:val="center"/>
            <w:hideMark/>
          </w:tcPr>
          <w:p w14:paraId="5AD4023E"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b</w:t>
            </w:r>
          </w:p>
        </w:tc>
        <w:tc>
          <w:tcPr>
            <w:tcW w:w="484" w:type="pct"/>
            <w:tcBorders>
              <w:top w:val="nil"/>
              <w:left w:val="nil"/>
              <w:bottom w:val="nil"/>
              <w:right w:val="nil"/>
            </w:tcBorders>
            <w:noWrap/>
            <w:vAlign w:val="center"/>
            <w:hideMark/>
          </w:tcPr>
          <w:p w14:paraId="1266F0A6"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82.50</w:t>
            </w:r>
          </w:p>
        </w:tc>
        <w:tc>
          <w:tcPr>
            <w:tcW w:w="206" w:type="pct"/>
            <w:tcBorders>
              <w:top w:val="nil"/>
              <w:left w:val="nil"/>
              <w:bottom w:val="nil"/>
              <w:right w:val="nil"/>
            </w:tcBorders>
            <w:noWrap/>
            <w:vAlign w:val="center"/>
            <w:hideMark/>
          </w:tcPr>
          <w:p w14:paraId="122AC7E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d</w:t>
            </w:r>
          </w:p>
        </w:tc>
        <w:tc>
          <w:tcPr>
            <w:tcW w:w="451" w:type="pct"/>
            <w:tcBorders>
              <w:top w:val="nil"/>
              <w:left w:val="nil"/>
              <w:bottom w:val="nil"/>
              <w:right w:val="nil"/>
            </w:tcBorders>
            <w:noWrap/>
            <w:vAlign w:val="center"/>
            <w:hideMark/>
          </w:tcPr>
          <w:p w14:paraId="0E43BA38"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16.01</w:t>
            </w:r>
          </w:p>
        </w:tc>
        <w:tc>
          <w:tcPr>
            <w:tcW w:w="206" w:type="pct"/>
            <w:tcBorders>
              <w:top w:val="nil"/>
              <w:left w:val="nil"/>
              <w:bottom w:val="nil"/>
              <w:right w:val="nil"/>
            </w:tcBorders>
            <w:noWrap/>
            <w:vAlign w:val="center"/>
            <w:hideMark/>
          </w:tcPr>
          <w:p w14:paraId="574BACE4"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b</w:t>
            </w:r>
          </w:p>
        </w:tc>
      </w:tr>
      <w:tr w:rsidR="00862F28" w:rsidRPr="006557F6" w14:paraId="73FE33D2" w14:textId="77777777" w:rsidTr="00730A59">
        <w:trPr>
          <w:trHeight w:val="288"/>
        </w:trPr>
        <w:tc>
          <w:tcPr>
            <w:tcW w:w="814" w:type="pct"/>
            <w:tcBorders>
              <w:top w:val="nil"/>
              <w:left w:val="nil"/>
              <w:bottom w:val="nil"/>
              <w:right w:val="nil"/>
            </w:tcBorders>
            <w:noWrap/>
            <w:vAlign w:val="center"/>
            <w:hideMark/>
          </w:tcPr>
          <w:p w14:paraId="3391E246"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T9</w:t>
            </w:r>
          </w:p>
        </w:tc>
        <w:tc>
          <w:tcPr>
            <w:tcW w:w="381" w:type="pct"/>
            <w:tcBorders>
              <w:top w:val="nil"/>
              <w:left w:val="nil"/>
              <w:bottom w:val="nil"/>
              <w:right w:val="nil"/>
            </w:tcBorders>
            <w:noWrap/>
            <w:vAlign w:val="center"/>
            <w:hideMark/>
          </w:tcPr>
          <w:p w14:paraId="6D0F9B7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4.88</w:t>
            </w:r>
          </w:p>
        </w:tc>
        <w:tc>
          <w:tcPr>
            <w:tcW w:w="339" w:type="pct"/>
            <w:tcBorders>
              <w:top w:val="nil"/>
              <w:left w:val="nil"/>
              <w:bottom w:val="nil"/>
              <w:right w:val="nil"/>
            </w:tcBorders>
            <w:noWrap/>
            <w:vAlign w:val="center"/>
            <w:hideMark/>
          </w:tcPr>
          <w:p w14:paraId="0ACC8F4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cd</w:t>
            </w:r>
          </w:p>
        </w:tc>
        <w:tc>
          <w:tcPr>
            <w:tcW w:w="414" w:type="pct"/>
            <w:tcBorders>
              <w:top w:val="nil"/>
              <w:left w:val="nil"/>
              <w:bottom w:val="nil"/>
              <w:right w:val="nil"/>
            </w:tcBorders>
            <w:noWrap/>
            <w:vAlign w:val="center"/>
            <w:hideMark/>
          </w:tcPr>
          <w:p w14:paraId="64A18FA6"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1.76</w:t>
            </w:r>
          </w:p>
        </w:tc>
        <w:tc>
          <w:tcPr>
            <w:tcW w:w="206" w:type="pct"/>
            <w:tcBorders>
              <w:top w:val="nil"/>
              <w:left w:val="nil"/>
              <w:bottom w:val="nil"/>
              <w:right w:val="nil"/>
            </w:tcBorders>
            <w:noWrap/>
            <w:vAlign w:val="center"/>
            <w:hideMark/>
          </w:tcPr>
          <w:p w14:paraId="2510D2FC" w14:textId="1D68B8EB" w:rsidR="00862F28" w:rsidRPr="006557F6" w:rsidRDefault="00B91E5A" w:rsidP="00830578">
            <w:pPr>
              <w:spacing w:before="60" w:after="60"/>
              <w:rPr>
                <w:rFonts w:ascii="Arial" w:hAnsi="Arial" w:cs="Arial"/>
                <w:color w:val="000000"/>
              </w:rPr>
            </w:pPr>
            <w:r w:rsidRPr="006557F6">
              <w:rPr>
                <w:rFonts w:ascii="Arial" w:hAnsi="Arial" w:cs="Arial"/>
                <w:color w:val="000000"/>
              </w:rPr>
              <w:t>B</w:t>
            </w:r>
          </w:p>
        </w:tc>
        <w:tc>
          <w:tcPr>
            <w:tcW w:w="521" w:type="pct"/>
            <w:tcBorders>
              <w:top w:val="nil"/>
              <w:left w:val="nil"/>
              <w:bottom w:val="nil"/>
              <w:right w:val="nil"/>
            </w:tcBorders>
            <w:noWrap/>
            <w:vAlign w:val="center"/>
          </w:tcPr>
          <w:p w14:paraId="117AD4C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721.00</w:t>
            </w:r>
          </w:p>
        </w:tc>
        <w:tc>
          <w:tcPr>
            <w:tcW w:w="288" w:type="pct"/>
            <w:tcBorders>
              <w:top w:val="nil"/>
              <w:left w:val="nil"/>
              <w:bottom w:val="nil"/>
              <w:right w:val="nil"/>
            </w:tcBorders>
            <w:noWrap/>
            <w:vAlign w:val="center"/>
          </w:tcPr>
          <w:p w14:paraId="3042B2B6" w14:textId="06664B8E" w:rsidR="00862F28" w:rsidRPr="006557F6" w:rsidRDefault="00830578" w:rsidP="00830578">
            <w:pPr>
              <w:spacing w:before="60" w:after="60"/>
              <w:rPr>
                <w:rFonts w:ascii="Arial" w:hAnsi="Arial" w:cs="Arial"/>
                <w:color w:val="000000"/>
              </w:rPr>
            </w:pPr>
            <w:r w:rsidRPr="006557F6">
              <w:rPr>
                <w:rFonts w:ascii="Arial" w:hAnsi="Arial" w:cs="Arial"/>
                <w:color w:val="000000"/>
              </w:rPr>
              <w:t>D</w:t>
            </w:r>
          </w:p>
        </w:tc>
        <w:tc>
          <w:tcPr>
            <w:tcW w:w="485" w:type="pct"/>
            <w:tcBorders>
              <w:top w:val="nil"/>
              <w:left w:val="nil"/>
              <w:bottom w:val="nil"/>
              <w:right w:val="nil"/>
            </w:tcBorders>
            <w:noWrap/>
            <w:vAlign w:val="center"/>
            <w:hideMark/>
          </w:tcPr>
          <w:p w14:paraId="09CEBBB9"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26.06</w:t>
            </w:r>
          </w:p>
        </w:tc>
        <w:tc>
          <w:tcPr>
            <w:tcW w:w="206" w:type="pct"/>
            <w:tcBorders>
              <w:top w:val="nil"/>
              <w:left w:val="nil"/>
              <w:bottom w:val="nil"/>
              <w:right w:val="nil"/>
            </w:tcBorders>
            <w:noWrap/>
            <w:vAlign w:val="center"/>
            <w:hideMark/>
          </w:tcPr>
          <w:p w14:paraId="5B04663F"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c</w:t>
            </w:r>
          </w:p>
        </w:tc>
        <w:tc>
          <w:tcPr>
            <w:tcW w:w="484" w:type="pct"/>
            <w:tcBorders>
              <w:top w:val="nil"/>
              <w:left w:val="nil"/>
              <w:bottom w:val="nil"/>
              <w:right w:val="nil"/>
            </w:tcBorders>
            <w:noWrap/>
            <w:vAlign w:val="center"/>
            <w:hideMark/>
          </w:tcPr>
          <w:p w14:paraId="52D36803"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84.60</w:t>
            </w:r>
          </w:p>
        </w:tc>
        <w:tc>
          <w:tcPr>
            <w:tcW w:w="206" w:type="pct"/>
            <w:tcBorders>
              <w:top w:val="nil"/>
              <w:left w:val="nil"/>
              <w:bottom w:val="nil"/>
              <w:right w:val="nil"/>
            </w:tcBorders>
            <w:noWrap/>
            <w:vAlign w:val="center"/>
            <w:hideMark/>
          </w:tcPr>
          <w:p w14:paraId="134A0EDD"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b</w:t>
            </w:r>
          </w:p>
        </w:tc>
        <w:tc>
          <w:tcPr>
            <w:tcW w:w="451" w:type="pct"/>
            <w:tcBorders>
              <w:top w:val="nil"/>
              <w:left w:val="nil"/>
              <w:bottom w:val="nil"/>
              <w:right w:val="nil"/>
            </w:tcBorders>
            <w:noWrap/>
            <w:vAlign w:val="center"/>
            <w:hideMark/>
          </w:tcPr>
          <w:p w14:paraId="1B28EA9C"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15.58</w:t>
            </w:r>
          </w:p>
        </w:tc>
        <w:tc>
          <w:tcPr>
            <w:tcW w:w="206" w:type="pct"/>
            <w:tcBorders>
              <w:top w:val="nil"/>
              <w:left w:val="nil"/>
              <w:bottom w:val="nil"/>
              <w:right w:val="nil"/>
            </w:tcBorders>
            <w:noWrap/>
            <w:vAlign w:val="center"/>
            <w:hideMark/>
          </w:tcPr>
          <w:p w14:paraId="0BBD309A" w14:textId="77777777" w:rsidR="00862F28" w:rsidRPr="006557F6" w:rsidRDefault="00862F28" w:rsidP="00830578">
            <w:pPr>
              <w:spacing w:before="60" w:after="60"/>
              <w:rPr>
                <w:rFonts w:ascii="Arial" w:hAnsi="Arial" w:cs="Arial"/>
                <w:color w:val="000000"/>
              </w:rPr>
            </w:pPr>
            <w:r w:rsidRPr="006557F6">
              <w:rPr>
                <w:rFonts w:ascii="Arial" w:hAnsi="Arial" w:cs="Arial"/>
                <w:color w:val="000000"/>
              </w:rPr>
              <w:t>c</w:t>
            </w:r>
          </w:p>
        </w:tc>
      </w:tr>
      <w:tr w:rsidR="00862F28" w:rsidRPr="006557F6" w14:paraId="0DE69C64" w14:textId="77777777" w:rsidTr="00730A59">
        <w:trPr>
          <w:trHeight w:val="288"/>
        </w:trPr>
        <w:tc>
          <w:tcPr>
            <w:tcW w:w="814" w:type="pct"/>
            <w:tcBorders>
              <w:top w:val="single" w:sz="4" w:space="0" w:color="auto"/>
              <w:left w:val="nil"/>
              <w:bottom w:val="nil"/>
              <w:right w:val="nil"/>
            </w:tcBorders>
            <w:noWrap/>
            <w:vAlign w:val="center"/>
            <w:hideMark/>
          </w:tcPr>
          <w:p w14:paraId="7A17021C" w14:textId="77777777" w:rsidR="00862F28" w:rsidRPr="006557F6" w:rsidRDefault="00862F28" w:rsidP="00830578">
            <w:pPr>
              <w:spacing w:before="60" w:after="60"/>
              <w:rPr>
                <w:rFonts w:ascii="Arial" w:hAnsi="Arial" w:cs="Arial"/>
                <w:b/>
                <w:bCs/>
                <w:color w:val="000000"/>
              </w:rPr>
            </w:pPr>
            <w:r w:rsidRPr="006557F6">
              <w:rPr>
                <w:rFonts w:ascii="Arial" w:hAnsi="Arial" w:cs="Arial"/>
                <w:b/>
                <w:bCs/>
                <w:color w:val="000000"/>
              </w:rPr>
              <w:t>LSD</w:t>
            </w:r>
            <w:r w:rsidRPr="006557F6">
              <w:rPr>
                <w:rFonts w:ascii="Arial" w:hAnsi="Arial" w:cs="Arial"/>
                <w:b/>
                <w:bCs/>
                <w:color w:val="000000"/>
                <w:vertAlign w:val="subscript"/>
              </w:rPr>
              <w:t>0.05</w:t>
            </w:r>
          </w:p>
        </w:tc>
        <w:tc>
          <w:tcPr>
            <w:tcW w:w="720" w:type="pct"/>
            <w:gridSpan w:val="2"/>
            <w:tcBorders>
              <w:top w:val="single" w:sz="4" w:space="0" w:color="auto"/>
              <w:left w:val="nil"/>
              <w:bottom w:val="nil"/>
              <w:right w:val="nil"/>
            </w:tcBorders>
            <w:noWrap/>
            <w:vAlign w:val="center"/>
            <w:hideMark/>
          </w:tcPr>
          <w:p w14:paraId="698312C6"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0.03</w:t>
            </w:r>
          </w:p>
        </w:tc>
        <w:tc>
          <w:tcPr>
            <w:tcW w:w="620" w:type="pct"/>
            <w:gridSpan w:val="2"/>
            <w:tcBorders>
              <w:top w:val="single" w:sz="4" w:space="0" w:color="auto"/>
              <w:left w:val="nil"/>
              <w:bottom w:val="nil"/>
              <w:right w:val="nil"/>
            </w:tcBorders>
            <w:noWrap/>
            <w:vAlign w:val="center"/>
            <w:hideMark/>
          </w:tcPr>
          <w:p w14:paraId="64742964"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2.43</w:t>
            </w:r>
          </w:p>
        </w:tc>
        <w:tc>
          <w:tcPr>
            <w:tcW w:w="809" w:type="pct"/>
            <w:gridSpan w:val="2"/>
            <w:tcBorders>
              <w:top w:val="single" w:sz="4" w:space="0" w:color="auto"/>
              <w:left w:val="nil"/>
              <w:bottom w:val="nil"/>
              <w:right w:val="nil"/>
            </w:tcBorders>
            <w:noWrap/>
            <w:vAlign w:val="center"/>
            <w:hideMark/>
          </w:tcPr>
          <w:p w14:paraId="5764DE02"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7.59</w:t>
            </w:r>
          </w:p>
        </w:tc>
        <w:tc>
          <w:tcPr>
            <w:tcW w:w="691" w:type="pct"/>
            <w:gridSpan w:val="2"/>
            <w:tcBorders>
              <w:top w:val="single" w:sz="4" w:space="0" w:color="auto"/>
              <w:left w:val="nil"/>
              <w:bottom w:val="nil"/>
              <w:right w:val="nil"/>
            </w:tcBorders>
            <w:noWrap/>
            <w:vAlign w:val="center"/>
            <w:hideMark/>
          </w:tcPr>
          <w:p w14:paraId="53A5D628"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0.01</w:t>
            </w:r>
          </w:p>
        </w:tc>
        <w:tc>
          <w:tcPr>
            <w:tcW w:w="690" w:type="pct"/>
            <w:gridSpan w:val="2"/>
            <w:tcBorders>
              <w:top w:val="single" w:sz="4" w:space="0" w:color="auto"/>
              <w:left w:val="nil"/>
              <w:bottom w:val="nil"/>
              <w:right w:val="nil"/>
            </w:tcBorders>
            <w:noWrap/>
            <w:vAlign w:val="center"/>
            <w:hideMark/>
          </w:tcPr>
          <w:p w14:paraId="1C1597CC"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0.007</w:t>
            </w:r>
          </w:p>
        </w:tc>
        <w:tc>
          <w:tcPr>
            <w:tcW w:w="657" w:type="pct"/>
            <w:gridSpan w:val="2"/>
            <w:tcBorders>
              <w:top w:val="single" w:sz="4" w:space="0" w:color="auto"/>
              <w:left w:val="nil"/>
              <w:bottom w:val="nil"/>
              <w:right w:val="nil"/>
            </w:tcBorders>
            <w:noWrap/>
            <w:vAlign w:val="center"/>
            <w:hideMark/>
          </w:tcPr>
          <w:p w14:paraId="036D29BB"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0.005</w:t>
            </w:r>
          </w:p>
        </w:tc>
      </w:tr>
      <w:tr w:rsidR="00862F28" w:rsidRPr="006557F6" w14:paraId="65517FD4" w14:textId="77777777" w:rsidTr="00730A59">
        <w:trPr>
          <w:trHeight w:val="288"/>
        </w:trPr>
        <w:tc>
          <w:tcPr>
            <w:tcW w:w="814" w:type="pct"/>
            <w:tcBorders>
              <w:top w:val="nil"/>
              <w:left w:val="nil"/>
              <w:bottom w:val="nil"/>
              <w:right w:val="nil"/>
            </w:tcBorders>
            <w:noWrap/>
            <w:vAlign w:val="center"/>
            <w:hideMark/>
          </w:tcPr>
          <w:p w14:paraId="630A574E" w14:textId="77777777" w:rsidR="00862F28" w:rsidRPr="006557F6" w:rsidRDefault="00862F28" w:rsidP="00830578">
            <w:pPr>
              <w:spacing w:before="60" w:after="60"/>
              <w:rPr>
                <w:rFonts w:ascii="Arial" w:hAnsi="Arial" w:cs="Arial"/>
                <w:b/>
                <w:bCs/>
                <w:color w:val="000000"/>
              </w:rPr>
            </w:pPr>
            <w:r w:rsidRPr="006557F6">
              <w:rPr>
                <w:rFonts w:ascii="Arial" w:hAnsi="Arial" w:cs="Arial"/>
                <w:b/>
                <w:bCs/>
                <w:color w:val="000000"/>
              </w:rPr>
              <w:t>Pr &gt; F</w:t>
            </w:r>
          </w:p>
        </w:tc>
        <w:tc>
          <w:tcPr>
            <w:tcW w:w="720" w:type="pct"/>
            <w:gridSpan w:val="2"/>
            <w:tcBorders>
              <w:top w:val="nil"/>
              <w:left w:val="nil"/>
              <w:bottom w:val="nil"/>
              <w:right w:val="nil"/>
            </w:tcBorders>
            <w:noWrap/>
            <w:vAlign w:val="center"/>
            <w:hideMark/>
          </w:tcPr>
          <w:p w14:paraId="49C6A9BD"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w:t>
            </w:r>
          </w:p>
        </w:tc>
        <w:tc>
          <w:tcPr>
            <w:tcW w:w="620" w:type="pct"/>
            <w:gridSpan w:val="2"/>
            <w:tcBorders>
              <w:top w:val="nil"/>
              <w:left w:val="nil"/>
              <w:bottom w:val="nil"/>
              <w:right w:val="nil"/>
            </w:tcBorders>
            <w:noWrap/>
            <w:vAlign w:val="center"/>
            <w:hideMark/>
          </w:tcPr>
          <w:p w14:paraId="656A8C54"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w:t>
            </w:r>
          </w:p>
        </w:tc>
        <w:tc>
          <w:tcPr>
            <w:tcW w:w="809" w:type="pct"/>
            <w:gridSpan w:val="2"/>
            <w:tcBorders>
              <w:top w:val="nil"/>
              <w:left w:val="nil"/>
              <w:bottom w:val="nil"/>
              <w:right w:val="nil"/>
            </w:tcBorders>
            <w:noWrap/>
            <w:vAlign w:val="center"/>
            <w:hideMark/>
          </w:tcPr>
          <w:p w14:paraId="43965618"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w:t>
            </w:r>
          </w:p>
        </w:tc>
        <w:tc>
          <w:tcPr>
            <w:tcW w:w="691" w:type="pct"/>
            <w:gridSpan w:val="2"/>
            <w:tcBorders>
              <w:top w:val="nil"/>
              <w:left w:val="nil"/>
              <w:bottom w:val="nil"/>
              <w:right w:val="nil"/>
            </w:tcBorders>
            <w:noWrap/>
            <w:vAlign w:val="center"/>
            <w:hideMark/>
          </w:tcPr>
          <w:p w14:paraId="7971BFEA"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w:t>
            </w:r>
          </w:p>
        </w:tc>
        <w:tc>
          <w:tcPr>
            <w:tcW w:w="690" w:type="pct"/>
            <w:gridSpan w:val="2"/>
            <w:tcBorders>
              <w:top w:val="nil"/>
              <w:left w:val="nil"/>
              <w:bottom w:val="nil"/>
              <w:right w:val="nil"/>
            </w:tcBorders>
            <w:noWrap/>
            <w:vAlign w:val="center"/>
            <w:hideMark/>
          </w:tcPr>
          <w:p w14:paraId="1BDC751D"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w:t>
            </w:r>
          </w:p>
        </w:tc>
        <w:tc>
          <w:tcPr>
            <w:tcW w:w="657" w:type="pct"/>
            <w:gridSpan w:val="2"/>
            <w:tcBorders>
              <w:top w:val="nil"/>
              <w:left w:val="nil"/>
              <w:bottom w:val="nil"/>
              <w:right w:val="nil"/>
            </w:tcBorders>
            <w:noWrap/>
            <w:vAlign w:val="center"/>
            <w:hideMark/>
          </w:tcPr>
          <w:p w14:paraId="73858BCF"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w:t>
            </w:r>
          </w:p>
        </w:tc>
      </w:tr>
      <w:tr w:rsidR="00862F28" w:rsidRPr="006557F6" w14:paraId="7B42F978" w14:textId="77777777" w:rsidTr="00730A59">
        <w:trPr>
          <w:trHeight w:val="288"/>
        </w:trPr>
        <w:tc>
          <w:tcPr>
            <w:tcW w:w="814" w:type="pct"/>
            <w:tcBorders>
              <w:top w:val="nil"/>
              <w:left w:val="nil"/>
              <w:bottom w:val="single" w:sz="4" w:space="0" w:color="auto"/>
              <w:right w:val="nil"/>
            </w:tcBorders>
            <w:noWrap/>
            <w:vAlign w:val="center"/>
            <w:hideMark/>
          </w:tcPr>
          <w:p w14:paraId="02A1DD22" w14:textId="77777777" w:rsidR="00862F28" w:rsidRPr="006557F6" w:rsidRDefault="00862F28" w:rsidP="00830578">
            <w:pPr>
              <w:spacing w:before="60" w:after="60"/>
              <w:rPr>
                <w:rFonts w:ascii="Arial" w:hAnsi="Arial" w:cs="Arial"/>
                <w:b/>
                <w:bCs/>
                <w:color w:val="000000"/>
              </w:rPr>
            </w:pPr>
            <w:r w:rsidRPr="006557F6">
              <w:rPr>
                <w:rFonts w:ascii="Arial" w:hAnsi="Arial" w:cs="Arial"/>
                <w:b/>
                <w:bCs/>
                <w:color w:val="000000"/>
              </w:rPr>
              <w:t>CV%</w:t>
            </w:r>
          </w:p>
        </w:tc>
        <w:tc>
          <w:tcPr>
            <w:tcW w:w="720" w:type="pct"/>
            <w:gridSpan w:val="2"/>
            <w:tcBorders>
              <w:top w:val="nil"/>
              <w:left w:val="nil"/>
              <w:bottom w:val="single" w:sz="4" w:space="0" w:color="auto"/>
              <w:right w:val="nil"/>
            </w:tcBorders>
            <w:noWrap/>
            <w:vAlign w:val="center"/>
            <w:hideMark/>
          </w:tcPr>
          <w:p w14:paraId="7C676219"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0.47</w:t>
            </w:r>
          </w:p>
        </w:tc>
        <w:tc>
          <w:tcPr>
            <w:tcW w:w="620" w:type="pct"/>
            <w:gridSpan w:val="2"/>
            <w:tcBorders>
              <w:top w:val="nil"/>
              <w:left w:val="nil"/>
              <w:bottom w:val="single" w:sz="4" w:space="0" w:color="auto"/>
              <w:right w:val="nil"/>
            </w:tcBorders>
            <w:noWrap/>
            <w:vAlign w:val="center"/>
            <w:hideMark/>
          </w:tcPr>
          <w:p w14:paraId="252B5F48"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0.1</w:t>
            </w:r>
          </w:p>
        </w:tc>
        <w:tc>
          <w:tcPr>
            <w:tcW w:w="809" w:type="pct"/>
            <w:gridSpan w:val="2"/>
            <w:tcBorders>
              <w:top w:val="nil"/>
              <w:left w:val="nil"/>
              <w:bottom w:val="single" w:sz="4" w:space="0" w:color="auto"/>
              <w:right w:val="nil"/>
            </w:tcBorders>
            <w:noWrap/>
            <w:vAlign w:val="center"/>
            <w:hideMark/>
          </w:tcPr>
          <w:p w14:paraId="0BF30CEC"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0.71</w:t>
            </w:r>
          </w:p>
        </w:tc>
        <w:tc>
          <w:tcPr>
            <w:tcW w:w="691" w:type="pct"/>
            <w:gridSpan w:val="2"/>
            <w:tcBorders>
              <w:top w:val="nil"/>
              <w:left w:val="nil"/>
              <w:bottom w:val="single" w:sz="4" w:space="0" w:color="auto"/>
              <w:right w:val="nil"/>
            </w:tcBorders>
            <w:noWrap/>
            <w:vAlign w:val="center"/>
            <w:hideMark/>
          </w:tcPr>
          <w:p w14:paraId="06438351"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0.02</w:t>
            </w:r>
          </w:p>
        </w:tc>
        <w:tc>
          <w:tcPr>
            <w:tcW w:w="690" w:type="pct"/>
            <w:gridSpan w:val="2"/>
            <w:tcBorders>
              <w:top w:val="nil"/>
              <w:left w:val="nil"/>
              <w:bottom w:val="single" w:sz="4" w:space="0" w:color="auto"/>
              <w:right w:val="nil"/>
            </w:tcBorders>
            <w:noWrap/>
            <w:vAlign w:val="center"/>
            <w:hideMark/>
          </w:tcPr>
          <w:p w14:paraId="67117C23"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0.01</w:t>
            </w:r>
          </w:p>
        </w:tc>
        <w:tc>
          <w:tcPr>
            <w:tcW w:w="657" w:type="pct"/>
            <w:gridSpan w:val="2"/>
            <w:tcBorders>
              <w:top w:val="nil"/>
              <w:left w:val="nil"/>
              <w:bottom w:val="single" w:sz="4" w:space="0" w:color="auto"/>
              <w:right w:val="nil"/>
            </w:tcBorders>
            <w:noWrap/>
            <w:vAlign w:val="center"/>
            <w:hideMark/>
          </w:tcPr>
          <w:p w14:paraId="24D43005" w14:textId="77777777" w:rsidR="00862F28" w:rsidRPr="006557F6" w:rsidRDefault="00862F28" w:rsidP="00830578">
            <w:pPr>
              <w:spacing w:before="60" w:after="60"/>
              <w:jc w:val="center"/>
              <w:rPr>
                <w:rFonts w:ascii="Arial" w:hAnsi="Arial" w:cs="Arial"/>
                <w:color w:val="000000"/>
              </w:rPr>
            </w:pPr>
            <w:r w:rsidRPr="006557F6">
              <w:rPr>
                <w:rFonts w:ascii="Arial" w:hAnsi="Arial" w:cs="Arial"/>
                <w:color w:val="000000"/>
              </w:rPr>
              <w:t>0.02</w:t>
            </w:r>
          </w:p>
        </w:tc>
      </w:tr>
    </w:tbl>
    <w:p w14:paraId="1E74DA0C" w14:textId="77777777" w:rsidR="00862F28" w:rsidRDefault="00862F28" w:rsidP="00AF7BE9">
      <w:pPr>
        <w:spacing w:before="100" w:after="100"/>
        <w:ind w:firstLine="720"/>
        <w:rPr>
          <w:rFonts w:ascii="Arial" w:hAnsi="Arial" w:cs="Arial"/>
        </w:rPr>
      </w:pPr>
    </w:p>
    <w:p w14:paraId="35137D94" w14:textId="77777777" w:rsidR="00650980" w:rsidRDefault="00650980" w:rsidP="00AF7BE9">
      <w:pPr>
        <w:spacing w:after="120"/>
        <w:jc w:val="both"/>
        <w:rPr>
          <w:color w:val="111827"/>
          <w:spacing w:val="5"/>
          <w:bdr w:val="single" w:sz="2" w:space="0" w:color="E3E3E3" w:frame="1"/>
        </w:rPr>
      </w:pPr>
    </w:p>
    <w:p w14:paraId="51D7F29E" w14:textId="030385AE" w:rsidR="00650980" w:rsidRDefault="00650980" w:rsidP="00650980">
      <w:pPr>
        <w:spacing w:before="240" w:after="240"/>
        <w:ind w:left="900" w:hanging="900"/>
        <w:rPr>
          <w:b/>
          <w:bCs/>
        </w:rPr>
      </w:pPr>
    </w:p>
    <w:p w14:paraId="392C039B" w14:textId="68932F45" w:rsidR="004E614A" w:rsidRDefault="004E614A" w:rsidP="00650980">
      <w:pPr>
        <w:spacing w:before="240" w:after="240"/>
        <w:ind w:left="900" w:hanging="900"/>
        <w:rPr>
          <w:b/>
          <w:bCs/>
        </w:rPr>
      </w:pPr>
    </w:p>
    <w:p w14:paraId="7189525D" w14:textId="3C29B3FE" w:rsidR="004E614A" w:rsidRDefault="004E614A" w:rsidP="00650980">
      <w:pPr>
        <w:spacing w:before="240" w:after="240"/>
        <w:ind w:left="900" w:hanging="900"/>
        <w:rPr>
          <w:b/>
          <w:bCs/>
        </w:rPr>
      </w:pPr>
    </w:p>
    <w:p w14:paraId="26EAFB01" w14:textId="1FAC2623" w:rsidR="004E614A" w:rsidRDefault="004E614A" w:rsidP="00650980">
      <w:pPr>
        <w:spacing w:before="240" w:after="240"/>
        <w:ind w:left="900" w:hanging="900"/>
        <w:rPr>
          <w:b/>
          <w:bCs/>
        </w:rPr>
      </w:pPr>
    </w:p>
    <w:p w14:paraId="2A3FDF36" w14:textId="6F62F3EE" w:rsidR="004E614A" w:rsidRDefault="004E614A" w:rsidP="00650980">
      <w:pPr>
        <w:spacing w:before="240" w:after="240"/>
        <w:ind w:left="900" w:hanging="900"/>
        <w:rPr>
          <w:b/>
          <w:bCs/>
        </w:rPr>
      </w:pPr>
    </w:p>
    <w:p w14:paraId="4234DF15" w14:textId="015EF895" w:rsidR="004E614A" w:rsidRDefault="004E614A" w:rsidP="00650980">
      <w:pPr>
        <w:spacing w:before="240" w:after="240"/>
        <w:ind w:left="900" w:hanging="900"/>
        <w:rPr>
          <w:b/>
          <w:bCs/>
        </w:rPr>
      </w:pPr>
    </w:p>
    <w:p w14:paraId="33731856" w14:textId="61797B86" w:rsidR="004E614A" w:rsidRDefault="004E614A" w:rsidP="00650980">
      <w:pPr>
        <w:spacing w:before="240" w:after="240"/>
        <w:ind w:left="900" w:hanging="900"/>
        <w:rPr>
          <w:b/>
          <w:bCs/>
        </w:rPr>
      </w:pPr>
    </w:p>
    <w:p w14:paraId="0C84B8AF" w14:textId="77777777" w:rsidR="004E614A" w:rsidRPr="00092171" w:rsidRDefault="004E614A" w:rsidP="00650980">
      <w:pPr>
        <w:spacing w:before="240" w:after="240"/>
        <w:ind w:left="900" w:hanging="900"/>
        <w:rPr>
          <w:b/>
          <w:bCs/>
        </w:rPr>
      </w:pPr>
    </w:p>
    <w:p w14:paraId="64837D13" w14:textId="3B2D5C04" w:rsidR="00650980" w:rsidRPr="006557F6" w:rsidRDefault="00650980" w:rsidP="00650980">
      <w:pPr>
        <w:spacing w:before="240" w:after="240"/>
        <w:rPr>
          <w:rFonts w:ascii="Arial" w:hAnsi="Arial" w:cs="Arial"/>
          <w:b/>
        </w:rPr>
      </w:pPr>
      <w:r w:rsidRPr="006557F6">
        <w:rPr>
          <w:rFonts w:ascii="Arial" w:hAnsi="Arial" w:cs="Arial"/>
          <w:b/>
        </w:rPr>
        <w:lastRenderedPageBreak/>
        <w:t xml:space="preserve">Table </w:t>
      </w:r>
      <w:r w:rsidR="00F154F4">
        <w:rPr>
          <w:rFonts w:ascii="Arial" w:hAnsi="Arial" w:cs="Arial"/>
          <w:b/>
        </w:rPr>
        <w:t>4</w:t>
      </w:r>
      <w:r w:rsidRPr="006557F6">
        <w:rPr>
          <w:rFonts w:ascii="Arial" w:hAnsi="Arial" w:cs="Arial"/>
          <w:b/>
        </w:rPr>
        <w:t xml:space="preserve">. Correlation between soil physicochemical properties as affected by application of different organic </w:t>
      </w:r>
      <w:r w:rsidR="00B50E9B">
        <w:rPr>
          <w:rFonts w:ascii="Arial" w:hAnsi="Arial" w:cs="Arial"/>
          <w:b/>
        </w:rPr>
        <w:t>materials</w:t>
      </w:r>
    </w:p>
    <w:tbl>
      <w:tblPr>
        <w:tblW w:w="5000" w:type="pct"/>
        <w:tblLook w:val="04A0" w:firstRow="1" w:lastRow="0" w:firstColumn="1" w:lastColumn="0" w:noHBand="0" w:noVBand="1"/>
      </w:tblPr>
      <w:tblGrid>
        <w:gridCol w:w="1664"/>
        <w:gridCol w:w="1303"/>
        <w:gridCol w:w="1483"/>
        <w:gridCol w:w="1483"/>
        <w:gridCol w:w="1302"/>
        <w:gridCol w:w="1302"/>
        <w:gridCol w:w="1302"/>
        <w:gridCol w:w="1302"/>
        <w:gridCol w:w="1302"/>
        <w:gridCol w:w="1302"/>
        <w:gridCol w:w="1293"/>
      </w:tblGrid>
      <w:tr w:rsidR="00650980" w:rsidRPr="006557F6" w14:paraId="149A67D0" w14:textId="77777777" w:rsidTr="00932542">
        <w:trPr>
          <w:trHeight w:val="576"/>
        </w:trPr>
        <w:tc>
          <w:tcPr>
            <w:tcW w:w="553" w:type="pct"/>
            <w:tcBorders>
              <w:top w:val="single" w:sz="8" w:space="0" w:color="auto"/>
              <w:left w:val="nil"/>
              <w:bottom w:val="single" w:sz="4" w:space="0" w:color="auto"/>
              <w:right w:val="nil"/>
            </w:tcBorders>
            <w:noWrap/>
            <w:vAlign w:val="center"/>
            <w:hideMark/>
          </w:tcPr>
          <w:p w14:paraId="23622E67" w14:textId="77777777" w:rsidR="00650980" w:rsidRPr="006557F6" w:rsidRDefault="00650980" w:rsidP="00830578">
            <w:pPr>
              <w:spacing w:before="60" w:after="60"/>
              <w:rPr>
                <w:rFonts w:ascii="Arial" w:hAnsi="Arial" w:cs="Arial"/>
                <w:color w:val="000000"/>
              </w:rPr>
            </w:pPr>
            <w:r w:rsidRPr="006557F6">
              <w:rPr>
                <w:rFonts w:ascii="Arial" w:hAnsi="Arial" w:cs="Arial"/>
                <w:color w:val="000000"/>
              </w:rPr>
              <w:t> </w:t>
            </w:r>
          </w:p>
        </w:tc>
        <w:tc>
          <w:tcPr>
            <w:tcW w:w="433" w:type="pct"/>
            <w:tcBorders>
              <w:top w:val="single" w:sz="8" w:space="0" w:color="auto"/>
              <w:left w:val="nil"/>
              <w:bottom w:val="single" w:sz="4" w:space="0" w:color="auto"/>
              <w:right w:val="nil"/>
            </w:tcBorders>
            <w:noWrap/>
            <w:vAlign w:val="center"/>
            <w:hideMark/>
          </w:tcPr>
          <w:p w14:paraId="089AD97F"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BD</w:t>
            </w:r>
          </w:p>
        </w:tc>
        <w:tc>
          <w:tcPr>
            <w:tcW w:w="493" w:type="pct"/>
            <w:tcBorders>
              <w:top w:val="single" w:sz="8" w:space="0" w:color="auto"/>
              <w:left w:val="nil"/>
              <w:bottom w:val="single" w:sz="4" w:space="0" w:color="auto"/>
              <w:right w:val="nil"/>
            </w:tcBorders>
            <w:noWrap/>
            <w:vAlign w:val="center"/>
            <w:hideMark/>
          </w:tcPr>
          <w:p w14:paraId="379699D4"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PD</w:t>
            </w:r>
          </w:p>
        </w:tc>
        <w:tc>
          <w:tcPr>
            <w:tcW w:w="493" w:type="pct"/>
            <w:tcBorders>
              <w:top w:val="single" w:sz="8" w:space="0" w:color="auto"/>
              <w:left w:val="nil"/>
              <w:bottom w:val="single" w:sz="4" w:space="0" w:color="auto"/>
              <w:right w:val="nil"/>
            </w:tcBorders>
            <w:noWrap/>
            <w:vAlign w:val="center"/>
            <w:hideMark/>
          </w:tcPr>
          <w:p w14:paraId="279838CD"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Porosity</w:t>
            </w:r>
          </w:p>
        </w:tc>
        <w:tc>
          <w:tcPr>
            <w:tcW w:w="433" w:type="pct"/>
            <w:tcBorders>
              <w:top w:val="single" w:sz="8" w:space="0" w:color="auto"/>
              <w:left w:val="nil"/>
              <w:bottom w:val="single" w:sz="4" w:space="0" w:color="auto"/>
              <w:right w:val="nil"/>
            </w:tcBorders>
            <w:noWrap/>
            <w:vAlign w:val="center"/>
            <w:hideMark/>
          </w:tcPr>
          <w:p w14:paraId="15C7E1B3"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WHC</w:t>
            </w:r>
          </w:p>
        </w:tc>
        <w:tc>
          <w:tcPr>
            <w:tcW w:w="433" w:type="pct"/>
            <w:tcBorders>
              <w:top w:val="single" w:sz="8" w:space="0" w:color="auto"/>
              <w:left w:val="nil"/>
              <w:bottom w:val="single" w:sz="4" w:space="0" w:color="auto"/>
              <w:right w:val="nil"/>
            </w:tcBorders>
            <w:noWrap/>
            <w:vAlign w:val="center"/>
            <w:hideMark/>
          </w:tcPr>
          <w:p w14:paraId="302A3F9C"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pH</w:t>
            </w:r>
          </w:p>
        </w:tc>
        <w:tc>
          <w:tcPr>
            <w:tcW w:w="433" w:type="pct"/>
            <w:tcBorders>
              <w:top w:val="single" w:sz="8" w:space="0" w:color="auto"/>
              <w:left w:val="nil"/>
              <w:bottom w:val="single" w:sz="4" w:space="0" w:color="auto"/>
              <w:right w:val="nil"/>
            </w:tcBorders>
            <w:noWrap/>
            <w:vAlign w:val="center"/>
            <w:hideMark/>
          </w:tcPr>
          <w:p w14:paraId="5FD70442"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OC</w:t>
            </w:r>
          </w:p>
        </w:tc>
        <w:tc>
          <w:tcPr>
            <w:tcW w:w="433" w:type="pct"/>
            <w:tcBorders>
              <w:top w:val="single" w:sz="8" w:space="0" w:color="auto"/>
              <w:left w:val="nil"/>
              <w:bottom w:val="single" w:sz="4" w:space="0" w:color="auto"/>
              <w:right w:val="nil"/>
            </w:tcBorders>
            <w:noWrap/>
            <w:vAlign w:val="center"/>
            <w:hideMark/>
          </w:tcPr>
          <w:p w14:paraId="56CB47D8"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TN</w:t>
            </w:r>
          </w:p>
        </w:tc>
        <w:tc>
          <w:tcPr>
            <w:tcW w:w="433" w:type="pct"/>
            <w:tcBorders>
              <w:top w:val="single" w:sz="8" w:space="0" w:color="auto"/>
              <w:left w:val="nil"/>
              <w:bottom w:val="single" w:sz="4" w:space="0" w:color="auto"/>
              <w:right w:val="nil"/>
            </w:tcBorders>
            <w:noWrap/>
            <w:vAlign w:val="center"/>
            <w:hideMark/>
          </w:tcPr>
          <w:p w14:paraId="4F900A93"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AP</w:t>
            </w:r>
          </w:p>
        </w:tc>
        <w:tc>
          <w:tcPr>
            <w:tcW w:w="433" w:type="pct"/>
            <w:tcBorders>
              <w:top w:val="single" w:sz="8" w:space="0" w:color="auto"/>
              <w:left w:val="nil"/>
              <w:bottom w:val="single" w:sz="4" w:space="0" w:color="auto"/>
              <w:right w:val="nil"/>
            </w:tcBorders>
            <w:noWrap/>
            <w:vAlign w:val="center"/>
            <w:hideMark/>
          </w:tcPr>
          <w:p w14:paraId="63F292D3"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AK</w:t>
            </w:r>
          </w:p>
        </w:tc>
        <w:tc>
          <w:tcPr>
            <w:tcW w:w="430" w:type="pct"/>
            <w:tcBorders>
              <w:top w:val="single" w:sz="8" w:space="0" w:color="auto"/>
              <w:left w:val="nil"/>
              <w:bottom w:val="single" w:sz="4" w:space="0" w:color="auto"/>
              <w:right w:val="nil"/>
            </w:tcBorders>
            <w:noWrap/>
            <w:vAlign w:val="center"/>
            <w:hideMark/>
          </w:tcPr>
          <w:p w14:paraId="6BF7984B" w14:textId="77777777" w:rsidR="00650980" w:rsidRPr="006557F6" w:rsidRDefault="00650980" w:rsidP="00830578">
            <w:pPr>
              <w:spacing w:before="60" w:after="60"/>
              <w:jc w:val="center"/>
              <w:rPr>
                <w:rFonts w:ascii="Arial" w:hAnsi="Arial" w:cs="Arial"/>
                <w:b/>
                <w:bCs/>
                <w:color w:val="000000"/>
              </w:rPr>
            </w:pPr>
            <w:r w:rsidRPr="006557F6">
              <w:rPr>
                <w:rFonts w:ascii="Arial" w:hAnsi="Arial" w:cs="Arial"/>
                <w:b/>
                <w:bCs/>
                <w:color w:val="000000"/>
              </w:rPr>
              <w:t>CEC</w:t>
            </w:r>
          </w:p>
        </w:tc>
      </w:tr>
      <w:tr w:rsidR="00932542" w:rsidRPr="006557F6" w14:paraId="5A5BFFBB" w14:textId="77777777" w:rsidTr="00932542">
        <w:trPr>
          <w:trHeight w:val="432"/>
        </w:trPr>
        <w:tc>
          <w:tcPr>
            <w:tcW w:w="553" w:type="pct"/>
            <w:tcBorders>
              <w:top w:val="nil"/>
              <w:left w:val="nil"/>
              <w:bottom w:val="nil"/>
              <w:right w:val="nil"/>
            </w:tcBorders>
            <w:noWrap/>
            <w:vAlign w:val="center"/>
            <w:hideMark/>
          </w:tcPr>
          <w:p w14:paraId="028D6611"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BD</w:t>
            </w:r>
          </w:p>
        </w:tc>
        <w:tc>
          <w:tcPr>
            <w:tcW w:w="433" w:type="pct"/>
            <w:tcBorders>
              <w:top w:val="nil"/>
              <w:left w:val="nil"/>
              <w:bottom w:val="nil"/>
              <w:right w:val="nil"/>
            </w:tcBorders>
            <w:noWrap/>
            <w:vAlign w:val="center"/>
            <w:hideMark/>
          </w:tcPr>
          <w:p w14:paraId="059142F1" w14:textId="5D921E4C" w:rsidR="00932542" w:rsidRPr="006557F6" w:rsidRDefault="00932542" w:rsidP="00932542">
            <w:pPr>
              <w:spacing w:before="60" w:after="60"/>
              <w:rPr>
                <w:rFonts w:ascii="Arial" w:hAnsi="Arial" w:cs="Arial"/>
                <w:color w:val="000000"/>
              </w:rPr>
            </w:pPr>
            <w:r>
              <w:rPr>
                <w:color w:val="000000"/>
              </w:rPr>
              <w:t>1</w:t>
            </w:r>
          </w:p>
        </w:tc>
        <w:tc>
          <w:tcPr>
            <w:tcW w:w="493" w:type="pct"/>
            <w:tcBorders>
              <w:top w:val="nil"/>
              <w:left w:val="nil"/>
              <w:bottom w:val="nil"/>
              <w:right w:val="nil"/>
            </w:tcBorders>
            <w:noWrap/>
            <w:vAlign w:val="center"/>
            <w:hideMark/>
          </w:tcPr>
          <w:p w14:paraId="30C1C3D6" w14:textId="77777777" w:rsidR="00932542" w:rsidRPr="006557F6" w:rsidRDefault="00932542" w:rsidP="00932542">
            <w:pPr>
              <w:spacing w:before="60" w:after="60"/>
              <w:rPr>
                <w:rFonts w:ascii="Arial" w:hAnsi="Arial" w:cs="Arial"/>
                <w:color w:val="000000"/>
              </w:rPr>
            </w:pPr>
          </w:p>
        </w:tc>
        <w:tc>
          <w:tcPr>
            <w:tcW w:w="493" w:type="pct"/>
            <w:tcBorders>
              <w:top w:val="nil"/>
              <w:left w:val="nil"/>
              <w:bottom w:val="nil"/>
              <w:right w:val="nil"/>
            </w:tcBorders>
            <w:noWrap/>
            <w:vAlign w:val="center"/>
            <w:hideMark/>
          </w:tcPr>
          <w:p w14:paraId="1482C0A0"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7248730"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F632274"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292D8E7D"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3C01CCA"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C1D40E3"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94EED3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43EF9CB7" w14:textId="77777777" w:rsidR="00932542" w:rsidRPr="006557F6" w:rsidRDefault="00932542" w:rsidP="00932542">
            <w:pPr>
              <w:spacing w:before="60" w:after="60"/>
              <w:rPr>
                <w:rFonts w:ascii="Arial" w:hAnsi="Arial" w:cs="Arial"/>
              </w:rPr>
            </w:pPr>
          </w:p>
        </w:tc>
      </w:tr>
      <w:tr w:rsidR="00932542" w:rsidRPr="006557F6" w14:paraId="3E924E32" w14:textId="77777777" w:rsidTr="00932542">
        <w:trPr>
          <w:trHeight w:val="432"/>
        </w:trPr>
        <w:tc>
          <w:tcPr>
            <w:tcW w:w="553" w:type="pct"/>
            <w:tcBorders>
              <w:top w:val="nil"/>
              <w:left w:val="nil"/>
              <w:bottom w:val="nil"/>
              <w:right w:val="nil"/>
            </w:tcBorders>
            <w:noWrap/>
            <w:vAlign w:val="center"/>
            <w:hideMark/>
          </w:tcPr>
          <w:p w14:paraId="166E8E50"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PD</w:t>
            </w:r>
          </w:p>
        </w:tc>
        <w:tc>
          <w:tcPr>
            <w:tcW w:w="433" w:type="pct"/>
            <w:tcBorders>
              <w:top w:val="nil"/>
              <w:left w:val="nil"/>
              <w:bottom w:val="nil"/>
              <w:right w:val="nil"/>
            </w:tcBorders>
            <w:noWrap/>
            <w:vAlign w:val="center"/>
            <w:hideMark/>
          </w:tcPr>
          <w:p w14:paraId="2A5663B0" w14:textId="45E543EF" w:rsidR="00932542" w:rsidRPr="006557F6" w:rsidRDefault="00932542" w:rsidP="00932542">
            <w:pPr>
              <w:spacing w:before="60" w:after="60"/>
              <w:rPr>
                <w:rFonts w:ascii="Arial" w:hAnsi="Arial" w:cs="Arial"/>
                <w:color w:val="000000"/>
              </w:rPr>
            </w:pPr>
            <w:r>
              <w:rPr>
                <w:color w:val="000000"/>
              </w:rPr>
              <w:t>0.47</w:t>
            </w:r>
            <w:r>
              <w:rPr>
                <w:color w:val="000000"/>
                <w:vertAlign w:val="superscript"/>
              </w:rPr>
              <w:t>ns</w:t>
            </w:r>
          </w:p>
        </w:tc>
        <w:tc>
          <w:tcPr>
            <w:tcW w:w="493" w:type="pct"/>
            <w:tcBorders>
              <w:top w:val="nil"/>
              <w:left w:val="nil"/>
              <w:bottom w:val="nil"/>
              <w:right w:val="nil"/>
            </w:tcBorders>
            <w:noWrap/>
            <w:vAlign w:val="center"/>
            <w:hideMark/>
          </w:tcPr>
          <w:p w14:paraId="4F3B1B7F" w14:textId="52FF05A8" w:rsidR="00932542" w:rsidRPr="006557F6" w:rsidRDefault="00932542" w:rsidP="00932542">
            <w:pPr>
              <w:spacing w:before="60" w:after="60"/>
              <w:rPr>
                <w:rFonts w:ascii="Arial" w:hAnsi="Arial" w:cs="Arial"/>
                <w:color w:val="000000"/>
              </w:rPr>
            </w:pPr>
            <w:r>
              <w:rPr>
                <w:color w:val="000000"/>
              </w:rPr>
              <w:t>1</w:t>
            </w:r>
          </w:p>
        </w:tc>
        <w:tc>
          <w:tcPr>
            <w:tcW w:w="493" w:type="pct"/>
            <w:tcBorders>
              <w:top w:val="nil"/>
              <w:left w:val="nil"/>
              <w:bottom w:val="nil"/>
              <w:right w:val="nil"/>
            </w:tcBorders>
            <w:noWrap/>
            <w:vAlign w:val="center"/>
            <w:hideMark/>
          </w:tcPr>
          <w:p w14:paraId="299AB8B2"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2FAC4B2C"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FCCADE6"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A38455E"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BCA07E2"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09D2FA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93B2A77"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3DD8BB32" w14:textId="77777777" w:rsidR="00932542" w:rsidRPr="006557F6" w:rsidRDefault="00932542" w:rsidP="00932542">
            <w:pPr>
              <w:spacing w:before="60" w:after="60"/>
              <w:rPr>
                <w:rFonts w:ascii="Arial" w:hAnsi="Arial" w:cs="Arial"/>
              </w:rPr>
            </w:pPr>
          </w:p>
        </w:tc>
      </w:tr>
      <w:tr w:rsidR="00932542" w:rsidRPr="006557F6" w14:paraId="07EA9443" w14:textId="77777777" w:rsidTr="00932542">
        <w:trPr>
          <w:trHeight w:val="432"/>
        </w:trPr>
        <w:tc>
          <w:tcPr>
            <w:tcW w:w="553" w:type="pct"/>
            <w:tcBorders>
              <w:top w:val="nil"/>
              <w:left w:val="nil"/>
              <w:bottom w:val="nil"/>
              <w:right w:val="nil"/>
            </w:tcBorders>
            <w:noWrap/>
            <w:vAlign w:val="center"/>
            <w:hideMark/>
          </w:tcPr>
          <w:p w14:paraId="0DCEB6A0"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Porosity</w:t>
            </w:r>
          </w:p>
        </w:tc>
        <w:tc>
          <w:tcPr>
            <w:tcW w:w="433" w:type="pct"/>
            <w:tcBorders>
              <w:top w:val="nil"/>
              <w:left w:val="nil"/>
              <w:bottom w:val="nil"/>
              <w:right w:val="nil"/>
            </w:tcBorders>
            <w:noWrap/>
            <w:vAlign w:val="center"/>
            <w:hideMark/>
          </w:tcPr>
          <w:p w14:paraId="4E40BF29" w14:textId="4A554618" w:rsidR="00932542" w:rsidRPr="006557F6" w:rsidRDefault="00932542" w:rsidP="00932542">
            <w:pPr>
              <w:spacing w:before="60" w:after="60"/>
              <w:rPr>
                <w:rFonts w:ascii="Arial" w:hAnsi="Arial" w:cs="Arial"/>
                <w:color w:val="000000"/>
              </w:rPr>
            </w:pPr>
            <w:r>
              <w:rPr>
                <w:color w:val="000000"/>
              </w:rPr>
              <w:t>-0.92**</w:t>
            </w:r>
          </w:p>
        </w:tc>
        <w:tc>
          <w:tcPr>
            <w:tcW w:w="493" w:type="pct"/>
            <w:tcBorders>
              <w:top w:val="nil"/>
              <w:left w:val="nil"/>
              <w:bottom w:val="nil"/>
              <w:right w:val="nil"/>
            </w:tcBorders>
            <w:noWrap/>
            <w:vAlign w:val="center"/>
            <w:hideMark/>
          </w:tcPr>
          <w:p w14:paraId="24F27A16" w14:textId="204BEA48"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054270F1" w14:textId="15791DCF"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60F383F2"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7919D62B"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F3A281A"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252170A6"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EEB45E2"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2E49DB4"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478301D8" w14:textId="77777777" w:rsidR="00932542" w:rsidRPr="006557F6" w:rsidRDefault="00932542" w:rsidP="00932542">
            <w:pPr>
              <w:spacing w:before="60" w:after="60"/>
              <w:rPr>
                <w:rFonts w:ascii="Arial" w:hAnsi="Arial" w:cs="Arial"/>
              </w:rPr>
            </w:pPr>
          </w:p>
        </w:tc>
      </w:tr>
      <w:tr w:rsidR="00932542" w:rsidRPr="006557F6" w14:paraId="5FB2FE37" w14:textId="77777777" w:rsidTr="00932542">
        <w:trPr>
          <w:trHeight w:val="432"/>
        </w:trPr>
        <w:tc>
          <w:tcPr>
            <w:tcW w:w="553" w:type="pct"/>
            <w:tcBorders>
              <w:top w:val="nil"/>
              <w:left w:val="nil"/>
              <w:bottom w:val="nil"/>
              <w:right w:val="nil"/>
            </w:tcBorders>
            <w:noWrap/>
            <w:vAlign w:val="center"/>
            <w:hideMark/>
          </w:tcPr>
          <w:p w14:paraId="4D468B2E"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WHC</w:t>
            </w:r>
          </w:p>
        </w:tc>
        <w:tc>
          <w:tcPr>
            <w:tcW w:w="433" w:type="pct"/>
            <w:tcBorders>
              <w:top w:val="nil"/>
              <w:left w:val="nil"/>
              <w:bottom w:val="nil"/>
              <w:right w:val="nil"/>
            </w:tcBorders>
            <w:noWrap/>
            <w:vAlign w:val="center"/>
            <w:hideMark/>
          </w:tcPr>
          <w:p w14:paraId="2656506F" w14:textId="60E1FB21" w:rsidR="00932542" w:rsidRPr="006557F6" w:rsidRDefault="00932542" w:rsidP="00932542">
            <w:pPr>
              <w:spacing w:before="60" w:after="60"/>
              <w:rPr>
                <w:rFonts w:ascii="Arial" w:hAnsi="Arial" w:cs="Arial"/>
                <w:color w:val="000000"/>
              </w:rPr>
            </w:pPr>
            <w:r>
              <w:rPr>
                <w:color w:val="000000"/>
              </w:rPr>
              <w:t>-0.79*</w:t>
            </w:r>
          </w:p>
        </w:tc>
        <w:tc>
          <w:tcPr>
            <w:tcW w:w="493" w:type="pct"/>
            <w:tcBorders>
              <w:top w:val="nil"/>
              <w:left w:val="nil"/>
              <w:bottom w:val="nil"/>
              <w:right w:val="nil"/>
            </w:tcBorders>
            <w:noWrap/>
            <w:vAlign w:val="center"/>
            <w:hideMark/>
          </w:tcPr>
          <w:p w14:paraId="58587B4E" w14:textId="3E991774" w:rsidR="00932542" w:rsidRPr="006557F6" w:rsidRDefault="00932542" w:rsidP="00932542">
            <w:pPr>
              <w:spacing w:before="60" w:after="60"/>
              <w:rPr>
                <w:rFonts w:ascii="Arial" w:hAnsi="Arial" w:cs="Arial"/>
                <w:color w:val="000000"/>
              </w:rPr>
            </w:pPr>
            <w:r>
              <w:rPr>
                <w:color w:val="000000"/>
              </w:rPr>
              <w:t>-0.40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557F3607" w14:textId="7DA196E1" w:rsidR="00932542" w:rsidRPr="006557F6" w:rsidRDefault="00932542" w:rsidP="00932542">
            <w:pPr>
              <w:spacing w:before="60" w:after="60"/>
              <w:rPr>
                <w:rFonts w:ascii="Arial" w:hAnsi="Arial" w:cs="Arial"/>
                <w:color w:val="000000"/>
              </w:rPr>
            </w:pPr>
            <w:r>
              <w:rPr>
                <w:color w:val="000000"/>
              </w:rPr>
              <w:t>0.69*</w:t>
            </w:r>
          </w:p>
        </w:tc>
        <w:tc>
          <w:tcPr>
            <w:tcW w:w="433" w:type="pct"/>
            <w:tcBorders>
              <w:top w:val="nil"/>
              <w:left w:val="nil"/>
              <w:bottom w:val="nil"/>
              <w:right w:val="nil"/>
            </w:tcBorders>
            <w:noWrap/>
            <w:vAlign w:val="center"/>
            <w:hideMark/>
          </w:tcPr>
          <w:p w14:paraId="0C488A74" w14:textId="45D5FA5E"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55F44ACC"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17E658F7"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AEFC1E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AEFF598"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2ADA727"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1AF26254" w14:textId="77777777" w:rsidR="00932542" w:rsidRPr="006557F6" w:rsidRDefault="00932542" w:rsidP="00932542">
            <w:pPr>
              <w:spacing w:before="60" w:after="60"/>
              <w:rPr>
                <w:rFonts w:ascii="Arial" w:hAnsi="Arial" w:cs="Arial"/>
              </w:rPr>
            </w:pPr>
          </w:p>
        </w:tc>
      </w:tr>
      <w:tr w:rsidR="00932542" w:rsidRPr="006557F6" w14:paraId="5811B6FE" w14:textId="77777777" w:rsidTr="00932542">
        <w:trPr>
          <w:trHeight w:val="432"/>
        </w:trPr>
        <w:tc>
          <w:tcPr>
            <w:tcW w:w="553" w:type="pct"/>
            <w:tcBorders>
              <w:top w:val="nil"/>
              <w:left w:val="nil"/>
              <w:bottom w:val="nil"/>
              <w:right w:val="nil"/>
            </w:tcBorders>
            <w:noWrap/>
            <w:vAlign w:val="center"/>
            <w:hideMark/>
          </w:tcPr>
          <w:p w14:paraId="70CF6BAE"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pH</w:t>
            </w:r>
          </w:p>
        </w:tc>
        <w:tc>
          <w:tcPr>
            <w:tcW w:w="433" w:type="pct"/>
            <w:tcBorders>
              <w:top w:val="nil"/>
              <w:left w:val="nil"/>
              <w:bottom w:val="nil"/>
              <w:right w:val="nil"/>
            </w:tcBorders>
            <w:noWrap/>
            <w:vAlign w:val="center"/>
            <w:hideMark/>
          </w:tcPr>
          <w:p w14:paraId="6062DB09" w14:textId="47148393" w:rsidR="00932542" w:rsidRPr="006557F6" w:rsidRDefault="00932542" w:rsidP="00932542">
            <w:pPr>
              <w:spacing w:before="60" w:after="60"/>
              <w:rPr>
                <w:rFonts w:ascii="Arial" w:hAnsi="Arial" w:cs="Arial"/>
                <w:color w:val="000000"/>
              </w:rPr>
            </w:pPr>
            <w:r>
              <w:rPr>
                <w:color w:val="000000"/>
              </w:rPr>
              <w:t>0.75*</w:t>
            </w:r>
          </w:p>
        </w:tc>
        <w:tc>
          <w:tcPr>
            <w:tcW w:w="493" w:type="pct"/>
            <w:tcBorders>
              <w:top w:val="nil"/>
              <w:left w:val="nil"/>
              <w:bottom w:val="nil"/>
              <w:right w:val="nil"/>
            </w:tcBorders>
            <w:noWrap/>
            <w:vAlign w:val="center"/>
            <w:hideMark/>
          </w:tcPr>
          <w:p w14:paraId="4B79C69B" w14:textId="5B0E34F4" w:rsidR="00932542" w:rsidRPr="006557F6" w:rsidRDefault="00932542" w:rsidP="00932542">
            <w:pPr>
              <w:spacing w:before="60" w:after="60"/>
              <w:rPr>
                <w:rFonts w:ascii="Arial" w:hAnsi="Arial" w:cs="Arial"/>
                <w:color w:val="000000"/>
              </w:rPr>
            </w:pPr>
            <w:r>
              <w:rPr>
                <w:color w:val="000000"/>
              </w:rPr>
              <w:t>0.54</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19C4F616" w14:textId="3BF55435" w:rsidR="00932542" w:rsidRPr="006557F6" w:rsidRDefault="00932542" w:rsidP="00932542">
            <w:pPr>
              <w:spacing w:before="60" w:after="60"/>
              <w:rPr>
                <w:rFonts w:ascii="Arial" w:hAnsi="Arial" w:cs="Arial"/>
                <w:color w:val="000000"/>
              </w:rPr>
            </w:pPr>
            <w:r>
              <w:rPr>
                <w:color w:val="000000"/>
              </w:rPr>
              <w:t>-0.61</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421724D" w14:textId="5E4F0FE6" w:rsidR="00932542" w:rsidRPr="006557F6" w:rsidRDefault="00932542" w:rsidP="00932542">
            <w:pPr>
              <w:spacing w:before="60" w:after="60"/>
              <w:rPr>
                <w:rFonts w:ascii="Arial" w:hAnsi="Arial" w:cs="Arial"/>
                <w:color w:val="000000"/>
              </w:rPr>
            </w:pPr>
            <w:r>
              <w:rPr>
                <w:color w:val="000000"/>
              </w:rPr>
              <w:t>-0.95**</w:t>
            </w:r>
          </w:p>
        </w:tc>
        <w:tc>
          <w:tcPr>
            <w:tcW w:w="433" w:type="pct"/>
            <w:tcBorders>
              <w:top w:val="nil"/>
              <w:left w:val="nil"/>
              <w:bottom w:val="nil"/>
              <w:right w:val="nil"/>
            </w:tcBorders>
            <w:noWrap/>
            <w:vAlign w:val="center"/>
            <w:hideMark/>
          </w:tcPr>
          <w:p w14:paraId="022AB251" w14:textId="1CDFA3B6"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3B0785B3"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2AA0E751"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9D6DD3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2F2BD63"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75585069" w14:textId="77777777" w:rsidR="00932542" w:rsidRPr="006557F6" w:rsidRDefault="00932542" w:rsidP="00932542">
            <w:pPr>
              <w:spacing w:before="60" w:after="60"/>
              <w:rPr>
                <w:rFonts w:ascii="Arial" w:hAnsi="Arial" w:cs="Arial"/>
              </w:rPr>
            </w:pPr>
          </w:p>
        </w:tc>
      </w:tr>
      <w:tr w:rsidR="00932542" w:rsidRPr="006557F6" w14:paraId="781F266C" w14:textId="77777777" w:rsidTr="00932542">
        <w:trPr>
          <w:trHeight w:val="432"/>
        </w:trPr>
        <w:tc>
          <w:tcPr>
            <w:tcW w:w="553" w:type="pct"/>
            <w:tcBorders>
              <w:top w:val="nil"/>
              <w:left w:val="nil"/>
              <w:bottom w:val="nil"/>
              <w:right w:val="nil"/>
            </w:tcBorders>
            <w:noWrap/>
            <w:vAlign w:val="center"/>
            <w:hideMark/>
          </w:tcPr>
          <w:p w14:paraId="3AA60903"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OC</w:t>
            </w:r>
          </w:p>
        </w:tc>
        <w:tc>
          <w:tcPr>
            <w:tcW w:w="433" w:type="pct"/>
            <w:tcBorders>
              <w:top w:val="nil"/>
              <w:left w:val="nil"/>
              <w:bottom w:val="nil"/>
              <w:right w:val="nil"/>
            </w:tcBorders>
            <w:noWrap/>
            <w:vAlign w:val="center"/>
            <w:hideMark/>
          </w:tcPr>
          <w:p w14:paraId="0EB490A9" w14:textId="4C3F40DF" w:rsidR="00932542" w:rsidRPr="006557F6" w:rsidRDefault="00932542" w:rsidP="00932542">
            <w:pPr>
              <w:spacing w:before="60" w:after="60"/>
              <w:rPr>
                <w:rFonts w:ascii="Arial" w:hAnsi="Arial" w:cs="Arial"/>
                <w:color w:val="000000"/>
              </w:rPr>
            </w:pPr>
            <w:r>
              <w:rPr>
                <w:color w:val="000000"/>
              </w:rPr>
              <w:t>-0.64*</w:t>
            </w:r>
          </w:p>
        </w:tc>
        <w:tc>
          <w:tcPr>
            <w:tcW w:w="493" w:type="pct"/>
            <w:tcBorders>
              <w:top w:val="nil"/>
              <w:left w:val="nil"/>
              <w:bottom w:val="nil"/>
              <w:right w:val="nil"/>
            </w:tcBorders>
            <w:noWrap/>
            <w:vAlign w:val="center"/>
            <w:hideMark/>
          </w:tcPr>
          <w:p w14:paraId="401E4B55" w14:textId="53FA1885" w:rsidR="00932542" w:rsidRPr="006557F6" w:rsidRDefault="00932542" w:rsidP="00932542">
            <w:pPr>
              <w:spacing w:before="60" w:after="60"/>
              <w:rPr>
                <w:rFonts w:ascii="Arial" w:hAnsi="Arial" w:cs="Arial"/>
                <w:color w:val="000000"/>
              </w:rPr>
            </w:pPr>
            <w:r>
              <w:rPr>
                <w:color w:val="000000"/>
              </w:rPr>
              <w:t>-0.44</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653CCE99" w14:textId="10D50625" w:rsidR="00932542" w:rsidRPr="006557F6" w:rsidRDefault="00932542" w:rsidP="00932542">
            <w:pPr>
              <w:spacing w:before="60" w:after="60"/>
              <w:rPr>
                <w:rFonts w:ascii="Arial" w:hAnsi="Arial" w:cs="Arial"/>
                <w:color w:val="000000"/>
              </w:rPr>
            </w:pPr>
            <w:r>
              <w:rPr>
                <w:color w:val="000000"/>
              </w:rPr>
              <w:t>0.52</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8CEB1CD" w14:textId="4136F31B" w:rsidR="00932542" w:rsidRPr="006557F6" w:rsidRDefault="00932542" w:rsidP="00932542">
            <w:pPr>
              <w:spacing w:before="60" w:after="60"/>
              <w:rPr>
                <w:rFonts w:ascii="Arial" w:hAnsi="Arial" w:cs="Arial"/>
                <w:color w:val="000000"/>
              </w:rPr>
            </w:pPr>
            <w:r>
              <w:rPr>
                <w:color w:val="000000"/>
              </w:rPr>
              <w:t>0.95**</w:t>
            </w:r>
          </w:p>
        </w:tc>
        <w:tc>
          <w:tcPr>
            <w:tcW w:w="433" w:type="pct"/>
            <w:tcBorders>
              <w:top w:val="nil"/>
              <w:left w:val="nil"/>
              <w:bottom w:val="nil"/>
              <w:right w:val="nil"/>
            </w:tcBorders>
            <w:noWrap/>
            <w:vAlign w:val="center"/>
            <w:hideMark/>
          </w:tcPr>
          <w:p w14:paraId="5C87E6BA" w14:textId="070BD460" w:rsidR="00932542" w:rsidRPr="006557F6" w:rsidRDefault="00932542" w:rsidP="00932542">
            <w:pPr>
              <w:spacing w:before="60" w:after="60"/>
              <w:rPr>
                <w:rFonts w:ascii="Arial" w:hAnsi="Arial" w:cs="Arial"/>
                <w:color w:val="000000"/>
              </w:rPr>
            </w:pPr>
            <w:r>
              <w:rPr>
                <w:color w:val="000000"/>
              </w:rPr>
              <w:t>-0.97**</w:t>
            </w:r>
          </w:p>
        </w:tc>
        <w:tc>
          <w:tcPr>
            <w:tcW w:w="433" w:type="pct"/>
            <w:tcBorders>
              <w:top w:val="nil"/>
              <w:left w:val="nil"/>
              <w:bottom w:val="nil"/>
              <w:right w:val="nil"/>
            </w:tcBorders>
            <w:noWrap/>
            <w:vAlign w:val="center"/>
            <w:hideMark/>
          </w:tcPr>
          <w:p w14:paraId="64AB64EE" w14:textId="6764D2FD"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1E4BE5DD"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60BE1C3C"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84E188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671051CD" w14:textId="77777777" w:rsidR="00932542" w:rsidRPr="006557F6" w:rsidRDefault="00932542" w:rsidP="00932542">
            <w:pPr>
              <w:spacing w:before="60" w:after="60"/>
              <w:rPr>
                <w:rFonts w:ascii="Arial" w:hAnsi="Arial" w:cs="Arial"/>
              </w:rPr>
            </w:pPr>
          </w:p>
        </w:tc>
      </w:tr>
      <w:tr w:rsidR="00932542" w:rsidRPr="006557F6" w14:paraId="32F454BB" w14:textId="77777777" w:rsidTr="00932542">
        <w:trPr>
          <w:trHeight w:val="432"/>
        </w:trPr>
        <w:tc>
          <w:tcPr>
            <w:tcW w:w="553" w:type="pct"/>
            <w:tcBorders>
              <w:top w:val="nil"/>
              <w:left w:val="nil"/>
              <w:bottom w:val="nil"/>
              <w:right w:val="nil"/>
            </w:tcBorders>
            <w:noWrap/>
            <w:vAlign w:val="center"/>
            <w:hideMark/>
          </w:tcPr>
          <w:p w14:paraId="5E11EE3A"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TN</w:t>
            </w:r>
          </w:p>
        </w:tc>
        <w:tc>
          <w:tcPr>
            <w:tcW w:w="433" w:type="pct"/>
            <w:tcBorders>
              <w:top w:val="nil"/>
              <w:left w:val="nil"/>
              <w:bottom w:val="nil"/>
              <w:right w:val="nil"/>
            </w:tcBorders>
            <w:noWrap/>
            <w:vAlign w:val="center"/>
            <w:hideMark/>
          </w:tcPr>
          <w:p w14:paraId="70ECFD9C" w14:textId="5365B1E6" w:rsidR="00932542" w:rsidRPr="006557F6" w:rsidRDefault="00932542" w:rsidP="00932542">
            <w:pPr>
              <w:spacing w:before="60" w:after="60"/>
              <w:rPr>
                <w:rFonts w:ascii="Arial" w:hAnsi="Arial" w:cs="Arial"/>
                <w:color w:val="000000"/>
              </w:rPr>
            </w:pPr>
            <w:r>
              <w:rPr>
                <w:color w:val="000000"/>
              </w:rPr>
              <w:t>-.06</w:t>
            </w:r>
            <w:r w:rsidRPr="00932542">
              <w:rPr>
                <w:color w:val="000000"/>
                <w:vertAlign w:val="superscript"/>
              </w:rPr>
              <w:t>ns</w:t>
            </w:r>
          </w:p>
        </w:tc>
        <w:tc>
          <w:tcPr>
            <w:tcW w:w="493" w:type="pct"/>
            <w:tcBorders>
              <w:top w:val="nil"/>
              <w:left w:val="nil"/>
              <w:bottom w:val="nil"/>
              <w:right w:val="nil"/>
            </w:tcBorders>
            <w:noWrap/>
            <w:vAlign w:val="center"/>
            <w:hideMark/>
          </w:tcPr>
          <w:p w14:paraId="4ECA4202" w14:textId="7A9C579E" w:rsidR="00932542" w:rsidRPr="006557F6" w:rsidRDefault="00932542" w:rsidP="00932542">
            <w:pPr>
              <w:spacing w:before="60" w:after="60"/>
              <w:rPr>
                <w:rFonts w:ascii="Arial" w:hAnsi="Arial" w:cs="Arial"/>
                <w:color w:val="000000"/>
              </w:rPr>
            </w:pPr>
            <w:r>
              <w:rPr>
                <w:color w:val="000000"/>
              </w:rPr>
              <w:t>-0.48</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05315C7" w14:textId="569A1507" w:rsidR="00932542" w:rsidRPr="006557F6" w:rsidRDefault="00932542" w:rsidP="00932542">
            <w:pPr>
              <w:spacing w:before="60" w:after="60"/>
              <w:rPr>
                <w:rFonts w:ascii="Arial" w:hAnsi="Arial" w:cs="Arial"/>
                <w:color w:val="000000"/>
              </w:rPr>
            </w:pPr>
            <w:r>
              <w:rPr>
                <w:color w:val="000000"/>
              </w:rPr>
              <w:t>-0.09</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E773EF8" w14:textId="1F5A2EBF" w:rsidR="00932542" w:rsidRPr="006557F6" w:rsidRDefault="00932542" w:rsidP="00932542">
            <w:pPr>
              <w:spacing w:before="60" w:after="60"/>
              <w:rPr>
                <w:rFonts w:ascii="Arial" w:hAnsi="Arial" w:cs="Arial"/>
                <w:color w:val="000000"/>
              </w:rPr>
            </w:pPr>
            <w:r>
              <w:rPr>
                <w:color w:val="000000"/>
              </w:rPr>
              <w:t>0.36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FB79B77" w14:textId="33F9EF7A" w:rsidR="00932542" w:rsidRPr="006557F6" w:rsidRDefault="00932542" w:rsidP="00932542">
            <w:pPr>
              <w:spacing w:before="60" w:after="60"/>
              <w:rPr>
                <w:rFonts w:ascii="Arial" w:hAnsi="Arial" w:cs="Arial"/>
                <w:color w:val="000000"/>
              </w:rPr>
            </w:pPr>
            <w:r>
              <w:rPr>
                <w:color w:val="000000"/>
              </w:rPr>
              <w:t>-0.55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51D4093C" w14:textId="7A9DD5AC" w:rsidR="00932542" w:rsidRPr="006557F6" w:rsidRDefault="00932542" w:rsidP="00932542">
            <w:pPr>
              <w:spacing w:before="60" w:after="60"/>
              <w:rPr>
                <w:rFonts w:ascii="Arial" w:hAnsi="Arial" w:cs="Arial"/>
                <w:color w:val="000000"/>
              </w:rPr>
            </w:pPr>
            <w:r>
              <w:rPr>
                <w:color w:val="000000"/>
              </w:rPr>
              <w:t>0.56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E7316F1" w14:textId="22BBBD8C"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3043F4B7"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3A0FF02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107D5360" w14:textId="77777777" w:rsidR="00932542" w:rsidRPr="006557F6" w:rsidRDefault="00932542" w:rsidP="00932542">
            <w:pPr>
              <w:spacing w:before="60" w:after="60"/>
              <w:rPr>
                <w:rFonts w:ascii="Arial" w:hAnsi="Arial" w:cs="Arial"/>
              </w:rPr>
            </w:pPr>
          </w:p>
        </w:tc>
      </w:tr>
      <w:tr w:rsidR="00932542" w:rsidRPr="006557F6" w14:paraId="634A4AD8" w14:textId="77777777" w:rsidTr="00932542">
        <w:trPr>
          <w:trHeight w:val="432"/>
        </w:trPr>
        <w:tc>
          <w:tcPr>
            <w:tcW w:w="553" w:type="pct"/>
            <w:tcBorders>
              <w:top w:val="nil"/>
              <w:left w:val="nil"/>
              <w:bottom w:val="nil"/>
              <w:right w:val="nil"/>
            </w:tcBorders>
            <w:noWrap/>
            <w:vAlign w:val="center"/>
            <w:hideMark/>
          </w:tcPr>
          <w:p w14:paraId="62634F04"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AP</w:t>
            </w:r>
          </w:p>
        </w:tc>
        <w:tc>
          <w:tcPr>
            <w:tcW w:w="433" w:type="pct"/>
            <w:tcBorders>
              <w:top w:val="nil"/>
              <w:left w:val="nil"/>
              <w:bottom w:val="nil"/>
              <w:right w:val="nil"/>
            </w:tcBorders>
            <w:noWrap/>
            <w:vAlign w:val="center"/>
            <w:hideMark/>
          </w:tcPr>
          <w:p w14:paraId="16DB386D" w14:textId="5C3F2BB4" w:rsidR="00932542" w:rsidRPr="006557F6" w:rsidRDefault="00932542" w:rsidP="00932542">
            <w:pPr>
              <w:spacing w:before="60" w:after="60"/>
              <w:rPr>
                <w:rFonts w:ascii="Arial" w:hAnsi="Arial" w:cs="Arial"/>
                <w:color w:val="000000"/>
              </w:rPr>
            </w:pPr>
            <w:r>
              <w:rPr>
                <w:color w:val="000000"/>
              </w:rPr>
              <w:t>-0.08</w:t>
            </w:r>
            <w:r w:rsidRPr="00932542">
              <w:rPr>
                <w:color w:val="000000"/>
                <w:vertAlign w:val="superscript"/>
              </w:rPr>
              <w:t>ns</w:t>
            </w:r>
          </w:p>
        </w:tc>
        <w:tc>
          <w:tcPr>
            <w:tcW w:w="493" w:type="pct"/>
            <w:tcBorders>
              <w:top w:val="nil"/>
              <w:left w:val="nil"/>
              <w:bottom w:val="nil"/>
              <w:right w:val="nil"/>
            </w:tcBorders>
            <w:noWrap/>
            <w:vAlign w:val="center"/>
            <w:hideMark/>
          </w:tcPr>
          <w:p w14:paraId="73107D9E" w14:textId="5321A5B7" w:rsidR="00932542" w:rsidRPr="006557F6" w:rsidRDefault="00932542" w:rsidP="00932542">
            <w:pPr>
              <w:spacing w:before="60" w:after="60"/>
              <w:rPr>
                <w:rFonts w:ascii="Arial" w:hAnsi="Arial" w:cs="Arial"/>
                <w:color w:val="000000"/>
              </w:rPr>
            </w:pPr>
            <w:r>
              <w:rPr>
                <w:color w:val="000000"/>
              </w:rPr>
              <w:t>-0.37</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5AB0164D" w14:textId="3D712319" w:rsidR="00932542" w:rsidRPr="006557F6" w:rsidRDefault="00932542" w:rsidP="00932542">
            <w:pPr>
              <w:spacing w:before="60" w:after="60"/>
              <w:rPr>
                <w:rFonts w:ascii="Arial" w:hAnsi="Arial" w:cs="Arial"/>
                <w:color w:val="000000"/>
              </w:rPr>
            </w:pPr>
            <w:r>
              <w:rPr>
                <w:color w:val="000000"/>
              </w:rPr>
              <w:t>-0.42</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0546436" w14:textId="368B43DD" w:rsidR="00932542" w:rsidRPr="006557F6" w:rsidRDefault="00932542" w:rsidP="00932542">
            <w:pPr>
              <w:spacing w:before="60" w:after="60"/>
              <w:rPr>
                <w:rFonts w:ascii="Arial" w:hAnsi="Arial" w:cs="Arial"/>
                <w:color w:val="000000"/>
              </w:rPr>
            </w:pPr>
            <w:r>
              <w:rPr>
                <w:color w:val="000000"/>
              </w:rPr>
              <w:t>0.26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0953619" w14:textId="6E106D58" w:rsidR="00932542" w:rsidRPr="006557F6" w:rsidRDefault="00932542" w:rsidP="00932542">
            <w:pPr>
              <w:spacing w:before="60" w:after="60"/>
              <w:rPr>
                <w:rFonts w:ascii="Arial" w:hAnsi="Arial" w:cs="Arial"/>
                <w:color w:val="000000"/>
              </w:rPr>
            </w:pPr>
            <w:r>
              <w:rPr>
                <w:color w:val="000000"/>
              </w:rPr>
              <w:t>-0.35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74925AF" w14:textId="7A522217" w:rsidR="00932542" w:rsidRPr="006557F6" w:rsidRDefault="00932542" w:rsidP="00932542">
            <w:pPr>
              <w:spacing w:before="60" w:after="60"/>
              <w:rPr>
                <w:rFonts w:ascii="Arial" w:hAnsi="Arial" w:cs="Arial"/>
                <w:color w:val="000000"/>
              </w:rPr>
            </w:pPr>
            <w:r>
              <w:rPr>
                <w:color w:val="000000"/>
              </w:rPr>
              <w:t>0.45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C37AB26" w14:textId="028AE895" w:rsidR="00932542" w:rsidRPr="006557F6" w:rsidRDefault="00932542" w:rsidP="00932542">
            <w:pPr>
              <w:spacing w:before="60" w:after="60"/>
              <w:rPr>
                <w:rFonts w:ascii="Arial" w:hAnsi="Arial" w:cs="Arial"/>
                <w:color w:val="000000"/>
              </w:rPr>
            </w:pPr>
            <w:r>
              <w:rPr>
                <w:color w:val="000000"/>
              </w:rPr>
              <w:t>0.63</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EADC551" w14:textId="4FC3208B"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6B779FA5" w14:textId="77777777" w:rsidR="00932542" w:rsidRPr="006557F6" w:rsidRDefault="00932542" w:rsidP="00932542">
            <w:pPr>
              <w:spacing w:before="60" w:after="60"/>
              <w:rPr>
                <w:rFonts w:ascii="Arial" w:hAnsi="Arial" w:cs="Arial"/>
                <w:color w:val="000000"/>
              </w:rPr>
            </w:pPr>
          </w:p>
        </w:tc>
        <w:tc>
          <w:tcPr>
            <w:tcW w:w="430" w:type="pct"/>
            <w:tcBorders>
              <w:top w:val="nil"/>
              <w:left w:val="nil"/>
              <w:bottom w:val="nil"/>
              <w:right w:val="nil"/>
            </w:tcBorders>
            <w:noWrap/>
            <w:vAlign w:val="center"/>
            <w:hideMark/>
          </w:tcPr>
          <w:p w14:paraId="67347A72" w14:textId="77777777" w:rsidR="00932542" w:rsidRPr="006557F6" w:rsidRDefault="00932542" w:rsidP="00932542">
            <w:pPr>
              <w:spacing w:before="60" w:after="60"/>
              <w:rPr>
                <w:rFonts w:ascii="Arial" w:hAnsi="Arial" w:cs="Arial"/>
              </w:rPr>
            </w:pPr>
          </w:p>
        </w:tc>
      </w:tr>
      <w:tr w:rsidR="00932542" w:rsidRPr="006557F6" w14:paraId="27F7A700" w14:textId="77777777" w:rsidTr="00932542">
        <w:trPr>
          <w:trHeight w:val="432"/>
        </w:trPr>
        <w:tc>
          <w:tcPr>
            <w:tcW w:w="553" w:type="pct"/>
            <w:tcBorders>
              <w:top w:val="nil"/>
              <w:left w:val="nil"/>
              <w:bottom w:val="nil"/>
              <w:right w:val="nil"/>
            </w:tcBorders>
            <w:noWrap/>
            <w:vAlign w:val="center"/>
            <w:hideMark/>
          </w:tcPr>
          <w:p w14:paraId="34261BBC"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 xml:space="preserve">AK </w:t>
            </w:r>
          </w:p>
        </w:tc>
        <w:tc>
          <w:tcPr>
            <w:tcW w:w="433" w:type="pct"/>
            <w:tcBorders>
              <w:top w:val="nil"/>
              <w:left w:val="nil"/>
              <w:bottom w:val="nil"/>
              <w:right w:val="nil"/>
            </w:tcBorders>
            <w:noWrap/>
            <w:vAlign w:val="center"/>
            <w:hideMark/>
          </w:tcPr>
          <w:p w14:paraId="3502B7EA" w14:textId="15DAE6C1" w:rsidR="00932542" w:rsidRPr="006557F6" w:rsidRDefault="00932542" w:rsidP="00932542">
            <w:pPr>
              <w:spacing w:before="60" w:after="60"/>
              <w:rPr>
                <w:rFonts w:ascii="Arial" w:hAnsi="Arial" w:cs="Arial"/>
                <w:color w:val="000000"/>
              </w:rPr>
            </w:pPr>
            <w:r>
              <w:rPr>
                <w:color w:val="000000"/>
              </w:rPr>
              <w:t>-0.22</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45663D3" w14:textId="0D19D4D8"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1406AFF" w14:textId="5F4E79A3" w:rsidR="00932542" w:rsidRPr="006557F6" w:rsidRDefault="00932542" w:rsidP="00932542">
            <w:pPr>
              <w:spacing w:before="60" w:after="60"/>
              <w:rPr>
                <w:rFonts w:ascii="Arial" w:hAnsi="Arial" w:cs="Arial"/>
                <w:color w:val="000000"/>
              </w:rPr>
            </w:pPr>
            <w:r>
              <w:rPr>
                <w:color w:val="000000"/>
              </w:rPr>
              <w:t>0.19</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5F558E34" w14:textId="4C69D768" w:rsidR="00932542" w:rsidRPr="006557F6" w:rsidRDefault="00932542" w:rsidP="00932542">
            <w:pPr>
              <w:spacing w:before="60" w:after="60"/>
              <w:rPr>
                <w:rFonts w:ascii="Arial" w:hAnsi="Arial" w:cs="Arial"/>
                <w:color w:val="000000"/>
              </w:rPr>
            </w:pPr>
            <w:r>
              <w:rPr>
                <w:color w:val="000000"/>
              </w:rPr>
              <w:t>0.65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03D4B5C" w14:textId="0F850EE6" w:rsidR="00932542" w:rsidRPr="006557F6" w:rsidRDefault="00932542" w:rsidP="00932542">
            <w:pPr>
              <w:spacing w:before="60" w:after="60"/>
              <w:rPr>
                <w:rFonts w:ascii="Arial" w:hAnsi="Arial" w:cs="Arial"/>
                <w:color w:val="000000"/>
              </w:rPr>
            </w:pPr>
            <w:r>
              <w:rPr>
                <w:color w:val="000000"/>
              </w:rPr>
              <w:t>-0.67*</w:t>
            </w:r>
          </w:p>
        </w:tc>
        <w:tc>
          <w:tcPr>
            <w:tcW w:w="433" w:type="pct"/>
            <w:tcBorders>
              <w:top w:val="nil"/>
              <w:left w:val="nil"/>
              <w:bottom w:val="nil"/>
              <w:right w:val="nil"/>
            </w:tcBorders>
            <w:noWrap/>
            <w:vAlign w:val="center"/>
            <w:hideMark/>
          </w:tcPr>
          <w:p w14:paraId="7A810CE4" w14:textId="5AA82753" w:rsidR="00932542" w:rsidRPr="006557F6" w:rsidRDefault="00932542" w:rsidP="00932542">
            <w:pPr>
              <w:spacing w:before="60" w:after="60"/>
              <w:rPr>
                <w:rFonts w:ascii="Arial" w:hAnsi="Arial" w:cs="Arial"/>
                <w:color w:val="000000"/>
              </w:rPr>
            </w:pPr>
            <w:r>
              <w:rPr>
                <w:color w:val="000000"/>
              </w:rPr>
              <w:t>0.76*</w:t>
            </w:r>
          </w:p>
        </w:tc>
        <w:tc>
          <w:tcPr>
            <w:tcW w:w="433" w:type="pct"/>
            <w:tcBorders>
              <w:top w:val="nil"/>
              <w:left w:val="nil"/>
              <w:bottom w:val="nil"/>
              <w:right w:val="nil"/>
            </w:tcBorders>
            <w:noWrap/>
            <w:vAlign w:val="center"/>
            <w:hideMark/>
          </w:tcPr>
          <w:p w14:paraId="43D88C6D" w14:textId="09843632" w:rsidR="00932542" w:rsidRPr="006557F6" w:rsidRDefault="00932542" w:rsidP="00932542">
            <w:pPr>
              <w:spacing w:before="60" w:after="60"/>
              <w:rPr>
                <w:rFonts w:ascii="Arial" w:hAnsi="Arial" w:cs="Arial"/>
                <w:color w:val="000000"/>
              </w:rPr>
            </w:pPr>
            <w:r>
              <w:rPr>
                <w:color w:val="000000"/>
              </w:rPr>
              <w:t>0.66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5900657" w14:textId="44D2679F" w:rsidR="00932542" w:rsidRPr="006557F6" w:rsidRDefault="00932542" w:rsidP="00932542">
            <w:pPr>
              <w:spacing w:before="60" w:after="60"/>
              <w:rPr>
                <w:rFonts w:ascii="Arial" w:hAnsi="Arial" w:cs="Arial"/>
                <w:color w:val="000000"/>
              </w:rPr>
            </w:pPr>
            <w:r>
              <w:rPr>
                <w:color w:val="000000"/>
              </w:rPr>
              <w:t>0.71*</w:t>
            </w:r>
          </w:p>
        </w:tc>
        <w:tc>
          <w:tcPr>
            <w:tcW w:w="433" w:type="pct"/>
            <w:tcBorders>
              <w:top w:val="nil"/>
              <w:left w:val="nil"/>
              <w:bottom w:val="nil"/>
              <w:right w:val="nil"/>
            </w:tcBorders>
            <w:noWrap/>
            <w:vAlign w:val="center"/>
            <w:hideMark/>
          </w:tcPr>
          <w:p w14:paraId="61502227" w14:textId="21685D5C" w:rsidR="00932542" w:rsidRPr="006557F6" w:rsidRDefault="00932542" w:rsidP="00932542">
            <w:pPr>
              <w:spacing w:before="60" w:after="60"/>
              <w:rPr>
                <w:rFonts w:ascii="Arial" w:hAnsi="Arial" w:cs="Arial"/>
                <w:color w:val="000000"/>
              </w:rPr>
            </w:pPr>
            <w:r>
              <w:rPr>
                <w:color w:val="000000"/>
              </w:rPr>
              <w:t>1</w:t>
            </w:r>
          </w:p>
        </w:tc>
        <w:tc>
          <w:tcPr>
            <w:tcW w:w="430" w:type="pct"/>
            <w:tcBorders>
              <w:top w:val="nil"/>
              <w:left w:val="nil"/>
              <w:bottom w:val="nil"/>
              <w:right w:val="nil"/>
            </w:tcBorders>
            <w:noWrap/>
            <w:vAlign w:val="center"/>
            <w:hideMark/>
          </w:tcPr>
          <w:p w14:paraId="5A3B173F" w14:textId="77777777" w:rsidR="00932542" w:rsidRPr="006557F6" w:rsidRDefault="00932542" w:rsidP="00932542">
            <w:pPr>
              <w:spacing w:before="60" w:after="60"/>
              <w:rPr>
                <w:rFonts w:ascii="Arial" w:hAnsi="Arial" w:cs="Arial"/>
                <w:color w:val="000000"/>
              </w:rPr>
            </w:pPr>
          </w:p>
        </w:tc>
      </w:tr>
      <w:tr w:rsidR="00932542" w:rsidRPr="006557F6" w14:paraId="0301F6DD" w14:textId="77777777" w:rsidTr="00932542">
        <w:trPr>
          <w:trHeight w:val="432"/>
        </w:trPr>
        <w:tc>
          <w:tcPr>
            <w:tcW w:w="553" w:type="pct"/>
            <w:tcBorders>
              <w:top w:val="nil"/>
              <w:left w:val="nil"/>
              <w:bottom w:val="single" w:sz="4" w:space="0" w:color="auto"/>
              <w:right w:val="nil"/>
            </w:tcBorders>
            <w:noWrap/>
            <w:vAlign w:val="center"/>
            <w:hideMark/>
          </w:tcPr>
          <w:p w14:paraId="62CE800B"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CEC</w:t>
            </w:r>
          </w:p>
        </w:tc>
        <w:tc>
          <w:tcPr>
            <w:tcW w:w="433" w:type="pct"/>
            <w:tcBorders>
              <w:top w:val="nil"/>
              <w:left w:val="nil"/>
              <w:bottom w:val="single" w:sz="4" w:space="0" w:color="auto"/>
              <w:right w:val="nil"/>
            </w:tcBorders>
            <w:noWrap/>
            <w:vAlign w:val="center"/>
            <w:hideMark/>
          </w:tcPr>
          <w:p w14:paraId="2713060E" w14:textId="34791309"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single" w:sz="4" w:space="0" w:color="auto"/>
              <w:right w:val="nil"/>
            </w:tcBorders>
            <w:noWrap/>
            <w:vAlign w:val="center"/>
            <w:hideMark/>
          </w:tcPr>
          <w:p w14:paraId="1FDC1BAF" w14:textId="0A923DE2" w:rsidR="00932542" w:rsidRPr="006557F6" w:rsidRDefault="00932542" w:rsidP="00932542">
            <w:pPr>
              <w:spacing w:before="60" w:after="60"/>
              <w:rPr>
                <w:rFonts w:ascii="Arial" w:hAnsi="Arial" w:cs="Arial"/>
                <w:color w:val="000000"/>
              </w:rPr>
            </w:pPr>
            <w:r>
              <w:rPr>
                <w:color w:val="000000"/>
              </w:rPr>
              <w:t>-0.44</w:t>
            </w:r>
            <w:r w:rsidRPr="00932542">
              <w:rPr>
                <w:color w:val="000000"/>
                <w:vertAlign w:val="superscript"/>
              </w:rPr>
              <w:t xml:space="preserve"> ns</w:t>
            </w:r>
          </w:p>
        </w:tc>
        <w:tc>
          <w:tcPr>
            <w:tcW w:w="493" w:type="pct"/>
            <w:tcBorders>
              <w:top w:val="nil"/>
              <w:left w:val="nil"/>
              <w:bottom w:val="single" w:sz="4" w:space="0" w:color="auto"/>
              <w:right w:val="nil"/>
            </w:tcBorders>
            <w:noWrap/>
            <w:vAlign w:val="center"/>
            <w:hideMark/>
          </w:tcPr>
          <w:p w14:paraId="5A1EBED2" w14:textId="245D718A" w:rsidR="00932542" w:rsidRPr="006557F6" w:rsidRDefault="00932542" w:rsidP="00932542">
            <w:pPr>
              <w:spacing w:before="60" w:after="60"/>
              <w:rPr>
                <w:rFonts w:ascii="Arial" w:hAnsi="Arial" w:cs="Arial"/>
                <w:color w:val="000000"/>
              </w:rPr>
            </w:pPr>
            <w:r>
              <w:rPr>
                <w:color w:val="000000"/>
              </w:rPr>
              <w:t>-0.09</w:t>
            </w:r>
            <w:r w:rsidRPr="00932542">
              <w:rPr>
                <w:color w:val="000000"/>
                <w:vertAlign w:val="superscript"/>
              </w:rPr>
              <w:t xml:space="preserve"> ns</w:t>
            </w:r>
          </w:p>
        </w:tc>
        <w:tc>
          <w:tcPr>
            <w:tcW w:w="433" w:type="pct"/>
            <w:tcBorders>
              <w:top w:val="nil"/>
              <w:left w:val="nil"/>
              <w:bottom w:val="single" w:sz="4" w:space="0" w:color="auto"/>
              <w:right w:val="nil"/>
            </w:tcBorders>
            <w:noWrap/>
            <w:vAlign w:val="center"/>
            <w:hideMark/>
          </w:tcPr>
          <w:p w14:paraId="688B6B9B" w14:textId="62647DC2" w:rsidR="00932542" w:rsidRPr="006557F6" w:rsidRDefault="00932542" w:rsidP="00932542">
            <w:pPr>
              <w:spacing w:before="60" w:after="60"/>
              <w:rPr>
                <w:rFonts w:ascii="Arial" w:hAnsi="Arial" w:cs="Arial"/>
                <w:color w:val="000000"/>
              </w:rPr>
            </w:pPr>
            <w:r>
              <w:rPr>
                <w:color w:val="000000"/>
              </w:rPr>
              <w:t>0.55</w:t>
            </w:r>
            <w:r w:rsidRPr="00932542">
              <w:rPr>
                <w:color w:val="000000"/>
                <w:vertAlign w:val="superscript"/>
              </w:rPr>
              <w:t xml:space="preserve"> ns</w:t>
            </w:r>
          </w:p>
        </w:tc>
        <w:tc>
          <w:tcPr>
            <w:tcW w:w="433" w:type="pct"/>
            <w:tcBorders>
              <w:top w:val="nil"/>
              <w:left w:val="nil"/>
              <w:bottom w:val="single" w:sz="4" w:space="0" w:color="auto"/>
              <w:right w:val="nil"/>
            </w:tcBorders>
            <w:noWrap/>
            <w:vAlign w:val="center"/>
            <w:hideMark/>
          </w:tcPr>
          <w:p w14:paraId="47AC1A09" w14:textId="58AD523E" w:rsidR="00932542" w:rsidRPr="006557F6" w:rsidRDefault="00932542" w:rsidP="00932542">
            <w:pPr>
              <w:spacing w:before="60" w:after="60"/>
              <w:rPr>
                <w:rFonts w:ascii="Arial" w:hAnsi="Arial" w:cs="Arial"/>
                <w:color w:val="000000"/>
              </w:rPr>
            </w:pPr>
            <w:r>
              <w:rPr>
                <w:color w:val="000000"/>
              </w:rPr>
              <w:t>-0.66*</w:t>
            </w:r>
          </w:p>
        </w:tc>
        <w:tc>
          <w:tcPr>
            <w:tcW w:w="433" w:type="pct"/>
            <w:tcBorders>
              <w:top w:val="nil"/>
              <w:left w:val="nil"/>
              <w:bottom w:val="single" w:sz="4" w:space="0" w:color="auto"/>
              <w:right w:val="nil"/>
            </w:tcBorders>
            <w:noWrap/>
            <w:vAlign w:val="center"/>
            <w:hideMark/>
          </w:tcPr>
          <w:p w14:paraId="306FA75C" w14:textId="0059693C" w:rsidR="00932542" w:rsidRPr="006557F6" w:rsidRDefault="00932542" w:rsidP="00932542">
            <w:pPr>
              <w:spacing w:before="60" w:after="60"/>
              <w:rPr>
                <w:rFonts w:ascii="Arial" w:hAnsi="Arial" w:cs="Arial"/>
                <w:color w:val="000000"/>
              </w:rPr>
            </w:pPr>
            <w:r>
              <w:rPr>
                <w:color w:val="000000"/>
              </w:rPr>
              <w:t>0.74*</w:t>
            </w:r>
          </w:p>
        </w:tc>
        <w:tc>
          <w:tcPr>
            <w:tcW w:w="433" w:type="pct"/>
            <w:tcBorders>
              <w:top w:val="nil"/>
              <w:left w:val="nil"/>
              <w:bottom w:val="single" w:sz="4" w:space="0" w:color="auto"/>
              <w:right w:val="nil"/>
            </w:tcBorders>
            <w:noWrap/>
            <w:vAlign w:val="center"/>
            <w:hideMark/>
          </w:tcPr>
          <w:p w14:paraId="467430F7" w14:textId="4AF401B9" w:rsidR="00932542" w:rsidRPr="006557F6" w:rsidRDefault="00932542" w:rsidP="00932542">
            <w:pPr>
              <w:spacing w:before="60" w:after="60"/>
              <w:rPr>
                <w:rFonts w:ascii="Arial" w:hAnsi="Arial" w:cs="Arial"/>
                <w:color w:val="000000"/>
              </w:rPr>
            </w:pPr>
            <w:r>
              <w:rPr>
                <w:color w:val="000000"/>
              </w:rPr>
              <w:t>0.84**</w:t>
            </w:r>
          </w:p>
        </w:tc>
        <w:tc>
          <w:tcPr>
            <w:tcW w:w="433" w:type="pct"/>
            <w:tcBorders>
              <w:top w:val="nil"/>
              <w:left w:val="nil"/>
              <w:bottom w:val="single" w:sz="4" w:space="0" w:color="auto"/>
              <w:right w:val="nil"/>
            </w:tcBorders>
            <w:noWrap/>
            <w:vAlign w:val="center"/>
            <w:hideMark/>
          </w:tcPr>
          <w:p w14:paraId="72874493" w14:textId="3B6B1580" w:rsidR="00932542" w:rsidRPr="006557F6" w:rsidRDefault="00932542" w:rsidP="00932542">
            <w:pPr>
              <w:spacing w:before="60" w:after="60"/>
              <w:rPr>
                <w:rFonts w:ascii="Arial" w:hAnsi="Arial" w:cs="Arial"/>
                <w:color w:val="000000"/>
              </w:rPr>
            </w:pPr>
            <w:r>
              <w:rPr>
                <w:color w:val="000000"/>
              </w:rPr>
              <w:t>0.89**</w:t>
            </w:r>
          </w:p>
        </w:tc>
        <w:tc>
          <w:tcPr>
            <w:tcW w:w="433" w:type="pct"/>
            <w:tcBorders>
              <w:top w:val="nil"/>
              <w:left w:val="nil"/>
              <w:bottom w:val="single" w:sz="4" w:space="0" w:color="auto"/>
              <w:right w:val="nil"/>
            </w:tcBorders>
            <w:noWrap/>
            <w:vAlign w:val="center"/>
            <w:hideMark/>
          </w:tcPr>
          <w:p w14:paraId="4A5EBB3B" w14:textId="1958AB12" w:rsidR="00932542" w:rsidRPr="006557F6" w:rsidRDefault="00932542" w:rsidP="00932542">
            <w:pPr>
              <w:spacing w:before="60" w:after="60"/>
              <w:rPr>
                <w:rFonts w:ascii="Arial" w:hAnsi="Arial" w:cs="Arial"/>
                <w:color w:val="000000"/>
              </w:rPr>
            </w:pPr>
            <w:r>
              <w:rPr>
                <w:color w:val="000000"/>
              </w:rPr>
              <w:t>0.88**</w:t>
            </w:r>
          </w:p>
        </w:tc>
        <w:tc>
          <w:tcPr>
            <w:tcW w:w="430" w:type="pct"/>
            <w:tcBorders>
              <w:top w:val="nil"/>
              <w:left w:val="nil"/>
              <w:bottom w:val="single" w:sz="4" w:space="0" w:color="auto"/>
              <w:right w:val="nil"/>
            </w:tcBorders>
            <w:noWrap/>
            <w:vAlign w:val="center"/>
            <w:hideMark/>
          </w:tcPr>
          <w:p w14:paraId="2F419BC7" w14:textId="2CC8E38E" w:rsidR="00932542" w:rsidRPr="006557F6" w:rsidRDefault="00932542" w:rsidP="00932542">
            <w:pPr>
              <w:spacing w:before="60" w:after="60"/>
              <w:rPr>
                <w:rFonts w:ascii="Arial" w:hAnsi="Arial" w:cs="Arial"/>
                <w:color w:val="000000"/>
              </w:rPr>
            </w:pPr>
            <w:r>
              <w:rPr>
                <w:color w:val="000000"/>
              </w:rPr>
              <w:t>1</w:t>
            </w:r>
          </w:p>
        </w:tc>
      </w:tr>
    </w:tbl>
    <w:p w14:paraId="7D684064" w14:textId="77777777" w:rsidR="00650980" w:rsidRDefault="00650980" w:rsidP="00650980">
      <w:pPr>
        <w:spacing w:before="240" w:after="240"/>
        <w:rPr>
          <w:rFonts w:ascii="Arial" w:hAnsi="Arial" w:cs="Arial"/>
          <w:bCs/>
        </w:rPr>
      </w:pPr>
      <w:r w:rsidRPr="006557F6">
        <w:rPr>
          <w:rFonts w:ascii="Arial" w:hAnsi="Arial" w:cs="Arial"/>
          <w:bCs/>
        </w:rPr>
        <w:t>BD = bulk density (g cm</w:t>
      </w:r>
      <w:r w:rsidRPr="006557F6">
        <w:rPr>
          <w:rFonts w:ascii="Arial" w:hAnsi="Arial" w:cs="Arial"/>
          <w:bCs/>
          <w:vertAlign w:val="superscript"/>
        </w:rPr>
        <w:t>-3</w:t>
      </w:r>
      <w:r w:rsidRPr="006557F6">
        <w:rPr>
          <w:rFonts w:ascii="Arial" w:hAnsi="Arial" w:cs="Arial"/>
          <w:bCs/>
        </w:rPr>
        <w:t>), PD = particle density (g cm</w:t>
      </w:r>
      <w:r w:rsidRPr="006557F6">
        <w:rPr>
          <w:rFonts w:ascii="Arial" w:hAnsi="Arial" w:cs="Arial"/>
          <w:bCs/>
          <w:vertAlign w:val="superscript"/>
        </w:rPr>
        <w:t>-3</w:t>
      </w:r>
      <w:r w:rsidRPr="006557F6">
        <w:rPr>
          <w:rFonts w:ascii="Arial" w:hAnsi="Arial" w:cs="Arial"/>
          <w:bCs/>
        </w:rPr>
        <w:t>), WHC = water holding capacity (%), OC = organic carbon, TN = total nitrogen (%), AP.= available phosphrous (mg kg</w:t>
      </w:r>
      <w:r w:rsidRPr="006557F6">
        <w:rPr>
          <w:rFonts w:ascii="Arial" w:hAnsi="Arial" w:cs="Arial"/>
          <w:bCs/>
          <w:vertAlign w:val="superscript"/>
        </w:rPr>
        <w:t>-1</w:t>
      </w:r>
      <w:r w:rsidRPr="006557F6">
        <w:rPr>
          <w:rFonts w:ascii="Arial" w:hAnsi="Arial" w:cs="Arial"/>
          <w:bCs/>
        </w:rPr>
        <w:t>), AK = available potassium (mg kg</w:t>
      </w:r>
      <w:r w:rsidRPr="006557F6">
        <w:rPr>
          <w:rFonts w:ascii="Arial" w:hAnsi="Arial" w:cs="Arial"/>
          <w:bCs/>
          <w:vertAlign w:val="superscript"/>
        </w:rPr>
        <w:t>-1</w:t>
      </w:r>
      <w:r w:rsidRPr="006557F6">
        <w:rPr>
          <w:rFonts w:ascii="Arial" w:hAnsi="Arial" w:cs="Arial"/>
          <w:bCs/>
        </w:rPr>
        <w:t>), and CEC = cation exchange capacity (cmol</w:t>
      </w:r>
      <w:r w:rsidRPr="006557F6">
        <w:rPr>
          <w:rFonts w:ascii="Arial" w:hAnsi="Arial" w:cs="Arial"/>
          <w:bCs/>
          <w:vertAlign w:val="subscript"/>
        </w:rPr>
        <w:t>c</w:t>
      </w:r>
      <w:r w:rsidRPr="006557F6">
        <w:rPr>
          <w:rFonts w:ascii="Arial" w:hAnsi="Arial" w:cs="Arial"/>
          <w:bCs/>
        </w:rPr>
        <w:t xml:space="preserve"> kg</w:t>
      </w:r>
      <w:r w:rsidRPr="006557F6">
        <w:rPr>
          <w:rFonts w:ascii="Arial" w:hAnsi="Arial" w:cs="Arial"/>
          <w:bCs/>
          <w:vertAlign w:val="superscript"/>
        </w:rPr>
        <w:t>-1</w:t>
      </w:r>
      <w:r w:rsidRPr="006557F6">
        <w:rPr>
          <w:rFonts w:ascii="Arial" w:hAnsi="Arial" w:cs="Arial"/>
          <w:bCs/>
        </w:rPr>
        <w:t>)</w:t>
      </w:r>
    </w:p>
    <w:p w14:paraId="51283692" w14:textId="664F21C4" w:rsidR="00B940FB" w:rsidRDefault="00B940FB" w:rsidP="00650980">
      <w:pPr>
        <w:spacing w:before="240" w:after="240"/>
        <w:rPr>
          <w:rFonts w:ascii="Arial" w:hAnsi="Arial" w:cs="Arial"/>
          <w:bCs/>
        </w:rPr>
      </w:pPr>
      <w:r w:rsidRPr="00B940FB">
        <w:rPr>
          <w:rFonts w:ascii="Arial" w:hAnsi="Arial" w:cs="Arial"/>
          <w:bCs/>
          <w:vertAlign w:val="superscript"/>
        </w:rPr>
        <w:t>ns</w:t>
      </w:r>
      <w:r w:rsidRPr="00B940FB">
        <w:rPr>
          <w:rFonts w:ascii="Arial" w:hAnsi="Arial" w:cs="Arial"/>
          <w:bCs/>
        </w:rPr>
        <w:t xml:space="preserve"> Non-significant difference at LSD 5% level, * Significant difference at 5% level, ** Significant difference at 1% level.</w:t>
      </w:r>
    </w:p>
    <w:p w14:paraId="4FCBED9E" w14:textId="77777777" w:rsidR="00B940FB" w:rsidRDefault="00B940FB" w:rsidP="00650980">
      <w:pPr>
        <w:spacing w:before="240" w:after="240"/>
        <w:rPr>
          <w:rFonts w:ascii="Arial" w:hAnsi="Arial" w:cs="Arial"/>
          <w:bCs/>
        </w:rPr>
      </w:pPr>
    </w:p>
    <w:p w14:paraId="6B333910" w14:textId="77777777" w:rsidR="00B940FB" w:rsidRPr="006557F6" w:rsidRDefault="00B940FB" w:rsidP="00650980">
      <w:pPr>
        <w:spacing w:before="240" w:after="240"/>
        <w:rPr>
          <w:rFonts w:ascii="Arial" w:hAnsi="Arial" w:cs="Arial"/>
          <w:bCs/>
        </w:rPr>
      </w:pPr>
    </w:p>
    <w:p w14:paraId="237B40CE" w14:textId="77777777" w:rsidR="00650980" w:rsidRPr="00092171" w:rsidRDefault="00650980" w:rsidP="00650980">
      <w:pPr>
        <w:spacing w:before="240" w:after="240"/>
        <w:rPr>
          <w:b/>
        </w:rPr>
      </w:pPr>
    </w:p>
    <w:p w14:paraId="4A71EEC9" w14:textId="77777777" w:rsidR="00650980" w:rsidRPr="00092171" w:rsidRDefault="00650980" w:rsidP="00650980">
      <w:pPr>
        <w:spacing w:before="240" w:after="240"/>
        <w:sectPr w:rsidR="00650980" w:rsidRPr="00092171" w:rsidSect="00650980">
          <w:headerReference w:type="even" r:id="rId14"/>
          <w:headerReference w:type="default" r:id="rId15"/>
          <w:footerReference w:type="default" r:id="rId16"/>
          <w:headerReference w:type="first" r:id="rId17"/>
          <w:footerReference w:type="first" r:id="rId18"/>
          <w:pgSz w:w="16838" w:h="11906" w:orient="landscape" w:code="9"/>
          <w:pgMar w:top="720" w:right="1008" w:bottom="1008" w:left="1008" w:header="720" w:footer="720" w:gutter="0"/>
          <w:cols w:space="720"/>
          <w:docGrid w:linePitch="360"/>
        </w:sectPr>
      </w:pPr>
    </w:p>
    <w:p w14:paraId="7FE5B0E6" w14:textId="77777777" w:rsidR="00F154F4" w:rsidRPr="00F154F4" w:rsidRDefault="00F154F4" w:rsidP="00F154F4">
      <w:pPr>
        <w:spacing w:before="240" w:after="120"/>
        <w:jc w:val="both"/>
        <w:rPr>
          <w:rFonts w:ascii="Arial" w:hAnsi="Arial" w:cs="Arial"/>
          <w:b/>
          <w:bCs/>
        </w:rPr>
      </w:pPr>
      <w:r w:rsidRPr="00F154F4">
        <w:rPr>
          <w:rFonts w:ascii="Arial" w:hAnsi="Arial" w:cs="Arial"/>
          <w:b/>
          <w:bCs/>
        </w:rPr>
        <w:lastRenderedPageBreak/>
        <w:t>5. CONCLUSION</w:t>
      </w:r>
    </w:p>
    <w:p w14:paraId="639923E4" w14:textId="0273F1D9" w:rsidR="00F154F4" w:rsidRPr="00F154F4" w:rsidRDefault="00F154F4" w:rsidP="00F154F4">
      <w:pPr>
        <w:spacing w:before="240" w:after="120"/>
        <w:ind w:firstLine="720"/>
        <w:jc w:val="both"/>
        <w:rPr>
          <w:rFonts w:ascii="Arial" w:hAnsi="Arial" w:cs="Arial"/>
        </w:rPr>
      </w:pPr>
      <w:r w:rsidRPr="00F154F4">
        <w:rPr>
          <w:rFonts w:ascii="Arial" w:hAnsi="Arial" w:cs="Arial"/>
        </w:rPr>
        <w:t>Among the treatments assessed, maize straw (T5) proved most effective in improving soil structure, as shown by a significant reduction in BD (1.20 g cm</w:t>
      </w:r>
      <w:r w:rsidRPr="00F154F4">
        <w:rPr>
          <w:rFonts w:ascii="Cambria Math" w:hAnsi="Cambria Math" w:cs="Cambria Math"/>
        </w:rPr>
        <w:t>⁻</w:t>
      </w:r>
      <w:r w:rsidRPr="00F154F4">
        <w:rPr>
          <w:rFonts w:ascii="Arial" w:hAnsi="Arial" w:cs="Arial"/>
        </w:rPr>
        <w:t>³). This improvement likely results from its high lignin content (19.5%) and fibrous structure, which slow decomposition and promote soil pore development. Although PD remained constant across treatments, porosity increased in soils amended with straw, indicating a positive impact on soil structure over the 120-day incubation period. All organic materials led to soil acidification, with rice straw (T4: pH 4.83) and maize straw (T5: pH 4.79) causing the most significant decreases in pH. This decline is related to their acidic properties and the release of organic acids during decomposition. Even materials with nearly neutral pH, like cow dung and chicken manure, reduced soil pH, likely due to microbial activity generating hydrogen ions. OC content significantly increased in soils treated with high-carbon materials, particularly maize straw (1.83%) and rice straw (1.74%). This increase is attributed to their initial high OC levels and wide C:N ratios, which slow decomposition. In contrast, the control treatment saw a decrease in OC, indicating the mineralization of native SOM. TN was most improved by N-rich materials like chicken manure and cow dung, supporting N retention. Chicken manure was particularly effective for enhancing soil fertility, significantly boosting available P (28.87 mg kg</w:t>
      </w:r>
      <w:r w:rsidRPr="00F154F4">
        <w:rPr>
          <w:rFonts w:ascii="Cambria Math" w:hAnsi="Cambria Math" w:cs="Cambria Math"/>
        </w:rPr>
        <w:t>⁻</w:t>
      </w:r>
      <w:r w:rsidRPr="00F154F4">
        <w:rPr>
          <w:rFonts w:ascii="Arial" w:hAnsi="Arial" w:cs="Arial"/>
        </w:rPr>
        <w:t>¹), K (85.00 mg kg</w:t>
      </w:r>
      <w:r w:rsidRPr="00F154F4">
        <w:rPr>
          <w:rFonts w:ascii="Cambria Math" w:hAnsi="Cambria Math" w:cs="Cambria Math"/>
        </w:rPr>
        <w:t>⁻</w:t>
      </w:r>
      <w:r w:rsidRPr="00F154F4">
        <w:rPr>
          <w:rFonts w:ascii="Arial" w:hAnsi="Arial" w:cs="Arial"/>
        </w:rPr>
        <w:t>¹), and CEC (16.44 cmolc kg</w:t>
      </w:r>
      <w:r w:rsidRPr="00F154F4">
        <w:rPr>
          <w:rFonts w:ascii="Cambria Math" w:hAnsi="Cambria Math" w:cs="Cambria Math"/>
        </w:rPr>
        <w:t>⁻</w:t>
      </w:r>
      <w:r w:rsidRPr="00F154F4">
        <w:rPr>
          <w:rFonts w:ascii="Arial" w:hAnsi="Arial" w:cs="Arial"/>
        </w:rPr>
        <w:t xml:space="preserve">¹). These enhancements stem from its nutrient content and the formation of stable substances during decomposition. Overall, the findings suggest that using organic materials, especially maize straw for physical enhancement and chicken manure for nutrient improvement, offers a sustainable approach to improving degraded loamy sand soils in </w:t>
      </w:r>
      <w:commentRangeStart w:id="20"/>
      <w:r w:rsidRPr="00F154F4">
        <w:rPr>
          <w:rFonts w:ascii="Arial" w:hAnsi="Arial" w:cs="Arial"/>
        </w:rPr>
        <w:t>Myanmar</w:t>
      </w:r>
      <w:commentRangeEnd w:id="20"/>
      <w:r w:rsidR="00584E47">
        <w:rPr>
          <w:rStyle w:val="CommentReference"/>
          <w:rFonts w:ascii="Times New Roman" w:hAnsi="Times New Roman"/>
          <w:lang w:val="nb-NO" w:eastAsia="nb-NO"/>
        </w:rPr>
        <w:commentReference w:id="20"/>
      </w:r>
      <w:r w:rsidRPr="00F154F4">
        <w:rPr>
          <w:rFonts w:ascii="Arial" w:hAnsi="Arial" w:cs="Arial"/>
        </w:rPr>
        <w:t xml:space="preserve">. </w:t>
      </w:r>
    </w:p>
    <w:p w14:paraId="33EBE437" w14:textId="1E05E7C5" w:rsidR="00650980" w:rsidRPr="006557F6" w:rsidRDefault="00650980" w:rsidP="00327A03">
      <w:pPr>
        <w:spacing w:before="240" w:after="120"/>
        <w:jc w:val="both"/>
        <w:rPr>
          <w:rFonts w:ascii="Arial" w:hAnsi="Arial" w:cs="Arial"/>
          <w:b/>
          <w:bCs/>
        </w:rPr>
      </w:pPr>
      <w:r>
        <w:rPr>
          <w:rFonts w:ascii="Arial" w:hAnsi="Arial" w:cs="Arial"/>
          <w:b/>
          <w:bCs/>
        </w:rPr>
        <w:t>6</w:t>
      </w:r>
      <w:r w:rsidRPr="006557F6">
        <w:rPr>
          <w:rFonts w:ascii="Arial" w:hAnsi="Arial" w:cs="Arial"/>
          <w:b/>
          <w:bCs/>
        </w:rPr>
        <w:t xml:space="preserve">. </w:t>
      </w:r>
      <w:r>
        <w:rPr>
          <w:rFonts w:ascii="Arial" w:hAnsi="Arial" w:cs="Arial"/>
          <w:b/>
          <w:bCs/>
        </w:rPr>
        <w:t>REFERENCES</w:t>
      </w:r>
    </w:p>
    <w:p w14:paraId="42DA3552"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Alloway, B. J. (Ed.). (2012). Heavy metals in soils: trace metals and metalloids in soils and their bioavailability (Vol. 22). </w:t>
      </w:r>
      <w:r w:rsidRPr="003F19FB">
        <w:rPr>
          <w:rFonts w:ascii="Arial" w:hAnsi="Arial" w:cs="Arial"/>
          <w:i/>
          <w:iCs/>
        </w:rPr>
        <w:t>Springer Science &amp; Business Media</w:t>
      </w:r>
      <w:r w:rsidRPr="006557F6">
        <w:rPr>
          <w:rFonts w:ascii="Arial" w:hAnsi="Arial" w:cs="Arial"/>
        </w:rPr>
        <w:t>.</w:t>
      </w:r>
    </w:p>
    <w:p w14:paraId="483C55DE" w14:textId="239C733C" w:rsidR="00730A59" w:rsidRPr="006557F6" w:rsidRDefault="00730A59" w:rsidP="00650980">
      <w:pPr>
        <w:spacing w:after="120"/>
        <w:ind w:left="720" w:hanging="720"/>
        <w:jc w:val="both"/>
        <w:rPr>
          <w:rFonts w:ascii="Arial" w:hAnsi="Arial" w:cs="Arial"/>
        </w:rPr>
      </w:pPr>
      <w:r w:rsidRPr="006557F6">
        <w:rPr>
          <w:rFonts w:ascii="Arial" w:hAnsi="Arial" w:cs="Arial"/>
        </w:rPr>
        <w:t>Alzamel, N. M., Taha, E. M., Bakr, A. A., &amp; Loutfy, N. (2022). Effect of organic and inorganic fertiliz</w:t>
      </w:r>
      <w:r w:rsidR="00584E47">
        <w:rPr>
          <w:rFonts w:ascii="Arial" w:hAnsi="Arial" w:cs="Arial"/>
        </w:rPr>
        <w:t>]</w:t>
      </w:r>
      <w:r w:rsidRPr="006557F6">
        <w:rPr>
          <w:rFonts w:ascii="Arial" w:hAnsi="Arial" w:cs="Arial"/>
        </w:rPr>
        <w:t xml:space="preserve">ers on soil properties, growth yield, and physiochemical properties of sunflower seeds and oils. </w:t>
      </w:r>
      <w:r w:rsidRPr="003F19FB">
        <w:rPr>
          <w:rFonts w:ascii="Arial" w:hAnsi="Arial" w:cs="Arial"/>
          <w:i/>
          <w:iCs/>
        </w:rPr>
        <w:t>Sustainability</w:t>
      </w:r>
      <w:r w:rsidRPr="006557F6">
        <w:rPr>
          <w:rFonts w:ascii="Arial" w:hAnsi="Arial" w:cs="Arial"/>
        </w:rPr>
        <w:t xml:space="preserve">, </w:t>
      </w:r>
      <w:r w:rsidRPr="003F19FB">
        <w:rPr>
          <w:rFonts w:ascii="Arial" w:hAnsi="Arial" w:cs="Arial"/>
          <w:i/>
          <w:iCs/>
        </w:rPr>
        <w:t>14</w:t>
      </w:r>
      <w:r w:rsidRPr="006557F6">
        <w:rPr>
          <w:rFonts w:ascii="Arial" w:hAnsi="Arial" w:cs="Arial"/>
        </w:rPr>
        <w:t>(19), 12928.</w:t>
      </w:r>
    </w:p>
    <w:p w14:paraId="4DB6FFA3"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Aye, S. S. (2022). </w:t>
      </w:r>
      <w:r w:rsidRPr="003F19FB">
        <w:rPr>
          <w:rFonts w:ascii="Arial" w:hAnsi="Arial" w:cs="Arial"/>
          <w:i/>
          <w:iCs/>
        </w:rPr>
        <w:t>A Study on Contract Farming of Paddy Production in Myanmar Agricultural Sector</w:t>
      </w:r>
      <w:r w:rsidRPr="006557F6">
        <w:rPr>
          <w:rFonts w:ascii="Arial" w:hAnsi="Arial" w:cs="Arial"/>
        </w:rPr>
        <w:t xml:space="preserve"> (Shwe Sin Aye, 2022) (Doctoral dissertation, MERAL Portal).</w:t>
      </w:r>
    </w:p>
    <w:p w14:paraId="0079EFD4"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Bi, L., Zhang, B., Liu, G., Li, Z., Liu, Y., Ye, C., ... &amp; Liang, Y. (2009). Long-term effects of organic </w:t>
      </w:r>
      <w:r>
        <w:rPr>
          <w:rFonts w:ascii="Arial" w:hAnsi="Arial" w:cs="Arial"/>
        </w:rPr>
        <w:t>materials</w:t>
      </w:r>
      <w:r w:rsidRPr="006557F6">
        <w:rPr>
          <w:rFonts w:ascii="Arial" w:hAnsi="Arial" w:cs="Arial"/>
        </w:rPr>
        <w:t xml:space="preserve"> on the rice yields for double rice cropping systems in subtropical China. </w:t>
      </w:r>
      <w:r w:rsidRPr="003F19FB">
        <w:rPr>
          <w:rFonts w:ascii="Arial" w:hAnsi="Arial" w:cs="Arial"/>
          <w:i/>
          <w:iCs/>
        </w:rPr>
        <w:t>Agriculture, Ecosystems &amp; Environment</w:t>
      </w:r>
      <w:r w:rsidRPr="006557F6">
        <w:rPr>
          <w:rFonts w:ascii="Arial" w:hAnsi="Arial" w:cs="Arial"/>
        </w:rPr>
        <w:t xml:space="preserve">, </w:t>
      </w:r>
      <w:r w:rsidRPr="003F19FB">
        <w:rPr>
          <w:rFonts w:ascii="Arial" w:hAnsi="Arial" w:cs="Arial"/>
          <w:i/>
          <w:iCs/>
        </w:rPr>
        <w:t>129</w:t>
      </w:r>
      <w:r w:rsidRPr="006557F6">
        <w:rPr>
          <w:rFonts w:ascii="Arial" w:hAnsi="Arial" w:cs="Arial"/>
        </w:rPr>
        <w:t>(4), 534-541.</w:t>
      </w:r>
    </w:p>
    <w:p w14:paraId="60F242CC"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Blake, G. R. (1965). Bulk density. </w:t>
      </w:r>
      <w:r w:rsidRPr="006557F6">
        <w:rPr>
          <w:rFonts w:ascii="Arial" w:hAnsi="Arial" w:cs="Arial"/>
          <w:i/>
          <w:iCs/>
        </w:rPr>
        <w:t>Methods of soil analysis: Part 1 physical and mineralogical properties, including statistics of measurement and sampling</w:t>
      </w:r>
      <w:r w:rsidRPr="006557F6">
        <w:rPr>
          <w:rFonts w:ascii="Arial" w:hAnsi="Arial" w:cs="Arial"/>
        </w:rPr>
        <w:t>, </w:t>
      </w:r>
      <w:r w:rsidRPr="006557F6">
        <w:rPr>
          <w:rFonts w:ascii="Arial" w:hAnsi="Arial" w:cs="Arial"/>
          <w:i/>
          <w:iCs/>
        </w:rPr>
        <w:t>9</w:t>
      </w:r>
      <w:r w:rsidRPr="006557F6">
        <w:rPr>
          <w:rFonts w:ascii="Arial" w:hAnsi="Arial" w:cs="Arial"/>
        </w:rPr>
        <w:t>, 374-390.</w:t>
      </w:r>
    </w:p>
    <w:p w14:paraId="48F98173" w14:textId="77777777" w:rsidR="00730A59" w:rsidRDefault="00730A59" w:rsidP="00AF7BE9">
      <w:pPr>
        <w:spacing w:before="100" w:after="100"/>
        <w:ind w:left="720" w:hanging="720"/>
        <w:jc w:val="both"/>
        <w:rPr>
          <w:rFonts w:ascii="Arial" w:hAnsi="Arial" w:cs="Arial"/>
        </w:rPr>
      </w:pPr>
      <w:r w:rsidRPr="00DA7792">
        <w:rPr>
          <w:rFonts w:ascii="Arial" w:hAnsi="Arial" w:cs="Arial"/>
        </w:rPr>
        <w:t>Bolan, N. S., Adriano, D. C., &amp; Curtin, D. (2003). Soil acidification and liming interactions with nutrient and heavy metal transformation and bioavailability.</w:t>
      </w:r>
    </w:p>
    <w:p w14:paraId="26E7E8F4" w14:textId="77777777" w:rsidR="00730A59" w:rsidRDefault="00730A59" w:rsidP="00AF7BE9">
      <w:pPr>
        <w:spacing w:before="100" w:after="100"/>
        <w:ind w:left="720" w:hanging="720"/>
        <w:jc w:val="both"/>
        <w:rPr>
          <w:rFonts w:ascii="Arial" w:hAnsi="Arial" w:cs="Arial"/>
        </w:rPr>
      </w:pPr>
      <w:r w:rsidRPr="00DA7792">
        <w:rPr>
          <w:rFonts w:ascii="Arial" w:hAnsi="Arial" w:cs="Arial"/>
        </w:rPr>
        <w:t>Brady, N. C., &amp; Weil, R. R. (2016). The nature and properties of soils. Columbus. </w:t>
      </w:r>
      <w:r w:rsidRPr="00DA7792">
        <w:rPr>
          <w:rFonts w:ascii="Arial" w:hAnsi="Arial" w:cs="Arial"/>
          <w:i/>
          <w:iCs/>
        </w:rPr>
        <w:t>EUA Pearson Education</w:t>
      </w:r>
      <w:r w:rsidRPr="00DA7792">
        <w:rPr>
          <w:rFonts w:ascii="Arial" w:hAnsi="Arial" w:cs="Arial"/>
        </w:rPr>
        <w:t>.</w:t>
      </w:r>
    </w:p>
    <w:p w14:paraId="29E099C1"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Codling, E. E., &amp; Jaja, N. (2021). Effects of </w:t>
      </w:r>
      <w:r>
        <w:rPr>
          <w:rFonts w:ascii="Arial" w:hAnsi="Arial" w:cs="Arial"/>
        </w:rPr>
        <w:t>materials</w:t>
      </w:r>
      <w:r w:rsidRPr="006557F6">
        <w:rPr>
          <w:rFonts w:ascii="Arial" w:hAnsi="Arial" w:cs="Arial"/>
        </w:rPr>
        <w:t xml:space="preserve"> on soil chemical properties, alfalfa yield and nutrient uptake. </w:t>
      </w:r>
      <w:r w:rsidRPr="003F19FB">
        <w:rPr>
          <w:rFonts w:ascii="Arial" w:hAnsi="Arial" w:cs="Arial"/>
          <w:i/>
          <w:iCs/>
        </w:rPr>
        <w:t>Journal of Plant Nutrition</w:t>
      </w:r>
      <w:r w:rsidRPr="006557F6">
        <w:rPr>
          <w:rFonts w:ascii="Arial" w:hAnsi="Arial" w:cs="Arial"/>
        </w:rPr>
        <w:t xml:space="preserve">, </w:t>
      </w:r>
      <w:r w:rsidRPr="006557F6">
        <w:rPr>
          <w:rFonts w:ascii="Arial" w:hAnsi="Arial" w:cs="Arial"/>
          <w:i/>
          <w:iCs/>
        </w:rPr>
        <w:t>45</w:t>
      </w:r>
      <w:r w:rsidRPr="006557F6">
        <w:rPr>
          <w:rFonts w:ascii="Arial" w:hAnsi="Arial" w:cs="Arial"/>
        </w:rPr>
        <w:t>(1), 33-48.</w:t>
      </w:r>
    </w:p>
    <w:p w14:paraId="28775509"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Dhaliwal, S. S., Naresh, R. K., Mandal, A., Walia, M. K., Gupta, R. K., Singh, R., &amp; Dhaliwal, M. K. (2019). Effect of manures and fertilizers on soil physical properties, build-up of macro and micronutrients and uptake in soil under different cropping systems: a review. </w:t>
      </w:r>
      <w:r w:rsidRPr="003F19FB">
        <w:rPr>
          <w:rFonts w:ascii="Arial" w:hAnsi="Arial" w:cs="Arial"/>
          <w:i/>
          <w:iCs/>
        </w:rPr>
        <w:t>Journal of Plant Nutrition, 42</w:t>
      </w:r>
      <w:r w:rsidRPr="006557F6">
        <w:rPr>
          <w:rFonts w:ascii="Arial" w:hAnsi="Arial" w:cs="Arial"/>
        </w:rPr>
        <w:t>(20), 2873-2900.</w:t>
      </w:r>
    </w:p>
    <w:p w14:paraId="0505FE88" w14:textId="77777777" w:rsidR="00730A59" w:rsidRDefault="00730A59" w:rsidP="00650980">
      <w:pPr>
        <w:spacing w:after="120"/>
        <w:ind w:left="720" w:hanging="720"/>
        <w:jc w:val="both"/>
        <w:rPr>
          <w:rFonts w:ascii="Arial" w:hAnsi="Arial" w:cs="Arial"/>
        </w:rPr>
      </w:pPr>
      <w:r w:rsidRPr="006557F6">
        <w:rPr>
          <w:rFonts w:ascii="Arial" w:hAnsi="Arial" w:cs="Arial"/>
        </w:rPr>
        <w:lastRenderedPageBreak/>
        <w:t>Di Giuseppe, D., Melchiorre, M., Tessari, U., &amp; Faccini, B. (2016). Relationship between particle density and soil bulk chemical composition. </w:t>
      </w:r>
      <w:r w:rsidRPr="006557F6">
        <w:rPr>
          <w:rFonts w:ascii="Arial" w:hAnsi="Arial" w:cs="Arial"/>
          <w:i/>
          <w:iCs/>
        </w:rPr>
        <w:t>Journal of soils and sediments</w:t>
      </w:r>
      <w:r w:rsidRPr="006557F6">
        <w:rPr>
          <w:rFonts w:ascii="Arial" w:hAnsi="Arial" w:cs="Arial"/>
        </w:rPr>
        <w:t>, </w:t>
      </w:r>
      <w:r w:rsidRPr="006557F6">
        <w:rPr>
          <w:rFonts w:ascii="Arial" w:hAnsi="Arial" w:cs="Arial"/>
          <w:i/>
          <w:iCs/>
        </w:rPr>
        <w:t>16</w:t>
      </w:r>
      <w:r w:rsidRPr="006557F6">
        <w:rPr>
          <w:rFonts w:ascii="Arial" w:hAnsi="Arial" w:cs="Arial"/>
        </w:rPr>
        <w:t xml:space="preserve">(3), 909-915. </w:t>
      </w:r>
    </w:p>
    <w:p w14:paraId="52026D17" w14:textId="77777777" w:rsidR="00730A59" w:rsidRPr="006557F6" w:rsidRDefault="00730A59" w:rsidP="00650980">
      <w:pPr>
        <w:spacing w:after="120"/>
        <w:ind w:left="720" w:hanging="720"/>
        <w:jc w:val="both"/>
        <w:rPr>
          <w:rFonts w:ascii="Arial" w:hAnsi="Arial" w:cs="Arial"/>
        </w:rPr>
      </w:pPr>
      <w:r w:rsidRPr="00285B2D">
        <w:rPr>
          <w:rFonts w:ascii="Arial" w:hAnsi="Arial" w:cs="Arial"/>
        </w:rPr>
        <w:t>EthioSIS. (2014). Soil fertility status and fertilizer recommendation atlas for Tigray Regional State, Ethiopia. EthioSIS, Addis Ababa.</w:t>
      </w:r>
    </w:p>
    <w:p w14:paraId="421FE259" w14:textId="77777777" w:rsidR="00730A59" w:rsidRPr="006557F6" w:rsidRDefault="00730A59" w:rsidP="00650980">
      <w:pPr>
        <w:spacing w:after="120"/>
        <w:ind w:left="720" w:hanging="720"/>
        <w:jc w:val="both"/>
        <w:rPr>
          <w:rFonts w:ascii="Arial" w:hAnsi="Arial" w:cs="Arial"/>
        </w:rPr>
      </w:pPr>
      <w:bookmarkStart w:id="21" w:name="_Hlk181811758"/>
      <w:r w:rsidRPr="006557F6">
        <w:rPr>
          <w:rFonts w:ascii="Arial" w:hAnsi="Arial" w:cs="Arial"/>
        </w:rPr>
        <w:t>Gomez, K. A. (1984</w:t>
      </w:r>
      <w:bookmarkEnd w:id="21"/>
      <w:r w:rsidRPr="006557F6">
        <w:rPr>
          <w:rFonts w:ascii="Arial" w:hAnsi="Arial" w:cs="Arial"/>
        </w:rPr>
        <w:t>). Statistical procedures for agricultural research. John NewYork: Wiley and Sons.</w:t>
      </w:r>
    </w:p>
    <w:p w14:paraId="5C3B45C0" w14:textId="77777777" w:rsidR="00730A59" w:rsidRDefault="00730A59" w:rsidP="00AF7BE9">
      <w:pPr>
        <w:spacing w:before="100" w:after="100"/>
        <w:ind w:left="720" w:hanging="720"/>
        <w:jc w:val="both"/>
        <w:rPr>
          <w:rFonts w:ascii="Arial" w:hAnsi="Arial" w:cs="Arial"/>
        </w:rPr>
      </w:pPr>
      <w:r w:rsidRPr="00DA7792">
        <w:rPr>
          <w:rFonts w:ascii="Arial" w:hAnsi="Arial" w:cs="Arial"/>
        </w:rPr>
        <w:t>Guppy, C. N., Menzies, N. W., Moody, P. W., &amp; Blamey, F. P. C. (2005). Competitive sorption reactions between phosphorus and organic matter in soil: a review. </w:t>
      </w:r>
      <w:r w:rsidRPr="00DA7792">
        <w:rPr>
          <w:rFonts w:ascii="Arial" w:hAnsi="Arial" w:cs="Arial"/>
          <w:i/>
          <w:iCs/>
        </w:rPr>
        <w:t>Soil Research</w:t>
      </w:r>
      <w:r w:rsidRPr="00DA7792">
        <w:rPr>
          <w:rFonts w:ascii="Arial" w:hAnsi="Arial" w:cs="Arial"/>
        </w:rPr>
        <w:t>, </w:t>
      </w:r>
      <w:r w:rsidRPr="00DA7792">
        <w:rPr>
          <w:rFonts w:ascii="Arial" w:hAnsi="Arial" w:cs="Arial"/>
          <w:i/>
          <w:iCs/>
        </w:rPr>
        <w:t>43</w:t>
      </w:r>
      <w:r w:rsidRPr="00DA7792">
        <w:rPr>
          <w:rFonts w:ascii="Arial" w:hAnsi="Arial" w:cs="Arial"/>
        </w:rPr>
        <w:t>(2), 189-202.</w:t>
      </w:r>
    </w:p>
    <w:p w14:paraId="68EFB349" w14:textId="77777777" w:rsidR="00730A59" w:rsidRPr="00A64064" w:rsidRDefault="00730A59" w:rsidP="00AF7BE9">
      <w:pPr>
        <w:spacing w:before="100" w:after="100"/>
        <w:ind w:left="720" w:hanging="720"/>
        <w:jc w:val="both"/>
        <w:rPr>
          <w:rFonts w:ascii="Arial" w:hAnsi="Arial" w:cs="Arial"/>
        </w:rPr>
      </w:pPr>
      <w:r w:rsidRPr="00520016">
        <w:rPr>
          <w:rFonts w:ascii="Arial" w:hAnsi="Arial" w:cs="Arial"/>
        </w:rPr>
        <w:t>Gurmu, G. (2019). Soil organic matter and its role in soil health and crop productivity improvement. </w:t>
      </w:r>
      <w:r w:rsidRPr="00520016">
        <w:rPr>
          <w:rFonts w:ascii="Arial" w:hAnsi="Arial" w:cs="Arial"/>
          <w:i/>
          <w:iCs/>
        </w:rPr>
        <w:t>Forest Ecology and Management</w:t>
      </w:r>
      <w:r w:rsidRPr="00520016">
        <w:rPr>
          <w:rFonts w:ascii="Arial" w:hAnsi="Arial" w:cs="Arial"/>
        </w:rPr>
        <w:t>, </w:t>
      </w:r>
      <w:r w:rsidRPr="00520016">
        <w:rPr>
          <w:rFonts w:ascii="Arial" w:hAnsi="Arial" w:cs="Arial"/>
          <w:i/>
          <w:iCs/>
        </w:rPr>
        <w:t>7</w:t>
      </w:r>
      <w:r w:rsidRPr="00520016">
        <w:rPr>
          <w:rFonts w:ascii="Arial" w:hAnsi="Arial" w:cs="Arial"/>
        </w:rPr>
        <w:t>(7), 475-483.</w:t>
      </w:r>
    </w:p>
    <w:p w14:paraId="4EBDDDDF" w14:textId="77777777" w:rsidR="00730A59" w:rsidRDefault="00730A59" w:rsidP="00AF7BE9">
      <w:pPr>
        <w:spacing w:before="100" w:after="100"/>
        <w:ind w:left="720" w:hanging="720"/>
        <w:jc w:val="both"/>
        <w:rPr>
          <w:rFonts w:ascii="Arial" w:hAnsi="Arial" w:cs="Arial"/>
        </w:rPr>
      </w:pPr>
      <w:r w:rsidRPr="00DA7792">
        <w:rPr>
          <w:rFonts w:ascii="Arial" w:hAnsi="Arial" w:cs="Arial"/>
        </w:rPr>
        <w:t>Havlin, J. L., Tisdale, S. L., Nelson, W. L., &amp; Beaton, J. D. (2016). </w:t>
      </w:r>
      <w:r w:rsidRPr="00DA7792">
        <w:rPr>
          <w:rFonts w:ascii="Arial" w:hAnsi="Arial" w:cs="Arial"/>
          <w:i/>
          <w:iCs/>
        </w:rPr>
        <w:t>Soil fertility and fertilizers</w:t>
      </w:r>
      <w:r w:rsidRPr="00DA7792">
        <w:rPr>
          <w:rFonts w:ascii="Arial" w:hAnsi="Arial" w:cs="Arial"/>
        </w:rPr>
        <w:t>. Pearson Education India.</w:t>
      </w:r>
    </w:p>
    <w:p w14:paraId="64F5927F" w14:textId="77777777" w:rsidR="00730A59" w:rsidRPr="00A64064" w:rsidRDefault="00730A59" w:rsidP="00AF7BE9">
      <w:pPr>
        <w:spacing w:before="100" w:after="100"/>
        <w:ind w:left="720" w:hanging="720"/>
        <w:jc w:val="both"/>
        <w:rPr>
          <w:rFonts w:ascii="Arial" w:hAnsi="Arial" w:cs="Arial"/>
        </w:rPr>
      </w:pPr>
      <w:r w:rsidRPr="00DA7792">
        <w:rPr>
          <w:rFonts w:ascii="Arial" w:hAnsi="Arial" w:cs="Arial"/>
        </w:rPr>
        <w:t>Haynes, R. J., &amp; Naidu, R. (1998). Influence of lime, fertilizer and manure applications on soil organic matter content and soil physical conditions: a review. </w:t>
      </w:r>
      <w:r w:rsidRPr="00DA7792">
        <w:rPr>
          <w:rFonts w:ascii="Arial" w:hAnsi="Arial" w:cs="Arial"/>
          <w:i/>
          <w:iCs/>
        </w:rPr>
        <w:t>Nutrient cycling in agroecosystems</w:t>
      </w:r>
      <w:r w:rsidRPr="00DA7792">
        <w:rPr>
          <w:rFonts w:ascii="Arial" w:hAnsi="Arial" w:cs="Arial"/>
        </w:rPr>
        <w:t>, </w:t>
      </w:r>
      <w:r w:rsidRPr="00DA7792">
        <w:rPr>
          <w:rFonts w:ascii="Arial" w:hAnsi="Arial" w:cs="Arial"/>
          <w:i/>
          <w:iCs/>
        </w:rPr>
        <w:t>51</w:t>
      </w:r>
      <w:r w:rsidRPr="00DA7792">
        <w:rPr>
          <w:rFonts w:ascii="Arial" w:hAnsi="Arial" w:cs="Arial"/>
        </w:rPr>
        <w:t>(2), 123-137.</w:t>
      </w:r>
    </w:p>
    <w:p w14:paraId="3C01EDD9"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Hazelton, P., &amp; Murphy, B. (2016). </w:t>
      </w:r>
      <w:r w:rsidRPr="006557F6">
        <w:rPr>
          <w:rFonts w:ascii="Arial" w:hAnsi="Arial" w:cs="Arial"/>
          <w:i/>
          <w:iCs/>
        </w:rPr>
        <w:t>Interpreting soil test results: What do all the numbers mean?</w:t>
      </w:r>
      <w:r w:rsidRPr="006557F6">
        <w:rPr>
          <w:rFonts w:ascii="Arial" w:hAnsi="Arial" w:cs="Arial"/>
        </w:rPr>
        <w:t>. CSIRO publishing.</w:t>
      </w:r>
    </w:p>
    <w:p w14:paraId="310E8443" w14:textId="77777777" w:rsidR="00730A59" w:rsidRDefault="00730A59" w:rsidP="00AF7BE9">
      <w:pPr>
        <w:spacing w:before="100" w:after="100"/>
        <w:ind w:left="720" w:hanging="720"/>
        <w:jc w:val="both"/>
        <w:rPr>
          <w:rFonts w:ascii="Arial" w:hAnsi="Arial" w:cs="Arial"/>
        </w:rPr>
      </w:pPr>
      <w:r w:rsidRPr="00DA7792">
        <w:rPr>
          <w:rFonts w:ascii="Arial" w:hAnsi="Arial" w:cs="Arial"/>
        </w:rPr>
        <w:t>Hillel, D. (2003). </w:t>
      </w:r>
      <w:r w:rsidRPr="00DA7792">
        <w:rPr>
          <w:rFonts w:ascii="Arial" w:hAnsi="Arial" w:cs="Arial"/>
          <w:i/>
          <w:iCs/>
        </w:rPr>
        <w:t>Introduction to environmental soil physics</w:t>
      </w:r>
      <w:r w:rsidRPr="00DA7792">
        <w:rPr>
          <w:rFonts w:ascii="Arial" w:hAnsi="Arial" w:cs="Arial"/>
        </w:rPr>
        <w:t>. Elsevier.</w:t>
      </w:r>
    </w:p>
    <w:p w14:paraId="14F4BD6F"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Hillel, D. (2004). </w:t>
      </w:r>
      <w:r w:rsidRPr="006557F6">
        <w:rPr>
          <w:rFonts w:ascii="Arial" w:hAnsi="Arial" w:cs="Arial"/>
          <w:i/>
          <w:iCs/>
        </w:rPr>
        <w:t xml:space="preserve">Introduction to environmental soil physics </w:t>
      </w:r>
      <w:r w:rsidRPr="006557F6">
        <w:rPr>
          <w:rFonts w:ascii="Arial" w:hAnsi="Arial" w:cs="Arial"/>
        </w:rPr>
        <w:t>. Academic Press.</w:t>
      </w:r>
    </w:p>
    <w:p w14:paraId="0C13FC8E"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Hopkins, D.W. 2008. </w:t>
      </w:r>
      <w:r w:rsidRPr="00F13C58">
        <w:rPr>
          <w:rFonts w:ascii="Arial" w:hAnsi="Arial" w:cs="Arial"/>
          <w:i/>
          <w:iCs/>
        </w:rPr>
        <w:t>Carbon mineralization</w:t>
      </w:r>
      <w:r w:rsidRPr="006557F6">
        <w:rPr>
          <w:rFonts w:ascii="Arial" w:hAnsi="Arial" w:cs="Arial"/>
        </w:rPr>
        <w:t>. p. 589–599. In M.R. Carter and E.G. Gregorich (ed.) Soil sampling and methods of analysis. 2</w:t>
      </w:r>
      <w:r w:rsidRPr="00F13C58">
        <w:rPr>
          <w:rFonts w:ascii="Arial" w:hAnsi="Arial" w:cs="Arial"/>
          <w:vertAlign w:val="superscript"/>
        </w:rPr>
        <w:t>nd</w:t>
      </w:r>
      <w:r w:rsidRPr="006557F6">
        <w:rPr>
          <w:rFonts w:ascii="Arial" w:hAnsi="Arial" w:cs="Arial"/>
        </w:rPr>
        <w:t xml:space="preserve"> ed. CRC Press, Boca Raton, FL.</w:t>
      </w:r>
    </w:p>
    <w:p w14:paraId="75CC9405" w14:textId="77777777" w:rsidR="00730A59" w:rsidRPr="00F13C58" w:rsidRDefault="00730A59" w:rsidP="00650980">
      <w:pPr>
        <w:spacing w:after="120"/>
        <w:ind w:left="720" w:hanging="720"/>
        <w:jc w:val="both"/>
        <w:rPr>
          <w:rFonts w:ascii="Arial" w:hAnsi="Arial" w:cs="Arial"/>
          <w:i/>
          <w:iCs/>
        </w:rPr>
      </w:pPr>
      <w:r w:rsidRPr="006557F6">
        <w:rPr>
          <w:rFonts w:ascii="Arial" w:hAnsi="Arial" w:cs="Arial"/>
        </w:rPr>
        <w:t xml:space="preserve">Horneck, D. A., Sullivan, D. M., Owen, J. S., &amp; Hart, J. M. (2011). </w:t>
      </w:r>
      <w:r w:rsidRPr="00F13C58">
        <w:rPr>
          <w:rFonts w:ascii="Arial" w:hAnsi="Arial" w:cs="Arial"/>
          <w:i/>
          <w:iCs/>
        </w:rPr>
        <w:t>Soil test interpretation guide.</w:t>
      </w:r>
    </w:p>
    <w:p w14:paraId="44578C1C" w14:textId="77777777" w:rsidR="00730A59" w:rsidRPr="00730A59" w:rsidRDefault="00730A59" w:rsidP="00941588">
      <w:pPr>
        <w:spacing w:after="120"/>
        <w:ind w:left="720" w:hanging="720"/>
        <w:jc w:val="both"/>
        <w:rPr>
          <w:rFonts w:ascii="Arial" w:hAnsi="Arial" w:cs="Arial"/>
          <w:bCs/>
        </w:rPr>
      </w:pPr>
      <w:r w:rsidRPr="00730A59">
        <w:rPr>
          <w:rFonts w:ascii="Arial" w:hAnsi="Arial" w:cs="Arial"/>
          <w:bCs/>
        </w:rPr>
        <w:t>Htun, K. M., Mar, S. S., Soe, Y. M., Moe, K., &amp; Ngwe, K. (2025). Impact of Organic Amendments on Soil Organic Carbon Dynamics: A Kinetic Modelling Approach. </w:t>
      </w:r>
      <w:r w:rsidRPr="00730A59">
        <w:rPr>
          <w:rFonts w:ascii="Arial" w:hAnsi="Arial" w:cs="Arial"/>
          <w:bCs/>
          <w:i/>
          <w:iCs/>
        </w:rPr>
        <w:t>Asian Soil Research Journal</w:t>
      </w:r>
      <w:r w:rsidRPr="00730A59">
        <w:rPr>
          <w:rFonts w:ascii="Arial" w:hAnsi="Arial" w:cs="Arial"/>
          <w:bCs/>
        </w:rPr>
        <w:t>, </w:t>
      </w:r>
      <w:r w:rsidRPr="00730A59">
        <w:rPr>
          <w:rFonts w:ascii="Arial" w:hAnsi="Arial" w:cs="Arial"/>
          <w:bCs/>
          <w:i/>
          <w:iCs/>
        </w:rPr>
        <w:t>9</w:t>
      </w:r>
      <w:r w:rsidRPr="00730A59">
        <w:rPr>
          <w:rFonts w:ascii="Arial" w:hAnsi="Arial" w:cs="Arial"/>
          <w:bCs/>
        </w:rPr>
        <w:t>(1), 13-27.</w:t>
      </w:r>
    </w:p>
    <w:p w14:paraId="6DA6F798"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Jones, D. L. (1998). Organic acids in the rhizosphere–a critical review. </w:t>
      </w:r>
      <w:r w:rsidRPr="00F13C58">
        <w:rPr>
          <w:rFonts w:ascii="Arial" w:hAnsi="Arial" w:cs="Arial"/>
          <w:i/>
          <w:iCs/>
        </w:rPr>
        <w:t>Plant and soil, 205</w:t>
      </w:r>
      <w:r w:rsidRPr="006557F6">
        <w:rPr>
          <w:rFonts w:ascii="Arial" w:hAnsi="Arial" w:cs="Arial"/>
        </w:rPr>
        <w:t>(1), 25-44.</w:t>
      </w:r>
    </w:p>
    <w:p w14:paraId="397571D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Lal, R. (2008). Soils and sustainable agriculture. A review. </w:t>
      </w:r>
      <w:r w:rsidRPr="00F13C58">
        <w:rPr>
          <w:rFonts w:ascii="Arial" w:hAnsi="Arial" w:cs="Arial"/>
          <w:i/>
          <w:iCs/>
        </w:rPr>
        <w:t>Agronomy for Sustainable Development, 28</w:t>
      </w:r>
      <w:r w:rsidRPr="006557F6">
        <w:rPr>
          <w:rFonts w:ascii="Arial" w:hAnsi="Arial" w:cs="Arial"/>
        </w:rPr>
        <w:t>(1), 57-64.</w:t>
      </w:r>
    </w:p>
    <w:p w14:paraId="699DF7A3"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Lal, R. (2015). Restoring soil quality to mitigate soil degradation. </w:t>
      </w:r>
      <w:r w:rsidRPr="00F13C58">
        <w:rPr>
          <w:rFonts w:ascii="Arial" w:hAnsi="Arial" w:cs="Arial"/>
          <w:i/>
          <w:iCs/>
        </w:rPr>
        <w:t>Sustainability, 7</w:t>
      </w:r>
      <w:r w:rsidRPr="006557F6">
        <w:rPr>
          <w:rFonts w:ascii="Arial" w:hAnsi="Arial" w:cs="Arial"/>
        </w:rPr>
        <w:t>(5), 5875-5895.</w:t>
      </w:r>
    </w:p>
    <w:p w14:paraId="6C320593" w14:textId="77777777" w:rsidR="00730A59" w:rsidRDefault="00730A59" w:rsidP="00AF7BE9">
      <w:pPr>
        <w:spacing w:before="100" w:after="100"/>
        <w:ind w:left="720" w:hanging="720"/>
        <w:jc w:val="both"/>
        <w:rPr>
          <w:rFonts w:ascii="Arial" w:hAnsi="Arial" w:cs="Arial"/>
        </w:rPr>
      </w:pPr>
      <w:r w:rsidRPr="00520016">
        <w:rPr>
          <w:rFonts w:ascii="Arial" w:hAnsi="Arial" w:cs="Arial"/>
        </w:rPr>
        <w:t>Marschner, B., &amp; Noble, A. D. (2000). Chemical and biological processes leading to the neutralisation of acidity in soil incubated with litter materials. </w:t>
      </w:r>
      <w:r w:rsidRPr="00520016">
        <w:rPr>
          <w:rFonts w:ascii="Arial" w:hAnsi="Arial" w:cs="Arial"/>
          <w:i/>
          <w:iCs/>
        </w:rPr>
        <w:t>Soil Biology and Biochemistry</w:t>
      </w:r>
      <w:r w:rsidRPr="00520016">
        <w:rPr>
          <w:rFonts w:ascii="Arial" w:hAnsi="Arial" w:cs="Arial"/>
        </w:rPr>
        <w:t>, </w:t>
      </w:r>
      <w:r w:rsidRPr="00520016">
        <w:rPr>
          <w:rFonts w:ascii="Arial" w:hAnsi="Arial" w:cs="Arial"/>
          <w:i/>
          <w:iCs/>
        </w:rPr>
        <w:t>32</w:t>
      </w:r>
      <w:r w:rsidRPr="00520016">
        <w:rPr>
          <w:rFonts w:ascii="Arial" w:hAnsi="Arial" w:cs="Arial"/>
        </w:rPr>
        <w:t>(6), 805-813.</w:t>
      </w:r>
    </w:p>
    <w:p w14:paraId="560CBEAE"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Melenya, C., Bonsu, M., Logah, V., Quansah, C., Adjei-Gyapong, T., Yeboah, I. B., ... &amp; Abubakari, A. (2015). Carbon sequestration in soils under different land use systems and it impact on climate change. </w:t>
      </w:r>
      <w:r w:rsidRPr="00F13C58">
        <w:rPr>
          <w:rFonts w:ascii="Arial" w:hAnsi="Arial" w:cs="Arial"/>
          <w:i/>
          <w:iCs/>
        </w:rPr>
        <w:t>Appl Res J, 1</w:t>
      </w:r>
      <w:r w:rsidRPr="006557F6">
        <w:rPr>
          <w:rFonts w:ascii="Arial" w:hAnsi="Arial" w:cs="Arial"/>
        </w:rPr>
        <w:t>(3), 164-168.</w:t>
      </w:r>
    </w:p>
    <w:p w14:paraId="41FBF0C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Motomizu, S., Wakimoto, T., &amp; Tôei, K. (1983). Spectrophotometric determination of phosphate in river waters with molybdate and malachite green. </w:t>
      </w:r>
      <w:r w:rsidRPr="006557F6">
        <w:rPr>
          <w:rFonts w:ascii="Arial" w:hAnsi="Arial" w:cs="Arial"/>
          <w:i/>
          <w:iCs/>
        </w:rPr>
        <w:t>Analyst</w:t>
      </w:r>
      <w:r w:rsidRPr="006557F6">
        <w:rPr>
          <w:rFonts w:ascii="Arial" w:hAnsi="Arial" w:cs="Arial"/>
        </w:rPr>
        <w:t>, </w:t>
      </w:r>
      <w:r w:rsidRPr="006557F6">
        <w:rPr>
          <w:rFonts w:ascii="Arial" w:hAnsi="Arial" w:cs="Arial"/>
          <w:i/>
          <w:iCs/>
        </w:rPr>
        <w:t>108</w:t>
      </w:r>
      <w:r w:rsidRPr="006557F6">
        <w:rPr>
          <w:rFonts w:ascii="Arial" w:hAnsi="Arial" w:cs="Arial"/>
        </w:rPr>
        <w:t>(1284), 361-367.</w:t>
      </w:r>
    </w:p>
    <w:p w14:paraId="7951CF45" w14:textId="77777777" w:rsidR="00730A59" w:rsidRPr="006557F6" w:rsidRDefault="00730A59" w:rsidP="00650980">
      <w:pPr>
        <w:spacing w:after="120"/>
        <w:ind w:left="720" w:hanging="720"/>
        <w:jc w:val="both"/>
        <w:rPr>
          <w:rFonts w:ascii="Arial" w:hAnsi="Arial" w:cs="Arial"/>
        </w:rPr>
      </w:pPr>
      <w:r w:rsidRPr="006557F6">
        <w:rPr>
          <w:rFonts w:ascii="Arial" w:hAnsi="Arial" w:cs="Arial"/>
        </w:rPr>
        <w:lastRenderedPageBreak/>
        <w:t xml:space="preserve">Rai, J. P. N., &amp; Saraswat, S. (2023). Green technologies for waste management: a wealth from waste approach. </w:t>
      </w:r>
      <w:r w:rsidRPr="00F13C58">
        <w:rPr>
          <w:rFonts w:ascii="Arial" w:hAnsi="Arial" w:cs="Arial"/>
          <w:i/>
          <w:iCs/>
        </w:rPr>
        <w:t>CRC Press</w:t>
      </w:r>
      <w:r w:rsidRPr="006557F6">
        <w:rPr>
          <w:rFonts w:ascii="Arial" w:hAnsi="Arial" w:cs="Arial"/>
        </w:rPr>
        <w:t>.</w:t>
      </w:r>
    </w:p>
    <w:p w14:paraId="5289925C" w14:textId="77777777" w:rsidR="00730A59" w:rsidRDefault="00730A59" w:rsidP="00AF7BE9">
      <w:pPr>
        <w:spacing w:before="100" w:after="100"/>
        <w:ind w:left="720" w:hanging="720"/>
        <w:jc w:val="both"/>
        <w:rPr>
          <w:rFonts w:ascii="Arial" w:hAnsi="Arial" w:cs="Arial"/>
        </w:rPr>
      </w:pPr>
      <w:r w:rsidRPr="00520016">
        <w:rPr>
          <w:rFonts w:ascii="Arial" w:hAnsi="Arial" w:cs="Arial"/>
        </w:rPr>
        <w:t>Rawls, W. J., Pachepsky, Y. A., Ritchie, J. C., Sobecki, T. M., &amp; Bloodworth, H. (2003). Effect of soil organic carbon on soil water retention. </w:t>
      </w:r>
      <w:r w:rsidRPr="00520016">
        <w:rPr>
          <w:rFonts w:ascii="Arial" w:hAnsi="Arial" w:cs="Arial"/>
          <w:i/>
          <w:iCs/>
        </w:rPr>
        <w:t>Geoderma</w:t>
      </w:r>
      <w:r w:rsidRPr="00520016">
        <w:rPr>
          <w:rFonts w:ascii="Arial" w:hAnsi="Arial" w:cs="Arial"/>
        </w:rPr>
        <w:t>, </w:t>
      </w:r>
      <w:r w:rsidRPr="00520016">
        <w:rPr>
          <w:rFonts w:ascii="Arial" w:hAnsi="Arial" w:cs="Arial"/>
          <w:i/>
          <w:iCs/>
        </w:rPr>
        <w:t>116</w:t>
      </w:r>
      <w:r w:rsidRPr="00520016">
        <w:rPr>
          <w:rFonts w:ascii="Arial" w:hAnsi="Arial" w:cs="Arial"/>
        </w:rPr>
        <w:t>(1-2), 61-76.</w:t>
      </w:r>
    </w:p>
    <w:p w14:paraId="02C0BCDA" w14:textId="77777777" w:rsidR="00730A59" w:rsidRDefault="00730A59" w:rsidP="00AF7BE9">
      <w:pPr>
        <w:spacing w:before="100" w:after="100"/>
        <w:ind w:left="720" w:hanging="720"/>
        <w:jc w:val="both"/>
        <w:rPr>
          <w:rFonts w:ascii="Arial" w:hAnsi="Arial" w:cs="Arial"/>
        </w:rPr>
      </w:pPr>
      <w:r w:rsidRPr="00520016">
        <w:rPr>
          <w:rFonts w:ascii="Arial" w:hAnsi="Arial" w:cs="Arial"/>
        </w:rPr>
        <w:t>Ritchie, G. S. P., &amp; Dolling, P. J. (1985). The role of organic matter in soil acidification. </w:t>
      </w:r>
      <w:r w:rsidRPr="00520016">
        <w:rPr>
          <w:rFonts w:ascii="Arial" w:hAnsi="Arial" w:cs="Arial"/>
          <w:i/>
          <w:iCs/>
        </w:rPr>
        <w:t>Soil Research</w:t>
      </w:r>
      <w:r w:rsidRPr="00520016">
        <w:rPr>
          <w:rFonts w:ascii="Arial" w:hAnsi="Arial" w:cs="Arial"/>
        </w:rPr>
        <w:t>, </w:t>
      </w:r>
      <w:r w:rsidRPr="00520016">
        <w:rPr>
          <w:rFonts w:ascii="Arial" w:hAnsi="Arial" w:cs="Arial"/>
          <w:i/>
          <w:iCs/>
        </w:rPr>
        <w:t>23</w:t>
      </w:r>
      <w:r w:rsidRPr="00520016">
        <w:rPr>
          <w:rFonts w:ascii="Arial" w:hAnsi="Arial" w:cs="Arial"/>
        </w:rPr>
        <w:t>(4), 569-576.</w:t>
      </w:r>
    </w:p>
    <w:p w14:paraId="37199A1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Shrestha, R. P., Thinn, A. A., &amp; Qasim, S. (2019). An Assessment of Soil Fertility Management Practices in Central Dry Zone of Myanmar. </w:t>
      </w:r>
      <w:r w:rsidRPr="00F13C58">
        <w:rPr>
          <w:rFonts w:ascii="Arial" w:hAnsi="Arial" w:cs="Arial"/>
          <w:i/>
          <w:iCs/>
        </w:rPr>
        <w:t>Journal of Agriculture and Sustainability, 12</w:t>
      </w:r>
      <w:r w:rsidRPr="006557F6">
        <w:rPr>
          <w:rFonts w:ascii="Arial" w:hAnsi="Arial" w:cs="Arial"/>
        </w:rPr>
        <w:t>(2).</w:t>
      </w:r>
    </w:p>
    <w:p w14:paraId="6C3A16B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Singh, V. K., Malhi, G. S., Kaur, M., Singh, G., &amp; Jatav, H. S. (2022). Use of organic soil </w:t>
      </w:r>
      <w:r>
        <w:rPr>
          <w:rFonts w:ascii="Arial" w:hAnsi="Arial" w:cs="Arial"/>
        </w:rPr>
        <w:t>materials</w:t>
      </w:r>
      <w:r w:rsidRPr="006557F6">
        <w:rPr>
          <w:rFonts w:ascii="Arial" w:hAnsi="Arial" w:cs="Arial"/>
        </w:rPr>
        <w:t xml:space="preserve"> for improving soil ecosystem health and crop productivity. </w:t>
      </w:r>
      <w:r w:rsidRPr="00F13C58">
        <w:rPr>
          <w:rFonts w:ascii="Arial" w:hAnsi="Arial" w:cs="Arial"/>
          <w:i/>
          <w:iCs/>
        </w:rPr>
        <w:t>Ecosystem services, 12</w:t>
      </w:r>
      <w:r w:rsidRPr="006557F6">
        <w:rPr>
          <w:rFonts w:ascii="Arial" w:hAnsi="Arial" w:cs="Arial"/>
        </w:rPr>
        <w:t>, 45.</w:t>
      </w:r>
    </w:p>
    <w:p w14:paraId="0B873717" w14:textId="77777777" w:rsidR="00730A59" w:rsidRDefault="00730A59" w:rsidP="00AF7BE9">
      <w:pPr>
        <w:spacing w:before="100" w:after="100"/>
        <w:ind w:left="720" w:hanging="720"/>
        <w:jc w:val="both"/>
        <w:rPr>
          <w:rFonts w:ascii="Arial" w:hAnsi="Arial" w:cs="Arial"/>
        </w:rPr>
      </w:pPr>
      <w:r w:rsidRPr="00520016">
        <w:rPr>
          <w:rFonts w:ascii="Arial" w:hAnsi="Arial" w:cs="Arial"/>
        </w:rPr>
        <w:t>Six, J., Conant, R. T., Paul, E. A., &amp; Paustian, K. (2002). Stabilization mechanisms of soil organic matter: implications for C-saturation of soils. </w:t>
      </w:r>
      <w:r w:rsidRPr="00520016">
        <w:rPr>
          <w:rFonts w:ascii="Arial" w:hAnsi="Arial" w:cs="Arial"/>
          <w:i/>
          <w:iCs/>
        </w:rPr>
        <w:t>Plant and soil</w:t>
      </w:r>
      <w:r w:rsidRPr="00520016">
        <w:rPr>
          <w:rFonts w:ascii="Arial" w:hAnsi="Arial" w:cs="Arial"/>
        </w:rPr>
        <w:t>, </w:t>
      </w:r>
      <w:r w:rsidRPr="00520016">
        <w:rPr>
          <w:rFonts w:ascii="Arial" w:hAnsi="Arial" w:cs="Arial"/>
          <w:i/>
          <w:iCs/>
        </w:rPr>
        <w:t>241</w:t>
      </w:r>
      <w:r w:rsidRPr="00520016">
        <w:rPr>
          <w:rFonts w:ascii="Arial" w:hAnsi="Arial" w:cs="Arial"/>
        </w:rPr>
        <w:t>(2), 155-176.</w:t>
      </w:r>
    </w:p>
    <w:p w14:paraId="5D592C85" w14:textId="77777777" w:rsidR="00730A59" w:rsidRDefault="00730A59" w:rsidP="00AF7BE9">
      <w:pPr>
        <w:spacing w:before="100" w:after="100"/>
        <w:ind w:left="720" w:hanging="720"/>
        <w:jc w:val="both"/>
        <w:rPr>
          <w:rFonts w:ascii="Arial" w:hAnsi="Arial" w:cs="Arial"/>
        </w:rPr>
      </w:pPr>
      <w:r w:rsidRPr="00520016">
        <w:rPr>
          <w:rFonts w:ascii="Arial" w:hAnsi="Arial" w:cs="Arial"/>
        </w:rPr>
        <w:t>Stevenson, F. J. (1994). </w:t>
      </w:r>
      <w:r w:rsidRPr="00520016">
        <w:rPr>
          <w:rFonts w:ascii="Arial" w:hAnsi="Arial" w:cs="Arial"/>
          <w:i/>
          <w:iCs/>
        </w:rPr>
        <w:t>Humus chemistry: genesis, composition, reactions</w:t>
      </w:r>
      <w:r w:rsidRPr="00520016">
        <w:rPr>
          <w:rFonts w:ascii="Arial" w:hAnsi="Arial" w:cs="Arial"/>
        </w:rPr>
        <w:t>. John Wiley &amp; Sons.</w:t>
      </w:r>
    </w:p>
    <w:p w14:paraId="410DC8E0"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Stevenson, F. J., &amp; Cole, M. A. (1999). Cycles of soils: carbon, nitrogen, phosphorus, sulfur, micronutrients. </w:t>
      </w:r>
      <w:r w:rsidRPr="00F13C58">
        <w:rPr>
          <w:rFonts w:ascii="Arial" w:hAnsi="Arial" w:cs="Arial"/>
          <w:i/>
          <w:iCs/>
        </w:rPr>
        <w:t>John Wiley &amp; Sons</w:t>
      </w:r>
      <w:r w:rsidRPr="006557F6">
        <w:rPr>
          <w:rFonts w:ascii="Arial" w:hAnsi="Arial" w:cs="Arial"/>
        </w:rPr>
        <w:t>.</w:t>
      </w:r>
    </w:p>
    <w:p w14:paraId="48E01C0E" w14:textId="77777777" w:rsidR="00730A59" w:rsidRPr="00A64064" w:rsidRDefault="00730A59" w:rsidP="00AF7BE9">
      <w:pPr>
        <w:spacing w:before="100" w:after="100"/>
        <w:ind w:left="720" w:hanging="720"/>
        <w:jc w:val="both"/>
        <w:rPr>
          <w:rFonts w:ascii="Arial" w:hAnsi="Arial" w:cs="Arial"/>
        </w:rPr>
      </w:pPr>
      <w:r w:rsidRPr="00520016">
        <w:rPr>
          <w:rFonts w:ascii="Arial" w:hAnsi="Arial" w:cs="Arial"/>
        </w:rPr>
        <w:t>Sumner, M. E. (Ed.). (1999). </w:t>
      </w:r>
      <w:r w:rsidRPr="00520016">
        <w:rPr>
          <w:rFonts w:ascii="Arial" w:hAnsi="Arial" w:cs="Arial"/>
          <w:i/>
          <w:iCs/>
        </w:rPr>
        <w:t>Handbook of soil science</w:t>
      </w:r>
      <w:r w:rsidRPr="00520016">
        <w:rPr>
          <w:rFonts w:ascii="Arial" w:hAnsi="Arial" w:cs="Arial"/>
        </w:rPr>
        <w:t>. CRC press.</w:t>
      </w:r>
    </w:p>
    <w:p w14:paraId="58A12764"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Zhang, Z., Yan, J., Han, X., Zou, W., Chen, X., Lu, X., &amp; Feng, Y. (2021). Labile organic carbon fractions drive soil microbial communities after long-term fertilization. </w:t>
      </w:r>
      <w:r w:rsidRPr="00F13C58">
        <w:rPr>
          <w:rFonts w:ascii="Arial" w:hAnsi="Arial" w:cs="Arial"/>
          <w:i/>
          <w:iCs/>
        </w:rPr>
        <w:t>Global Ecology and Conservation, 32</w:t>
      </w:r>
      <w:r w:rsidRPr="006557F6">
        <w:rPr>
          <w:rFonts w:ascii="Arial" w:hAnsi="Arial" w:cs="Arial"/>
        </w:rPr>
        <w:t>, e01867.</w:t>
      </w:r>
    </w:p>
    <w:p w14:paraId="39710D28" w14:textId="77777777" w:rsidR="00730A59" w:rsidRDefault="00730A59" w:rsidP="00941588">
      <w:pPr>
        <w:spacing w:after="120"/>
        <w:ind w:left="720" w:hanging="720"/>
        <w:jc w:val="both"/>
        <w:rPr>
          <w:rFonts w:ascii="Arial" w:hAnsi="Arial" w:cs="Arial"/>
        </w:rPr>
      </w:pPr>
      <w:r w:rsidRPr="006557F6">
        <w:rPr>
          <w:rFonts w:ascii="Arial" w:hAnsi="Arial" w:cs="Arial"/>
        </w:rPr>
        <w:t>Zhu, R., Yan, M., Zhang, Y., Zou, H., Zheng, Y., Guo, R., &amp; Fu, S. (2023). Insights into the roles of humic acids in facilitating the anaerobic digestion process. </w:t>
      </w:r>
      <w:r w:rsidRPr="006557F6">
        <w:rPr>
          <w:rFonts w:ascii="Arial" w:hAnsi="Arial" w:cs="Arial"/>
          <w:i/>
          <w:iCs/>
        </w:rPr>
        <w:t>Waste management</w:t>
      </w:r>
      <w:r w:rsidRPr="006557F6">
        <w:rPr>
          <w:rFonts w:ascii="Arial" w:hAnsi="Arial" w:cs="Arial"/>
        </w:rPr>
        <w:t>, </w:t>
      </w:r>
      <w:r w:rsidRPr="006557F6">
        <w:rPr>
          <w:rFonts w:ascii="Arial" w:hAnsi="Arial" w:cs="Arial"/>
          <w:i/>
          <w:iCs/>
        </w:rPr>
        <w:t>168</w:t>
      </w:r>
      <w:r w:rsidRPr="006557F6">
        <w:rPr>
          <w:rFonts w:ascii="Arial" w:hAnsi="Arial" w:cs="Arial"/>
        </w:rPr>
        <w:t>, 25-34.</w:t>
      </w:r>
    </w:p>
    <w:sectPr w:rsidR="00730A59" w:rsidSect="00650980">
      <w:headerReference w:type="even" r:id="rId19"/>
      <w:headerReference w:type="default" r:id="rId20"/>
      <w:footerReference w:type="default" r:id="rId21"/>
      <w:headerReference w:type="first" r:id="rId22"/>
      <w:type w:val="continuous"/>
      <w:pgSz w:w="12240" w:h="15840"/>
      <w:pgMar w:top="1440" w:right="2016" w:bottom="2016" w:left="2016" w:header="720" w:footer="1123" w:gutter="0"/>
      <w:lnNumType w:countBy="1"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10" w:date="2025-09-12T14:38:00Z" w:initials="W1">
    <w:p w14:paraId="2B510B63" w14:textId="6530F8CE" w:rsidR="00DA5C3F" w:rsidRDefault="00DA5C3F">
      <w:pPr>
        <w:pStyle w:val="CommentText"/>
      </w:pPr>
      <w:r>
        <w:rPr>
          <w:rStyle w:val="CommentReference"/>
        </w:rPr>
        <w:annotationRef/>
      </w:r>
      <w:r>
        <w:t>Delete</w:t>
      </w:r>
    </w:p>
  </w:comment>
  <w:comment w:id="1" w:author="Windows 10" w:date="2025-09-12T14:35:00Z" w:initials="W1">
    <w:p w14:paraId="2FA05FC6" w14:textId="4F4CB20B" w:rsidR="00DA5C3F" w:rsidRDefault="00DA5C3F">
      <w:pPr>
        <w:pStyle w:val="CommentText"/>
      </w:pPr>
      <w:r>
        <w:rPr>
          <w:rStyle w:val="CommentReference"/>
        </w:rPr>
        <w:annotationRef/>
      </w:r>
      <w:r>
        <w:rPr>
          <w:rStyle w:val="CommentReference"/>
        </w:rPr>
        <w:t>No paragraph please</w:t>
      </w:r>
    </w:p>
  </w:comment>
  <w:comment w:id="3" w:author="Windows 10" w:date="2025-09-12T11:59:00Z" w:initials="W1">
    <w:p w14:paraId="5D3A9277" w14:textId="4FCBDEF8" w:rsidR="00787021" w:rsidRDefault="00787021">
      <w:pPr>
        <w:pStyle w:val="CommentText"/>
      </w:pPr>
      <w:r>
        <w:rPr>
          <w:rStyle w:val="CommentReference"/>
        </w:rPr>
        <w:annotationRef/>
      </w:r>
      <w:r>
        <w:t>Why 198 g of soil and 2 g of amendment</w:t>
      </w:r>
    </w:p>
  </w:comment>
  <w:comment w:id="4" w:author="Windows 10" w:date="2025-09-12T12:05:00Z" w:initials="W1">
    <w:p w14:paraId="3146E605" w14:textId="2DEDD29A" w:rsidR="00787021" w:rsidRDefault="00787021">
      <w:pPr>
        <w:pStyle w:val="CommentText"/>
      </w:pPr>
      <w:r>
        <w:rPr>
          <w:rStyle w:val="CommentReference"/>
        </w:rPr>
        <w:annotationRef/>
      </w:r>
      <w:r>
        <w:t>Not properly written</w:t>
      </w:r>
    </w:p>
  </w:comment>
  <w:comment w:id="6" w:author="Windows 10" w:date="2025-09-12T12:33:00Z" w:initials="W1">
    <w:p w14:paraId="5F1ED2A1" w14:textId="2E484E71" w:rsidR="00550165" w:rsidRDefault="00550165">
      <w:pPr>
        <w:pStyle w:val="CommentText"/>
      </w:pPr>
      <w:r>
        <w:rPr>
          <w:rStyle w:val="CommentReference"/>
        </w:rPr>
        <w:annotationRef/>
      </w:r>
      <w:r>
        <w:t>Where is the table from which this figure was generated?</w:t>
      </w:r>
    </w:p>
    <w:p w14:paraId="5A4D95ED" w14:textId="054D0E67" w:rsidR="00C04FA3" w:rsidRDefault="00C04FA3">
      <w:pPr>
        <w:pStyle w:val="CommentText"/>
      </w:pPr>
      <w:r>
        <w:t>Plesse present the table and discuss the result properly</w:t>
      </w:r>
    </w:p>
  </w:comment>
  <w:comment w:id="7" w:author="Windows 10" w:date="2025-09-12T12:59:00Z" w:initials="W1">
    <w:p w14:paraId="1E2F8F15" w14:textId="1B1BDAFA" w:rsidR="007C2153" w:rsidRDefault="007C2153">
      <w:pPr>
        <w:pStyle w:val="CommentText"/>
      </w:pPr>
      <w:r>
        <w:rPr>
          <w:rStyle w:val="CommentReference"/>
        </w:rPr>
        <w:annotationRef/>
      </w:r>
      <w:r>
        <w:t>Table what has the data? Please show the table</w:t>
      </w:r>
    </w:p>
  </w:comment>
  <w:comment w:id="8" w:author="Windows 10" w:date="2025-09-12T13:03:00Z" w:initials="W1">
    <w:p w14:paraId="0BA7DE79" w14:textId="03B23DD0" w:rsidR="007C2153" w:rsidRDefault="007C2153">
      <w:pPr>
        <w:pStyle w:val="CommentText"/>
      </w:pPr>
      <w:r>
        <w:rPr>
          <w:rStyle w:val="CommentReference"/>
        </w:rPr>
        <w:annotationRef/>
      </w:r>
      <w:r>
        <w:t>Which table produced the dfigure 3</w:t>
      </w:r>
    </w:p>
  </w:comment>
  <w:comment w:id="9" w:author="Windows 10" w:date="2025-09-12T12:27:00Z" w:initials="W1">
    <w:p w14:paraId="3F6EAFF3" w14:textId="4F713C10" w:rsidR="00550165" w:rsidRDefault="00550165">
      <w:pPr>
        <w:pStyle w:val="CommentText"/>
      </w:pPr>
      <w:r>
        <w:rPr>
          <w:rStyle w:val="CommentReference"/>
        </w:rPr>
        <w:annotationRef/>
      </w:r>
      <w:r>
        <w:t>How? How can BD exhibit similar trend with TP? Please recast</w:t>
      </w:r>
    </w:p>
  </w:comment>
  <w:comment w:id="10" w:author="Windows 10" w:date="2025-09-12T13:02:00Z" w:initials="W1">
    <w:p w14:paraId="3A906515" w14:textId="747C1AA4" w:rsidR="007C2153" w:rsidRDefault="007C2153">
      <w:pPr>
        <w:pStyle w:val="CommentText"/>
      </w:pPr>
      <w:r>
        <w:rPr>
          <w:rStyle w:val="CommentReference"/>
        </w:rPr>
        <w:annotationRef/>
      </w:r>
      <w:r>
        <w:t>Table what contains the data presented in the figure</w:t>
      </w:r>
    </w:p>
  </w:comment>
  <w:comment w:id="11" w:author="Windows 10" w:date="2025-09-12T13:14:00Z" w:initials="W1">
    <w:p w14:paraId="309B6C29" w14:textId="32307706" w:rsidR="00B6383B" w:rsidRDefault="00B6383B">
      <w:pPr>
        <w:pStyle w:val="CommentText"/>
      </w:pPr>
      <w:r>
        <w:rPr>
          <w:rStyle w:val="CommentReference"/>
        </w:rPr>
        <w:annotationRef/>
      </w:r>
      <w:r>
        <w:t>Why? explain</w:t>
      </w:r>
    </w:p>
  </w:comment>
  <w:comment w:id="12" w:author="Windows 10" w:date="2025-09-12T13:11:00Z" w:initials="W1">
    <w:p w14:paraId="624C107B" w14:textId="1E9E39AA" w:rsidR="00B6383B" w:rsidRDefault="00B6383B">
      <w:pPr>
        <w:pStyle w:val="CommentText"/>
      </w:pPr>
      <w:r>
        <w:rPr>
          <w:rStyle w:val="CommentReference"/>
        </w:rPr>
        <w:annotationRef/>
      </w:r>
      <w:r>
        <w:t>Citation needed</w:t>
      </w:r>
    </w:p>
  </w:comment>
  <w:comment w:id="13" w:author="Windows 10" w:date="2025-09-12T13:20:00Z" w:initials="W1">
    <w:p w14:paraId="37C6BC06" w14:textId="5818671A" w:rsidR="00F45E02" w:rsidRDefault="00F45E02">
      <w:pPr>
        <w:pStyle w:val="CommentText"/>
      </w:pPr>
      <w:r>
        <w:rPr>
          <w:rStyle w:val="CommentReference"/>
        </w:rPr>
        <w:annotationRef/>
      </w:r>
      <w:r>
        <w:t>At what leve</w:t>
      </w:r>
      <w:r w:rsidR="00C81E06">
        <w:t>l of significance?</w:t>
      </w:r>
    </w:p>
  </w:comment>
  <w:comment w:id="14" w:author="Windows 10" w:date="2025-09-12T13:18:00Z" w:initials="W1">
    <w:p w14:paraId="090C01BF" w14:textId="389CC451" w:rsidR="00B6383B" w:rsidRDefault="00B6383B">
      <w:pPr>
        <w:pStyle w:val="CommentText"/>
      </w:pPr>
      <w:r>
        <w:rPr>
          <w:rStyle w:val="CommentReference"/>
        </w:rPr>
        <w:annotationRef/>
      </w:r>
      <w:r>
        <w:t>Why ppm?</w:t>
      </w:r>
    </w:p>
  </w:comment>
  <w:comment w:id="15" w:author="Windows 10" w:date="2025-09-12T13:42:00Z" w:initials="W1">
    <w:p w14:paraId="0DDD9316" w14:textId="009A2EB5" w:rsidR="00C81E06" w:rsidRDefault="00C81E06">
      <w:pPr>
        <w:pStyle w:val="CommentText"/>
      </w:pPr>
      <w:r>
        <w:rPr>
          <w:rStyle w:val="CommentReference"/>
        </w:rPr>
        <w:annotationRef/>
      </w:r>
      <w:r>
        <w:t>At what level ?</w:t>
      </w:r>
    </w:p>
  </w:comment>
  <w:comment w:id="16" w:author="Windows 10" w:date="2025-09-12T13:56:00Z" w:initials="W1">
    <w:p w14:paraId="4BE44502" w14:textId="55018FA5" w:rsidR="000436EC" w:rsidRDefault="000436EC">
      <w:pPr>
        <w:pStyle w:val="CommentText"/>
      </w:pPr>
      <w:r>
        <w:rPr>
          <w:rStyle w:val="CommentReference"/>
        </w:rPr>
        <w:annotationRef/>
      </w:r>
      <w:r>
        <w:t>Show the values</w:t>
      </w:r>
    </w:p>
  </w:comment>
  <w:comment w:id="17" w:author="Windows 10" w:date="2025-09-12T14:05:00Z" w:initials="W1">
    <w:p w14:paraId="2949B461" w14:textId="080F7D48" w:rsidR="00731805" w:rsidRDefault="00731805">
      <w:pPr>
        <w:pStyle w:val="CommentText"/>
      </w:pPr>
      <w:r>
        <w:rPr>
          <w:rStyle w:val="CommentReference"/>
        </w:rPr>
        <w:annotationRef/>
      </w:r>
      <w:r>
        <w:t>At what level?</w:t>
      </w:r>
    </w:p>
  </w:comment>
  <w:comment w:id="18" w:author="Windows 10" w:date="2025-09-12T14:07:00Z" w:initials="W1">
    <w:p w14:paraId="23003704" w14:textId="718F163D" w:rsidR="00731805" w:rsidRDefault="00731805">
      <w:pPr>
        <w:pStyle w:val="CommentText"/>
      </w:pPr>
      <w:r>
        <w:rPr>
          <w:rStyle w:val="CommentReference"/>
        </w:rPr>
        <w:annotationRef/>
      </w:r>
      <w:r>
        <w:t>More citations</w:t>
      </w:r>
    </w:p>
  </w:comment>
  <w:comment w:id="19" w:author="Windows 10" w:date="2025-09-12T14:08:00Z" w:initials="W1">
    <w:p w14:paraId="67062B30" w14:textId="542D7D6F" w:rsidR="00731805" w:rsidRDefault="00731805">
      <w:pPr>
        <w:pStyle w:val="CommentText"/>
      </w:pPr>
      <w:r>
        <w:rPr>
          <w:rStyle w:val="CommentReference"/>
        </w:rPr>
        <w:annotationRef/>
      </w:r>
      <w:r>
        <w:t>At what level?</w:t>
      </w:r>
    </w:p>
  </w:comment>
  <w:comment w:id="20" w:author="Windows 10" w:date="2025-09-12T14:31:00Z" w:initials="W1">
    <w:p w14:paraId="43251041" w14:textId="4F599B76" w:rsidR="00584E47" w:rsidRDefault="00584E47">
      <w:pPr>
        <w:pStyle w:val="CommentText"/>
      </w:pPr>
      <w:r>
        <w:rPr>
          <w:rStyle w:val="CommentReference"/>
        </w:rPr>
        <w:annotationRef/>
      </w:r>
      <w:r>
        <w:t xml:space="preserve">So from your findings, no one </w:t>
      </w:r>
      <w:r w:rsidR="00DA5C3F">
        <w:t>improves both physicochemical properties better than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510B63" w15:done="0"/>
  <w15:commentEx w15:paraId="2FA05FC6" w15:done="0"/>
  <w15:commentEx w15:paraId="5D3A9277" w15:done="0"/>
  <w15:commentEx w15:paraId="3146E605" w15:done="0"/>
  <w15:commentEx w15:paraId="5A4D95ED" w15:done="0"/>
  <w15:commentEx w15:paraId="1E2F8F15" w15:done="0"/>
  <w15:commentEx w15:paraId="0BA7DE79" w15:done="0"/>
  <w15:commentEx w15:paraId="3F6EAFF3" w15:done="0"/>
  <w15:commentEx w15:paraId="3A906515" w15:done="0"/>
  <w15:commentEx w15:paraId="309B6C29" w15:done="0"/>
  <w15:commentEx w15:paraId="624C107B" w15:done="0"/>
  <w15:commentEx w15:paraId="37C6BC06" w15:done="0"/>
  <w15:commentEx w15:paraId="090C01BF" w15:done="0"/>
  <w15:commentEx w15:paraId="0DDD9316" w15:done="0"/>
  <w15:commentEx w15:paraId="4BE44502" w15:done="0"/>
  <w15:commentEx w15:paraId="2949B461" w15:done="0"/>
  <w15:commentEx w15:paraId="23003704" w15:done="0"/>
  <w15:commentEx w15:paraId="67062B30" w15:done="0"/>
  <w15:commentEx w15:paraId="432510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396AF" w14:textId="77777777" w:rsidR="007C1D8C" w:rsidRDefault="007C1D8C" w:rsidP="00C37E61">
      <w:r>
        <w:separator/>
      </w:r>
    </w:p>
  </w:endnote>
  <w:endnote w:type="continuationSeparator" w:id="0">
    <w:p w14:paraId="26E893E1" w14:textId="77777777" w:rsidR="007C1D8C" w:rsidRDefault="007C1D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0DD0" w14:textId="2B772CF3" w:rsidR="00830578" w:rsidRPr="00650980" w:rsidRDefault="00830578" w:rsidP="00650980">
    <w:pPr>
      <w:pStyle w:val="Footer"/>
    </w:pPr>
  </w:p>
  <w:p w14:paraId="566A8561" w14:textId="19C6D9C1" w:rsidR="00830578" w:rsidRDefault="00830578" w:rsidP="00C37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8B0A" w14:textId="77777777" w:rsidR="00830578" w:rsidRDefault="00830578">
    <w:pPr>
      <w:pStyle w:val="Footer"/>
      <w:rPr>
        <w:rFonts w:ascii="Arial" w:hAnsi="Arial" w:cs="Arial"/>
        <w:sz w:val="16"/>
      </w:rPr>
    </w:pPr>
  </w:p>
  <w:p w14:paraId="0EF5EE0E" w14:textId="77777777" w:rsidR="00830578" w:rsidRDefault="0083057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BA4663" w14:textId="77777777" w:rsidR="00830578" w:rsidRDefault="00830578">
    <w:pPr>
      <w:pStyle w:val="Footer"/>
      <w:rPr>
        <w:rFonts w:ascii="Arial" w:hAnsi="Arial" w:cs="Arial"/>
        <w:sz w:val="16"/>
      </w:rPr>
    </w:pPr>
  </w:p>
  <w:p w14:paraId="042AF965" w14:textId="220D150B" w:rsidR="00830578" w:rsidRPr="009E048A" w:rsidRDefault="00830578">
    <w:pPr>
      <w:pStyle w:val="Footer"/>
      <w:rPr>
        <w:rFonts w:ascii="Arial" w:hAnsi="Arial" w:cs="Arial"/>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02C1" w14:textId="77777777" w:rsidR="00830578" w:rsidRPr="00C37E61" w:rsidRDefault="0083057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EABE9" w14:textId="77777777" w:rsidR="007C1D8C" w:rsidRDefault="007C1D8C" w:rsidP="00C37E61">
      <w:r>
        <w:separator/>
      </w:r>
    </w:p>
  </w:footnote>
  <w:footnote w:type="continuationSeparator" w:id="0">
    <w:p w14:paraId="42C28061" w14:textId="77777777" w:rsidR="007C1D8C" w:rsidRDefault="007C1D8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200B" w14:textId="248CCEC0" w:rsidR="00830578" w:rsidRDefault="00830578">
    <w:pPr>
      <w:pStyle w:val="Header"/>
    </w:pPr>
    <w:r>
      <w:rPr>
        <w:noProof/>
      </w:rPr>
      <w:pict w14:anchorId="29F12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4" o:spid="_x0000_s2050" type="#_x0000_t136" style="position:absolute;margin-left:0;margin-top:0;width:645.7pt;height:71.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299C" w14:textId="33E9F28F" w:rsidR="00830578" w:rsidRPr="00E41778" w:rsidRDefault="00830578">
    <w:pPr>
      <w:pStyle w:val="Header"/>
      <w:jc w:val="center"/>
      <w:rPr>
        <w:rFonts w:ascii="Arial" w:hAnsi="Arial" w:cs="Arial"/>
      </w:rPr>
    </w:pPr>
    <w:r>
      <w:rPr>
        <w:noProof/>
      </w:rPr>
      <w:pict w14:anchorId="45825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5" o:spid="_x0000_s2051" type="#_x0000_t136" style="position:absolute;left:0;text-align:left;margin-left:0;margin-top:0;width:645.7pt;height:71.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618302495"/>
        <w:docPartObj>
          <w:docPartGallery w:val="Page Numbers (Top of Page)"/>
          <w:docPartUnique/>
        </w:docPartObj>
      </w:sdtPr>
      <w:sdtEndPr>
        <w:rPr>
          <w:rFonts w:ascii="Arial" w:hAnsi="Arial" w:cs="Arial"/>
          <w:noProof/>
        </w:rPr>
      </w:sdtEndPr>
      <w:sdtContent>
        <w:r w:rsidRPr="00E41778">
          <w:rPr>
            <w:rFonts w:ascii="Arial" w:hAnsi="Arial" w:cs="Arial"/>
          </w:rPr>
          <w:fldChar w:fldCharType="begin"/>
        </w:r>
        <w:r w:rsidRPr="00E41778">
          <w:rPr>
            <w:rFonts w:ascii="Arial" w:hAnsi="Arial" w:cs="Arial"/>
          </w:rPr>
          <w:instrText xml:space="preserve"> PAGE   \* MERGEFORMAT </w:instrText>
        </w:r>
        <w:r w:rsidRPr="00E41778">
          <w:rPr>
            <w:rFonts w:ascii="Arial" w:hAnsi="Arial" w:cs="Arial"/>
          </w:rPr>
          <w:fldChar w:fldCharType="separate"/>
        </w:r>
        <w:r w:rsidR="005800ED">
          <w:rPr>
            <w:rFonts w:ascii="Arial" w:hAnsi="Arial" w:cs="Arial"/>
            <w:noProof/>
          </w:rPr>
          <w:t>2</w:t>
        </w:r>
        <w:r w:rsidRPr="00E41778">
          <w:rPr>
            <w:rFonts w:ascii="Arial" w:hAnsi="Arial" w:cs="Arial"/>
            <w:noProof/>
          </w:rPr>
          <w:fldChar w:fldCharType="end"/>
        </w:r>
      </w:sdtContent>
    </w:sdt>
  </w:p>
  <w:p w14:paraId="5B757E76" w14:textId="77777777" w:rsidR="00830578" w:rsidRDefault="00830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A0D8" w14:textId="19D0B38C" w:rsidR="00830578" w:rsidRDefault="00830578" w:rsidP="00296529">
    <w:pPr>
      <w:jc w:val="center"/>
      <w:rPr>
        <w:rFonts w:ascii="Times New Roman" w:eastAsia="Calibri" w:hAnsi="Times New Roman"/>
        <w:i/>
        <w:sz w:val="18"/>
        <w:szCs w:val="22"/>
      </w:rPr>
    </w:pPr>
    <w:r>
      <w:rPr>
        <w:noProof/>
      </w:rPr>
      <w:pict w14:anchorId="2863D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3" o:spid="_x0000_s2049" type="#_x0000_t136" style="position:absolute;left:0;text-align:left;margin-left:0;margin-top:0;width:645.7pt;height:71.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Pr="00296529">
      <w:rPr>
        <w:rFonts w:ascii="Times New Roman" w:eastAsia="Calibri" w:hAnsi="Times New Roman"/>
        <w:i/>
        <w:sz w:val="18"/>
        <w:szCs w:val="22"/>
      </w:rPr>
      <w:t xml:space="preserve">               </w:t>
    </w:r>
  </w:p>
  <w:p w14:paraId="13043FE2" w14:textId="77777777" w:rsidR="00830578" w:rsidRDefault="008305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138A89" w14:textId="77777777" w:rsidR="00830578" w:rsidRDefault="0083057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75A7B" w14:textId="4C15A63E" w:rsidR="00830578" w:rsidRDefault="00830578">
    <w:pPr>
      <w:pStyle w:val="Header"/>
    </w:pPr>
    <w:r>
      <w:rPr>
        <w:noProof/>
      </w:rPr>
      <w:pict w14:anchorId="6578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7" o:spid="_x0000_s2053" type="#_x0000_t136" style="position:absolute;margin-left:0;margin-top:0;width:645.7pt;height:71.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6EE0" w14:textId="30278473" w:rsidR="00830578" w:rsidRDefault="00830578">
    <w:pPr>
      <w:pStyle w:val="Header"/>
    </w:pPr>
    <w:r>
      <w:rPr>
        <w:noProof/>
      </w:rPr>
      <w:pict w14:anchorId="36B0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8" o:spid="_x0000_s2054" type="#_x0000_t136" style="position:absolute;margin-left:0;margin-top:0;width:645.7pt;height:71.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13657" w14:textId="311188FD" w:rsidR="00830578" w:rsidRDefault="00830578">
    <w:pPr>
      <w:pStyle w:val="Header"/>
    </w:pPr>
    <w:r>
      <w:rPr>
        <w:noProof/>
      </w:rPr>
      <w:pict w14:anchorId="1837D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6" o:spid="_x0000_s2052" type="#_x0000_t136" style="position:absolute;margin-left:0;margin-top:0;width:645.7pt;height:71.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93C0595"/>
    <w:multiLevelType w:val="multilevel"/>
    <w:tmpl w:val="AEC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E831BE"/>
    <w:multiLevelType w:val="multilevel"/>
    <w:tmpl w:val="FFE2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D180E6B"/>
    <w:multiLevelType w:val="hybridMultilevel"/>
    <w:tmpl w:val="914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6"/>
  </w:num>
  <w:num w:numId="32">
    <w:abstractNumId w:val="7"/>
  </w:num>
  <w:num w:numId="3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10">
    <w15:presenceInfo w15:providerId="None" w15:userId="Windows 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323C"/>
    <w:rsid w:val="000436EC"/>
    <w:rsid w:val="0004579C"/>
    <w:rsid w:val="00085C7C"/>
    <w:rsid w:val="000A47FA"/>
    <w:rsid w:val="000A65D3"/>
    <w:rsid w:val="000B1E33"/>
    <w:rsid w:val="000B3BFE"/>
    <w:rsid w:val="000D689F"/>
    <w:rsid w:val="000E7B7B"/>
    <w:rsid w:val="000E7D62"/>
    <w:rsid w:val="000F4BE6"/>
    <w:rsid w:val="00103357"/>
    <w:rsid w:val="00123C9F"/>
    <w:rsid w:val="00126190"/>
    <w:rsid w:val="00130F17"/>
    <w:rsid w:val="001320BF"/>
    <w:rsid w:val="00163BC4"/>
    <w:rsid w:val="00191062"/>
    <w:rsid w:val="00192B72"/>
    <w:rsid w:val="001A29D8"/>
    <w:rsid w:val="001A5CAA"/>
    <w:rsid w:val="001B0427"/>
    <w:rsid w:val="001C6A32"/>
    <w:rsid w:val="001D3A51"/>
    <w:rsid w:val="001E10D2"/>
    <w:rsid w:val="001E25B4"/>
    <w:rsid w:val="001E44FE"/>
    <w:rsid w:val="00200595"/>
    <w:rsid w:val="00204835"/>
    <w:rsid w:val="00231920"/>
    <w:rsid w:val="0023195C"/>
    <w:rsid w:val="00233053"/>
    <w:rsid w:val="0024282C"/>
    <w:rsid w:val="002460DC"/>
    <w:rsid w:val="00250985"/>
    <w:rsid w:val="002556F6"/>
    <w:rsid w:val="00283105"/>
    <w:rsid w:val="00284C4C"/>
    <w:rsid w:val="00285B2D"/>
    <w:rsid w:val="00287E68"/>
    <w:rsid w:val="002929FC"/>
    <w:rsid w:val="00296529"/>
    <w:rsid w:val="002B27FB"/>
    <w:rsid w:val="002B685A"/>
    <w:rsid w:val="002C57D2"/>
    <w:rsid w:val="002E0D56"/>
    <w:rsid w:val="00315186"/>
    <w:rsid w:val="00327A03"/>
    <w:rsid w:val="0033343E"/>
    <w:rsid w:val="00336EC4"/>
    <w:rsid w:val="003512C2"/>
    <w:rsid w:val="00371FB6"/>
    <w:rsid w:val="003763C1"/>
    <w:rsid w:val="00376BBE"/>
    <w:rsid w:val="00383210"/>
    <w:rsid w:val="0039224F"/>
    <w:rsid w:val="00394DE7"/>
    <w:rsid w:val="003A08BD"/>
    <w:rsid w:val="003A43A4"/>
    <w:rsid w:val="003A7E18"/>
    <w:rsid w:val="003C2D41"/>
    <w:rsid w:val="003C4C86"/>
    <w:rsid w:val="003C6258"/>
    <w:rsid w:val="003E2904"/>
    <w:rsid w:val="003E617C"/>
    <w:rsid w:val="003F19FB"/>
    <w:rsid w:val="00401927"/>
    <w:rsid w:val="004043B7"/>
    <w:rsid w:val="0041027F"/>
    <w:rsid w:val="00412475"/>
    <w:rsid w:val="00423789"/>
    <w:rsid w:val="00440F43"/>
    <w:rsid w:val="00441B6F"/>
    <w:rsid w:val="00446221"/>
    <w:rsid w:val="00450E62"/>
    <w:rsid w:val="004539DB"/>
    <w:rsid w:val="00471A80"/>
    <w:rsid w:val="004D305E"/>
    <w:rsid w:val="004D4277"/>
    <w:rsid w:val="004E614A"/>
    <w:rsid w:val="00502516"/>
    <w:rsid w:val="00505F06"/>
    <w:rsid w:val="00506828"/>
    <w:rsid w:val="0053056E"/>
    <w:rsid w:val="0054059F"/>
    <w:rsid w:val="005413AE"/>
    <w:rsid w:val="00550165"/>
    <w:rsid w:val="00554FDA"/>
    <w:rsid w:val="00577EAB"/>
    <w:rsid w:val="005800ED"/>
    <w:rsid w:val="00584E47"/>
    <w:rsid w:val="005927F6"/>
    <w:rsid w:val="005B1FC0"/>
    <w:rsid w:val="005C784C"/>
    <w:rsid w:val="005D17F6"/>
    <w:rsid w:val="005E5539"/>
    <w:rsid w:val="00602BF5"/>
    <w:rsid w:val="00617FDD"/>
    <w:rsid w:val="00633614"/>
    <w:rsid w:val="00633DE5"/>
    <w:rsid w:val="00633F68"/>
    <w:rsid w:val="00636EB2"/>
    <w:rsid w:val="006375B8"/>
    <w:rsid w:val="00650980"/>
    <w:rsid w:val="0066510A"/>
    <w:rsid w:val="00673F9F"/>
    <w:rsid w:val="00686953"/>
    <w:rsid w:val="00687DEA"/>
    <w:rsid w:val="00687E67"/>
    <w:rsid w:val="006967F7"/>
    <w:rsid w:val="006A250C"/>
    <w:rsid w:val="006B21D3"/>
    <w:rsid w:val="006B57D0"/>
    <w:rsid w:val="006D30FF"/>
    <w:rsid w:val="006D6940"/>
    <w:rsid w:val="006F11EC"/>
    <w:rsid w:val="0070082C"/>
    <w:rsid w:val="00730A59"/>
    <w:rsid w:val="00731805"/>
    <w:rsid w:val="007369E6"/>
    <w:rsid w:val="00746E59"/>
    <w:rsid w:val="00754C9A"/>
    <w:rsid w:val="0075599A"/>
    <w:rsid w:val="007617CB"/>
    <w:rsid w:val="00761D52"/>
    <w:rsid w:val="0077749E"/>
    <w:rsid w:val="00787021"/>
    <w:rsid w:val="00790ADA"/>
    <w:rsid w:val="007C1D8C"/>
    <w:rsid w:val="007C2153"/>
    <w:rsid w:val="007D2288"/>
    <w:rsid w:val="007E088F"/>
    <w:rsid w:val="007F7B32"/>
    <w:rsid w:val="00804BC2"/>
    <w:rsid w:val="0081431A"/>
    <w:rsid w:val="00820367"/>
    <w:rsid w:val="00830578"/>
    <w:rsid w:val="0083216F"/>
    <w:rsid w:val="00860000"/>
    <w:rsid w:val="00862F28"/>
    <w:rsid w:val="00863BD3"/>
    <w:rsid w:val="008641ED"/>
    <w:rsid w:val="0086431C"/>
    <w:rsid w:val="00866D66"/>
    <w:rsid w:val="008671C6"/>
    <w:rsid w:val="00875803"/>
    <w:rsid w:val="008B459E"/>
    <w:rsid w:val="008B4DB9"/>
    <w:rsid w:val="008E13AE"/>
    <w:rsid w:val="008E1506"/>
    <w:rsid w:val="008E710C"/>
    <w:rsid w:val="008F69D6"/>
    <w:rsid w:val="00900E71"/>
    <w:rsid w:val="00902823"/>
    <w:rsid w:val="00907112"/>
    <w:rsid w:val="00915CA6"/>
    <w:rsid w:val="00927834"/>
    <w:rsid w:val="00932542"/>
    <w:rsid w:val="00941588"/>
    <w:rsid w:val="009500A6"/>
    <w:rsid w:val="00957C18"/>
    <w:rsid w:val="009659BA"/>
    <w:rsid w:val="009812DC"/>
    <w:rsid w:val="00983040"/>
    <w:rsid w:val="009B10A3"/>
    <w:rsid w:val="009B3FB9"/>
    <w:rsid w:val="009C2465"/>
    <w:rsid w:val="009C4C62"/>
    <w:rsid w:val="009D35A0"/>
    <w:rsid w:val="009D7EB7"/>
    <w:rsid w:val="009E048A"/>
    <w:rsid w:val="009E08E9"/>
    <w:rsid w:val="009E3DB9"/>
    <w:rsid w:val="009E6E35"/>
    <w:rsid w:val="009F0EDA"/>
    <w:rsid w:val="009F69A3"/>
    <w:rsid w:val="00A03B96"/>
    <w:rsid w:val="00A03D69"/>
    <w:rsid w:val="00A05B19"/>
    <w:rsid w:val="00A1134E"/>
    <w:rsid w:val="00A24E7E"/>
    <w:rsid w:val="00A258C3"/>
    <w:rsid w:val="00A347C0"/>
    <w:rsid w:val="00A51431"/>
    <w:rsid w:val="00A539AD"/>
    <w:rsid w:val="00A94063"/>
    <w:rsid w:val="00AA6219"/>
    <w:rsid w:val="00AA74E0"/>
    <w:rsid w:val="00AB703F"/>
    <w:rsid w:val="00AC6BB8"/>
    <w:rsid w:val="00AE008F"/>
    <w:rsid w:val="00AF7BE9"/>
    <w:rsid w:val="00B01FCD"/>
    <w:rsid w:val="00B1776C"/>
    <w:rsid w:val="00B17A88"/>
    <w:rsid w:val="00B50E9B"/>
    <w:rsid w:val="00B52583"/>
    <w:rsid w:val="00B52896"/>
    <w:rsid w:val="00B533C0"/>
    <w:rsid w:val="00B6383B"/>
    <w:rsid w:val="00B864FA"/>
    <w:rsid w:val="00B91E5A"/>
    <w:rsid w:val="00B940FB"/>
    <w:rsid w:val="00B95236"/>
    <w:rsid w:val="00B96BD9"/>
    <w:rsid w:val="00BA1B01"/>
    <w:rsid w:val="00BA2641"/>
    <w:rsid w:val="00BB37AA"/>
    <w:rsid w:val="00BC036C"/>
    <w:rsid w:val="00BC53A0"/>
    <w:rsid w:val="00BE62AD"/>
    <w:rsid w:val="00BF121F"/>
    <w:rsid w:val="00BF1F80"/>
    <w:rsid w:val="00C04FA3"/>
    <w:rsid w:val="00C166EF"/>
    <w:rsid w:val="00C17EB0"/>
    <w:rsid w:val="00C27F5F"/>
    <w:rsid w:val="00C30A0F"/>
    <w:rsid w:val="00C37E61"/>
    <w:rsid w:val="00C60054"/>
    <w:rsid w:val="00C70F1B"/>
    <w:rsid w:val="00C71A47"/>
    <w:rsid w:val="00C7464C"/>
    <w:rsid w:val="00C81E06"/>
    <w:rsid w:val="00C85588"/>
    <w:rsid w:val="00C90B11"/>
    <w:rsid w:val="00CA5E0D"/>
    <w:rsid w:val="00CD6755"/>
    <w:rsid w:val="00CD6856"/>
    <w:rsid w:val="00CE0089"/>
    <w:rsid w:val="00CE69B7"/>
    <w:rsid w:val="00CE793C"/>
    <w:rsid w:val="00CF193C"/>
    <w:rsid w:val="00D173F1"/>
    <w:rsid w:val="00D74CB0"/>
    <w:rsid w:val="00D8295D"/>
    <w:rsid w:val="00DA5C3F"/>
    <w:rsid w:val="00DC2A65"/>
    <w:rsid w:val="00DC7609"/>
    <w:rsid w:val="00DE15F0"/>
    <w:rsid w:val="00DE5663"/>
    <w:rsid w:val="00DE78AA"/>
    <w:rsid w:val="00E053D0"/>
    <w:rsid w:val="00E1129A"/>
    <w:rsid w:val="00E15994"/>
    <w:rsid w:val="00E17C20"/>
    <w:rsid w:val="00E3114E"/>
    <w:rsid w:val="00E31A70"/>
    <w:rsid w:val="00E35B02"/>
    <w:rsid w:val="00E41374"/>
    <w:rsid w:val="00E41778"/>
    <w:rsid w:val="00E66496"/>
    <w:rsid w:val="00E66B35"/>
    <w:rsid w:val="00E66E10"/>
    <w:rsid w:val="00E75E10"/>
    <w:rsid w:val="00E769F6"/>
    <w:rsid w:val="00E8407C"/>
    <w:rsid w:val="00E84F3C"/>
    <w:rsid w:val="00EA012C"/>
    <w:rsid w:val="00EB2838"/>
    <w:rsid w:val="00EC6A55"/>
    <w:rsid w:val="00ED0288"/>
    <w:rsid w:val="00EE52CB"/>
    <w:rsid w:val="00EF581D"/>
    <w:rsid w:val="00EF7FD8"/>
    <w:rsid w:val="00F06F59"/>
    <w:rsid w:val="00F13C58"/>
    <w:rsid w:val="00F154F4"/>
    <w:rsid w:val="00F17988"/>
    <w:rsid w:val="00F435F1"/>
    <w:rsid w:val="00F45E02"/>
    <w:rsid w:val="00F469F0"/>
    <w:rsid w:val="00F53273"/>
    <w:rsid w:val="00F755E4"/>
    <w:rsid w:val="00F77D02"/>
    <w:rsid w:val="00FA156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2DD681"/>
  <w15:docId w15:val="{ACED8F7A-DF4B-403B-835B-F8CA8DF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7A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980"/>
    <w:pPr>
      <w:spacing w:line="360" w:lineRule="auto"/>
      <w:ind w:left="720"/>
      <w:contextualSpacing/>
      <w:jc w:val="both"/>
    </w:pPr>
    <w:rPr>
      <w:rFonts w:ascii="Times New Roman" w:eastAsiaTheme="minorHAnsi" w:hAnsi="Times New Roman"/>
      <w:kern w:val="2"/>
      <w:sz w:val="24"/>
      <w:szCs w:val="24"/>
      <w14:ligatures w14:val="standardContextual"/>
    </w:rPr>
  </w:style>
  <w:style w:type="character" w:customStyle="1" w:styleId="HeaderChar">
    <w:name w:val="Header Char"/>
    <w:basedOn w:val="DefaultParagraphFont"/>
    <w:link w:val="Header"/>
    <w:uiPriority w:val="99"/>
    <w:rsid w:val="00E41778"/>
    <w:rPr>
      <w:rFonts w:ascii="Helvetica" w:hAnsi="Helvetica"/>
    </w:rPr>
  </w:style>
  <w:style w:type="character" w:customStyle="1" w:styleId="Heading3Char">
    <w:name w:val="Heading 3 Char"/>
    <w:basedOn w:val="DefaultParagraphFont"/>
    <w:link w:val="Heading3"/>
    <w:semiHidden/>
    <w:rsid w:val="00327A0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60054"/>
    <w:rPr>
      <w:color w:val="605E5C"/>
      <w:shd w:val="clear" w:color="auto" w:fill="E1DFDD"/>
    </w:rPr>
  </w:style>
  <w:style w:type="paragraph" w:styleId="CommentSubject">
    <w:name w:val="annotation subject"/>
    <w:basedOn w:val="CommentText"/>
    <w:next w:val="CommentText"/>
    <w:link w:val="CommentSubjectChar"/>
    <w:semiHidden/>
    <w:unhideWhenUsed/>
    <w:rsid w:val="00787021"/>
    <w:rPr>
      <w:rFonts w:ascii="Helvetica" w:hAnsi="Helvetica"/>
      <w:b/>
      <w:bCs/>
      <w:lang w:val="en-US" w:eastAsia="en-US"/>
    </w:rPr>
  </w:style>
  <w:style w:type="character" w:customStyle="1" w:styleId="CommentSubjectChar">
    <w:name w:val="Comment Subject Char"/>
    <w:basedOn w:val="CommentTextChar"/>
    <w:link w:val="CommentSubject"/>
    <w:semiHidden/>
    <w:rsid w:val="00787021"/>
    <w:rPr>
      <w:rFonts w:ascii="Helvetica" w:hAnsi="Helvetica"/>
      <w:b/>
      <w:bCs/>
      <w:lang w:val="nb-NO" w:eastAsia="nb-NO"/>
    </w:rPr>
  </w:style>
  <w:style w:type="paragraph" w:styleId="NoSpacing">
    <w:name w:val="No Spacing"/>
    <w:uiPriority w:val="1"/>
    <w:qFormat/>
    <w:rsid w:val="00B6383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PhD\Activity%201\Data%20of%20Incub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hD\Activity%201\Cseq%20soil%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hD\Activity%201\Cseq%20soil%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hD\Activity%201\Cseq%20soil%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1426084456373"/>
          <c:y val="0.1899670266566752"/>
          <c:w val="0.74877147831087254"/>
          <c:h val="0.63767994331999756"/>
        </c:manualLayout>
      </c:layout>
      <c:barChart>
        <c:barDir val="col"/>
        <c:grouping val="clustered"/>
        <c:varyColors val="0"/>
        <c:ser>
          <c:idx val="0"/>
          <c:order val="0"/>
          <c:tx>
            <c:strRef>
              <c:f>'Chart &amp; tem RH'!$Y$43</c:f>
              <c:strCache>
                <c:ptCount val="1"/>
                <c:pt idx="0">
                  <c:v>RH. Max</c:v>
                </c:pt>
              </c:strCache>
            </c:strRef>
          </c:tx>
          <c:spPr>
            <a:pattFill prst="pct25">
              <a:fgClr>
                <a:schemeClr val="accent1"/>
              </a:fgClr>
              <a:bgClr>
                <a:schemeClr val="bg1"/>
              </a:bgClr>
            </a:pattFill>
            <a:ln w="6350">
              <a:solidFill>
                <a:schemeClr val="tx1"/>
              </a:solidFill>
            </a:ln>
            <a:effectLst/>
          </c:spPr>
          <c:invertIfNegative val="0"/>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RH'!$Z$43:$AK$43</c:f>
              <c:numCache>
                <c:formatCode>General</c:formatCode>
                <c:ptCount val="12"/>
                <c:pt idx="0">
                  <c:v>38</c:v>
                </c:pt>
                <c:pt idx="1">
                  <c:v>39</c:v>
                </c:pt>
                <c:pt idx="2">
                  <c:v>40</c:v>
                </c:pt>
                <c:pt idx="3">
                  <c:v>49</c:v>
                </c:pt>
                <c:pt idx="4">
                  <c:v>43</c:v>
                </c:pt>
                <c:pt idx="5">
                  <c:v>48</c:v>
                </c:pt>
                <c:pt idx="6">
                  <c:v>38</c:v>
                </c:pt>
                <c:pt idx="7">
                  <c:v>57</c:v>
                </c:pt>
                <c:pt idx="8">
                  <c:v>63</c:v>
                </c:pt>
                <c:pt idx="9">
                  <c:v>56</c:v>
                </c:pt>
                <c:pt idx="10">
                  <c:v>65</c:v>
                </c:pt>
                <c:pt idx="11">
                  <c:v>53</c:v>
                </c:pt>
              </c:numCache>
            </c:numRef>
          </c:val>
          <c:extLst xmlns:c16r2="http://schemas.microsoft.com/office/drawing/2015/06/chart">
            <c:ext xmlns:c16="http://schemas.microsoft.com/office/drawing/2014/chart" uri="{C3380CC4-5D6E-409C-BE32-E72D297353CC}">
              <c16:uniqueId val="{00000000-ED76-470E-962A-006D0689BF58}"/>
            </c:ext>
          </c:extLst>
        </c:ser>
        <c:ser>
          <c:idx val="1"/>
          <c:order val="1"/>
          <c:tx>
            <c:strRef>
              <c:f>'Chart &amp; tem RH'!$Y$44</c:f>
              <c:strCache>
                <c:ptCount val="1"/>
                <c:pt idx="0">
                  <c:v>RH. Min</c:v>
                </c:pt>
              </c:strCache>
            </c:strRef>
          </c:tx>
          <c:spPr>
            <a:pattFill prst="dkDnDiag">
              <a:fgClr>
                <a:schemeClr val="accent1"/>
              </a:fgClr>
              <a:bgClr>
                <a:schemeClr val="bg1"/>
              </a:bgClr>
            </a:pattFill>
            <a:ln w="6350">
              <a:solidFill>
                <a:schemeClr val="tx1"/>
              </a:solidFill>
            </a:ln>
            <a:effectLst/>
          </c:spPr>
          <c:invertIfNegative val="0"/>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RH'!$Z$44:$AK$44</c:f>
              <c:numCache>
                <c:formatCode>General</c:formatCode>
                <c:ptCount val="12"/>
                <c:pt idx="0">
                  <c:v>34</c:v>
                </c:pt>
                <c:pt idx="1">
                  <c:v>35</c:v>
                </c:pt>
                <c:pt idx="2">
                  <c:v>37</c:v>
                </c:pt>
                <c:pt idx="3">
                  <c:v>44</c:v>
                </c:pt>
                <c:pt idx="4">
                  <c:v>38</c:v>
                </c:pt>
                <c:pt idx="5">
                  <c:v>43</c:v>
                </c:pt>
                <c:pt idx="6">
                  <c:v>33</c:v>
                </c:pt>
                <c:pt idx="7">
                  <c:v>52</c:v>
                </c:pt>
                <c:pt idx="8">
                  <c:v>58</c:v>
                </c:pt>
                <c:pt idx="9">
                  <c:v>49</c:v>
                </c:pt>
                <c:pt idx="10">
                  <c:v>59</c:v>
                </c:pt>
                <c:pt idx="11">
                  <c:v>48</c:v>
                </c:pt>
              </c:numCache>
            </c:numRef>
          </c:val>
          <c:extLst xmlns:c16r2="http://schemas.microsoft.com/office/drawing/2015/06/chart">
            <c:ext xmlns:c16="http://schemas.microsoft.com/office/drawing/2014/chart" uri="{C3380CC4-5D6E-409C-BE32-E72D297353CC}">
              <c16:uniqueId val="{00000001-ED76-470E-962A-006D0689BF58}"/>
            </c:ext>
          </c:extLst>
        </c:ser>
        <c:dLbls>
          <c:showLegendKey val="0"/>
          <c:showVal val="0"/>
          <c:showCatName val="0"/>
          <c:showSerName val="0"/>
          <c:showPercent val="0"/>
          <c:showBubbleSize val="0"/>
        </c:dLbls>
        <c:gapWidth val="219"/>
        <c:overlap val="-27"/>
        <c:axId val="709746024"/>
        <c:axId val="709745632"/>
      </c:barChart>
      <c:lineChart>
        <c:grouping val="standard"/>
        <c:varyColors val="0"/>
        <c:ser>
          <c:idx val="2"/>
          <c:order val="2"/>
          <c:tx>
            <c:strRef>
              <c:f>'Chart &amp; tem RH'!$Y$45</c:f>
              <c:strCache>
                <c:ptCount val="1"/>
                <c:pt idx="0">
                  <c:v>Temp. Min</c:v>
                </c:pt>
              </c:strCache>
            </c:strRef>
          </c:tx>
          <c:spPr>
            <a:ln w="19050" cap="rnd">
              <a:solidFill>
                <a:schemeClr val="tx1"/>
              </a:solidFill>
              <a:prstDash val="sysDot"/>
              <a:round/>
            </a:ln>
            <a:effectLst/>
          </c:spPr>
          <c:marker>
            <c:symbol val="diamond"/>
            <c:size val="5"/>
            <c:spPr>
              <a:solidFill>
                <a:schemeClr val="tx1"/>
              </a:solidFill>
              <a:ln w="9525">
                <a:noFill/>
                <a:prstDash val="sysDot"/>
              </a:ln>
              <a:effectLst/>
            </c:spPr>
          </c:marker>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RH'!$Z$45:$AK$45</c:f>
              <c:numCache>
                <c:formatCode>General</c:formatCode>
                <c:ptCount val="12"/>
                <c:pt idx="0">
                  <c:v>33</c:v>
                </c:pt>
                <c:pt idx="1">
                  <c:v>33</c:v>
                </c:pt>
                <c:pt idx="2">
                  <c:v>32</c:v>
                </c:pt>
                <c:pt idx="3">
                  <c:v>31</c:v>
                </c:pt>
                <c:pt idx="4">
                  <c:v>33</c:v>
                </c:pt>
                <c:pt idx="5">
                  <c:v>32</c:v>
                </c:pt>
                <c:pt idx="6">
                  <c:v>35</c:v>
                </c:pt>
                <c:pt idx="7">
                  <c:v>31</c:v>
                </c:pt>
                <c:pt idx="8">
                  <c:v>29</c:v>
                </c:pt>
                <c:pt idx="9">
                  <c:v>30</c:v>
                </c:pt>
                <c:pt idx="10">
                  <c:v>29</c:v>
                </c:pt>
                <c:pt idx="11">
                  <c:v>29</c:v>
                </c:pt>
              </c:numCache>
            </c:numRef>
          </c:val>
          <c:smooth val="0"/>
          <c:extLst xmlns:c16r2="http://schemas.microsoft.com/office/drawing/2015/06/chart">
            <c:ext xmlns:c16="http://schemas.microsoft.com/office/drawing/2014/chart" uri="{C3380CC4-5D6E-409C-BE32-E72D297353CC}">
              <c16:uniqueId val="{00000002-ED76-470E-962A-006D0689BF58}"/>
            </c:ext>
          </c:extLst>
        </c:ser>
        <c:dLbls>
          <c:showLegendKey val="0"/>
          <c:showVal val="0"/>
          <c:showCatName val="0"/>
          <c:showSerName val="0"/>
          <c:showPercent val="0"/>
          <c:showBubbleSize val="0"/>
        </c:dLbls>
        <c:marker val="1"/>
        <c:smooth val="0"/>
        <c:axId val="709746024"/>
        <c:axId val="709745632"/>
      </c:lineChart>
      <c:lineChart>
        <c:grouping val="standard"/>
        <c:varyColors val="0"/>
        <c:ser>
          <c:idx val="3"/>
          <c:order val="3"/>
          <c:tx>
            <c:strRef>
              <c:f>'Chart &amp; tem RH'!$Y$46</c:f>
              <c:strCache>
                <c:ptCount val="1"/>
                <c:pt idx="0">
                  <c:v>Temp. Max</c:v>
                </c:pt>
              </c:strCache>
            </c:strRef>
          </c:tx>
          <c:spPr>
            <a:ln w="19050" cap="rnd">
              <a:solidFill>
                <a:schemeClr val="tx1"/>
              </a:solidFill>
              <a:round/>
            </a:ln>
            <a:effectLst/>
          </c:spPr>
          <c:marker>
            <c:symbol val="diamond"/>
            <c:size val="5"/>
            <c:spPr>
              <a:solidFill>
                <a:schemeClr val="tx1"/>
              </a:solidFill>
              <a:ln w="9525">
                <a:noFill/>
              </a:ln>
              <a:effectLst/>
            </c:spPr>
          </c:marker>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RH'!$Z$46:$AK$46</c:f>
              <c:numCache>
                <c:formatCode>General</c:formatCode>
                <c:ptCount val="12"/>
                <c:pt idx="0">
                  <c:v>36</c:v>
                </c:pt>
                <c:pt idx="1">
                  <c:v>35</c:v>
                </c:pt>
                <c:pt idx="2">
                  <c:v>35</c:v>
                </c:pt>
                <c:pt idx="3">
                  <c:v>34</c:v>
                </c:pt>
                <c:pt idx="4">
                  <c:v>36</c:v>
                </c:pt>
                <c:pt idx="5">
                  <c:v>36</c:v>
                </c:pt>
                <c:pt idx="6">
                  <c:v>37</c:v>
                </c:pt>
                <c:pt idx="7">
                  <c:v>33</c:v>
                </c:pt>
                <c:pt idx="8">
                  <c:v>31</c:v>
                </c:pt>
                <c:pt idx="9">
                  <c:v>32</c:v>
                </c:pt>
                <c:pt idx="10">
                  <c:v>30</c:v>
                </c:pt>
                <c:pt idx="11">
                  <c:v>31</c:v>
                </c:pt>
              </c:numCache>
            </c:numRef>
          </c:val>
          <c:smooth val="0"/>
          <c:extLst xmlns:c16r2="http://schemas.microsoft.com/office/drawing/2015/06/chart">
            <c:ext xmlns:c16="http://schemas.microsoft.com/office/drawing/2014/chart" uri="{C3380CC4-5D6E-409C-BE32-E72D297353CC}">
              <c16:uniqueId val="{00000003-ED76-470E-962A-006D0689BF58}"/>
            </c:ext>
          </c:extLst>
        </c:ser>
        <c:dLbls>
          <c:showLegendKey val="0"/>
          <c:showVal val="0"/>
          <c:showCatName val="0"/>
          <c:showSerName val="0"/>
          <c:showPercent val="0"/>
          <c:showBubbleSize val="0"/>
        </c:dLbls>
        <c:marker val="1"/>
        <c:smooth val="0"/>
        <c:axId val="709739752"/>
        <c:axId val="709739360"/>
      </c:lineChart>
      <c:catAx>
        <c:axId val="709746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Incubation 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9745632"/>
        <c:crosses val="autoZero"/>
        <c:auto val="1"/>
        <c:lblAlgn val="ctr"/>
        <c:lblOffset val="100"/>
        <c:noMultiLvlLbl val="0"/>
      </c:catAx>
      <c:valAx>
        <c:axId val="709745632"/>
        <c:scaling>
          <c:orientation val="minMax"/>
          <c:min val="2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Relative Humidity (%)</a:t>
                </a:r>
              </a:p>
            </c:rich>
          </c:tx>
          <c:layout>
            <c:manualLayout>
              <c:xMode val="edge"/>
              <c:yMode val="edge"/>
              <c:x val="1.3915648815482441E-2"/>
              <c:y val="0.18265437237915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9746024"/>
        <c:crosses val="autoZero"/>
        <c:crossBetween val="between"/>
        <c:majorUnit val="10"/>
      </c:valAx>
      <c:valAx>
        <c:axId val="709739360"/>
        <c:scaling>
          <c:orientation val="minMax"/>
          <c:min val="27"/>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Temperatuer (°C)</a:t>
                </a:r>
              </a:p>
            </c:rich>
          </c:tx>
          <c:layout>
            <c:manualLayout>
              <c:xMode val="edge"/>
              <c:yMode val="edge"/>
              <c:x val="0.93820049403840455"/>
              <c:y val="0.196160382225186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9739752"/>
        <c:crosses val="max"/>
        <c:crossBetween val="between"/>
      </c:valAx>
      <c:catAx>
        <c:axId val="709739752"/>
        <c:scaling>
          <c:orientation val="minMax"/>
        </c:scaling>
        <c:delete val="1"/>
        <c:axPos val="b"/>
        <c:numFmt formatCode="General" sourceLinked="1"/>
        <c:majorTickMark val="out"/>
        <c:minorTickMark val="none"/>
        <c:tickLblPos val="nextTo"/>
        <c:crossAx val="709739360"/>
        <c:crosses val="autoZero"/>
        <c:auto val="1"/>
        <c:lblAlgn val="ctr"/>
        <c:lblOffset val="100"/>
        <c:noMultiLvlLbl val="0"/>
      </c:catAx>
      <c:spPr>
        <a:noFill/>
        <a:ln>
          <a:noFill/>
        </a:ln>
        <a:effectLst/>
      </c:spPr>
    </c:plotArea>
    <c:legend>
      <c:legendPos val="b"/>
      <c:layout>
        <c:manualLayout>
          <c:xMode val="edge"/>
          <c:yMode val="edge"/>
          <c:x val="6.7667526880212339E-2"/>
          <c:y val="2.294343455422506E-2"/>
          <c:w val="0.86466472709549946"/>
          <c:h val="7.818819541175089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dLbls>
            <c:delete val="1"/>
          </c:dLbl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WHC'!$T$103:$AB$103</c:f>
              <c:numCache>
                <c:formatCode>0.00</c:formatCode>
                <c:ptCount val="9"/>
                <c:pt idx="0">
                  <c:v>1.227814569536424</c:v>
                </c:pt>
                <c:pt idx="1">
                  <c:v>1.1832229580573954</c:v>
                </c:pt>
                <c:pt idx="2">
                  <c:v>1.2331125827814571</c:v>
                </c:pt>
                <c:pt idx="3">
                  <c:v>1.1991169977924947</c:v>
                </c:pt>
                <c:pt idx="4">
                  <c:v>1.1966887417218546</c:v>
                </c:pt>
                <c:pt idx="5">
                  <c:v>1.1929359823399561</c:v>
                </c:pt>
                <c:pt idx="6">
                  <c:v>1.1858719646799118</c:v>
                </c:pt>
                <c:pt idx="7">
                  <c:v>1.2302428256070641</c:v>
                </c:pt>
                <c:pt idx="8">
                  <c:v>1.2108167770419429</c:v>
                </c:pt>
              </c:numCache>
            </c:numRef>
          </c:val>
          <c:extLst xmlns:c16r2="http://schemas.microsoft.com/office/drawing/2015/06/chart">
            <c:ext xmlns:c16="http://schemas.microsoft.com/office/drawing/2014/chart" uri="{C3380CC4-5D6E-409C-BE32-E72D297353CC}">
              <c16:uniqueId val="{00000000-F1DE-4E13-BC1C-AD67010C07C1}"/>
            </c:ext>
          </c:extLst>
        </c:ser>
        <c:ser>
          <c:idx val="1"/>
          <c:order val="1"/>
          <c:spPr>
            <a:noFill/>
            <a:ln>
              <a:noFill/>
            </a:ln>
            <a:effectLst/>
          </c:spPr>
          <c:invertIfNegative val="0"/>
          <c:dLbls>
            <c:delete val="1"/>
          </c:dLbls>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WHC'!$T$104:$AB$104</c:f>
              <c:numCache>
                <c:formatCode>0.00</c:formatCode>
                <c:ptCount val="9"/>
                <c:pt idx="0">
                  <c:v>3.9183222958056874E-3</c:v>
                </c:pt>
                <c:pt idx="1">
                  <c:v>9.1059602649006255E-3</c:v>
                </c:pt>
                <c:pt idx="2">
                  <c:v>3.4216335540837584E-3</c:v>
                </c:pt>
                <c:pt idx="3">
                  <c:v>3.6975717439293732E-3</c:v>
                </c:pt>
                <c:pt idx="4">
                  <c:v>1.1589403973508716E-3</c:v>
                </c:pt>
                <c:pt idx="5">
                  <c:v>5.57395143487871E-3</c:v>
                </c:pt>
                <c:pt idx="6">
                  <c:v>8.2781456953640031E-4</c:v>
                </c:pt>
                <c:pt idx="7">
                  <c:v>2.1523178807947296E-3</c:v>
                </c:pt>
                <c:pt idx="8">
                  <c:v>1.1037527593817931E-3</c:v>
                </c:pt>
              </c:numCache>
            </c:numRef>
          </c:val>
          <c:extLst xmlns:c16r2="http://schemas.microsoft.com/office/drawing/2015/06/chart">
            <c:ext xmlns:c16="http://schemas.microsoft.com/office/drawing/2014/chart" uri="{C3380CC4-5D6E-409C-BE32-E72D297353CC}">
              <c16:uniqueId val="{00000001-F1DE-4E13-BC1C-AD67010C07C1}"/>
            </c:ext>
          </c:extLst>
        </c:ser>
        <c:ser>
          <c:idx val="2"/>
          <c:order val="2"/>
          <c:spPr>
            <a:solidFill>
              <a:schemeClr val="accent6">
                <a:lumMod val="75000"/>
              </a:schemeClr>
            </a:solidFill>
            <a:ln>
              <a:solidFill>
                <a:schemeClr val="tx1"/>
              </a:solidFill>
            </a:ln>
            <a:effectLst/>
          </c:spPr>
          <c:invertIfNegative val="0"/>
          <c:dLbls>
            <c:delete val="1"/>
          </c:dLbl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WHC'!$T$105:$AB$105</c:f>
              <c:numCache>
                <c:formatCode>General</c:formatCode>
                <c:ptCount val="9"/>
                <c:pt idx="0">
                  <c:v>3.5706401766004481E-2</c:v>
                </c:pt>
                <c:pt idx="1">
                  <c:v>3.3278145695364136E-2</c:v>
                </c:pt>
                <c:pt idx="2">
                  <c:v>1.7770419426048623E-2</c:v>
                </c:pt>
                <c:pt idx="3">
                  <c:v>1.1092715231788119E-2</c:v>
                </c:pt>
                <c:pt idx="4">
                  <c:v>4.8013245033111662E-3</c:v>
                </c:pt>
                <c:pt idx="5">
                  <c:v>2.4227373068432367E-2</c:v>
                </c:pt>
                <c:pt idx="6">
                  <c:v>1.7604856512141387E-2</c:v>
                </c:pt>
                <c:pt idx="7">
                  <c:v>7.2295805739517327E-3</c:v>
                </c:pt>
                <c:pt idx="8">
                  <c:v>1.3134657836644692E-2</c:v>
                </c:pt>
              </c:numCache>
            </c:numRef>
          </c:val>
          <c:extLst xmlns:c16r2="http://schemas.microsoft.com/office/drawing/2015/06/chart">
            <c:ext xmlns:c16="http://schemas.microsoft.com/office/drawing/2014/chart" uri="{C3380CC4-5D6E-409C-BE32-E72D297353CC}">
              <c16:uniqueId val="{00000002-F1DE-4E13-BC1C-AD67010C07C1}"/>
            </c:ext>
          </c:extLst>
        </c:ser>
        <c:ser>
          <c:idx val="3"/>
          <c:order val="3"/>
          <c:spPr>
            <a:solidFill>
              <a:schemeClr val="accent6">
                <a:lumMod val="75000"/>
                <a:alpha val="32000"/>
              </a:schemeClr>
            </a:solidFill>
            <a:ln>
              <a:solidFill>
                <a:schemeClr val="tx1"/>
              </a:solidFill>
            </a:ln>
            <a:effectLst/>
          </c:spPr>
          <c:invertIfNegative val="0"/>
          <c:dLbls>
            <c:delete val="1"/>
          </c:dLbl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WHC'!$T$106:$AB$106</c:f>
              <c:numCache>
                <c:formatCode>General</c:formatCode>
                <c:ptCount val="9"/>
                <c:pt idx="0">
                  <c:v>2.4613686534216361E-2</c:v>
                </c:pt>
                <c:pt idx="1">
                  <c:v>3.3112582781457123E-2</c:v>
                </c:pt>
                <c:pt idx="2">
                  <c:v>9.4922737306843974E-3</c:v>
                </c:pt>
                <c:pt idx="3">
                  <c:v>2.0695364238410674E-2</c:v>
                </c:pt>
                <c:pt idx="4">
                  <c:v>6.6225165562914245E-3</c:v>
                </c:pt>
                <c:pt idx="5">
                  <c:v>1.3465783664459163E-2</c:v>
                </c:pt>
                <c:pt idx="6">
                  <c:v>2.5386313465783683E-2</c:v>
                </c:pt>
                <c:pt idx="7">
                  <c:v>4.083885209712701E-3</c:v>
                </c:pt>
                <c:pt idx="8">
                  <c:v>3.3167770419426201E-2</c:v>
                </c:pt>
              </c:numCache>
            </c:numRef>
          </c:val>
          <c:extLst xmlns:c16r2="http://schemas.microsoft.com/office/drawing/2015/06/chart">
            <c:ext xmlns:c16="http://schemas.microsoft.com/office/drawing/2014/chart" uri="{C3380CC4-5D6E-409C-BE32-E72D297353CC}">
              <c16:uniqueId val="{00000003-F1DE-4E13-BC1C-AD67010C07C1}"/>
            </c:ext>
          </c:extLst>
        </c:ser>
        <c:ser>
          <c:idx val="4"/>
          <c:order val="4"/>
          <c:spPr>
            <a:noFill/>
            <a:ln>
              <a:noFill/>
            </a:ln>
            <a:effectLst/>
          </c:spPr>
          <c:invertIfNegative val="0"/>
          <c:dLbls>
            <c:dLbl>
              <c:idx val="0"/>
              <c:layout>
                <c:manualLayout>
                  <c:x val="0"/>
                  <c:y val="-3.261420658696914E-2"/>
                </c:manualLayout>
              </c:layout>
              <c:tx>
                <c:rich>
                  <a:bodyPr/>
                  <a:lstStyle/>
                  <a:p>
                    <a:fld id="{B3377103-9E4D-4F5E-915A-1A19DA645ED6}"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F1DE-4E13-BC1C-AD67010C07C1}"/>
                </c:ext>
                <c:ext xmlns:c15="http://schemas.microsoft.com/office/drawing/2012/chart" uri="{CE6537A1-D6FC-4f65-9D91-7224C49458BB}">
                  <c15:dlblFieldTable/>
                  <c15:showDataLabelsRange val="1"/>
                </c:ext>
              </c:extLst>
            </c:dLbl>
            <c:dLbl>
              <c:idx val="1"/>
              <c:layout>
                <c:manualLayout>
                  <c:x val="0"/>
                  <c:y val="-9.3183447391340421E-2"/>
                </c:manualLayout>
              </c:layout>
              <c:tx>
                <c:rich>
                  <a:bodyPr/>
                  <a:lstStyle/>
                  <a:p>
                    <a:fld id="{A398D22C-ADD9-477E-B9C4-D7D8AB183375}"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F1DE-4E13-BC1C-AD67010C07C1}"/>
                </c:ext>
                <c:ext xmlns:c15="http://schemas.microsoft.com/office/drawing/2012/chart" uri="{CE6537A1-D6FC-4f65-9D91-7224C49458BB}">
                  <c15:dlblFieldTable/>
                  <c15:showDataLabelsRange val="1"/>
                </c:ext>
              </c:extLst>
            </c:dLbl>
            <c:dLbl>
              <c:idx val="2"/>
              <c:layout>
                <c:manualLayout>
                  <c:x val="2.7637588948968604E-3"/>
                  <c:y val="-5.1250896065237236E-2"/>
                </c:manualLayout>
              </c:layout>
              <c:tx>
                <c:rich>
                  <a:bodyPr/>
                  <a:lstStyle/>
                  <a:p>
                    <a:fld id="{63B2F605-D0DB-42A2-B1C2-1981D42DEEC2}"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F1DE-4E13-BC1C-AD67010C07C1}"/>
                </c:ext>
                <c:ext xmlns:c15="http://schemas.microsoft.com/office/drawing/2012/chart" uri="{CE6537A1-D6FC-4f65-9D91-7224C49458BB}">
                  <c15:dlblFieldTable/>
                  <c15:showDataLabelsRange val="1"/>
                </c:ext>
              </c:extLst>
            </c:dLbl>
            <c:dLbl>
              <c:idx val="3"/>
              <c:layout>
                <c:manualLayout>
                  <c:x val="2.7777777777777779E-3"/>
                  <c:y val="-9.1954022988505787E-2"/>
                </c:manualLayout>
              </c:layout>
              <c:tx>
                <c:rich>
                  <a:bodyPr/>
                  <a:lstStyle/>
                  <a:p>
                    <a:fld id="{EC496D3C-1A2A-4250-87E6-F138C09AFDB4}"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F1DE-4E13-BC1C-AD67010C07C1}"/>
                </c:ext>
                <c:ext xmlns:c15="http://schemas.microsoft.com/office/drawing/2012/chart" uri="{CE6537A1-D6FC-4f65-9D91-7224C49458BB}">
                  <c15:dlblFieldTable/>
                  <c15:showDataLabelsRange val="1"/>
                </c:ext>
              </c:extLst>
            </c:dLbl>
            <c:dLbl>
              <c:idx val="4"/>
              <c:layout>
                <c:manualLayout>
                  <c:x val="0"/>
                  <c:y val="-5.057471264367816E-2"/>
                </c:manualLayout>
              </c:layout>
              <c:tx>
                <c:rich>
                  <a:bodyPr/>
                  <a:lstStyle/>
                  <a:p>
                    <a:fld id="{980B32D1-4753-4D43-AE31-35CC5636EB6F}"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F1DE-4E13-BC1C-AD67010C07C1}"/>
                </c:ext>
                <c:ext xmlns:c15="http://schemas.microsoft.com/office/drawing/2012/chart" uri="{CE6537A1-D6FC-4f65-9D91-7224C49458BB}">
                  <c15:dlblFieldTable/>
                  <c15:showDataLabelsRange val="1"/>
                </c:ext>
              </c:extLst>
            </c:dLbl>
            <c:dLbl>
              <c:idx val="5"/>
              <c:layout>
                <c:manualLayout>
                  <c:x val="0"/>
                  <c:y val="-5.5172413793103489E-2"/>
                </c:manualLayout>
              </c:layout>
              <c:tx>
                <c:rich>
                  <a:bodyPr/>
                  <a:lstStyle/>
                  <a:p>
                    <a:fld id="{B4FBA663-84E1-4A33-9528-4DC5D7266ECD}"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F1DE-4E13-BC1C-AD67010C07C1}"/>
                </c:ext>
                <c:ext xmlns:c15="http://schemas.microsoft.com/office/drawing/2012/chart" uri="{CE6537A1-D6FC-4f65-9D91-7224C49458BB}">
                  <c15:dlblFieldTable/>
                  <c15:showDataLabelsRange val="1"/>
                </c:ext>
              </c:extLst>
            </c:dLbl>
            <c:dLbl>
              <c:idx val="6"/>
              <c:layout>
                <c:manualLayout>
                  <c:x val="-1.0185067526415994E-16"/>
                  <c:y val="-5.9770114942528735E-2"/>
                </c:manualLayout>
              </c:layout>
              <c:tx>
                <c:rich>
                  <a:bodyPr/>
                  <a:lstStyle/>
                  <a:p>
                    <a:fld id="{E9FCBB37-8B33-4E05-A7F8-EDE8F87D9F72}"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F1DE-4E13-BC1C-AD67010C07C1}"/>
                </c:ext>
                <c:ext xmlns:c15="http://schemas.microsoft.com/office/drawing/2012/chart" uri="{CE6537A1-D6FC-4f65-9D91-7224C49458BB}">
                  <c15:dlblFieldTable/>
                  <c15:showDataLabelsRange val="1"/>
                </c:ext>
              </c:extLst>
            </c:dLbl>
            <c:dLbl>
              <c:idx val="7"/>
              <c:layout>
                <c:manualLayout>
                  <c:x val="0"/>
                  <c:y val="-5.0574712643678202E-2"/>
                </c:manualLayout>
              </c:layout>
              <c:tx>
                <c:rich>
                  <a:bodyPr/>
                  <a:lstStyle/>
                  <a:p>
                    <a:fld id="{F8098B81-4A52-4B89-85DC-D66B0EF91A4C}"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F1DE-4E13-BC1C-AD67010C07C1}"/>
                </c:ext>
                <c:ext xmlns:c15="http://schemas.microsoft.com/office/drawing/2012/chart" uri="{CE6537A1-D6FC-4f65-9D91-7224C49458BB}">
                  <c15:dlblFieldTable/>
                  <c15:showDataLabelsRange val="1"/>
                </c:ext>
              </c:extLst>
            </c:dLbl>
            <c:dLbl>
              <c:idx val="8"/>
              <c:layout>
                <c:manualLayout>
                  <c:x val="5.5555555555554534E-3"/>
                  <c:y val="-9.6551724137931033E-2"/>
                </c:manualLayout>
              </c:layout>
              <c:tx>
                <c:rich>
                  <a:bodyPr/>
                  <a:lstStyle/>
                  <a:p>
                    <a:fld id="{94E421D1-D51C-4ACB-93D2-A8C793146DB8}"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C-F1DE-4E13-BC1C-AD67010C07C1}"/>
                </c:ex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0"/>
              </c:ext>
            </c:extLst>
          </c:dLbls>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WHC'!$T$107:$AB$107</c:f>
              <c:numCache>
                <c:formatCode>General</c:formatCode>
                <c:ptCount val="9"/>
                <c:pt idx="0">
                  <c:v>2.207505518763142E-4</c:v>
                </c:pt>
                <c:pt idx="1">
                  <c:v>9.0507726269315469E-3</c:v>
                </c:pt>
                <c:pt idx="2">
                  <c:v>6.6225165562916466E-4</c:v>
                </c:pt>
                <c:pt idx="3">
                  <c:v>6.8984547461368173E-3</c:v>
                </c:pt>
                <c:pt idx="4">
                  <c:v>1.7660044150109577E-3</c:v>
                </c:pt>
                <c:pt idx="5">
                  <c:v>1.986754966887494E-3</c:v>
                </c:pt>
                <c:pt idx="6">
                  <c:v>3.4216335540837584E-3</c:v>
                </c:pt>
                <c:pt idx="7">
                  <c:v>1.1037527593817931E-3</c:v>
                </c:pt>
                <c:pt idx="8">
                  <c:v>7.7814569536422962E-3</c:v>
                </c:pt>
              </c:numCache>
            </c:numRef>
          </c:val>
          <c:extLst xmlns:c16r2="http://schemas.microsoft.com/office/drawing/2015/06/chart">
            <c:ext xmlns:c16="http://schemas.microsoft.com/office/drawing/2014/chart" uri="{C3380CC4-5D6E-409C-BE32-E72D297353CC}">
              <c16:uniqueId val="{0000000D-F1DE-4E13-BC1C-AD67010C07C1}"/>
            </c:ext>
            <c:ext xmlns:c15="http://schemas.microsoft.com/office/drawing/2012/chart" uri="{02D57815-91ED-43cb-92C2-25804820EDAC}">
              <c15:datalabelsRange>
                <c15:f>'BD, PD, Por, WHC'!$T$108:$AB$108</c15:f>
                <c15:dlblRangeCache>
                  <c:ptCount val="9"/>
                  <c:pt idx="0">
                    <c:v>a</c:v>
                  </c:pt>
                  <c:pt idx="1">
                    <c:v>bcd</c:v>
                  </c:pt>
                  <c:pt idx="2">
                    <c:v>ab</c:v>
                  </c:pt>
                  <c:pt idx="3">
                    <c:v>cd</c:v>
                  </c:pt>
                  <c:pt idx="4">
                    <c:v>d</c:v>
                  </c:pt>
                  <c:pt idx="5">
                    <c:v>bcd</c:v>
                  </c:pt>
                  <c:pt idx="6">
                    <c:v>cd</c:v>
                  </c:pt>
                  <c:pt idx="7">
                    <c:v>abc</c:v>
                  </c:pt>
                  <c:pt idx="8">
                    <c:v>abcd</c:v>
                  </c:pt>
                </c15:dlblRangeCache>
              </c15:datalabelsRange>
            </c:ext>
          </c:extLst>
        </c:ser>
        <c:dLbls>
          <c:showLegendKey val="0"/>
          <c:showVal val="1"/>
          <c:showCatName val="0"/>
          <c:showSerName val="0"/>
          <c:showPercent val="0"/>
          <c:showBubbleSize val="0"/>
        </c:dLbls>
        <c:gapWidth val="150"/>
        <c:overlap val="100"/>
        <c:axId val="709741320"/>
        <c:axId val="709744456"/>
      </c:barChart>
      <c:catAx>
        <c:axId val="709741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7796207102504662"/>
              <c:y val="0.914351851851851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9744456"/>
        <c:crosses val="autoZero"/>
        <c:auto val="1"/>
        <c:lblAlgn val="ctr"/>
        <c:lblOffset val="100"/>
        <c:noMultiLvlLbl val="0"/>
      </c:catAx>
      <c:valAx>
        <c:axId val="709744456"/>
        <c:scaling>
          <c:orientation val="minMax"/>
          <c:min val="1.1600000000000001"/>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Bulk density (g cm</a:t>
                </a:r>
                <a:r>
                  <a:rPr lang="en-US" b="1" baseline="30000"/>
                  <a:t>-3</a:t>
                </a:r>
                <a:r>
                  <a:rPr lang="en-US" b="1"/>
                  <a:t>)</a:t>
                </a:r>
              </a:p>
            </c:rich>
          </c:tx>
          <c:layout>
            <c:manualLayout>
              <c:xMode val="edge"/>
              <c:yMode val="edge"/>
              <c:x val="5.5555555555555558E-3"/>
              <c:y val="0.216068460192475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09741320"/>
        <c:crosses val="autoZero"/>
        <c:crossBetween val="between"/>
        <c:majorUnit val="2.0000000000000004E-2"/>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WHC'!$T$117:$AB$117</c:f>
              <c:numCache>
                <c:formatCode>0.00</c:formatCode>
                <c:ptCount val="9"/>
                <c:pt idx="0">
                  <c:v>2.33</c:v>
                </c:pt>
                <c:pt idx="1">
                  <c:v>2.35</c:v>
                </c:pt>
                <c:pt idx="2">
                  <c:v>2.38</c:v>
                </c:pt>
                <c:pt idx="3">
                  <c:v>2.36</c:v>
                </c:pt>
                <c:pt idx="4">
                  <c:v>2.34</c:v>
                </c:pt>
                <c:pt idx="5">
                  <c:v>2.38</c:v>
                </c:pt>
                <c:pt idx="6">
                  <c:v>2.36</c:v>
                </c:pt>
                <c:pt idx="7">
                  <c:v>2.36</c:v>
                </c:pt>
                <c:pt idx="8">
                  <c:v>2.39</c:v>
                </c:pt>
              </c:numCache>
            </c:numRef>
          </c:val>
          <c:extLst xmlns:c16r2="http://schemas.microsoft.com/office/drawing/2015/06/chart">
            <c:ext xmlns:c16="http://schemas.microsoft.com/office/drawing/2014/chart" uri="{C3380CC4-5D6E-409C-BE32-E72D297353CC}">
              <c16:uniqueId val="{00000000-3D26-4A65-9B82-778BD768CC1F}"/>
            </c:ext>
          </c:extLst>
        </c:ser>
        <c:ser>
          <c:idx val="1"/>
          <c:order val="1"/>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WHC'!$T$118:$AB$118</c:f>
              <c:numCache>
                <c:formatCode>0.00</c:formatCode>
                <c:ptCount val="9"/>
                <c:pt idx="0">
                  <c:v>2.2499999999999964E-2</c:v>
                </c:pt>
                <c:pt idx="1">
                  <c:v>2.4999999999999467E-3</c:v>
                </c:pt>
                <c:pt idx="2">
                  <c:v>2.4999999999999467E-3</c:v>
                </c:pt>
                <c:pt idx="3">
                  <c:v>7.4999999999998401E-3</c:v>
                </c:pt>
                <c:pt idx="4">
                  <c:v>7.5000000000002842E-3</c:v>
                </c:pt>
                <c:pt idx="5">
                  <c:v>2.4999999999999467E-3</c:v>
                </c:pt>
                <c:pt idx="6">
                  <c:v>2.4999999999999467E-3</c:v>
                </c:pt>
                <c:pt idx="7">
                  <c:v>2.4999999999999467E-3</c:v>
                </c:pt>
                <c:pt idx="8">
                  <c:v>2.4999999999999467E-3</c:v>
                </c:pt>
              </c:numCache>
            </c:numRef>
          </c:val>
          <c:extLst xmlns:c16r2="http://schemas.microsoft.com/office/drawing/2015/06/chart">
            <c:ext xmlns:c16="http://schemas.microsoft.com/office/drawing/2014/chart" uri="{C3380CC4-5D6E-409C-BE32-E72D297353CC}">
              <c16:uniqueId val="{00000001-3D26-4A65-9B82-778BD768CC1F}"/>
            </c:ext>
          </c:extLst>
        </c:ser>
        <c:ser>
          <c:idx val="2"/>
          <c:order val="2"/>
          <c:spPr>
            <a:solidFill>
              <a:schemeClr val="accent3"/>
            </a:solidFill>
            <a:ln>
              <a:solidFill>
                <a:schemeClr val="tx1"/>
              </a:solidFill>
            </a:ln>
            <a:effectLst/>
          </c:spPr>
          <c:invertIfNegative val="0"/>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WHC'!$T$119:$AB$119</c:f>
              <c:numCache>
                <c:formatCode>General</c:formatCode>
                <c:ptCount val="9"/>
                <c:pt idx="0">
                  <c:v>7.749999999999968E-2</c:v>
                </c:pt>
                <c:pt idx="1">
                  <c:v>1.7500000000000071E-2</c:v>
                </c:pt>
                <c:pt idx="2">
                  <c:v>1.7500000000000515E-2</c:v>
                </c:pt>
                <c:pt idx="3">
                  <c:v>2.2500000000000409E-2</c:v>
                </c:pt>
                <c:pt idx="4">
                  <c:v>3.2499999999999751E-2</c:v>
                </c:pt>
                <c:pt idx="5">
                  <c:v>1.7500000000000515E-2</c:v>
                </c:pt>
                <c:pt idx="6">
                  <c:v>1.7500000000000071E-2</c:v>
                </c:pt>
                <c:pt idx="7">
                  <c:v>1.2500000000000178E-2</c:v>
                </c:pt>
                <c:pt idx="8">
                  <c:v>1.7500000000000071E-2</c:v>
                </c:pt>
              </c:numCache>
            </c:numRef>
          </c:val>
          <c:extLst xmlns:c16r2="http://schemas.microsoft.com/office/drawing/2015/06/chart">
            <c:ext xmlns:c16="http://schemas.microsoft.com/office/drawing/2014/chart" uri="{C3380CC4-5D6E-409C-BE32-E72D297353CC}">
              <c16:uniqueId val="{00000002-3D26-4A65-9B82-778BD768CC1F}"/>
            </c:ext>
          </c:extLst>
        </c:ser>
        <c:ser>
          <c:idx val="3"/>
          <c:order val="3"/>
          <c:spPr>
            <a:solidFill>
              <a:schemeClr val="accent6">
                <a:lumMod val="75000"/>
                <a:alpha val="45000"/>
              </a:schemeClr>
            </a:solidFill>
            <a:ln>
              <a:solidFill>
                <a:schemeClr val="tx1"/>
              </a:solidFill>
            </a:ln>
            <a:effectLst/>
          </c:spPr>
          <c:invertIfNegative val="0"/>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WHC'!$T$120:$AB$120</c:f>
              <c:numCache>
                <c:formatCode>General</c:formatCode>
                <c:ptCount val="9"/>
                <c:pt idx="0">
                  <c:v>5.500000000000016E-2</c:v>
                </c:pt>
                <c:pt idx="1">
                  <c:v>1.7500000000000071E-2</c:v>
                </c:pt>
                <c:pt idx="2">
                  <c:v>1.7499999999999627E-2</c:v>
                </c:pt>
                <c:pt idx="3">
                  <c:v>3.7500000000000089E-2</c:v>
                </c:pt>
                <c:pt idx="4">
                  <c:v>2.5000000000000355E-2</c:v>
                </c:pt>
                <c:pt idx="5">
                  <c:v>3.2499999999999751E-2</c:v>
                </c:pt>
                <c:pt idx="6">
                  <c:v>1.7500000000000071E-2</c:v>
                </c:pt>
                <c:pt idx="7">
                  <c:v>2.0000000000000018E-2</c:v>
                </c:pt>
                <c:pt idx="8">
                  <c:v>1.7500000000000071E-2</c:v>
                </c:pt>
              </c:numCache>
            </c:numRef>
          </c:val>
          <c:extLst xmlns:c16r2="http://schemas.microsoft.com/office/drawing/2015/06/chart">
            <c:ext xmlns:c16="http://schemas.microsoft.com/office/drawing/2014/chart" uri="{C3380CC4-5D6E-409C-BE32-E72D297353CC}">
              <c16:uniqueId val="{00000003-3D26-4A65-9B82-778BD768CC1F}"/>
            </c:ext>
          </c:extLst>
        </c:ser>
        <c:ser>
          <c:idx val="4"/>
          <c:order val="4"/>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WHC'!$T$121:$AB$121</c:f>
              <c:numCache>
                <c:formatCode>General</c:formatCode>
                <c:ptCount val="9"/>
                <c:pt idx="0">
                  <c:v>1.5000000000000124E-2</c:v>
                </c:pt>
                <c:pt idx="1">
                  <c:v>2.4999999999999467E-3</c:v>
                </c:pt>
                <c:pt idx="2">
                  <c:v>2.4999999999999467E-3</c:v>
                </c:pt>
                <c:pt idx="3">
                  <c:v>1.2499999999999734E-2</c:v>
                </c:pt>
                <c:pt idx="4">
                  <c:v>4.9999999999998934E-3</c:v>
                </c:pt>
                <c:pt idx="5">
                  <c:v>7.4999999999998401E-3</c:v>
                </c:pt>
                <c:pt idx="6">
                  <c:v>2.4999999999999467E-3</c:v>
                </c:pt>
                <c:pt idx="7">
                  <c:v>4.9999999999998934E-3</c:v>
                </c:pt>
                <c:pt idx="8">
                  <c:v>2.4999999999999467E-3</c:v>
                </c:pt>
              </c:numCache>
            </c:numRef>
          </c:val>
          <c:extLst xmlns:c16r2="http://schemas.microsoft.com/office/drawing/2015/06/chart">
            <c:ext xmlns:c16="http://schemas.microsoft.com/office/drawing/2014/chart" uri="{C3380CC4-5D6E-409C-BE32-E72D297353CC}">
              <c16:uniqueId val="{00000004-3D26-4A65-9B82-778BD768CC1F}"/>
            </c:ext>
          </c:extLst>
        </c:ser>
        <c:dLbls>
          <c:showLegendKey val="0"/>
          <c:showVal val="0"/>
          <c:showCatName val="0"/>
          <c:showSerName val="0"/>
          <c:showPercent val="0"/>
          <c:showBubbleSize val="0"/>
        </c:dLbls>
        <c:gapWidth val="150"/>
        <c:overlap val="100"/>
        <c:axId val="709745240"/>
        <c:axId val="709738576"/>
      </c:barChart>
      <c:catAx>
        <c:axId val="70974524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8247954729892745"/>
              <c:y val="0.8927059158123873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9738576"/>
        <c:crosses val="autoZero"/>
        <c:auto val="1"/>
        <c:lblAlgn val="ctr"/>
        <c:lblOffset val="100"/>
        <c:noMultiLvlLbl val="0"/>
      </c:catAx>
      <c:valAx>
        <c:axId val="709738576"/>
        <c:scaling>
          <c:orientation val="minMax"/>
          <c:min val="2.2999999999999998"/>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Particle density (g cm</a:t>
                </a:r>
                <a:r>
                  <a:rPr lang="en-US" b="1" baseline="30000"/>
                  <a:t>-3</a:t>
                </a:r>
                <a:r>
                  <a:rPr lang="en-US" b="1"/>
                  <a:t>)</a:t>
                </a:r>
              </a:p>
            </c:rich>
          </c:tx>
          <c:layout>
            <c:manualLayout>
              <c:xMode val="edge"/>
              <c:yMode val="edge"/>
              <c:x val="2.7636410165237445E-3"/>
              <c:y val="7.332550149748744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w="9525">
            <a:solidFill>
              <a:schemeClr val="accent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9745240"/>
        <c:crosses val="autoZero"/>
        <c:crossBetween val="between"/>
        <c:majorUnit val="3.0000000000000006E-2"/>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WHC'!$T$143:$AB$143</c:f>
              <c:numCache>
                <c:formatCode>0.00</c:formatCode>
                <c:ptCount val="9"/>
                <c:pt idx="0">
                  <c:v>44.575505215587064</c:v>
                </c:pt>
                <c:pt idx="1">
                  <c:v>46.955212576315951</c:v>
                </c:pt>
                <c:pt idx="2">
                  <c:v>46.871463817314996</c:v>
                </c:pt>
                <c:pt idx="3">
                  <c:v>48.054347123315502</c:v>
                </c:pt>
                <c:pt idx="4">
                  <c:v>48.548140601120728</c:v>
                </c:pt>
                <c:pt idx="5">
                  <c:v>47.975216576696901</c:v>
                </c:pt>
                <c:pt idx="6">
                  <c:v>48.329404721816886</c:v>
                </c:pt>
                <c:pt idx="7">
                  <c:v>47.440790212145004</c:v>
                </c:pt>
                <c:pt idx="8">
                  <c:v>47.901052880204212</c:v>
                </c:pt>
              </c:numCache>
            </c:numRef>
          </c:val>
          <c:extLst xmlns:c16r2="http://schemas.microsoft.com/office/drawing/2015/06/chart">
            <c:ext xmlns:c16="http://schemas.microsoft.com/office/drawing/2014/chart" uri="{C3380CC4-5D6E-409C-BE32-E72D297353CC}">
              <c16:uniqueId val="{00000000-129D-4848-B287-D5A4CB45EEEE}"/>
            </c:ext>
          </c:extLst>
        </c:ser>
        <c:ser>
          <c:idx val="1"/>
          <c:order val="1"/>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WHC'!$T$144:$AB$144</c:f>
              <c:numCache>
                <c:formatCode>0.00</c:formatCode>
                <c:ptCount val="9"/>
                <c:pt idx="0">
                  <c:v>0.9333863892599652</c:v>
                </c:pt>
                <c:pt idx="1">
                  <c:v>0.15941676104524305</c:v>
                </c:pt>
                <c:pt idx="2">
                  <c:v>8.328305691198068E-2</c:v>
                </c:pt>
                <c:pt idx="3">
                  <c:v>0.12722588052481143</c:v>
                </c:pt>
                <c:pt idx="4">
                  <c:v>8.8307385649997627E-2</c:v>
                </c:pt>
                <c:pt idx="5">
                  <c:v>0.40005697533334228</c:v>
                </c:pt>
                <c:pt idx="6">
                  <c:v>7.2726082238929735E-2</c:v>
                </c:pt>
                <c:pt idx="7">
                  <c:v>8.8703580301512375E-3</c:v>
                </c:pt>
                <c:pt idx="8">
                  <c:v>0.26772658163832119</c:v>
                </c:pt>
              </c:numCache>
            </c:numRef>
          </c:val>
          <c:extLst xmlns:c16r2="http://schemas.microsoft.com/office/drawing/2015/06/chart">
            <c:ext xmlns:c16="http://schemas.microsoft.com/office/drawing/2014/chart" uri="{C3380CC4-5D6E-409C-BE32-E72D297353CC}">
              <c16:uniqueId val="{00000001-129D-4848-B287-D5A4CB45EEEE}"/>
            </c:ext>
          </c:extLst>
        </c:ser>
        <c:ser>
          <c:idx val="2"/>
          <c:order val="2"/>
          <c:spPr>
            <a:solidFill>
              <a:schemeClr val="accent3"/>
            </a:solidFill>
            <a:ln>
              <a:noFill/>
            </a:ln>
            <a:effectLst/>
          </c:spPr>
          <c:invertIfNegative val="0"/>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WHC'!$T$145:$AB$145</c:f>
              <c:numCache>
                <c:formatCode>General</c:formatCode>
                <c:ptCount val="9"/>
                <c:pt idx="0">
                  <c:v>2.953735874035722</c:v>
                </c:pt>
                <c:pt idx="1">
                  <c:v>0.84183591532374891</c:v>
                </c:pt>
                <c:pt idx="2">
                  <c:v>0.7803495507899072</c:v>
                </c:pt>
                <c:pt idx="3">
                  <c:v>0.70450242831868337</c:v>
                </c:pt>
                <c:pt idx="4">
                  <c:v>0.68192530033527987</c:v>
                </c:pt>
                <c:pt idx="5">
                  <c:v>1.2025547196270239</c:v>
                </c:pt>
                <c:pt idx="6">
                  <c:v>0.81977007242632283</c:v>
                </c:pt>
                <c:pt idx="7">
                  <c:v>0.44303773920420042</c:v>
                </c:pt>
                <c:pt idx="8">
                  <c:v>0.98630522434076795</c:v>
                </c:pt>
              </c:numCache>
            </c:numRef>
          </c:val>
          <c:extLst xmlns:c16r2="http://schemas.microsoft.com/office/drawing/2015/06/chart">
            <c:ext xmlns:c16="http://schemas.microsoft.com/office/drawing/2014/chart" uri="{C3380CC4-5D6E-409C-BE32-E72D297353CC}">
              <c16:uniqueId val="{00000002-129D-4848-B287-D5A4CB45EEEE}"/>
            </c:ext>
          </c:extLst>
        </c:ser>
        <c:ser>
          <c:idx val="3"/>
          <c:order val="3"/>
          <c:spPr>
            <a:solidFill>
              <a:schemeClr val="accent6">
                <a:lumMod val="75000"/>
                <a:alpha val="50000"/>
              </a:schemeClr>
            </a:solidFill>
            <a:ln>
              <a:noFill/>
            </a:ln>
            <a:effectLst/>
          </c:spPr>
          <c:invertIfNegative val="0"/>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WHC'!$T$146:$AB$146</c:f>
              <c:numCache>
                <c:formatCode>General</c:formatCode>
                <c:ptCount val="9"/>
                <c:pt idx="0">
                  <c:v>0.95122163492983702</c:v>
                </c:pt>
                <c:pt idx="1">
                  <c:v>1.8371097146237787</c:v>
                </c:pt>
                <c:pt idx="2">
                  <c:v>1.1150037231064971</c:v>
                </c:pt>
                <c:pt idx="3">
                  <c:v>1.5580451822237364</c:v>
                </c:pt>
                <c:pt idx="4">
                  <c:v>0.87411993705661217</c:v>
                </c:pt>
                <c:pt idx="5">
                  <c:v>0.38199517332626698</c:v>
                </c:pt>
                <c:pt idx="6">
                  <c:v>1.0204169220810968</c:v>
                </c:pt>
                <c:pt idx="7">
                  <c:v>0.47045489892381909</c:v>
                </c:pt>
                <c:pt idx="8">
                  <c:v>0.20347447773551153</c:v>
                </c:pt>
              </c:numCache>
            </c:numRef>
          </c:val>
          <c:extLst xmlns:c16r2="http://schemas.microsoft.com/office/drawing/2015/06/chart">
            <c:ext xmlns:c16="http://schemas.microsoft.com/office/drawing/2014/chart" uri="{C3380CC4-5D6E-409C-BE32-E72D297353CC}">
              <c16:uniqueId val="{00000003-129D-4848-B287-D5A4CB45EEEE}"/>
            </c:ext>
          </c:extLst>
        </c:ser>
        <c:ser>
          <c:idx val="4"/>
          <c:order val="4"/>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WHC'!$T$147:$AB$147</c:f>
              <c:numCache>
                <c:formatCode>General</c:formatCode>
                <c:ptCount val="9"/>
                <c:pt idx="0">
                  <c:v>0.26588164289134397</c:v>
                </c:pt>
                <c:pt idx="1">
                  <c:v>0.49117469414525061</c:v>
                </c:pt>
                <c:pt idx="2">
                  <c:v>0.19483444768417257</c:v>
                </c:pt>
                <c:pt idx="3">
                  <c:v>0.41174013182649105</c:v>
                </c:pt>
                <c:pt idx="4">
                  <c:v>0.15237226455710839</c:v>
                </c:pt>
                <c:pt idx="5">
                  <c:v>0.12653712656642568</c:v>
                </c:pt>
                <c:pt idx="6">
                  <c:v>0.13960836545719246</c:v>
                </c:pt>
                <c:pt idx="7">
                  <c:v>1.8009411270028863E-2</c:v>
                </c:pt>
                <c:pt idx="8">
                  <c:v>6.7829994365808943E-3</c:v>
                </c:pt>
              </c:numCache>
            </c:numRef>
          </c:val>
          <c:extLst xmlns:c16r2="http://schemas.microsoft.com/office/drawing/2015/06/chart">
            <c:ext xmlns:c16="http://schemas.microsoft.com/office/drawing/2014/chart" uri="{C3380CC4-5D6E-409C-BE32-E72D297353CC}">
              <c16:uniqueId val="{00000004-129D-4848-B287-D5A4CB45EEEE}"/>
            </c:ext>
          </c:extLst>
        </c:ser>
        <c:dLbls>
          <c:showLegendKey val="0"/>
          <c:showVal val="0"/>
          <c:showCatName val="0"/>
          <c:showSerName val="0"/>
          <c:showPercent val="0"/>
          <c:showBubbleSize val="0"/>
        </c:dLbls>
        <c:gapWidth val="150"/>
        <c:overlap val="100"/>
        <c:axId val="424860264"/>
        <c:axId val="424861440"/>
      </c:barChart>
      <c:catAx>
        <c:axId val="4248602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709034022104229"/>
              <c:y val="0.908333333333333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4861440"/>
        <c:crosses val="autoZero"/>
        <c:auto val="1"/>
        <c:lblAlgn val="ctr"/>
        <c:lblOffset val="100"/>
        <c:noMultiLvlLbl val="0"/>
      </c:catAx>
      <c:valAx>
        <c:axId val="424861440"/>
        <c:scaling>
          <c:orientation val="minMax"/>
          <c:max val="54"/>
          <c:min val="4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Porotisty (%)</a:t>
                </a:r>
              </a:p>
            </c:rich>
          </c:tx>
          <c:layout>
            <c:manualLayout>
              <c:xMode val="edge"/>
              <c:yMode val="edge"/>
              <c:x val="8.3333333333333332E-3"/>
              <c:y val="0.235883275007290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4860264"/>
        <c:crosses val="autoZero"/>
        <c:crossBetween val="between"/>
        <c:majorUnit val="2"/>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BDAB-BBB0-4970-AB85-E1A776A3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10</cp:lastModifiedBy>
  <cp:revision>2</cp:revision>
  <cp:lastPrinted>2025-07-30T15:21:00Z</cp:lastPrinted>
  <dcterms:created xsi:type="dcterms:W3CDTF">2025-09-12T22:10:00Z</dcterms:created>
  <dcterms:modified xsi:type="dcterms:W3CDTF">2025-09-12T22:10:00Z</dcterms:modified>
</cp:coreProperties>
</file>