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rawings/drawing6.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5D6D5A" w14:textId="409D2FE3" w:rsidR="00754C9A" w:rsidRDefault="00752311" w:rsidP="00441B6F">
      <w:pPr>
        <w:pStyle w:val="Title"/>
        <w:spacing w:after="0"/>
        <w:jc w:val="both"/>
        <w:rPr>
          <w:rFonts w:ascii="Arial" w:hAnsi="Arial" w:cs="Arial"/>
        </w:rPr>
      </w:pPr>
      <w:r w:rsidRPr="00752311">
        <w:rPr>
          <w:rFonts w:ascii="Arial" w:hAnsi="Arial" w:cs="Arial"/>
        </w:rPr>
        <w:t>Original Research Article</w:t>
      </w:r>
    </w:p>
    <w:p w14:paraId="13AE8FE0" w14:textId="77777777" w:rsidR="00752311" w:rsidRDefault="00752311" w:rsidP="00441B6F">
      <w:pPr>
        <w:pStyle w:val="Title"/>
        <w:spacing w:after="0"/>
        <w:jc w:val="both"/>
        <w:rPr>
          <w:rFonts w:ascii="Arial" w:hAnsi="Arial" w:cs="Arial"/>
        </w:rPr>
      </w:pPr>
    </w:p>
    <w:p w14:paraId="59C3950C" w14:textId="5648FE94" w:rsidR="00A258C3" w:rsidRDefault="009F4F4B" w:rsidP="009F4F4B">
      <w:pPr>
        <w:pStyle w:val="Author"/>
        <w:spacing w:line="240" w:lineRule="auto"/>
        <w:rPr>
          <w:rFonts w:ascii="Arial" w:hAnsi="Arial" w:cs="Arial"/>
          <w:bCs/>
          <w:iCs/>
          <w:kern w:val="28"/>
          <w:sz w:val="36"/>
        </w:rPr>
      </w:pPr>
      <w:r w:rsidRPr="009F4F4B">
        <w:rPr>
          <w:rFonts w:ascii="Arial" w:hAnsi="Arial" w:cs="Arial"/>
          <w:bCs/>
          <w:iCs/>
          <w:kern w:val="28"/>
          <w:sz w:val="36"/>
        </w:rPr>
        <w:t>Green Manuring Enhances Nitrogen Use Efficiency of Rice and Soil Nutrient Contents of Paddy Soil</w:t>
      </w:r>
    </w:p>
    <w:p w14:paraId="62C9BFDA" w14:textId="77777777" w:rsidR="00C94E7D" w:rsidRPr="00790ADA" w:rsidRDefault="00C94E7D" w:rsidP="009F4F4B">
      <w:pPr>
        <w:pStyle w:val="Author"/>
        <w:spacing w:line="240" w:lineRule="auto"/>
        <w:rPr>
          <w:rFonts w:ascii="Arial" w:hAnsi="Arial" w:cs="Arial"/>
          <w:sz w:val="36"/>
        </w:rPr>
      </w:pPr>
    </w:p>
    <w:p w14:paraId="62B3084D" w14:textId="77777777" w:rsidR="00C94E7D" w:rsidRPr="009F4F4B" w:rsidRDefault="00C94E7D" w:rsidP="009F4F4B">
      <w:pPr>
        <w:pStyle w:val="Affiliation"/>
        <w:spacing w:after="0" w:line="240" w:lineRule="auto"/>
        <w:rPr>
          <w:rFonts w:ascii="Arial" w:hAnsi="Arial" w:cs="Arial"/>
        </w:rPr>
      </w:pPr>
    </w:p>
    <w:p w14:paraId="231144B6" w14:textId="77777777" w:rsidR="00B01FCD" w:rsidRPr="00FB3A86" w:rsidRDefault="000B3E77" w:rsidP="00441B6F">
      <w:pPr>
        <w:pStyle w:val="Copyright"/>
        <w:spacing w:after="0" w:line="240" w:lineRule="auto"/>
        <w:jc w:val="both"/>
        <w:rPr>
          <w:rFonts w:ascii="Arial" w:hAnsi="Arial" w:cs="Arial"/>
        </w:rPr>
        <w:sectPr w:rsidR="00B01FCD" w:rsidRPr="00FB3A86" w:rsidSect="00061E6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89E4D19">
          <v:shapetype id="_x0000_t32" coordsize="21600,21600" o:spt="32" o:oned="t" path="m,l21600,21600e" filled="f">
            <v:path arrowok="t" fillok="f" o:connecttype="none"/>
            <o:lock v:ext="edit" shapetype="t"/>
          </v:shapetype>
          <v:shape id="_x0000_s102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6885C87D" w14:textId="69F9AB8E"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F69637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4249E8" w14:paraId="5795B786" w14:textId="77777777" w:rsidTr="001E44FE">
        <w:tc>
          <w:tcPr>
            <w:tcW w:w="9576" w:type="dxa"/>
            <w:shd w:val="clear" w:color="auto" w:fill="F2F2F2"/>
          </w:tcPr>
          <w:p w14:paraId="1474D246" w14:textId="52627E84" w:rsidR="00BA1B01" w:rsidRPr="004249E8" w:rsidRDefault="00BA1B01" w:rsidP="00441B6F">
            <w:pPr>
              <w:pStyle w:val="Body"/>
              <w:spacing w:after="0"/>
              <w:rPr>
                <w:rFonts w:ascii="Arial" w:eastAsia="Calibri" w:hAnsi="Arial" w:cs="Arial"/>
              </w:rPr>
            </w:pPr>
            <w:r w:rsidRPr="004249E8">
              <w:rPr>
                <w:rFonts w:ascii="Arial" w:eastAsia="Calibri" w:hAnsi="Arial" w:cs="Arial"/>
                <w:b/>
              </w:rPr>
              <w:t xml:space="preserve">Aims: </w:t>
            </w:r>
            <w:r w:rsidR="007723C2" w:rsidRPr="004249E8">
              <w:rPr>
                <w:rFonts w:ascii="Arial" w:hAnsi="Arial" w:cs="Arial"/>
              </w:rPr>
              <w:t>To investigate the effects of green manures (GMs) combined with inorganic nitrogen (N) fertilizer on N use efficiency, and the yield of Sinn-</w:t>
            </w:r>
            <w:proofErr w:type="spellStart"/>
            <w:r w:rsidR="007723C2" w:rsidRPr="004249E8">
              <w:rPr>
                <w:rFonts w:ascii="Arial" w:hAnsi="Arial" w:cs="Arial"/>
              </w:rPr>
              <w:t>thu</w:t>
            </w:r>
            <w:proofErr w:type="spellEnd"/>
            <w:r w:rsidR="007723C2" w:rsidRPr="004249E8">
              <w:rPr>
                <w:rFonts w:ascii="Arial" w:hAnsi="Arial" w:cs="Arial"/>
              </w:rPr>
              <w:t>-kha rice, as well as on soil nutrient contents, field experiments were conducted at the Department of Agronomy, Yezin Agricultural University</w:t>
            </w:r>
            <w:bookmarkStart w:id="1" w:name="OLE_LINK1"/>
            <w:r w:rsidR="007723C2" w:rsidRPr="004249E8">
              <w:rPr>
                <w:rFonts w:ascii="Arial" w:hAnsi="Arial" w:cs="Arial"/>
              </w:rPr>
              <w:t xml:space="preserve"> from December to June during the summer and monsoon seasons of 2023 and 2024</w:t>
            </w:r>
            <w:bookmarkEnd w:id="1"/>
            <w:r w:rsidRPr="004249E8">
              <w:rPr>
                <w:rFonts w:ascii="Arial" w:eastAsia="Calibri" w:hAnsi="Arial" w:cs="Arial"/>
              </w:rPr>
              <w:t>.</w:t>
            </w:r>
          </w:p>
          <w:p w14:paraId="60B37270" w14:textId="51467B04" w:rsidR="00BA1B01" w:rsidRPr="004249E8" w:rsidRDefault="00BA1B01" w:rsidP="00441B6F">
            <w:pPr>
              <w:pStyle w:val="Body"/>
              <w:spacing w:after="0"/>
              <w:rPr>
                <w:rFonts w:ascii="Arial" w:eastAsia="Calibri" w:hAnsi="Arial" w:cs="Arial"/>
              </w:rPr>
            </w:pPr>
            <w:r w:rsidRPr="004249E8">
              <w:rPr>
                <w:rFonts w:ascii="Arial" w:eastAsia="Calibri" w:hAnsi="Arial" w:cs="Arial"/>
                <w:b/>
              </w:rPr>
              <w:t>Study design</w:t>
            </w:r>
            <w:r w:rsidR="007723C2" w:rsidRPr="004249E8">
              <w:rPr>
                <w:rFonts w:ascii="Arial" w:eastAsia="Calibri" w:hAnsi="Arial" w:cs="Arial"/>
                <w:b/>
              </w:rPr>
              <w:t xml:space="preserve"> and Methodology</w:t>
            </w:r>
            <w:r w:rsidRPr="004249E8">
              <w:rPr>
                <w:rFonts w:ascii="Arial" w:eastAsia="Calibri" w:hAnsi="Arial" w:cs="Arial"/>
                <w:b/>
              </w:rPr>
              <w:t>:</w:t>
            </w:r>
            <w:r w:rsidRPr="004249E8">
              <w:rPr>
                <w:rFonts w:ascii="Arial" w:eastAsia="Calibri" w:hAnsi="Arial" w:cs="Arial"/>
              </w:rPr>
              <w:t xml:space="preserve">  </w:t>
            </w:r>
            <w:r w:rsidR="007723C2" w:rsidRPr="004249E8">
              <w:rPr>
                <w:rFonts w:ascii="Arial" w:hAnsi="Arial" w:cs="Arial"/>
              </w:rPr>
              <w:t>The study employed a split-plot design with three replications. Different rates of inorganic N fertilizer were assigned as the main plot factor, including N0%, N25%, N50%, N75%, and N100%, based on the recommended N rate of 102 kg ha</w:t>
            </w:r>
            <w:r w:rsidR="007723C2" w:rsidRPr="004249E8">
              <w:rPr>
                <w:rFonts w:ascii="Arial" w:hAnsi="Arial" w:cs="Arial"/>
                <w:vertAlign w:val="superscript"/>
              </w:rPr>
              <w:t>-1</w:t>
            </w:r>
            <w:r w:rsidR="007723C2" w:rsidRPr="004249E8">
              <w:rPr>
                <w:rFonts w:ascii="Arial" w:hAnsi="Arial" w:cs="Arial"/>
              </w:rPr>
              <w:t xml:space="preserve">. GM crops served as the subplot factor, which included no GM (G0), rice bean (GRB), </w:t>
            </w:r>
            <w:proofErr w:type="spellStart"/>
            <w:r w:rsidR="007723C2" w:rsidRPr="004249E8">
              <w:rPr>
                <w:rFonts w:ascii="Arial" w:hAnsi="Arial" w:cs="Arial"/>
              </w:rPr>
              <w:t>sunn</w:t>
            </w:r>
            <w:proofErr w:type="spellEnd"/>
            <w:r w:rsidR="007723C2" w:rsidRPr="004249E8">
              <w:rPr>
                <w:rFonts w:ascii="Arial" w:hAnsi="Arial" w:cs="Arial"/>
              </w:rPr>
              <w:t xml:space="preserve"> hemp (GSH), and </w:t>
            </w:r>
            <w:proofErr w:type="spellStart"/>
            <w:r w:rsidR="007723C2" w:rsidRPr="004249E8">
              <w:rPr>
                <w:rFonts w:ascii="Arial" w:hAnsi="Arial" w:cs="Arial"/>
              </w:rPr>
              <w:t>dahincha</w:t>
            </w:r>
            <w:proofErr w:type="spellEnd"/>
            <w:r w:rsidR="007723C2" w:rsidRPr="004249E8">
              <w:rPr>
                <w:rFonts w:ascii="Arial" w:hAnsi="Arial" w:cs="Arial"/>
              </w:rPr>
              <w:t xml:space="preserve"> (GDC). GMs were cultivated and incorporated into the soil at the time of flowering, followed by rice cultivation.</w:t>
            </w:r>
          </w:p>
          <w:p w14:paraId="2A3C7B38" w14:textId="5092EEA4" w:rsidR="00BA1B01" w:rsidRPr="004249E8" w:rsidRDefault="00BA1B01" w:rsidP="00441B6F">
            <w:pPr>
              <w:pStyle w:val="Body"/>
              <w:spacing w:after="0"/>
              <w:rPr>
                <w:rFonts w:ascii="Arial" w:eastAsia="Calibri" w:hAnsi="Arial" w:cs="Arial"/>
                <w:b/>
                <w:bCs/>
              </w:rPr>
            </w:pPr>
            <w:r w:rsidRPr="004249E8">
              <w:rPr>
                <w:rFonts w:ascii="Arial" w:eastAsia="Calibri" w:hAnsi="Arial" w:cs="Arial"/>
                <w:b/>
                <w:bCs/>
              </w:rPr>
              <w:t>Results:</w:t>
            </w:r>
            <w:r w:rsidRPr="004249E8">
              <w:rPr>
                <w:rFonts w:ascii="Arial" w:eastAsia="Calibri" w:hAnsi="Arial" w:cs="Arial"/>
              </w:rPr>
              <w:t xml:space="preserve"> </w:t>
            </w:r>
            <w:r w:rsidR="007723C2" w:rsidRPr="004249E8">
              <w:rPr>
                <w:rFonts w:ascii="Arial" w:hAnsi="Arial" w:cs="Arial"/>
              </w:rPr>
              <w:t>The results indicated that the N100% yielded the highest dry matter, N uptake, N use efficiency, and rice yield. Among the GM treatments, GSH performed the best. The combination of GSH with N100% achieved the highest N use efficiency and rice yield. Similarly, GSH combined with N75% resulted in greater dry matter, higher N uptake, N use efficiency, and yields compared to GRB or GDC combined with N75%, N100%, or the inorganic N treatment alone. Over two years, soil nutrient contents such as total N (%), available phosphorus (ppm), available potassium (ppm), and organic carbon (%) all increased</w:t>
            </w:r>
            <w:r w:rsidRPr="004249E8">
              <w:rPr>
                <w:rFonts w:ascii="Arial" w:eastAsia="Calibri" w:hAnsi="Arial" w:cs="Arial"/>
              </w:rPr>
              <w:t>.</w:t>
            </w:r>
          </w:p>
          <w:p w14:paraId="2E53955C" w14:textId="44939B3B" w:rsidR="00505F06" w:rsidRPr="004249E8" w:rsidRDefault="00BA1B01" w:rsidP="00441B6F">
            <w:pPr>
              <w:pStyle w:val="Body"/>
              <w:spacing w:after="0"/>
              <w:rPr>
                <w:rFonts w:ascii="Arial" w:eastAsia="Calibri" w:hAnsi="Arial" w:cs="Arial"/>
              </w:rPr>
            </w:pPr>
            <w:r w:rsidRPr="004249E8">
              <w:rPr>
                <w:rFonts w:ascii="Arial" w:eastAsia="Calibri" w:hAnsi="Arial" w:cs="Arial"/>
                <w:b/>
                <w:bCs/>
              </w:rPr>
              <w:t>Conclusion:</w:t>
            </w:r>
            <w:r w:rsidRPr="004249E8">
              <w:rPr>
                <w:rFonts w:ascii="Arial" w:eastAsia="Calibri" w:hAnsi="Arial" w:cs="Arial"/>
              </w:rPr>
              <w:t xml:space="preserve"> </w:t>
            </w:r>
            <w:r w:rsidR="004249E8" w:rsidRPr="004249E8">
              <w:rPr>
                <w:rFonts w:ascii="Arial" w:eastAsia="Calibri" w:hAnsi="Arial" w:cs="Arial"/>
              </w:rPr>
              <w:t>C</w:t>
            </w:r>
            <w:r w:rsidR="007723C2" w:rsidRPr="004249E8">
              <w:rPr>
                <w:rFonts w:ascii="Arial" w:hAnsi="Arial" w:cs="Arial"/>
              </w:rPr>
              <w:t xml:space="preserve">ombining </w:t>
            </w:r>
            <w:proofErr w:type="spellStart"/>
            <w:r w:rsidR="007723C2" w:rsidRPr="004249E8">
              <w:rPr>
                <w:rFonts w:ascii="Arial" w:hAnsi="Arial" w:cs="Arial"/>
              </w:rPr>
              <w:t>sunn</w:t>
            </w:r>
            <w:proofErr w:type="spellEnd"/>
            <w:r w:rsidR="007723C2" w:rsidRPr="004249E8">
              <w:rPr>
                <w:rFonts w:ascii="Arial" w:hAnsi="Arial" w:cs="Arial"/>
              </w:rPr>
              <w:t xml:space="preserve"> hemp (GSH) with either 75% or 100% of the recommended inorganic N enhanced soil nutrient content, dry matter, N uptake, N use efficiency, and rice yield. Furthermore, reducing the use of inorganic N fertilizers by 25% can lower rice production costs, mitigate environmental pollution, and improve both soil health and rice production in the long term.</w:t>
            </w:r>
          </w:p>
        </w:tc>
      </w:tr>
    </w:tbl>
    <w:p w14:paraId="25AE6600" w14:textId="77777777" w:rsidR="00636EB2" w:rsidRPr="004249E8" w:rsidRDefault="00636EB2" w:rsidP="00441B6F">
      <w:pPr>
        <w:pStyle w:val="Body"/>
        <w:spacing w:after="0"/>
        <w:rPr>
          <w:rFonts w:ascii="Arial" w:hAnsi="Arial" w:cs="Arial"/>
          <w:i/>
        </w:rPr>
      </w:pPr>
    </w:p>
    <w:p w14:paraId="43FA2670" w14:textId="2A40975A" w:rsidR="00790ADA" w:rsidRPr="004249E8" w:rsidRDefault="00A24E7E" w:rsidP="004249E8">
      <w:pPr>
        <w:ind w:left="1080" w:hanging="1080"/>
        <w:jc w:val="both"/>
        <w:rPr>
          <w:rFonts w:ascii="Arial" w:hAnsi="Arial" w:cs="Arial"/>
          <w:i/>
          <w:iCs/>
        </w:rPr>
      </w:pPr>
      <w:r w:rsidRPr="004249E8">
        <w:rPr>
          <w:rFonts w:ascii="Arial" w:hAnsi="Arial" w:cs="Arial"/>
          <w:i/>
        </w:rPr>
        <w:t xml:space="preserve">Keywords: </w:t>
      </w:r>
      <w:r w:rsidR="004249E8" w:rsidRPr="004249E8">
        <w:rPr>
          <w:rFonts w:ascii="Arial" w:hAnsi="Arial" w:cs="Arial"/>
          <w:i/>
          <w:iCs/>
        </w:rPr>
        <w:t>Green manure, inorganic N fertilizer, N uptake, N use efficiency, Dry matter, Yield, Rice</w:t>
      </w:r>
    </w:p>
    <w:p w14:paraId="738297D0" w14:textId="77777777" w:rsidR="004249E8" w:rsidRPr="004249E8" w:rsidRDefault="004249E8" w:rsidP="004249E8">
      <w:pPr>
        <w:ind w:left="1080" w:hanging="1080"/>
        <w:jc w:val="both"/>
        <w:rPr>
          <w:rFonts w:ascii="Times New Roman" w:hAnsi="Times New Roman"/>
          <w:sz w:val="24"/>
          <w:szCs w:val="24"/>
        </w:rPr>
      </w:pPr>
    </w:p>
    <w:p w14:paraId="0B6E20EF" w14:textId="77777777" w:rsidR="00505F06" w:rsidRPr="00A24E7E" w:rsidRDefault="00505F06" w:rsidP="00441B6F">
      <w:pPr>
        <w:pStyle w:val="Body"/>
        <w:spacing w:after="0"/>
        <w:rPr>
          <w:rFonts w:ascii="Arial" w:hAnsi="Arial" w:cs="Arial"/>
          <w:i/>
        </w:rPr>
      </w:pPr>
    </w:p>
    <w:p w14:paraId="1AF22893" w14:textId="162247A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70B4846" w14:textId="77777777" w:rsidR="00790ADA" w:rsidRPr="00FB3A86" w:rsidRDefault="00790ADA" w:rsidP="00441B6F">
      <w:pPr>
        <w:pStyle w:val="AbstHead"/>
        <w:spacing w:after="0"/>
        <w:jc w:val="both"/>
        <w:rPr>
          <w:rFonts w:ascii="Arial" w:hAnsi="Arial" w:cs="Arial"/>
        </w:rPr>
      </w:pPr>
    </w:p>
    <w:p w14:paraId="2E1766F8" w14:textId="77777777" w:rsidR="004249E8" w:rsidRPr="004249E8" w:rsidRDefault="004249E8" w:rsidP="004249E8">
      <w:pPr>
        <w:pStyle w:val="Body"/>
        <w:spacing w:after="0"/>
        <w:ind w:firstLine="720"/>
        <w:rPr>
          <w:rFonts w:ascii="Arial" w:hAnsi="Arial" w:cs="Arial"/>
        </w:rPr>
      </w:pPr>
      <w:r w:rsidRPr="004249E8">
        <w:rPr>
          <w:rFonts w:ascii="Arial" w:hAnsi="Arial" w:cs="Arial"/>
        </w:rPr>
        <w:t>Rice is a staple food for more than 50% of the world's population (</w:t>
      </w:r>
      <w:proofErr w:type="spellStart"/>
      <w:r w:rsidRPr="004249E8">
        <w:rPr>
          <w:rFonts w:ascii="Arial" w:hAnsi="Arial" w:cs="Arial"/>
        </w:rPr>
        <w:t>Fageria</w:t>
      </w:r>
      <w:proofErr w:type="spellEnd"/>
      <w:r w:rsidRPr="004249E8">
        <w:rPr>
          <w:rFonts w:ascii="Arial" w:hAnsi="Arial" w:cs="Arial"/>
        </w:rPr>
        <w:t xml:space="preserve"> et al., 2010). As people's living standards improve and awareness of food safety and health increases, rice consumption has shifted from merely addressing food shortages to also focusing on its nutritional quality (</w:t>
      </w:r>
      <w:proofErr w:type="spellStart"/>
      <w:r w:rsidRPr="004249E8">
        <w:rPr>
          <w:rFonts w:ascii="Arial" w:hAnsi="Arial" w:cs="Arial"/>
        </w:rPr>
        <w:t>Gizaw</w:t>
      </w:r>
      <w:proofErr w:type="spellEnd"/>
      <w:r w:rsidRPr="004249E8">
        <w:rPr>
          <w:rFonts w:ascii="Arial" w:hAnsi="Arial" w:cs="Arial"/>
        </w:rPr>
        <w:t xml:space="preserve">, 2019; </w:t>
      </w:r>
      <w:proofErr w:type="spellStart"/>
      <w:r w:rsidRPr="004249E8">
        <w:rPr>
          <w:rFonts w:ascii="Arial" w:hAnsi="Arial" w:cs="Arial"/>
        </w:rPr>
        <w:t>Mridha</w:t>
      </w:r>
      <w:proofErr w:type="spellEnd"/>
      <w:r w:rsidRPr="004249E8">
        <w:rPr>
          <w:rFonts w:ascii="Arial" w:hAnsi="Arial" w:cs="Arial"/>
        </w:rPr>
        <w:t xml:space="preserve"> et al., 2022). </w:t>
      </w:r>
    </w:p>
    <w:p w14:paraId="52D60E8F" w14:textId="5B2D6B21" w:rsidR="004249E8" w:rsidRPr="004249E8" w:rsidRDefault="004249E8" w:rsidP="004249E8">
      <w:pPr>
        <w:pStyle w:val="Body"/>
        <w:spacing w:after="0"/>
        <w:ind w:firstLine="720"/>
        <w:rPr>
          <w:rFonts w:ascii="Arial" w:hAnsi="Arial" w:cs="Arial"/>
        </w:rPr>
      </w:pPr>
      <w:r w:rsidRPr="004249E8">
        <w:rPr>
          <w:rFonts w:ascii="Arial" w:hAnsi="Arial" w:cs="Arial"/>
        </w:rPr>
        <w:t>In recent years, consumer interest in organic foods has increased, leading to a greater emphasis on using organic manure as a sustainable source of plant nutrients. This approach not only produces high-quality food grains but also enhances soil health for future generations (Vineela et al., 2024). However, the quest for higher crop yields through intensive farming and the use of modern rice varieties can deplete soil fertility. Intensive agricultural practices using inorganic</w:t>
      </w:r>
      <w:r>
        <w:rPr>
          <w:rFonts w:ascii="Arial" w:hAnsi="Arial" w:cs="Arial"/>
        </w:rPr>
        <w:t xml:space="preserve"> </w:t>
      </w:r>
      <w:r w:rsidRPr="004249E8">
        <w:rPr>
          <w:rFonts w:ascii="Arial" w:hAnsi="Arial" w:cs="Arial"/>
        </w:rPr>
        <w:t>fertilizers alone may result in nutrient deficiencies due to increased cropping intensity, reduced organic matter inputs, high rainfall, soil erosion, and nutrient leaching. Furthermore, the rapid decomposition of organic matter and inadequate additions of organic material can lead to low soil organic content (</w:t>
      </w:r>
      <w:proofErr w:type="spellStart"/>
      <w:r w:rsidRPr="004249E8">
        <w:rPr>
          <w:rFonts w:ascii="Arial" w:hAnsi="Arial" w:cs="Arial"/>
        </w:rPr>
        <w:t>Safiqul</w:t>
      </w:r>
      <w:proofErr w:type="spellEnd"/>
      <w:r w:rsidRPr="004249E8">
        <w:rPr>
          <w:rFonts w:ascii="Arial" w:hAnsi="Arial" w:cs="Arial"/>
        </w:rPr>
        <w:t xml:space="preserve"> Islam et al., 2015).</w:t>
      </w:r>
    </w:p>
    <w:p w14:paraId="78F97550" w14:textId="77777777" w:rsidR="004249E8" w:rsidRPr="004249E8" w:rsidRDefault="004249E8" w:rsidP="004249E8">
      <w:pPr>
        <w:pStyle w:val="Body"/>
        <w:spacing w:after="0"/>
        <w:ind w:firstLine="720"/>
        <w:rPr>
          <w:rFonts w:ascii="Arial" w:hAnsi="Arial" w:cs="Arial"/>
        </w:rPr>
      </w:pPr>
      <w:r w:rsidRPr="004249E8">
        <w:rPr>
          <w:rFonts w:ascii="Arial" w:hAnsi="Arial" w:cs="Arial"/>
        </w:rPr>
        <w:t xml:space="preserve">Organic materials are essential for maintaining and improving soil fertility, which ultimately results in higher crop yields. The application of organic manure benefits subsequent crops by leaving residual nutrients in the soil. Various </w:t>
      </w:r>
      <w:r w:rsidRPr="004249E8">
        <w:rPr>
          <w:rFonts w:ascii="Arial" w:hAnsi="Arial" w:cs="Arial"/>
        </w:rPr>
        <w:lastRenderedPageBreak/>
        <w:t>organic sources, such as farmyard manure, vermicompost, poultry manure, green manures, neem cake, and biofertilizers, play crucial roles in the organic cultivation of crops.</w:t>
      </w:r>
    </w:p>
    <w:p w14:paraId="15167773" w14:textId="77777777" w:rsidR="004249E8" w:rsidRPr="004249E8" w:rsidRDefault="004249E8" w:rsidP="004249E8">
      <w:pPr>
        <w:pStyle w:val="Body"/>
        <w:spacing w:after="0"/>
        <w:ind w:firstLine="720"/>
        <w:rPr>
          <w:rFonts w:ascii="Arial" w:hAnsi="Arial" w:cs="Arial"/>
        </w:rPr>
      </w:pPr>
      <w:r w:rsidRPr="004249E8">
        <w:rPr>
          <w:rFonts w:ascii="Arial" w:hAnsi="Arial" w:cs="Arial"/>
        </w:rPr>
        <w:t>Cultivating green manure (GM) as an alternative to organic manure in agroecosystems offers a practical solution for reducing excessive N fertilizer use (Zhang et al., 2016) while also enhancing rice production (Lee et al., 2010; Zhu et al., 2012). Growing GM crops and incorporating them into the soil can help decrease reliance on synthetic N fertilizers and improve the productivity of subsequent crops (Liu et al., 2017). Although the use of green manure alone can promote soil fertility, it may not significantly increase rice yields on its own. Therefore, it is essential to combine green manure with N fertilizers to further boost rice yields, enhance N availability, and improve the uptake of potassium (K) and phosphorus (P), ultimately increasing the nutrient absorption capacity of rice plants (Tiwari et al., 1980).</w:t>
      </w:r>
    </w:p>
    <w:p w14:paraId="3652EA18" w14:textId="297759AB" w:rsidR="004249E8" w:rsidRDefault="004249E8" w:rsidP="004249E8">
      <w:pPr>
        <w:pStyle w:val="Body"/>
        <w:spacing w:after="0"/>
        <w:ind w:firstLine="720"/>
        <w:rPr>
          <w:rFonts w:ascii="Arial" w:hAnsi="Arial" w:cs="Arial"/>
        </w:rPr>
      </w:pPr>
      <w:r w:rsidRPr="004249E8">
        <w:rPr>
          <w:rFonts w:ascii="Arial" w:hAnsi="Arial" w:cs="Arial"/>
        </w:rPr>
        <w:t>In this study, we cultivated and incorporated three types of green manure crops such as rice bean (</w:t>
      </w:r>
      <w:r w:rsidRPr="004249E8">
        <w:rPr>
          <w:rFonts w:ascii="Arial" w:hAnsi="Arial" w:cs="Arial"/>
          <w:i/>
          <w:iCs/>
        </w:rPr>
        <w:t xml:space="preserve">Vigna </w:t>
      </w:r>
      <w:proofErr w:type="spellStart"/>
      <w:r w:rsidRPr="004249E8">
        <w:rPr>
          <w:rFonts w:ascii="Arial" w:hAnsi="Arial" w:cs="Arial"/>
          <w:i/>
          <w:iCs/>
        </w:rPr>
        <w:t>umbellata</w:t>
      </w:r>
      <w:proofErr w:type="spellEnd"/>
      <w:r w:rsidRPr="004249E8">
        <w:rPr>
          <w:rFonts w:ascii="Arial" w:hAnsi="Arial" w:cs="Arial"/>
        </w:rPr>
        <w:t xml:space="preserve">), </w:t>
      </w:r>
      <w:proofErr w:type="spellStart"/>
      <w:r w:rsidRPr="004249E8">
        <w:rPr>
          <w:rFonts w:ascii="Arial" w:hAnsi="Arial" w:cs="Arial"/>
        </w:rPr>
        <w:t>sunn</w:t>
      </w:r>
      <w:proofErr w:type="spellEnd"/>
      <w:r w:rsidRPr="004249E8">
        <w:rPr>
          <w:rFonts w:ascii="Arial" w:hAnsi="Arial" w:cs="Arial"/>
        </w:rPr>
        <w:t xml:space="preserve"> hemp (</w:t>
      </w:r>
      <w:r w:rsidRPr="004249E8">
        <w:rPr>
          <w:rFonts w:ascii="Arial" w:hAnsi="Arial" w:cs="Arial"/>
          <w:i/>
          <w:iCs/>
        </w:rPr>
        <w:t>Crotalaria j</w:t>
      </w:r>
      <w:r w:rsidRPr="004249E8">
        <w:rPr>
          <w:rFonts w:ascii="Arial" w:hAnsi="Arial" w:cs="Arial"/>
        </w:rPr>
        <w:t xml:space="preserve">uncea L.), and </w:t>
      </w:r>
      <w:proofErr w:type="spellStart"/>
      <w:r w:rsidRPr="004249E8">
        <w:rPr>
          <w:rFonts w:ascii="Arial" w:hAnsi="Arial" w:cs="Arial"/>
        </w:rPr>
        <w:t>dhaincha</w:t>
      </w:r>
      <w:proofErr w:type="spellEnd"/>
      <w:r w:rsidRPr="004249E8">
        <w:rPr>
          <w:rFonts w:ascii="Arial" w:hAnsi="Arial" w:cs="Arial"/>
        </w:rPr>
        <w:t xml:space="preserve"> (</w:t>
      </w:r>
      <w:proofErr w:type="spellStart"/>
      <w:r w:rsidRPr="004249E8">
        <w:rPr>
          <w:rFonts w:ascii="Arial" w:hAnsi="Arial" w:cs="Arial"/>
          <w:i/>
          <w:iCs/>
        </w:rPr>
        <w:t>Sesbania</w:t>
      </w:r>
      <w:proofErr w:type="spellEnd"/>
      <w:r w:rsidRPr="004249E8">
        <w:rPr>
          <w:rFonts w:ascii="Arial" w:hAnsi="Arial" w:cs="Arial"/>
          <w:i/>
          <w:iCs/>
        </w:rPr>
        <w:t xml:space="preserve"> </w:t>
      </w:r>
      <w:proofErr w:type="spellStart"/>
      <w:r w:rsidRPr="004249E8">
        <w:rPr>
          <w:rFonts w:ascii="Arial" w:hAnsi="Arial" w:cs="Arial"/>
          <w:i/>
          <w:iCs/>
        </w:rPr>
        <w:t>bispinosa</w:t>
      </w:r>
      <w:proofErr w:type="spellEnd"/>
      <w:r w:rsidRPr="004249E8">
        <w:rPr>
          <w:rFonts w:ascii="Arial" w:hAnsi="Arial" w:cs="Arial"/>
        </w:rPr>
        <w:t xml:space="preserve"> (Jacq.)), before planting Sinn-</w:t>
      </w:r>
      <w:proofErr w:type="spellStart"/>
      <w:r w:rsidRPr="004249E8">
        <w:rPr>
          <w:rFonts w:ascii="Arial" w:hAnsi="Arial" w:cs="Arial"/>
        </w:rPr>
        <w:t>thu</w:t>
      </w:r>
      <w:proofErr w:type="spellEnd"/>
      <w:r w:rsidRPr="004249E8">
        <w:rPr>
          <w:rFonts w:ascii="Arial" w:hAnsi="Arial" w:cs="Arial"/>
        </w:rPr>
        <w:t>-kha rice (</w:t>
      </w:r>
      <w:r w:rsidRPr="004249E8">
        <w:rPr>
          <w:rFonts w:ascii="Arial" w:hAnsi="Arial" w:cs="Arial"/>
          <w:i/>
          <w:iCs/>
        </w:rPr>
        <w:t>Oryza sativa</w:t>
      </w:r>
      <w:r w:rsidRPr="004249E8">
        <w:rPr>
          <w:rFonts w:ascii="Arial" w:hAnsi="Arial" w:cs="Arial"/>
        </w:rPr>
        <w:t xml:space="preserve"> L.), a high-yielding indica variety from Myanmar that matures in approximately 140 days. The aim of this study is to evaluate the effects of GMs on N uptake, N use efficiency, and rice yield, and compare the effects of GMs and </w:t>
      </w:r>
      <w:r>
        <w:rPr>
          <w:rFonts w:ascii="Arial" w:hAnsi="Arial" w:cs="Arial"/>
        </w:rPr>
        <w:t xml:space="preserve">inorganic </w:t>
      </w:r>
      <w:r w:rsidRPr="004249E8">
        <w:rPr>
          <w:rFonts w:ascii="Arial" w:hAnsi="Arial" w:cs="Arial"/>
        </w:rPr>
        <w:t xml:space="preserve">N fertilizers on soil nutrient changes under field conditions, with the goal of optimizing </w:t>
      </w:r>
      <w:r>
        <w:rPr>
          <w:rFonts w:ascii="Arial" w:hAnsi="Arial" w:cs="Arial"/>
        </w:rPr>
        <w:t xml:space="preserve">inorganic </w:t>
      </w:r>
      <w:r w:rsidRPr="004249E8">
        <w:rPr>
          <w:rFonts w:ascii="Arial" w:hAnsi="Arial" w:cs="Arial"/>
        </w:rPr>
        <w:t>N fertilizer doses combined with GMs to enhance soil properties and achieve sustainable rice yields.</w:t>
      </w:r>
    </w:p>
    <w:p w14:paraId="7A4B01F4" w14:textId="77777777" w:rsidR="00790ADA" w:rsidRPr="00FB3A86" w:rsidRDefault="00790ADA" w:rsidP="00441B6F">
      <w:pPr>
        <w:pStyle w:val="Body"/>
        <w:spacing w:after="0"/>
        <w:rPr>
          <w:rFonts w:ascii="Arial" w:hAnsi="Arial" w:cs="Arial"/>
        </w:rPr>
      </w:pPr>
    </w:p>
    <w:p w14:paraId="2A96ECA5" w14:textId="3900BE12"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7B014B48" w14:textId="77777777" w:rsidR="00790ADA" w:rsidRPr="00FB3A86" w:rsidRDefault="00790ADA" w:rsidP="00441B6F">
      <w:pPr>
        <w:pStyle w:val="AbstHead"/>
        <w:spacing w:after="0"/>
        <w:jc w:val="both"/>
        <w:rPr>
          <w:rFonts w:ascii="Arial" w:hAnsi="Arial" w:cs="Arial"/>
        </w:rPr>
      </w:pPr>
    </w:p>
    <w:p w14:paraId="265230C7" w14:textId="79C11F1D" w:rsidR="0071688A" w:rsidRPr="0071688A" w:rsidRDefault="0071688A" w:rsidP="0071688A">
      <w:pPr>
        <w:pStyle w:val="Body"/>
        <w:spacing w:after="0"/>
        <w:rPr>
          <w:rFonts w:ascii="Arial" w:hAnsi="Arial" w:cs="Arial"/>
          <w:b/>
          <w:caps/>
          <w:sz w:val="22"/>
        </w:rPr>
      </w:pPr>
      <w:r>
        <w:rPr>
          <w:rFonts w:ascii="Arial" w:hAnsi="Arial" w:cs="Arial"/>
          <w:b/>
          <w:sz w:val="22"/>
        </w:rPr>
        <w:t>2.1 E</w:t>
      </w:r>
      <w:r w:rsidRPr="0071688A">
        <w:rPr>
          <w:rFonts w:ascii="Arial" w:hAnsi="Arial" w:cs="Arial"/>
          <w:b/>
          <w:sz w:val="22"/>
        </w:rPr>
        <w:t>xperimental site, design, and treatments</w:t>
      </w:r>
    </w:p>
    <w:p w14:paraId="5E385964" w14:textId="33F85CFD" w:rsidR="0071688A" w:rsidRPr="0071688A" w:rsidRDefault="0071688A" w:rsidP="0071688A">
      <w:pPr>
        <w:pStyle w:val="Body"/>
        <w:spacing w:after="0"/>
        <w:rPr>
          <w:rFonts w:ascii="Arial" w:hAnsi="Arial" w:cs="Arial"/>
        </w:rPr>
      </w:pPr>
      <w:r w:rsidRPr="0071688A">
        <w:rPr>
          <w:rFonts w:ascii="Arial" w:hAnsi="Arial" w:cs="Arial"/>
        </w:rPr>
        <w:t xml:space="preserve"> </w:t>
      </w:r>
      <w:r w:rsidRPr="0071688A">
        <w:rPr>
          <w:rFonts w:ascii="Arial" w:hAnsi="Arial" w:cs="Arial"/>
        </w:rPr>
        <w:tab/>
        <w:t>The experiments were designed as a split-plot arrangement with three replications, conducted at the Department of Agronomy, Yezin Agricultural University, from December to June during the summer and monsoon seasons of 2023 and 2024.</w:t>
      </w:r>
      <w:r w:rsidR="00D00205">
        <w:rPr>
          <w:rFonts w:ascii="Arial" w:hAnsi="Arial" w:cs="Arial"/>
        </w:rPr>
        <w:t xml:space="preserve"> </w:t>
      </w:r>
      <w:r w:rsidRPr="0071688A">
        <w:rPr>
          <w:rFonts w:ascii="Arial" w:hAnsi="Arial" w:cs="Arial"/>
        </w:rPr>
        <w:t>Inorganic N fertilizer rates were applied as main plots at five levels: 0%, 25%, 50%, 75%, and 100%, based on a recommended rate of 102 kg N ha</w:t>
      </w:r>
      <w:r w:rsidRPr="0071688A">
        <w:rPr>
          <w:rFonts w:ascii="Cambria Math" w:hAnsi="Cambria Math" w:cs="Cambria Math"/>
        </w:rPr>
        <w:t>⁻</w:t>
      </w:r>
      <w:r w:rsidRPr="0071688A">
        <w:rPr>
          <w:rFonts w:ascii="Arial" w:hAnsi="Arial" w:cs="Arial"/>
        </w:rPr>
        <w:t>¹. Phosphorus (P) at 27 kg ha</w:t>
      </w:r>
      <w:r w:rsidRPr="0071688A">
        <w:rPr>
          <w:rFonts w:ascii="Cambria Math" w:hAnsi="Cambria Math" w:cs="Cambria Math"/>
        </w:rPr>
        <w:t>⁻</w:t>
      </w:r>
      <w:r w:rsidRPr="0071688A">
        <w:rPr>
          <w:rFonts w:ascii="Arial" w:hAnsi="Arial" w:cs="Arial"/>
        </w:rPr>
        <w:t>¹ and potassium (K) at 117 kg ha</w:t>
      </w:r>
      <w:r w:rsidRPr="0071688A">
        <w:rPr>
          <w:rFonts w:ascii="Cambria Math" w:hAnsi="Cambria Math" w:cs="Cambria Math"/>
        </w:rPr>
        <w:t>⁻</w:t>
      </w:r>
      <w:r w:rsidRPr="0071688A">
        <w:rPr>
          <w:rFonts w:ascii="Arial" w:hAnsi="Arial" w:cs="Arial"/>
        </w:rPr>
        <w:t>¹ were applied uniformly across all plots. The inorganic</w:t>
      </w:r>
      <w:r w:rsidR="00D00205">
        <w:rPr>
          <w:rFonts w:ascii="Arial" w:hAnsi="Arial" w:cs="Arial"/>
        </w:rPr>
        <w:t xml:space="preserve"> </w:t>
      </w:r>
      <w:r w:rsidRPr="0071688A">
        <w:rPr>
          <w:rFonts w:ascii="Arial" w:hAnsi="Arial" w:cs="Arial"/>
        </w:rPr>
        <w:t>fertilizers included urea for N and muriate of potash for potassium (K</w:t>
      </w:r>
      <w:r w:rsidRPr="0071688A">
        <w:rPr>
          <w:rFonts w:ascii="Cambria Math" w:hAnsi="Cambria Math" w:cs="Cambria Math"/>
        </w:rPr>
        <w:t>₂</w:t>
      </w:r>
      <w:r w:rsidRPr="0071688A">
        <w:rPr>
          <w:rFonts w:ascii="Arial" w:hAnsi="Arial" w:cs="Arial"/>
        </w:rPr>
        <w:t>O). These fertilizers were applied in three equal splits: one-third was applied at the basal stage before transplanting, another third at the active tillering stage, and the final third at the panicle initiation stage. The full amount of triple superphosphate (for P</w:t>
      </w:r>
      <w:r w:rsidRPr="0071688A">
        <w:rPr>
          <w:rFonts w:ascii="Cambria Math" w:hAnsi="Cambria Math" w:cs="Cambria Math"/>
        </w:rPr>
        <w:t>₂</w:t>
      </w:r>
      <w:r w:rsidRPr="0071688A">
        <w:rPr>
          <w:rFonts w:ascii="Arial" w:hAnsi="Arial" w:cs="Arial"/>
        </w:rPr>
        <w:t>O</w:t>
      </w:r>
      <w:r w:rsidRPr="0071688A">
        <w:rPr>
          <w:rFonts w:ascii="Cambria Math" w:hAnsi="Cambria Math" w:cs="Cambria Math"/>
        </w:rPr>
        <w:t>₅</w:t>
      </w:r>
      <w:r w:rsidRPr="0071688A">
        <w:rPr>
          <w:rFonts w:ascii="Arial" w:hAnsi="Arial" w:cs="Arial"/>
        </w:rPr>
        <w:t>) was applied as a basal dose.</w:t>
      </w:r>
    </w:p>
    <w:p w14:paraId="32CA48EA" w14:textId="583CEB92" w:rsidR="0071688A" w:rsidRPr="0071688A" w:rsidRDefault="0071688A" w:rsidP="00D00205">
      <w:pPr>
        <w:pStyle w:val="Body"/>
        <w:spacing w:after="0"/>
        <w:ind w:firstLine="720"/>
        <w:rPr>
          <w:rFonts w:ascii="Arial" w:hAnsi="Arial" w:cs="Arial"/>
        </w:rPr>
      </w:pPr>
      <w:r w:rsidRPr="0071688A">
        <w:rPr>
          <w:rFonts w:ascii="Arial" w:hAnsi="Arial" w:cs="Arial"/>
        </w:rPr>
        <w:t>In this study, four GM treatments were employed: G0 (no green manure), GRB (rice bean), GSH (</w:t>
      </w:r>
      <w:proofErr w:type="spellStart"/>
      <w:r w:rsidRPr="0071688A">
        <w:rPr>
          <w:rFonts w:ascii="Arial" w:hAnsi="Arial" w:cs="Arial"/>
        </w:rPr>
        <w:t>sunn</w:t>
      </w:r>
      <w:proofErr w:type="spellEnd"/>
      <w:r w:rsidRPr="0071688A">
        <w:rPr>
          <w:rFonts w:ascii="Arial" w:hAnsi="Arial" w:cs="Arial"/>
        </w:rPr>
        <w:t xml:space="preserve"> hemp), and GDC (</w:t>
      </w:r>
      <w:proofErr w:type="spellStart"/>
      <w:r w:rsidRPr="0071688A">
        <w:rPr>
          <w:rFonts w:ascii="Arial" w:hAnsi="Arial" w:cs="Arial"/>
        </w:rPr>
        <w:t>dhaincha</w:t>
      </w:r>
      <w:proofErr w:type="spellEnd"/>
      <w:r w:rsidRPr="0071688A">
        <w:rPr>
          <w:rFonts w:ascii="Arial" w:hAnsi="Arial" w:cs="Arial"/>
        </w:rPr>
        <w:t>), which were assigned as sub-plots. Initially, different GM seeds were sown at a rate of 60 g</w:t>
      </w:r>
      <w:r w:rsidR="00D00205">
        <w:rPr>
          <w:rFonts w:ascii="Arial" w:hAnsi="Arial" w:cs="Arial"/>
        </w:rPr>
        <w:t xml:space="preserve"> </w:t>
      </w:r>
      <w:r w:rsidRPr="0071688A">
        <w:rPr>
          <w:rFonts w:ascii="Arial" w:hAnsi="Arial" w:cs="Arial"/>
        </w:rPr>
        <w:t>plot</w:t>
      </w:r>
      <w:r w:rsidR="00D00205" w:rsidRPr="00D00205">
        <w:rPr>
          <w:rFonts w:ascii="Arial" w:hAnsi="Arial" w:cs="Arial"/>
          <w:vertAlign w:val="superscript"/>
        </w:rPr>
        <w:t>-1</w:t>
      </w:r>
      <w:r w:rsidRPr="0071688A">
        <w:rPr>
          <w:rFonts w:ascii="Arial" w:hAnsi="Arial" w:cs="Arial"/>
        </w:rPr>
        <w:t>, while the G0 plot (the control) remained unsown. Throughout the cultivation process, no inorganic</w:t>
      </w:r>
      <w:r w:rsidR="00D00205">
        <w:rPr>
          <w:rFonts w:ascii="Arial" w:hAnsi="Arial" w:cs="Arial"/>
        </w:rPr>
        <w:t xml:space="preserve"> </w:t>
      </w:r>
      <w:r w:rsidRPr="0071688A">
        <w:rPr>
          <w:rFonts w:ascii="Arial" w:hAnsi="Arial" w:cs="Arial"/>
        </w:rPr>
        <w:t>fertilizers were applied to accurately measure the N content of the GM plants. All plots were maintained under natural conditions without any additional interventions, such as irrigation or weeding.</w:t>
      </w:r>
    </w:p>
    <w:p w14:paraId="155C0EF4" w14:textId="334637CA" w:rsidR="0071688A" w:rsidRPr="0071688A" w:rsidRDefault="0071688A" w:rsidP="00D00205">
      <w:pPr>
        <w:pStyle w:val="Body"/>
        <w:spacing w:after="0"/>
        <w:ind w:firstLine="720"/>
        <w:rPr>
          <w:rFonts w:ascii="Arial" w:hAnsi="Arial" w:cs="Arial"/>
        </w:rPr>
      </w:pPr>
      <w:r w:rsidRPr="0071688A">
        <w:rPr>
          <w:rFonts w:ascii="Arial" w:hAnsi="Arial" w:cs="Arial"/>
        </w:rPr>
        <w:t>The green manures were harvested at the flowering stage. The amounts of each GM incorporated, both fresh weight and dry weight, are shown in Table 1. The inorganic</w:t>
      </w:r>
      <w:r w:rsidR="00D00205">
        <w:rPr>
          <w:rFonts w:ascii="Arial" w:hAnsi="Arial" w:cs="Arial"/>
        </w:rPr>
        <w:t xml:space="preserve"> </w:t>
      </w:r>
      <w:r w:rsidRPr="0071688A">
        <w:rPr>
          <w:rFonts w:ascii="Arial" w:hAnsi="Arial" w:cs="Arial"/>
        </w:rPr>
        <w:t>composition of each GM, including N, P</w:t>
      </w:r>
      <w:r w:rsidRPr="00D00205">
        <w:rPr>
          <w:rFonts w:ascii="Arial" w:hAnsi="Arial" w:cs="Arial"/>
          <w:vertAlign w:val="subscript"/>
        </w:rPr>
        <w:t>2</w:t>
      </w:r>
      <w:r w:rsidRPr="0071688A">
        <w:rPr>
          <w:rFonts w:ascii="Arial" w:hAnsi="Arial" w:cs="Arial"/>
        </w:rPr>
        <w:t>O</w:t>
      </w:r>
      <w:r w:rsidRPr="00D00205">
        <w:rPr>
          <w:rFonts w:ascii="Arial" w:hAnsi="Arial" w:cs="Arial"/>
          <w:vertAlign w:val="subscript"/>
        </w:rPr>
        <w:t>5</w:t>
      </w:r>
      <w:r w:rsidRPr="0071688A">
        <w:rPr>
          <w:rFonts w:ascii="Arial" w:hAnsi="Arial" w:cs="Arial"/>
        </w:rPr>
        <w:t>, K</w:t>
      </w:r>
      <w:r w:rsidRPr="00D00205">
        <w:rPr>
          <w:rFonts w:ascii="Arial" w:hAnsi="Arial" w:cs="Arial"/>
          <w:vertAlign w:val="subscript"/>
        </w:rPr>
        <w:t>2</w:t>
      </w:r>
      <w:r w:rsidRPr="0071688A">
        <w:rPr>
          <w:rFonts w:ascii="Arial" w:hAnsi="Arial" w:cs="Arial"/>
        </w:rPr>
        <w:t xml:space="preserve">O, carbon (C), and the C/N ratio, was measured (Table 2). The N content was analyzed using the Kjeldahl distillation method, while carbon was measured using a CHN analyzer (MT-5, </w:t>
      </w:r>
      <w:proofErr w:type="spellStart"/>
      <w:r w:rsidRPr="0071688A">
        <w:rPr>
          <w:rFonts w:ascii="Arial" w:hAnsi="Arial" w:cs="Arial"/>
        </w:rPr>
        <w:t>Yanaco</w:t>
      </w:r>
      <w:proofErr w:type="spellEnd"/>
      <w:r w:rsidRPr="0071688A">
        <w:rPr>
          <w:rFonts w:ascii="Arial" w:hAnsi="Arial" w:cs="Arial"/>
        </w:rPr>
        <w:t>). To determine the amounts of P</w:t>
      </w:r>
      <w:r w:rsidRPr="00D00205">
        <w:rPr>
          <w:rFonts w:ascii="Arial" w:hAnsi="Arial" w:cs="Arial"/>
          <w:vertAlign w:val="subscript"/>
        </w:rPr>
        <w:t>2</w:t>
      </w:r>
      <w:r w:rsidRPr="0071688A">
        <w:rPr>
          <w:rFonts w:ascii="Arial" w:hAnsi="Arial" w:cs="Arial"/>
        </w:rPr>
        <w:t>O</w:t>
      </w:r>
      <w:r w:rsidRPr="00D00205">
        <w:rPr>
          <w:rFonts w:ascii="Arial" w:hAnsi="Arial" w:cs="Arial"/>
          <w:vertAlign w:val="subscript"/>
        </w:rPr>
        <w:t>5</w:t>
      </w:r>
      <w:r w:rsidRPr="0071688A">
        <w:rPr>
          <w:rFonts w:ascii="Arial" w:hAnsi="Arial" w:cs="Arial"/>
        </w:rPr>
        <w:t xml:space="preserve"> and K</w:t>
      </w:r>
      <w:r w:rsidRPr="00D00205">
        <w:rPr>
          <w:rFonts w:ascii="Arial" w:hAnsi="Arial" w:cs="Arial"/>
          <w:vertAlign w:val="subscript"/>
        </w:rPr>
        <w:t>2</w:t>
      </w:r>
      <w:r w:rsidRPr="0071688A">
        <w:rPr>
          <w:rFonts w:ascii="Arial" w:hAnsi="Arial" w:cs="Arial"/>
        </w:rPr>
        <w:t>O, samples were digested separately using the Molybdenum-vanadate phosphoric acid method and the wet digestion method with nitric acid (HNO</w:t>
      </w:r>
      <w:r w:rsidRPr="00D00205">
        <w:rPr>
          <w:rFonts w:ascii="Arial" w:hAnsi="Arial" w:cs="Arial"/>
          <w:vertAlign w:val="subscript"/>
        </w:rPr>
        <w:t>3</w:t>
      </w:r>
      <w:r w:rsidRPr="0071688A">
        <w:rPr>
          <w:rFonts w:ascii="Arial" w:hAnsi="Arial" w:cs="Arial"/>
        </w:rPr>
        <w:t>), respectively (</w:t>
      </w:r>
      <w:proofErr w:type="spellStart"/>
      <w:r w:rsidRPr="0071688A">
        <w:rPr>
          <w:rFonts w:ascii="Arial" w:hAnsi="Arial" w:cs="Arial"/>
        </w:rPr>
        <w:t>Zheljazkov</w:t>
      </w:r>
      <w:proofErr w:type="spellEnd"/>
      <w:r w:rsidRPr="0071688A">
        <w:rPr>
          <w:rFonts w:ascii="Arial" w:hAnsi="Arial" w:cs="Arial"/>
        </w:rPr>
        <w:t xml:space="preserve"> &amp; Nielson, 1996). Soil preparation for rice sowing was carried out after a period of three weeks.</w:t>
      </w:r>
    </w:p>
    <w:p w14:paraId="07B6673C" w14:textId="4B038979" w:rsidR="0071688A" w:rsidRPr="00D00205" w:rsidRDefault="00D00205" w:rsidP="0071688A">
      <w:pPr>
        <w:pStyle w:val="Body"/>
        <w:spacing w:after="0"/>
        <w:rPr>
          <w:rFonts w:ascii="Arial" w:hAnsi="Arial" w:cs="Arial"/>
          <w:b/>
          <w:sz w:val="22"/>
        </w:rPr>
      </w:pPr>
      <w:r>
        <w:rPr>
          <w:rFonts w:ascii="Arial" w:hAnsi="Arial" w:cs="Arial"/>
          <w:b/>
          <w:sz w:val="22"/>
        </w:rPr>
        <w:t xml:space="preserve">2.2 </w:t>
      </w:r>
      <w:r w:rsidR="0071688A" w:rsidRPr="00D00205">
        <w:rPr>
          <w:rFonts w:ascii="Arial" w:hAnsi="Arial" w:cs="Arial"/>
          <w:b/>
          <w:sz w:val="22"/>
        </w:rPr>
        <w:t>Crop management</w:t>
      </w:r>
    </w:p>
    <w:p w14:paraId="4E0A470C" w14:textId="17B853D4" w:rsidR="0071688A" w:rsidRDefault="0071688A" w:rsidP="002539DD">
      <w:pPr>
        <w:pStyle w:val="Body"/>
        <w:spacing w:after="0"/>
        <w:ind w:firstLine="720"/>
        <w:rPr>
          <w:rFonts w:ascii="Arial" w:hAnsi="Arial" w:cs="Arial"/>
        </w:rPr>
      </w:pPr>
      <w:r w:rsidRPr="0071688A">
        <w:rPr>
          <w:rFonts w:ascii="Arial" w:hAnsi="Arial" w:cs="Arial"/>
        </w:rPr>
        <w:t>The Sinn-</w:t>
      </w:r>
      <w:proofErr w:type="spellStart"/>
      <w:r w:rsidRPr="0071688A">
        <w:rPr>
          <w:rFonts w:ascii="Arial" w:hAnsi="Arial" w:cs="Arial"/>
        </w:rPr>
        <w:t>thu</w:t>
      </w:r>
      <w:proofErr w:type="spellEnd"/>
      <w:r w:rsidRPr="0071688A">
        <w:rPr>
          <w:rFonts w:ascii="Arial" w:hAnsi="Arial" w:cs="Arial"/>
        </w:rPr>
        <w:t>-kha rice (</w:t>
      </w:r>
      <w:r w:rsidRPr="002539DD">
        <w:rPr>
          <w:rFonts w:ascii="Arial" w:hAnsi="Arial" w:cs="Arial"/>
          <w:i/>
          <w:iCs/>
        </w:rPr>
        <w:t>Oryza sativa</w:t>
      </w:r>
      <w:r w:rsidRPr="0071688A">
        <w:rPr>
          <w:rFonts w:ascii="Arial" w:hAnsi="Arial" w:cs="Arial"/>
        </w:rPr>
        <w:t xml:space="preserve"> L.) is an Indica-type, high-yielding variety from Myanmar, with a maturity period of 140 days. The cultivation process took place over four weeks in all plots with the incorporation of GMs. The process began with soaking the seeds in water for 24 hours, followed by a 48-hour incubation period. After the seeds sprouted, they were sown using the wet bed method on a well-prepared seedbed. Eighteen days later, the seedlings were transplanted with a hill spacing of 20 cm x 20 cm, with two seedlings per hill. Each plot measured 4 m x 2.5 m (10 m²). The crop was harvested approximately 120 days after transplanting.</w:t>
      </w:r>
      <w:r w:rsidR="002539DD">
        <w:rPr>
          <w:rFonts w:ascii="Arial" w:hAnsi="Arial" w:cs="Arial"/>
        </w:rPr>
        <w:t xml:space="preserve"> </w:t>
      </w:r>
      <w:r w:rsidRPr="0071688A">
        <w:rPr>
          <w:rFonts w:ascii="Arial" w:hAnsi="Arial" w:cs="Arial"/>
        </w:rPr>
        <w:t>Weeding was performed three times during the growth period, and fungicide was applied twice at specific intervals.</w:t>
      </w:r>
    </w:p>
    <w:p w14:paraId="27E9900E" w14:textId="77777777" w:rsidR="002539DD" w:rsidRDefault="002539DD" w:rsidP="002539DD">
      <w:pPr>
        <w:pStyle w:val="Body"/>
        <w:spacing w:after="0"/>
        <w:ind w:firstLine="720"/>
        <w:rPr>
          <w:rFonts w:ascii="Arial" w:hAnsi="Arial" w:cs="Arial"/>
        </w:rPr>
      </w:pPr>
    </w:p>
    <w:p w14:paraId="777A079D" w14:textId="510447AE" w:rsidR="00790ADA" w:rsidRPr="008330C3" w:rsidRDefault="0071688A" w:rsidP="0071688A">
      <w:pPr>
        <w:pStyle w:val="Body"/>
        <w:spacing w:after="0" w:line="480" w:lineRule="auto"/>
        <w:rPr>
          <w:rFonts w:ascii="Arial" w:hAnsi="Arial" w:cs="Arial"/>
          <w:b/>
          <w:bCs/>
        </w:rPr>
      </w:pPr>
      <w:r w:rsidRPr="008330C3">
        <w:rPr>
          <w:rFonts w:ascii="Arial" w:hAnsi="Arial" w:cs="Arial"/>
          <w:b/>
          <w:bCs/>
        </w:rPr>
        <w:t>Table 1 Application of inorganic N fertilizer and green manures as treatments</w:t>
      </w:r>
    </w:p>
    <w:tbl>
      <w:tblPr>
        <w:tblStyle w:val="TableGrid11"/>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1629"/>
        <w:gridCol w:w="1391"/>
        <w:gridCol w:w="1580"/>
        <w:gridCol w:w="2266"/>
        <w:gridCol w:w="2223"/>
      </w:tblGrid>
      <w:tr w:rsidR="0071688A" w:rsidRPr="0071688A" w14:paraId="57D6A2E2" w14:textId="77777777" w:rsidTr="0071688A">
        <w:trPr>
          <w:trHeight w:val="467"/>
        </w:trPr>
        <w:tc>
          <w:tcPr>
            <w:tcW w:w="875" w:type="pct"/>
            <w:vMerge w:val="restart"/>
            <w:tcBorders>
              <w:top w:val="single" w:sz="4" w:space="0" w:color="auto"/>
              <w:bottom w:val="single" w:sz="4" w:space="0" w:color="auto"/>
            </w:tcBorders>
            <w:noWrap/>
            <w:vAlign w:val="center"/>
            <w:hideMark/>
          </w:tcPr>
          <w:p w14:paraId="26F1EE25" w14:textId="77777777" w:rsidR="0071688A" w:rsidRPr="0071688A" w:rsidRDefault="0071688A" w:rsidP="002539DD">
            <w:pPr>
              <w:spacing w:line="276" w:lineRule="auto"/>
              <w:jc w:val="center"/>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Treatments</w:t>
            </w:r>
          </w:p>
        </w:tc>
        <w:tc>
          <w:tcPr>
            <w:tcW w:w="2079" w:type="pct"/>
            <w:gridSpan w:val="3"/>
            <w:tcBorders>
              <w:top w:val="single" w:sz="4" w:space="0" w:color="auto"/>
              <w:bottom w:val="single" w:sz="4" w:space="0" w:color="auto"/>
            </w:tcBorders>
            <w:noWrap/>
            <w:vAlign w:val="center"/>
            <w:hideMark/>
          </w:tcPr>
          <w:p w14:paraId="2A49C913" w14:textId="77777777" w:rsidR="0071688A" w:rsidRPr="0071688A" w:rsidRDefault="0071688A" w:rsidP="002539DD">
            <w:pPr>
              <w:spacing w:line="276" w:lineRule="auto"/>
              <w:jc w:val="center"/>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Recommended rate (kg ha</w:t>
            </w:r>
            <w:r w:rsidRPr="0071688A">
              <w:rPr>
                <w:rFonts w:ascii="Arial" w:eastAsia="Times New Roman" w:hAnsi="Arial" w:cs="Arial"/>
                <w:color w:val="000000" w:themeColor="text1"/>
                <w:kern w:val="24"/>
                <w:sz w:val="20"/>
                <w:szCs w:val="20"/>
                <w:vertAlign w:val="superscript"/>
              </w:rPr>
              <w:t>-1</w:t>
            </w:r>
            <w:r w:rsidRPr="0071688A">
              <w:rPr>
                <w:rFonts w:ascii="Arial" w:eastAsia="Times New Roman" w:hAnsi="Arial" w:cs="Arial"/>
                <w:color w:val="000000" w:themeColor="text1"/>
                <w:kern w:val="24"/>
                <w:sz w:val="20"/>
                <w:szCs w:val="20"/>
              </w:rPr>
              <w:t xml:space="preserve">) of </w:t>
            </w:r>
            <w:proofErr w:type="spellStart"/>
            <w:r w:rsidRPr="0071688A">
              <w:rPr>
                <w:rFonts w:ascii="Arial" w:eastAsia="Times New Roman" w:hAnsi="Arial" w:cs="Arial"/>
                <w:color w:val="000000" w:themeColor="text1"/>
                <w:kern w:val="24"/>
                <w:sz w:val="20"/>
                <w:szCs w:val="20"/>
              </w:rPr>
              <w:t>inorganicfertilizer</w:t>
            </w:r>
            <w:proofErr w:type="spellEnd"/>
          </w:p>
        </w:tc>
        <w:tc>
          <w:tcPr>
            <w:tcW w:w="2045" w:type="pct"/>
            <w:gridSpan w:val="2"/>
            <w:tcBorders>
              <w:top w:val="single" w:sz="4" w:space="0" w:color="auto"/>
              <w:bottom w:val="single" w:sz="4" w:space="0" w:color="auto"/>
            </w:tcBorders>
            <w:noWrap/>
            <w:vAlign w:val="center"/>
            <w:hideMark/>
          </w:tcPr>
          <w:p w14:paraId="6BB3AA40" w14:textId="77777777" w:rsidR="0071688A" w:rsidRPr="0071688A" w:rsidRDefault="0071688A" w:rsidP="002539DD">
            <w:pPr>
              <w:spacing w:line="276" w:lineRule="auto"/>
              <w:jc w:val="center"/>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Applied green manure</w:t>
            </w:r>
          </w:p>
          <w:p w14:paraId="66975CF9" w14:textId="77777777" w:rsidR="0071688A" w:rsidRPr="0071688A" w:rsidRDefault="0071688A" w:rsidP="002539DD">
            <w:pPr>
              <w:spacing w:line="276" w:lineRule="auto"/>
              <w:jc w:val="center"/>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(kg ha</w:t>
            </w:r>
            <w:r w:rsidRPr="0071688A">
              <w:rPr>
                <w:rFonts w:ascii="Arial" w:eastAsia="Times New Roman" w:hAnsi="Arial" w:cs="Arial"/>
                <w:color w:val="000000" w:themeColor="text1"/>
                <w:kern w:val="24"/>
                <w:sz w:val="20"/>
                <w:szCs w:val="20"/>
                <w:vertAlign w:val="superscript"/>
              </w:rPr>
              <w:t>-1</w:t>
            </w:r>
            <w:r w:rsidRPr="0071688A">
              <w:rPr>
                <w:rFonts w:ascii="Arial" w:eastAsia="Times New Roman" w:hAnsi="Arial" w:cs="Arial"/>
                <w:color w:val="000000" w:themeColor="text1"/>
                <w:kern w:val="24"/>
                <w:sz w:val="20"/>
                <w:szCs w:val="20"/>
              </w:rPr>
              <w:t>)</w:t>
            </w:r>
          </w:p>
        </w:tc>
      </w:tr>
      <w:tr w:rsidR="0071688A" w:rsidRPr="0071688A" w14:paraId="5B3570B8" w14:textId="77777777" w:rsidTr="0071688A">
        <w:trPr>
          <w:trHeight w:val="188"/>
        </w:trPr>
        <w:tc>
          <w:tcPr>
            <w:tcW w:w="875" w:type="pct"/>
            <w:vMerge/>
            <w:tcBorders>
              <w:top w:val="single" w:sz="4" w:space="0" w:color="auto"/>
              <w:bottom w:val="single" w:sz="4" w:space="0" w:color="auto"/>
            </w:tcBorders>
            <w:vAlign w:val="center"/>
            <w:hideMark/>
          </w:tcPr>
          <w:p w14:paraId="60339D8E" w14:textId="77777777" w:rsidR="0071688A" w:rsidRPr="0071688A" w:rsidRDefault="0071688A" w:rsidP="002539DD">
            <w:pPr>
              <w:spacing w:line="276" w:lineRule="auto"/>
              <w:rPr>
                <w:rFonts w:ascii="Arial" w:eastAsia="Times New Roman" w:hAnsi="Arial" w:cs="Arial"/>
                <w:color w:val="000000" w:themeColor="text1"/>
                <w:kern w:val="24"/>
                <w:sz w:val="20"/>
                <w:szCs w:val="20"/>
              </w:rPr>
            </w:pPr>
          </w:p>
        </w:tc>
        <w:tc>
          <w:tcPr>
            <w:tcW w:w="737" w:type="pct"/>
            <w:tcBorders>
              <w:top w:val="single" w:sz="4" w:space="0" w:color="auto"/>
              <w:bottom w:val="single" w:sz="4" w:space="0" w:color="auto"/>
            </w:tcBorders>
            <w:noWrap/>
            <w:vAlign w:val="center"/>
            <w:hideMark/>
          </w:tcPr>
          <w:p w14:paraId="3730282E"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N</w:t>
            </w:r>
          </w:p>
        </w:tc>
        <w:tc>
          <w:tcPr>
            <w:tcW w:w="627" w:type="pct"/>
            <w:tcBorders>
              <w:top w:val="single" w:sz="4" w:space="0" w:color="auto"/>
              <w:bottom w:val="single" w:sz="4" w:space="0" w:color="auto"/>
            </w:tcBorders>
            <w:noWrap/>
            <w:vAlign w:val="center"/>
            <w:hideMark/>
          </w:tcPr>
          <w:p w14:paraId="4D822D26"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P</w:t>
            </w:r>
            <w:r w:rsidRPr="0071688A">
              <w:rPr>
                <w:rFonts w:ascii="Arial" w:eastAsia="Times New Roman" w:hAnsi="Arial" w:cs="Arial"/>
                <w:color w:val="000000" w:themeColor="text1"/>
                <w:kern w:val="24"/>
                <w:sz w:val="20"/>
                <w:szCs w:val="20"/>
                <w:vertAlign w:val="subscript"/>
              </w:rPr>
              <w:t>2</w:t>
            </w:r>
            <w:r w:rsidRPr="0071688A">
              <w:rPr>
                <w:rFonts w:ascii="Arial" w:eastAsia="Times New Roman" w:hAnsi="Arial" w:cs="Arial"/>
                <w:color w:val="000000" w:themeColor="text1"/>
                <w:kern w:val="24"/>
                <w:sz w:val="20"/>
                <w:szCs w:val="20"/>
              </w:rPr>
              <w:t>O</w:t>
            </w:r>
            <w:r w:rsidRPr="0071688A">
              <w:rPr>
                <w:rFonts w:ascii="Arial" w:eastAsia="Times New Roman" w:hAnsi="Arial" w:cs="Arial"/>
                <w:color w:val="000000" w:themeColor="text1"/>
                <w:kern w:val="24"/>
                <w:sz w:val="20"/>
                <w:szCs w:val="20"/>
                <w:vertAlign w:val="subscript"/>
              </w:rPr>
              <w:t>5</w:t>
            </w:r>
          </w:p>
        </w:tc>
        <w:tc>
          <w:tcPr>
            <w:tcW w:w="715" w:type="pct"/>
            <w:tcBorders>
              <w:top w:val="single" w:sz="4" w:space="0" w:color="auto"/>
              <w:bottom w:val="single" w:sz="4" w:space="0" w:color="auto"/>
            </w:tcBorders>
            <w:noWrap/>
            <w:vAlign w:val="center"/>
            <w:hideMark/>
          </w:tcPr>
          <w:p w14:paraId="160AECBD"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K</w:t>
            </w:r>
            <w:r w:rsidRPr="0071688A">
              <w:rPr>
                <w:rFonts w:ascii="Arial" w:eastAsia="Times New Roman" w:hAnsi="Arial" w:cs="Arial"/>
                <w:color w:val="000000" w:themeColor="text1"/>
                <w:kern w:val="24"/>
                <w:sz w:val="20"/>
                <w:szCs w:val="20"/>
                <w:vertAlign w:val="subscript"/>
              </w:rPr>
              <w:t>2</w:t>
            </w:r>
            <w:r w:rsidRPr="0071688A">
              <w:rPr>
                <w:rFonts w:ascii="Arial" w:eastAsia="Times New Roman" w:hAnsi="Arial" w:cs="Arial"/>
                <w:color w:val="000000" w:themeColor="text1"/>
                <w:kern w:val="24"/>
                <w:sz w:val="20"/>
                <w:szCs w:val="20"/>
              </w:rPr>
              <w:t>O</w:t>
            </w:r>
          </w:p>
        </w:tc>
        <w:tc>
          <w:tcPr>
            <w:tcW w:w="1033" w:type="pct"/>
            <w:tcBorders>
              <w:top w:val="single" w:sz="4" w:space="0" w:color="auto"/>
              <w:bottom w:val="single" w:sz="4" w:space="0" w:color="auto"/>
            </w:tcBorders>
            <w:noWrap/>
            <w:vAlign w:val="center"/>
            <w:hideMark/>
          </w:tcPr>
          <w:p w14:paraId="3C28D1A6"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Fresh weight</w:t>
            </w:r>
          </w:p>
        </w:tc>
        <w:tc>
          <w:tcPr>
            <w:tcW w:w="1013" w:type="pct"/>
            <w:tcBorders>
              <w:top w:val="single" w:sz="4" w:space="0" w:color="auto"/>
              <w:bottom w:val="single" w:sz="4" w:space="0" w:color="auto"/>
            </w:tcBorders>
            <w:noWrap/>
            <w:vAlign w:val="center"/>
            <w:hideMark/>
          </w:tcPr>
          <w:p w14:paraId="04FF8F9F"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Dry weight</w:t>
            </w:r>
          </w:p>
        </w:tc>
      </w:tr>
      <w:tr w:rsidR="0071688A" w:rsidRPr="0071688A" w14:paraId="7CC81E0B" w14:textId="77777777" w:rsidTr="0071688A">
        <w:trPr>
          <w:trHeight w:val="168"/>
        </w:trPr>
        <w:tc>
          <w:tcPr>
            <w:tcW w:w="875" w:type="pct"/>
            <w:tcBorders>
              <w:top w:val="single" w:sz="4" w:space="0" w:color="auto"/>
            </w:tcBorders>
            <w:noWrap/>
            <w:hideMark/>
          </w:tcPr>
          <w:p w14:paraId="2C323842"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N0 G0</w:t>
            </w:r>
          </w:p>
        </w:tc>
        <w:tc>
          <w:tcPr>
            <w:tcW w:w="737" w:type="pct"/>
            <w:tcBorders>
              <w:top w:val="single" w:sz="4" w:space="0" w:color="auto"/>
            </w:tcBorders>
            <w:noWrap/>
            <w:hideMark/>
          </w:tcPr>
          <w:p w14:paraId="1DA507A8"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0.0</w:t>
            </w:r>
          </w:p>
        </w:tc>
        <w:tc>
          <w:tcPr>
            <w:tcW w:w="627" w:type="pct"/>
            <w:tcBorders>
              <w:top w:val="single" w:sz="4" w:space="0" w:color="auto"/>
            </w:tcBorders>
            <w:noWrap/>
            <w:hideMark/>
          </w:tcPr>
          <w:p w14:paraId="5F237D0A"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tcBorders>
              <w:top w:val="single" w:sz="4" w:space="0" w:color="auto"/>
            </w:tcBorders>
            <w:noWrap/>
            <w:hideMark/>
          </w:tcPr>
          <w:p w14:paraId="6F80CDA2"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tcBorders>
              <w:top w:val="single" w:sz="4" w:space="0" w:color="auto"/>
            </w:tcBorders>
            <w:noWrap/>
            <w:hideMark/>
          </w:tcPr>
          <w:p w14:paraId="3B5DBA5C"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0.0</w:t>
            </w:r>
          </w:p>
        </w:tc>
        <w:tc>
          <w:tcPr>
            <w:tcW w:w="1013" w:type="pct"/>
            <w:tcBorders>
              <w:top w:val="single" w:sz="4" w:space="0" w:color="auto"/>
            </w:tcBorders>
            <w:noWrap/>
            <w:hideMark/>
          </w:tcPr>
          <w:p w14:paraId="15C334AA"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0.0</w:t>
            </w:r>
          </w:p>
        </w:tc>
      </w:tr>
      <w:tr w:rsidR="0071688A" w:rsidRPr="0071688A" w14:paraId="7989E015" w14:textId="77777777" w:rsidTr="0071688A">
        <w:trPr>
          <w:trHeight w:val="63"/>
        </w:trPr>
        <w:tc>
          <w:tcPr>
            <w:tcW w:w="875" w:type="pct"/>
            <w:noWrap/>
            <w:hideMark/>
          </w:tcPr>
          <w:p w14:paraId="2435865B"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N0 GRB</w:t>
            </w:r>
          </w:p>
        </w:tc>
        <w:tc>
          <w:tcPr>
            <w:tcW w:w="737" w:type="pct"/>
            <w:noWrap/>
            <w:hideMark/>
          </w:tcPr>
          <w:p w14:paraId="34701C5D"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0.0</w:t>
            </w:r>
          </w:p>
        </w:tc>
        <w:tc>
          <w:tcPr>
            <w:tcW w:w="627" w:type="pct"/>
            <w:noWrap/>
            <w:hideMark/>
          </w:tcPr>
          <w:p w14:paraId="4BFCE451"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3FCFCAAC"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219EFAC2"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7500.0</w:t>
            </w:r>
          </w:p>
        </w:tc>
        <w:tc>
          <w:tcPr>
            <w:tcW w:w="1013" w:type="pct"/>
            <w:noWrap/>
            <w:hideMark/>
          </w:tcPr>
          <w:p w14:paraId="6B06A8E2"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1137.0</w:t>
            </w:r>
          </w:p>
        </w:tc>
      </w:tr>
      <w:tr w:rsidR="0071688A" w:rsidRPr="0071688A" w14:paraId="77A35617" w14:textId="77777777" w:rsidTr="0071688A">
        <w:trPr>
          <w:trHeight w:val="69"/>
        </w:trPr>
        <w:tc>
          <w:tcPr>
            <w:tcW w:w="875" w:type="pct"/>
            <w:noWrap/>
            <w:hideMark/>
          </w:tcPr>
          <w:p w14:paraId="39667ABE"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 xml:space="preserve">N0 GSH </w:t>
            </w:r>
          </w:p>
        </w:tc>
        <w:tc>
          <w:tcPr>
            <w:tcW w:w="737" w:type="pct"/>
            <w:noWrap/>
            <w:hideMark/>
          </w:tcPr>
          <w:p w14:paraId="2B7FA144"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0.0</w:t>
            </w:r>
          </w:p>
        </w:tc>
        <w:tc>
          <w:tcPr>
            <w:tcW w:w="627" w:type="pct"/>
            <w:noWrap/>
            <w:hideMark/>
          </w:tcPr>
          <w:p w14:paraId="5A5A8A2A"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5E734CA4"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08501230"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8500.0</w:t>
            </w:r>
          </w:p>
        </w:tc>
        <w:tc>
          <w:tcPr>
            <w:tcW w:w="1013" w:type="pct"/>
            <w:noWrap/>
            <w:hideMark/>
          </w:tcPr>
          <w:p w14:paraId="02D6706A"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1146.0</w:t>
            </w:r>
          </w:p>
        </w:tc>
      </w:tr>
      <w:tr w:rsidR="0071688A" w:rsidRPr="0071688A" w14:paraId="472C9E1E" w14:textId="77777777" w:rsidTr="0071688A">
        <w:trPr>
          <w:trHeight w:val="120"/>
        </w:trPr>
        <w:tc>
          <w:tcPr>
            <w:tcW w:w="875" w:type="pct"/>
            <w:noWrap/>
            <w:hideMark/>
          </w:tcPr>
          <w:p w14:paraId="502AAA6A"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N0 GDC</w:t>
            </w:r>
          </w:p>
        </w:tc>
        <w:tc>
          <w:tcPr>
            <w:tcW w:w="737" w:type="pct"/>
            <w:noWrap/>
            <w:hideMark/>
          </w:tcPr>
          <w:p w14:paraId="0FD8913B"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0.0</w:t>
            </w:r>
          </w:p>
        </w:tc>
        <w:tc>
          <w:tcPr>
            <w:tcW w:w="627" w:type="pct"/>
            <w:noWrap/>
            <w:hideMark/>
          </w:tcPr>
          <w:p w14:paraId="02484D6B"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2ACEB234"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56972E70"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4500.0</w:t>
            </w:r>
          </w:p>
        </w:tc>
        <w:tc>
          <w:tcPr>
            <w:tcW w:w="1013" w:type="pct"/>
            <w:noWrap/>
            <w:hideMark/>
          </w:tcPr>
          <w:p w14:paraId="00DD5C5A"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920.0</w:t>
            </w:r>
          </w:p>
        </w:tc>
      </w:tr>
      <w:tr w:rsidR="0071688A" w:rsidRPr="0071688A" w14:paraId="7B82FD92" w14:textId="77777777" w:rsidTr="0071688A">
        <w:trPr>
          <w:trHeight w:val="197"/>
        </w:trPr>
        <w:tc>
          <w:tcPr>
            <w:tcW w:w="875" w:type="pct"/>
            <w:noWrap/>
            <w:hideMark/>
          </w:tcPr>
          <w:p w14:paraId="15BAD24C"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N25 G0</w:t>
            </w:r>
          </w:p>
        </w:tc>
        <w:tc>
          <w:tcPr>
            <w:tcW w:w="737" w:type="pct"/>
            <w:noWrap/>
            <w:hideMark/>
          </w:tcPr>
          <w:p w14:paraId="3B22740B"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25.5</w:t>
            </w:r>
          </w:p>
        </w:tc>
        <w:tc>
          <w:tcPr>
            <w:tcW w:w="627" w:type="pct"/>
            <w:noWrap/>
            <w:hideMark/>
          </w:tcPr>
          <w:p w14:paraId="33CA99F2"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7E80AB7B"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293F9455"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0.0</w:t>
            </w:r>
          </w:p>
        </w:tc>
        <w:tc>
          <w:tcPr>
            <w:tcW w:w="1013" w:type="pct"/>
            <w:noWrap/>
            <w:hideMark/>
          </w:tcPr>
          <w:p w14:paraId="072A4418"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0.0</w:t>
            </w:r>
          </w:p>
        </w:tc>
      </w:tr>
      <w:tr w:rsidR="0071688A" w:rsidRPr="0071688A" w14:paraId="0FA120F1" w14:textId="77777777" w:rsidTr="0071688A">
        <w:trPr>
          <w:trHeight w:val="236"/>
        </w:trPr>
        <w:tc>
          <w:tcPr>
            <w:tcW w:w="875" w:type="pct"/>
            <w:noWrap/>
            <w:hideMark/>
          </w:tcPr>
          <w:p w14:paraId="6B46B45C"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lastRenderedPageBreak/>
              <w:t>N25 GRB</w:t>
            </w:r>
          </w:p>
        </w:tc>
        <w:tc>
          <w:tcPr>
            <w:tcW w:w="737" w:type="pct"/>
            <w:noWrap/>
            <w:hideMark/>
          </w:tcPr>
          <w:p w14:paraId="12822409"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25.5</w:t>
            </w:r>
          </w:p>
        </w:tc>
        <w:tc>
          <w:tcPr>
            <w:tcW w:w="627" w:type="pct"/>
            <w:noWrap/>
            <w:hideMark/>
          </w:tcPr>
          <w:p w14:paraId="25AD356D"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00E76D5E"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495B6FA9"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7500.0</w:t>
            </w:r>
          </w:p>
        </w:tc>
        <w:tc>
          <w:tcPr>
            <w:tcW w:w="1013" w:type="pct"/>
            <w:noWrap/>
            <w:hideMark/>
          </w:tcPr>
          <w:p w14:paraId="53D78F4B"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1137.0</w:t>
            </w:r>
          </w:p>
        </w:tc>
      </w:tr>
      <w:tr w:rsidR="0071688A" w:rsidRPr="0071688A" w14:paraId="52F2B0A0" w14:textId="77777777" w:rsidTr="0071688A">
        <w:trPr>
          <w:trHeight w:val="236"/>
        </w:trPr>
        <w:tc>
          <w:tcPr>
            <w:tcW w:w="875" w:type="pct"/>
            <w:noWrap/>
            <w:hideMark/>
          </w:tcPr>
          <w:p w14:paraId="33797839"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 xml:space="preserve">N25 GSH </w:t>
            </w:r>
          </w:p>
        </w:tc>
        <w:tc>
          <w:tcPr>
            <w:tcW w:w="737" w:type="pct"/>
            <w:noWrap/>
            <w:hideMark/>
          </w:tcPr>
          <w:p w14:paraId="5605DECC"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25.5</w:t>
            </w:r>
          </w:p>
        </w:tc>
        <w:tc>
          <w:tcPr>
            <w:tcW w:w="627" w:type="pct"/>
            <w:noWrap/>
            <w:hideMark/>
          </w:tcPr>
          <w:p w14:paraId="3A412BE0"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713CFC33"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4BA429D6"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8500.0</w:t>
            </w:r>
          </w:p>
        </w:tc>
        <w:tc>
          <w:tcPr>
            <w:tcW w:w="1013" w:type="pct"/>
            <w:noWrap/>
            <w:hideMark/>
          </w:tcPr>
          <w:p w14:paraId="73E5D393"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1146.0</w:t>
            </w:r>
          </w:p>
        </w:tc>
      </w:tr>
      <w:tr w:rsidR="0071688A" w:rsidRPr="0071688A" w14:paraId="0D0B125B" w14:textId="77777777" w:rsidTr="0071688A">
        <w:trPr>
          <w:trHeight w:val="236"/>
        </w:trPr>
        <w:tc>
          <w:tcPr>
            <w:tcW w:w="875" w:type="pct"/>
            <w:noWrap/>
            <w:hideMark/>
          </w:tcPr>
          <w:p w14:paraId="436EDEA3"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N25 GDC</w:t>
            </w:r>
          </w:p>
        </w:tc>
        <w:tc>
          <w:tcPr>
            <w:tcW w:w="737" w:type="pct"/>
            <w:noWrap/>
            <w:hideMark/>
          </w:tcPr>
          <w:p w14:paraId="0F5FFE5E"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25.5</w:t>
            </w:r>
          </w:p>
        </w:tc>
        <w:tc>
          <w:tcPr>
            <w:tcW w:w="627" w:type="pct"/>
            <w:noWrap/>
            <w:hideMark/>
          </w:tcPr>
          <w:p w14:paraId="70AE05E1"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5F248F9C"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18A62BB7"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4500.0</w:t>
            </w:r>
          </w:p>
        </w:tc>
        <w:tc>
          <w:tcPr>
            <w:tcW w:w="1013" w:type="pct"/>
            <w:noWrap/>
            <w:hideMark/>
          </w:tcPr>
          <w:p w14:paraId="39E7CF5E"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920.0</w:t>
            </w:r>
          </w:p>
        </w:tc>
      </w:tr>
      <w:tr w:rsidR="0071688A" w:rsidRPr="0071688A" w14:paraId="4E2F0199" w14:textId="77777777" w:rsidTr="0071688A">
        <w:trPr>
          <w:trHeight w:val="236"/>
        </w:trPr>
        <w:tc>
          <w:tcPr>
            <w:tcW w:w="875" w:type="pct"/>
            <w:noWrap/>
            <w:hideMark/>
          </w:tcPr>
          <w:p w14:paraId="7CCBF24A"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N50 G0</w:t>
            </w:r>
          </w:p>
        </w:tc>
        <w:tc>
          <w:tcPr>
            <w:tcW w:w="737" w:type="pct"/>
            <w:noWrap/>
            <w:hideMark/>
          </w:tcPr>
          <w:p w14:paraId="371AFACB"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51.0</w:t>
            </w:r>
          </w:p>
        </w:tc>
        <w:tc>
          <w:tcPr>
            <w:tcW w:w="627" w:type="pct"/>
            <w:noWrap/>
            <w:hideMark/>
          </w:tcPr>
          <w:p w14:paraId="2114059B"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1827C634"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48EB89E3"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0.0</w:t>
            </w:r>
          </w:p>
        </w:tc>
        <w:tc>
          <w:tcPr>
            <w:tcW w:w="1013" w:type="pct"/>
            <w:noWrap/>
            <w:hideMark/>
          </w:tcPr>
          <w:p w14:paraId="0F15B0DF"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0.0</w:t>
            </w:r>
          </w:p>
        </w:tc>
      </w:tr>
      <w:tr w:rsidR="0071688A" w:rsidRPr="0071688A" w14:paraId="24DD9942" w14:textId="77777777" w:rsidTr="0071688A">
        <w:trPr>
          <w:trHeight w:val="236"/>
        </w:trPr>
        <w:tc>
          <w:tcPr>
            <w:tcW w:w="875" w:type="pct"/>
            <w:noWrap/>
            <w:hideMark/>
          </w:tcPr>
          <w:p w14:paraId="7C5D3953"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N50 GRB</w:t>
            </w:r>
          </w:p>
        </w:tc>
        <w:tc>
          <w:tcPr>
            <w:tcW w:w="737" w:type="pct"/>
            <w:noWrap/>
            <w:hideMark/>
          </w:tcPr>
          <w:p w14:paraId="1F6D10D4"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51.0</w:t>
            </w:r>
          </w:p>
        </w:tc>
        <w:tc>
          <w:tcPr>
            <w:tcW w:w="627" w:type="pct"/>
            <w:noWrap/>
            <w:hideMark/>
          </w:tcPr>
          <w:p w14:paraId="362B493E"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35A59A27"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2D17A0B6"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7500.0</w:t>
            </w:r>
          </w:p>
        </w:tc>
        <w:tc>
          <w:tcPr>
            <w:tcW w:w="1013" w:type="pct"/>
            <w:noWrap/>
            <w:hideMark/>
          </w:tcPr>
          <w:p w14:paraId="7E7D3816"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1137.0</w:t>
            </w:r>
          </w:p>
        </w:tc>
      </w:tr>
      <w:tr w:rsidR="0071688A" w:rsidRPr="0071688A" w14:paraId="634CC7EB" w14:textId="77777777" w:rsidTr="0071688A">
        <w:trPr>
          <w:trHeight w:val="236"/>
        </w:trPr>
        <w:tc>
          <w:tcPr>
            <w:tcW w:w="875" w:type="pct"/>
            <w:noWrap/>
            <w:hideMark/>
          </w:tcPr>
          <w:p w14:paraId="644D36CA"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 xml:space="preserve">N50 GSH </w:t>
            </w:r>
          </w:p>
        </w:tc>
        <w:tc>
          <w:tcPr>
            <w:tcW w:w="737" w:type="pct"/>
            <w:noWrap/>
            <w:hideMark/>
          </w:tcPr>
          <w:p w14:paraId="013BDDF8"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51.0</w:t>
            </w:r>
          </w:p>
        </w:tc>
        <w:tc>
          <w:tcPr>
            <w:tcW w:w="627" w:type="pct"/>
            <w:noWrap/>
            <w:hideMark/>
          </w:tcPr>
          <w:p w14:paraId="70BF2CDC"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7128F5D9"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4B6C69DC"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8500.0</w:t>
            </w:r>
          </w:p>
        </w:tc>
        <w:tc>
          <w:tcPr>
            <w:tcW w:w="1013" w:type="pct"/>
            <w:noWrap/>
            <w:hideMark/>
          </w:tcPr>
          <w:p w14:paraId="192609A5"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1146.0</w:t>
            </w:r>
          </w:p>
        </w:tc>
      </w:tr>
      <w:tr w:rsidR="0071688A" w:rsidRPr="0071688A" w14:paraId="05E985E6" w14:textId="77777777" w:rsidTr="0071688A">
        <w:trPr>
          <w:trHeight w:val="236"/>
        </w:trPr>
        <w:tc>
          <w:tcPr>
            <w:tcW w:w="875" w:type="pct"/>
            <w:noWrap/>
            <w:hideMark/>
          </w:tcPr>
          <w:p w14:paraId="139E7F6E"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N50 GDC</w:t>
            </w:r>
          </w:p>
        </w:tc>
        <w:tc>
          <w:tcPr>
            <w:tcW w:w="737" w:type="pct"/>
            <w:noWrap/>
            <w:hideMark/>
          </w:tcPr>
          <w:p w14:paraId="428B5882"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51.0</w:t>
            </w:r>
          </w:p>
        </w:tc>
        <w:tc>
          <w:tcPr>
            <w:tcW w:w="627" w:type="pct"/>
            <w:noWrap/>
            <w:hideMark/>
          </w:tcPr>
          <w:p w14:paraId="76CF39E2"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06EC77F5"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38C2B85D"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4500.0</w:t>
            </w:r>
          </w:p>
        </w:tc>
        <w:tc>
          <w:tcPr>
            <w:tcW w:w="1013" w:type="pct"/>
            <w:noWrap/>
            <w:hideMark/>
          </w:tcPr>
          <w:p w14:paraId="212790C4"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920.0</w:t>
            </w:r>
          </w:p>
        </w:tc>
      </w:tr>
      <w:tr w:rsidR="0071688A" w:rsidRPr="0071688A" w14:paraId="5F50888A" w14:textId="77777777" w:rsidTr="0071688A">
        <w:trPr>
          <w:trHeight w:val="236"/>
        </w:trPr>
        <w:tc>
          <w:tcPr>
            <w:tcW w:w="875" w:type="pct"/>
            <w:noWrap/>
            <w:hideMark/>
          </w:tcPr>
          <w:p w14:paraId="6AC28219"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N75 G0</w:t>
            </w:r>
          </w:p>
        </w:tc>
        <w:tc>
          <w:tcPr>
            <w:tcW w:w="737" w:type="pct"/>
            <w:noWrap/>
            <w:hideMark/>
          </w:tcPr>
          <w:p w14:paraId="4305E61A"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76.5</w:t>
            </w:r>
          </w:p>
        </w:tc>
        <w:tc>
          <w:tcPr>
            <w:tcW w:w="627" w:type="pct"/>
            <w:noWrap/>
            <w:hideMark/>
          </w:tcPr>
          <w:p w14:paraId="5459584C"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029D482F"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66E6EE1E"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0.0</w:t>
            </w:r>
          </w:p>
        </w:tc>
        <w:tc>
          <w:tcPr>
            <w:tcW w:w="1013" w:type="pct"/>
            <w:noWrap/>
            <w:hideMark/>
          </w:tcPr>
          <w:p w14:paraId="4449D3D6"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0.0</w:t>
            </w:r>
          </w:p>
        </w:tc>
      </w:tr>
      <w:tr w:rsidR="0071688A" w:rsidRPr="0071688A" w14:paraId="6613AAEE" w14:textId="77777777" w:rsidTr="0071688A">
        <w:trPr>
          <w:trHeight w:val="225"/>
        </w:trPr>
        <w:tc>
          <w:tcPr>
            <w:tcW w:w="875" w:type="pct"/>
            <w:noWrap/>
            <w:hideMark/>
          </w:tcPr>
          <w:p w14:paraId="2F930122"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N75 GRB</w:t>
            </w:r>
          </w:p>
        </w:tc>
        <w:tc>
          <w:tcPr>
            <w:tcW w:w="737" w:type="pct"/>
            <w:noWrap/>
            <w:hideMark/>
          </w:tcPr>
          <w:p w14:paraId="359F3784"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76.5</w:t>
            </w:r>
          </w:p>
        </w:tc>
        <w:tc>
          <w:tcPr>
            <w:tcW w:w="627" w:type="pct"/>
            <w:noWrap/>
            <w:hideMark/>
          </w:tcPr>
          <w:p w14:paraId="38218557"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790531E5"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57580F7B"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7500.0</w:t>
            </w:r>
          </w:p>
        </w:tc>
        <w:tc>
          <w:tcPr>
            <w:tcW w:w="1013" w:type="pct"/>
            <w:noWrap/>
            <w:hideMark/>
          </w:tcPr>
          <w:p w14:paraId="6856D419"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1137.0</w:t>
            </w:r>
          </w:p>
        </w:tc>
      </w:tr>
      <w:tr w:rsidR="0071688A" w:rsidRPr="0071688A" w14:paraId="39F9052B" w14:textId="77777777" w:rsidTr="0071688A">
        <w:trPr>
          <w:trHeight w:val="236"/>
        </w:trPr>
        <w:tc>
          <w:tcPr>
            <w:tcW w:w="875" w:type="pct"/>
            <w:noWrap/>
            <w:hideMark/>
          </w:tcPr>
          <w:p w14:paraId="1B91633A"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 xml:space="preserve">N75 GSH </w:t>
            </w:r>
          </w:p>
        </w:tc>
        <w:tc>
          <w:tcPr>
            <w:tcW w:w="737" w:type="pct"/>
            <w:noWrap/>
            <w:hideMark/>
          </w:tcPr>
          <w:p w14:paraId="339857BA"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76.5</w:t>
            </w:r>
          </w:p>
        </w:tc>
        <w:tc>
          <w:tcPr>
            <w:tcW w:w="627" w:type="pct"/>
            <w:noWrap/>
            <w:hideMark/>
          </w:tcPr>
          <w:p w14:paraId="766A4220"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6577B15F"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3BDC6B25"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8500.0</w:t>
            </w:r>
          </w:p>
        </w:tc>
        <w:tc>
          <w:tcPr>
            <w:tcW w:w="1013" w:type="pct"/>
            <w:noWrap/>
            <w:hideMark/>
          </w:tcPr>
          <w:p w14:paraId="120737EC"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1146.0</w:t>
            </w:r>
          </w:p>
        </w:tc>
      </w:tr>
      <w:tr w:rsidR="0071688A" w:rsidRPr="0071688A" w14:paraId="15AAA2D4" w14:textId="77777777" w:rsidTr="0071688A">
        <w:trPr>
          <w:trHeight w:val="236"/>
        </w:trPr>
        <w:tc>
          <w:tcPr>
            <w:tcW w:w="875" w:type="pct"/>
            <w:noWrap/>
            <w:hideMark/>
          </w:tcPr>
          <w:p w14:paraId="21481173"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N75 GDC</w:t>
            </w:r>
          </w:p>
        </w:tc>
        <w:tc>
          <w:tcPr>
            <w:tcW w:w="737" w:type="pct"/>
            <w:noWrap/>
            <w:hideMark/>
          </w:tcPr>
          <w:p w14:paraId="64D21F8C"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76.5</w:t>
            </w:r>
          </w:p>
        </w:tc>
        <w:tc>
          <w:tcPr>
            <w:tcW w:w="627" w:type="pct"/>
            <w:noWrap/>
            <w:hideMark/>
          </w:tcPr>
          <w:p w14:paraId="6C113598"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6B41EC19"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5B0B59DD"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4500.0</w:t>
            </w:r>
          </w:p>
        </w:tc>
        <w:tc>
          <w:tcPr>
            <w:tcW w:w="1013" w:type="pct"/>
            <w:noWrap/>
            <w:hideMark/>
          </w:tcPr>
          <w:p w14:paraId="5D836AF2"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920.0</w:t>
            </w:r>
          </w:p>
        </w:tc>
      </w:tr>
      <w:tr w:rsidR="0071688A" w:rsidRPr="0071688A" w14:paraId="1A8AD94A" w14:textId="77777777" w:rsidTr="0071688A">
        <w:trPr>
          <w:trHeight w:val="242"/>
        </w:trPr>
        <w:tc>
          <w:tcPr>
            <w:tcW w:w="875" w:type="pct"/>
            <w:noWrap/>
            <w:hideMark/>
          </w:tcPr>
          <w:p w14:paraId="4E355B7B"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N100 G0</w:t>
            </w:r>
          </w:p>
        </w:tc>
        <w:tc>
          <w:tcPr>
            <w:tcW w:w="737" w:type="pct"/>
            <w:noWrap/>
            <w:hideMark/>
          </w:tcPr>
          <w:p w14:paraId="70036DEC"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102.0</w:t>
            </w:r>
          </w:p>
        </w:tc>
        <w:tc>
          <w:tcPr>
            <w:tcW w:w="627" w:type="pct"/>
            <w:noWrap/>
            <w:hideMark/>
          </w:tcPr>
          <w:p w14:paraId="4E9CFAAF"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7749E077"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68352DB7"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0.0</w:t>
            </w:r>
          </w:p>
        </w:tc>
        <w:tc>
          <w:tcPr>
            <w:tcW w:w="1013" w:type="pct"/>
            <w:noWrap/>
            <w:hideMark/>
          </w:tcPr>
          <w:p w14:paraId="5B27A251"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0.0</w:t>
            </w:r>
          </w:p>
        </w:tc>
      </w:tr>
      <w:tr w:rsidR="0071688A" w:rsidRPr="0071688A" w14:paraId="50690EE8" w14:textId="77777777" w:rsidTr="0071688A">
        <w:trPr>
          <w:trHeight w:val="236"/>
        </w:trPr>
        <w:tc>
          <w:tcPr>
            <w:tcW w:w="875" w:type="pct"/>
            <w:noWrap/>
            <w:hideMark/>
          </w:tcPr>
          <w:p w14:paraId="5BBEB9E2"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N100 GRB</w:t>
            </w:r>
          </w:p>
        </w:tc>
        <w:tc>
          <w:tcPr>
            <w:tcW w:w="737" w:type="pct"/>
            <w:noWrap/>
            <w:hideMark/>
          </w:tcPr>
          <w:p w14:paraId="3EEDF050"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102.0</w:t>
            </w:r>
          </w:p>
        </w:tc>
        <w:tc>
          <w:tcPr>
            <w:tcW w:w="627" w:type="pct"/>
            <w:noWrap/>
            <w:hideMark/>
          </w:tcPr>
          <w:p w14:paraId="49290567"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45C1202D"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1CFC3D6F"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7500.0</w:t>
            </w:r>
          </w:p>
        </w:tc>
        <w:tc>
          <w:tcPr>
            <w:tcW w:w="1013" w:type="pct"/>
            <w:noWrap/>
            <w:hideMark/>
          </w:tcPr>
          <w:p w14:paraId="13CD920F"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1137.0</w:t>
            </w:r>
          </w:p>
        </w:tc>
      </w:tr>
      <w:tr w:rsidR="0071688A" w:rsidRPr="0071688A" w14:paraId="22CC2D65" w14:textId="77777777" w:rsidTr="0071688A">
        <w:trPr>
          <w:trHeight w:val="236"/>
        </w:trPr>
        <w:tc>
          <w:tcPr>
            <w:tcW w:w="875" w:type="pct"/>
            <w:noWrap/>
            <w:hideMark/>
          </w:tcPr>
          <w:p w14:paraId="696DC2BB"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 xml:space="preserve">N100 GSH </w:t>
            </w:r>
          </w:p>
        </w:tc>
        <w:tc>
          <w:tcPr>
            <w:tcW w:w="737" w:type="pct"/>
            <w:noWrap/>
            <w:hideMark/>
          </w:tcPr>
          <w:p w14:paraId="32D461B7"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102.0</w:t>
            </w:r>
          </w:p>
        </w:tc>
        <w:tc>
          <w:tcPr>
            <w:tcW w:w="627" w:type="pct"/>
            <w:noWrap/>
            <w:hideMark/>
          </w:tcPr>
          <w:p w14:paraId="18B584E5"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noWrap/>
            <w:hideMark/>
          </w:tcPr>
          <w:p w14:paraId="06B80FC0"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noWrap/>
            <w:hideMark/>
          </w:tcPr>
          <w:p w14:paraId="5E40E1F6"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8500.0</w:t>
            </w:r>
          </w:p>
        </w:tc>
        <w:tc>
          <w:tcPr>
            <w:tcW w:w="1013" w:type="pct"/>
            <w:noWrap/>
            <w:hideMark/>
          </w:tcPr>
          <w:p w14:paraId="7A297075"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1146.0</w:t>
            </w:r>
          </w:p>
        </w:tc>
      </w:tr>
      <w:tr w:rsidR="0071688A" w:rsidRPr="0071688A" w14:paraId="4B71AFDD" w14:textId="77777777" w:rsidTr="0071688A">
        <w:trPr>
          <w:trHeight w:val="236"/>
        </w:trPr>
        <w:tc>
          <w:tcPr>
            <w:tcW w:w="875" w:type="pct"/>
            <w:tcBorders>
              <w:bottom w:val="single" w:sz="4" w:space="0" w:color="auto"/>
            </w:tcBorders>
            <w:noWrap/>
            <w:hideMark/>
          </w:tcPr>
          <w:p w14:paraId="0DF63CF5" w14:textId="77777777" w:rsidR="0071688A" w:rsidRPr="0071688A" w:rsidRDefault="0071688A" w:rsidP="002539DD">
            <w:pPr>
              <w:spacing w:line="276" w:lineRule="auto"/>
              <w:jc w:val="both"/>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N100 GDC</w:t>
            </w:r>
          </w:p>
        </w:tc>
        <w:tc>
          <w:tcPr>
            <w:tcW w:w="737" w:type="pct"/>
            <w:tcBorders>
              <w:bottom w:val="single" w:sz="4" w:space="0" w:color="auto"/>
            </w:tcBorders>
            <w:noWrap/>
            <w:hideMark/>
          </w:tcPr>
          <w:p w14:paraId="3A8D3E7F"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102.0</w:t>
            </w:r>
          </w:p>
        </w:tc>
        <w:tc>
          <w:tcPr>
            <w:tcW w:w="627" w:type="pct"/>
            <w:tcBorders>
              <w:bottom w:val="single" w:sz="4" w:space="0" w:color="auto"/>
            </w:tcBorders>
            <w:noWrap/>
            <w:hideMark/>
          </w:tcPr>
          <w:p w14:paraId="57A37084"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27.0</w:t>
            </w:r>
          </w:p>
        </w:tc>
        <w:tc>
          <w:tcPr>
            <w:tcW w:w="715" w:type="pct"/>
            <w:tcBorders>
              <w:bottom w:val="single" w:sz="4" w:space="0" w:color="auto"/>
            </w:tcBorders>
            <w:noWrap/>
            <w:hideMark/>
          </w:tcPr>
          <w:p w14:paraId="342064C0"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117.0</w:t>
            </w:r>
          </w:p>
        </w:tc>
        <w:tc>
          <w:tcPr>
            <w:tcW w:w="1033" w:type="pct"/>
            <w:tcBorders>
              <w:bottom w:val="single" w:sz="4" w:space="0" w:color="auto"/>
            </w:tcBorders>
            <w:noWrap/>
            <w:hideMark/>
          </w:tcPr>
          <w:p w14:paraId="59C5E9B2"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4500.0</w:t>
            </w:r>
          </w:p>
        </w:tc>
        <w:tc>
          <w:tcPr>
            <w:tcW w:w="1013" w:type="pct"/>
            <w:tcBorders>
              <w:bottom w:val="single" w:sz="4" w:space="0" w:color="auto"/>
            </w:tcBorders>
            <w:noWrap/>
            <w:hideMark/>
          </w:tcPr>
          <w:p w14:paraId="18A34A9A" w14:textId="77777777" w:rsidR="0071688A" w:rsidRPr="0071688A" w:rsidRDefault="0071688A" w:rsidP="002539DD">
            <w:pPr>
              <w:spacing w:line="276" w:lineRule="auto"/>
              <w:jc w:val="right"/>
              <w:rPr>
                <w:rFonts w:ascii="Arial" w:eastAsia="Times New Roman" w:hAnsi="Arial" w:cs="Arial"/>
                <w:color w:val="000000" w:themeColor="text1"/>
                <w:kern w:val="24"/>
                <w:sz w:val="20"/>
                <w:szCs w:val="20"/>
              </w:rPr>
            </w:pPr>
            <w:r w:rsidRPr="0071688A">
              <w:rPr>
                <w:rFonts w:ascii="Arial" w:eastAsia="Times New Roman" w:hAnsi="Arial" w:cs="Arial"/>
                <w:color w:val="000000" w:themeColor="text1"/>
                <w:kern w:val="24"/>
                <w:sz w:val="20"/>
                <w:szCs w:val="20"/>
              </w:rPr>
              <w:t>920.0</w:t>
            </w:r>
          </w:p>
        </w:tc>
      </w:tr>
      <w:tr w:rsidR="0071688A" w:rsidRPr="0071688A" w14:paraId="6B68DC25" w14:textId="77777777" w:rsidTr="008605D1">
        <w:trPr>
          <w:trHeight w:val="838"/>
        </w:trPr>
        <w:tc>
          <w:tcPr>
            <w:tcW w:w="5000" w:type="pct"/>
            <w:gridSpan w:val="6"/>
            <w:tcBorders>
              <w:top w:val="single" w:sz="4" w:space="0" w:color="auto"/>
            </w:tcBorders>
            <w:noWrap/>
            <w:hideMark/>
          </w:tcPr>
          <w:p w14:paraId="63749AC8" w14:textId="77777777" w:rsidR="0071688A" w:rsidRPr="0071688A" w:rsidRDefault="0071688A" w:rsidP="002539DD">
            <w:pPr>
              <w:spacing w:line="276" w:lineRule="auto"/>
              <w:jc w:val="both"/>
              <w:rPr>
                <w:rFonts w:ascii="Arial" w:hAnsi="Arial" w:cs="Arial"/>
                <w:bCs/>
                <w:sz w:val="20"/>
                <w:szCs w:val="20"/>
              </w:rPr>
            </w:pPr>
            <w:r w:rsidRPr="0071688A">
              <w:rPr>
                <w:rFonts w:ascii="Arial" w:hAnsi="Arial" w:cs="Arial"/>
                <w:bCs/>
                <w:sz w:val="20"/>
                <w:szCs w:val="20"/>
              </w:rPr>
              <w:t xml:space="preserve">N0= N omission, N25 = 25% of inorganic N rate, N50 = 50% of inorganic N rate, N75 = 75% of inorganic N rate, N100 = 100% of inorganic N rate, </w:t>
            </w:r>
          </w:p>
          <w:p w14:paraId="0B62E145" w14:textId="77777777" w:rsidR="0071688A" w:rsidRPr="0071688A" w:rsidRDefault="0071688A" w:rsidP="002539DD">
            <w:pPr>
              <w:spacing w:line="276" w:lineRule="auto"/>
              <w:jc w:val="both"/>
              <w:rPr>
                <w:rFonts w:ascii="Arial" w:hAnsi="Arial" w:cs="Arial"/>
                <w:bCs/>
                <w:sz w:val="20"/>
                <w:szCs w:val="20"/>
              </w:rPr>
            </w:pPr>
            <w:r w:rsidRPr="0071688A">
              <w:rPr>
                <w:rFonts w:ascii="Arial" w:hAnsi="Arial" w:cs="Arial"/>
                <w:bCs/>
                <w:sz w:val="20"/>
                <w:szCs w:val="20"/>
              </w:rPr>
              <w:t xml:space="preserve">G0= no green manure, GRB = rice bean, GSH = </w:t>
            </w:r>
            <w:proofErr w:type="spellStart"/>
            <w:r w:rsidRPr="0071688A">
              <w:rPr>
                <w:rFonts w:ascii="Arial" w:hAnsi="Arial" w:cs="Arial"/>
                <w:bCs/>
                <w:sz w:val="20"/>
                <w:szCs w:val="20"/>
              </w:rPr>
              <w:t>sunn</w:t>
            </w:r>
            <w:proofErr w:type="spellEnd"/>
            <w:r w:rsidRPr="0071688A">
              <w:rPr>
                <w:rFonts w:ascii="Arial" w:hAnsi="Arial" w:cs="Arial"/>
                <w:bCs/>
                <w:sz w:val="20"/>
                <w:szCs w:val="20"/>
              </w:rPr>
              <w:t xml:space="preserve"> hemp, GDC = </w:t>
            </w:r>
            <w:proofErr w:type="spellStart"/>
            <w:r w:rsidRPr="0071688A">
              <w:rPr>
                <w:rFonts w:ascii="Arial" w:hAnsi="Arial" w:cs="Arial"/>
                <w:bCs/>
                <w:sz w:val="20"/>
                <w:szCs w:val="20"/>
              </w:rPr>
              <w:t>dhaincha</w:t>
            </w:r>
            <w:proofErr w:type="spellEnd"/>
          </w:p>
        </w:tc>
      </w:tr>
    </w:tbl>
    <w:p w14:paraId="38BBC79B" w14:textId="5DC45297" w:rsidR="0071688A" w:rsidRPr="008330C3" w:rsidRDefault="0071688A" w:rsidP="0071688A">
      <w:pPr>
        <w:pStyle w:val="Body"/>
        <w:spacing w:after="0" w:line="480" w:lineRule="auto"/>
        <w:rPr>
          <w:rFonts w:ascii="Arial" w:hAnsi="Arial" w:cs="Arial"/>
          <w:b/>
          <w:bCs/>
        </w:rPr>
      </w:pPr>
      <w:r w:rsidRPr="008330C3">
        <w:rPr>
          <w:rFonts w:ascii="Arial" w:hAnsi="Arial" w:cs="Arial"/>
          <w:b/>
          <w:bCs/>
        </w:rPr>
        <w:t>Table 2. Inorganic composition of green manure crops</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89"/>
        <w:gridCol w:w="1837"/>
        <w:gridCol w:w="1459"/>
        <w:gridCol w:w="1049"/>
        <w:gridCol w:w="1309"/>
        <w:gridCol w:w="932"/>
        <w:gridCol w:w="2364"/>
        <w:gridCol w:w="1177"/>
      </w:tblGrid>
      <w:tr w:rsidR="0071688A" w:rsidRPr="0071688A" w14:paraId="4B48C8C7" w14:textId="77777777" w:rsidTr="008605D1">
        <w:trPr>
          <w:trHeight w:val="314"/>
        </w:trPr>
        <w:tc>
          <w:tcPr>
            <w:tcW w:w="404" w:type="pct"/>
            <w:vMerge w:val="restart"/>
            <w:tcBorders>
              <w:top w:val="single" w:sz="4" w:space="0" w:color="auto"/>
              <w:bottom w:val="nil"/>
            </w:tcBorders>
            <w:vAlign w:val="center"/>
          </w:tcPr>
          <w:p w14:paraId="20F8DED2"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No.</w:t>
            </w:r>
          </w:p>
        </w:tc>
        <w:tc>
          <w:tcPr>
            <w:tcW w:w="834" w:type="pct"/>
            <w:vMerge w:val="restart"/>
            <w:tcBorders>
              <w:top w:val="single" w:sz="4" w:space="0" w:color="auto"/>
              <w:bottom w:val="nil"/>
            </w:tcBorders>
            <w:vAlign w:val="center"/>
          </w:tcPr>
          <w:p w14:paraId="0688F0F0"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Green manures</w:t>
            </w:r>
          </w:p>
        </w:tc>
        <w:tc>
          <w:tcPr>
            <w:tcW w:w="3228" w:type="pct"/>
            <w:gridSpan w:val="5"/>
            <w:tcBorders>
              <w:top w:val="single" w:sz="4" w:space="0" w:color="auto"/>
              <w:bottom w:val="single" w:sz="4" w:space="0" w:color="auto"/>
            </w:tcBorders>
            <w:vAlign w:val="center"/>
          </w:tcPr>
          <w:p w14:paraId="4E8FE813"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Analysis (%)</w:t>
            </w:r>
          </w:p>
        </w:tc>
        <w:tc>
          <w:tcPr>
            <w:tcW w:w="534" w:type="pct"/>
            <w:vMerge w:val="restart"/>
            <w:tcBorders>
              <w:top w:val="single" w:sz="4" w:space="0" w:color="auto"/>
            </w:tcBorders>
            <w:vAlign w:val="center"/>
          </w:tcPr>
          <w:p w14:paraId="01C70649" w14:textId="77777777" w:rsidR="0071688A" w:rsidRPr="0071688A" w:rsidRDefault="0071688A" w:rsidP="002539DD">
            <w:pPr>
              <w:spacing w:line="276" w:lineRule="auto"/>
              <w:jc w:val="center"/>
              <w:rPr>
                <w:rFonts w:ascii="Arial" w:hAnsi="Arial" w:cs="Arial"/>
                <w:sz w:val="20"/>
                <w:szCs w:val="20"/>
              </w:rPr>
            </w:pPr>
            <w:proofErr w:type="gramStart"/>
            <w:r w:rsidRPr="0071688A">
              <w:rPr>
                <w:rFonts w:ascii="Arial" w:hAnsi="Arial" w:cs="Arial"/>
                <w:sz w:val="20"/>
                <w:szCs w:val="20"/>
              </w:rPr>
              <w:t>C:N</w:t>
            </w:r>
            <w:proofErr w:type="gramEnd"/>
          </w:p>
        </w:tc>
      </w:tr>
      <w:tr w:rsidR="0071688A" w:rsidRPr="0071688A" w14:paraId="42C2671B" w14:textId="77777777" w:rsidTr="008605D1">
        <w:trPr>
          <w:trHeight w:val="350"/>
        </w:trPr>
        <w:tc>
          <w:tcPr>
            <w:tcW w:w="404" w:type="pct"/>
            <w:vMerge/>
            <w:tcBorders>
              <w:top w:val="nil"/>
              <w:bottom w:val="single" w:sz="4" w:space="0" w:color="auto"/>
            </w:tcBorders>
            <w:vAlign w:val="center"/>
          </w:tcPr>
          <w:p w14:paraId="424B6538" w14:textId="77777777" w:rsidR="0071688A" w:rsidRPr="0071688A" w:rsidRDefault="0071688A" w:rsidP="002539DD">
            <w:pPr>
              <w:spacing w:line="276" w:lineRule="auto"/>
              <w:jc w:val="center"/>
              <w:rPr>
                <w:rFonts w:ascii="Arial" w:hAnsi="Arial" w:cs="Arial"/>
                <w:sz w:val="20"/>
                <w:szCs w:val="20"/>
              </w:rPr>
            </w:pPr>
          </w:p>
        </w:tc>
        <w:tc>
          <w:tcPr>
            <w:tcW w:w="834" w:type="pct"/>
            <w:vMerge/>
            <w:tcBorders>
              <w:top w:val="nil"/>
              <w:bottom w:val="single" w:sz="4" w:space="0" w:color="auto"/>
            </w:tcBorders>
            <w:vAlign w:val="center"/>
          </w:tcPr>
          <w:p w14:paraId="6176E78A" w14:textId="77777777" w:rsidR="0071688A" w:rsidRPr="0071688A" w:rsidRDefault="0071688A" w:rsidP="002539DD">
            <w:pPr>
              <w:spacing w:line="276" w:lineRule="auto"/>
              <w:jc w:val="center"/>
              <w:rPr>
                <w:rFonts w:ascii="Arial" w:hAnsi="Arial" w:cs="Arial"/>
                <w:sz w:val="20"/>
                <w:szCs w:val="20"/>
              </w:rPr>
            </w:pPr>
          </w:p>
        </w:tc>
        <w:tc>
          <w:tcPr>
            <w:tcW w:w="662" w:type="pct"/>
            <w:tcBorders>
              <w:top w:val="single" w:sz="4" w:space="0" w:color="auto"/>
              <w:bottom w:val="single" w:sz="4" w:space="0" w:color="auto"/>
            </w:tcBorders>
            <w:vAlign w:val="center"/>
          </w:tcPr>
          <w:p w14:paraId="299D7CF0"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 xml:space="preserve">Moisture </w:t>
            </w:r>
          </w:p>
        </w:tc>
        <w:tc>
          <w:tcPr>
            <w:tcW w:w="476" w:type="pct"/>
            <w:tcBorders>
              <w:top w:val="single" w:sz="4" w:space="0" w:color="auto"/>
              <w:bottom w:val="single" w:sz="4" w:space="0" w:color="auto"/>
            </w:tcBorders>
            <w:vAlign w:val="center"/>
          </w:tcPr>
          <w:p w14:paraId="19CEDAEE"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N</w:t>
            </w:r>
          </w:p>
        </w:tc>
        <w:tc>
          <w:tcPr>
            <w:tcW w:w="594" w:type="pct"/>
            <w:tcBorders>
              <w:top w:val="single" w:sz="4" w:space="0" w:color="auto"/>
              <w:bottom w:val="single" w:sz="4" w:space="0" w:color="auto"/>
            </w:tcBorders>
            <w:vAlign w:val="center"/>
          </w:tcPr>
          <w:p w14:paraId="2FB1AAD6"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P</w:t>
            </w:r>
            <w:r w:rsidRPr="0071688A">
              <w:rPr>
                <w:rFonts w:ascii="Arial" w:hAnsi="Arial" w:cs="Arial"/>
                <w:sz w:val="20"/>
                <w:szCs w:val="20"/>
                <w:vertAlign w:val="subscript"/>
              </w:rPr>
              <w:t>2</w:t>
            </w:r>
            <w:r w:rsidRPr="0071688A">
              <w:rPr>
                <w:rFonts w:ascii="Arial" w:hAnsi="Arial" w:cs="Arial"/>
                <w:sz w:val="20"/>
                <w:szCs w:val="20"/>
              </w:rPr>
              <w:t>O</w:t>
            </w:r>
            <w:r w:rsidRPr="0071688A">
              <w:rPr>
                <w:rFonts w:ascii="Arial" w:hAnsi="Arial" w:cs="Arial"/>
                <w:sz w:val="20"/>
                <w:szCs w:val="20"/>
                <w:vertAlign w:val="subscript"/>
              </w:rPr>
              <w:t>5</w:t>
            </w:r>
          </w:p>
        </w:tc>
        <w:tc>
          <w:tcPr>
            <w:tcW w:w="423" w:type="pct"/>
            <w:tcBorders>
              <w:top w:val="single" w:sz="4" w:space="0" w:color="auto"/>
              <w:bottom w:val="single" w:sz="4" w:space="0" w:color="auto"/>
            </w:tcBorders>
            <w:vAlign w:val="center"/>
          </w:tcPr>
          <w:p w14:paraId="4DF3AD6E"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K</w:t>
            </w:r>
            <w:r w:rsidRPr="0071688A">
              <w:rPr>
                <w:rFonts w:ascii="Arial" w:hAnsi="Arial" w:cs="Arial"/>
                <w:sz w:val="20"/>
                <w:szCs w:val="20"/>
                <w:vertAlign w:val="subscript"/>
              </w:rPr>
              <w:t>2</w:t>
            </w:r>
            <w:r w:rsidRPr="0071688A">
              <w:rPr>
                <w:rFonts w:ascii="Arial" w:hAnsi="Arial" w:cs="Arial"/>
                <w:sz w:val="20"/>
                <w:szCs w:val="20"/>
              </w:rPr>
              <w:t>O</w:t>
            </w:r>
          </w:p>
        </w:tc>
        <w:tc>
          <w:tcPr>
            <w:tcW w:w="1073" w:type="pct"/>
            <w:tcBorders>
              <w:top w:val="single" w:sz="4" w:space="0" w:color="auto"/>
              <w:bottom w:val="single" w:sz="4" w:space="0" w:color="auto"/>
            </w:tcBorders>
            <w:vAlign w:val="center"/>
          </w:tcPr>
          <w:p w14:paraId="18513F10"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Organic carbon</w:t>
            </w:r>
          </w:p>
        </w:tc>
        <w:tc>
          <w:tcPr>
            <w:tcW w:w="534" w:type="pct"/>
            <w:vMerge/>
            <w:tcBorders>
              <w:bottom w:val="single" w:sz="4" w:space="0" w:color="auto"/>
            </w:tcBorders>
            <w:vAlign w:val="center"/>
          </w:tcPr>
          <w:p w14:paraId="7FED0414" w14:textId="77777777" w:rsidR="0071688A" w:rsidRPr="0071688A" w:rsidRDefault="0071688A" w:rsidP="002539DD">
            <w:pPr>
              <w:spacing w:line="276" w:lineRule="auto"/>
              <w:rPr>
                <w:rFonts w:ascii="Arial" w:hAnsi="Arial" w:cs="Arial"/>
                <w:sz w:val="20"/>
                <w:szCs w:val="20"/>
              </w:rPr>
            </w:pPr>
          </w:p>
        </w:tc>
      </w:tr>
      <w:tr w:rsidR="0071688A" w:rsidRPr="0071688A" w14:paraId="17D6F76D" w14:textId="77777777" w:rsidTr="008605D1">
        <w:trPr>
          <w:trHeight w:val="350"/>
        </w:trPr>
        <w:tc>
          <w:tcPr>
            <w:tcW w:w="404" w:type="pct"/>
            <w:tcBorders>
              <w:top w:val="single" w:sz="4" w:space="0" w:color="auto"/>
            </w:tcBorders>
          </w:tcPr>
          <w:p w14:paraId="36FA49C1"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1</w:t>
            </w:r>
          </w:p>
        </w:tc>
        <w:tc>
          <w:tcPr>
            <w:tcW w:w="834" w:type="pct"/>
            <w:tcBorders>
              <w:top w:val="single" w:sz="4" w:space="0" w:color="auto"/>
            </w:tcBorders>
          </w:tcPr>
          <w:p w14:paraId="3AEC4DE0" w14:textId="77777777" w:rsidR="0071688A" w:rsidRPr="0071688A" w:rsidRDefault="0071688A" w:rsidP="002539DD">
            <w:pPr>
              <w:spacing w:line="276" w:lineRule="auto"/>
              <w:rPr>
                <w:rFonts w:ascii="Arial" w:hAnsi="Arial" w:cs="Arial"/>
                <w:sz w:val="20"/>
                <w:szCs w:val="20"/>
              </w:rPr>
            </w:pPr>
            <w:r w:rsidRPr="0071688A">
              <w:rPr>
                <w:rFonts w:ascii="Arial" w:hAnsi="Arial" w:cs="Arial"/>
                <w:sz w:val="20"/>
                <w:szCs w:val="20"/>
              </w:rPr>
              <w:t>Rice bean</w:t>
            </w:r>
          </w:p>
        </w:tc>
        <w:tc>
          <w:tcPr>
            <w:tcW w:w="662" w:type="pct"/>
            <w:tcBorders>
              <w:top w:val="single" w:sz="4" w:space="0" w:color="auto"/>
            </w:tcBorders>
          </w:tcPr>
          <w:p w14:paraId="16745F46"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60.67</w:t>
            </w:r>
          </w:p>
        </w:tc>
        <w:tc>
          <w:tcPr>
            <w:tcW w:w="476" w:type="pct"/>
            <w:tcBorders>
              <w:top w:val="single" w:sz="4" w:space="0" w:color="auto"/>
            </w:tcBorders>
          </w:tcPr>
          <w:p w14:paraId="0977AC31"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2.02</w:t>
            </w:r>
          </w:p>
        </w:tc>
        <w:tc>
          <w:tcPr>
            <w:tcW w:w="594" w:type="pct"/>
            <w:tcBorders>
              <w:top w:val="single" w:sz="4" w:space="0" w:color="auto"/>
            </w:tcBorders>
          </w:tcPr>
          <w:p w14:paraId="4F158A46"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0.134</w:t>
            </w:r>
          </w:p>
        </w:tc>
        <w:tc>
          <w:tcPr>
            <w:tcW w:w="423" w:type="pct"/>
            <w:tcBorders>
              <w:top w:val="single" w:sz="4" w:space="0" w:color="auto"/>
            </w:tcBorders>
          </w:tcPr>
          <w:p w14:paraId="08667B4C"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1.89</w:t>
            </w:r>
          </w:p>
        </w:tc>
        <w:tc>
          <w:tcPr>
            <w:tcW w:w="1073" w:type="pct"/>
            <w:tcBorders>
              <w:top w:val="single" w:sz="4" w:space="0" w:color="auto"/>
            </w:tcBorders>
          </w:tcPr>
          <w:p w14:paraId="5E94BA3F"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50.71</w:t>
            </w:r>
          </w:p>
        </w:tc>
        <w:tc>
          <w:tcPr>
            <w:tcW w:w="534" w:type="pct"/>
            <w:tcBorders>
              <w:top w:val="single" w:sz="4" w:space="0" w:color="auto"/>
            </w:tcBorders>
          </w:tcPr>
          <w:p w14:paraId="0AB9E01A"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25:10</w:t>
            </w:r>
          </w:p>
        </w:tc>
      </w:tr>
      <w:tr w:rsidR="0071688A" w:rsidRPr="0071688A" w14:paraId="17DA0668" w14:textId="77777777" w:rsidTr="008605D1">
        <w:tc>
          <w:tcPr>
            <w:tcW w:w="404" w:type="pct"/>
          </w:tcPr>
          <w:p w14:paraId="2CDEC9FF"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2</w:t>
            </w:r>
          </w:p>
        </w:tc>
        <w:tc>
          <w:tcPr>
            <w:tcW w:w="834" w:type="pct"/>
          </w:tcPr>
          <w:p w14:paraId="79F7F45B" w14:textId="77777777" w:rsidR="0071688A" w:rsidRPr="0071688A" w:rsidRDefault="0071688A" w:rsidP="002539DD">
            <w:pPr>
              <w:spacing w:line="276" w:lineRule="auto"/>
              <w:rPr>
                <w:rFonts w:ascii="Arial" w:hAnsi="Arial" w:cs="Arial"/>
                <w:sz w:val="20"/>
                <w:szCs w:val="20"/>
              </w:rPr>
            </w:pPr>
            <w:r w:rsidRPr="0071688A">
              <w:rPr>
                <w:rFonts w:ascii="Arial" w:hAnsi="Arial" w:cs="Arial"/>
                <w:sz w:val="20"/>
                <w:szCs w:val="20"/>
              </w:rPr>
              <w:t>Sunn hemp</w:t>
            </w:r>
          </w:p>
        </w:tc>
        <w:tc>
          <w:tcPr>
            <w:tcW w:w="662" w:type="pct"/>
          </w:tcPr>
          <w:p w14:paraId="38663428"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65.51</w:t>
            </w:r>
          </w:p>
        </w:tc>
        <w:tc>
          <w:tcPr>
            <w:tcW w:w="476" w:type="pct"/>
          </w:tcPr>
          <w:p w14:paraId="43EBA7FD"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2.42</w:t>
            </w:r>
          </w:p>
        </w:tc>
        <w:tc>
          <w:tcPr>
            <w:tcW w:w="594" w:type="pct"/>
          </w:tcPr>
          <w:p w14:paraId="42987D5C"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0.138</w:t>
            </w:r>
          </w:p>
        </w:tc>
        <w:tc>
          <w:tcPr>
            <w:tcW w:w="423" w:type="pct"/>
          </w:tcPr>
          <w:p w14:paraId="6F0E1433"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1.37</w:t>
            </w:r>
          </w:p>
        </w:tc>
        <w:tc>
          <w:tcPr>
            <w:tcW w:w="1073" w:type="pct"/>
          </w:tcPr>
          <w:p w14:paraId="0A29EA4F"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63.38</w:t>
            </w:r>
          </w:p>
        </w:tc>
        <w:tc>
          <w:tcPr>
            <w:tcW w:w="534" w:type="pct"/>
          </w:tcPr>
          <w:p w14:paraId="050E7CE5"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22:06</w:t>
            </w:r>
          </w:p>
        </w:tc>
      </w:tr>
      <w:tr w:rsidR="0071688A" w:rsidRPr="0071688A" w14:paraId="6776930A" w14:textId="77777777" w:rsidTr="008605D1">
        <w:trPr>
          <w:trHeight w:val="299"/>
        </w:trPr>
        <w:tc>
          <w:tcPr>
            <w:tcW w:w="404" w:type="pct"/>
          </w:tcPr>
          <w:p w14:paraId="22347383"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3</w:t>
            </w:r>
          </w:p>
        </w:tc>
        <w:tc>
          <w:tcPr>
            <w:tcW w:w="834" w:type="pct"/>
          </w:tcPr>
          <w:p w14:paraId="5140371D" w14:textId="77777777" w:rsidR="0071688A" w:rsidRPr="0071688A" w:rsidRDefault="0071688A" w:rsidP="002539DD">
            <w:pPr>
              <w:spacing w:line="276" w:lineRule="auto"/>
              <w:rPr>
                <w:rFonts w:ascii="Arial" w:hAnsi="Arial" w:cs="Arial"/>
                <w:sz w:val="20"/>
                <w:szCs w:val="20"/>
              </w:rPr>
            </w:pPr>
            <w:proofErr w:type="spellStart"/>
            <w:r w:rsidRPr="0071688A">
              <w:rPr>
                <w:rFonts w:ascii="Arial" w:hAnsi="Arial" w:cs="Arial"/>
                <w:sz w:val="20"/>
                <w:szCs w:val="20"/>
              </w:rPr>
              <w:t>Dhaincha</w:t>
            </w:r>
            <w:proofErr w:type="spellEnd"/>
          </w:p>
        </w:tc>
        <w:tc>
          <w:tcPr>
            <w:tcW w:w="662" w:type="pct"/>
          </w:tcPr>
          <w:p w14:paraId="278F3B2A"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57.64</w:t>
            </w:r>
          </w:p>
        </w:tc>
        <w:tc>
          <w:tcPr>
            <w:tcW w:w="476" w:type="pct"/>
          </w:tcPr>
          <w:p w14:paraId="3CDD75C0"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2.52</w:t>
            </w:r>
          </w:p>
        </w:tc>
        <w:tc>
          <w:tcPr>
            <w:tcW w:w="594" w:type="pct"/>
          </w:tcPr>
          <w:p w14:paraId="16FB2922"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0.207</w:t>
            </w:r>
          </w:p>
        </w:tc>
        <w:tc>
          <w:tcPr>
            <w:tcW w:w="423" w:type="pct"/>
          </w:tcPr>
          <w:p w14:paraId="3C65C3C9"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2.26</w:t>
            </w:r>
          </w:p>
        </w:tc>
        <w:tc>
          <w:tcPr>
            <w:tcW w:w="1073" w:type="pct"/>
          </w:tcPr>
          <w:p w14:paraId="2714C5F8"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51.09</w:t>
            </w:r>
          </w:p>
        </w:tc>
        <w:tc>
          <w:tcPr>
            <w:tcW w:w="534" w:type="pct"/>
          </w:tcPr>
          <w:p w14:paraId="62FB8DAA" w14:textId="77777777" w:rsidR="0071688A" w:rsidRPr="0071688A" w:rsidRDefault="0071688A" w:rsidP="002539DD">
            <w:pPr>
              <w:spacing w:line="276" w:lineRule="auto"/>
              <w:jc w:val="center"/>
              <w:rPr>
                <w:rFonts w:ascii="Arial" w:hAnsi="Arial" w:cs="Arial"/>
                <w:sz w:val="20"/>
                <w:szCs w:val="20"/>
              </w:rPr>
            </w:pPr>
            <w:r w:rsidRPr="0071688A">
              <w:rPr>
                <w:rFonts w:ascii="Arial" w:hAnsi="Arial" w:cs="Arial"/>
                <w:sz w:val="20"/>
                <w:szCs w:val="20"/>
              </w:rPr>
              <w:t>25:10</w:t>
            </w:r>
          </w:p>
        </w:tc>
      </w:tr>
    </w:tbl>
    <w:p w14:paraId="3BDB72DA" w14:textId="77777777" w:rsidR="0071688A" w:rsidRDefault="0071688A" w:rsidP="0071688A">
      <w:pPr>
        <w:pStyle w:val="Body"/>
        <w:spacing w:after="0" w:line="480" w:lineRule="auto"/>
        <w:rPr>
          <w:rFonts w:ascii="Arial" w:hAnsi="Arial" w:cs="Arial"/>
        </w:rPr>
      </w:pPr>
    </w:p>
    <w:p w14:paraId="384B9443" w14:textId="2E9BA4E8" w:rsidR="002539DD" w:rsidRPr="002539DD" w:rsidRDefault="002539DD" w:rsidP="002539DD">
      <w:pPr>
        <w:pStyle w:val="Body"/>
        <w:spacing w:after="0"/>
        <w:rPr>
          <w:rFonts w:ascii="Arial" w:hAnsi="Arial" w:cs="Arial"/>
          <w:b/>
          <w:sz w:val="22"/>
        </w:rPr>
      </w:pPr>
      <w:r>
        <w:rPr>
          <w:rFonts w:ascii="Arial" w:hAnsi="Arial" w:cs="Arial"/>
          <w:b/>
          <w:sz w:val="22"/>
        </w:rPr>
        <w:t xml:space="preserve">2.3 </w:t>
      </w:r>
      <w:r w:rsidRPr="002539DD">
        <w:rPr>
          <w:rFonts w:ascii="Arial" w:hAnsi="Arial" w:cs="Arial"/>
          <w:b/>
          <w:sz w:val="22"/>
        </w:rPr>
        <w:t xml:space="preserve">Determination of soil nutrient contents </w:t>
      </w:r>
    </w:p>
    <w:p w14:paraId="4683AC60" w14:textId="77777777" w:rsidR="002539DD" w:rsidRPr="002539DD" w:rsidRDefault="002539DD" w:rsidP="002539DD">
      <w:pPr>
        <w:pStyle w:val="Body"/>
        <w:spacing w:after="0"/>
        <w:ind w:firstLine="720"/>
        <w:rPr>
          <w:rFonts w:ascii="Arial" w:hAnsi="Arial" w:cs="Arial"/>
        </w:rPr>
      </w:pPr>
      <w:r w:rsidRPr="002539DD">
        <w:rPr>
          <w:rFonts w:ascii="Arial" w:hAnsi="Arial" w:cs="Arial"/>
        </w:rPr>
        <w:t>Soil analysis was conducted both before and after the field experiment. A composite surface soil sample (0-20 cm) was collected from ten different points in the rice cultivation field. The collected soil samples were prepared by combining them, drying at room temperature, removing rocks and coarse organic materials, and grinding them to pass through a 2-cm sieve. A small portion of the soil was then subsampled and sieved using a 2-mm sieve for analysis. The core method was employed to determine soil bulk density, the pycnometer method was used to measure porosity, and the electromagnetic induction method was utilized to assess electrical conductivity.</w:t>
      </w:r>
    </w:p>
    <w:p w14:paraId="4478B724" w14:textId="77777777" w:rsidR="002539DD" w:rsidRPr="002539DD" w:rsidRDefault="002539DD" w:rsidP="002539DD">
      <w:pPr>
        <w:pStyle w:val="Body"/>
        <w:spacing w:after="0"/>
        <w:ind w:firstLine="720"/>
        <w:rPr>
          <w:rFonts w:ascii="Arial" w:hAnsi="Arial" w:cs="Arial"/>
        </w:rPr>
      </w:pPr>
      <w:r w:rsidRPr="002539DD">
        <w:rPr>
          <w:rFonts w:ascii="Arial" w:hAnsi="Arial" w:cs="Arial"/>
        </w:rPr>
        <w:t>The classification of soil (including sand, silt, clay, and overall texture) was determined using the international pipette method. Soil pH was measured with a glass electrode (Jason, 1958), while organic carbon content was assessed through wet digestion (Walkley &amp; Black, 1934). Available N was analyzed using extraction and distillation techniques (Bremner, 1965); available P was determined by the Olsen bicarbonate method (Olsen &amp; Sommers, 1982); and available K was analyzed using the ammonium acetate extraction method (</w:t>
      </w:r>
      <w:proofErr w:type="spellStart"/>
      <w:r w:rsidRPr="002539DD">
        <w:rPr>
          <w:rFonts w:ascii="Arial" w:hAnsi="Arial" w:cs="Arial"/>
        </w:rPr>
        <w:t>Kudsen</w:t>
      </w:r>
      <w:proofErr w:type="spellEnd"/>
      <w:r w:rsidRPr="002539DD">
        <w:rPr>
          <w:rFonts w:ascii="Arial" w:hAnsi="Arial" w:cs="Arial"/>
        </w:rPr>
        <w:t xml:space="preserve"> et al., 1982). Finally, cation exchange capacity (CEC) was determined through the leaching method (Lu et al., 2011).</w:t>
      </w:r>
    </w:p>
    <w:p w14:paraId="6616B8DE" w14:textId="7CE7BF5E" w:rsidR="002539DD" w:rsidRPr="002539DD" w:rsidRDefault="002539DD" w:rsidP="002539DD">
      <w:pPr>
        <w:pStyle w:val="Body"/>
        <w:spacing w:after="0"/>
        <w:rPr>
          <w:rFonts w:ascii="Arial" w:hAnsi="Arial" w:cs="Arial"/>
          <w:b/>
          <w:sz w:val="22"/>
        </w:rPr>
      </w:pPr>
      <w:r>
        <w:rPr>
          <w:rFonts w:ascii="Arial" w:hAnsi="Arial" w:cs="Arial"/>
          <w:b/>
          <w:sz w:val="22"/>
        </w:rPr>
        <w:t xml:space="preserve">2.4 </w:t>
      </w:r>
      <w:r w:rsidRPr="002539DD">
        <w:rPr>
          <w:rFonts w:ascii="Arial" w:hAnsi="Arial" w:cs="Arial"/>
          <w:b/>
          <w:sz w:val="22"/>
        </w:rPr>
        <w:t>Determination of dry matter and N uptakes</w:t>
      </w:r>
    </w:p>
    <w:p w14:paraId="10BEFFDB" w14:textId="77777777" w:rsidR="002539DD" w:rsidRPr="002539DD" w:rsidRDefault="002539DD" w:rsidP="002539DD">
      <w:pPr>
        <w:pStyle w:val="Body"/>
        <w:spacing w:after="0"/>
        <w:ind w:firstLine="720"/>
        <w:rPr>
          <w:rFonts w:ascii="Arial" w:hAnsi="Arial" w:cs="Arial"/>
        </w:rPr>
      </w:pPr>
      <w:r w:rsidRPr="002539DD">
        <w:rPr>
          <w:rFonts w:ascii="Arial" w:hAnsi="Arial" w:cs="Arial"/>
        </w:rPr>
        <w:t>At the harvest stage, we measured the dry matter (DM) weight and N uptake of rice. From each plot, two representative hills were cut 2 cm above the ground. The samples were then separated into sheaths, leaves, panicles, and seeds, and oven-dried at 70 °C for 48 hours before being weighed immediately. The total dry matter accumulation was calculated by summing the weights of all plant parts and expressed in tons per hectare (t ha</w:t>
      </w:r>
      <w:r w:rsidRPr="002539DD">
        <w:rPr>
          <w:rFonts w:ascii="Arial" w:hAnsi="Arial" w:cs="Arial"/>
          <w:vertAlign w:val="superscript"/>
        </w:rPr>
        <w:t>–1</w:t>
      </w:r>
      <w:r w:rsidRPr="002539DD">
        <w:rPr>
          <w:rFonts w:ascii="Arial" w:hAnsi="Arial" w:cs="Arial"/>
        </w:rPr>
        <w:t>).</w:t>
      </w:r>
    </w:p>
    <w:p w14:paraId="0A6A3AEB" w14:textId="77777777" w:rsidR="002539DD" w:rsidRPr="002539DD" w:rsidRDefault="002539DD" w:rsidP="002539DD">
      <w:pPr>
        <w:pStyle w:val="Body"/>
        <w:spacing w:after="0"/>
        <w:ind w:firstLine="720"/>
        <w:rPr>
          <w:rFonts w:ascii="Arial" w:hAnsi="Arial" w:cs="Arial"/>
        </w:rPr>
      </w:pPr>
      <w:r w:rsidRPr="002539DD">
        <w:rPr>
          <w:rFonts w:ascii="Arial" w:hAnsi="Arial" w:cs="Arial"/>
        </w:rPr>
        <w:t xml:space="preserve">The oven-dried samples, including sheaths, leaves, and seeds, were thoroughly mixed and ground to a fine powder using a </w:t>
      </w:r>
      <w:proofErr w:type="spellStart"/>
      <w:r w:rsidRPr="002539DD">
        <w:rPr>
          <w:rFonts w:ascii="Arial" w:hAnsi="Arial" w:cs="Arial"/>
        </w:rPr>
        <w:t>Cyclotec</w:t>
      </w:r>
      <w:proofErr w:type="spellEnd"/>
      <w:r w:rsidRPr="002539DD">
        <w:rPr>
          <w:rFonts w:ascii="Arial" w:hAnsi="Arial" w:cs="Arial"/>
        </w:rPr>
        <w:t xml:space="preserve"> 1093 Sample Mill (100–120 mesh; </w:t>
      </w:r>
      <w:proofErr w:type="spellStart"/>
      <w:r w:rsidRPr="002539DD">
        <w:rPr>
          <w:rFonts w:ascii="Arial" w:hAnsi="Arial" w:cs="Arial"/>
        </w:rPr>
        <w:t>Tecator</w:t>
      </w:r>
      <w:proofErr w:type="spellEnd"/>
      <w:r w:rsidRPr="002539DD">
        <w:rPr>
          <w:rFonts w:ascii="Arial" w:hAnsi="Arial" w:cs="Arial"/>
        </w:rPr>
        <w:t xml:space="preserve"> AB, </w:t>
      </w:r>
      <w:proofErr w:type="spellStart"/>
      <w:r w:rsidRPr="002539DD">
        <w:rPr>
          <w:rFonts w:ascii="Arial" w:hAnsi="Arial" w:cs="Arial"/>
        </w:rPr>
        <w:t>Hoedanaes</w:t>
      </w:r>
      <w:proofErr w:type="spellEnd"/>
      <w:r w:rsidRPr="002539DD">
        <w:rPr>
          <w:rFonts w:ascii="Arial" w:hAnsi="Arial" w:cs="Arial"/>
        </w:rPr>
        <w:t>, Sweden). Each plant sample was digested separately using the salicylic acid–H2SO4–hydrogen peroxide (H2O2) method, as described by Ohyama et al. (1991), followed by the analysis of total N using the same procedure as for the soil analysis. Total N uptake was calculated as the sum of the products of biomass and N concentration in the plant samples.</w:t>
      </w:r>
    </w:p>
    <w:p w14:paraId="2863125A" w14:textId="03945055" w:rsidR="002539DD" w:rsidRPr="002539DD" w:rsidRDefault="002539DD" w:rsidP="002539DD">
      <w:pPr>
        <w:pStyle w:val="Body"/>
        <w:spacing w:after="0"/>
        <w:rPr>
          <w:rFonts w:ascii="Arial" w:hAnsi="Arial" w:cs="Arial"/>
          <w:b/>
          <w:sz w:val="22"/>
        </w:rPr>
      </w:pPr>
      <w:r>
        <w:rPr>
          <w:rFonts w:ascii="Arial" w:hAnsi="Arial" w:cs="Arial"/>
          <w:b/>
          <w:sz w:val="22"/>
        </w:rPr>
        <w:t xml:space="preserve">2.5 </w:t>
      </w:r>
      <w:r w:rsidRPr="002539DD">
        <w:rPr>
          <w:rFonts w:ascii="Arial" w:hAnsi="Arial" w:cs="Arial"/>
          <w:b/>
          <w:sz w:val="22"/>
        </w:rPr>
        <w:t xml:space="preserve">Determination of yield </w:t>
      </w:r>
    </w:p>
    <w:p w14:paraId="7BC3DD62" w14:textId="77777777" w:rsidR="002539DD" w:rsidRPr="002539DD" w:rsidRDefault="002539DD" w:rsidP="002539DD">
      <w:pPr>
        <w:pStyle w:val="Body"/>
        <w:spacing w:after="0"/>
        <w:ind w:firstLine="720"/>
        <w:rPr>
          <w:rFonts w:ascii="Arial" w:hAnsi="Arial" w:cs="Arial"/>
        </w:rPr>
      </w:pPr>
      <w:r w:rsidRPr="002539DD">
        <w:rPr>
          <w:rFonts w:ascii="Arial" w:hAnsi="Arial" w:cs="Arial"/>
        </w:rPr>
        <w:t xml:space="preserve">Yield components, such as the number of panicles per hill, the number of </w:t>
      </w:r>
      <w:proofErr w:type="spellStart"/>
      <w:r w:rsidRPr="002539DD">
        <w:rPr>
          <w:rFonts w:ascii="Arial" w:hAnsi="Arial" w:cs="Arial"/>
        </w:rPr>
        <w:t>spikelets</w:t>
      </w:r>
      <w:proofErr w:type="spellEnd"/>
      <w:r w:rsidRPr="002539DD">
        <w:rPr>
          <w:rFonts w:ascii="Arial" w:hAnsi="Arial" w:cs="Arial"/>
        </w:rPr>
        <w:t xml:space="preserve"> per panicle, the percentage of filled grains, and the thousand-grain weight (in grams), were assessed from ten hills per plot. The yields for each treatment were measured by weighing the harvested area of 1 m², which consisted of 25 hills. The harvest index (HI) was </w:t>
      </w:r>
      <w:r w:rsidRPr="002539DD">
        <w:rPr>
          <w:rFonts w:ascii="Arial" w:hAnsi="Arial" w:cs="Arial"/>
        </w:rPr>
        <w:lastRenderedPageBreak/>
        <w:t>calculated as the ratio of economic yield (total seed weight) to biological yield (total dry matter weight) (Yoshida, 1981). The rice yield was determined using the weight of the heavier seeds, which was adjusted to 14% moisture content.</w:t>
      </w:r>
    </w:p>
    <w:p w14:paraId="3B0E9E08" w14:textId="4C33941D" w:rsidR="002539DD" w:rsidRPr="002539DD" w:rsidRDefault="002539DD" w:rsidP="002539DD">
      <w:pPr>
        <w:pStyle w:val="Body"/>
        <w:spacing w:after="0"/>
        <w:rPr>
          <w:rFonts w:ascii="Arial" w:hAnsi="Arial" w:cs="Arial"/>
          <w:b/>
          <w:sz w:val="22"/>
        </w:rPr>
      </w:pPr>
      <w:r>
        <w:rPr>
          <w:rFonts w:ascii="Arial" w:hAnsi="Arial" w:cs="Arial"/>
          <w:b/>
          <w:sz w:val="22"/>
        </w:rPr>
        <w:t xml:space="preserve">2.6 </w:t>
      </w:r>
      <w:r w:rsidRPr="002539DD">
        <w:rPr>
          <w:rFonts w:ascii="Arial" w:hAnsi="Arial" w:cs="Arial"/>
          <w:b/>
          <w:sz w:val="22"/>
        </w:rPr>
        <w:t>Calculation of N use efficiency</w:t>
      </w:r>
    </w:p>
    <w:p w14:paraId="3AD17DC3" w14:textId="77777777" w:rsidR="002539DD" w:rsidRDefault="002539DD" w:rsidP="002539DD">
      <w:pPr>
        <w:pStyle w:val="Body"/>
        <w:spacing w:after="0"/>
        <w:ind w:firstLine="720"/>
        <w:rPr>
          <w:rFonts w:ascii="Arial" w:hAnsi="Arial" w:cs="Arial"/>
        </w:rPr>
      </w:pPr>
      <w:r w:rsidRPr="002539DD">
        <w:rPr>
          <w:rFonts w:ascii="Arial" w:hAnsi="Arial" w:cs="Arial"/>
        </w:rPr>
        <w:t>N use efficiency (NUE) refers to the increase in grain yield for each kilogram of total N applied, excluding the N supplied naturally by the soil. The N use efficiency of Sin-</w:t>
      </w:r>
      <w:proofErr w:type="spellStart"/>
      <w:r w:rsidRPr="002539DD">
        <w:rPr>
          <w:rFonts w:ascii="Arial" w:hAnsi="Arial" w:cs="Arial"/>
        </w:rPr>
        <w:t>thu</w:t>
      </w:r>
      <w:proofErr w:type="spellEnd"/>
      <w:r w:rsidRPr="002539DD">
        <w:rPr>
          <w:rFonts w:ascii="Arial" w:hAnsi="Arial" w:cs="Arial"/>
        </w:rPr>
        <w:t>-kha rice was calculated according to the method described by Novoa and Loomis in 1981:</w:t>
      </w:r>
    </w:p>
    <w:p w14:paraId="482156CD" w14:textId="3AB42FB6" w:rsidR="002539DD" w:rsidRPr="002539DD" w:rsidRDefault="002539DD" w:rsidP="002539DD">
      <w:pPr>
        <w:pStyle w:val="Body"/>
        <w:spacing w:after="0"/>
        <w:ind w:left="720"/>
        <w:rPr>
          <w:rFonts w:ascii="Arial" w:hAnsi="Arial" w:cs="Arial"/>
        </w:rPr>
      </w:pPr>
      <m:oMathPara>
        <m:oMathParaPr>
          <m:jc m:val="left"/>
        </m:oMathParaPr>
        <m:oMath>
          <m:r>
            <m:rPr>
              <m:nor/>
            </m:rPr>
            <w:rPr>
              <w:rFonts w:ascii="Arial" w:eastAsia="Batang" w:hAnsi="Arial" w:cs="Arial"/>
            </w:rPr>
            <m:t xml:space="preserve">NUE = </m:t>
          </m:r>
          <m:f>
            <m:fPr>
              <m:ctrlPr>
                <w:rPr>
                  <w:rFonts w:ascii="Cambria Math" w:eastAsia="Batang" w:hAnsi="Cambria Math" w:cs="Arial"/>
                </w:rPr>
              </m:ctrlPr>
            </m:fPr>
            <m:num>
              <m:r>
                <m:rPr>
                  <m:nor/>
                </m:rPr>
                <w:rPr>
                  <w:rFonts w:ascii="Arial" w:eastAsia="Batang" w:hAnsi="Arial" w:cs="Arial"/>
                </w:rPr>
                <m:t>Grain yield (N fertilized plot – N</m:t>
              </m:r>
              <m:r>
                <m:rPr>
                  <m:nor/>
                </m:rPr>
                <w:rPr>
                  <w:rFonts w:ascii="Arial" w:eastAsia="Batang" w:hAnsi="Arial" w:cs="Arial"/>
                  <w:vertAlign w:val="subscript"/>
                </w:rPr>
                <m:t>0</m:t>
              </m:r>
              <m:r>
                <m:rPr>
                  <m:nor/>
                </m:rPr>
                <w:rPr>
                  <w:rFonts w:ascii="Arial" w:eastAsia="Batang" w:hAnsi="Arial" w:cs="Arial"/>
                </w:rPr>
                <m:t xml:space="preserve"> plot) (kg ha</m:t>
              </m:r>
              <m:r>
                <m:rPr>
                  <m:nor/>
                </m:rPr>
                <w:rPr>
                  <w:rFonts w:ascii="Arial" w:eastAsia="Batang" w:hAnsi="Arial" w:cs="Arial"/>
                  <w:vertAlign w:val="superscript"/>
                </w:rPr>
                <m:t>-1</m:t>
              </m:r>
              <m:r>
                <m:rPr>
                  <m:nor/>
                </m:rPr>
                <w:rPr>
                  <w:rFonts w:ascii="Arial" w:eastAsia="Batang" w:hAnsi="Arial" w:cs="Arial"/>
                </w:rPr>
                <m:t>)</m:t>
              </m:r>
            </m:num>
            <m:den>
              <m:r>
                <m:rPr>
                  <m:nor/>
                </m:rPr>
                <w:rPr>
                  <w:rFonts w:ascii="Arial" w:eastAsia="Batang" w:hAnsi="Arial" w:cs="Arial"/>
                </w:rPr>
                <m:t>Total N applied from each plot (kg ha</m:t>
              </m:r>
              <m:r>
                <m:rPr>
                  <m:nor/>
                </m:rPr>
                <w:rPr>
                  <w:rFonts w:ascii="Arial" w:eastAsia="Batang" w:hAnsi="Arial" w:cs="Arial"/>
                  <w:vertAlign w:val="superscript"/>
                </w:rPr>
                <m:t>-1</m:t>
              </m:r>
              <m:r>
                <m:rPr>
                  <m:nor/>
                </m:rPr>
                <w:rPr>
                  <w:rFonts w:ascii="Arial" w:eastAsia="Batang" w:hAnsi="Arial" w:cs="Arial"/>
                </w:rPr>
                <m:t>)</m:t>
              </m:r>
            </m:den>
          </m:f>
        </m:oMath>
      </m:oMathPara>
    </w:p>
    <w:p w14:paraId="11D2680D" w14:textId="77777777" w:rsidR="002539DD" w:rsidRPr="002539DD" w:rsidRDefault="002539DD" w:rsidP="002539DD">
      <w:pPr>
        <w:pStyle w:val="Body"/>
        <w:spacing w:after="0"/>
        <w:rPr>
          <w:rFonts w:ascii="Arial" w:hAnsi="Arial" w:cs="Arial"/>
        </w:rPr>
      </w:pPr>
    </w:p>
    <w:p w14:paraId="0A28BF24" w14:textId="1DEE949E" w:rsidR="002539DD" w:rsidRPr="002539DD" w:rsidRDefault="002539DD" w:rsidP="002539DD">
      <w:pPr>
        <w:pStyle w:val="Body"/>
        <w:spacing w:after="0"/>
        <w:rPr>
          <w:rFonts w:ascii="Arial" w:hAnsi="Arial" w:cs="Arial"/>
          <w:b/>
          <w:sz w:val="22"/>
        </w:rPr>
      </w:pPr>
      <w:r>
        <w:rPr>
          <w:rFonts w:ascii="Arial" w:hAnsi="Arial" w:cs="Arial"/>
          <w:b/>
          <w:sz w:val="22"/>
        </w:rPr>
        <w:t xml:space="preserve">2.7 </w:t>
      </w:r>
      <w:r w:rsidRPr="002539DD">
        <w:rPr>
          <w:rFonts w:ascii="Arial" w:hAnsi="Arial" w:cs="Arial"/>
          <w:b/>
          <w:sz w:val="22"/>
        </w:rPr>
        <w:t xml:space="preserve">Data Analysis </w:t>
      </w:r>
    </w:p>
    <w:p w14:paraId="6BDC2590" w14:textId="583980DF" w:rsidR="002539DD" w:rsidRDefault="002539DD" w:rsidP="002539DD">
      <w:pPr>
        <w:pStyle w:val="Body"/>
        <w:spacing w:after="0"/>
        <w:ind w:firstLine="720"/>
        <w:rPr>
          <w:rFonts w:ascii="Arial" w:hAnsi="Arial" w:cs="Arial"/>
        </w:rPr>
      </w:pPr>
      <w:r w:rsidRPr="002539DD">
        <w:rPr>
          <w:rFonts w:ascii="Arial" w:hAnsi="Arial" w:cs="Arial"/>
        </w:rPr>
        <w:t xml:space="preserve">The data were summarized and analyzed using Analysis of Variance (ANOVA) with the statistical software </w:t>
      </w:r>
      <w:proofErr w:type="spellStart"/>
      <w:r w:rsidRPr="002539DD">
        <w:rPr>
          <w:rFonts w:ascii="Arial" w:hAnsi="Arial" w:cs="Arial"/>
        </w:rPr>
        <w:t>Statistix</w:t>
      </w:r>
      <w:proofErr w:type="spellEnd"/>
      <w:r w:rsidRPr="002539DD">
        <w:rPr>
          <w:rFonts w:ascii="Arial" w:hAnsi="Arial" w:cs="Arial"/>
        </w:rPr>
        <w:t xml:space="preserve"> (Version 8.0). Treatment means comparison was conducted using the Least Significant Difference (LSD) test at a 5% level of significance.</w:t>
      </w:r>
    </w:p>
    <w:p w14:paraId="7E2E6876" w14:textId="77777777" w:rsidR="00790ADA" w:rsidRPr="00FB3A86" w:rsidRDefault="00790ADA" w:rsidP="00441B6F">
      <w:pPr>
        <w:pStyle w:val="Body"/>
        <w:spacing w:after="0"/>
        <w:rPr>
          <w:rFonts w:ascii="Arial" w:hAnsi="Arial" w:cs="Arial"/>
        </w:rPr>
      </w:pPr>
    </w:p>
    <w:p w14:paraId="556A6C8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ED17198" w14:textId="77777777" w:rsidR="00790ADA" w:rsidRPr="00FB3A86" w:rsidRDefault="00790ADA" w:rsidP="00441B6F">
      <w:pPr>
        <w:pStyle w:val="Head1"/>
        <w:spacing w:after="0"/>
        <w:jc w:val="both"/>
        <w:rPr>
          <w:rFonts w:ascii="Arial" w:hAnsi="Arial" w:cs="Arial"/>
        </w:rPr>
      </w:pPr>
    </w:p>
    <w:p w14:paraId="350BE382" w14:textId="5A13B80B" w:rsidR="00C25D37" w:rsidRPr="006909F3" w:rsidRDefault="006909F3" w:rsidP="00C25D37">
      <w:pPr>
        <w:pStyle w:val="Body"/>
        <w:spacing w:after="0"/>
        <w:rPr>
          <w:rFonts w:ascii="Arial" w:hAnsi="Arial" w:cs="Arial"/>
          <w:b/>
          <w:sz w:val="22"/>
        </w:rPr>
      </w:pPr>
      <w:r>
        <w:rPr>
          <w:rFonts w:ascii="Arial" w:hAnsi="Arial" w:cs="Arial"/>
          <w:b/>
          <w:sz w:val="22"/>
        </w:rPr>
        <w:t xml:space="preserve">3.1 </w:t>
      </w:r>
      <w:r w:rsidR="00C25D37" w:rsidRPr="006909F3">
        <w:rPr>
          <w:rFonts w:ascii="Arial" w:hAnsi="Arial" w:cs="Arial"/>
          <w:b/>
          <w:sz w:val="22"/>
        </w:rPr>
        <w:t>Changes in nutrient contents of the soil</w:t>
      </w:r>
    </w:p>
    <w:p w14:paraId="347653FB" w14:textId="289B5928" w:rsidR="00C25D37" w:rsidRDefault="00C25D37" w:rsidP="00C25D37">
      <w:pPr>
        <w:pStyle w:val="Body"/>
        <w:spacing w:after="0"/>
        <w:ind w:firstLine="720"/>
        <w:rPr>
          <w:rFonts w:ascii="Arial" w:hAnsi="Arial" w:cs="Arial"/>
        </w:rPr>
      </w:pPr>
      <w:r w:rsidRPr="00C25D37">
        <w:rPr>
          <w:rFonts w:ascii="Arial" w:hAnsi="Arial" w:cs="Arial"/>
        </w:rPr>
        <w:t>In the analysis of soil physico</w:t>
      </w:r>
      <w:r>
        <w:rPr>
          <w:rFonts w:ascii="Arial" w:hAnsi="Arial" w:cs="Arial"/>
        </w:rPr>
        <w:t xml:space="preserve">chemical </w:t>
      </w:r>
      <w:r w:rsidRPr="00C25D37">
        <w:rPr>
          <w:rFonts w:ascii="Arial" w:hAnsi="Arial" w:cs="Arial"/>
        </w:rPr>
        <w:t>properties, specifically total N (N %) and the availability of phosphorus (P, ppm) and potassium (K, ppm), we observed notable changes following the experiment. Among all treatments, the highest total N percentage was recorded in soils treated with a combination of N100 rate alongside GRB at 0.87 and GSH at 0.81. However, the levels of available phosphorus, available potassium, and organic carbon in the soil did not show significant differences across treatments and did not correlate with the amount of N applied (Table 3). The integration of green manure with N fertilizers presents a promising strategy for enhancing N fertilizer management, improving soil fertility and organic matter, reducing N losses from easily accessible sources, increasing the utilization of green manure N, and boosting the yields of grain crops. In the case of legume green manures, this approach also incorporates biologically fixed N into the soil (</w:t>
      </w:r>
      <w:proofErr w:type="spellStart"/>
      <w:r w:rsidRPr="00C25D37">
        <w:rPr>
          <w:rFonts w:ascii="Arial" w:hAnsi="Arial" w:cs="Arial"/>
        </w:rPr>
        <w:t>Cazetta</w:t>
      </w:r>
      <w:proofErr w:type="spellEnd"/>
      <w:r w:rsidRPr="00C25D37">
        <w:rPr>
          <w:rFonts w:ascii="Arial" w:hAnsi="Arial" w:cs="Arial"/>
        </w:rPr>
        <w:t xml:space="preserve"> et al., 2008; </w:t>
      </w:r>
      <w:proofErr w:type="spellStart"/>
      <w:r w:rsidRPr="00C25D37">
        <w:rPr>
          <w:rFonts w:ascii="Arial" w:hAnsi="Arial" w:cs="Arial"/>
        </w:rPr>
        <w:t>Scivittaro</w:t>
      </w:r>
      <w:proofErr w:type="spellEnd"/>
      <w:r w:rsidRPr="00C25D37">
        <w:rPr>
          <w:rFonts w:ascii="Arial" w:hAnsi="Arial" w:cs="Arial"/>
        </w:rPr>
        <w:t xml:space="preserve"> et al., 2005; </w:t>
      </w:r>
      <w:proofErr w:type="spellStart"/>
      <w:r w:rsidRPr="00C25D37">
        <w:rPr>
          <w:rFonts w:ascii="Arial" w:hAnsi="Arial" w:cs="Arial"/>
        </w:rPr>
        <w:t>Scivittaro</w:t>
      </w:r>
      <w:proofErr w:type="spellEnd"/>
      <w:r w:rsidRPr="00C25D37">
        <w:rPr>
          <w:rFonts w:ascii="Arial" w:hAnsi="Arial" w:cs="Arial"/>
        </w:rPr>
        <w:t xml:space="preserve"> et al., 2008; Reis et al., 2008 and Silva et al., 2006).</w:t>
      </w:r>
    </w:p>
    <w:p w14:paraId="0E75B070" w14:textId="77777777" w:rsidR="00F90787" w:rsidRDefault="00F90787" w:rsidP="00C25D37">
      <w:pPr>
        <w:pStyle w:val="Body"/>
        <w:spacing w:after="0"/>
        <w:ind w:firstLine="720"/>
        <w:rPr>
          <w:rFonts w:ascii="Arial" w:hAnsi="Arial" w:cs="Arial"/>
        </w:rPr>
      </w:pPr>
    </w:p>
    <w:p w14:paraId="3A28A079" w14:textId="5B7F19DE" w:rsidR="00F90787" w:rsidRPr="008330C3" w:rsidRDefault="00F90787" w:rsidP="00F90787">
      <w:pPr>
        <w:pStyle w:val="Body"/>
        <w:spacing w:after="0"/>
        <w:rPr>
          <w:rFonts w:ascii="Arial" w:hAnsi="Arial" w:cs="Arial"/>
          <w:b/>
          <w:bCs/>
        </w:rPr>
      </w:pPr>
      <w:r w:rsidRPr="008330C3">
        <w:rPr>
          <w:rFonts w:ascii="Arial" w:hAnsi="Arial" w:cs="Arial"/>
          <w:b/>
          <w:bCs/>
        </w:rPr>
        <w:t>Table 3 Changes of nutrient content in the soil before and after the field experiment</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915"/>
        <w:gridCol w:w="1075"/>
        <w:gridCol w:w="1316"/>
        <w:gridCol w:w="432"/>
        <w:gridCol w:w="585"/>
        <w:gridCol w:w="1257"/>
        <w:gridCol w:w="1015"/>
        <w:gridCol w:w="1139"/>
        <w:gridCol w:w="1017"/>
        <w:gridCol w:w="1159"/>
      </w:tblGrid>
      <w:tr w:rsidR="00F90787" w:rsidRPr="00F90787" w14:paraId="521CC921" w14:textId="77777777" w:rsidTr="00F90787">
        <w:trPr>
          <w:trHeight w:val="432"/>
        </w:trPr>
        <w:tc>
          <w:tcPr>
            <w:tcW w:w="878" w:type="pct"/>
            <w:vMerge w:val="restart"/>
            <w:tcBorders>
              <w:top w:val="single" w:sz="4" w:space="0" w:color="auto"/>
              <w:bottom w:val="nil"/>
            </w:tcBorders>
            <w:tcMar>
              <w:top w:w="15" w:type="dxa"/>
              <w:left w:w="55" w:type="dxa"/>
              <w:bottom w:w="0" w:type="dxa"/>
              <w:right w:w="55" w:type="dxa"/>
            </w:tcMar>
            <w:vAlign w:val="center"/>
            <w:hideMark/>
          </w:tcPr>
          <w:p w14:paraId="4F78BD7B"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Treatments</w:t>
            </w:r>
          </w:p>
        </w:tc>
        <w:tc>
          <w:tcPr>
            <w:tcW w:w="1294" w:type="pct"/>
            <w:gridSpan w:val="3"/>
            <w:tcBorders>
              <w:top w:val="single" w:sz="4" w:space="0" w:color="auto"/>
              <w:bottom w:val="single" w:sz="4" w:space="0" w:color="auto"/>
            </w:tcBorders>
            <w:tcMar>
              <w:top w:w="15" w:type="dxa"/>
              <w:left w:w="55" w:type="dxa"/>
              <w:bottom w:w="0" w:type="dxa"/>
              <w:right w:w="55" w:type="dxa"/>
            </w:tcMar>
            <w:vAlign w:val="center"/>
            <w:hideMark/>
          </w:tcPr>
          <w:p w14:paraId="6609F9D6"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Total N</w:t>
            </w:r>
            <w:r w:rsidRPr="00F90787">
              <w:rPr>
                <w:rFonts w:ascii="Arial" w:eastAsiaTheme="minorEastAsia" w:hAnsi="Arial" w:cs="Arial"/>
                <w:color w:val="000000"/>
                <w:kern w:val="24"/>
              </w:rPr>
              <w:t xml:space="preserve"> (%)</w:t>
            </w:r>
          </w:p>
        </w:tc>
        <w:tc>
          <w:tcPr>
            <w:tcW w:w="844" w:type="pct"/>
            <w:gridSpan w:val="2"/>
            <w:tcBorders>
              <w:top w:val="single" w:sz="4" w:space="0" w:color="auto"/>
              <w:bottom w:val="single" w:sz="4" w:space="0" w:color="auto"/>
            </w:tcBorders>
            <w:tcMar>
              <w:top w:w="15" w:type="dxa"/>
              <w:left w:w="55" w:type="dxa"/>
              <w:bottom w:w="0" w:type="dxa"/>
              <w:right w:w="55" w:type="dxa"/>
            </w:tcMar>
            <w:vAlign w:val="center"/>
            <w:hideMark/>
          </w:tcPr>
          <w:p w14:paraId="27C28500"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Available P</w:t>
            </w:r>
            <w:r w:rsidRPr="00F90787">
              <w:rPr>
                <w:rFonts w:ascii="Arial" w:hAnsi="Arial" w:cs="Arial"/>
                <w:color w:val="000000" w:themeColor="text1"/>
                <w:kern w:val="24"/>
                <w:vertAlign w:val="subscript"/>
              </w:rPr>
              <w:t>2</w:t>
            </w:r>
            <w:r w:rsidRPr="00F90787">
              <w:rPr>
                <w:rFonts w:ascii="Arial" w:hAnsi="Arial" w:cs="Arial"/>
                <w:color w:val="000000" w:themeColor="text1"/>
                <w:kern w:val="24"/>
              </w:rPr>
              <w:t>O</w:t>
            </w:r>
            <w:r w:rsidRPr="00F90787">
              <w:rPr>
                <w:rFonts w:ascii="Arial" w:hAnsi="Arial" w:cs="Arial"/>
                <w:color w:val="000000" w:themeColor="text1"/>
                <w:kern w:val="24"/>
                <w:vertAlign w:val="subscript"/>
              </w:rPr>
              <w:t>5</w:t>
            </w:r>
            <w:r w:rsidRPr="00F90787">
              <w:rPr>
                <w:rFonts w:ascii="Arial" w:hAnsi="Arial" w:cs="Arial"/>
                <w:color w:val="000000" w:themeColor="text1"/>
                <w:kern w:val="24"/>
                <w:position w:val="-9"/>
                <w:vertAlign w:val="subscript"/>
              </w:rPr>
              <w:t xml:space="preserve"> </w:t>
            </w:r>
            <w:r w:rsidRPr="00F90787">
              <w:rPr>
                <w:rFonts w:ascii="Arial" w:eastAsiaTheme="minorEastAsia" w:hAnsi="Arial" w:cs="Arial"/>
                <w:color w:val="000000"/>
                <w:kern w:val="24"/>
              </w:rPr>
              <w:t>(ppm)</w:t>
            </w:r>
          </w:p>
        </w:tc>
        <w:tc>
          <w:tcPr>
            <w:tcW w:w="987" w:type="pct"/>
            <w:gridSpan w:val="2"/>
            <w:tcBorders>
              <w:top w:val="single" w:sz="4" w:space="0" w:color="auto"/>
              <w:bottom w:val="single" w:sz="4" w:space="0" w:color="auto"/>
            </w:tcBorders>
            <w:tcMar>
              <w:top w:w="15" w:type="dxa"/>
              <w:left w:w="55" w:type="dxa"/>
              <w:bottom w:w="0" w:type="dxa"/>
              <w:right w:w="55" w:type="dxa"/>
            </w:tcMar>
            <w:vAlign w:val="center"/>
            <w:hideMark/>
          </w:tcPr>
          <w:p w14:paraId="6C7506F2"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Available K</w:t>
            </w:r>
            <w:r w:rsidRPr="00F90787">
              <w:rPr>
                <w:rFonts w:ascii="Arial" w:hAnsi="Arial" w:cs="Arial"/>
                <w:color w:val="000000" w:themeColor="text1"/>
                <w:kern w:val="24"/>
                <w:vertAlign w:val="subscript"/>
              </w:rPr>
              <w:t>2</w:t>
            </w:r>
            <w:r w:rsidRPr="00F90787">
              <w:rPr>
                <w:rFonts w:ascii="Arial" w:hAnsi="Arial" w:cs="Arial"/>
                <w:color w:val="000000" w:themeColor="text1"/>
                <w:kern w:val="24"/>
              </w:rPr>
              <w:t xml:space="preserve">O </w:t>
            </w:r>
            <w:r w:rsidRPr="00F90787">
              <w:rPr>
                <w:rFonts w:ascii="Arial" w:eastAsia="Calibri" w:hAnsi="Arial" w:cs="Arial"/>
                <w:color w:val="000000" w:themeColor="text1"/>
                <w:kern w:val="24"/>
              </w:rPr>
              <w:t>(ppm)</w:t>
            </w:r>
          </w:p>
        </w:tc>
        <w:tc>
          <w:tcPr>
            <w:tcW w:w="998" w:type="pct"/>
            <w:gridSpan w:val="2"/>
            <w:tcBorders>
              <w:top w:val="single" w:sz="4" w:space="0" w:color="auto"/>
              <w:bottom w:val="single" w:sz="4" w:space="0" w:color="auto"/>
            </w:tcBorders>
            <w:tcMar>
              <w:top w:w="15" w:type="dxa"/>
              <w:left w:w="55" w:type="dxa"/>
              <w:bottom w:w="0" w:type="dxa"/>
              <w:right w:w="55" w:type="dxa"/>
            </w:tcMar>
            <w:vAlign w:val="center"/>
            <w:hideMark/>
          </w:tcPr>
          <w:p w14:paraId="609869B9"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Organic carbon (%)</w:t>
            </w:r>
          </w:p>
        </w:tc>
      </w:tr>
      <w:tr w:rsidR="00F90787" w:rsidRPr="00F90787" w14:paraId="11F97150" w14:textId="77777777" w:rsidTr="00F90787">
        <w:trPr>
          <w:trHeight w:val="183"/>
        </w:trPr>
        <w:tc>
          <w:tcPr>
            <w:tcW w:w="878" w:type="pct"/>
            <w:vMerge/>
            <w:tcBorders>
              <w:top w:val="nil"/>
              <w:bottom w:val="single" w:sz="4" w:space="0" w:color="auto"/>
            </w:tcBorders>
            <w:vAlign w:val="center"/>
            <w:hideMark/>
          </w:tcPr>
          <w:p w14:paraId="355CD88C" w14:textId="77777777" w:rsidR="00F90787" w:rsidRPr="00F90787" w:rsidRDefault="00F90787" w:rsidP="008605D1">
            <w:pPr>
              <w:jc w:val="center"/>
              <w:rPr>
                <w:rFonts w:ascii="Arial" w:hAnsi="Arial" w:cs="Arial"/>
              </w:rPr>
            </w:pPr>
          </w:p>
        </w:tc>
        <w:tc>
          <w:tcPr>
            <w:tcW w:w="493" w:type="pct"/>
            <w:tcBorders>
              <w:top w:val="single" w:sz="4" w:space="0" w:color="auto"/>
              <w:bottom w:val="single" w:sz="4" w:space="0" w:color="auto"/>
            </w:tcBorders>
            <w:tcMar>
              <w:top w:w="15" w:type="dxa"/>
              <w:left w:w="55" w:type="dxa"/>
              <w:bottom w:w="0" w:type="dxa"/>
              <w:right w:w="55" w:type="dxa"/>
            </w:tcMar>
            <w:vAlign w:val="center"/>
            <w:hideMark/>
          </w:tcPr>
          <w:p w14:paraId="45EC395E"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Before</w:t>
            </w:r>
          </w:p>
        </w:tc>
        <w:tc>
          <w:tcPr>
            <w:tcW w:w="603" w:type="pct"/>
            <w:tcBorders>
              <w:top w:val="single" w:sz="4" w:space="0" w:color="auto"/>
              <w:bottom w:val="single" w:sz="4" w:space="0" w:color="auto"/>
            </w:tcBorders>
            <w:tcMar>
              <w:top w:w="15" w:type="dxa"/>
              <w:left w:w="55" w:type="dxa"/>
              <w:bottom w:w="0" w:type="dxa"/>
              <w:right w:w="55" w:type="dxa"/>
            </w:tcMar>
            <w:vAlign w:val="center"/>
            <w:hideMark/>
          </w:tcPr>
          <w:p w14:paraId="1261A212"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After</w:t>
            </w:r>
          </w:p>
        </w:tc>
        <w:tc>
          <w:tcPr>
            <w:tcW w:w="466" w:type="pct"/>
            <w:gridSpan w:val="2"/>
            <w:tcBorders>
              <w:top w:val="single" w:sz="4" w:space="0" w:color="auto"/>
              <w:bottom w:val="single" w:sz="4" w:space="0" w:color="auto"/>
            </w:tcBorders>
            <w:tcMar>
              <w:top w:w="15" w:type="dxa"/>
              <w:left w:w="55" w:type="dxa"/>
              <w:bottom w:w="0" w:type="dxa"/>
              <w:right w:w="55" w:type="dxa"/>
            </w:tcMar>
            <w:vAlign w:val="center"/>
            <w:hideMark/>
          </w:tcPr>
          <w:p w14:paraId="469334A0"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Before</w:t>
            </w:r>
          </w:p>
        </w:tc>
        <w:tc>
          <w:tcPr>
            <w:tcW w:w="576" w:type="pct"/>
            <w:tcBorders>
              <w:top w:val="single" w:sz="4" w:space="0" w:color="auto"/>
              <w:bottom w:val="single" w:sz="4" w:space="0" w:color="auto"/>
            </w:tcBorders>
            <w:tcMar>
              <w:top w:w="15" w:type="dxa"/>
              <w:left w:w="55" w:type="dxa"/>
              <w:bottom w:w="0" w:type="dxa"/>
              <w:right w:w="55" w:type="dxa"/>
            </w:tcMar>
            <w:vAlign w:val="center"/>
            <w:hideMark/>
          </w:tcPr>
          <w:p w14:paraId="1856BEC9"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After</w:t>
            </w:r>
          </w:p>
        </w:tc>
        <w:tc>
          <w:tcPr>
            <w:tcW w:w="465" w:type="pct"/>
            <w:tcBorders>
              <w:top w:val="single" w:sz="4" w:space="0" w:color="auto"/>
              <w:bottom w:val="single" w:sz="4" w:space="0" w:color="auto"/>
            </w:tcBorders>
            <w:tcMar>
              <w:top w:w="15" w:type="dxa"/>
              <w:left w:w="55" w:type="dxa"/>
              <w:bottom w:w="0" w:type="dxa"/>
              <w:right w:w="55" w:type="dxa"/>
            </w:tcMar>
            <w:vAlign w:val="center"/>
            <w:hideMark/>
          </w:tcPr>
          <w:p w14:paraId="52E1E4A2"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Before</w:t>
            </w:r>
          </w:p>
        </w:tc>
        <w:tc>
          <w:tcPr>
            <w:tcW w:w="522" w:type="pct"/>
            <w:tcBorders>
              <w:top w:val="single" w:sz="4" w:space="0" w:color="auto"/>
              <w:bottom w:val="single" w:sz="4" w:space="0" w:color="auto"/>
            </w:tcBorders>
            <w:tcMar>
              <w:top w:w="15" w:type="dxa"/>
              <w:left w:w="55" w:type="dxa"/>
              <w:bottom w:w="0" w:type="dxa"/>
              <w:right w:w="55" w:type="dxa"/>
            </w:tcMar>
            <w:vAlign w:val="center"/>
            <w:hideMark/>
          </w:tcPr>
          <w:p w14:paraId="3F0CFCDC"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After</w:t>
            </w:r>
          </w:p>
        </w:tc>
        <w:tc>
          <w:tcPr>
            <w:tcW w:w="466" w:type="pct"/>
            <w:tcBorders>
              <w:top w:val="single" w:sz="4" w:space="0" w:color="auto"/>
              <w:bottom w:val="single" w:sz="4" w:space="0" w:color="auto"/>
            </w:tcBorders>
            <w:tcMar>
              <w:top w:w="15" w:type="dxa"/>
              <w:left w:w="55" w:type="dxa"/>
              <w:bottom w:w="0" w:type="dxa"/>
              <w:right w:w="55" w:type="dxa"/>
            </w:tcMar>
            <w:vAlign w:val="center"/>
            <w:hideMark/>
          </w:tcPr>
          <w:p w14:paraId="704D4DE0"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Before</w:t>
            </w:r>
          </w:p>
        </w:tc>
        <w:tc>
          <w:tcPr>
            <w:tcW w:w="532" w:type="pct"/>
            <w:tcBorders>
              <w:top w:val="single" w:sz="4" w:space="0" w:color="auto"/>
              <w:bottom w:val="single" w:sz="4" w:space="0" w:color="auto"/>
            </w:tcBorders>
            <w:tcMar>
              <w:top w:w="15" w:type="dxa"/>
              <w:left w:w="55" w:type="dxa"/>
              <w:bottom w:w="0" w:type="dxa"/>
              <w:right w:w="55" w:type="dxa"/>
            </w:tcMar>
            <w:vAlign w:val="center"/>
            <w:hideMark/>
          </w:tcPr>
          <w:p w14:paraId="60B16EED"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After</w:t>
            </w:r>
          </w:p>
        </w:tc>
      </w:tr>
      <w:tr w:rsidR="00F90787" w:rsidRPr="00F90787" w14:paraId="22B2B5FF" w14:textId="77777777" w:rsidTr="00F90787">
        <w:trPr>
          <w:trHeight w:val="138"/>
        </w:trPr>
        <w:tc>
          <w:tcPr>
            <w:tcW w:w="878" w:type="pct"/>
            <w:tcBorders>
              <w:top w:val="single" w:sz="4" w:space="0" w:color="auto"/>
            </w:tcBorders>
            <w:tcMar>
              <w:top w:w="15" w:type="dxa"/>
              <w:left w:w="55" w:type="dxa"/>
              <w:bottom w:w="0" w:type="dxa"/>
              <w:right w:w="55" w:type="dxa"/>
            </w:tcMar>
            <w:vAlign w:val="bottom"/>
            <w:hideMark/>
          </w:tcPr>
          <w:p w14:paraId="297CBD2A"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N0G0</w:t>
            </w:r>
          </w:p>
        </w:tc>
        <w:tc>
          <w:tcPr>
            <w:tcW w:w="493" w:type="pct"/>
            <w:tcBorders>
              <w:top w:val="single" w:sz="4" w:space="0" w:color="auto"/>
            </w:tcBorders>
            <w:tcMar>
              <w:top w:w="15" w:type="dxa"/>
              <w:left w:w="55" w:type="dxa"/>
              <w:bottom w:w="0" w:type="dxa"/>
              <w:right w:w="55" w:type="dxa"/>
            </w:tcMar>
            <w:vAlign w:val="bottom"/>
            <w:hideMark/>
          </w:tcPr>
          <w:p w14:paraId="3171C974"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Borders>
              <w:top w:val="single" w:sz="4" w:space="0" w:color="auto"/>
            </w:tcBorders>
            <w:tcMar>
              <w:top w:w="15" w:type="dxa"/>
              <w:left w:w="55" w:type="dxa"/>
              <w:bottom w:w="0" w:type="dxa"/>
              <w:right w:w="55" w:type="dxa"/>
            </w:tcMar>
            <w:vAlign w:val="bottom"/>
            <w:hideMark/>
          </w:tcPr>
          <w:p w14:paraId="754A2EC5"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0.12</w:t>
            </w:r>
          </w:p>
        </w:tc>
        <w:tc>
          <w:tcPr>
            <w:tcW w:w="466" w:type="pct"/>
            <w:gridSpan w:val="2"/>
            <w:tcBorders>
              <w:top w:val="single" w:sz="4" w:space="0" w:color="auto"/>
            </w:tcBorders>
            <w:tcMar>
              <w:top w:w="15" w:type="dxa"/>
              <w:left w:w="55" w:type="dxa"/>
              <w:bottom w:w="0" w:type="dxa"/>
              <w:right w:w="55" w:type="dxa"/>
            </w:tcMar>
            <w:vAlign w:val="bottom"/>
            <w:hideMark/>
          </w:tcPr>
          <w:p w14:paraId="39F12E48"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Borders>
              <w:top w:val="single" w:sz="4" w:space="0" w:color="auto"/>
            </w:tcBorders>
            <w:tcMar>
              <w:top w:w="15" w:type="dxa"/>
              <w:left w:w="56" w:type="dxa"/>
              <w:bottom w:w="0" w:type="dxa"/>
              <w:right w:w="56" w:type="dxa"/>
            </w:tcMar>
            <w:vAlign w:val="bottom"/>
            <w:hideMark/>
          </w:tcPr>
          <w:p w14:paraId="74895D97"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0.98</w:t>
            </w:r>
          </w:p>
        </w:tc>
        <w:tc>
          <w:tcPr>
            <w:tcW w:w="465" w:type="pct"/>
            <w:tcBorders>
              <w:top w:val="single" w:sz="4" w:space="0" w:color="auto"/>
            </w:tcBorders>
            <w:tcMar>
              <w:top w:w="15" w:type="dxa"/>
              <w:left w:w="55" w:type="dxa"/>
              <w:bottom w:w="0" w:type="dxa"/>
              <w:right w:w="55" w:type="dxa"/>
            </w:tcMar>
            <w:vAlign w:val="bottom"/>
            <w:hideMark/>
          </w:tcPr>
          <w:p w14:paraId="54D8571A"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Borders>
              <w:top w:val="single" w:sz="4" w:space="0" w:color="auto"/>
            </w:tcBorders>
            <w:tcMar>
              <w:top w:w="15" w:type="dxa"/>
              <w:left w:w="56" w:type="dxa"/>
              <w:bottom w:w="0" w:type="dxa"/>
              <w:right w:w="56" w:type="dxa"/>
            </w:tcMar>
            <w:vAlign w:val="bottom"/>
            <w:hideMark/>
          </w:tcPr>
          <w:p w14:paraId="0A9253FE"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28</w:t>
            </w:r>
          </w:p>
        </w:tc>
        <w:tc>
          <w:tcPr>
            <w:tcW w:w="466" w:type="pct"/>
            <w:tcBorders>
              <w:top w:val="single" w:sz="4" w:space="0" w:color="auto"/>
            </w:tcBorders>
            <w:tcMar>
              <w:top w:w="15" w:type="dxa"/>
              <w:left w:w="55" w:type="dxa"/>
              <w:bottom w:w="0" w:type="dxa"/>
              <w:right w:w="55" w:type="dxa"/>
            </w:tcMar>
            <w:vAlign w:val="bottom"/>
            <w:hideMark/>
          </w:tcPr>
          <w:p w14:paraId="2AACFF0E"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Borders>
              <w:top w:val="single" w:sz="4" w:space="0" w:color="auto"/>
            </w:tcBorders>
            <w:tcMar>
              <w:top w:w="15" w:type="dxa"/>
              <w:left w:w="56" w:type="dxa"/>
              <w:bottom w:w="0" w:type="dxa"/>
              <w:right w:w="56" w:type="dxa"/>
            </w:tcMar>
            <w:vAlign w:val="bottom"/>
            <w:hideMark/>
          </w:tcPr>
          <w:p w14:paraId="49C19660"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0.76</w:t>
            </w:r>
          </w:p>
        </w:tc>
      </w:tr>
      <w:tr w:rsidR="00F90787" w:rsidRPr="00F90787" w14:paraId="4732AD82" w14:textId="77777777" w:rsidTr="00F90787">
        <w:trPr>
          <w:trHeight w:val="221"/>
        </w:trPr>
        <w:tc>
          <w:tcPr>
            <w:tcW w:w="878" w:type="pct"/>
            <w:tcMar>
              <w:top w:w="15" w:type="dxa"/>
              <w:left w:w="55" w:type="dxa"/>
              <w:bottom w:w="0" w:type="dxa"/>
              <w:right w:w="55" w:type="dxa"/>
            </w:tcMar>
            <w:vAlign w:val="bottom"/>
            <w:hideMark/>
          </w:tcPr>
          <w:p w14:paraId="3CFCB84D"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N0GRB</w:t>
            </w:r>
          </w:p>
        </w:tc>
        <w:tc>
          <w:tcPr>
            <w:tcW w:w="493" w:type="pct"/>
            <w:tcMar>
              <w:top w:w="15" w:type="dxa"/>
              <w:left w:w="55" w:type="dxa"/>
              <w:bottom w:w="0" w:type="dxa"/>
              <w:right w:w="55" w:type="dxa"/>
            </w:tcMar>
            <w:vAlign w:val="bottom"/>
            <w:hideMark/>
          </w:tcPr>
          <w:p w14:paraId="46373272"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4E971C66"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0.49</w:t>
            </w:r>
          </w:p>
        </w:tc>
        <w:tc>
          <w:tcPr>
            <w:tcW w:w="466" w:type="pct"/>
            <w:gridSpan w:val="2"/>
            <w:tcMar>
              <w:top w:w="15" w:type="dxa"/>
              <w:left w:w="55" w:type="dxa"/>
              <w:bottom w:w="0" w:type="dxa"/>
              <w:right w:w="55" w:type="dxa"/>
            </w:tcMar>
            <w:vAlign w:val="bottom"/>
            <w:hideMark/>
          </w:tcPr>
          <w:p w14:paraId="16295EDB"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4C28BD51"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4.30</w:t>
            </w:r>
          </w:p>
        </w:tc>
        <w:tc>
          <w:tcPr>
            <w:tcW w:w="465" w:type="pct"/>
            <w:tcMar>
              <w:top w:w="15" w:type="dxa"/>
              <w:left w:w="55" w:type="dxa"/>
              <w:bottom w:w="0" w:type="dxa"/>
              <w:right w:w="55" w:type="dxa"/>
            </w:tcMar>
            <w:vAlign w:val="bottom"/>
            <w:hideMark/>
          </w:tcPr>
          <w:p w14:paraId="51F3AA63"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0BDC6944"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30</w:t>
            </w:r>
          </w:p>
        </w:tc>
        <w:tc>
          <w:tcPr>
            <w:tcW w:w="466" w:type="pct"/>
            <w:tcMar>
              <w:top w:w="15" w:type="dxa"/>
              <w:left w:w="55" w:type="dxa"/>
              <w:bottom w:w="0" w:type="dxa"/>
              <w:right w:w="55" w:type="dxa"/>
            </w:tcMar>
            <w:vAlign w:val="bottom"/>
            <w:hideMark/>
          </w:tcPr>
          <w:p w14:paraId="21BF0C41"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3945D615"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0.78</w:t>
            </w:r>
          </w:p>
        </w:tc>
      </w:tr>
      <w:tr w:rsidR="00F90787" w:rsidRPr="00F90787" w14:paraId="658AA6F5" w14:textId="77777777" w:rsidTr="00F90787">
        <w:trPr>
          <w:trHeight w:val="194"/>
        </w:trPr>
        <w:tc>
          <w:tcPr>
            <w:tcW w:w="878" w:type="pct"/>
            <w:tcMar>
              <w:top w:w="15" w:type="dxa"/>
              <w:left w:w="55" w:type="dxa"/>
              <w:bottom w:w="0" w:type="dxa"/>
              <w:right w:w="55" w:type="dxa"/>
            </w:tcMar>
            <w:vAlign w:val="bottom"/>
            <w:hideMark/>
          </w:tcPr>
          <w:p w14:paraId="7E3731CF"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 xml:space="preserve">N0GSH </w:t>
            </w:r>
          </w:p>
        </w:tc>
        <w:tc>
          <w:tcPr>
            <w:tcW w:w="493" w:type="pct"/>
            <w:tcMar>
              <w:top w:w="15" w:type="dxa"/>
              <w:left w:w="55" w:type="dxa"/>
              <w:bottom w:w="0" w:type="dxa"/>
              <w:right w:w="55" w:type="dxa"/>
            </w:tcMar>
            <w:vAlign w:val="bottom"/>
            <w:hideMark/>
          </w:tcPr>
          <w:p w14:paraId="267ECD62"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6999F3C1"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0.37</w:t>
            </w:r>
          </w:p>
        </w:tc>
        <w:tc>
          <w:tcPr>
            <w:tcW w:w="466" w:type="pct"/>
            <w:gridSpan w:val="2"/>
            <w:tcMar>
              <w:top w:w="15" w:type="dxa"/>
              <w:left w:w="55" w:type="dxa"/>
              <w:bottom w:w="0" w:type="dxa"/>
              <w:right w:w="55" w:type="dxa"/>
            </w:tcMar>
            <w:vAlign w:val="bottom"/>
            <w:hideMark/>
          </w:tcPr>
          <w:p w14:paraId="52291412"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0CF3D208"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1.79</w:t>
            </w:r>
          </w:p>
        </w:tc>
        <w:tc>
          <w:tcPr>
            <w:tcW w:w="465" w:type="pct"/>
            <w:tcMar>
              <w:top w:w="15" w:type="dxa"/>
              <w:left w:w="55" w:type="dxa"/>
              <w:bottom w:w="0" w:type="dxa"/>
              <w:right w:w="55" w:type="dxa"/>
            </w:tcMar>
            <w:vAlign w:val="bottom"/>
            <w:hideMark/>
          </w:tcPr>
          <w:p w14:paraId="00CD2812"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5986DFA1"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31</w:t>
            </w:r>
          </w:p>
        </w:tc>
        <w:tc>
          <w:tcPr>
            <w:tcW w:w="466" w:type="pct"/>
            <w:tcMar>
              <w:top w:w="15" w:type="dxa"/>
              <w:left w:w="55" w:type="dxa"/>
              <w:bottom w:w="0" w:type="dxa"/>
              <w:right w:w="55" w:type="dxa"/>
            </w:tcMar>
            <w:vAlign w:val="bottom"/>
            <w:hideMark/>
          </w:tcPr>
          <w:p w14:paraId="263DF9F5"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32AB0279"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0.77</w:t>
            </w:r>
          </w:p>
        </w:tc>
      </w:tr>
      <w:tr w:rsidR="00F90787" w:rsidRPr="00F90787" w14:paraId="2081B6AE" w14:textId="77777777" w:rsidTr="00F90787">
        <w:trPr>
          <w:trHeight w:val="86"/>
        </w:trPr>
        <w:tc>
          <w:tcPr>
            <w:tcW w:w="878" w:type="pct"/>
            <w:tcMar>
              <w:top w:w="15" w:type="dxa"/>
              <w:left w:w="55" w:type="dxa"/>
              <w:bottom w:w="0" w:type="dxa"/>
              <w:right w:w="55" w:type="dxa"/>
            </w:tcMar>
            <w:vAlign w:val="bottom"/>
            <w:hideMark/>
          </w:tcPr>
          <w:p w14:paraId="1333FE64"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N0GDC</w:t>
            </w:r>
          </w:p>
        </w:tc>
        <w:tc>
          <w:tcPr>
            <w:tcW w:w="493" w:type="pct"/>
            <w:tcMar>
              <w:top w:w="15" w:type="dxa"/>
              <w:left w:w="55" w:type="dxa"/>
              <w:bottom w:w="0" w:type="dxa"/>
              <w:right w:w="55" w:type="dxa"/>
            </w:tcMar>
            <w:vAlign w:val="bottom"/>
            <w:hideMark/>
          </w:tcPr>
          <w:p w14:paraId="4CB2FFB2"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0A082071"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0.35</w:t>
            </w:r>
          </w:p>
        </w:tc>
        <w:tc>
          <w:tcPr>
            <w:tcW w:w="466" w:type="pct"/>
            <w:gridSpan w:val="2"/>
            <w:tcMar>
              <w:top w:w="15" w:type="dxa"/>
              <w:left w:w="55" w:type="dxa"/>
              <w:bottom w:w="0" w:type="dxa"/>
              <w:right w:w="55" w:type="dxa"/>
            </w:tcMar>
            <w:vAlign w:val="bottom"/>
            <w:hideMark/>
          </w:tcPr>
          <w:p w14:paraId="74D13B2E"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19D85364"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3.52</w:t>
            </w:r>
          </w:p>
        </w:tc>
        <w:tc>
          <w:tcPr>
            <w:tcW w:w="465" w:type="pct"/>
            <w:tcMar>
              <w:top w:w="15" w:type="dxa"/>
              <w:left w:w="55" w:type="dxa"/>
              <w:bottom w:w="0" w:type="dxa"/>
              <w:right w:w="55" w:type="dxa"/>
            </w:tcMar>
            <w:vAlign w:val="bottom"/>
            <w:hideMark/>
          </w:tcPr>
          <w:p w14:paraId="1B03EA96"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004B4C5F"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33</w:t>
            </w:r>
          </w:p>
        </w:tc>
        <w:tc>
          <w:tcPr>
            <w:tcW w:w="466" w:type="pct"/>
            <w:tcMar>
              <w:top w:w="15" w:type="dxa"/>
              <w:left w:w="55" w:type="dxa"/>
              <w:bottom w:w="0" w:type="dxa"/>
              <w:right w:w="55" w:type="dxa"/>
            </w:tcMar>
            <w:vAlign w:val="bottom"/>
            <w:hideMark/>
          </w:tcPr>
          <w:p w14:paraId="63BD7DC0"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778E1327"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0.98</w:t>
            </w:r>
          </w:p>
        </w:tc>
      </w:tr>
      <w:tr w:rsidR="00F90787" w:rsidRPr="00F90787" w14:paraId="44816D90" w14:textId="77777777" w:rsidTr="00F90787">
        <w:trPr>
          <w:trHeight w:val="138"/>
        </w:trPr>
        <w:tc>
          <w:tcPr>
            <w:tcW w:w="878" w:type="pct"/>
            <w:tcMar>
              <w:top w:w="15" w:type="dxa"/>
              <w:left w:w="55" w:type="dxa"/>
              <w:bottom w:w="0" w:type="dxa"/>
              <w:right w:w="55" w:type="dxa"/>
            </w:tcMar>
            <w:vAlign w:val="bottom"/>
            <w:hideMark/>
          </w:tcPr>
          <w:p w14:paraId="2B4A0043"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N25G0</w:t>
            </w:r>
          </w:p>
        </w:tc>
        <w:tc>
          <w:tcPr>
            <w:tcW w:w="493" w:type="pct"/>
            <w:tcMar>
              <w:top w:w="15" w:type="dxa"/>
              <w:left w:w="55" w:type="dxa"/>
              <w:bottom w:w="0" w:type="dxa"/>
              <w:right w:w="55" w:type="dxa"/>
            </w:tcMar>
            <w:vAlign w:val="bottom"/>
            <w:hideMark/>
          </w:tcPr>
          <w:p w14:paraId="50F8D604"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753742D3"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0.17</w:t>
            </w:r>
          </w:p>
        </w:tc>
        <w:tc>
          <w:tcPr>
            <w:tcW w:w="466" w:type="pct"/>
            <w:gridSpan w:val="2"/>
            <w:tcMar>
              <w:top w:w="15" w:type="dxa"/>
              <w:left w:w="55" w:type="dxa"/>
              <w:bottom w:w="0" w:type="dxa"/>
              <w:right w:w="55" w:type="dxa"/>
            </w:tcMar>
            <w:vAlign w:val="bottom"/>
            <w:hideMark/>
          </w:tcPr>
          <w:p w14:paraId="640B7DA7"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27E06A2D"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2.18</w:t>
            </w:r>
          </w:p>
        </w:tc>
        <w:tc>
          <w:tcPr>
            <w:tcW w:w="465" w:type="pct"/>
            <w:tcMar>
              <w:top w:w="15" w:type="dxa"/>
              <w:left w:w="55" w:type="dxa"/>
              <w:bottom w:w="0" w:type="dxa"/>
              <w:right w:w="55" w:type="dxa"/>
            </w:tcMar>
            <w:vAlign w:val="bottom"/>
            <w:hideMark/>
          </w:tcPr>
          <w:p w14:paraId="67561983"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6D1D9645"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30</w:t>
            </w:r>
          </w:p>
        </w:tc>
        <w:tc>
          <w:tcPr>
            <w:tcW w:w="466" w:type="pct"/>
            <w:tcMar>
              <w:top w:w="15" w:type="dxa"/>
              <w:left w:w="55" w:type="dxa"/>
              <w:bottom w:w="0" w:type="dxa"/>
              <w:right w:w="55" w:type="dxa"/>
            </w:tcMar>
            <w:vAlign w:val="bottom"/>
            <w:hideMark/>
          </w:tcPr>
          <w:p w14:paraId="231AD38C"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57326CB6"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0.78</w:t>
            </w:r>
          </w:p>
        </w:tc>
      </w:tr>
      <w:tr w:rsidR="00F90787" w:rsidRPr="00F90787" w14:paraId="66DCC6A9" w14:textId="77777777" w:rsidTr="00F90787">
        <w:trPr>
          <w:trHeight w:val="113"/>
        </w:trPr>
        <w:tc>
          <w:tcPr>
            <w:tcW w:w="878" w:type="pct"/>
            <w:tcMar>
              <w:top w:w="15" w:type="dxa"/>
              <w:left w:w="55" w:type="dxa"/>
              <w:bottom w:w="0" w:type="dxa"/>
              <w:right w:w="55" w:type="dxa"/>
            </w:tcMar>
            <w:vAlign w:val="bottom"/>
            <w:hideMark/>
          </w:tcPr>
          <w:p w14:paraId="34551949"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N25GRB</w:t>
            </w:r>
          </w:p>
        </w:tc>
        <w:tc>
          <w:tcPr>
            <w:tcW w:w="493" w:type="pct"/>
            <w:tcMar>
              <w:top w:w="15" w:type="dxa"/>
              <w:left w:w="55" w:type="dxa"/>
              <w:bottom w:w="0" w:type="dxa"/>
              <w:right w:w="55" w:type="dxa"/>
            </w:tcMar>
            <w:vAlign w:val="bottom"/>
            <w:hideMark/>
          </w:tcPr>
          <w:p w14:paraId="3FB7D58B"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0A880F0A"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0.62</w:t>
            </w:r>
          </w:p>
        </w:tc>
        <w:tc>
          <w:tcPr>
            <w:tcW w:w="466" w:type="pct"/>
            <w:gridSpan w:val="2"/>
            <w:tcMar>
              <w:top w:w="15" w:type="dxa"/>
              <w:left w:w="55" w:type="dxa"/>
              <w:bottom w:w="0" w:type="dxa"/>
              <w:right w:w="55" w:type="dxa"/>
            </w:tcMar>
            <w:vAlign w:val="bottom"/>
            <w:hideMark/>
          </w:tcPr>
          <w:p w14:paraId="20B5A86F"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740B6DD5"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2.31</w:t>
            </w:r>
          </w:p>
        </w:tc>
        <w:tc>
          <w:tcPr>
            <w:tcW w:w="465" w:type="pct"/>
            <w:tcMar>
              <w:top w:w="15" w:type="dxa"/>
              <w:left w:w="55" w:type="dxa"/>
              <w:bottom w:w="0" w:type="dxa"/>
              <w:right w:w="55" w:type="dxa"/>
            </w:tcMar>
            <w:vAlign w:val="bottom"/>
            <w:hideMark/>
          </w:tcPr>
          <w:p w14:paraId="75817777"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02D11070"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32</w:t>
            </w:r>
          </w:p>
        </w:tc>
        <w:tc>
          <w:tcPr>
            <w:tcW w:w="466" w:type="pct"/>
            <w:tcMar>
              <w:top w:w="15" w:type="dxa"/>
              <w:left w:w="55" w:type="dxa"/>
              <w:bottom w:w="0" w:type="dxa"/>
              <w:right w:w="55" w:type="dxa"/>
            </w:tcMar>
            <w:vAlign w:val="bottom"/>
            <w:hideMark/>
          </w:tcPr>
          <w:p w14:paraId="29704413"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52F046E6"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0.95</w:t>
            </w:r>
          </w:p>
        </w:tc>
      </w:tr>
      <w:tr w:rsidR="00F90787" w:rsidRPr="00F90787" w14:paraId="484763DC" w14:textId="77777777" w:rsidTr="00F90787">
        <w:trPr>
          <w:trHeight w:val="95"/>
        </w:trPr>
        <w:tc>
          <w:tcPr>
            <w:tcW w:w="878" w:type="pct"/>
            <w:tcMar>
              <w:top w:w="15" w:type="dxa"/>
              <w:left w:w="55" w:type="dxa"/>
              <w:bottom w:w="0" w:type="dxa"/>
              <w:right w:w="55" w:type="dxa"/>
            </w:tcMar>
            <w:vAlign w:val="bottom"/>
            <w:hideMark/>
          </w:tcPr>
          <w:p w14:paraId="3EBE2AD2"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N25GSH</w:t>
            </w:r>
          </w:p>
        </w:tc>
        <w:tc>
          <w:tcPr>
            <w:tcW w:w="493" w:type="pct"/>
            <w:tcMar>
              <w:top w:w="15" w:type="dxa"/>
              <w:left w:w="55" w:type="dxa"/>
              <w:bottom w:w="0" w:type="dxa"/>
              <w:right w:w="55" w:type="dxa"/>
            </w:tcMar>
            <w:vAlign w:val="bottom"/>
            <w:hideMark/>
          </w:tcPr>
          <w:p w14:paraId="207D8392"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0A2D443F"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0.53</w:t>
            </w:r>
          </w:p>
        </w:tc>
        <w:tc>
          <w:tcPr>
            <w:tcW w:w="466" w:type="pct"/>
            <w:gridSpan w:val="2"/>
            <w:tcMar>
              <w:top w:w="15" w:type="dxa"/>
              <w:left w:w="55" w:type="dxa"/>
              <w:bottom w:w="0" w:type="dxa"/>
              <w:right w:w="55" w:type="dxa"/>
            </w:tcMar>
            <w:vAlign w:val="bottom"/>
            <w:hideMark/>
          </w:tcPr>
          <w:p w14:paraId="059FCDF4"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5EACAB6F"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1.87</w:t>
            </w:r>
          </w:p>
        </w:tc>
        <w:tc>
          <w:tcPr>
            <w:tcW w:w="465" w:type="pct"/>
            <w:tcMar>
              <w:top w:w="15" w:type="dxa"/>
              <w:left w:w="55" w:type="dxa"/>
              <w:bottom w:w="0" w:type="dxa"/>
              <w:right w:w="55" w:type="dxa"/>
            </w:tcMar>
            <w:vAlign w:val="bottom"/>
            <w:hideMark/>
          </w:tcPr>
          <w:p w14:paraId="21399818"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398C913C"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35</w:t>
            </w:r>
          </w:p>
        </w:tc>
        <w:tc>
          <w:tcPr>
            <w:tcW w:w="466" w:type="pct"/>
            <w:tcMar>
              <w:top w:w="15" w:type="dxa"/>
              <w:left w:w="55" w:type="dxa"/>
              <w:bottom w:w="0" w:type="dxa"/>
              <w:right w:w="55" w:type="dxa"/>
            </w:tcMar>
            <w:vAlign w:val="bottom"/>
            <w:hideMark/>
          </w:tcPr>
          <w:p w14:paraId="60AC6D55"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51EB3B1B"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0.96</w:t>
            </w:r>
          </w:p>
        </w:tc>
      </w:tr>
      <w:tr w:rsidR="00F90787" w:rsidRPr="00F90787" w14:paraId="3986293F" w14:textId="77777777" w:rsidTr="00F90787">
        <w:trPr>
          <w:trHeight w:val="248"/>
        </w:trPr>
        <w:tc>
          <w:tcPr>
            <w:tcW w:w="878" w:type="pct"/>
            <w:tcMar>
              <w:top w:w="15" w:type="dxa"/>
              <w:left w:w="55" w:type="dxa"/>
              <w:bottom w:w="0" w:type="dxa"/>
              <w:right w:w="55" w:type="dxa"/>
            </w:tcMar>
            <w:vAlign w:val="bottom"/>
            <w:hideMark/>
          </w:tcPr>
          <w:p w14:paraId="75CEBBB8"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N25GDC</w:t>
            </w:r>
          </w:p>
        </w:tc>
        <w:tc>
          <w:tcPr>
            <w:tcW w:w="493" w:type="pct"/>
            <w:tcMar>
              <w:top w:w="15" w:type="dxa"/>
              <w:left w:w="55" w:type="dxa"/>
              <w:bottom w:w="0" w:type="dxa"/>
              <w:right w:w="55" w:type="dxa"/>
            </w:tcMar>
            <w:vAlign w:val="bottom"/>
            <w:hideMark/>
          </w:tcPr>
          <w:p w14:paraId="17048904"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24092C02"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0.51</w:t>
            </w:r>
          </w:p>
        </w:tc>
        <w:tc>
          <w:tcPr>
            <w:tcW w:w="466" w:type="pct"/>
            <w:gridSpan w:val="2"/>
            <w:tcMar>
              <w:top w:w="15" w:type="dxa"/>
              <w:left w:w="55" w:type="dxa"/>
              <w:bottom w:w="0" w:type="dxa"/>
              <w:right w:w="55" w:type="dxa"/>
            </w:tcMar>
            <w:vAlign w:val="bottom"/>
            <w:hideMark/>
          </w:tcPr>
          <w:p w14:paraId="0EE9FC21"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417A48B1"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1.85</w:t>
            </w:r>
          </w:p>
        </w:tc>
        <w:tc>
          <w:tcPr>
            <w:tcW w:w="465" w:type="pct"/>
            <w:tcMar>
              <w:top w:w="15" w:type="dxa"/>
              <w:left w:w="55" w:type="dxa"/>
              <w:bottom w:w="0" w:type="dxa"/>
              <w:right w:w="55" w:type="dxa"/>
            </w:tcMar>
            <w:vAlign w:val="bottom"/>
            <w:hideMark/>
          </w:tcPr>
          <w:p w14:paraId="0B438BD1"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3957786A"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33</w:t>
            </w:r>
          </w:p>
        </w:tc>
        <w:tc>
          <w:tcPr>
            <w:tcW w:w="466" w:type="pct"/>
            <w:tcMar>
              <w:top w:w="15" w:type="dxa"/>
              <w:left w:w="55" w:type="dxa"/>
              <w:bottom w:w="0" w:type="dxa"/>
              <w:right w:w="55" w:type="dxa"/>
            </w:tcMar>
            <w:vAlign w:val="bottom"/>
            <w:hideMark/>
          </w:tcPr>
          <w:p w14:paraId="6BB349C8"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58225E3D"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0.71</w:t>
            </w:r>
          </w:p>
        </w:tc>
      </w:tr>
      <w:tr w:rsidR="00F90787" w:rsidRPr="00F90787" w14:paraId="2BEE1231" w14:textId="77777777" w:rsidTr="00F90787">
        <w:trPr>
          <w:trHeight w:val="210"/>
        </w:trPr>
        <w:tc>
          <w:tcPr>
            <w:tcW w:w="878" w:type="pct"/>
            <w:tcMar>
              <w:top w:w="15" w:type="dxa"/>
              <w:left w:w="55" w:type="dxa"/>
              <w:bottom w:w="0" w:type="dxa"/>
              <w:right w:w="55" w:type="dxa"/>
            </w:tcMar>
            <w:vAlign w:val="bottom"/>
            <w:hideMark/>
          </w:tcPr>
          <w:p w14:paraId="6AE91C9E"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 xml:space="preserve">N50G0 </w:t>
            </w:r>
          </w:p>
        </w:tc>
        <w:tc>
          <w:tcPr>
            <w:tcW w:w="493" w:type="pct"/>
            <w:tcMar>
              <w:top w:w="15" w:type="dxa"/>
              <w:left w:w="55" w:type="dxa"/>
              <w:bottom w:w="0" w:type="dxa"/>
              <w:right w:w="55" w:type="dxa"/>
            </w:tcMar>
            <w:vAlign w:val="bottom"/>
            <w:hideMark/>
          </w:tcPr>
          <w:p w14:paraId="0BFBC539"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54C9DDDE"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0.23</w:t>
            </w:r>
          </w:p>
        </w:tc>
        <w:tc>
          <w:tcPr>
            <w:tcW w:w="466" w:type="pct"/>
            <w:gridSpan w:val="2"/>
            <w:tcMar>
              <w:top w:w="15" w:type="dxa"/>
              <w:left w:w="55" w:type="dxa"/>
              <w:bottom w:w="0" w:type="dxa"/>
              <w:right w:w="55" w:type="dxa"/>
            </w:tcMar>
            <w:vAlign w:val="bottom"/>
            <w:hideMark/>
          </w:tcPr>
          <w:p w14:paraId="5F517666"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5337FE58"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1.05</w:t>
            </w:r>
          </w:p>
        </w:tc>
        <w:tc>
          <w:tcPr>
            <w:tcW w:w="465" w:type="pct"/>
            <w:tcMar>
              <w:top w:w="15" w:type="dxa"/>
              <w:left w:w="55" w:type="dxa"/>
              <w:bottom w:w="0" w:type="dxa"/>
              <w:right w:w="55" w:type="dxa"/>
            </w:tcMar>
            <w:vAlign w:val="bottom"/>
            <w:hideMark/>
          </w:tcPr>
          <w:p w14:paraId="26256743"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03F74165"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32</w:t>
            </w:r>
          </w:p>
        </w:tc>
        <w:tc>
          <w:tcPr>
            <w:tcW w:w="466" w:type="pct"/>
            <w:tcMar>
              <w:top w:w="15" w:type="dxa"/>
              <w:left w:w="55" w:type="dxa"/>
              <w:bottom w:w="0" w:type="dxa"/>
              <w:right w:w="55" w:type="dxa"/>
            </w:tcMar>
            <w:vAlign w:val="bottom"/>
            <w:hideMark/>
          </w:tcPr>
          <w:p w14:paraId="3F94812E"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3F2C921C"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0.78</w:t>
            </w:r>
          </w:p>
        </w:tc>
      </w:tr>
      <w:tr w:rsidR="00F90787" w:rsidRPr="00F90787" w14:paraId="40F896AF" w14:textId="77777777" w:rsidTr="00F90787">
        <w:trPr>
          <w:trHeight w:val="185"/>
        </w:trPr>
        <w:tc>
          <w:tcPr>
            <w:tcW w:w="878" w:type="pct"/>
            <w:tcMar>
              <w:top w:w="15" w:type="dxa"/>
              <w:left w:w="55" w:type="dxa"/>
              <w:bottom w:w="0" w:type="dxa"/>
              <w:right w:w="55" w:type="dxa"/>
            </w:tcMar>
            <w:vAlign w:val="bottom"/>
            <w:hideMark/>
          </w:tcPr>
          <w:p w14:paraId="673CA95B"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N50GRB</w:t>
            </w:r>
          </w:p>
        </w:tc>
        <w:tc>
          <w:tcPr>
            <w:tcW w:w="493" w:type="pct"/>
            <w:tcMar>
              <w:top w:w="15" w:type="dxa"/>
              <w:left w:w="55" w:type="dxa"/>
              <w:bottom w:w="0" w:type="dxa"/>
              <w:right w:w="55" w:type="dxa"/>
            </w:tcMar>
            <w:vAlign w:val="bottom"/>
            <w:hideMark/>
          </w:tcPr>
          <w:p w14:paraId="1D39F3CF"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534B0751"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0.74</w:t>
            </w:r>
          </w:p>
        </w:tc>
        <w:tc>
          <w:tcPr>
            <w:tcW w:w="466" w:type="pct"/>
            <w:gridSpan w:val="2"/>
            <w:tcMar>
              <w:top w:w="15" w:type="dxa"/>
              <w:left w:w="55" w:type="dxa"/>
              <w:bottom w:w="0" w:type="dxa"/>
              <w:right w:w="55" w:type="dxa"/>
            </w:tcMar>
            <w:vAlign w:val="bottom"/>
            <w:hideMark/>
          </w:tcPr>
          <w:p w14:paraId="00649455"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2D9B358E"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1.65</w:t>
            </w:r>
          </w:p>
        </w:tc>
        <w:tc>
          <w:tcPr>
            <w:tcW w:w="465" w:type="pct"/>
            <w:tcMar>
              <w:top w:w="15" w:type="dxa"/>
              <w:left w:w="55" w:type="dxa"/>
              <w:bottom w:w="0" w:type="dxa"/>
              <w:right w:w="55" w:type="dxa"/>
            </w:tcMar>
            <w:vAlign w:val="bottom"/>
            <w:hideMark/>
          </w:tcPr>
          <w:p w14:paraId="366256AA"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75A383F5"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34</w:t>
            </w:r>
          </w:p>
        </w:tc>
        <w:tc>
          <w:tcPr>
            <w:tcW w:w="466" w:type="pct"/>
            <w:tcMar>
              <w:top w:w="15" w:type="dxa"/>
              <w:left w:w="55" w:type="dxa"/>
              <w:bottom w:w="0" w:type="dxa"/>
              <w:right w:w="55" w:type="dxa"/>
            </w:tcMar>
            <w:vAlign w:val="bottom"/>
            <w:hideMark/>
          </w:tcPr>
          <w:p w14:paraId="1D0A43CB"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2DD78AE7"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0.83</w:t>
            </w:r>
          </w:p>
        </w:tc>
      </w:tr>
      <w:tr w:rsidR="00F90787" w:rsidRPr="00F90787" w14:paraId="2E844028" w14:textId="77777777" w:rsidTr="00F90787">
        <w:trPr>
          <w:trHeight w:val="185"/>
        </w:trPr>
        <w:tc>
          <w:tcPr>
            <w:tcW w:w="878" w:type="pct"/>
            <w:tcMar>
              <w:top w:w="15" w:type="dxa"/>
              <w:left w:w="55" w:type="dxa"/>
              <w:bottom w:w="0" w:type="dxa"/>
              <w:right w:w="55" w:type="dxa"/>
            </w:tcMar>
            <w:vAlign w:val="bottom"/>
            <w:hideMark/>
          </w:tcPr>
          <w:p w14:paraId="1BB99E74"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 xml:space="preserve">N50GSH </w:t>
            </w:r>
          </w:p>
        </w:tc>
        <w:tc>
          <w:tcPr>
            <w:tcW w:w="493" w:type="pct"/>
            <w:tcMar>
              <w:top w:w="15" w:type="dxa"/>
              <w:left w:w="55" w:type="dxa"/>
              <w:bottom w:w="0" w:type="dxa"/>
              <w:right w:w="55" w:type="dxa"/>
            </w:tcMar>
            <w:vAlign w:val="bottom"/>
            <w:hideMark/>
          </w:tcPr>
          <w:p w14:paraId="3B008AAD"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1ED4F414"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0.58</w:t>
            </w:r>
          </w:p>
        </w:tc>
        <w:tc>
          <w:tcPr>
            <w:tcW w:w="466" w:type="pct"/>
            <w:gridSpan w:val="2"/>
            <w:tcMar>
              <w:top w:w="15" w:type="dxa"/>
              <w:left w:w="55" w:type="dxa"/>
              <w:bottom w:w="0" w:type="dxa"/>
              <w:right w:w="55" w:type="dxa"/>
            </w:tcMar>
            <w:vAlign w:val="bottom"/>
            <w:hideMark/>
          </w:tcPr>
          <w:p w14:paraId="6AA465F3"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3FE80E71"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1.44</w:t>
            </w:r>
          </w:p>
        </w:tc>
        <w:tc>
          <w:tcPr>
            <w:tcW w:w="465" w:type="pct"/>
            <w:tcMar>
              <w:top w:w="15" w:type="dxa"/>
              <w:left w:w="55" w:type="dxa"/>
              <w:bottom w:w="0" w:type="dxa"/>
              <w:right w:w="55" w:type="dxa"/>
            </w:tcMar>
            <w:vAlign w:val="bottom"/>
            <w:hideMark/>
          </w:tcPr>
          <w:p w14:paraId="447EE5DC"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5344F679"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35</w:t>
            </w:r>
          </w:p>
        </w:tc>
        <w:tc>
          <w:tcPr>
            <w:tcW w:w="466" w:type="pct"/>
            <w:tcMar>
              <w:top w:w="15" w:type="dxa"/>
              <w:left w:w="55" w:type="dxa"/>
              <w:bottom w:w="0" w:type="dxa"/>
              <w:right w:w="55" w:type="dxa"/>
            </w:tcMar>
            <w:vAlign w:val="bottom"/>
            <w:hideMark/>
          </w:tcPr>
          <w:p w14:paraId="17B059B9"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636ED8E9"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0.86</w:t>
            </w:r>
          </w:p>
        </w:tc>
      </w:tr>
      <w:tr w:rsidR="00F90787" w:rsidRPr="00F90787" w14:paraId="6EEF600E" w14:textId="77777777" w:rsidTr="00F90787">
        <w:trPr>
          <w:trHeight w:val="149"/>
        </w:trPr>
        <w:tc>
          <w:tcPr>
            <w:tcW w:w="878" w:type="pct"/>
            <w:tcMar>
              <w:top w:w="15" w:type="dxa"/>
              <w:left w:w="55" w:type="dxa"/>
              <w:bottom w:w="0" w:type="dxa"/>
              <w:right w:w="55" w:type="dxa"/>
            </w:tcMar>
            <w:vAlign w:val="bottom"/>
            <w:hideMark/>
          </w:tcPr>
          <w:p w14:paraId="229E0C62"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N50GDC</w:t>
            </w:r>
          </w:p>
        </w:tc>
        <w:tc>
          <w:tcPr>
            <w:tcW w:w="493" w:type="pct"/>
            <w:tcMar>
              <w:top w:w="15" w:type="dxa"/>
              <w:left w:w="55" w:type="dxa"/>
              <w:bottom w:w="0" w:type="dxa"/>
              <w:right w:w="55" w:type="dxa"/>
            </w:tcMar>
            <w:vAlign w:val="bottom"/>
            <w:hideMark/>
          </w:tcPr>
          <w:p w14:paraId="244DDAE1"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59D2A3F5"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0.56</w:t>
            </w:r>
          </w:p>
        </w:tc>
        <w:tc>
          <w:tcPr>
            <w:tcW w:w="466" w:type="pct"/>
            <w:gridSpan w:val="2"/>
            <w:tcMar>
              <w:top w:w="15" w:type="dxa"/>
              <w:left w:w="55" w:type="dxa"/>
              <w:bottom w:w="0" w:type="dxa"/>
              <w:right w:w="55" w:type="dxa"/>
            </w:tcMar>
            <w:vAlign w:val="bottom"/>
            <w:hideMark/>
          </w:tcPr>
          <w:p w14:paraId="00E8CD04"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7E0DD237"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1.95</w:t>
            </w:r>
          </w:p>
        </w:tc>
        <w:tc>
          <w:tcPr>
            <w:tcW w:w="465" w:type="pct"/>
            <w:tcMar>
              <w:top w:w="15" w:type="dxa"/>
              <w:left w:w="55" w:type="dxa"/>
              <w:bottom w:w="0" w:type="dxa"/>
              <w:right w:w="55" w:type="dxa"/>
            </w:tcMar>
            <w:vAlign w:val="bottom"/>
            <w:hideMark/>
          </w:tcPr>
          <w:p w14:paraId="734677EC"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71738C59"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32</w:t>
            </w:r>
          </w:p>
        </w:tc>
        <w:tc>
          <w:tcPr>
            <w:tcW w:w="466" w:type="pct"/>
            <w:tcMar>
              <w:top w:w="15" w:type="dxa"/>
              <w:left w:w="55" w:type="dxa"/>
              <w:bottom w:w="0" w:type="dxa"/>
              <w:right w:w="55" w:type="dxa"/>
            </w:tcMar>
            <w:vAlign w:val="bottom"/>
            <w:hideMark/>
          </w:tcPr>
          <w:p w14:paraId="78DC16A8"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2E5E33A0"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0.75</w:t>
            </w:r>
          </w:p>
        </w:tc>
      </w:tr>
      <w:tr w:rsidR="00F90787" w:rsidRPr="00F90787" w14:paraId="1A09B1F9" w14:textId="77777777" w:rsidTr="00F90787">
        <w:trPr>
          <w:trHeight w:val="129"/>
        </w:trPr>
        <w:tc>
          <w:tcPr>
            <w:tcW w:w="878" w:type="pct"/>
            <w:tcMar>
              <w:top w:w="15" w:type="dxa"/>
              <w:left w:w="55" w:type="dxa"/>
              <w:bottom w:w="0" w:type="dxa"/>
              <w:right w:w="55" w:type="dxa"/>
            </w:tcMar>
            <w:vAlign w:val="bottom"/>
            <w:hideMark/>
          </w:tcPr>
          <w:p w14:paraId="7044FE9B"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N75G0</w:t>
            </w:r>
          </w:p>
        </w:tc>
        <w:tc>
          <w:tcPr>
            <w:tcW w:w="493" w:type="pct"/>
            <w:tcMar>
              <w:top w:w="15" w:type="dxa"/>
              <w:left w:w="55" w:type="dxa"/>
              <w:bottom w:w="0" w:type="dxa"/>
              <w:right w:w="55" w:type="dxa"/>
            </w:tcMar>
            <w:vAlign w:val="bottom"/>
            <w:hideMark/>
          </w:tcPr>
          <w:p w14:paraId="21E87486"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6DCB0807"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0.35</w:t>
            </w:r>
          </w:p>
        </w:tc>
        <w:tc>
          <w:tcPr>
            <w:tcW w:w="466" w:type="pct"/>
            <w:gridSpan w:val="2"/>
            <w:tcMar>
              <w:top w:w="15" w:type="dxa"/>
              <w:left w:w="55" w:type="dxa"/>
              <w:bottom w:w="0" w:type="dxa"/>
              <w:right w:w="55" w:type="dxa"/>
            </w:tcMar>
            <w:vAlign w:val="bottom"/>
            <w:hideMark/>
          </w:tcPr>
          <w:p w14:paraId="20FFDC19"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12AB5FC2"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0.82</w:t>
            </w:r>
          </w:p>
        </w:tc>
        <w:tc>
          <w:tcPr>
            <w:tcW w:w="465" w:type="pct"/>
            <w:tcMar>
              <w:top w:w="15" w:type="dxa"/>
              <w:left w:w="55" w:type="dxa"/>
              <w:bottom w:w="0" w:type="dxa"/>
              <w:right w:w="55" w:type="dxa"/>
            </w:tcMar>
            <w:vAlign w:val="bottom"/>
            <w:hideMark/>
          </w:tcPr>
          <w:p w14:paraId="5385638D"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3F48FC67"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34</w:t>
            </w:r>
          </w:p>
        </w:tc>
        <w:tc>
          <w:tcPr>
            <w:tcW w:w="466" w:type="pct"/>
            <w:tcMar>
              <w:top w:w="15" w:type="dxa"/>
              <w:left w:w="55" w:type="dxa"/>
              <w:bottom w:w="0" w:type="dxa"/>
              <w:right w:w="55" w:type="dxa"/>
            </w:tcMar>
            <w:vAlign w:val="bottom"/>
            <w:hideMark/>
          </w:tcPr>
          <w:p w14:paraId="6E07CFA3"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3CB58059"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0.79</w:t>
            </w:r>
          </w:p>
        </w:tc>
      </w:tr>
      <w:tr w:rsidR="00F90787" w:rsidRPr="00F90787" w14:paraId="3151451A" w14:textId="77777777" w:rsidTr="00F90787">
        <w:trPr>
          <w:trHeight w:val="53"/>
        </w:trPr>
        <w:tc>
          <w:tcPr>
            <w:tcW w:w="878" w:type="pct"/>
            <w:tcMar>
              <w:top w:w="15" w:type="dxa"/>
              <w:left w:w="55" w:type="dxa"/>
              <w:bottom w:w="0" w:type="dxa"/>
              <w:right w:w="55" w:type="dxa"/>
            </w:tcMar>
            <w:vAlign w:val="bottom"/>
            <w:hideMark/>
          </w:tcPr>
          <w:p w14:paraId="00FD568E"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N75GRB</w:t>
            </w:r>
          </w:p>
        </w:tc>
        <w:tc>
          <w:tcPr>
            <w:tcW w:w="493" w:type="pct"/>
            <w:tcMar>
              <w:top w:w="15" w:type="dxa"/>
              <w:left w:w="55" w:type="dxa"/>
              <w:bottom w:w="0" w:type="dxa"/>
              <w:right w:w="55" w:type="dxa"/>
            </w:tcMar>
            <w:vAlign w:val="bottom"/>
            <w:hideMark/>
          </w:tcPr>
          <w:p w14:paraId="11EE48CD"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7D6B9153"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0.83</w:t>
            </w:r>
          </w:p>
        </w:tc>
        <w:tc>
          <w:tcPr>
            <w:tcW w:w="466" w:type="pct"/>
            <w:gridSpan w:val="2"/>
            <w:tcMar>
              <w:top w:w="15" w:type="dxa"/>
              <w:left w:w="55" w:type="dxa"/>
              <w:bottom w:w="0" w:type="dxa"/>
              <w:right w:w="55" w:type="dxa"/>
            </w:tcMar>
            <w:vAlign w:val="bottom"/>
            <w:hideMark/>
          </w:tcPr>
          <w:p w14:paraId="22B312FB"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4AEBDFC1"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0.98</w:t>
            </w:r>
          </w:p>
        </w:tc>
        <w:tc>
          <w:tcPr>
            <w:tcW w:w="465" w:type="pct"/>
            <w:tcMar>
              <w:top w:w="15" w:type="dxa"/>
              <w:left w:w="55" w:type="dxa"/>
              <w:bottom w:w="0" w:type="dxa"/>
              <w:right w:w="55" w:type="dxa"/>
            </w:tcMar>
            <w:vAlign w:val="bottom"/>
            <w:hideMark/>
          </w:tcPr>
          <w:p w14:paraId="55F3CE45"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053D2122"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36</w:t>
            </w:r>
          </w:p>
        </w:tc>
        <w:tc>
          <w:tcPr>
            <w:tcW w:w="466" w:type="pct"/>
            <w:tcMar>
              <w:top w:w="15" w:type="dxa"/>
              <w:left w:w="55" w:type="dxa"/>
              <w:bottom w:w="0" w:type="dxa"/>
              <w:right w:w="55" w:type="dxa"/>
            </w:tcMar>
            <w:vAlign w:val="bottom"/>
            <w:hideMark/>
          </w:tcPr>
          <w:p w14:paraId="152CD6B1"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743506C2"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0.87</w:t>
            </w:r>
          </w:p>
        </w:tc>
      </w:tr>
      <w:tr w:rsidR="00F90787" w:rsidRPr="00F90787" w14:paraId="51391884" w14:textId="77777777" w:rsidTr="00F90787">
        <w:trPr>
          <w:trHeight w:val="59"/>
        </w:trPr>
        <w:tc>
          <w:tcPr>
            <w:tcW w:w="878" w:type="pct"/>
            <w:tcMar>
              <w:top w:w="15" w:type="dxa"/>
              <w:left w:w="55" w:type="dxa"/>
              <w:bottom w:w="0" w:type="dxa"/>
              <w:right w:w="55" w:type="dxa"/>
            </w:tcMar>
            <w:vAlign w:val="bottom"/>
            <w:hideMark/>
          </w:tcPr>
          <w:p w14:paraId="15D4BD68"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 xml:space="preserve">N75GSH </w:t>
            </w:r>
          </w:p>
        </w:tc>
        <w:tc>
          <w:tcPr>
            <w:tcW w:w="493" w:type="pct"/>
            <w:tcMar>
              <w:top w:w="15" w:type="dxa"/>
              <w:left w:w="55" w:type="dxa"/>
              <w:bottom w:w="0" w:type="dxa"/>
              <w:right w:w="55" w:type="dxa"/>
            </w:tcMar>
            <w:vAlign w:val="bottom"/>
            <w:hideMark/>
          </w:tcPr>
          <w:p w14:paraId="1D72F2C9"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5DD8BEBE"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0.75</w:t>
            </w:r>
          </w:p>
        </w:tc>
        <w:tc>
          <w:tcPr>
            <w:tcW w:w="466" w:type="pct"/>
            <w:gridSpan w:val="2"/>
            <w:tcMar>
              <w:top w:w="15" w:type="dxa"/>
              <w:left w:w="55" w:type="dxa"/>
              <w:bottom w:w="0" w:type="dxa"/>
              <w:right w:w="55" w:type="dxa"/>
            </w:tcMar>
            <w:vAlign w:val="bottom"/>
            <w:hideMark/>
          </w:tcPr>
          <w:p w14:paraId="5F1A61ED"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122BB850"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1.84</w:t>
            </w:r>
          </w:p>
        </w:tc>
        <w:tc>
          <w:tcPr>
            <w:tcW w:w="465" w:type="pct"/>
            <w:tcMar>
              <w:top w:w="15" w:type="dxa"/>
              <w:left w:w="55" w:type="dxa"/>
              <w:bottom w:w="0" w:type="dxa"/>
              <w:right w:w="55" w:type="dxa"/>
            </w:tcMar>
            <w:vAlign w:val="bottom"/>
            <w:hideMark/>
          </w:tcPr>
          <w:p w14:paraId="324A882A"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70568873"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35</w:t>
            </w:r>
          </w:p>
        </w:tc>
        <w:tc>
          <w:tcPr>
            <w:tcW w:w="466" w:type="pct"/>
            <w:tcMar>
              <w:top w:w="15" w:type="dxa"/>
              <w:left w:w="55" w:type="dxa"/>
              <w:bottom w:w="0" w:type="dxa"/>
              <w:right w:w="55" w:type="dxa"/>
            </w:tcMar>
            <w:vAlign w:val="bottom"/>
            <w:hideMark/>
          </w:tcPr>
          <w:p w14:paraId="42BD91C6"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7D8E2547"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0.78</w:t>
            </w:r>
          </w:p>
        </w:tc>
      </w:tr>
      <w:tr w:rsidR="00F90787" w:rsidRPr="00F90787" w14:paraId="1687E4AB" w14:textId="77777777" w:rsidTr="00F90787">
        <w:trPr>
          <w:trHeight w:val="53"/>
        </w:trPr>
        <w:tc>
          <w:tcPr>
            <w:tcW w:w="878" w:type="pct"/>
            <w:tcMar>
              <w:top w:w="15" w:type="dxa"/>
              <w:left w:w="55" w:type="dxa"/>
              <w:bottom w:w="0" w:type="dxa"/>
              <w:right w:w="55" w:type="dxa"/>
            </w:tcMar>
            <w:vAlign w:val="bottom"/>
            <w:hideMark/>
          </w:tcPr>
          <w:p w14:paraId="166E6662"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N75GDC</w:t>
            </w:r>
          </w:p>
        </w:tc>
        <w:tc>
          <w:tcPr>
            <w:tcW w:w="493" w:type="pct"/>
            <w:tcMar>
              <w:top w:w="15" w:type="dxa"/>
              <w:left w:w="55" w:type="dxa"/>
              <w:bottom w:w="0" w:type="dxa"/>
              <w:right w:w="55" w:type="dxa"/>
            </w:tcMar>
            <w:vAlign w:val="bottom"/>
            <w:hideMark/>
          </w:tcPr>
          <w:p w14:paraId="245A7CB1"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3E6E69E4"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0.71</w:t>
            </w:r>
          </w:p>
        </w:tc>
        <w:tc>
          <w:tcPr>
            <w:tcW w:w="466" w:type="pct"/>
            <w:gridSpan w:val="2"/>
            <w:tcMar>
              <w:top w:w="15" w:type="dxa"/>
              <w:left w:w="55" w:type="dxa"/>
              <w:bottom w:w="0" w:type="dxa"/>
              <w:right w:w="55" w:type="dxa"/>
            </w:tcMar>
            <w:vAlign w:val="bottom"/>
            <w:hideMark/>
          </w:tcPr>
          <w:p w14:paraId="2CE136A2"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56F9A06B"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1.54</w:t>
            </w:r>
          </w:p>
        </w:tc>
        <w:tc>
          <w:tcPr>
            <w:tcW w:w="465" w:type="pct"/>
            <w:tcMar>
              <w:top w:w="15" w:type="dxa"/>
              <w:left w:w="55" w:type="dxa"/>
              <w:bottom w:w="0" w:type="dxa"/>
              <w:right w:w="55" w:type="dxa"/>
            </w:tcMar>
            <w:vAlign w:val="bottom"/>
            <w:hideMark/>
          </w:tcPr>
          <w:p w14:paraId="418C1238"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35A3D705"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34</w:t>
            </w:r>
          </w:p>
        </w:tc>
        <w:tc>
          <w:tcPr>
            <w:tcW w:w="466" w:type="pct"/>
            <w:tcMar>
              <w:top w:w="15" w:type="dxa"/>
              <w:left w:w="55" w:type="dxa"/>
              <w:bottom w:w="0" w:type="dxa"/>
              <w:right w:w="55" w:type="dxa"/>
            </w:tcMar>
            <w:vAlign w:val="bottom"/>
            <w:hideMark/>
          </w:tcPr>
          <w:p w14:paraId="697CAB23"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6EBE5320"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0.79</w:t>
            </w:r>
          </w:p>
        </w:tc>
      </w:tr>
      <w:tr w:rsidR="00F90787" w:rsidRPr="00F90787" w14:paraId="6423997A" w14:textId="77777777" w:rsidTr="00F90787">
        <w:trPr>
          <w:trHeight w:val="93"/>
        </w:trPr>
        <w:tc>
          <w:tcPr>
            <w:tcW w:w="878" w:type="pct"/>
            <w:tcMar>
              <w:top w:w="15" w:type="dxa"/>
              <w:left w:w="55" w:type="dxa"/>
              <w:bottom w:w="0" w:type="dxa"/>
              <w:right w:w="55" w:type="dxa"/>
            </w:tcMar>
            <w:vAlign w:val="bottom"/>
            <w:hideMark/>
          </w:tcPr>
          <w:p w14:paraId="765C3947"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N100G0</w:t>
            </w:r>
          </w:p>
        </w:tc>
        <w:tc>
          <w:tcPr>
            <w:tcW w:w="493" w:type="pct"/>
            <w:tcMar>
              <w:top w:w="15" w:type="dxa"/>
              <w:left w:w="55" w:type="dxa"/>
              <w:bottom w:w="0" w:type="dxa"/>
              <w:right w:w="55" w:type="dxa"/>
            </w:tcMar>
            <w:vAlign w:val="bottom"/>
            <w:hideMark/>
          </w:tcPr>
          <w:p w14:paraId="4B0E4BBC"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7E7C3758"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0.41</w:t>
            </w:r>
          </w:p>
        </w:tc>
        <w:tc>
          <w:tcPr>
            <w:tcW w:w="466" w:type="pct"/>
            <w:gridSpan w:val="2"/>
            <w:tcMar>
              <w:top w:w="15" w:type="dxa"/>
              <w:left w:w="55" w:type="dxa"/>
              <w:bottom w:w="0" w:type="dxa"/>
              <w:right w:w="55" w:type="dxa"/>
            </w:tcMar>
            <w:vAlign w:val="bottom"/>
            <w:hideMark/>
          </w:tcPr>
          <w:p w14:paraId="7E64392E"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65F2909F"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0.84</w:t>
            </w:r>
          </w:p>
        </w:tc>
        <w:tc>
          <w:tcPr>
            <w:tcW w:w="465" w:type="pct"/>
            <w:tcMar>
              <w:top w:w="15" w:type="dxa"/>
              <w:left w:w="55" w:type="dxa"/>
              <w:bottom w:w="0" w:type="dxa"/>
              <w:right w:w="55" w:type="dxa"/>
            </w:tcMar>
            <w:vAlign w:val="bottom"/>
            <w:hideMark/>
          </w:tcPr>
          <w:p w14:paraId="25A307CB"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7A6EBD07"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30</w:t>
            </w:r>
          </w:p>
        </w:tc>
        <w:tc>
          <w:tcPr>
            <w:tcW w:w="466" w:type="pct"/>
            <w:tcMar>
              <w:top w:w="15" w:type="dxa"/>
              <w:left w:w="55" w:type="dxa"/>
              <w:bottom w:w="0" w:type="dxa"/>
              <w:right w:w="55" w:type="dxa"/>
            </w:tcMar>
            <w:vAlign w:val="bottom"/>
            <w:hideMark/>
          </w:tcPr>
          <w:p w14:paraId="05569DEC"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66F51B42"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0.85</w:t>
            </w:r>
          </w:p>
        </w:tc>
      </w:tr>
      <w:tr w:rsidR="00F90787" w:rsidRPr="00F90787" w14:paraId="11E0319A" w14:textId="77777777" w:rsidTr="00F90787">
        <w:trPr>
          <w:trHeight w:val="53"/>
        </w:trPr>
        <w:tc>
          <w:tcPr>
            <w:tcW w:w="878" w:type="pct"/>
            <w:tcMar>
              <w:top w:w="15" w:type="dxa"/>
              <w:left w:w="55" w:type="dxa"/>
              <w:bottom w:w="0" w:type="dxa"/>
              <w:right w:w="55" w:type="dxa"/>
            </w:tcMar>
            <w:vAlign w:val="bottom"/>
            <w:hideMark/>
          </w:tcPr>
          <w:p w14:paraId="44C3C9BE"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N100GRB</w:t>
            </w:r>
          </w:p>
        </w:tc>
        <w:tc>
          <w:tcPr>
            <w:tcW w:w="493" w:type="pct"/>
            <w:tcMar>
              <w:top w:w="15" w:type="dxa"/>
              <w:left w:w="55" w:type="dxa"/>
              <w:bottom w:w="0" w:type="dxa"/>
              <w:right w:w="55" w:type="dxa"/>
            </w:tcMar>
            <w:vAlign w:val="bottom"/>
            <w:hideMark/>
          </w:tcPr>
          <w:p w14:paraId="261F517F"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1A8635F4"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0.87</w:t>
            </w:r>
          </w:p>
        </w:tc>
        <w:tc>
          <w:tcPr>
            <w:tcW w:w="466" w:type="pct"/>
            <w:gridSpan w:val="2"/>
            <w:tcMar>
              <w:top w:w="15" w:type="dxa"/>
              <w:left w:w="55" w:type="dxa"/>
              <w:bottom w:w="0" w:type="dxa"/>
              <w:right w:w="55" w:type="dxa"/>
            </w:tcMar>
            <w:vAlign w:val="bottom"/>
            <w:hideMark/>
          </w:tcPr>
          <w:p w14:paraId="29D089B0"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403EF9AF"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0.88</w:t>
            </w:r>
          </w:p>
        </w:tc>
        <w:tc>
          <w:tcPr>
            <w:tcW w:w="465" w:type="pct"/>
            <w:tcMar>
              <w:top w:w="15" w:type="dxa"/>
              <w:left w:w="55" w:type="dxa"/>
              <w:bottom w:w="0" w:type="dxa"/>
              <w:right w:w="55" w:type="dxa"/>
            </w:tcMar>
            <w:vAlign w:val="bottom"/>
            <w:hideMark/>
          </w:tcPr>
          <w:p w14:paraId="4AFD72C2"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7828618D"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32</w:t>
            </w:r>
          </w:p>
        </w:tc>
        <w:tc>
          <w:tcPr>
            <w:tcW w:w="466" w:type="pct"/>
            <w:tcMar>
              <w:top w:w="15" w:type="dxa"/>
              <w:left w:w="55" w:type="dxa"/>
              <w:bottom w:w="0" w:type="dxa"/>
              <w:right w:w="55" w:type="dxa"/>
            </w:tcMar>
            <w:vAlign w:val="bottom"/>
            <w:hideMark/>
          </w:tcPr>
          <w:p w14:paraId="40335FB3"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0DEB2B13"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0.90</w:t>
            </w:r>
          </w:p>
        </w:tc>
      </w:tr>
      <w:tr w:rsidR="00F90787" w:rsidRPr="00F90787" w14:paraId="49000422" w14:textId="77777777" w:rsidTr="00F90787">
        <w:trPr>
          <w:trHeight w:val="53"/>
        </w:trPr>
        <w:tc>
          <w:tcPr>
            <w:tcW w:w="878" w:type="pct"/>
            <w:tcMar>
              <w:top w:w="15" w:type="dxa"/>
              <w:left w:w="55" w:type="dxa"/>
              <w:bottom w:w="0" w:type="dxa"/>
              <w:right w:w="55" w:type="dxa"/>
            </w:tcMar>
            <w:vAlign w:val="bottom"/>
            <w:hideMark/>
          </w:tcPr>
          <w:p w14:paraId="60DB8F2D"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 xml:space="preserve">N100GSH </w:t>
            </w:r>
          </w:p>
        </w:tc>
        <w:tc>
          <w:tcPr>
            <w:tcW w:w="493" w:type="pct"/>
            <w:tcMar>
              <w:top w:w="15" w:type="dxa"/>
              <w:left w:w="55" w:type="dxa"/>
              <w:bottom w:w="0" w:type="dxa"/>
              <w:right w:w="55" w:type="dxa"/>
            </w:tcMar>
            <w:vAlign w:val="bottom"/>
            <w:hideMark/>
          </w:tcPr>
          <w:p w14:paraId="62108DF5"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3022DD53"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0.81</w:t>
            </w:r>
          </w:p>
        </w:tc>
        <w:tc>
          <w:tcPr>
            <w:tcW w:w="466" w:type="pct"/>
            <w:gridSpan w:val="2"/>
            <w:tcMar>
              <w:top w:w="15" w:type="dxa"/>
              <w:left w:w="55" w:type="dxa"/>
              <w:bottom w:w="0" w:type="dxa"/>
              <w:right w:w="55" w:type="dxa"/>
            </w:tcMar>
            <w:vAlign w:val="bottom"/>
            <w:hideMark/>
          </w:tcPr>
          <w:p w14:paraId="44919384"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1FD50B0B"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1.23</w:t>
            </w:r>
          </w:p>
        </w:tc>
        <w:tc>
          <w:tcPr>
            <w:tcW w:w="465" w:type="pct"/>
            <w:tcMar>
              <w:top w:w="15" w:type="dxa"/>
              <w:left w:w="55" w:type="dxa"/>
              <w:bottom w:w="0" w:type="dxa"/>
              <w:right w:w="55" w:type="dxa"/>
            </w:tcMar>
            <w:vAlign w:val="bottom"/>
            <w:hideMark/>
          </w:tcPr>
          <w:p w14:paraId="4B15618A"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0E4BBBFC"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35</w:t>
            </w:r>
          </w:p>
        </w:tc>
        <w:tc>
          <w:tcPr>
            <w:tcW w:w="466" w:type="pct"/>
            <w:tcMar>
              <w:top w:w="15" w:type="dxa"/>
              <w:left w:w="55" w:type="dxa"/>
              <w:bottom w:w="0" w:type="dxa"/>
              <w:right w:w="55" w:type="dxa"/>
            </w:tcMar>
            <w:vAlign w:val="bottom"/>
            <w:hideMark/>
          </w:tcPr>
          <w:p w14:paraId="0A7765A7"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21836680"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0.80</w:t>
            </w:r>
          </w:p>
        </w:tc>
      </w:tr>
      <w:tr w:rsidR="00F90787" w:rsidRPr="00F90787" w14:paraId="1011F6EC" w14:textId="77777777" w:rsidTr="00F90787">
        <w:trPr>
          <w:trHeight w:val="53"/>
        </w:trPr>
        <w:tc>
          <w:tcPr>
            <w:tcW w:w="878" w:type="pct"/>
            <w:tcMar>
              <w:top w:w="15" w:type="dxa"/>
              <w:left w:w="55" w:type="dxa"/>
              <w:bottom w:w="0" w:type="dxa"/>
              <w:right w:w="55" w:type="dxa"/>
            </w:tcMar>
            <w:vAlign w:val="bottom"/>
            <w:hideMark/>
          </w:tcPr>
          <w:p w14:paraId="20AB58B5" w14:textId="77777777" w:rsidR="00F90787" w:rsidRPr="00F90787" w:rsidRDefault="00F90787" w:rsidP="008605D1">
            <w:pPr>
              <w:jc w:val="both"/>
              <w:rPr>
                <w:rFonts w:ascii="Arial" w:hAnsi="Arial" w:cs="Arial"/>
              </w:rPr>
            </w:pPr>
            <w:r w:rsidRPr="00F90787">
              <w:rPr>
                <w:rFonts w:ascii="Arial" w:hAnsi="Arial" w:cs="Arial"/>
                <w:color w:val="000000" w:themeColor="text1"/>
                <w:kern w:val="24"/>
              </w:rPr>
              <w:t>N100GDC</w:t>
            </w:r>
          </w:p>
        </w:tc>
        <w:tc>
          <w:tcPr>
            <w:tcW w:w="493" w:type="pct"/>
            <w:tcMar>
              <w:top w:w="15" w:type="dxa"/>
              <w:left w:w="55" w:type="dxa"/>
              <w:bottom w:w="0" w:type="dxa"/>
              <w:right w:w="55" w:type="dxa"/>
            </w:tcMar>
            <w:vAlign w:val="bottom"/>
            <w:hideMark/>
          </w:tcPr>
          <w:p w14:paraId="6876CEC0"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0.09</w:t>
            </w:r>
          </w:p>
        </w:tc>
        <w:tc>
          <w:tcPr>
            <w:tcW w:w="603" w:type="pct"/>
            <w:tcMar>
              <w:top w:w="15" w:type="dxa"/>
              <w:left w:w="55" w:type="dxa"/>
              <w:bottom w:w="0" w:type="dxa"/>
              <w:right w:w="55" w:type="dxa"/>
            </w:tcMar>
            <w:vAlign w:val="bottom"/>
            <w:hideMark/>
          </w:tcPr>
          <w:p w14:paraId="30E68207"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0.78</w:t>
            </w:r>
          </w:p>
        </w:tc>
        <w:tc>
          <w:tcPr>
            <w:tcW w:w="466" w:type="pct"/>
            <w:gridSpan w:val="2"/>
            <w:tcMar>
              <w:top w:w="15" w:type="dxa"/>
              <w:left w:w="55" w:type="dxa"/>
              <w:bottom w:w="0" w:type="dxa"/>
              <w:right w:w="55" w:type="dxa"/>
            </w:tcMar>
            <w:vAlign w:val="bottom"/>
            <w:hideMark/>
          </w:tcPr>
          <w:p w14:paraId="16171E10"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2.80</w:t>
            </w:r>
          </w:p>
        </w:tc>
        <w:tc>
          <w:tcPr>
            <w:tcW w:w="576" w:type="pct"/>
            <w:tcMar>
              <w:top w:w="15" w:type="dxa"/>
              <w:left w:w="56" w:type="dxa"/>
              <w:bottom w:w="0" w:type="dxa"/>
              <w:right w:w="56" w:type="dxa"/>
            </w:tcMar>
            <w:vAlign w:val="bottom"/>
            <w:hideMark/>
          </w:tcPr>
          <w:p w14:paraId="0FE90549"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0.96</w:t>
            </w:r>
          </w:p>
        </w:tc>
        <w:tc>
          <w:tcPr>
            <w:tcW w:w="465" w:type="pct"/>
            <w:tcMar>
              <w:top w:w="15" w:type="dxa"/>
              <w:left w:w="55" w:type="dxa"/>
              <w:bottom w:w="0" w:type="dxa"/>
              <w:right w:w="55" w:type="dxa"/>
            </w:tcMar>
            <w:vAlign w:val="bottom"/>
            <w:hideMark/>
          </w:tcPr>
          <w:p w14:paraId="797C8135"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6.25</w:t>
            </w:r>
          </w:p>
        </w:tc>
        <w:tc>
          <w:tcPr>
            <w:tcW w:w="522" w:type="pct"/>
            <w:tcMar>
              <w:top w:w="15" w:type="dxa"/>
              <w:left w:w="56" w:type="dxa"/>
              <w:bottom w:w="0" w:type="dxa"/>
              <w:right w:w="56" w:type="dxa"/>
            </w:tcMar>
            <w:vAlign w:val="bottom"/>
            <w:hideMark/>
          </w:tcPr>
          <w:p w14:paraId="3875B73B"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34</w:t>
            </w:r>
          </w:p>
        </w:tc>
        <w:tc>
          <w:tcPr>
            <w:tcW w:w="466" w:type="pct"/>
            <w:tcMar>
              <w:top w:w="15" w:type="dxa"/>
              <w:left w:w="55" w:type="dxa"/>
              <w:bottom w:w="0" w:type="dxa"/>
              <w:right w:w="55" w:type="dxa"/>
            </w:tcMar>
            <w:vAlign w:val="bottom"/>
            <w:hideMark/>
          </w:tcPr>
          <w:p w14:paraId="17031858" w14:textId="77777777" w:rsidR="00F90787" w:rsidRPr="00F90787" w:rsidRDefault="00F90787" w:rsidP="008605D1">
            <w:pPr>
              <w:jc w:val="center"/>
              <w:rPr>
                <w:rFonts w:ascii="Arial" w:hAnsi="Arial" w:cs="Arial"/>
              </w:rPr>
            </w:pPr>
            <w:r w:rsidRPr="00F90787">
              <w:rPr>
                <w:rFonts w:ascii="Arial" w:eastAsia="Calibri" w:hAnsi="Arial" w:cs="Arial"/>
                <w:color w:val="000000" w:themeColor="text1"/>
                <w:kern w:val="24"/>
              </w:rPr>
              <w:t>0.76</w:t>
            </w:r>
          </w:p>
        </w:tc>
        <w:tc>
          <w:tcPr>
            <w:tcW w:w="532" w:type="pct"/>
            <w:tcMar>
              <w:top w:w="15" w:type="dxa"/>
              <w:left w:w="56" w:type="dxa"/>
              <w:bottom w:w="0" w:type="dxa"/>
              <w:right w:w="56" w:type="dxa"/>
            </w:tcMar>
            <w:vAlign w:val="bottom"/>
            <w:hideMark/>
          </w:tcPr>
          <w:p w14:paraId="6CC9AD80" w14:textId="77777777" w:rsidR="00F90787" w:rsidRPr="00F90787" w:rsidRDefault="00F90787" w:rsidP="008605D1">
            <w:pPr>
              <w:jc w:val="center"/>
              <w:rPr>
                <w:rFonts w:ascii="Arial" w:hAnsi="Arial" w:cs="Arial"/>
              </w:rPr>
            </w:pPr>
            <w:r w:rsidRPr="00F90787">
              <w:rPr>
                <w:rFonts w:ascii="Arial" w:hAnsi="Arial" w:cs="Arial"/>
                <w:color w:val="000000" w:themeColor="text1"/>
                <w:kern w:val="24"/>
              </w:rPr>
              <w:t>1.96</w:t>
            </w:r>
          </w:p>
        </w:tc>
      </w:tr>
    </w:tbl>
    <w:p w14:paraId="69D1B13C" w14:textId="77777777" w:rsidR="00F90787" w:rsidRPr="00F90787" w:rsidRDefault="00F90787" w:rsidP="00F90787">
      <w:pPr>
        <w:pStyle w:val="Body"/>
        <w:spacing w:after="0"/>
        <w:rPr>
          <w:rFonts w:ascii="Arial" w:hAnsi="Arial" w:cs="Arial"/>
        </w:rPr>
      </w:pPr>
      <w:r w:rsidRPr="00F90787">
        <w:rPr>
          <w:rFonts w:ascii="Arial" w:hAnsi="Arial" w:cs="Arial"/>
        </w:rPr>
        <w:t xml:space="preserve">N0= N omission, N25 = 25% of inorganic N rate, N50 = 50% of inorganic N rate, N75 = 75% of inorganic N rate, N100 = 100% of inorganic N rate, </w:t>
      </w:r>
    </w:p>
    <w:p w14:paraId="2C894AB3" w14:textId="77777777" w:rsidR="00F90787" w:rsidRPr="00F90787" w:rsidRDefault="00F90787" w:rsidP="00F90787">
      <w:pPr>
        <w:pStyle w:val="Body"/>
        <w:spacing w:after="0"/>
        <w:rPr>
          <w:rFonts w:ascii="Arial" w:hAnsi="Arial" w:cs="Arial"/>
        </w:rPr>
      </w:pPr>
      <w:r w:rsidRPr="00F90787">
        <w:rPr>
          <w:rFonts w:ascii="Arial" w:hAnsi="Arial" w:cs="Arial"/>
        </w:rPr>
        <w:t xml:space="preserve">G0= no green manure, GRB = rice bean, GSH = </w:t>
      </w:r>
      <w:proofErr w:type="spellStart"/>
      <w:r w:rsidRPr="00F90787">
        <w:rPr>
          <w:rFonts w:ascii="Arial" w:hAnsi="Arial" w:cs="Arial"/>
        </w:rPr>
        <w:t>sunn</w:t>
      </w:r>
      <w:proofErr w:type="spellEnd"/>
      <w:r w:rsidRPr="00F90787">
        <w:rPr>
          <w:rFonts w:ascii="Arial" w:hAnsi="Arial" w:cs="Arial"/>
        </w:rPr>
        <w:t xml:space="preserve"> hemp, GDC = </w:t>
      </w:r>
      <w:proofErr w:type="spellStart"/>
      <w:r w:rsidRPr="00F90787">
        <w:rPr>
          <w:rFonts w:ascii="Arial" w:hAnsi="Arial" w:cs="Arial"/>
        </w:rPr>
        <w:t>dhaincha</w:t>
      </w:r>
      <w:proofErr w:type="spellEnd"/>
    </w:p>
    <w:p w14:paraId="10B22ADC" w14:textId="77777777" w:rsidR="00F90787" w:rsidRDefault="00F90787" w:rsidP="00F90787">
      <w:pPr>
        <w:pStyle w:val="Body"/>
        <w:spacing w:after="0"/>
        <w:rPr>
          <w:rFonts w:ascii="Arial" w:hAnsi="Arial" w:cs="Arial"/>
        </w:rPr>
      </w:pPr>
    </w:p>
    <w:p w14:paraId="3D5251BB" w14:textId="23D4AC23" w:rsidR="00F90787" w:rsidRPr="006909F3" w:rsidRDefault="006909F3" w:rsidP="00F90787">
      <w:pPr>
        <w:pStyle w:val="Body"/>
        <w:spacing w:after="0"/>
        <w:rPr>
          <w:rFonts w:ascii="Arial" w:hAnsi="Arial" w:cs="Arial"/>
          <w:b/>
          <w:sz w:val="22"/>
        </w:rPr>
      </w:pPr>
      <w:r>
        <w:rPr>
          <w:rFonts w:ascii="Arial" w:hAnsi="Arial" w:cs="Arial"/>
          <w:b/>
          <w:sz w:val="22"/>
        </w:rPr>
        <w:t xml:space="preserve">3.2 </w:t>
      </w:r>
      <w:r w:rsidR="00F90787" w:rsidRPr="006909F3">
        <w:rPr>
          <w:rFonts w:ascii="Arial" w:hAnsi="Arial" w:cs="Arial"/>
          <w:b/>
          <w:sz w:val="22"/>
        </w:rPr>
        <w:t xml:space="preserve">Dry matter accumulation </w:t>
      </w:r>
    </w:p>
    <w:p w14:paraId="1A16382C" w14:textId="77777777" w:rsidR="00F90787" w:rsidRPr="00F90787" w:rsidRDefault="00F90787" w:rsidP="00F90787">
      <w:pPr>
        <w:pStyle w:val="Body"/>
        <w:spacing w:after="0"/>
        <w:ind w:firstLine="720"/>
        <w:rPr>
          <w:rFonts w:ascii="Arial" w:hAnsi="Arial" w:cs="Arial"/>
        </w:rPr>
      </w:pPr>
      <w:r w:rsidRPr="00F90787">
        <w:rPr>
          <w:rFonts w:ascii="Arial" w:hAnsi="Arial" w:cs="Arial"/>
        </w:rPr>
        <w:lastRenderedPageBreak/>
        <w:t xml:space="preserve">During the harvest, the highest dry matter value for inorganic </w:t>
      </w:r>
      <w:proofErr w:type="spellStart"/>
      <w:r w:rsidRPr="00F90787">
        <w:rPr>
          <w:rFonts w:ascii="Arial" w:hAnsi="Arial" w:cs="Arial"/>
        </w:rPr>
        <w:t>Nlevels</w:t>
      </w:r>
      <w:proofErr w:type="spellEnd"/>
      <w:r w:rsidRPr="00F90787">
        <w:rPr>
          <w:rFonts w:ascii="Arial" w:hAnsi="Arial" w:cs="Arial"/>
        </w:rPr>
        <w:t xml:space="preserve"> was recorded in N100. For GM crops, the use of GSH resulted in the maximum dry matter production. All GM crops outperformed the control treatment (N0G0) in terms of dry matter. </w:t>
      </w:r>
    </w:p>
    <w:p w14:paraId="61759D2A" w14:textId="77777777" w:rsidR="00F90787" w:rsidRPr="00F90787" w:rsidRDefault="00F90787" w:rsidP="00F90787">
      <w:pPr>
        <w:pStyle w:val="Body"/>
        <w:spacing w:after="0"/>
        <w:rPr>
          <w:rFonts w:ascii="Arial" w:hAnsi="Arial" w:cs="Arial"/>
        </w:rPr>
      </w:pPr>
      <w:r w:rsidRPr="00F90787">
        <w:rPr>
          <w:rFonts w:ascii="Arial" w:hAnsi="Arial" w:cs="Arial"/>
        </w:rPr>
        <w:t xml:space="preserve">When assessing the combined effects of GM crops and inorganic N fertilizer, N100GSH achieved the highest dry matter yield at 13.69 and 13.33 t ha-1 in both 2023 and 2024, respectively. This result was comparable to N75GSH, which produced 12.71 t ha-1 in 2023 and 12.54 t ha-1 in 2024, and N50GSH, with yields of 12.07 t ha-1 in 2023 and 11.98 t ha-1 in 2024. </w:t>
      </w:r>
    </w:p>
    <w:p w14:paraId="781B4266" w14:textId="77777777" w:rsidR="00F90787" w:rsidRPr="00F90787" w:rsidRDefault="00F90787" w:rsidP="00F90787">
      <w:pPr>
        <w:pStyle w:val="Body"/>
        <w:spacing w:after="0"/>
        <w:ind w:firstLine="720"/>
        <w:rPr>
          <w:rFonts w:ascii="Arial" w:hAnsi="Arial" w:cs="Arial"/>
        </w:rPr>
      </w:pPr>
      <w:r w:rsidRPr="00F90787">
        <w:rPr>
          <w:rFonts w:ascii="Arial" w:hAnsi="Arial" w:cs="Arial"/>
        </w:rPr>
        <w:t>The study found that the dry matter production of rice increased with the application of higher amounts of inorganic N fertilizer. However, treatments N0G0, N25G0, N50G0, N75G0, and N100G0, which did not include GM crops, resulted in lower dry matter production at all stages throughout the experimental period.</w:t>
      </w:r>
    </w:p>
    <w:p w14:paraId="5883AB8A" w14:textId="48CF43B5" w:rsidR="00F90787" w:rsidRDefault="00F90787" w:rsidP="00F90787">
      <w:pPr>
        <w:pStyle w:val="Body"/>
        <w:spacing w:after="0"/>
        <w:rPr>
          <w:rFonts w:ascii="Arial" w:hAnsi="Arial" w:cs="Arial"/>
        </w:rPr>
      </w:pPr>
      <w:r w:rsidRPr="00F90787">
        <w:rPr>
          <w:rFonts w:ascii="Arial" w:hAnsi="Arial" w:cs="Arial"/>
        </w:rPr>
        <w:t>Thus, combining various inorganic N fertilizers with GM crop incorporation can significantly enhance dry matter accumulation in the Sinn-</w:t>
      </w:r>
      <w:proofErr w:type="spellStart"/>
      <w:r w:rsidRPr="00F90787">
        <w:rPr>
          <w:rFonts w:ascii="Arial" w:hAnsi="Arial" w:cs="Arial"/>
        </w:rPr>
        <w:t>thu</w:t>
      </w:r>
      <w:proofErr w:type="spellEnd"/>
      <w:r w:rsidRPr="00F90787">
        <w:rPr>
          <w:rFonts w:ascii="Arial" w:hAnsi="Arial" w:cs="Arial"/>
        </w:rPr>
        <w:t>-kha rice variety. These findings are consistent with the research of Saha et al. (2007), which reported that higher levels of N, when used alongside green manures, lead to increased straw yields.</w:t>
      </w:r>
    </w:p>
    <w:p w14:paraId="5BA81971" w14:textId="77777777" w:rsidR="00F90787" w:rsidRDefault="00F90787" w:rsidP="00F90787">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3"/>
      </w:tblGrid>
      <w:tr w:rsidR="00370489" w14:paraId="4DE1928B" w14:textId="77777777" w:rsidTr="006909F3">
        <w:tc>
          <w:tcPr>
            <w:tcW w:w="8424" w:type="dxa"/>
          </w:tcPr>
          <w:p w14:paraId="593E80D7" w14:textId="208ABC88" w:rsidR="00370489" w:rsidRDefault="00370489" w:rsidP="00370489">
            <w:pPr>
              <w:pStyle w:val="Body"/>
              <w:spacing w:after="0"/>
              <w:jc w:val="left"/>
              <w:rPr>
                <w:rFonts w:ascii="Arial" w:hAnsi="Arial" w:cs="Arial"/>
              </w:rPr>
            </w:pPr>
            <w:r w:rsidRPr="001E39F4">
              <w:rPr>
                <w:rFonts w:ascii="Times New Roman" w:hAnsi="Times New Roman"/>
                <w:noProof/>
                <w:sz w:val="24"/>
                <w:szCs w:val="24"/>
              </w:rPr>
              <w:drawing>
                <wp:inline distT="0" distB="0" distL="0" distR="0" wp14:anchorId="056F72DE" wp14:editId="035446C8">
                  <wp:extent cx="5219700" cy="2818130"/>
                  <wp:effectExtent l="0" t="0" r="0" b="0"/>
                  <wp:docPr id="5" name="Chart 5">
                    <a:extLst xmlns:a="http://schemas.openxmlformats.org/drawingml/2006/main">
                      <a:ext uri="{FF2B5EF4-FFF2-40B4-BE49-F238E27FC236}">
                        <a16:creationId xmlns:a16="http://schemas.microsoft.com/office/drawing/2014/main" id="{7B70BCB7-87BF-4F97-974E-135B1BDD14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370489" w14:paraId="14711D03" w14:textId="77777777" w:rsidTr="006909F3">
        <w:tc>
          <w:tcPr>
            <w:tcW w:w="8424" w:type="dxa"/>
          </w:tcPr>
          <w:p w14:paraId="00B6745D" w14:textId="77777777" w:rsidR="00370489" w:rsidRDefault="00370489" w:rsidP="00F90787">
            <w:pPr>
              <w:pStyle w:val="Body"/>
              <w:spacing w:after="0"/>
              <w:rPr>
                <w:rFonts w:ascii="Arial" w:hAnsi="Arial" w:cs="Arial"/>
              </w:rPr>
            </w:pPr>
          </w:p>
          <w:p w14:paraId="61BFC18D" w14:textId="4F0FB156" w:rsidR="00370489" w:rsidRDefault="00370489" w:rsidP="00F90787">
            <w:pPr>
              <w:pStyle w:val="Body"/>
              <w:spacing w:after="0"/>
              <w:rPr>
                <w:rFonts w:ascii="Arial" w:hAnsi="Arial" w:cs="Arial"/>
              </w:rPr>
            </w:pPr>
            <w:r w:rsidRPr="00D349AF">
              <w:rPr>
                <w:rFonts w:ascii="Times New Roman" w:eastAsiaTheme="majorEastAsia" w:hAnsi="Times New Roman"/>
                <w:b/>
                <w:strike/>
                <w:noProof/>
                <w:color w:val="FF0000"/>
                <w:sz w:val="24"/>
                <w:szCs w:val="24"/>
              </w:rPr>
              <w:drawing>
                <wp:anchor distT="0" distB="0" distL="114300" distR="114300" simplePos="0" relativeHeight="251661312" behindDoc="0" locked="0" layoutInCell="1" allowOverlap="1" wp14:anchorId="281315B2" wp14:editId="32931C40">
                  <wp:simplePos x="0" y="0"/>
                  <wp:positionH relativeFrom="column">
                    <wp:posOffset>-65405</wp:posOffset>
                  </wp:positionH>
                  <wp:positionV relativeFrom="paragraph">
                    <wp:posOffset>31750</wp:posOffset>
                  </wp:positionV>
                  <wp:extent cx="5338445" cy="2813050"/>
                  <wp:effectExtent l="0" t="0" r="0" b="0"/>
                  <wp:wrapSquare wrapText="bothSides"/>
                  <wp:docPr id="462676264" name="Chart 462676264">
                    <a:extLst xmlns:a="http://schemas.openxmlformats.org/drawingml/2006/main">
                      <a:ext uri="{FF2B5EF4-FFF2-40B4-BE49-F238E27FC236}">
                        <a16:creationId xmlns:a16="http://schemas.microsoft.com/office/drawing/2014/main" id="{7B70BCB7-87BF-4F97-974E-135B1BDD14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tc>
      </w:tr>
    </w:tbl>
    <w:p w14:paraId="4578B537" w14:textId="507519C2" w:rsidR="00F90787" w:rsidRPr="008330C3" w:rsidRDefault="00370489" w:rsidP="00370489">
      <w:pPr>
        <w:pStyle w:val="Body"/>
        <w:spacing w:after="0"/>
        <w:ind w:left="810" w:hanging="810"/>
        <w:rPr>
          <w:rFonts w:ascii="Arial" w:hAnsi="Arial" w:cs="Arial"/>
          <w:b/>
          <w:bCs/>
        </w:rPr>
      </w:pPr>
      <w:r w:rsidRPr="008330C3">
        <w:rPr>
          <w:rFonts w:ascii="Arial" w:hAnsi="Arial" w:cs="Arial"/>
          <w:b/>
          <w:bCs/>
        </w:rPr>
        <w:t>Figure 1.</w:t>
      </w:r>
      <w:r w:rsidR="008330C3">
        <w:rPr>
          <w:rFonts w:ascii="Arial" w:hAnsi="Arial" w:cs="Arial"/>
          <w:b/>
          <w:bCs/>
        </w:rPr>
        <w:t xml:space="preserve"> </w:t>
      </w:r>
      <w:r w:rsidRPr="008330C3">
        <w:rPr>
          <w:rFonts w:ascii="Arial" w:hAnsi="Arial" w:cs="Arial"/>
          <w:b/>
          <w:bCs/>
        </w:rPr>
        <w:t>Dry matter (t ha</w:t>
      </w:r>
      <w:r w:rsidRPr="008330C3">
        <w:rPr>
          <w:rFonts w:ascii="Arial" w:hAnsi="Arial" w:cs="Arial"/>
          <w:b/>
          <w:bCs/>
          <w:vertAlign w:val="superscript"/>
        </w:rPr>
        <w:t>-1</w:t>
      </w:r>
      <w:r w:rsidRPr="008330C3">
        <w:rPr>
          <w:rFonts w:ascii="Arial" w:hAnsi="Arial" w:cs="Arial"/>
          <w:b/>
          <w:bCs/>
        </w:rPr>
        <w:t>) of Sinn-</w:t>
      </w:r>
      <w:proofErr w:type="spellStart"/>
      <w:r w:rsidRPr="008330C3">
        <w:rPr>
          <w:rFonts w:ascii="Arial" w:hAnsi="Arial" w:cs="Arial"/>
          <w:b/>
          <w:bCs/>
        </w:rPr>
        <w:t>thu</w:t>
      </w:r>
      <w:proofErr w:type="spellEnd"/>
      <w:r w:rsidRPr="008330C3">
        <w:rPr>
          <w:rFonts w:ascii="Arial" w:hAnsi="Arial" w:cs="Arial"/>
          <w:b/>
          <w:bCs/>
        </w:rPr>
        <w:t>-kha rice variety at the harvesting stage in field conditions, 2023 and 2024</w:t>
      </w:r>
    </w:p>
    <w:p w14:paraId="177A4106" w14:textId="77777777" w:rsidR="00F90787" w:rsidRDefault="00F90787" w:rsidP="00F90787">
      <w:pPr>
        <w:pStyle w:val="Body"/>
        <w:spacing w:after="0"/>
        <w:rPr>
          <w:rFonts w:ascii="Arial" w:hAnsi="Arial" w:cs="Arial"/>
        </w:rPr>
      </w:pPr>
    </w:p>
    <w:p w14:paraId="2BBB4F8B" w14:textId="16A84D35" w:rsidR="006909F3" w:rsidRPr="006909F3" w:rsidRDefault="006909F3" w:rsidP="006909F3">
      <w:pPr>
        <w:pStyle w:val="Body"/>
        <w:spacing w:after="0"/>
        <w:rPr>
          <w:rFonts w:ascii="Arial" w:hAnsi="Arial" w:cs="Arial"/>
          <w:b/>
          <w:sz w:val="22"/>
        </w:rPr>
      </w:pPr>
      <w:bookmarkStart w:id="2" w:name="_Toc180667766"/>
      <w:r>
        <w:rPr>
          <w:rFonts w:ascii="Arial" w:hAnsi="Arial" w:cs="Arial"/>
          <w:b/>
          <w:sz w:val="22"/>
        </w:rPr>
        <w:t xml:space="preserve">3.3 </w:t>
      </w:r>
      <w:r w:rsidRPr="006909F3">
        <w:rPr>
          <w:rFonts w:ascii="Arial" w:hAnsi="Arial" w:cs="Arial"/>
          <w:b/>
          <w:sz w:val="22"/>
        </w:rPr>
        <w:t>N uptake</w:t>
      </w:r>
    </w:p>
    <w:p w14:paraId="4BE76408" w14:textId="77777777" w:rsidR="006909F3" w:rsidRPr="006909F3" w:rsidRDefault="006909F3" w:rsidP="006909F3">
      <w:pPr>
        <w:pStyle w:val="Body"/>
        <w:spacing w:after="0"/>
        <w:rPr>
          <w:rFonts w:ascii="Arial" w:hAnsi="Arial" w:cs="Arial"/>
        </w:rPr>
      </w:pPr>
      <w:r w:rsidRPr="006909F3">
        <w:rPr>
          <w:rFonts w:ascii="Arial" w:hAnsi="Arial" w:cs="Arial"/>
        </w:rPr>
        <w:t>In this study, the N uptake of rice plants showed varying responses based on the levels of inorganic N and GM crops (Figure 3). At the time of harvest, N100GSH demonstrated the highest N uptake, recording 144.54 kg ha</w:t>
      </w:r>
      <w:r w:rsidRPr="006909F3">
        <w:rPr>
          <w:rFonts w:ascii="Cambria Math" w:hAnsi="Cambria Math" w:cs="Cambria Math"/>
        </w:rPr>
        <w:t>⁻</w:t>
      </w:r>
      <w:r w:rsidRPr="006909F3">
        <w:rPr>
          <w:rFonts w:ascii="Arial" w:hAnsi="Arial" w:cs="Arial"/>
        </w:rPr>
        <w:t xml:space="preserve">¹ in 2023 and </w:t>
      </w:r>
      <w:r w:rsidRPr="006909F3">
        <w:rPr>
          <w:rFonts w:ascii="Arial" w:hAnsi="Arial" w:cs="Arial"/>
        </w:rPr>
        <w:lastRenderedPageBreak/>
        <w:t>166.43 kg ha</w:t>
      </w:r>
      <w:r w:rsidRPr="006909F3">
        <w:rPr>
          <w:rFonts w:ascii="Cambria Math" w:hAnsi="Cambria Math" w:cs="Cambria Math"/>
        </w:rPr>
        <w:t>⁻</w:t>
      </w:r>
      <w:r w:rsidRPr="006909F3">
        <w:rPr>
          <w:rFonts w:ascii="Arial" w:hAnsi="Arial" w:cs="Arial"/>
        </w:rPr>
        <w:t>¹ in 2024. In comparison, N75GSH achieved a similar N uptake of 132.90 kg ha</w:t>
      </w:r>
      <w:r w:rsidRPr="006909F3">
        <w:rPr>
          <w:rFonts w:ascii="Cambria Math" w:hAnsi="Cambria Math" w:cs="Cambria Math"/>
        </w:rPr>
        <w:t>⁻</w:t>
      </w:r>
      <w:r w:rsidRPr="006909F3">
        <w:rPr>
          <w:rFonts w:ascii="Arial" w:hAnsi="Arial" w:cs="Arial"/>
        </w:rPr>
        <w:t>¹ in 2023 and 149.81 kg ha</w:t>
      </w:r>
      <w:r w:rsidRPr="006909F3">
        <w:rPr>
          <w:rFonts w:ascii="Cambria Math" w:hAnsi="Cambria Math" w:cs="Cambria Math"/>
        </w:rPr>
        <w:t>⁻</w:t>
      </w:r>
      <w:r w:rsidRPr="006909F3">
        <w:rPr>
          <w:rFonts w:ascii="Arial" w:hAnsi="Arial" w:cs="Arial"/>
        </w:rPr>
        <w:t>¹ in 2024. However, treatments involving GRB and GDC resulted in lower N uptake values. In the absence of GM crops, treatments N25G0, N50G0, and N100G0 did not reach optimal N uptake levels. The plots labeled N0G0 recorded the lowest N uptake across both years.</w:t>
      </w:r>
    </w:p>
    <w:p w14:paraId="49BDD47D" w14:textId="06F56D43" w:rsidR="00370489" w:rsidRDefault="006909F3" w:rsidP="006909F3">
      <w:pPr>
        <w:pStyle w:val="Body"/>
        <w:spacing w:after="0"/>
        <w:rPr>
          <w:rFonts w:ascii="Arial" w:hAnsi="Arial" w:cs="Arial"/>
        </w:rPr>
      </w:pPr>
      <w:r w:rsidRPr="006909F3">
        <w:rPr>
          <w:rFonts w:ascii="Arial" w:hAnsi="Arial" w:cs="Arial"/>
        </w:rPr>
        <w:t xml:space="preserve">The combined application of inorganic N fertilizer and GM crops has proven effective in enhancing N uptake during the study period. GM crops, particularly </w:t>
      </w:r>
      <w:proofErr w:type="spellStart"/>
      <w:r w:rsidRPr="006909F3">
        <w:rPr>
          <w:rFonts w:ascii="Arial" w:hAnsi="Arial" w:cs="Arial"/>
        </w:rPr>
        <w:t>sunn</w:t>
      </w:r>
      <w:proofErr w:type="spellEnd"/>
      <w:r w:rsidRPr="006909F3">
        <w:rPr>
          <w:rFonts w:ascii="Arial" w:hAnsi="Arial" w:cs="Arial"/>
        </w:rPr>
        <w:t xml:space="preserve"> hemp (GSH), can improve soil nutrient content and the N uptake of rice plants due to their high N composition and greater biomass yield from decomposition. This process supports the nutritional needs of the plants throughout their growth cycle. The increased N uptake in rice crops may be attributed to the availability of N, as well as the higher grain and straw yields reported by </w:t>
      </w:r>
      <w:proofErr w:type="spellStart"/>
      <w:r w:rsidRPr="006909F3">
        <w:rPr>
          <w:rFonts w:ascii="Arial" w:hAnsi="Arial" w:cs="Arial"/>
        </w:rPr>
        <w:t>Pooniya</w:t>
      </w:r>
      <w:proofErr w:type="spellEnd"/>
      <w:r w:rsidRPr="006909F3">
        <w:rPr>
          <w:rFonts w:ascii="Arial" w:hAnsi="Arial" w:cs="Arial"/>
        </w:rPr>
        <w:t xml:space="preserve"> &amp; </w:t>
      </w:r>
      <w:proofErr w:type="spellStart"/>
      <w:r w:rsidRPr="006909F3">
        <w:rPr>
          <w:rFonts w:ascii="Arial" w:hAnsi="Arial" w:cs="Arial"/>
        </w:rPr>
        <w:t>Yashbir</w:t>
      </w:r>
      <w:proofErr w:type="spellEnd"/>
      <w:r w:rsidRPr="006909F3">
        <w:rPr>
          <w:rFonts w:ascii="Arial" w:hAnsi="Arial" w:cs="Arial"/>
        </w:rPr>
        <w:t xml:space="preserve"> (2015). Muntasir et al. (2001) also highlighted that the biological N fixed in the soil can be augmented by incorporating green manure, leading to a continuous, phased supply of nutrients to the soil solution and, ultimately, to the rice crop. Similarly, Tiwari et al. (1980) reported that the incorporation of green manure increases N immobilization and mineralization in the soil, which can enhance organic matter addition and improve N uptake by rice plants.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6"/>
      </w:tblGrid>
      <w:tr w:rsidR="006909F3" w14:paraId="25325304" w14:textId="77777777" w:rsidTr="008330C3">
        <w:tc>
          <w:tcPr>
            <w:tcW w:w="8424" w:type="dxa"/>
          </w:tcPr>
          <w:p w14:paraId="06D7F082" w14:textId="07E95D0A" w:rsidR="006909F3" w:rsidRDefault="006909F3" w:rsidP="006909F3">
            <w:pPr>
              <w:pStyle w:val="Body"/>
              <w:spacing w:after="0"/>
              <w:rPr>
                <w:rFonts w:ascii="Arial" w:hAnsi="Arial" w:cs="Arial"/>
              </w:rPr>
            </w:pPr>
            <w:r w:rsidRPr="00B65D15">
              <w:rPr>
                <w:rFonts w:ascii="Times New Roman" w:eastAsiaTheme="majorEastAsia" w:hAnsi="Times New Roman"/>
                <w:noProof/>
                <w:color w:val="000000" w:themeColor="text1"/>
                <w:sz w:val="24"/>
                <w:szCs w:val="24"/>
              </w:rPr>
              <w:drawing>
                <wp:anchor distT="0" distB="0" distL="114300" distR="114300" simplePos="0" relativeHeight="251663360" behindDoc="0" locked="0" layoutInCell="1" allowOverlap="1" wp14:anchorId="1EA2F66B" wp14:editId="20DFBFA3">
                  <wp:simplePos x="0" y="0"/>
                  <wp:positionH relativeFrom="column">
                    <wp:posOffset>-67310</wp:posOffset>
                  </wp:positionH>
                  <wp:positionV relativeFrom="page">
                    <wp:posOffset>19050</wp:posOffset>
                  </wp:positionV>
                  <wp:extent cx="5346700" cy="2909570"/>
                  <wp:effectExtent l="0" t="0" r="0" b="0"/>
                  <wp:wrapSquare wrapText="bothSides"/>
                  <wp:docPr id="1816555486" name="Chart 1816555486">
                    <a:extLst xmlns:a="http://schemas.openxmlformats.org/drawingml/2006/main">
                      <a:ext uri="{FF2B5EF4-FFF2-40B4-BE49-F238E27FC236}">
                        <a16:creationId xmlns:a16="http://schemas.microsoft.com/office/drawing/2014/main" id="{A2E4A76A-4E19-4251-0A81-1E50DAEC9D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tc>
      </w:tr>
      <w:tr w:rsidR="006909F3" w14:paraId="33AF4542" w14:textId="77777777" w:rsidTr="008330C3">
        <w:tc>
          <w:tcPr>
            <w:tcW w:w="8424" w:type="dxa"/>
          </w:tcPr>
          <w:p w14:paraId="16A7853D" w14:textId="6891174A" w:rsidR="006909F3" w:rsidRDefault="00382DCD" w:rsidP="006909F3">
            <w:pPr>
              <w:pStyle w:val="Body"/>
              <w:spacing w:after="0"/>
              <w:rPr>
                <w:rFonts w:ascii="Arial" w:hAnsi="Arial" w:cs="Arial"/>
              </w:rPr>
            </w:pPr>
            <w:r w:rsidRPr="00B65D15">
              <w:rPr>
                <w:rFonts w:ascii="Times New Roman" w:eastAsiaTheme="majorEastAsia" w:hAnsi="Times New Roman"/>
                <w:noProof/>
                <w:color w:val="000000" w:themeColor="text1"/>
                <w:sz w:val="24"/>
                <w:szCs w:val="24"/>
              </w:rPr>
              <w:drawing>
                <wp:anchor distT="0" distB="0" distL="114300" distR="114300" simplePos="0" relativeHeight="251665408" behindDoc="0" locked="0" layoutInCell="1" allowOverlap="1" wp14:anchorId="21375E9B" wp14:editId="4C7E3658">
                  <wp:simplePos x="0" y="0"/>
                  <wp:positionH relativeFrom="column">
                    <wp:posOffset>-67310</wp:posOffset>
                  </wp:positionH>
                  <wp:positionV relativeFrom="paragraph">
                    <wp:posOffset>200025</wp:posOffset>
                  </wp:positionV>
                  <wp:extent cx="5308600" cy="2876550"/>
                  <wp:effectExtent l="0" t="0" r="0" b="0"/>
                  <wp:wrapSquare wrapText="bothSides"/>
                  <wp:docPr id="1816555487" name="Chart 1816555487">
                    <a:extLst xmlns:a="http://schemas.openxmlformats.org/drawingml/2006/main">
                      <a:ext uri="{FF2B5EF4-FFF2-40B4-BE49-F238E27FC236}">
                        <a16:creationId xmlns:a16="http://schemas.microsoft.com/office/drawing/2014/main" id="{78A0F984-42EA-DCE6-5FE3-8952C9CDFC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tc>
      </w:tr>
    </w:tbl>
    <w:p w14:paraId="7EA4BEC6" w14:textId="53F50D2E" w:rsidR="006909F3" w:rsidRPr="008330C3" w:rsidRDefault="00382DCD" w:rsidP="00382DCD">
      <w:pPr>
        <w:pStyle w:val="Body"/>
        <w:spacing w:after="0"/>
        <w:ind w:left="900" w:hanging="900"/>
        <w:rPr>
          <w:rFonts w:ascii="Arial" w:hAnsi="Arial" w:cs="Arial"/>
          <w:b/>
          <w:bCs/>
        </w:rPr>
      </w:pPr>
      <w:r w:rsidRPr="008330C3">
        <w:rPr>
          <w:rFonts w:ascii="Arial" w:hAnsi="Arial" w:cs="Arial"/>
          <w:b/>
          <w:bCs/>
        </w:rPr>
        <w:t>Figure 2. N uptake (kg ha</w:t>
      </w:r>
      <w:r w:rsidRPr="008330C3">
        <w:rPr>
          <w:rFonts w:ascii="Arial" w:hAnsi="Arial" w:cs="Arial"/>
          <w:b/>
          <w:bCs/>
          <w:vertAlign w:val="superscript"/>
        </w:rPr>
        <w:t>-1</w:t>
      </w:r>
      <w:r w:rsidRPr="008330C3">
        <w:rPr>
          <w:rFonts w:ascii="Arial" w:hAnsi="Arial" w:cs="Arial"/>
          <w:b/>
          <w:bCs/>
        </w:rPr>
        <w:t>) of Sinn-</w:t>
      </w:r>
      <w:proofErr w:type="spellStart"/>
      <w:r w:rsidRPr="008330C3">
        <w:rPr>
          <w:rFonts w:ascii="Arial" w:hAnsi="Arial" w:cs="Arial"/>
          <w:b/>
          <w:bCs/>
        </w:rPr>
        <w:t>thu</w:t>
      </w:r>
      <w:proofErr w:type="spellEnd"/>
      <w:r w:rsidRPr="008330C3">
        <w:rPr>
          <w:rFonts w:ascii="Arial" w:hAnsi="Arial" w:cs="Arial"/>
          <w:b/>
          <w:bCs/>
        </w:rPr>
        <w:t>-kha rice variety as affected by the incorporated green manures and inorganic N fertilizer in field conditions, 2023 and 2024</w:t>
      </w:r>
    </w:p>
    <w:p w14:paraId="0A342084" w14:textId="36E3ACB1" w:rsidR="00DE7747" w:rsidRPr="00DE7747" w:rsidRDefault="00DE7747" w:rsidP="00DE7747">
      <w:pPr>
        <w:pStyle w:val="Body"/>
        <w:spacing w:after="0"/>
        <w:rPr>
          <w:rFonts w:ascii="Arial" w:hAnsi="Arial" w:cs="Arial"/>
          <w:b/>
          <w:sz w:val="22"/>
        </w:rPr>
      </w:pPr>
      <w:r>
        <w:rPr>
          <w:rFonts w:ascii="Arial" w:hAnsi="Arial" w:cs="Arial"/>
          <w:b/>
          <w:sz w:val="22"/>
        </w:rPr>
        <w:t xml:space="preserve">3.4 </w:t>
      </w:r>
      <w:r w:rsidRPr="00DE7747">
        <w:rPr>
          <w:rFonts w:ascii="Arial" w:hAnsi="Arial" w:cs="Arial"/>
          <w:b/>
          <w:sz w:val="22"/>
        </w:rPr>
        <w:t>N use efficiency</w:t>
      </w:r>
    </w:p>
    <w:p w14:paraId="0CD024F3" w14:textId="77777777" w:rsidR="00DE7747" w:rsidRPr="00DE7747" w:rsidRDefault="00DE7747" w:rsidP="00DE7747">
      <w:pPr>
        <w:pStyle w:val="Body"/>
        <w:ind w:firstLine="720"/>
        <w:rPr>
          <w:rFonts w:ascii="Arial" w:hAnsi="Arial" w:cs="Arial"/>
        </w:rPr>
      </w:pPr>
      <w:r w:rsidRPr="00DE7747">
        <w:rPr>
          <w:rFonts w:ascii="Arial" w:hAnsi="Arial" w:cs="Arial"/>
        </w:rPr>
        <w:t xml:space="preserve">N use efficiency (NUE), specifically Agronomic N Use Efficiency (AUE), is calculated by subtracting the grain yield in the N control plot (kg ha-1) from the grain yield in the N-fertilized plot (kg ha-1), then dividing by the amount of N </w:t>
      </w:r>
      <w:r w:rsidRPr="00DE7747">
        <w:rPr>
          <w:rFonts w:ascii="Arial" w:hAnsi="Arial" w:cs="Arial"/>
        </w:rPr>
        <w:lastRenderedPageBreak/>
        <w:t>applied in the fertilized plot (kg ha-1). According to the calculated data, the N0 treatment with three green manure (GM) crops demonstrated the highest NUE in both years. This study found that NUE for all treatments improved each year, as shown in Figure 4.</w:t>
      </w:r>
    </w:p>
    <w:p w14:paraId="28262C36" w14:textId="77777777" w:rsidR="00DE7747" w:rsidRPr="00DE7747" w:rsidRDefault="00DE7747" w:rsidP="00DE7747">
      <w:pPr>
        <w:pStyle w:val="Body"/>
        <w:rPr>
          <w:rFonts w:ascii="Arial" w:hAnsi="Arial" w:cs="Arial"/>
        </w:rPr>
      </w:pPr>
      <w:r w:rsidRPr="00DE7747">
        <w:rPr>
          <w:rFonts w:ascii="Arial" w:hAnsi="Arial" w:cs="Arial"/>
        </w:rPr>
        <w:t>In 2023, the highest NUE values were observed with the N0 level across all green manure treatments, specifically N0GRB (39.0), N0GSH (37.7), and N0GDC (43.3), followed by the N50, N75, and N100 with GSH, GDC, and GRB. However, in 2024, the treatments with N0GSH (57.1), N0GDC (56.7), and N0GRB (47.0) showed higher NUE values, followed by N25, N50, N75, and N100 with GSH among the green manure crops.</w:t>
      </w:r>
    </w:p>
    <w:p w14:paraId="42D0B5F8" w14:textId="016EEA13" w:rsidR="00370489" w:rsidRDefault="00DE7747" w:rsidP="00DE7747">
      <w:pPr>
        <w:pStyle w:val="Body"/>
        <w:spacing w:after="0"/>
        <w:rPr>
          <w:rFonts w:ascii="Arial" w:hAnsi="Arial" w:cs="Arial"/>
        </w:rPr>
      </w:pPr>
      <w:r w:rsidRPr="00DE7747">
        <w:rPr>
          <w:rFonts w:ascii="Arial" w:hAnsi="Arial" w:cs="Arial"/>
        </w:rPr>
        <w:t>It can be concluded that applying green manures at various N levels (0, 25, 50, 75, and 100 percent) can improve the NUE of paddy soil and positively impact the yield of the tested rice variety (Sinn-</w:t>
      </w:r>
      <w:proofErr w:type="spellStart"/>
      <w:r w:rsidRPr="00DE7747">
        <w:rPr>
          <w:rFonts w:ascii="Arial" w:hAnsi="Arial" w:cs="Arial"/>
        </w:rPr>
        <w:t>thu</w:t>
      </w:r>
      <w:proofErr w:type="spellEnd"/>
      <w:r w:rsidRPr="00DE7747">
        <w:rPr>
          <w:rFonts w:ascii="Arial" w:hAnsi="Arial" w:cs="Arial"/>
        </w:rPr>
        <w:t xml:space="preserve">-kha) from year to year. Other researchers have reported that the use of GM crops in soil can reduce the need for synthetic N fertilizers and enhance the productivity of subsequent crops (Liu et al., 2017). Overall, among the green manures, </w:t>
      </w:r>
      <w:proofErr w:type="spellStart"/>
      <w:r w:rsidRPr="00DE7747">
        <w:rPr>
          <w:rFonts w:ascii="Arial" w:hAnsi="Arial" w:cs="Arial"/>
        </w:rPr>
        <w:t>sunn</w:t>
      </w:r>
      <w:proofErr w:type="spellEnd"/>
      <w:r w:rsidRPr="00DE7747">
        <w:rPr>
          <w:rFonts w:ascii="Arial" w:hAnsi="Arial" w:cs="Arial"/>
        </w:rPr>
        <w:t xml:space="preserve"> hemp particularly enhances the NUE of paddy soil when combined with different levels of inorganic N</w:t>
      </w:r>
      <w:r>
        <w:rPr>
          <w:rFonts w:ascii="Arial" w:hAnsi="Arial" w:cs="Arial"/>
        </w:rPr>
        <w:t xml:space="preserve"> </w:t>
      </w:r>
      <w:r w:rsidRPr="00DE7747">
        <w:rPr>
          <w:rFonts w:ascii="Arial" w:hAnsi="Arial" w:cs="Arial"/>
        </w:rPr>
        <w:t>fertilizer during the production of Sinn-</w:t>
      </w:r>
      <w:proofErr w:type="spellStart"/>
      <w:r w:rsidRPr="00DE7747">
        <w:rPr>
          <w:rFonts w:ascii="Arial" w:hAnsi="Arial" w:cs="Arial"/>
        </w:rPr>
        <w:t>thu</w:t>
      </w:r>
      <w:proofErr w:type="spellEnd"/>
      <w:r w:rsidRPr="00DE7747">
        <w:rPr>
          <w:rFonts w:ascii="Arial" w:hAnsi="Arial" w:cs="Arial"/>
        </w:rPr>
        <w:t>-kha rice in both 2023 and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6"/>
      </w:tblGrid>
      <w:tr w:rsidR="00DE7747" w14:paraId="069546DE" w14:textId="77777777" w:rsidTr="008330C3">
        <w:tc>
          <w:tcPr>
            <w:tcW w:w="8424" w:type="dxa"/>
          </w:tcPr>
          <w:p w14:paraId="7F1292C3" w14:textId="53946F08" w:rsidR="00DE7747" w:rsidRDefault="00DE7747" w:rsidP="00DE7747">
            <w:pPr>
              <w:pStyle w:val="Body"/>
              <w:spacing w:after="0"/>
              <w:rPr>
                <w:rFonts w:ascii="Arial" w:hAnsi="Arial" w:cs="Arial"/>
              </w:rPr>
            </w:pPr>
            <w:r w:rsidRPr="00B65D15">
              <w:rPr>
                <w:rFonts w:ascii="Times New Roman" w:eastAsiaTheme="majorEastAsia" w:hAnsi="Times New Roman"/>
                <w:noProof/>
                <w:color w:val="000000" w:themeColor="text1"/>
                <w:sz w:val="24"/>
                <w:szCs w:val="24"/>
              </w:rPr>
              <w:drawing>
                <wp:inline distT="0" distB="0" distL="0" distR="0" wp14:anchorId="00746166" wp14:editId="1A83B7D1">
                  <wp:extent cx="5257800" cy="2597150"/>
                  <wp:effectExtent l="0" t="0" r="0" b="0"/>
                  <wp:docPr id="1816555488" name="Chart 1816555488">
                    <a:extLst xmlns:a="http://schemas.openxmlformats.org/drawingml/2006/main">
                      <a:ext uri="{FF2B5EF4-FFF2-40B4-BE49-F238E27FC236}">
                        <a16:creationId xmlns:a16="http://schemas.microsoft.com/office/drawing/2014/main" id="{BF91BB65-C2C1-4FF4-946F-AC68B5E6E2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DE7747" w14:paraId="67C727AC" w14:textId="77777777" w:rsidTr="008330C3">
        <w:tc>
          <w:tcPr>
            <w:tcW w:w="8424" w:type="dxa"/>
          </w:tcPr>
          <w:p w14:paraId="27CC6839" w14:textId="4D2E948F" w:rsidR="00DE7747" w:rsidRDefault="00DE7747" w:rsidP="00DE7747">
            <w:pPr>
              <w:pStyle w:val="Body"/>
              <w:spacing w:after="0"/>
              <w:rPr>
                <w:rFonts w:ascii="Arial" w:hAnsi="Arial" w:cs="Arial"/>
              </w:rPr>
            </w:pPr>
            <w:r w:rsidRPr="00B65D15">
              <w:rPr>
                <w:rFonts w:ascii="Times New Roman" w:eastAsiaTheme="majorEastAsia" w:hAnsi="Times New Roman"/>
                <w:noProof/>
                <w:color w:val="000000" w:themeColor="text1"/>
                <w:sz w:val="24"/>
                <w:szCs w:val="24"/>
              </w:rPr>
              <w:drawing>
                <wp:inline distT="0" distB="0" distL="0" distR="0" wp14:anchorId="0F061C5A" wp14:editId="7B058402">
                  <wp:extent cx="5257800" cy="2675255"/>
                  <wp:effectExtent l="0" t="0" r="0" b="0"/>
                  <wp:docPr id="1816555489" name="Chart 1816555489">
                    <a:extLst xmlns:a="http://schemas.openxmlformats.org/drawingml/2006/main">
                      <a:ext uri="{FF2B5EF4-FFF2-40B4-BE49-F238E27FC236}">
                        <a16:creationId xmlns:a16="http://schemas.microsoft.com/office/drawing/2014/main" id="{8A76A2F7-654D-4CDD-8217-51F4063287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2BCC711F" w14:textId="29E631F3" w:rsidR="00DE7747" w:rsidRPr="008330C3" w:rsidRDefault="00DE7747" w:rsidP="00DE7747">
      <w:pPr>
        <w:pStyle w:val="Body"/>
        <w:spacing w:after="0"/>
        <w:ind w:left="810" w:hanging="810"/>
        <w:rPr>
          <w:rFonts w:ascii="Arial" w:hAnsi="Arial" w:cs="Arial"/>
          <w:b/>
          <w:bCs/>
        </w:rPr>
      </w:pPr>
      <w:r w:rsidRPr="008330C3">
        <w:rPr>
          <w:rFonts w:ascii="Arial" w:hAnsi="Arial" w:cs="Arial"/>
          <w:b/>
          <w:bCs/>
        </w:rPr>
        <w:t>Figure 3. N use efficiency (kg kg-1) of Sinn-</w:t>
      </w:r>
      <w:proofErr w:type="spellStart"/>
      <w:r w:rsidRPr="008330C3">
        <w:rPr>
          <w:rFonts w:ascii="Arial" w:hAnsi="Arial" w:cs="Arial"/>
          <w:b/>
          <w:bCs/>
        </w:rPr>
        <w:t>thu</w:t>
      </w:r>
      <w:proofErr w:type="spellEnd"/>
      <w:r w:rsidRPr="008330C3">
        <w:rPr>
          <w:rFonts w:ascii="Arial" w:hAnsi="Arial" w:cs="Arial"/>
          <w:b/>
          <w:bCs/>
        </w:rPr>
        <w:t>-kha rice variety as affected by the GMs and inorganic N fertilizer in field conditions, 2023 and 2024</w:t>
      </w:r>
      <w:r w:rsidR="00260A5D" w:rsidRPr="008330C3">
        <w:rPr>
          <w:rFonts w:ascii="Arial" w:hAnsi="Arial" w:cs="Arial"/>
          <w:b/>
          <w:bCs/>
        </w:rPr>
        <w:t>.</w:t>
      </w:r>
    </w:p>
    <w:p w14:paraId="0FAA3D19" w14:textId="77777777" w:rsidR="00260A5D" w:rsidRDefault="00260A5D" w:rsidP="00DE7747">
      <w:pPr>
        <w:pStyle w:val="Body"/>
        <w:spacing w:after="0"/>
        <w:ind w:left="810" w:hanging="810"/>
        <w:rPr>
          <w:rFonts w:ascii="Arial" w:hAnsi="Arial" w:cs="Arial"/>
        </w:rPr>
      </w:pPr>
    </w:p>
    <w:p w14:paraId="338DB066" w14:textId="77777777" w:rsidR="008330C3" w:rsidRDefault="008330C3" w:rsidP="00260A5D">
      <w:pPr>
        <w:pStyle w:val="Body"/>
        <w:ind w:left="810" w:hanging="810"/>
        <w:rPr>
          <w:rFonts w:ascii="Arial" w:hAnsi="Arial" w:cs="Arial"/>
        </w:rPr>
      </w:pPr>
    </w:p>
    <w:p w14:paraId="631BD90A" w14:textId="74887F6F" w:rsidR="00260A5D" w:rsidRPr="00260A5D" w:rsidRDefault="00260A5D" w:rsidP="00260A5D">
      <w:pPr>
        <w:pStyle w:val="Body"/>
        <w:ind w:left="810" w:hanging="810"/>
        <w:rPr>
          <w:rFonts w:ascii="Arial" w:hAnsi="Arial" w:cs="Arial"/>
        </w:rPr>
      </w:pPr>
      <w:r w:rsidRPr="00260A5D">
        <w:rPr>
          <w:rFonts w:ascii="Arial" w:hAnsi="Arial" w:cs="Arial"/>
        </w:rPr>
        <w:t>Yield</w:t>
      </w:r>
    </w:p>
    <w:p w14:paraId="3E62500A" w14:textId="77777777" w:rsidR="00260A5D" w:rsidRPr="00260A5D" w:rsidRDefault="00260A5D" w:rsidP="00996A2E">
      <w:pPr>
        <w:pStyle w:val="Body"/>
        <w:ind w:firstLine="720"/>
        <w:rPr>
          <w:rFonts w:ascii="Arial" w:hAnsi="Arial" w:cs="Arial"/>
        </w:rPr>
      </w:pPr>
      <w:r w:rsidRPr="00260A5D">
        <w:rPr>
          <w:rFonts w:ascii="Arial" w:hAnsi="Arial" w:cs="Arial"/>
        </w:rPr>
        <w:lastRenderedPageBreak/>
        <w:t>The yield and its components varied significantly across different N levels and GM crops, with the exception of the 1000-grain weight and harvest index (P ≤ 0.01). However, there were no significant differences observed in the interaction effect between these variables (Table 2).</w:t>
      </w:r>
    </w:p>
    <w:p w14:paraId="5CA56FB1" w14:textId="77777777" w:rsidR="00260A5D" w:rsidRPr="00260A5D" w:rsidRDefault="00260A5D" w:rsidP="00260A5D">
      <w:pPr>
        <w:pStyle w:val="Body"/>
        <w:ind w:firstLine="810"/>
        <w:rPr>
          <w:rFonts w:ascii="Arial" w:hAnsi="Arial" w:cs="Arial"/>
        </w:rPr>
      </w:pPr>
      <w:r w:rsidRPr="00260A5D">
        <w:rPr>
          <w:rFonts w:ascii="Arial" w:hAnsi="Arial" w:cs="Arial"/>
        </w:rPr>
        <w:t>Among the various inorganic N levels, the highest yield recorded was 6.03 t ha</w:t>
      </w:r>
      <w:r w:rsidRPr="00260A5D">
        <w:rPr>
          <w:rFonts w:ascii="Cambria Math" w:hAnsi="Cambria Math" w:cs="Cambria Math"/>
        </w:rPr>
        <w:t>⁻</w:t>
      </w:r>
      <w:r w:rsidRPr="00260A5D">
        <w:rPr>
          <w:rFonts w:ascii="Arial" w:hAnsi="Arial" w:cs="Arial"/>
        </w:rPr>
        <w:t>¹ in 2023 from treatment N100, and 6.56 t ha</w:t>
      </w:r>
      <w:r w:rsidRPr="00260A5D">
        <w:rPr>
          <w:rFonts w:ascii="Cambria Math" w:hAnsi="Cambria Math" w:cs="Cambria Math"/>
        </w:rPr>
        <w:t>⁻</w:t>
      </w:r>
      <w:r w:rsidRPr="00260A5D">
        <w:rPr>
          <w:rFonts w:ascii="Arial" w:hAnsi="Arial" w:cs="Arial"/>
        </w:rPr>
        <w:t>¹ in 2024, attributed to greater yield components. In 2023, treatment N50 achieved a yield of 5.53 t ha</w:t>
      </w:r>
      <w:r w:rsidRPr="00260A5D">
        <w:rPr>
          <w:rFonts w:ascii="Cambria Math" w:hAnsi="Cambria Math" w:cs="Cambria Math"/>
        </w:rPr>
        <w:t>⁻</w:t>
      </w:r>
      <w:r w:rsidRPr="00260A5D">
        <w:rPr>
          <w:rFonts w:ascii="Arial" w:hAnsi="Arial" w:cs="Arial"/>
        </w:rPr>
        <w:t>¹, while in 2024 it was slightly lower at 5.54 t ha</w:t>
      </w:r>
      <w:r w:rsidRPr="00260A5D">
        <w:rPr>
          <w:rFonts w:ascii="Cambria Math" w:hAnsi="Cambria Math" w:cs="Cambria Math"/>
        </w:rPr>
        <w:t>⁻</w:t>
      </w:r>
      <w:r w:rsidRPr="00260A5D">
        <w:rPr>
          <w:rFonts w:ascii="Arial" w:hAnsi="Arial" w:cs="Arial"/>
        </w:rPr>
        <w:t>¹. Treatment N75 yielded 5.26 t ha</w:t>
      </w:r>
      <w:r w:rsidRPr="00260A5D">
        <w:rPr>
          <w:rFonts w:ascii="Cambria Math" w:hAnsi="Cambria Math" w:cs="Cambria Math"/>
        </w:rPr>
        <w:t>⁻</w:t>
      </w:r>
      <w:r w:rsidRPr="00260A5D">
        <w:rPr>
          <w:rFonts w:ascii="Arial" w:hAnsi="Arial" w:cs="Arial"/>
        </w:rPr>
        <w:t>¹ in 2023 and increased to 6.13 t ha</w:t>
      </w:r>
      <w:r w:rsidRPr="00260A5D">
        <w:rPr>
          <w:rFonts w:ascii="Cambria Math" w:hAnsi="Cambria Math" w:cs="Cambria Math"/>
        </w:rPr>
        <w:t>⁻</w:t>
      </w:r>
      <w:r w:rsidRPr="00260A5D">
        <w:rPr>
          <w:rFonts w:ascii="Arial" w:hAnsi="Arial" w:cs="Arial"/>
        </w:rPr>
        <w:t>¹ in 2024.</w:t>
      </w:r>
    </w:p>
    <w:p w14:paraId="51BAADE5" w14:textId="77777777" w:rsidR="00260A5D" w:rsidRPr="00260A5D" w:rsidRDefault="00260A5D" w:rsidP="00260A5D">
      <w:pPr>
        <w:pStyle w:val="Body"/>
        <w:ind w:firstLine="810"/>
        <w:rPr>
          <w:rFonts w:ascii="Arial" w:hAnsi="Arial" w:cs="Arial"/>
        </w:rPr>
      </w:pPr>
      <w:r w:rsidRPr="00260A5D">
        <w:rPr>
          <w:rFonts w:ascii="Arial" w:hAnsi="Arial" w:cs="Arial"/>
        </w:rPr>
        <w:t>In terms of GM crops, GSH demonstrated the highest yields, producing 5.70 t ha</w:t>
      </w:r>
      <w:r w:rsidRPr="00260A5D">
        <w:rPr>
          <w:rFonts w:ascii="Cambria Math" w:hAnsi="Cambria Math" w:cs="Cambria Math"/>
        </w:rPr>
        <w:t>⁻</w:t>
      </w:r>
      <w:r w:rsidRPr="00260A5D">
        <w:rPr>
          <w:rFonts w:ascii="Arial" w:hAnsi="Arial" w:cs="Arial"/>
        </w:rPr>
        <w:t>¹ in 2023 and 6.31 t ha</w:t>
      </w:r>
      <w:r w:rsidRPr="00260A5D">
        <w:rPr>
          <w:rFonts w:ascii="Cambria Math" w:hAnsi="Cambria Math" w:cs="Cambria Math"/>
        </w:rPr>
        <w:t>⁻</w:t>
      </w:r>
      <w:r w:rsidRPr="00260A5D">
        <w:rPr>
          <w:rFonts w:ascii="Arial" w:hAnsi="Arial" w:cs="Arial"/>
        </w:rPr>
        <w:t>¹ in 2024. This was attributed to a greater number of panicles and a higher filled grain percentage. GDC yielded 5.13 t ha</w:t>
      </w:r>
      <w:r w:rsidRPr="00260A5D">
        <w:rPr>
          <w:rFonts w:ascii="Cambria Math" w:hAnsi="Cambria Math" w:cs="Cambria Math"/>
        </w:rPr>
        <w:t>⁻</w:t>
      </w:r>
      <w:r w:rsidRPr="00260A5D">
        <w:rPr>
          <w:rFonts w:ascii="Arial" w:hAnsi="Arial" w:cs="Arial"/>
        </w:rPr>
        <w:t>¹ in 2023 and increased to 5.56 t ha</w:t>
      </w:r>
      <w:r w:rsidRPr="00260A5D">
        <w:rPr>
          <w:rFonts w:ascii="Cambria Math" w:hAnsi="Cambria Math" w:cs="Cambria Math"/>
        </w:rPr>
        <w:t>⁻</w:t>
      </w:r>
      <w:r w:rsidRPr="00260A5D">
        <w:rPr>
          <w:rFonts w:ascii="Arial" w:hAnsi="Arial" w:cs="Arial"/>
        </w:rPr>
        <w:t>¹ in 2024. Similarly, GRB reached a yield of 5.05 t ha</w:t>
      </w:r>
      <w:r w:rsidRPr="00260A5D">
        <w:rPr>
          <w:rFonts w:ascii="Cambria Math" w:hAnsi="Cambria Math" w:cs="Cambria Math"/>
        </w:rPr>
        <w:t>⁻</w:t>
      </w:r>
      <w:r w:rsidRPr="00260A5D">
        <w:rPr>
          <w:rFonts w:ascii="Arial" w:hAnsi="Arial" w:cs="Arial"/>
        </w:rPr>
        <w:t>¹ in 2023 and improved to 5.61 t ha</w:t>
      </w:r>
      <w:r w:rsidRPr="00260A5D">
        <w:rPr>
          <w:rFonts w:ascii="Cambria Math" w:hAnsi="Cambria Math" w:cs="Cambria Math"/>
        </w:rPr>
        <w:t>⁻</w:t>
      </w:r>
      <w:r w:rsidRPr="00260A5D">
        <w:rPr>
          <w:rFonts w:ascii="Arial" w:hAnsi="Arial" w:cs="Arial"/>
        </w:rPr>
        <w:t>¹ in 2024. While GSH yielded more than GRB, it outperformed G0, which only produced 4.51 t ha</w:t>
      </w:r>
      <w:r w:rsidRPr="00260A5D">
        <w:rPr>
          <w:rFonts w:ascii="Cambria Math" w:hAnsi="Cambria Math" w:cs="Cambria Math"/>
        </w:rPr>
        <w:t>⁻</w:t>
      </w:r>
      <w:r w:rsidRPr="00260A5D">
        <w:rPr>
          <w:rFonts w:ascii="Arial" w:hAnsi="Arial" w:cs="Arial"/>
        </w:rPr>
        <w:t>¹ in 2023 and slightly increased to 4.53 t ha</w:t>
      </w:r>
      <w:r w:rsidRPr="00260A5D">
        <w:rPr>
          <w:rFonts w:ascii="Cambria Math" w:hAnsi="Cambria Math" w:cs="Cambria Math"/>
        </w:rPr>
        <w:t>⁻</w:t>
      </w:r>
      <w:r w:rsidRPr="00260A5D">
        <w:rPr>
          <w:rFonts w:ascii="Arial" w:hAnsi="Arial" w:cs="Arial"/>
        </w:rPr>
        <w:t>¹ in 2024.</w:t>
      </w:r>
    </w:p>
    <w:p w14:paraId="01AE06CF" w14:textId="77777777" w:rsidR="00260A5D" w:rsidRPr="00260A5D" w:rsidRDefault="00260A5D" w:rsidP="00260A5D">
      <w:pPr>
        <w:pStyle w:val="Body"/>
        <w:ind w:firstLine="810"/>
        <w:rPr>
          <w:rFonts w:ascii="Arial" w:hAnsi="Arial" w:cs="Arial"/>
        </w:rPr>
      </w:pPr>
      <w:r w:rsidRPr="00260A5D">
        <w:rPr>
          <w:rFonts w:ascii="Arial" w:hAnsi="Arial" w:cs="Arial"/>
        </w:rPr>
        <w:t>Considering the combined effects of inorganic N levels and GM crops, N100 combined with GSH resulted in the highest yield of 6.78 t ha</w:t>
      </w:r>
      <w:r w:rsidRPr="00260A5D">
        <w:rPr>
          <w:rFonts w:ascii="Cambria Math" w:hAnsi="Cambria Math" w:cs="Cambria Math"/>
        </w:rPr>
        <w:t>⁻</w:t>
      </w:r>
      <w:r w:rsidRPr="00260A5D">
        <w:rPr>
          <w:rFonts w:ascii="Arial" w:hAnsi="Arial" w:cs="Arial"/>
        </w:rPr>
        <w:t>¹ in 2023 and 7.84 t ha</w:t>
      </w:r>
      <w:r w:rsidRPr="00260A5D">
        <w:rPr>
          <w:rFonts w:ascii="Cambria Math" w:hAnsi="Cambria Math" w:cs="Cambria Math"/>
        </w:rPr>
        <w:t>⁻</w:t>
      </w:r>
      <w:r w:rsidRPr="00260A5D">
        <w:rPr>
          <w:rFonts w:ascii="Arial" w:hAnsi="Arial" w:cs="Arial"/>
        </w:rPr>
        <w:t>¹ in 2024. These yields were comparable to those of N75GSH, which yielded 6.40 t ha</w:t>
      </w:r>
      <w:r w:rsidRPr="00260A5D">
        <w:rPr>
          <w:rFonts w:ascii="Cambria Math" w:hAnsi="Cambria Math" w:cs="Cambria Math"/>
        </w:rPr>
        <w:t>⁻</w:t>
      </w:r>
      <w:r w:rsidRPr="00260A5D">
        <w:rPr>
          <w:rFonts w:ascii="Arial" w:hAnsi="Arial" w:cs="Arial"/>
        </w:rPr>
        <w:t>¹ in 2023 and 6.97 t ha</w:t>
      </w:r>
      <w:r w:rsidRPr="00260A5D">
        <w:rPr>
          <w:rFonts w:ascii="Cambria Math" w:hAnsi="Cambria Math" w:cs="Cambria Math"/>
        </w:rPr>
        <w:t>⁻</w:t>
      </w:r>
      <w:r w:rsidRPr="00260A5D">
        <w:rPr>
          <w:rFonts w:ascii="Arial" w:hAnsi="Arial" w:cs="Arial"/>
        </w:rPr>
        <w:t>¹ in 2024, and N50GSH, which produced 6.19 t ha</w:t>
      </w:r>
      <w:r w:rsidRPr="00260A5D">
        <w:rPr>
          <w:rFonts w:ascii="Cambria Math" w:hAnsi="Cambria Math" w:cs="Cambria Math"/>
        </w:rPr>
        <w:t>⁻</w:t>
      </w:r>
      <w:r w:rsidRPr="00260A5D">
        <w:rPr>
          <w:rFonts w:ascii="Arial" w:hAnsi="Arial" w:cs="Arial"/>
        </w:rPr>
        <w:t>¹ in 2023 and 6.43 t ha</w:t>
      </w:r>
      <w:r w:rsidRPr="00260A5D">
        <w:rPr>
          <w:rFonts w:ascii="Cambria Math" w:hAnsi="Cambria Math" w:cs="Cambria Math"/>
        </w:rPr>
        <w:t>⁻</w:t>
      </w:r>
      <w:r w:rsidRPr="00260A5D">
        <w:rPr>
          <w:rFonts w:ascii="Arial" w:hAnsi="Arial" w:cs="Arial"/>
        </w:rPr>
        <w:t>¹ in 2024 (Figure 5). This indicates that utilizing 75% or 50% of inorganic N fertilizer in combination with GM crops did not negatively impact rice yields during the experimental period.</w:t>
      </w:r>
    </w:p>
    <w:p w14:paraId="0C47D3CC" w14:textId="77777777" w:rsidR="00260A5D" w:rsidRPr="00260A5D" w:rsidRDefault="00260A5D" w:rsidP="00260A5D">
      <w:pPr>
        <w:pStyle w:val="Body"/>
        <w:ind w:firstLine="810"/>
        <w:rPr>
          <w:rFonts w:ascii="Arial" w:hAnsi="Arial" w:cs="Arial"/>
        </w:rPr>
      </w:pPr>
      <w:r w:rsidRPr="00260A5D">
        <w:rPr>
          <w:rFonts w:ascii="Arial" w:hAnsi="Arial" w:cs="Arial"/>
        </w:rPr>
        <w:t xml:space="preserve">This study has demonstrated that the recommended inorganic N fertilizer, when used alone, produced lower yields compared to treatments where inorganic N was combined with various GMs, such as GRB, GSH, and GDC. The incorporation of GMs has proven effective in enhancing the overall yield of the tested rice variety across both years of study. Among the GMs, GSH was particularly effective in supplying N to rice plants, leading to higher grain yields when 50%, 75%, and 100% of the recommended inorganic N rate were applied. </w:t>
      </w:r>
    </w:p>
    <w:p w14:paraId="1A9F5F3B" w14:textId="3A94ED1D" w:rsidR="00260A5D" w:rsidRDefault="00260A5D" w:rsidP="00260A5D">
      <w:pPr>
        <w:pStyle w:val="Body"/>
        <w:ind w:firstLine="810"/>
        <w:rPr>
          <w:rFonts w:ascii="Arial" w:hAnsi="Arial" w:cs="Arial"/>
        </w:rPr>
      </w:pPr>
      <w:r w:rsidRPr="00260A5D">
        <w:rPr>
          <w:rFonts w:ascii="Arial" w:hAnsi="Arial" w:cs="Arial"/>
        </w:rPr>
        <w:t>Therefore, our findings suggest that using GMs alongside inorganic N fertilizer can result in higher rice yields and allow for a reduction of 50% in the recommended inorganic N fertilizer application. According to Biswas et al. (1996), incorporating green manure crops into the soil can reduce the necessary application of N levels by 50% for subsequent rice crops.</w:t>
      </w:r>
    </w:p>
    <w:p w14:paraId="25ED361C" w14:textId="048699E0" w:rsidR="00931F79" w:rsidRDefault="00931F79" w:rsidP="00260A5D">
      <w:pPr>
        <w:pStyle w:val="Body"/>
        <w:ind w:firstLine="810"/>
        <w:rPr>
          <w:rFonts w:ascii="Arial" w:hAnsi="Arial" w:cs="Arial"/>
        </w:rPr>
      </w:pPr>
      <w:r w:rsidRPr="00931F79">
        <w:rPr>
          <w:rFonts w:ascii="Arial" w:hAnsi="Arial" w:cs="Arial"/>
        </w:rPr>
        <w:t>The nutrients provided through green manuring and N addition may explain the increase in grain yield observed. These results are consistent with the findings of Saha et al. (2007) and Islam et al. (2014). However, it is important to note that the combination of green manure and N addition did not have a significant effect on the harvest index in either year, as reported by Pramanik (2006).</w:t>
      </w:r>
    </w:p>
    <w:p w14:paraId="2F4F2286" w14:textId="77777777" w:rsidR="00931F79" w:rsidRDefault="00931F79" w:rsidP="00260A5D">
      <w:pPr>
        <w:pStyle w:val="Body"/>
        <w:ind w:firstLine="81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6"/>
      </w:tblGrid>
      <w:tr w:rsidR="00996A2E" w14:paraId="2D0EA996" w14:textId="77777777" w:rsidTr="008330C3">
        <w:tc>
          <w:tcPr>
            <w:tcW w:w="8424" w:type="dxa"/>
          </w:tcPr>
          <w:p w14:paraId="6AFAA812" w14:textId="11931A3D" w:rsidR="00996A2E" w:rsidRDefault="00996A2E" w:rsidP="00996A2E">
            <w:pPr>
              <w:pStyle w:val="Body"/>
              <w:rPr>
                <w:rFonts w:ascii="Arial" w:hAnsi="Arial" w:cs="Arial"/>
              </w:rPr>
            </w:pPr>
            <w:r w:rsidRPr="00B65D15">
              <w:rPr>
                <w:rFonts w:ascii="Times New Roman" w:eastAsiaTheme="majorEastAsia" w:hAnsi="Times New Roman"/>
                <w:b/>
                <w:bCs/>
                <w:noProof/>
                <w:color w:val="000000" w:themeColor="text1"/>
                <w:sz w:val="24"/>
                <w:szCs w:val="24"/>
              </w:rPr>
              <w:drawing>
                <wp:inline distT="0" distB="0" distL="0" distR="0" wp14:anchorId="53624451" wp14:editId="494F986F">
                  <wp:extent cx="5257800" cy="2599055"/>
                  <wp:effectExtent l="0" t="0" r="0" b="0"/>
                  <wp:docPr id="1816555484" name="Chart 1816555484">
                    <a:extLst xmlns:a="http://schemas.openxmlformats.org/drawingml/2006/main">
                      <a:ext uri="{FF2B5EF4-FFF2-40B4-BE49-F238E27FC236}">
                        <a16:creationId xmlns:a16="http://schemas.microsoft.com/office/drawing/2014/main" id="{671717E2-2E69-A642-9263-E3D9319185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996A2E" w14:paraId="7B0E78D4" w14:textId="77777777" w:rsidTr="008330C3">
        <w:tc>
          <w:tcPr>
            <w:tcW w:w="8424" w:type="dxa"/>
          </w:tcPr>
          <w:p w14:paraId="268C9A76" w14:textId="3894EA09" w:rsidR="00996A2E" w:rsidRDefault="00996A2E" w:rsidP="00996A2E">
            <w:pPr>
              <w:pStyle w:val="Body"/>
              <w:rPr>
                <w:rFonts w:ascii="Arial" w:hAnsi="Arial" w:cs="Arial"/>
              </w:rPr>
            </w:pPr>
            <w:r w:rsidRPr="00B65D15">
              <w:rPr>
                <w:rFonts w:ascii="Times New Roman" w:eastAsiaTheme="majorEastAsia" w:hAnsi="Times New Roman"/>
                <w:b/>
                <w:bCs/>
                <w:noProof/>
                <w:color w:val="000000" w:themeColor="text1"/>
                <w:sz w:val="24"/>
                <w:szCs w:val="24"/>
              </w:rPr>
              <w:lastRenderedPageBreak/>
              <w:drawing>
                <wp:inline distT="0" distB="0" distL="0" distR="0" wp14:anchorId="43E33602" wp14:editId="53931BA8">
                  <wp:extent cx="5257800" cy="2318385"/>
                  <wp:effectExtent l="0" t="0" r="0" b="0"/>
                  <wp:docPr id="514552404" name="Chart 514552404">
                    <a:extLst xmlns:a="http://schemas.openxmlformats.org/drawingml/2006/main">
                      <a:ext uri="{FF2B5EF4-FFF2-40B4-BE49-F238E27FC236}">
                        <a16:creationId xmlns:a16="http://schemas.microsoft.com/office/drawing/2014/main" id="{931B272A-C0E6-4F52-85EE-76F845AEB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2CD4C22C" w14:textId="5764B2D4" w:rsidR="00996A2E" w:rsidRPr="008330C3" w:rsidRDefault="00996A2E" w:rsidP="00996A2E">
      <w:pPr>
        <w:pStyle w:val="Body"/>
        <w:ind w:left="900" w:hanging="900"/>
        <w:rPr>
          <w:rFonts w:ascii="Arial" w:hAnsi="Arial" w:cs="Arial"/>
          <w:b/>
          <w:bCs/>
        </w:rPr>
      </w:pPr>
      <w:r w:rsidRPr="008330C3">
        <w:rPr>
          <w:rFonts w:ascii="Arial" w:hAnsi="Arial" w:cs="Arial"/>
          <w:b/>
          <w:bCs/>
        </w:rPr>
        <w:t>Figure 4. Yield (t ha</w:t>
      </w:r>
      <w:r w:rsidRPr="008330C3">
        <w:rPr>
          <w:rFonts w:ascii="Arial" w:hAnsi="Arial" w:cs="Arial"/>
          <w:b/>
          <w:bCs/>
          <w:vertAlign w:val="superscript"/>
        </w:rPr>
        <w:t>-1</w:t>
      </w:r>
      <w:r w:rsidRPr="008330C3">
        <w:rPr>
          <w:rFonts w:ascii="Arial" w:hAnsi="Arial" w:cs="Arial"/>
          <w:b/>
          <w:bCs/>
        </w:rPr>
        <w:t>) of Sinn-</w:t>
      </w:r>
      <w:proofErr w:type="spellStart"/>
      <w:r w:rsidRPr="008330C3">
        <w:rPr>
          <w:rFonts w:ascii="Arial" w:hAnsi="Arial" w:cs="Arial"/>
          <w:b/>
          <w:bCs/>
        </w:rPr>
        <w:t>thu</w:t>
      </w:r>
      <w:proofErr w:type="spellEnd"/>
      <w:r w:rsidRPr="008330C3">
        <w:rPr>
          <w:rFonts w:ascii="Arial" w:hAnsi="Arial" w:cs="Arial"/>
          <w:b/>
          <w:bCs/>
        </w:rPr>
        <w:t>-kha rice variety by the combined effect of GMs and inorganic N fertilizer in field conditions, 2023 and 2024</w:t>
      </w:r>
    </w:p>
    <w:bookmarkEnd w:id="2"/>
    <w:p w14:paraId="6AF98F47" w14:textId="0BE4F588" w:rsidR="00F90787" w:rsidRPr="008330C3" w:rsidRDefault="00931F79" w:rsidP="00F90787">
      <w:pPr>
        <w:pStyle w:val="Body"/>
        <w:spacing w:after="0"/>
        <w:rPr>
          <w:rFonts w:ascii="Arial" w:hAnsi="Arial" w:cs="Arial"/>
          <w:b/>
          <w:bCs/>
        </w:rPr>
      </w:pPr>
      <w:r w:rsidRPr="008330C3">
        <w:rPr>
          <w:rFonts w:ascii="Arial" w:hAnsi="Arial" w:cs="Arial"/>
          <w:b/>
          <w:bCs/>
        </w:rPr>
        <w:t>Table 4 Yield of Sinn-</w:t>
      </w:r>
      <w:proofErr w:type="spellStart"/>
      <w:r w:rsidRPr="008330C3">
        <w:rPr>
          <w:rFonts w:ascii="Arial" w:hAnsi="Arial" w:cs="Arial"/>
          <w:b/>
          <w:bCs/>
        </w:rPr>
        <w:t>thu</w:t>
      </w:r>
      <w:proofErr w:type="spellEnd"/>
      <w:r w:rsidRPr="008330C3">
        <w:rPr>
          <w:rFonts w:ascii="Arial" w:hAnsi="Arial" w:cs="Arial"/>
          <w:b/>
          <w:bCs/>
        </w:rPr>
        <w:t>-kha rice variety in field conditions, 2023 and 2024</w:t>
      </w:r>
    </w:p>
    <w:tbl>
      <w:tblPr>
        <w:tblW w:w="5000" w:type="pct"/>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815"/>
        <w:gridCol w:w="3814"/>
        <w:gridCol w:w="3201"/>
      </w:tblGrid>
      <w:tr w:rsidR="00931F79" w:rsidRPr="00931F79" w14:paraId="422ADEE3" w14:textId="77777777" w:rsidTr="008605D1">
        <w:trPr>
          <w:trHeight w:val="325"/>
          <w:jc w:val="center"/>
        </w:trPr>
        <w:tc>
          <w:tcPr>
            <w:tcW w:w="1761" w:type="pct"/>
            <w:vMerge w:val="restart"/>
            <w:tcBorders>
              <w:top w:val="single" w:sz="4" w:space="0" w:color="auto"/>
              <w:bottom w:val="nil"/>
            </w:tcBorders>
            <w:tcMar>
              <w:top w:w="15" w:type="dxa"/>
              <w:left w:w="15" w:type="dxa"/>
              <w:bottom w:w="0" w:type="dxa"/>
              <w:right w:w="15" w:type="dxa"/>
            </w:tcMar>
            <w:vAlign w:val="center"/>
            <w:hideMark/>
          </w:tcPr>
          <w:p w14:paraId="028B67E7" w14:textId="77777777" w:rsidR="00931F79" w:rsidRPr="00931F79" w:rsidRDefault="00931F79" w:rsidP="008605D1">
            <w:pPr>
              <w:rPr>
                <w:rFonts w:ascii="Arial" w:eastAsiaTheme="majorEastAsia" w:hAnsi="Arial" w:cs="Arial"/>
                <w:color w:val="000000" w:themeColor="text1"/>
              </w:rPr>
            </w:pPr>
            <w:bookmarkStart w:id="3" w:name="_Toc180667770"/>
            <w:bookmarkStart w:id="4" w:name="_Toc180672229"/>
            <w:r w:rsidRPr="00931F79">
              <w:rPr>
                <w:rFonts w:ascii="Arial" w:eastAsiaTheme="majorEastAsia" w:hAnsi="Arial" w:cs="Arial"/>
                <w:color w:val="000000" w:themeColor="text1"/>
              </w:rPr>
              <w:t>Treatments</w:t>
            </w:r>
            <w:bookmarkEnd w:id="3"/>
            <w:bookmarkEnd w:id="4"/>
          </w:p>
        </w:tc>
        <w:tc>
          <w:tcPr>
            <w:tcW w:w="3239" w:type="pct"/>
            <w:gridSpan w:val="2"/>
            <w:tcBorders>
              <w:top w:val="single" w:sz="4" w:space="0" w:color="auto"/>
              <w:bottom w:val="single" w:sz="4" w:space="0" w:color="auto"/>
            </w:tcBorders>
            <w:tcMar>
              <w:top w:w="15" w:type="dxa"/>
              <w:left w:w="15" w:type="dxa"/>
              <w:bottom w:w="0" w:type="dxa"/>
              <w:right w:w="15" w:type="dxa"/>
            </w:tcMar>
            <w:vAlign w:val="center"/>
            <w:hideMark/>
          </w:tcPr>
          <w:p w14:paraId="391DAAB6" w14:textId="77777777" w:rsidR="00931F79" w:rsidRPr="00931F79" w:rsidRDefault="00931F79" w:rsidP="008605D1">
            <w:pPr>
              <w:jc w:val="center"/>
              <w:rPr>
                <w:rFonts w:ascii="Arial" w:eastAsiaTheme="majorEastAsia" w:hAnsi="Arial" w:cs="Arial"/>
                <w:color w:val="000000" w:themeColor="text1"/>
              </w:rPr>
            </w:pPr>
            <w:bookmarkStart w:id="5" w:name="_Toc180667776"/>
            <w:bookmarkStart w:id="6" w:name="_Toc180672235"/>
            <w:r w:rsidRPr="00931F79">
              <w:rPr>
                <w:rFonts w:ascii="Arial" w:eastAsiaTheme="majorEastAsia" w:hAnsi="Arial" w:cs="Arial"/>
                <w:color w:val="000000" w:themeColor="text1"/>
              </w:rPr>
              <w:t>Yield (t ha</w:t>
            </w:r>
            <w:r w:rsidRPr="00931F79">
              <w:rPr>
                <w:rFonts w:ascii="Arial" w:eastAsiaTheme="majorEastAsia" w:hAnsi="Arial" w:cs="Arial"/>
                <w:color w:val="000000" w:themeColor="text1"/>
                <w:vertAlign w:val="superscript"/>
              </w:rPr>
              <w:t>-1</w:t>
            </w:r>
            <w:r w:rsidRPr="00931F79">
              <w:rPr>
                <w:rFonts w:ascii="Arial" w:eastAsiaTheme="majorEastAsia" w:hAnsi="Arial" w:cs="Arial"/>
                <w:color w:val="000000" w:themeColor="text1"/>
              </w:rPr>
              <w:t>)</w:t>
            </w:r>
            <w:bookmarkEnd w:id="5"/>
            <w:bookmarkEnd w:id="6"/>
          </w:p>
        </w:tc>
      </w:tr>
      <w:tr w:rsidR="00931F79" w:rsidRPr="00931F79" w14:paraId="7C2221D6" w14:textId="77777777" w:rsidTr="008605D1">
        <w:trPr>
          <w:trHeight w:val="136"/>
          <w:jc w:val="center"/>
        </w:trPr>
        <w:tc>
          <w:tcPr>
            <w:tcW w:w="1761" w:type="pct"/>
            <w:vMerge/>
            <w:tcBorders>
              <w:top w:val="nil"/>
              <w:bottom w:val="single" w:sz="4" w:space="0" w:color="auto"/>
            </w:tcBorders>
            <w:vAlign w:val="center"/>
            <w:hideMark/>
          </w:tcPr>
          <w:p w14:paraId="01B581FC" w14:textId="77777777" w:rsidR="00931F79" w:rsidRPr="00931F79" w:rsidRDefault="00931F79" w:rsidP="008605D1">
            <w:pPr>
              <w:rPr>
                <w:rFonts w:ascii="Arial" w:eastAsiaTheme="majorEastAsia" w:hAnsi="Arial" w:cs="Arial"/>
                <w:color w:val="000000" w:themeColor="text1"/>
              </w:rPr>
            </w:pPr>
          </w:p>
        </w:tc>
        <w:tc>
          <w:tcPr>
            <w:tcW w:w="1761" w:type="pct"/>
            <w:tcBorders>
              <w:top w:val="single" w:sz="4" w:space="0" w:color="auto"/>
              <w:bottom w:val="single" w:sz="4" w:space="0" w:color="auto"/>
            </w:tcBorders>
            <w:tcMar>
              <w:top w:w="15" w:type="dxa"/>
              <w:left w:w="15" w:type="dxa"/>
              <w:bottom w:w="0" w:type="dxa"/>
              <w:right w:w="15" w:type="dxa"/>
            </w:tcMar>
            <w:vAlign w:val="bottom"/>
            <w:hideMark/>
          </w:tcPr>
          <w:p w14:paraId="2B485A05" w14:textId="77777777" w:rsidR="00931F79" w:rsidRPr="00931F79" w:rsidRDefault="00931F79" w:rsidP="008605D1">
            <w:pPr>
              <w:jc w:val="center"/>
              <w:rPr>
                <w:rFonts w:ascii="Arial" w:eastAsiaTheme="majorEastAsia" w:hAnsi="Arial" w:cs="Arial"/>
                <w:color w:val="000000" w:themeColor="text1"/>
              </w:rPr>
            </w:pPr>
            <w:bookmarkStart w:id="7" w:name="_Toc180667787"/>
            <w:bookmarkStart w:id="8" w:name="_Toc180672246"/>
            <w:r w:rsidRPr="00931F79">
              <w:rPr>
                <w:rFonts w:ascii="Arial" w:eastAsiaTheme="majorEastAsia" w:hAnsi="Arial" w:cs="Arial"/>
                <w:color w:val="000000" w:themeColor="text1"/>
              </w:rPr>
              <w:t>2023</w:t>
            </w:r>
            <w:bookmarkEnd w:id="7"/>
            <w:bookmarkEnd w:id="8"/>
          </w:p>
        </w:tc>
        <w:tc>
          <w:tcPr>
            <w:tcW w:w="1478" w:type="pct"/>
            <w:tcBorders>
              <w:top w:val="single" w:sz="4" w:space="0" w:color="auto"/>
              <w:bottom w:val="single" w:sz="4" w:space="0" w:color="auto"/>
            </w:tcBorders>
            <w:tcMar>
              <w:top w:w="15" w:type="dxa"/>
              <w:left w:w="15" w:type="dxa"/>
              <w:bottom w:w="0" w:type="dxa"/>
              <w:right w:w="15" w:type="dxa"/>
            </w:tcMar>
            <w:vAlign w:val="bottom"/>
            <w:hideMark/>
          </w:tcPr>
          <w:p w14:paraId="11B23183" w14:textId="77777777" w:rsidR="00931F79" w:rsidRPr="00931F79" w:rsidRDefault="00931F79" w:rsidP="008605D1">
            <w:pPr>
              <w:jc w:val="center"/>
              <w:rPr>
                <w:rFonts w:ascii="Arial" w:eastAsiaTheme="majorEastAsia" w:hAnsi="Arial" w:cs="Arial"/>
                <w:color w:val="000000" w:themeColor="text1"/>
              </w:rPr>
            </w:pPr>
            <w:bookmarkStart w:id="9" w:name="_Toc180667788"/>
            <w:bookmarkStart w:id="10" w:name="_Toc180672247"/>
            <w:r w:rsidRPr="00931F79">
              <w:rPr>
                <w:rFonts w:ascii="Arial" w:eastAsiaTheme="majorEastAsia" w:hAnsi="Arial" w:cs="Arial"/>
                <w:color w:val="000000" w:themeColor="text1"/>
              </w:rPr>
              <w:t>2024</w:t>
            </w:r>
            <w:bookmarkEnd w:id="9"/>
            <w:bookmarkEnd w:id="10"/>
          </w:p>
        </w:tc>
      </w:tr>
      <w:tr w:rsidR="00931F79" w:rsidRPr="00931F79" w14:paraId="70EAD982" w14:textId="77777777" w:rsidTr="008605D1">
        <w:trPr>
          <w:trHeight w:val="111"/>
          <w:jc w:val="center"/>
        </w:trPr>
        <w:tc>
          <w:tcPr>
            <w:tcW w:w="1761" w:type="pct"/>
            <w:tcBorders>
              <w:top w:val="single" w:sz="4" w:space="0" w:color="auto"/>
            </w:tcBorders>
            <w:tcMar>
              <w:top w:w="15" w:type="dxa"/>
              <w:left w:w="15" w:type="dxa"/>
              <w:bottom w:w="0" w:type="dxa"/>
              <w:right w:w="15" w:type="dxa"/>
            </w:tcMar>
            <w:vAlign w:val="bottom"/>
            <w:hideMark/>
          </w:tcPr>
          <w:p w14:paraId="4479183C" w14:textId="390261EB" w:rsidR="00931F79" w:rsidRPr="00931F79" w:rsidRDefault="00931F79" w:rsidP="00931F79">
            <w:pPr>
              <w:rPr>
                <w:rFonts w:ascii="Arial" w:eastAsiaTheme="majorEastAsia" w:hAnsi="Arial" w:cs="Arial"/>
                <w:color w:val="000000" w:themeColor="text1"/>
              </w:rPr>
            </w:pPr>
            <w:r w:rsidRPr="00931F79">
              <w:rPr>
                <w:rFonts w:ascii="Arial" w:eastAsiaTheme="majorEastAsia" w:hAnsi="Arial" w:cs="Arial"/>
                <w:color w:val="000000" w:themeColor="text1"/>
              </w:rPr>
              <w:t>N</w:t>
            </w:r>
            <w:r>
              <w:rPr>
                <w:rFonts w:ascii="Arial" w:eastAsiaTheme="majorEastAsia" w:hAnsi="Arial" w:cs="Arial"/>
                <w:color w:val="000000" w:themeColor="text1"/>
              </w:rPr>
              <w:t>itrogen</w:t>
            </w:r>
          </w:p>
        </w:tc>
        <w:tc>
          <w:tcPr>
            <w:tcW w:w="1761" w:type="pct"/>
            <w:tcBorders>
              <w:top w:val="single" w:sz="4" w:space="0" w:color="auto"/>
            </w:tcBorders>
            <w:tcMar>
              <w:top w:w="15" w:type="dxa"/>
              <w:left w:w="15" w:type="dxa"/>
              <w:bottom w:w="0" w:type="dxa"/>
              <w:right w:w="15" w:type="dxa"/>
            </w:tcMar>
            <w:vAlign w:val="bottom"/>
            <w:hideMark/>
          </w:tcPr>
          <w:p w14:paraId="74A39B9F" w14:textId="77777777" w:rsidR="00931F79" w:rsidRPr="00931F79" w:rsidRDefault="00931F79" w:rsidP="008605D1">
            <w:pPr>
              <w:jc w:val="center"/>
              <w:rPr>
                <w:rFonts w:ascii="Arial" w:eastAsiaTheme="majorEastAsia" w:hAnsi="Arial" w:cs="Arial"/>
                <w:color w:val="000000" w:themeColor="text1"/>
              </w:rPr>
            </w:pPr>
          </w:p>
        </w:tc>
        <w:tc>
          <w:tcPr>
            <w:tcW w:w="1478" w:type="pct"/>
            <w:tcBorders>
              <w:top w:val="single" w:sz="4" w:space="0" w:color="auto"/>
            </w:tcBorders>
            <w:tcMar>
              <w:top w:w="15" w:type="dxa"/>
              <w:left w:w="15" w:type="dxa"/>
              <w:bottom w:w="0" w:type="dxa"/>
              <w:right w:w="15" w:type="dxa"/>
            </w:tcMar>
            <w:vAlign w:val="bottom"/>
            <w:hideMark/>
          </w:tcPr>
          <w:p w14:paraId="43961D32" w14:textId="77777777" w:rsidR="00931F79" w:rsidRPr="00931F79" w:rsidRDefault="00931F79" w:rsidP="008605D1">
            <w:pPr>
              <w:jc w:val="center"/>
              <w:rPr>
                <w:rFonts w:ascii="Arial" w:eastAsiaTheme="majorEastAsia" w:hAnsi="Arial" w:cs="Arial"/>
                <w:color w:val="000000" w:themeColor="text1"/>
              </w:rPr>
            </w:pPr>
          </w:p>
        </w:tc>
      </w:tr>
      <w:tr w:rsidR="00931F79" w:rsidRPr="00931F79" w14:paraId="4EF8FA44" w14:textId="77777777" w:rsidTr="008605D1">
        <w:trPr>
          <w:trHeight w:val="167"/>
          <w:jc w:val="center"/>
        </w:trPr>
        <w:tc>
          <w:tcPr>
            <w:tcW w:w="1761" w:type="pct"/>
            <w:tcMar>
              <w:top w:w="15" w:type="dxa"/>
              <w:left w:w="15" w:type="dxa"/>
              <w:bottom w:w="0" w:type="dxa"/>
              <w:right w:w="15" w:type="dxa"/>
            </w:tcMar>
            <w:vAlign w:val="bottom"/>
            <w:hideMark/>
          </w:tcPr>
          <w:p w14:paraId="7CA741F7" w14:textId="77777777" w:rsidR="00931F79" w:rsidRPr="00931F79" w:rsidRDefault="00931F79" w:rsidP="00931F79">
            <w:pPr>
              <w:ind w:left="270"/>
              <w:rPr>
                <w:rFonts w:ascii="Arial" w:eastAsiaTheme="majorEastAsia" w:hAnsi="Arial" w:cs="Arial"/>
                <w:color w:val="000000" w:themeColor="text1"/>
              </w:rPr>
            </w:pPr>
            <w:bookmarkStart w:id="11" w:name="_Toc180667790"/>
            <w:bookmarkStart w:id="12" w:name="_Toc180672249"/>
            <w:r w:rsidRPr="00931F79">
              <w:rPr>
                <w:rFonts w:ascii="Arial" w:eastAsiaTheme="majorEastAsia" w:hAnsi="Arial" w:cs="Arial"/>
                <w:color w:val="000000" w:themeColor="text1"/>
              </w:rPr>
              <w:t>N0</w:t>
            </w:r>
            <w:bookmarkEnd w:id="11"/>
            <w:bookmarkEnd w:id="12"/>
            <w:r w:rsidRPr="00931F79">
              <w:rPr>
                <w:rFonts w:ascii="Arial" w:eastAsiaTheme="majorEastAsia" w:hAnsi="Arial" w:cs="Arial"/>
                <w:color w:val="000000" w:themeColor="text1"/>
              </w:rPr>
              <w:t xml:space="preserve">                 </w:t>
            </w:r>
          </w:p>
        </w:tc>
        <w:tc>
          <w:tcPr>
            <w:tcW w:w="1761" w:type="pct"/>
            <w:tcMar>
              <w:top w:w="15" w:type="dxa"/>
              <w:left w:w="15" w:type="dxa"/>
              <w:bottom w:w="0" w:type="dxa"/>
              <w:right w:w="15" w:type="dxa"/>
            </w:tcMar>
            <w:vAlign w:val="bottom"/>
            <w:hideMark/>
          </w:tcPr>
          <w:p w14:paraId="379A96BE" w14:textId="77777777" w:rsidR="00931F79" w:rsidRPr="00931F79" w:rsidRDefault="00931F79" w:rsidP="008605D1">
            <w:pPr>
              <w:jc w:val="center"/>
              <w:rPr>
                <w:rFonts w:ascii="Arial" w:eastAsiaTheme="majorEastAsia" w:hAnsi="Arial" w:cs="Arial"/>
                <w:color w:val="000000" w:themeColor="text1"/>
              </w:rPr>
            </w:pPr>
            <w:bookmarkStart w:id="13" w:name="_Toc180667801"/>
            <w:bookmarkStart w:id="14" w:name="_Toc180672260"/>
            <w:r w:rsidRPr="00931F79">
              <w:rPr>
                <w:rFonts w:ascii="Arial" w:eastAsiaTheme="majorEastAsia" w:hAnsi="Arial" w:cs="Arial"/>
                <w:color w:val="000000" w:themeColor="text1"/>
              </w:rPr>
              <w:t>4.23 b</w:t>
            </w:r>
            <w:bookmarkEnd w:id="13"/>
            <w:bookmarkEnd w:id="14"/>
          </w:p>
        </w:tc>
        <w:tc>
          <w:tcPr>
            <w:tcW w:w="1478" w:type="pct"/>
            <w:tcMar>
              <w:top w:w="15" w:type="dxa"/>
              <w:left w:w="15" w:type="dxa"/>
              <w:bottom w:w="0" w:type="dxa"/>
              <w:right w:w="15" w:type="dxa"/>
            </w:tcMar>
            <w:vAlign w:val="bottom"/>
            <w:hideMark/>
          </w:tcPr>
          <w:p w14:paraId="4095D429" w14:textId="77777777" w:rsidR="00931F79" w:rsidRPr="00931F79" w:rsidRDefault="00931F79" w:rsidP="008605D1">
            <w:pPr>
              <w:jc w:val="center"/>
              <w:rPr>
                <w:rFonts w:ascii="Arial" w:eastAsiaTheme="majorEastAsia" w:hAnsi="Arial" w:cs="Arial"/>
                <w:color w:val="000000" w:themeColor="text1"/>
              </w:rPr>
            </w:pPr>
            <w:bookmarkStart w:id="15" w:name="_Toc180667802"/>
            <w:bookmarkStart w:id="16" w:name="_Toc180672261"/>
            <w:r w:rsidRPr="00931F79">
              <w:rPr>
                <w:rFonts w:ascii="Arial" w:eastAsiaTheme="majorEastAsia" w:hAnsi="Arial" w:cs="Arial"/>
                <w:color w:val="000000" w:themeColor="text1"/>
              </w:rPr>
              <w:t>4.43 d</w:t>
            </w:r>
            <w:bookmarkEnd w:id="15"/>
            <w:bookmarkEnd w:id="16"/>
          </w:p>
        </w:tc>
      </w:tr>
      <w:tr w:rsidR="00931F79" w:rsidRPr="00931F79" w14:paraId="323A1D7D" w14:textId="77777777" w:rsidTr="008605D1">
        <w:trPr>
          <w:trHeight w:val="230"/>
          <w:jc w:val="center"/>
        </w:trPr>
        <w:tc>
          <w:tcPr>
            <w:tcW w:w="1761" w:type="pct"/>
            <w:tcMar>
              <w:top w:w="15" w:type="dxa"/>
              <w:left w:w="15" w:type="dxa"/>
              <w:bottom w:w="0" w:type="dxa"/>
              <w:right w:w="15" w:type="dxa"/>
            </w:tcMar>
            <w:vAlign w:val="bottom"/>
            <w:hideMark/>
          </w:tcPr>
          <w:p w14:paraId="40A5E695" w14:textId="77777777" w:rsidR="00931F79" w:rsidRPr="00931F79" w:rsidRDefault="00931F79" w:rsidP="00931F79">
            <w:pPr>
              <w:ind w:left="270"/>
              <w:rPr>
                <w:rFonts w:ascii="Arial" w:eastAsiaTheme="majorEastAsia" w:hAnsi="Arial" w:cs="Arial"/>
                <w:color w:val="000000" w:themeColor="text1"/>
              </w:rPr>
            </w:pPr>
            <w:bookmarkStart w:id="17" w:name="_Toc180667803"/>
            <w:bookmarkStart w:id="18" w:name="_Toc180672262"/>
            <w:r w:rsidRPr="00931F79">
              <w:rPr>
                <w:rFonts w:ascii="Arial" w:eastAsiaTheme="majorEastAsia" w:hAnsi="Arial" w:cs="Arial"/>
                <w:color w:val="000000" w:themeColor="text1"/>
              </w:rPr>
              <w:t>N25</w:t>
            </w:r>
            <w:bookmarkEnd w:id="17"/>
            <w:bookmarkEnd w:id="18"/>
          </w:p>
        </w:tc>
        <w:tc>
          <w:tcPr>
            <w:tcW w:w="1761" w:type="pct"/>
            <w:tcMar>
              <w:top w:w="15" w:type="dxa"/>
              <w:left w:w="15" w:type="dxa"/>
              <w:bottom w:w="0" w:type="dxa"/>
              <w:right w:w="15" w:type="dxa"/>
            </w:tcMar>
            <w:vAlign w:val="bottom"/>
            <w:hideMark/>
          </w:tcPr>
          <w:p w14:paraId="378BC0D7" w14:textId="77777777" w:rsidR="00931F79" w:rsidRPr="00931F79" w:rsidRDefault="00931F79" w:rsidP="008605D1">
            <w:pPr>
              <w:jc w:val="center"/>
              <w:rPr>
                <w:rFonts w:ascii="Arial" w:eastAsiaTheme="majorEastAsia" w:hAnsi="Arial" w:cs="Arial"/>
                <w:color w:val="000000" w:themeColor="text1"/>
              </w:rPr>
            </w:pPr>
            <w:bookmarkStart w:id="19" w:name="_Toc180667814"/>
            <w:bookmarkStart w:id="20" w:name="_Toc180672273"/>
            <w:r w:rsidRPr="00931F79">
              <w:rPr>
                <w:rFonts w:ascii="Arial" w:eastAsiaTheme="majorEastAsia" w:hAnsi="Arial" w:cs="Arial"/>
                <w:color w:val="000000" w:themeColor="text1"/>
              </w:rPr>
              <w:t>4.47 b</w:t>
            </w:r>
            <w:bookmarkEnd w:id="19"/>
            <w:bookmarkEnd w:id="20"/>
          </w:p>
        </w:tc>
        <w:tc>
          <w:tcPr>
            <w:tcW w:w="1478" w:type="pct"/>
            <w:tcMar>
              <w:top w:w="15" w:type="dxa"/>
              <w:left w:w="15" w:type="dxa"/>
              <w:bottom w:w="0" w:type="dxa"/>
              <w:right w:w="15" w:type="dxa"/>
            </w:tcMar>
            <w:vAlign w:val="bottom"/>
            <w:hideMark/>
          </w:tcPr>
          <w:p w14:paraId="0771C25D" w14:textId="77777777" w:rsidR="00931F79" w:rsidRPr="00931F79" w:rsidRDefault="00931F79" w:rsidP="008605D1">
            <w:pPr>
              <w:jc w:val="center"/>
              <w:rPr>
                <w:rFonts w:ascii="Arial" w:eastAsiaTheme="majorEastAsia" w:hAnsi="Arial" w:cs="Arial"/>
                <w:color w:val="000000" w:themeColor="text1"/>
              </w:rPr>
            </w:pPr>
            <w:bookmarkStart w:id="21" w:name="_Toc180667815"/>
            <w:bookmarkStart w:id="22" w:name="_Toc180672274"/>
            <w:r w:rsidRPr="00931F79">
              <w:rPr>
                <w:rFonts w:ascii="Arial" w:eastAsiaTheme="majorEastAsia" w:hAnsi="Arial" w:cs="Arial"/>
                <w:color w:val="000000" w:themeColor="text1"/>
              </w:rPr>
              <w:t>4.82 d</w:t>
            </w:r>
            <w:bookmarkEnd w:id="21"/>
            <w:bookmarkEnd w:id="22"/>
          </w:p>
        </w:tc>
      </w:tr>
      <w:tr w:rsidR="00931F79" w:rsidRPr="00931F79" w14:paraId="294EAD81" w14:textId="77777777" w:rsidTr="008605D1">
        <w:trPr>
          <w:trHeight w:val="212"/>
          <w:jc w:val="center"/>
        </w:trPr>
        <w:tc>
          <w:tcPr>
            <w:tcW w:w="1761" w:type="pct"/>
            <w:tcMar>
              <w:top w:w="15" w:type="dxa"/>
              <w:left w:w="15" w:type="dxa"/>
              <w:bottom w:w="0" w:type="dxa"/>
              <w:right w:w="15" w:type="dxa"/>
            </w:tcMar>
            <w:vAlign w:val="bottom"/>
            <w:hideMark/>
          </w:tcPr>
          <w:p w14:paraId="7A8A049F" w14:textId="77777777" w:rsidR="00931F79" w:rsidRPr="00931F79" w:rsidRDefault="00931F79" w:rsidP="00931F79">
            <w:pPr>
              <w:ind w:left="270"/>
              <w:rPr>
                <w:rFonts w:ascii="Arial" w:eastAsiaTheme="majorEastAsia" w:hAnsi="Arial" w:cs="Arial"/>
                <w:color w:val="000000" w:themeColor="text1"/>
              </w:rPr>
            </w:pPr>
            <w:bookmarkStart w:id="23" w:name="_Toc180667816"/>
            <w:bookmarkStart w:id="24" w:name="_Toc180672275"/>
            <w:r w:rsidRPr="00931F79">
              <w:rPr>
                <w:rFonts w:ascii="Arial" w:eastAsiaTheme="majorEastAsia" w:hAnsi="Arial" w:cs="Arial"/>
                <w:color w:val="000000" w:themeColor="text1"/>
              </w:rPr>
              <w:t>N50</w:t>
            </w:r>
            <w:bookmarkEnd w:id="23"/>
            <w:bookmarkEnd w:id="24"/>
          </w:p>
        </w:tc>
        <w:tc>
          <w:tcPr>
            <w:tcW w:w="1761" w:type="pct"/>
            <w:tcMar>
              <w:top w:w="15" w:type="dxa"/>
              <w:left w:w="15" w:type="dxa"/>
              <w:bottom w:w="0" w:type="dxa"/>
              <w:right w:w="15" w:type="dxa"/>
            </w:tcMar>
            <w:vAlign w:val="bottom"/>
            <w:hideMark/>
          </w:tcPr>
          <w:p w14:paraId="1BE03B27" w14:textId="77777777" w:rsidR="00931F79" w:rsidRPr="00931F79" w:rsidRDefault="00931F79" w:rsidP="008605D1">
            <w:pPr>
              <w:jc w:val="center"/>
              <w:rPr>
                <w:rFonts w:ascii="Arial" w:eastAsiaTheme="majorEastAsia" w:hAnsi="Arial" w:cs="Arial"/>
                <w:color w:val="000000" w:themeColor="text1"/>
              </w:rPr>
            </w:pPr>
            <w:bookmarkStart w:id="25" w:name="_Toc180667827"/>
            <w:bookmarkStart w:id="26" w:name="_Toc180672286"/>
            <w:r w:rsidRPr="00931F79">
              <w:rPr>
                <w:rFonts w:ascii="Arial" w:eastAsiaTheme="majorEastAsia" w:hAnsi="Arial" w:cs="Arial"/>
                <w:color w:val="000000" w:themeColor="text1"/>
              </w:rPr>
              <w:t>5.53 a</w:t>
            </w:r>
            <w:bookmarkEnd w:id="25"/>
            <w:bookmarkEnd w:id="26"/>
          </w:p>
        </w:tc>
        <w:tc>
          <w:tcPr>
            <w:tcW w:w="1478" w:type="pct"/>
            <w:tcMar>
              <w:top w:w="15" w:type="dxa"/>
              <w:left w:w="15" w:type="dxa"/>
              <w:bottom w:w="0" w:type="dxa"/>
              <w:right w:w="15" w:type="dxa"/>
            </w:tcMar>
            <w:vAlign w:val="bottom"/>
            <w:hideMark/>
          </w:tcPr>
          <w:p w14:paraId="044A1685" w14:textId="77777777" w:rsidR="00931F79" w:rsidRPr="00931F79" w:rsidRDefault="00931F79" w:rsidP="008605D1">
            <w:pPr>
              <w:jc w:val="center"/>
              <w:rPr>
                <w:rFonts w:ascii="Arial" w:eastAsiaTheme="majorEastAsia" w:hAnsi="Arial" w:cs="Arial"/>
                <w:color w:val="000000" w:themeColor="text1"/>
              </w:rPr>
            </w:pPr>
            <w:bookmarkStart w:id="27" w:name="_Toc180667828"/>
            <w:bookmarkStart w:id="28" w:name="_Toc180672287"/>
            <w:r w:rsidRPr="00931F79">
              <w:rPr>
                <w:rFonts w:ascii="Arial" w:eastAsiaTheme="majorEastAsia" w:hAnsi="Arial" w:cs="Arial"/>
                <w:color w:val="000000" w:themeColor="text1"/>
              </w:rPr>
              <w:t>5.54 c</w:t>
            </w:r>
            <w:bookmarkEnd w:id="27"/>
            <w:bookmarkEnd w:id="28"/>
          </w:p>
        </w:tc>
      </w:tr>
      <w:tr w:rsidR="00931F79" w:rsidRPr="00931F79" w14:paraId="1FA964F5" w14:textId="77777777" w:rsidTr="008605D1">
        <w:trPr>
          <w:trHeight w:val="185"/>
          <w:jc w:val="center"/>
        </w:trPr>
        <w:tc>
          <w:tcPr>
            <w:tcW w:w="1761" w:type="pct"/>
            <w:tcMar>
              <w:top w:w="15" w:type="dxa"/>
              <w:left w:w="15" w:type="dxa"/>
              <w:bottom w:w="0" w:type="dxa"/>
              <w:right w:w="15" w:type="dxa"/>
            </w:tcMar>
            <w:vAlign w:val="bottom"/>
            <w:hideMark/>
          </w:tcPr>
          <w:p w14:paraId="4A6308C0" w14:textId="77777777" w:rsidR="00931F79" w:rsidRPr="00931F79" w:rsidRDefault="00931F79" w:rsidP="00931F79">
            <w:pPr>
              <w:ind w:left="270"/>
              <w:rPr>
                <w:rFonts w:ascii="Arial" w:eastAsiaTheme="majorEastAsia" w:hAnsi="Arial" w:cs="Arial"/>
                <w:color w:val="000000" w:themeColor="text1"/>
              </w:rPr>
            </w:pPr>
            <w:bookmarkStart w:id="29" w:name="_Toc180667829"/>
            <w:bookmarkStart w:id="30" w:name="_Toc180672288"/>
            <w:r w:rsidRPr="00931F79">
              <w:rPr>
                <w:rFonts w:ascii="Arial" w:eastAsiaTheme="majorEastAsia" w:hAnsi="Arial" w:cs="Arial"/>
                <w:color w:val="000000" w:themeColor="text1"/>
              </w:rPr>
              <w:t>N75</w:t>
            </w:r>
            <w:bookmarkEnd w:id="29"/>
            <w:bookmarkEnd w:id="30"/>
          </w:p>
        </w:tc>
        <w:tc>
          <w:tcPr>
            <w:tcW w:w="1761" w:type="pct"/>
            <w:tcMar>
              <w:top w:w="15" w:type="dxa"/>
              <w:left w:w="15" w:type="dxa"/>
              <w:bottom w:w="0" w:type="dxa"/>
              <w:right w:w="15" w:type="dxa"/>
            </w:tcMar>
            <w:vAlign w:val="bottom"/>
            <w:hideMark/>
          </w:tcPr>
          <w:p w14:paraId="54539440" w14:textId="77777777" w:rsidR="00931F79" w:rsidRPr="00931F79" w:rsidRDefault="00931F79" w:rsidP="008605D1">
            <w:pPr>
              <w:jc w:val="center"/>
              <w:rPr>
                <w:rFonts w:ascii="Arial" w:eastAsiaTheme="majorEastAsia" w:hAnsi="Arial" w:cs="Arial"/>
                <w:color w:val="000000" w:themeColor="text1"/>
              </w:rPr>
            </w:pPr>
            <w:bookmarkStart w:id="31" w:name="_Toc180667840"/>
            <w:bookmarkStart w:id="32" w:name="_Toc180672299"/>
            <w:r w:rsidRPr="00931F79">
              <w:rPr>
                <w:rFonts w:ascii="Arial" w:eastAsiaTheme="majorEastAsia" w:hAnsi="Arial" w:cs="Arial"/>
                <w:color w:val="000000" w:themeColor="text1"/>
              </w:rPr>
              <w:t>5.26 a</w:t>
            </w:r>
            <w:bookmarkEnd w:id="31"/>
            <w:bookmarkEnd w:id="32"/>
          </w:p>
        </w:tc>
        <w:tc>
          <w:tcPr>
            <w:tcW w:w="1478" w:type="pct"/>
            <w:tcMar>
              <w:top w:w="15" w:type="dxa"/>
              <w:left w:w="15" w:type="dxa"/>
              <w:bottom w:w="0" w:type="dxa"/>
              <w:right w:w="15" w:type="dxa"/>
            </w:tcMar>
            <w:vAlign w:val="bottom"/>
            <w:hideMark/>
          </w:tcPr>
          <w:p w14:paraId="256B47AC" w14:textId="77777777" w:rsidR="00931F79" w:rsidRPr="00931F79" w:rsidRDefault="00931F79" w:rsidP="008605D1">
            <w:pPr>
              <w:jc w:val="center"/>
              <w:rPr>
                <w:rFonts w:ascii="Arial" w:eastAsiaTheme="majorEastAsia" w:hAnsi="Arial" w:cs="Arial"/>
                <w:color w:val="000000" w:themeColor="text1"/>
              </w:rPr>
            </w:pPr>
            <w:bookmarkStart w:id="33" w:name="_Toc180667841"/>
            <w:bookmarkStart w:id="34" w:name="_Toc180672300"/>
            <w:r w:rsidRPr="00931F79">
              <w:rPr>
                <w:rFonts w:ascii="Arial" w:eastAsiaTheme="majorEastAsia" w:hAnsi="Arial" w:cs="Arial"/>
                <w:color w:val="000000" w:themeColor="text1"/>
              </w:rPr>
              <w:t>6.13 b</w:t>
            </w:r>
            <w:bookmarkEnd w:id="33"/>
            <w:bookmarkEnd w:id="34"/>
          </w:p>
        </w:tc>
      </w:tr>
      <w:tr w:rsidR="00931F79" w:rsidRPr="00931F79" w14:paraId="4C4BD018" w14:textId="77777777" w:rsidTr="008605D1">
        <w:trPr>
          <w:trHeight w:val="176"/>
          <w:jc w:val="center"/>
        </w:trPr>
        <w:tc>
          <w:tcPr>
            <w:tcW w:w="1761" w:type="pct"/>
            <w:tcBorders>
              <w:bottom w:val="single" w:sz="4" w:space="0" w:color="auto"/>
            </w:tcBorders>
            <w:tcMar>
              <w:top w:w="15" w:type="dxa"/>
              <w:left w:w="15" w:type="dxa"/>
              <w:bottom w:w="0" w:type="dxa"/>
              <w:right w:w="15" w:type="dxa"/>
            </w:tcMar>
            <w:vAlign w:val="bottom"/>
            <w:hideMark/>
          </w:tcPr>
          <w:p w14:paraId="4092CBD1" w14:textId="77777777" w:rsidR="00931F79" w:rsidRPr="00931F79" w:rsidRDefault="00931F79" w:rsidP="00931F79">
            <w:pPr>
              <w:ind w:left="270"/>
              <w:rPr>
                <w:rFonts w:ascii="Arial" w:eastAsiaTheme="majorEastAsia" w:hAnsi="Arial" w:cs="Arial"/>
                <w:color w:val="000000" w:themeColor="text1"/>
              </w:rPr>
            </w:pPr>
            <w:bookmarkStart w:id="35" w:name="_Toc180667842"/>
            <w:bookmarkStart w:id="36" w:name="_Toc180672301"/>
            <w:r w:rsidRPr="00931F79">
              <w:rPr>
                <w:rFonts w:ascii="Arial" w:eastAsiaTheme="majorEastAsia" w:hAnsi="Arial" w:cs="Arial"/>
                <w:color w:val="000000" w:themeColor="text1"/>
              </w:rPr>
              <w:t>N100</w:t>
            </w:r>
            <w:bookmarkEnd w:id="35"/>
            <w:bookmarkEnd w:id="36"/>
          </w:p>
        </w:tc>
        <w:tc>
          <w:tcPr>
            <w:tcW w:w="1761" w:type="pct"/>
            <w:tcBorders>
              <w:bottom w:val="single" w:sz="4" w:space="0" w:color="auto"/>
            </w:tcBorders>
            <w:tcMar>
              <w:top w:w="15" w:type="dxa"/>
              <w:left w:w="15" w:type="dxa"/>
              <w:bottom w:w="0" w:type="dxa"/>
              <w:right w:w="15" w:type="dxa"/>
            </w:tcMar>
            <w:vAlign w:val="bottom"/>
            <w:hideMark/>
          </w:tcPr>
          <w:p w14:paraId="5AA1EF56" w14:textId="77777777" w:rsidR="00931F79" w:rsidRPr="00931F79" w:rsidRDefault="00931F79" w:rsidP="008605D1">
            <w:pPr>
              <w:jc w:val="center"/>
              <w:rPr>
                <w:rFonts w:ascii="Arial" w:eastAsiaTheme="majorEastAsia" w:hAnsi="Arial" w:cs="Arial"/>
                <w:color w:val="000000" w:themeColor="text1"/>
              </w:rPr>
            </w:pPr>
            <w:bookmarkStart w:id="37" w:name="_Toc180667853"/>
            <w:bookmarkStart w:id="38" w:name="_Toc180672312"/>
            <w:r w:rsidRPr="00931F79">
              <w:rPr>
                <w:rFonts w:ascii="Arial" w:eastAsiaTheme="majorEastAsia" w:hAnsi="Arial" w:cs="Arial"/>
                <w:color w:val="000000" w:themeColor="text1"/>
              </w:rPr>
              <w:t>6.03 a</w:t>
            </w:r>
            <w:bookmarkEnd w:id="37"/>
            <w:bookmarkEnd w:id="38"/>
          </w:p>
        </w:tc>
        <w:tc>
          <w:tcPr>
            <w:tcW w:w="1478" w:type="pct"/>
            <w:tcBorders>
              <w:bottom w:val="single" w:sz="4" w:space="0" w:color="auto"/>
            </w:tcBorders>
            <w:tcMar>
              <w:top w:w="15" w:type="dxa"/>
              <w:left w:w="15" w:type="dxa"/>
              <w:bottom w:w="0" w:type="dxa"/>
              <w:right w:w="15" w:type="dxa"/>
            </w:tcMar>
            <w:vAlign w:val="bottom"/>
            <w:hideMark/>
          </w:tcPr>
          <w:p w14:paraId="11678AFD" w14:textId="77777777" w:rsidR="00931F79" w:rsidRPr="00931F79" w:rsidRDefault="00931F79" w:rsidP="008605D1">
            <w:pPr>
              <w:jc w:val="center"/>
              <w:rPr>
                <w:rFonts w:ascii="Arial" w:eastAsiaTheme="majorEastAsia" w:hAnsi="Arial" w:cs="Arial"/>
                <w:color w:val="000000" w:themeColor="text1"/>
              </w:rPr>
            </w:pPr>
            <w:bookmarkStart w:id="39" w:name="_Toc180667854"/>
            <w:bookmarkStart w:id="40" w:name="_Toc180672313"/>
            <w:r w:rsidRPr="00931F79">
              <w:rPr>
                <w:rFonts w:ascii="Arial" w:eastAsiaTheme="majorEastAsia" w:hAnsi="Arial" w:cs="Arial"/>
                <w:color w:val="000000" w:themeColor="text1"/>
              </w:rPr>
              <w:t>6.56 a</w:t>
            </w:r>
            <w:bookmarkEnd w:id="39"/>
            <w:bookmarkEnd w:id="40"/>
          </w:p>
        </w:tc>
      </w:tr>
      <w:tr w:rsidR="00931F79" w:rsidRPr="00931F79" w14:paraId="1027FEE3" w14:textId="77777777" w:rsidTr="008605D1">
        <w:trPr>
          <w:trHeight w:val="237"/>
          <w:jc w:val="center"/>
        </w:trPr>
        <w:tc>
          <w:tcPr>
            <w:tcW w:w="1761" w:type="pct"/>
            <w:tcBorders>
              <w:top w:val="single" w:sz="4" w:space="0" w:color="auto"/>
              <w:bottom w:val="single" w:sz="4" w:space="0" w:color="auto"/>
            </w:tcBorders>
            <w:tcMar>
              <w:top w:w="15" w:type="dxa"/>
              <w:left w:w="15" w:type="dxa"/>
              <w:bottom w:w="0" w:type="dxa"/>
              <w:right w:w="15" w:type="dxa"/>
            </w:tcMar>
            <w:vAlign w:val="bottom"/>
            <w:hideMark/>
          </w:tcPr>
          <w:p w14:paraId="137B0DCD" w14:textId="77777777" w:rsidR="00931F79" w:rsidRPr="00931F79" w:rsidRDefault="00931F79" w:rsidP="008605D1">
            <w:pPr>
              <w:rPr>
                <w:rFonts w:ascii="Arial" w:eastAsiaTheme="majorEastAsia" w:hAnsi="Arial" w:cs="Arial"/>
                <w:color w:val="000000" w:themeColor="text1"/>
              </w:rPr>
            </w:pPr>
            <w:bookmarkStart w:id="41" w:name="_Toc180667855"/>
            <w:bookmarkStart w:id="42" w:name="_Toc180672314"/>
            <w:r w:rsidRPr="00931F79">
              <w:rPr>
                <w:rFonts w:ascii="Arial" w:eastAsiaTheme="majorEastAsia" w:hAnsi="Arial" w:cs="Arial"/>
                <w:color w:val="000000" w:themeColor="text1"/>
              </w:rPr>
              <w:t>LSD</w:t>
            </w:r>
            <w:r w:rsidRPr="00931F79">
              <w:rPr>
                <w:rFonts w:ascii="Arial" w:eastAsiaTheme="majorEastAsia" w:hAnsi="Arial" w:cs="Arial"/>
                <w:color w:val="000000" w:themeColor="text1"/>
                <w:vertAlign w:val="subscript"/>
              </w:rPr>
              <w:t>0.05</w:t>
            </w:r>
            <w:bookmarkEnd w:id="41"/>
            <w:bookmarkEnd w:id="42"/>
          </w:p>
        </w:tc>
        <w:tc>
          <w:tcPr>
            <w:tcW w:w="1761" w:type="pct"/>
            <w:tcBorders>
              <w:top w:val="single" w:sz="4" w:space="0" w:color="auto"/>
              <w:bottom w:val="single" w:sz="4" w:space="0" w:color="auto"/>
            </w:tcBorders>
            <w:tcMar>
              <w:top w:w="15" w:type="dxa"/>
              <w:left w:w="15" w:type="dxa"/>
              <w:bottom w:w="0" w:type="dxa"/>
              <w:right w:w="15" w:type="dxa"/>
            </w:tcMar>
            <w:vAlign w:val="bottom"/>
            <w:hideMark/>
          </w:tcPr>
          <w:p w14:paraId="72CD2638" w14:textId="77777777" w:rsidR="00931F79" w:rsidRPr="00931F79" w:rsidRDefault="00931F79" w:rsidP="008605D1">
            <w:pPr>
              <w:jc w:val="center"/>
              <w:rPr>
                <w:rFonts w:ascii="Arial" w:eastAsiaTheme="majorEastAsia" w:hAnsi="Arial" w:cs="Arial"/>
                <w:color w:val="000000" w:themeColor="text1"/>
              </w:rPr>
            </w:pPr>
            <w:bookmarkStart w:id="43" w:name="_Toc180667866"/>
            <w:bookmarkStart w:id="44" w:name="_Toc180672325"/>
            <w:r w:rsidRPr="00931F79">
              <w:rPr>
                <w:rFonts w:ascii="Arial" w:eastAsiaTheme="majorEastAsia" w:hAnsi="Arial" w:cs="Arial"/>
                <w:color w:val="000000" w:themeColor="text1"/>
              </w:rPr>
              <w:t>0.78</w:t>
            </w:r>
            <w:bookmarkEnd w:id="43"/>
            <w:bookmarkEnd w:id="44"/>
          </w:p>
        </w:tc>
        <w:tc>
          <w:tcPr>
            <w:tcW w:w="1478" w:type="pct"/>
            <w:tcBorders>
              <w:top w:val="single" w:sz="4" w:space="0" w:color="auto"/>
              <w:bottom w:val="single" w:sz="4" w:space="0" w:color="auto"/>
            </w:tcBorders>
            <w:tcMar>
              <w:top w:w="15" w:type="dxa"/>
              <w:left w:w="15" w:type="dxa"/>
              <w:bottom w:w="0" w:type="dxa"/>
              <w:right w:w="15" w:type="dxa"/>
            </w:tcMar>
            <w:vAlign w:val="bottom"/>
            <w:hideMark/>
          </w:tcPr>
          <w:p w14:paraId="43402DC0" w14:textId="77777777" w:rsidR="00931F79" w:rsidRPr="00931F79" w:rsidRDefault="00931F79" w:rsidP="008605D1">
            <w:pPr>
              <w:jc w:val="center"/>
              <w:rPr>
                <w:rFonts w:ascii="Arial" w:eastAsiaTheme="majorEastAsia" w:hAnsi="Arial" w:cs="Arial"/>
                <w:color w:val="000000" w:themeColor="text1"/>
              </w:rPr>
            </w:pPr>
            <w:bookmarkStart w:id="45" w:name="_Toc180667867"/>
            <w:bookmarkStart w:id="46" w:name="_Toc180672326"/>
            <w:r w:rsidRPr="00931F79">
              <w:rPr>
                <w:rFonts w:ascii="Arial" w:eastAsiaTheme="majorEastAsia" w:hAnsi="Arial" w:cs="Arial"/>
                <w:color w:val="000000" w:themeColor="text1"/>
              </w:rPr>
              <w:t>0.42</w:t>
            </w:r>
            <w:bookmarkEnd w:id="45"/>
            <w:bookmarkEnd w:id="46"/>
          </w:p>
        </w:tc>
      </w:tr>
      <w:tr w:rsidR="00931F79" w:rsidRPr="00931F79" w14:paraId="1921ADF9" w14:textId="77777777" w:rsidTr="008605D1">
        <w:trPr>
          <w:trHeight w:val="102"/>
          <w:jc w:val="center"/>
        </w:trPr>
        <w:tc>
          <w:tcPr>
            <w:tcW w:w="1761" w:type="pct"/>
            <w:tcBorders>
              <w:top w:val="single" w:sz="4" w:space="0" w:color="auto"/>
            </w:tcBorders>
            <w:tcMar>
              <w:top w:w="15" w:type="dxa"/>
              <w:left w:w="15" w:type="dxa"/>
              <w:bottom w:w="0" w:type="dxa"/>
              <w:right w:w="15" w:type="dxa"/>
            </w:tcMar>
            <w:vAlign w:val="bottom"/>
            <w:hideMark/>
          </w:tcPr>
          <w:p w14:paraId="6969FFA9" w14:textId="77777777" w:rsidR="00931F79" w:rsidRPr="00931F79" w:rsidRDefault="00931F79" w:rsidP="008605D1">
            <w:pPr>
              <w:rPr>
                <w:rFonts w:ascii="Arial" w:eastAsiaTheme="majorEastAsia" w:hAnsi="Arial" w:cs="Arial"/>
                <w:color w:val="000000" w:themeColor="text1"/>
              </w:rPr>
            </w:pPr>
            <w:bookmarkStart w:id="47" w:name="_Toc180667868"/>
            <w:bookmarkStart w:id="48" w:name="_Toc180672327"/>
            <w:r w:rsidRPr="00931F79">
              <w:rPr>
                <w:rFonts w:ascii="Arial" w:eastAsiaTheme="majorEastAsia" w:hAnsi="Arial" w:cs="Arial"/>
                <w:color w:val="000000" w:themeColor="text1"/>
              </w:rPr>
              <w:t>Green manure</w:t>
            </w:r>
            <w:bookmarkEnd w:id="47"/>
            <w:bookmarkEnd w:id="48"/>
          </w:p>
        </w:tc>
        <w:tc>
          <w:tcPr>
            <w:tcW w:w="1761" w:type="pct"/>
            <w:tcBorders>
              <w:top w:val="single" w:sz="4" w:space="0" w:color="auto"/>
            </w:tcBorders>
            <w:tcMar>
              <w:top w:w="15" w:type="dxa"/>
              <w:left w:w="15" w:type="dxa"/>
              <w:bottom w:w="0" w:type="dxa"/>
              <w:right w:w="15" w:type="dxa"/>
            </w:tcMar>
            <w:vAlign w:val="bottom"/>
            <w:hideMark/>
          </w:tcPr>
          <w:p w14:paraId="2281F540" w14:textId="77777777" w:rsidR="00931F79" w:rsidRPr="00931F79" w:rsidRDefault="00931F79" w:rsidP="008605D1">
            <w:pPr>
              <w:jc w:val="center"/>
              <w:rPr>
                <w:rFonts w:ascii="Arial" w:eastAsiaTheme="majorEastAsia" w:hAnsi="Arial" w:cs="Arial"/>
                <w:color w:val="000000" w:themeColor="text1"/>
              </w:rPr>
            </w:pPr>
          </w:p>
        </w:tc>
        <w:tc>
          <w:tcPr>
            <w:tcW w:w="1478" w:type="pct"/>
            <w:tcBorders>
              <w:top w:val="single" w:sz="4" w:space="0" w:color="auto"/>
            </w:tcBorders>
            <w:tcMar>
              <w:top w:w="15" w:type="dxa"/>
              <w:left w:w="15" w:type="dxa"/>
              <w:bottom w:w="0" w:type="dxa"/>
              <w:right w:w="15" w:type="dxa"/>
            </w:tcMar>
            <w:vAlign w:val="bottom"/>
            <w:hideMark/>
          </w:tcPr>
          <w:p w14:paraId="6EAA5F94" w14:textId="77777777" w:rsidR="00931F79" w:rsidRPr="00931F79" w:rsidRDefault="00931F79" w:rsidP="008605D1">
            <w:pPr>
              <w:jc w:val="center"/>
              <w:rPr>
                <w:rFonts w:ascii="Arial" w:eastAsiaTheme="majorEastAsia" w:hAnsi="Arial" w:cs="Arial"/>
                <w:color w:val="000000" w:themeColor="text1"/>
              </w:rPr>
            </w:pPr>
          </w:p>
        </w:tc>
      </w:tr>
      <w:tr w:rsidR="00931F79" w:rsidRPr="00931F79" w14:paraId="08343A9D" w14:textId="77777777" w:rsidTr="008605D1">
        <w:trPr>
          <w:trHeight w:val="95"/>
          <w:jc w:val="center"/>
        </w:trPr>
        <w:tc>
          <w:tcPr>
            <w:tcW w:w="1761" w:type="pct"/>
            <w:tcMar>
              <w:top w:w="15" w:type="dxa"/>
              <w:left w:w="15" w:type="dxa"/>
              <w:bottom w:w="0" w:type="dxa"/>
              <w:right w:w="15" w:type="dxa"/>
            </w:tcMar>
            <w:vAlign w:val="bottom"/>
            <w:hideMark/>
          </w:tcPr>
          <w:p w14:paraId="3C1BF104" w14:textId="77777777" w:rsidR="00931F79" w:rsidRPr="00931F79" w:rsidRDefault="00931F79" w:rsidP="00931F79">
            <w:pPr>
              <w:ind w:left="270"/>
              <w:rPr>
                <w:rFonts w:ascii="Arial" w:eastAsiaTheme="majorEastAsia" w:hAnsi="Arial" w:cs="Arial"/>
                <w:color w:val="000000" w:themeColor="text1"/>
              </w:rPr>
            </w:pPr>
            <w:bookmarkStart w:id="49" w:name="_Toc180667869"/>
            <w:bookmarkStart w:id="50" w:name="_Toc180672328"/>
            <w:r w:rsidRPr="00931F79">
              <w:rPr>
                <w:rFonts w:ascii="Arial" w:eastAsiaTheme="majorEastAsia" w:hAnsi="Arial" w:cs="Arial"/>
                <w:color w:val="000000" w:themeColor="text1"/>
              </w:rPr>
              <w:t>G0</w:t>
            </w:r>
            <w:bookmarkEnd w:id="49"/>
            <w:bookmarkEnd w:id="50"/>
          </w:p>
        </w:tc>
        <w:tc>
          <w:tcPr>
            <w:tcW w:w="1761" w:type="pct"/>
            <w:tcMar>
              <w:top w:w="15" w:type="dxa"/>
              <w:left w:w="15" w:type="dxa"/>
              <w:bottom w:w="0" w:type="dxa"/>
              <w:right w:w="15" w:type="dxa"/>
            </w:tcMar>
            <w:vAlign w:val="bottom"/>
            <w:hideMark/>
          </w:tcPr>
          <w:p w14:paraId="16F9EBD7" w14:textId="77777777" w:rsidR="00931F79" w:rsidRPr="00931F79" w:rsidRDefault="00931F79" w:rsidP="008605D1">
            <w:pPr>
              <w:jc w:val="center"/>
              <w:rPr>
                <w:rFonts w:ascii="Arial" w:eastAsiaTheme="majorEastAsia" w:hAnsi="Arial" w:cs="Arial"/>
                <w:color w:val="000000" w:themeColor="text1"/>
              </w:rPr>
            </w:pPr>
            <w:bookmarkStart w:id="51" w:name="_Toc180667880"/>
            <w:bookmarkStart w:id="52" w:name="_Toc180672339"/>
            <w:r w:rsidRPr="00931F79">
              <w:rPr>
                <w:rFonts w:ascii="Arial" w:eastAsiaTheme="majorEastAsia" w:hAnsi="Arial" w:cs="Arial"/>
                <w:color w:val="000000" w:themeColor="text1"/>
              </w:rPr>
              <w:t>4.51 c</w:t>
            </w:r>
            <w:bookmarkEnd w:id="51"/>
            <w:bookmarkEnd w:id="52"/>
          </w:p>
        </w:tc>
        <w:tc>
          <w:tcPr>
            <w:tcW w:w="1478" w:type="pct"/>
            <w:tcMar>
              <w:top w:w="15" w:type="dxa"/>
              <w:left w:w="15" w:type="dxa"/>
              <w:bottom w:w="0" w:type="dxa"/>
              <w:right w:w="15" w:type="dxa"/>
            </w:tcMar>
            <w:vAlign w:val="bottom"/>
            <w:hideMark/>
          </w:tcPr>
          <w:p w14:paraId="0CD9523A" w14:textId="77777777" w:rsidR="00931F79" w:rsidRPr="00931F79" w:rsidRDefault="00931F79" w:rsidP="008605D1">
            <w:pPr>
              <w:jc w:val="center"/>
              <w:rPr>
                <w:rFonts w:ascii="Arial" w:eastAsiaTheme="majorEastAsia" w:hAnsi="Arial" w:cs="Arial"/>
                <w:color w:val="000000" w:themeColor="text1"/>
              </w:rPr>
            </w:pPr>
            <w:bookmarkStart w:id="53" w:name="_Toc180667881"/>
            <w:bookmarkStart w:id="54" w:name="_Toc180672340"/>
            <w:r w:rsidRPr="00931F79">
              <w:rPr>
                <w:rFonts w:ascii="Arial" w:eastAsiaTheme="majorEastAsia" w:hAnsi="Arial" w:cs="Arial"/>
                <w:color w:val="000000" w:themeColor="text1"/>
              </w:rPr>
              <w:t>4.53 c</w:t>
            </w:r>
            <w:bookmarkEnd w:id="53"/>
            <w:bookmarkEnd w:id="54"/>
          </w:p>
        </w:tc>
      </w:tr>
      <w:tr w:rsidR="00931F79" w:rsidRPr="00931F79" w14:paraId="34501567" w14:textId="77777777" w:rsidTr="008605D1">
        <w:trPr>
          <w:trHeight w:val="158"/>
          <w:jc w:val="center"/>
        </w:trPr>
        <w:tc>
          <w:tcPr>
            <w:tcW w:w="1761" w:type="pct"/>
            <w:tcMar>
              <w:top w:w="15" w:type="dxa"/>
              <w:left w:w="15" w:type="dxa"/>
              <w:bottom w:w="0" w:type="dxa"/>
              <w:right w:w="15" w:type="dxa"/>
            </w:tcMar>
            <w:vAlign w:val="bottom"/>
            <w:hideMark/>
          </w:tcPr>
          <w:p w14:paraId="56B94DB5" w14:textId="77777777" w:rsidR="00931F79" w:rsidRPr="00931F79" w:rsidRDefault="00931F79" w:rsidP="00931F79">
            <w:pPr>
              <w:ind w:left="270"/>
              <w:rPr>
                <w:rFonts w:ascii="Arial" w:eastAsiaTheme="majorEastAsia" w:hAnsi="Arial" w:cs="Arial"/>
                <w:color w:val="000000" w:themeColor="text1"/>
              </w:rPr>
            </w:pPr>
            <w:bookmarkStart w:id="55" w:name="_Toc180667882"/>
            <w:bookmarkStart w:id="56" w:name="_Toc180672341"/>
            <w:r w:rsidRPr="00931F79">
              <w:rPr>
                <w:rFonts w:ascii="Arial" w:eastAsiaTheme="majorEastAsia" w:hAnsi="Arial" w:cs="Arial"/>
                <w:color w:val="000000" w:themeColor="text1"/>
              </w:rPr>
              <w:t>Rice bean</w:t>
            </w:r>
            <w:bookmarkEnd w:id="55"/>
            <w:bookmarkEnd w:id="56"/>
          </w:p>
        </w:tc>
        <w:tc>
          <w:tcPr>
            <w:tcW w:w="1761" w:type="pct"/>
            <w:tcMar>
              <w:top w:w="15" w:type="dxa"/>
              <w:left w:w="15" w:type="dxa"/>
              <w:bottom w:w="0" w:type="dxa"/>
              <w:right w:w="15" w:type="dxa"/>
            </w:tcMar>
            <w:vAlign w:val="bottom"/>
            <w:hideMark/>
          </w:tcPr>
          <w:p w14:paraId="1DE70D32" w14:textId="77777777" w:rsidR="00931F79" w:rsidRPr="00931F79" w:rsidRDefault="00931F79" w:rsidP="008605D1">
            <w:pPr>
              <w:jc w:val="center"/>
              <w:rPr>
                <w:rFonts w:ascii="Arial" w:eastAsiaTheme="majorEastAsia" w:hAnsi="Arial" w:cs="Arial"/>
                <w:color w:val="000000" w:themeColor="text1"/>
              </w:rPr>
            </w:pPr>
            <w:bookmarkStart w:id="57" w:name="_Toc180667893"/>
            <w:bookmarkStart w:id="58" w:name="_Toc180672352"/>
            <w:r w:rsidRPr="00931F79">
              <w:rPr>
                <w:rFonts w:ascii="Arial" w:eastAsiaTheme="majorEastAsia" w:hAnsi="Arial" w:cs="Arial"/>
                <w:color w:val="000000" w:themeColor="text1"/>
              </w:rPr>
              <w:t xml:space="preserve">  5.05 </w:t>
            </w:r>
            <w:proofErr w:type="spellStart"/>
            <w:r w:rsidRPr="00931F79">
              <w:rPr>
                <w:rFonts w:ascii="Arial" w:eastAsiaTheme="majorEastAsia" w:hAnsi="Arial" w:cs="Arial"/>
                <w:color w:val="000000" w:themeColor="text1"/>
              </w:rPr>
              <w:t>bc</w:t>
            </w:r>
            <w:bookmarkEnd w:id="57"/>
            <w:bookmarkEnd w:id="58"/>
            <w:proofErr w:type="spellEnd"/>
          </w:p>
        </w:tc>
        <w:tc>
          <w:tcPr>
            <w:tcW w:w="1478" w:type="pct"/>
            <w:tcMar>
              <w:top w:w="15" w:type="dxa"/>
              <w:left w:w="15" w:type="dxa"/>
              <w:bottom w:w="0" w:type="dxa"/>
              <w:right w:w="15" w:type="dxa"/>
            </w:tcMar>
            <w:vAlign w:val="bottom"/>
            <w:hideMark/>
          </w:tcPr>
          <w:p w14:paraId="43F1F4FB" w14:textId="77777777" w:rsidR="00931F79" w:rsidRPr="00931F79" w:rsidRDefault="00931F79" w:rsidP="008605D1">
            <w:pPr>
              <w:jc w:val="center"/>
              <w:rPr>
                <w:rFonts w:ascii="Arial" w:eastAsiaTheme="majorEastAsia" w:hAnsi="Arial" w:cs="Arial"/>
                <w:color w:val="000000" w:themeColor="text1"/>
              </w:rPr>
            </w:pPr>
            <w:bookmarkStart w:id="59" w:name="_Toc180667894"/>
            <w:bookmarkStart w:id="60" w:name="_Toc180672353"/>
            <w:r w:rsidRPr="00931F79">
              <w:rPr>
                <w:rFonts w:ascii="Arial" w:eastAsiaTheme="majorEastAsia" w:hAnsi="Arial" w:cs="Arial"/>
                <w:color w:val="000000" w:themeColor="text1"/>
              </w:rPr>
              <w:t>5.61 b</w:t>
            </w:r>
            <w:bookmarkEnd w:id="59"/>
            <w:bookmarkEnd w:id="60"/>
          </w:p>
        </w:tc>
      </w:tr>
      <w:tr w:rsidR="00931F79" w:rsidRPr="00931F79" w14:paraId="13406FAA" w14:textId="77777777" w:rsidTr="008605D1">
        <w:trPr>
          <w:trHeight w:val="221"/>
          <w:jc w:val="center"/>
        </w:trPr>
        <w:tc>
          <w:tcPr>
            <w:tcW w:w="1761" w:type="pct"/>
            <w:tcMar>
              <w:top w:w="15" w:type="dxa"/>
              <w:left w:w="15" w:type="dxa"/>
              <w:bottom w:w="0" w:type="dxa"/>
              <w:right w:w="15" w:type="dxa"/>
            </w:tcMar>
            <w:vAlign w:val="bottom"/>
            <w:hideMark/>
          </w:tcPr>
          <w:p w14:paraId="7F51F08C" w14:textId="77777777" w:rsidR="00931F79" w:rsidRPr="00931F79" w:rsidRDefault="00931F79" w:rsidP="00931F79">
            <w:pPr>
              <w:ind w:left="270"/>
              <w:rPr>
                <w:rFonts w:ascii="Arial" w:eastAsiaTheme="majorEastAsia" w:hAnsi="Arial" w:cs="Arial"/>
                <w:color w:val="000000" w:themeColor="text1"/>
              </w:rPr>
            </w:pPr>
            <w:bookmarkStart w:id="61" w:name="_Toc180667895"/>
            <w:bookmarkStart w:id="62" w:name="_Toc180672354"/>
            <w:r w:rsidRPr="00931F79">
              <w:rPr>
                <w:rFonts w:ascii="Arial" w:eastAsiaTheme="majorEastAsia" w:hAnsi="Arial" w:cs="Arial"/>
                <w:color w:val="000000" w:themeColor="text1"/>
              </w:rPr>
              <w:t>Sunn hemp</w:t>
            </w:r>
            <w:bookmarkEnd w:id="61"/>
            <w:bookmarkEnd w:id="62"/>
          </w:p>
        </w:tc>
        <w:tc>
          <w:tcPr>
            <w:tcW w:w="1761" w:type="pct"/>
            <w:tcMar>
              <w:top w:w="15" w:type="dxa"/>
              <w:left w:w="15" w:type="dxa"/>
              <w:bottom w:w="0" w:type="dxa"/>
              <w:right w:w="15" w:type="dxa"/>
            </w:tcMar>
            <w:vAlign w:val="bottom"/>
            <w:hideMark/>
          </w:tcPr>
          <w:p w14:paraId="05862CCA" w14:textId="77777777" w:rsidR="00931F79" w:rsidRPr="00931F79" w:rsidRDefault="00931F79" w:rsidP="008605D1">
            <w:pPr>
              <w:jc w:val="center"/>
              <w:rPr>
                <w:rFonts w:ascii="Arial" w:eastAsiaTheme="majorEastAsia" w:hAnsi="Arial" w:cs="Arial"/>
                <w:color w:val="000000" w:themeColor="text1"/>
              </w:rPr>
            </w:pPr>
            <w:bookmarkStart w:id="63" w:name="_Toc180667906"/>
            <w:bookmarkStart w:id="64" w:name="_Toc180672365"/>
            <w:r w:rsidRPr="00931F79">
              <w:rPr>
                <w:rFonts w:ascii="Arial" w:eastAsiaTheme="majorEastAsia" w:hAnsi="Arial" w:cs="Arial"/>
                <w:color w:val="000000" w:themeColor="text1"/>
              </w:rPr>
              <w:t>5.70 a</w:t>
            </w:r>
            <w:bookmarkEnd w:id="63"/>
            <w:bookmarkEnd w:id="64"/>
          </w:p>
        </w:tc>
        <w:tc>
          <w:tcPr>
            <w:tcW w:w="1478" w:type="pct"/>
            <w:tcMar>
              <w:top w:w="15" w:type="dxa"/>
              <w:left w:w="15" w:type="dxa"/>
              <w:bottom w:w="0" w:type="dxa"/>
              <w:right w:w="15" w:type="dxa"/>
            </w:tcMar>
            <w:vAlign w:val="bottom"/>
            <w:hideMark/>
          </w:tcPr>
          <w:p w14:paraId="0770F3AA" w14:textId="77777777" w:rsidR="00931F79" w:rsidRPr="00931F79" w:rsidRDefault="00931F79" w:rsidP="008605D1">
            <w:pPr>
              <w:jc w:val="center"/>
              <w:rPr>
                <w:rFonts w:ascii="Arial" w:eastAsiaTheme="majorEastAsia" w:hAnsi="Arial" w:cs="Arial"/>
                <w:color w:val="000000" w:themeColor="text1"/>
              </w:rPr>
            </w:pPr>
            <w:bookmarkStart w:id="65" w:name="_Toc180667907"/>
            <w:bookmarkStart w:id="66" w:name="_Toc180672366"/>
            <w:r w:rsidRPr="00931F79">
              <w:rPr>
                <w:rFonts w:ascii="Arial" w:eastAsiaTheme="majorEastAsia" w:hAnsi="Arial" w:cs="Arial"/>
                <w:color w:val="000000" w:themeColor="text1"/>
              </w:rPr>
              <w:t>6.31 a</w:t>
            </w:r>
            <w:bookmarkEnd w:id="65"/>
            <w:bookmarkEnd w:id="66"/>
          </w:p>
        </w:tc>
      </w:tr>
      <w:tr w:rsidR="00931F79" w:rsidRPr="00931F79" w14:paraId="77E4062C" w14:textId="77777777" w:rsidTr="008605D1">
        <w:trPr>
          <w:trHeight w:val="122"/>
          <w:jc w:val="center"/>
        </w:trPr>
        <w:tc>
          <w:tcPr>
            <w:tcW w:w="1761" w:type="pct"/>
            <w:tcBorders>
              <w:bottom w:val="single" w:sz="4" w:space="0" w:color="auto"/>
            </w:tcBorders>
            <w:tcMar>
              <w:top w:w="15" w:type="dxa"/>
              <w:left w:w="15" w:type="dxa"/>
              <w:bottom w:w="0" w:type="dxa"/>
              <w:right w:w="15" w:type="dxa"/>
            </w:tcMar>
            <w:vAlign w:val="bottom"/>
            <w:hideMark/>
          </w:tcPr>
          <w:p w14:paraId="2A089B5C" w14:textId="77777777" w:rsidR="00931F79" w:rsidRPr="00931F79" w:rsidRDefault="00931F79" w:rsidP="00931F79">
            <w:pPr>
              <w:ind w:left="270"/>
              <w:rPr>
                <w:rFonts w:ascii="Arial" w:eastAsiaTheme="majorEastAsia" w:hAnsi="Arial" w:cs="Arial"/>
                <w:color w:val="000000" w:themeColor="text1"/>
              </w:rPr>
            </w:pPr>
            <w:bookmarkStart w:id="67" w:name="_Toc180667908"/>
            <w:bookmarkStart w:id="68" w:name="_Toc180672367"/>
            <w:proofErr w:type="spellStart"/>
            <w:r w:rsidRPr="00931F79">
              <w:rPr>
                <w:rFonts w:ascii="Arial" w:eastAsiaTheme="majorEastAsia" w:hAnsi="Arial" w:cs="Arial"/>
                <w:color w:val="000000" w:themeColor="text1"/>
              </w:rPr>
              <w:t>Dhaincha</w:t>
            </w:r>
            <w:bookmarkEnd w:id="67"/>
            <w:bookmarkEnd w:id="68"/>
            <w:proofErr w:type="spellEnd"/>
            <w:r w:rsidRPr="00931F79">
              <w:rPr>
                <w:rFonts w:ascii="Arial" w:eastAsiaTheme="majorEastAsia" w:hAnsi="Arial" w:cs="Arial"/>
                <w:color w:val="000000" w:themeColor="text1"/>
              </w:rPr>
              <w:t xml:space="preserve"> </w:t>
            </w:r>
          </w:p>
        </w:tc>
        <w:tc>
          <w:tcPr>
            <w:tcW w:w="1761" w:type="pct"/>
            <w:tcBorders>
              <w:bottom w:val="single" w:sz="4" w:space="0" w:color="auto"/>
            </w:tcBorders>
            <w:tcMar>
              <w:top w:w="15" w:type="dxa"/>
              <w:left w:w="15" w:type="dxa"/>
              <w:bottom w:w="0" w:type="dxa"/>
              <w:right w:w="15" w:type="dxa"/>
            </w:tcMar>
            <w:vAlign w:val="bottom"/>
            <w:hideMark/>
          </w:tcPr>
          <w:p w14:paraId="273CE0A8" w14:textId="77777777" w:rsidR="00931F79" w:rsidRPr="00931F79" w:rsidRDefault="00931F79" w:rsidP="008605D1">
            <w:pPr>
              <w:jc w:val="center"/>
              <w:rPr>
                <w:rFonts w:ascii="Arial" w:eastAsiaTheme="majorEastAsia" w:hAnsi="Arial" w:cs="Arial"/>
                <w:color w:val="000000" w:themeColor="text1"/>
              </w:rPr>
            </w:pPr>
            <w:bookmarkStart w:id="69" w:name="_Toc180667919"/>
            <w:bookmarkStart w:id="70" w:name="_Toc180672378"/>
            <w:r w:rsidRPr="00931F79">
              <w:rPr>
                <w:rFonts w:ascii="Arial" w:eastAsiaTheme="majorEastAsia" w:hAnsi="Arial" w:cs="Arial"/>
                <w:color w:val="000000" w:themeColor="text1"/>
              </w:rPr>
              <w:t xml:space="preserve">  5.13 ab</w:t>
            </w:r>
            <w:bookmarkEnd w:id="69"/>
            <w:bookmarkEnd w:id="70"/>
          </w:p>
        </w:tc>
        <w:tc>
          <w:tcPr>
            <w:tcW w:w="1478" w:type="pct"/>
            <w:tcBorders>
              <w:bottom w:val="single" w:sz="4" w:space="0" w:color="auto"/>
            </w:tcBorders>
            <w:tcMar>
              <w:top w:w="15" w:type="dxa"/>
              <w:left w:w="15" w:type="dxa"/>
              <w:bottom w:w="0" w:type="dxa"/>
              <w:right w:w="15" w:type="dxa"/>
            </w:tcMar>
            <w:vAlign w:val="bottom"/>
            <w:hideMark/>
          </w:tcPr>
          <w:p w14:paraId="65834467" w14:textId="77777777" w:rsidR="00931F79" w:rsidRPr="00931F79" w:rsidRDefault="00931F79" w:rsidP="008605D1">
            <w:pPr>
              <w:jc w:val="center"/>
              <w:rPr>
                <w:rFonts w:ascii="Arial" w:eastAsiaTheme="majorEastAsia" w:hAnsi="Arial" w:cs="Arial"/>
                <w:color w:val="000000" w:themeColor="text1"/>
              </w:rPr>
            </w:pPr>
            <w:bookmarkStart w:id="71" w:name="_Toc180667920"/>
            <w:bookmarkStart w:id="72" w:name="_Toc180672379"/>
            <w:r w:rsidRPr="00931F79">
              <w:rPr>
                <w:rFonts w:ascii="Arial" w:eastAsiaTheme="majorEastAsia" w:hAnsi="Arial" w:cs="Arial"/>
                <w:color w:val="000000" w:themeColor="text1"/>
              </w:rPr>
              <w:t>5.56 b</w:t>
            </w:r>
            <w:bookmarkEnd w:id="71"/>
            <w:bookmarkEnd w:id="72"/>
          </w:p>
        </w:tc>
      </w:tr>
      <w:tr w:rsidR="00931F79" w:rsidRPr="00931F79" w14:paraId="38A63D63" w14:textId="77777777" w:rsidTr="008605D1">
        <w:trPr>
          <w:trHeight w:val="255"/>
          <w:jc w:val="center"/>
        </w:trPr>
        <w:tc>
          <w:tcPr>
            <w:tcW w:w="1761" w:type="pct"/>
            <w:tcBorders>
              <w:top w:val="single" w:sz="4" w:space="0" w:color="auto"/>
              <w:bottom w:val="single" w:sz="4" w:space="0" w:color="auto"/>
            </w:tcBorders>
            <w:tcMar>
              <w:top w:w="15" w:type="dxa"/>
              <w:left w:w="15" w:type="dxa"/>
              <w:bottom w:w="0" w:type="dxa"/>
              <w:right w:w="15" w:type="dxa"/>
            </w:tcMar>
            <w:vAlign w:val="bottom"/>
            <w:hideMark/>
          </w:tcPr>
          <w:p w14:paraId="01CDAF43" w14:textId="77777777" w:rsidR="00931F79" w:rsidRPr="00931F79" w:rsidRDefault="00931F79" w:rsidP="008605D1">
            <w:pPr>
              <w:rPr>
                <w:rFonts w:ascii="Arial" w:eastAsiaTheme="majorEastAsia" w:hAnsi="Arial" w:cs="Arial"/>
                <w:color w:val="000000" w:themeColor="text1"/>
              </w:rPr>
            </w:pPr>
            <w:bookmarkStart w:id="73" w:name="_Toc180667921"/>
            <w:bookmarkStart w:id="74" w:name="_Toc180672380"/>
            <w:r w:rsidRPr="00931F79">
              <w:rPr>
                <w:rFonts w:ascii="Arial" w:eastAsiaTheme="majorEastAsia" w:hAnsi="Arial" w:cs="Arial"/>
                <w:color w:val="000000" w:themeColor="text1"/>
              </w:rPr>
              <w:t>LSD</w:t>
            </w:r>
            <w:r w:rsidRPr="00931F79">
              <w:rPr>
                <w:rFonts w:ascii="Arial" w:eastAsiaTheme="majorEastAsia" w:hAnsi="Arial" w:cs="Arial"/>
                <w:color w:val="000000" w:themeColor="text1"/>
                <w:vertAlign w:val="subscript"/>
              </w:rPr>
              <w:t>0.05</w:t>
            </w:r>
            <w:bookmarkEnd w:id="73"/>
            <w:bookmarkEnd w:id="74"/>
          </w:p>
        </w:tc>
        <w:tc>
          <w:tcPr>
            <w:tcW w:w="1761" w:type="pct"/>
            <w:tcBorders>
              <w:top w:val="single" w:sz="4" w:space="0" w:color="auto"/>
              <w:bottom w:val="single" w:sz="4" w:space="0" w:color="auto"/>
            </w:tcBorders>
            <w:tcMar>
              <w:top w:w="15" w:type="dxa"/>
              <w:left w:w="15" w:type="dxa"/>
              <w:bottom w:w="0" w:type="dxa"/>
              <w:right w:w="15" w:type="dxa"/>
            </w:tcMar>
            <w:vAlign w:val="bottom"/>
            <w:hideMark/>
          </w:tcPr>
          <w:p w14:paraId="4AC958C2" w14:textId="77777777" w:rsidR="00931F79" w:rsidRPr="00931F79" w:rsidRDefault="00931F79" w:rsidP="008605D1">
            <w:pPr>
              <w:jc w:val="center"/>
              <w:rPr>
                <w:rFonts w:ascii="Arial" w:eastAsiaTheme="majorEastAsia" w:hAnsi="Arial" w:cs="Arial"/>
                <w:color w:val="000000" w:themeColor="text1"/>
              </w:rPr>
            </w:pPr>
            <w:bookmarkStart w:id="75" w:name="_Toc180667932"/>
            <w:bookmarkStart w:id="76" w:name="_Toc180672391"/>
            <w:r w:rsidRPr="00931F79">
              <w:rPr>
                <w:rFonts w:ascii="Arial" w:eastAsiaTheme="majorEastAsia" w:hAnsi="Arial" w:cs="Arial"/>
                <w:color w:val="000000" w:themeColor="text1"/>
              </w:rPr>
              <w:t>0.61</w:t>
            </w:r>
            <w:bookmarkEnd w:id="75"/>
            <w:bookmarkEnd w:id="76"/>
          </w:p>
        </w:tc>
        <w:tc>
          <w:tcPr>
            <w:tcW w:w="1478" w:type="pct"/>
            <w:tcBorders>
              <w:top w:val="single" w:sz="4" w:space="0" w:color="auto"/>
              <w:bottom w:val="single" w:sz="4" w:space="0" w:color="auto"/>
            </w:tcBorders>
            <w:tcMar>
              <w:top w:w="15" w:type="dxa"/>
              <w:left w:w="15" w:type="dxa"/>
              <w:bottom w:w="0" w:type="dxa"/>
              <w:right w:w="15" w:type="dxa"/>
            </w:tcMar>
            <w:vAlign w:val="bottom"/>
            <w:hideMark/>
          </w:tcPr>
          <w:p w14:paraId="295EE5E5" w14:textId="77777777" w:rsidR="00931F79" w:rsidRPr="00931F79" w:rsidRDefault="00931F79" w:rsidP="008605D1">
            <w:pPr>
              <w:jc w:val="center"/>
              <w:rPr>
                <w:rFonts w:ascii="Arial" w:eastAsiaTheme="majorEastAsia" w:hAnsi="Arial" w:cs="Arial"/>
                <w:color w:val="000000" w:themeColor="text1"/>
              </w:rPr>
            </w:pPr>
            <w:bookmarkStart w:id="77" w:name="_Toc180667933"/>
            <w:bookmarkStart w:id="78" w:name="_Toc180672392"/>
            <w:r w:rsidRPr="00931F79">
              <w:rPr>
                <w:rFonts w:ascii="Arial" w:eastAsiaTheme="majorEastAsia" w:hAnsi="Arial" w:cs="Arial"/>
                <w:color w:val="000000" w:themeColor="text1"/>
              </w:rPr>
              <w:t>0.22</w:t>
            </w:r>
            <w:bookmarkEnd w:id="77"/>
            <w:bookmarkEnd w:id="78"/>
          </w:p>
        </w:tc>
      </w:tr>
      <w:tr w:rsidR="00931F79" w:rsidRPr="00931F79" w14:paraId="7D34934E" w14:textId="77777777" w:rsidTr="008605D1">
        <w:trPr>
          <w:trHeight w:val="48"/>
          <w:jc w:val="center"/>
        </w:trPr>
        <w:tc>
          <w:tcPr>
            <w:tcW w:w="1761" w:type="pct"/>
            <w:tcBorders>
              <w:top w:val="single" w:sz="4" w:space="0" w:color="auto"/>
            </w:tcBorders>
            <w:tcMar>
              <w:top w:w="15" w:type="dxa"/>
              <w:left w:w="15" w:type="dxa"/>
              <w:bottom w:w="0" w:type="dxa"/>
              <w:right w:w="15" w:type="dxa"/>
            </w:tcMar>
            <w:vAlign w:val="bottom"/>
            <w:hideMark/>
          </w:tcPr>
          <w:p w14:paraId="5C8DC579" w14:textId="77777777" w:rsidR="00931F79" w:rsidRPr="00931F79" w:rsidRDefault="00931F79" w:rsidP="008605D1">
            <w:pPr>
              <w:rPr>
                <w:rFonts w:ascii="Arial" w:eastAsiaTheme="majorEastAsia" w:hAnsi="Arial" w:cs="Arial"/>
                <w:color w:val="000000" w:themeColor="text1"/>
              </w:rPr>
            </w:pPr>
            <w:bookmarkStart w:id="79" w:name="_Toc180667934"/>
            <w:bookmarkStart w:id="80" w:name="_Toc180672393"/>
            <w:proofErr w:type="spellStart"/>
            <w:r w:rsidRPr="00931F79">
              <w:rPr>
                <w:rFonts w:ascii="Arial" w:eastAsiaTheme="majorEastAsia" w:hAnsi="Arial" w:cs="Arial"/>
                <w:color w:val="000000" w:themeColor="text1"/>
              </w:rPr>
              <w:t>Pr</w:t>
            </w:r>
            <w:proofErr w:type="spellEnd"/>
            <w:r w:rsidRPr="00931F79">
              <w:rPr>
                <w:rFonts w:ascii="Arial" w:eastAsiaTheme="majorEastAsia" w:hAnsi="Arial" w:cs="Arial"/>
                <w:color w:val="000000" w:themeColor="text1"/>
              </w:rPr>
              <w:t>&gt;F</w:t>
            </w:r>
            <w:bookmarkEnd w:id="79"/>
            <w:bookmarkEnd w:id="80"/>
          </w:p>
        </w:tc>
        <w:tc>
          <w:tcPr>
            <w:tcW w:w="1761" w:type="pct"/>
            <w:tcBorders>
              <w:top w:val="single" w:sz="4" w:space="0" w:color="auto"/>
            </w:tcBorders>
            <w:tcMar>
              <w:top w:w="15" w:type="dxa"/>
              <w:left w:w="15" w:type="dxa"/>
              <w:bottom w:w="0" w:type="dxa"/>
              <w:right w:w="15" w:type="dxa"/>
            </w:tcMar>
            <w:vAlign w:val="bottom"/>
            <w:hideMark/>
          </w:tcPr>
          <w:p w14:paraId="45DD89E0" w14:textId="77777777" w:rsidR="00931F79" w:rsidRPr="00931F79" w:rsidRDefault="00931F79" w:rsidP="008605D1">
            <w:pPr>
              <w:jc w:val="center"/>
              <w:rPr>
                <w:rFonts w:ascii="Arial" w:eastAsiaTheme="majorEastAsia" w:hAnsi="Arial" w:cs="Arial"/>
                <w:color w:val="000000" w:themeColor="text1"/>
              </w:rPr>
            </w:pPr>
          </w:p>
        </w:tc>
        <w:tc>
          <w:tcPr>
            <w:tcW w:w="1478" w:type="pct"/>
            <w:tcBorders>
              <w:top w:val="single" w:sz="4" w:space="0" w:color="auto"/>
            </w:tcBorders>
            <w:tcMar>
              <w:top w:w="15" w:type="dxa"/>
              <w:left w:w="15" w:type="dxa"/>
              <w:bottom w:w="0" w:type="dxa"/>
              <w:right w:w="15" w:type="dxa"/>
            </w:tcMar>
            <w:vAlign w:val="bottom"/>
            <w:hideMark/>
          </w:tcPr>
          <w:p w14:paraId="5EFF24D3" w14:textId="77777777" w:rsidR="00931F79" w:rsidRPr="00931F79" w:rsidRDefault="00931F79" w:rsidP="008605D1">
            <w:pPr>
              <w:jc w:val="center"/>
              <w:rPr>
                <w:rFonts w:ascii="Arial" w:eastAsiaTheme="majorEastAsia" w:hAnsi="Arial" w:cs="Arial"/>
                <w:color w:val="000000" w:themeColor="text1"/>
              </w:rPr>
            </w:pPr>
          </w:p>
        </w:tc>
      </w:tr>
      <w:tr w:rsidR="00931F79" w:rsidRPr="00931F79" w14:paraId="64F4AC08" w14:textId="77777777" w:rsidTr="008605D1">
        <w:trPr>
          <w:trHeight w:val="149"/>
          <w:jc w:val="center"/>
        </w:trPr>
        <w:tc>
          <w:tcPr>
            <w:tcW w:w="1761" w:type="pct"/>
            <w:tcMar>
              <w:top w:w="15" w:type="dxa"/>
              <w:left w:w="15" w:type="dxa"/>
              <w:bottom w:w="0" w:type="dxa"/>
              <w:right w:w="15" w:type="dxa"/>
            </w:tcMar>
            <w:hideMark/>
          </w:tcPr>
          <w:p w14:paraId="650423AD" w14:textId="77777777" w:rsidR="00931F79" w:rsidRPr="00931F79" w:rsidRDefault="00931F79" w:rsidP="00B11EC2">
            <w:pPr>
              <w:ind w:left="270"/>
              <w:rPr>
                <w:rFonts w:ascii="Arial" w:eastAsiaTheme="majorEastAsia" w:hAnsi="Arial" w:cs="Arial"/>
                <w:color w:val="000000" w:themeColor="text1"/>
              </w:rPr>
            </w:pPr>
            <w:bookmarkStart w:id="81" w:name="_Toc180667935"/>
            <w:bookmarkStart w:id="82" w:name="_Toc180672394"/>
            <w:r w:rsidRPr="00931F79">
              <w:rPr>
                <w:rFonts w:ascii="Arial" w:eastAsiaTheme="majorEastAsia" w:hAnsi="Arial" w:cs="Arial"/>
                <w:color w:val="000000" w:themeColor="text1"/>
              </w:rPr>
              <w:t>N (N)</w:t>
            </w:r>
            <w:bookmarkEnd w:id="81"/>
            <w:bookmarkEnd w:id="82"/>
          </w:p>
        </w:tc>
        <w:tc>
          <w:tcPr>
            <w:tcW w:w="1761" w:type="pct"/>
            <w:tcMar>
              <w:top w:w="15" w:type="dxa"/>
              <w:left w:w="15" w:type="dxa"/>
              <w:bottom w:w="0" w:type="dxa"/>
              <w:right w:w="15" w:type="dxa"/>
            </w:tcMar>
            <w:hideMark/>
          </w:tcPr>
          <w:p w14:paraId="6AD985ED" w14:textId="77777777" w:rsidR="00931F79" w:rsidRPr="00931F79" w:rsidRDefault="00931F79" w:rsidP="008605D1">
            <w:pPr>
              <w:jc w:val="center"/>
              <w:rPr>
                <w:rFonts w:ascii="Arial" w:eastAsiaTheme="majorEastAsia" w:hAnsi="Arial" w:cs="Arial"/>
                <w:color w:val="000000" w:themeColor="text1"/>
              </w:rPr>
            </w:pPr>
            <w:bookmarkStart w:id="83" w:name="_Toc180667946"/>
            <w:bookmarkStart w:id="84" w:name="_Toc180672405"/>
            <w:r w:rsidRPr="00931F79">
              <w:rPr>
                <w:rFonts w:ascii="Arial" w:eastAsiaTheme="majorEastAsia" w:hAnsi="Arial" w:cs="Arial"/>
                <w:color w:val="000000" w:themeColor="text1"/>
              </w:rPr>
              <w:t>**</w:t>
            </w:r>
            <w:bookmarkEnd w:id="83"/>
            <w:bookmarkEnd w:id="84"/>
          </w:p>
        </w:tc>
        <w:tc>
          <w:tcPr>
            <w:tcW w:w="1478" w:type="pct"/>
            <w:tcMar>
              <w:top w:w="15" w:type="dxa"/>
              <w:left w:w="15" w:type="dxa"/>
              <w:bottom w:w="0" w:type="dxa"/>
              <w:right w:w="15" w:type="dxa"/>
            </w:tcMar>
            <w:hideMark/>
          </w:tcPr>
          <w:p w14:paraId="35F3CC62" w14:textId="77777777" w:rsidR="00931F79" w:rsidRPr="00931F79" w:rsidRDefault="00931F79" w:rsidP="008605D1">
            <w:pPr>
              <w:jc w:val="center"/>
              <w:rPr>
                <w:rFonts w:ascii="Arial" w:eastAsiaTheme="majorEastAsia" w:hAnsi="Arial" w:cs="Arial"/>
                <w:color w:val="000000" w:themeColor="text1"/>
              </w:rPr>
            </w:pPr>
            <w:bookmarkStart w:id="85" w:name="_Toc180667947"/>
            <w:bookmarkStart w:id="86" w:name="_Toc180672406"/>
            <w:r w:rsidRPr="00931F79">
              <w:rPr>
                <w:rFonts w:ascii="Arial" w:eastAsiaTheme="majorEastAsia" w:hAnsi="Arial" w:cs="Arial"/>
                <w:color w:val="000000" w:themeColor="text1"/>
              </w:rPr>
              <w:t>**</w:t>
            </w:r>
            <w:bookmarkEnd w:id="85"/>
            <w:bookmarkEnd w:id="86"/>
          </w:p>
        </w:tc>
      </w:tr>
      <w:tr w:rsidR="00931F79" w:rsidRPr="00931F79" w14:paraId="4089DF6C" w14:textId="77777777" w:rsidTr="008605D1">
        <w:trPr>
          <w:trHeight w:val="185"/>
          <w:jc w:val="center"/>
        </w:trPr>
        <w:tc>
          <w:tcPr>
            <w:tcW w:w="1761" w:type="pct"/>
            <w:tcMar>
              <w:top w:w="15" w:type="dxa"/>
              <w:left w:w="15" w:type="dxa"/>
              <w:bottom w:w="0" w:type="dxa"/>
              <w:right w:w="15" w:type="dxa"/>
            </w:tcMar>
            <w:hideMark/>
          </w:tcPr>
          <w:p w14:paraId="1978A658" w14:textId="77777777" w:rsidR="00931F79" w:rsidRPr="00931F79" w:rsidRDefault="00931F79" w:rsidP="00B11EC2">
            <w:pPr>
              <w:ind w:left="270"/>
              <w:rPr>
                <w:rFonts w:ascii="Arial" w:eastAsiaTheme="majorEastAsia" w:hAnsi="Arial" w:cs="Arial"/>
                <w:color w:val="000000" w:themeColor="text1"/>
              </w:rPr>
            </w:pPr>
            <w:bookmarkStart w:id="87" w:name="_Toc180667948"/>
            <w:bookmarkStart w:id="88" w:name="_Toc180672407"/>
            <w:r w:rsidRPr="00931F79">
              <w:rPr>
                <w:rFonts w:ascii="Arial" w:eastAsiaTheme="majorEastAsia" w:hAnsi="Arial" w:cs="Arial"/>
                <w:color w:val="000000" w:themeColor="text1"/>
              </w:rPr>
              <w:t>Green manure (GM)</w:t>
            </w:r>
            <w:bookmarkEnd w:id="87"/>
            <w:bookmarkEnd w:id="88"/>
          </w:p>
        </w:tc>
        <w:tc>
          <w:tcPr>
            <w:tcW w:w="1761" w:type="pct"/>
            <w:tcMar>
              <w:top w:w="15" w:type="dxa"/>
              <w:left w:w="15" w:type="dxa"/>
              <w:bottom w:w="0" w:type="dxa"/>
              <w:right w:w="15" w:type="dxa"/>
            </w:tcMar>
            <w:hideMark/>
          </w:tcPr>
          <w:p w14:paraId="449245FA" w14:textId="77777777" w:rsidR="00931F79" w:rsidRPr="00931F79" w:rsidRDefault="00931F79" w:rsidP="008605D1">
            <w:pPr>
              <w:jc w:val="center"/>
              <w:rPr>
                <w:rFonts w:ascii="Arial" w:eastAsiaTheme="majorEastAsia" w:hAnsi="Arial" w:cs="Arial"/>
                <w:color w:val="000000" w:themeColor="text1"/>
              </w:rPr>
            </w:pPr>
            <w:bookmarkStart w:id="89" w:name="_Toc180667959"/>
            <w:bookmarkStart w:id="90" w:name="_Toc180672418"/>
            <w:r w:rsidRPr="00931F79">
              <w:rPr>
                <w:rFonts w:ascii="Arial" w:eastAsiaTheme="majorEastAsia" w:hAnsi="Arial" w:cs="Arial"/>
                <w:color w:val="000000" w:themeColor="text1"/>
              </w:rPr>
              <w:t>**</w:t>
            </w:r>
            <w:bookmarkEnd w:id="89"/>
            <w:bookmarkEnd w:id="90"/>
          </w:p>
        </w:tc>
        <w:tc>
          <w:tcPr>
            <w:tcW w:w="1478" w:type="pct"/>
            <w:tcMar>
              <w:top w:w="15" w:type="dxa"/>
              <w:left w:w="15" w:type="dxa"/>
              <w:bottom w:w="0" w:type="dxa"/>
              <w:right w:w="15" w:type="dxa"/>
            </w:tcMar>
            <w:hideMark/>
          </w:tcPr>
          <w:p w14:paraId="3A9350A7" w14:textId="77777777" w:rsidR="00931F79" w:rsidRPr="00931F79" w:rsidRDefault="00931F79" w:rsidP="008605D1">
            <w:pPr>
              <w:jc w:val="center"/>
              <w:rPr>
                <w:rFonts w:ascii="Arial" w:eastAsiaTheme="majorEastAsia" w:hAnsi="Arial" w:cs="Arial"/>
                <w:color w:val="000000" w:themeColor="text1"/>
              </w:rPr>
            </w:pPr>
            <w:bookmarkStart w:id="91" w:name="_Toc180667960"/>
            <w:bookmarkStart w:id="92" w:name="_Toc180672419"/>
            <w:r w:rsidRPr="00931F79">
              <w:rPr>
                <w:rFonts w:ascii="Arial" w:eastAsiaTheme="majorEastAsia" w:hAnsi="Arial" w:cs="Arial"/>
                <w:color w:val="000000" w:themeColor="text1"/>
              </w:rPr>
              <w:t>**</w:t>
            </w:r>
            <w:bookmarkEnd w:id="91"/>
            <w:bookmarkEnd w:id="92"/>
          </w:p>
        </w:tc>
      </w:tr>
      <w:tr w:rsidR="00931F79" w:rsidRPr="00931F79" w14:paraId="6AB626B3" w14:textId="77777777" w:rsidTr="008605D1">
        <w:trPr>
          <w:trHeight w:val="248"/>
          <w:jc w:val="center"/>
        </w:trPr>
        <w:tc>
          <w:tcPr>
            <w:tcW w:w="1761" w:type="pct"/>
            <w:tcMar>
              <w:top w:w="15" w:type="dxa"/>
              <w:left w:w="15" w:type="dxa"/>
              <w:bottom w:w="0" w:type="dxa"/>
              <w:right w:w="15" w:type="dxa"/>
            </w:tcMar>
            <w:hideMark/>
          </w:tcPr>
          <w:p w14:paraId="044D1A63" w14:textId="77777777" w:rsidR="00931F79" w:rsidRPr="00931F79" w:rsidRDefault="00931F79" w:rsidP="00B11EC2">
            <w:pPr>
              <w:ind w:left="270"/>
              <w:rPr>
                <w:rFonts w:ascii="Arial" w:eastAsiaTheme="majorEastAsia" w:hAnsi="Arial" w:cs="Arial"/>
                <w:color w:val="000000" w:themeColor="text1"/>
              </w:rPr>
            </w:pPr>
            <w:bookmarkStart w:id="93" w:name="_Toc180667961"/>
            <w:bookmarkStart w:id="94" w:name="_Toc180672420"/>
            <w:r w:rsidRPr="00931F79">
              <w:rPr>
                <w:rFonts w:ascii="Arial" w:eastAsiaTheme="majorEastAsia" w:hAnsi="Arial" w:cs="Arial"/>
                <w:color w:val="000000" w:themeColor="text1"/>
              </w:rPr>
              <w:t>N × GM</w:t>
            </w:r>
            <w:bookmarkEnd w:id="93"/>
            <w:bookmarkEnd w:id="94"/>
          </w:p>
        </w:tc>
        <w:tc>
          <w:tcPr>
            <w:tcW w:w="1761" w:type="pct"/>
            <w:tcMar>
              <w:top w:w="15" w:type="dxa"/>
              <w:left w:w="15" w:type="dxa"/>
              <w:bottom w:w="0" w:type="dxa"/>
              <w:right w:w="15" w:type="dxa"/>
            </w:tcMar>
            <w:hideMark/>
          </w:tcPr>
          <w:p w14:paraId="1CFA0DE0" w14:textId="77777777" w:rsidR="00931F79" w:rsidRPr="00931F79" w:rsidRDefault="00931F79" w:rsidP="008605D1">
            <w:pPr>
              <w:jc w:val="center"/>
              <w:rPr>
                <w:rFonts w:ascii="Arial" w:eastAsiaTheme="majorEastAsia" w:hAnsi="Arial" w:cs="Arial"/>
                <w:color w:val="000000" w:themeColor="text1"/>
              </w:rPr>
            </w:pPr>
            <w:bookmarkStart w:id="95" w:name="_Toc180667972"/>
            <w:bookmarkStart w:id="96" w:name="_Toc180672431"/>
            <w:r w:rsidRPr="00931F79">
              <w:rPr>
                <w:rFonts w:ascii="Arial" w:eastAsiaTheme="majorEastAsia" w:hAnsi="Arial" w:cs="Arial"/>
                <w:color w:val="000000" w:themeColor="text1"/>
              </w:rPr>
              <w:t>ns</w:t>
            </w:r>
            <w:bookmarkEnd w:id="95"/>
            <w:bookmarkEnd w:id="96"/>
          </w:p>
        </w:tc>
        <w:tc>
          <w:tcPr>
            <w:tcW w:w="1478" w:type="pct"/>
            <w:tcMar>
              <w:top w:w="15" w:type="dxa"/>
              <w:left w:w="15" w:type="dxa"/>
              <w:bottom w:w="0" w:type="dxa"/>
              <w:right w:w="15" w:type="dxa"/>
            </w:tcMar>
            <w:hideMark/>
          </w:tcPr>
          <w:p w14:paraId="3FF30FE9" w14:textId="77777777" w:rsidR="00931F79" w:rsidRPr="00931F79" w:rsidRDefault="00931F79" w:rsidP="008605D1">
            <w:pPr>
              <w:jc w:val="center"/>
              <w:rPr>
                <w:rFonts w:ascii="Arial" w:eastAsiaTheme="majorEastAsia" w:hAnsi="Arial" w:cs="Arial"/>
                <w:color w:val="000000" w:themeColor="text1"/>
              </w:rPr>
            </w:pPr>
            <w:bookmarkStart w:id="97" w:name="_Toc180667973"/>
            <w:bookmarkStart w:id="98" w:name="_Toc180672432"/>
            <w:r w:rsidRPr="00931F79">
              <w:rPr>
                <w:rFonts w:ascii="Arial" w:eastAsiaTheme="majorEastAsia" w:hAnsi="Arial" w:cs="Arial"/>
                <w:color w:val="000000" w:themeColor="text1"/>
              </w:rPr>
              <w:t>ns</w:t>
            </w:r>
            <w:bookmarkEnd w:id="97"/>
            <w:bookmarkEnd w:id="98"/>
          </w:p>
        </w:tc>
      </w:tr>
      <w:tr w:rsidR="00931F79" w:rsidRPr="00931F79" w14:paraId="102E0C48" w14:textId="77777777" w:rsidTr="008605D1">
        <w:trPr>
          <w:trHeight w:val="122"/>
          <w:jc w:val="center"/>
        </w:trPr>
        <w:tc>
          <w:tcPr>
            <w:tcW w:w="1761" w:type="pct"/>
            <w:tcMar>
              <w:top w:w="15" w:type="dxa"/>
              <w:left w:w="15" w:type="dxa"/>
              <w:bottom w:w="0" w:type="dxa"/>
              <w:right w:w="15" w:type="dxa"/>
            </w:tcMar>
            <w:hideMark/>
          </w:tcPr>
          <w:p w14:paraId="68F77EAF" w14:textId="77777777" w:rsidR="00931F79" w:rsidRPr="00931F79" w:rsidRDefault="00931F79" w:rsidP="00B11EC2">
            <w:pPr>
              <w:ind w:left="270"/>
              <w:rPr>
                <w:rFonts w:ascii="Arial" w:eastAsiaTheme="majorEastAsia" w:hAnsi="Arial" w:cs="Arial"/>
                <w:color w:val="000000" w:themeColor="text1"/>
              </w:rPr>
            </w:pPr>
            <w:bookmarkStart w:id="99" w:name="_Toc180667974"/>
            <w:bookmarkStart w:id="100" w:name="_Toc180672433"/>
            <w:r w:rsidRPr="00931F79">
              <w:rPr>
                <w:rFonts w:ascii="Arial" w:eastAsiaTheme="majorEastAsia" w:hAnsi="Arial" w:cs="Arial"/>
                <w:color w:val="000000" w:themeColor="text1"/>
              </w:rPr>
              <w:t>CV% (a)</w:t>
            </w:r>
            <w:bookmarkEnd w:id="99"/>
            <w:bookmarkEnd w:id="100"/>
          </w:p>
        </w:tc>
        <w:tc>
          <w:tcPr>
            <w:tcW w:w="1761" w:type="pct"/>
            <w:tcMar>
              <w:top w:w="15" w:type="dxa"/>
              <w:left w:w="15" w:type="dxa"/>
              <w:bottom w:w="0" w:type="dxa"/>
              <w:right w:w="15" w:type="dxa"/>
            </w:tcMar>
            <w:hideMark/>
          </w:tcPr>
          <w:p w14:paraId="79C401B9" w14:textId="77777777" w:rsidR="00931F79" w:rsidRPr="00931F79" w:rsidRDefault="00931F79" w:rsidP="008605D1">
            <w:pPr>
              <w:jc w:val="center"/>
              <w:rPr>
                <w:rFonts w:ascii="Arial" w:eastAsiaTheme="majorEastAsia" w:hAnsi="Arial" w:cs="Arial"/>
                <w:color w:val="000000" w:themeColor="text1"/>
              </w:rPr>
            </w:pPr>
            <w:bookmarkStart w:id="101" w:name="_Toc180667985"/>
            <w:bookmarkStart w:id="102" w:name="_Toc180672444"/>
            <w:r w:rsidRPr="00931F79">
              <w:rPr>
                <w:rFonts w:ascii="Arial" w:eastAsiaTheme="majorEastAsia" w:hAnsi="Arial" w:cs="Arial"/>
                <w:color w:val="000000" w:themeColor="text1"/>
              </w:rPr>
              <w:t>16.21</w:t>
            </w:r>
            <w:bookmarkEnd w:id="101"/>
            <w:bookmarkEnd w:id="102"/>
          </w:p>
        </w:tc>
        <w:tc>
          <w:tcPr>
            <w:tcW w:w="1478" w:type="pct"/>
            <w:tcMar>
              <w:top w:w="15" w:type="dxa"/>
              <w:left w:w="15" w:type="dxa"/>
              <w:bottom w:w="0" w:type="dxa"/>
              <w:right w:w="15" w:type="dxa"/>
            </w:tcMar>
            <w:hideMark/>
          </w:tcPr>
          <w:p w14:paraId="6F83039A" w14:textId="77777777" w:rsidR="00931F79" w:rsidRPr="00931F79" w:rsidRDefault="00931F79" w:rsidP="008605D1">
            <w:pPr>
              <w:jc w:val="center"/>
              <w:rPr>
                <w:rFonts w:ascii="Arial" w:eastAsiaTheme="majorEastAsia" w:hAnsi="Arial" w:cs="Arial"/>
                <w:color w:val="000000" w:themeColor="text1"/>
              </w:rPr>
            </w:pPr>
            <w:bookmarkStart w:id="103" w:name="_Toc180667986"/>
            <w:bookmarkStart w:id="104" w:name="_Toc180672445"/>
            <w:r w:rsidRPr="00931F79">
              <w:rPr>
                <w:rFonts w:ascii="Arial" w:eastAsiaTheme="majorEastAsia" w:hAnsi="Arial" w:cs="Arial"/>
                <w:color w:val="000000" w:themeColor="text1"/>
              </w:rPr>
              <w:t>8.05</w:t>
            </w:r>
            <w:bookmarkEnd w:id="103"/>
            <w:bookmarkEnd w:id="104"/>
          </w:p>
        </w:tc>
      </w:tr>
      <w:tr w:rsidR="00931F79" w:rsidRPr="00931F79" w14:paraId="499386E6" w14:textId="77777777" w:rsidTr="008605D1">
        <w:trPr>
          <w:trHeight w:val="131"/>
          <w:jc w:val="center"/>
        </w:trPr>
        <w:tc>
          <w:tcPr>
            <w:tcW w:w="1761" w:type="pct"/>
            <w:tcMar>
              <w:top w:w="15" w:type="dxa"/>
              <w:left w:w="15" w:type="dxa"/>
              <w:bottom w:w="0" w:type="dxa"/>
              <w:right w:w="15" w:type="dxa"/>
            </w:tcMar>
            <w:hideMark/>
          </w:tcPr>
          <w:p w14:paraId="5199D7D5" w14:textId="77777777" w:rsidR="00931F79" w:rsidRPr="00931F79" w:rsidRDefault="00931F79" w:rsidP="00B11EC2">
            <w:pPr>
              <w:ind w:left="270"/>
              <w:rPr>
                <w:rFonts w:ascii="Arial" w:eastAsiaTheme="majorEastAsia" w:hAnsi="Arial" w:cs="Arial"/>
                <w:color w:val="000000" w:themeColor="text1"/>
              </w:rPr>
            </w:pPr>
            <w:bookmarkStart w:id="105" w:name="_Toc180667987"/>
            <w:bookmarkStart w:id="106" w:name="_Toc180672446"/>
            <w:r w:rsidRPr="00931F79">
              <w:rPr>
                <w:rFonts w:ascii="Arial" w:eastAsiaTheme="majorEastAsia" w:hAnsi="Arial" w:cs="Arial"/>
                <w:color w:val="000000" w:themeColor="text1"/>
              </w:rPr>
              <w:t>CV% (b)</w:t>
            </w:r>
            <w:bookmarkEnd w:id="105"/>
            <w:bookmarkEnd w:id="106"/>
          </w:p>
        </w:tc>
        <w:tc>
          <w:tcPr>
            <w:tcW w:w="1761" w:type="pct"/>
            <w:tcMar>
              <w:top w:w="15" w:type="dxa"/>
              <w:left w:w="15" w:type="dxa"/>
              <w:bottom w:w="0" w:type="dxa"/>
              <w:right w:w="15" w:type="dxa"/>
            </w:tcMar>
            <w:hideMark/>
          </w:tcPr>
          <w:p w14:paraId="15F9F0A1" w14:textId="77777777" w:rsidR="00931F79" w:rsidRPr="00931F79" w:rsidRDefault="00931F79" w:rsidP="008605D1">
            <w:pPr>
              <w:jc w:val="center"/>
              <w:rPr>
                <w:rFonts w:ascii="Arial" w:eastAsiaTheme="majorEastAsia" w:hAnsi="Arial" w:cs="Arial"/>
                <w:color w:val="000000" w:themeColor="text1"/>
              </w:rPr>
            </w:pPr>
            <w:bookmarkStart w:id="107" w:name="_Toc180667998"/>
            <w:bookmarkStart w:id="108" w:name="_Toc180672457"/>
            <w:r w:rsidRPr="00931F79">
              <w:rPr>
                <w:rFonts w:ascii="Arial" w:eastAsiaTheme="majorEastAsia" w:hAnsi="Arial" w:cs="Arial"/>
                <w:color w:val="000000" w:themeColor="text1"/>
              </w:rPr>
              <w:t>16.03</w:t>
            </w:r>
            <w:bookmarkEnd w:id="107"/>
            <w:bookmarkEnd w:id="108"/>
          </w:p>
        </w:tc>
        <w:tc>
          <w:tcPr>
            <w:tcW w:w="1478" w:type="pct"/>
            <w:tcMar>
              <w:top w:w="15" w:type="dxa"/>
              <w:left w:w="15" w:type="dxa"/>
              <w:bottom w:w="0" w:type="dxa"/>
              <w:right w:w="15" w:type="dxa"/>
            </w:tcMar>
            <w:hideMark/>
          </w:tcPr>
          <w:p w14:paraId="309119B2" w14:textId="77777777" w:rsidR="00931F79" w:rsidRPr="00931F79" w:rsidRDefault="00931F79" w:rsidP="008605D1">
            <w:pPr>
              <w:jc w:val="center"/>
              <w:rPr>
                <w:rFonts w:ascii="Arial" w:eastAsiaTheme="majorEastAsia" w:hAnsi="Arial" w:cs="Arial"/>
                <w:color w:val="000000" w:themeColor="text1"/>
              </w:rPr>
            </w:pPr>
            <w:bookmarkStart w:id="109" w:name="_Toc180667999"/>
            <w:bookmarkStart w:id="110" w:name="_Toc180672458"/>
            <w:r w:rsidRPr="00931F79">
              <w:rPr>
                <w:rFonts w:ascii="Arial" w:eastAsiaTheme="majorEastAsia" w:hAnsi="Arial" w:cs="Arial"/>
                <w:color w:val="000000" w:themeColor="text1"/>
              </w:rPr>
              <w:t>5.31</w:t>
            </w:r>
            <w:bookmarkEnd w:id="109"/>
            <w:bookmarkEnd w:id="110"/>
          </w:p>
        </w:tc>
      </w:tr>
    </w:tbl>
    <w:p w14:paraId="6C99DE22" w14:textId="77777777" w:rsidR="00B11EC2" w:rsidRPr="00B11EC2" w:rsidRDefault="00B11EC2" w:rsidP="00B11EC2">
      <w:pPr>
        <w:pStyle w:val="Body"/>
        <w:spacing w:after="0"/>
        <w:rPr>
          <w:rFonts w:ascii="Arial" w:hAnsi="Arial" w:cs="Arial"/>
        </w:rPr>
      </w:pPr>
      <w:r w:rsidRPr="00B11EC2">
        <w:rPr>
          <w:rFonts w:ascii="Arial" w:hAnsi="Arial" w:cs="Arial"/>
        </w:rPr>
        <w:t xml:space="preserve">N0 = N omission, N25 = 25% of organic N rate, N50 = 50% of inorganic N rate, N75 = 75% of inorganic N rate, N100 = 100% of organic N rate, G0= No green manure. </w:t>
      </w:r>
    </w:p>
    <w:p w14:paraId="65EBACDE" w14:textId="77777777" w:rsidR="00B11EC2" w:rsidRPr="00B11EC2" w:rsidRDefault="00B11EC2" w:rsidP="00B11EC2">
      <w:pPr>
        <w:pStyle w:val="Body"/>
        <w:spacing w:after="0"/>
        <w:rPr>
          <w:rFonts w:ascii="Arial" w:hAnsi="Arial" w:cs="Arial"/>
        </w:rPr>
      </w:pPr>
      <w:r w:rsidRPr="00B11EC2">
        <w:rPr>
          <w:rFonts w:ascii="Arial" w:hAnsi="Arial" w:cs="Arial"/>
        </w:rPr>
        <w:t>** significant at 0.01 level, * significant at 0.05 level, ns = non-significant</w:t>
      </w:r>
    </w:p>
    <w:p w14:paraId="4F474932" w14:textId="1D53BDDB" w:rsidR="00931F79" w:rsidRDefault="00B11EC2" w:rsidP="00B11EC2">
      <w:pPr>
        <w:pStyle w:val="Body"/>
        <w:spacing w:after="0"/>
        <w:rPr>
          <w:rFonts w:ascii="Arial" w:hAnsi="Arial" w:cs="Arial"/>
        </w:rPr>
      </w:pPr>
      <w:r w:rsidRPr="00B11EC2">
        <w:rPr>
          <w:rFonts w:ascii="Arial" w:hAnsi="Arial" w:cs="Arial"/>
        </w:rPr>
        <w:t>Means followed by the same letter in each column are not significantly different in LSD tests (p &lt; 0.05).</w:t>
      </w:r>
    </w:p>
    <w:p w14:paraId="35A2464B" w14:textId="77777777" w:rsidR="00790ADA" w:rsidRDefault="00790ADA" w:rsidP="00441B6F">
      <w:pPr>
        <w:pStyle w:val="Body"/>
        <w:spacing w:after="0"/>
        <w:rPr>
          <w:rFonts w:ascii="Arial" w:hAnsi="Arial" w:cs="Arial"/>
        </w:rPr>
      </w:pPr>
    </w:p>
    <w:p w14:paraId="2DA841AF"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AECACE5" w14:textId="77777777" w:rsidR="00790ADA" w:rsidRPr="00FB3A86" w:rsidRDefault="00790ADA" w:rsidP="00441B6F">
      <w:pPr>
        <w:pStyle w:val="ConcHead"/>
        <w:spacing w:after="0"/>
        <w:jc w:val="both"/>
        <w:rPr>
          <w:rFonts w:ascii="Arial" w:hAnsi="Arial" w:cs="Arial"/>
        </w:rPr>
      </w:pPr>
    </w:p>
    <w:p w14:paraId="6723B6C5" w14:textId="4A3C2F44" w:rsidR="00B11EC2" w:rsidRDefault="00B11EC2" w:rsidP="00B11EC2">
      <w:pPr>
        <w:pStyle w:val="Body"/>
        <w:spacing w:after="0"/>
        <w:ind w:firstLine="720"/>
        <w:rPr>
          <w:rFonts w:ascii="Arial" w:hAnsi="Arial" w:cs="Arial"/>
        </w:rPr>
      </w:pPr>
      <w:r w:rsidRPr="00B11EC2">
        <w:rPr>
          <w:rFonts w:ascii="Arial" w:hAnsi="Arial" w:cs="Arial"/>
        </w:rPr>
        <w:t>Our research shows that using green manures (GMs) along with inorganic N fertilizer effectively enhances soil nutrient content, growth, yield components, yield, N uptake, and N use efficiency (NUE) in the Sinn-</w:t>
      </w:r>
      <w:proofErr w:type="spellStart"/>
      <w:r w:rsidRPr="00B11EC2">
        <w:rPr>
          <w:rFonts w:ascii="Arial" w:hAnsi="Arial" w:cs="Arial"/>
        </w:rPr>
        <w:t>thu</w:t>
      </w:r>
      <w:proofErr w:type="spellEnd"/>
      <w:r w:rsidRPr="00B11EC2">
        <w:rPr>
          <w:rFonts w:ascii="Arial" w:hAnsi="Arial" w:cs="Arial"/>
        </w:rPr>
        <w:t xml:space="preserve">-kha rice variety across both years of study. Specifically, </w:t>
      </w:r>
      <w:proofErr w:type="spellStart"/>
      <w:r w:rsidRPr="00B11EC2">
        <w:rPr>
          <w:rFonts w:ascii="Arial" w:hAnsi="Arial" w:cs="Arial"/>
        </w:rPr>
        <w:t>sunn</w:t>
      </w:r>
      <w:proofErr w:type="spellEnd"/>
      <w:r w:rsidRPr="00B11EC2">
        <w:rPr>
          <w:rFonts w:ascii="Arial" w:hAnsi="Arial" w:cs="Arial"/>
        </w:rPr>
        <w:t xml:space="preserve"> hemp (GSH) provides the necessary N for the rice plants; however, it is still recommended to supplement it with inorganic N fertilizers such as N50, N75, and other specified rates based on a recommended application of 102 kg N ha-1. Additionally, rice beans (GRB) and </w:t>
      </w:r>
      <w:proofErr w:type="spellStart"/>
      <w:r w:rsidRPr="00B11EC2">
        <w:rPr>
          <w:rFonts w:ascii="Arial" w:hAnsi="Arial" w:cs="Arial"/>
        </w:rPr>
        <w:t>dahincha</w:t>
      </w:r>
      <w:proofErr w:type="spellEnd"/>
      <w:r w:rsidRPr="00B11EC2">
        <w:rPr>
          <w:rFonts w:ascii="Arial" w:hAnsi="Arial" w:cs="Arial"/>
        </w:rPr>
        <w:t xml:space="preserve"> (GDC) can also achieve satisfactory rice yields when used with inorganic N fertilizers. By incorporating </w:t>
      </w:r>
      <w:proofErr w:type="spellStart"/>
      <w:r w:rsidRPr="00B11EC2">
        <w:rPr>
          <w:rFonts w:ascii="Arial" w:hAnsi="Arial" w:cs="Arial"/>
        </w:rPr>
        <w:t>sunn</w:t>
      </w:r>
      <w:proofErr w:type="spellEnd"/>
      <w:r w:rsidRPr="00B11EC2">
        <w:rPr>
          <w:rFonts w:ascii="Arial" w:hAnsi="Arial" w:cs="Arial"/>
        </w:rPr>
        <w:t xml:space="preserve"> hemp, it is possible to reduce the rate of inorganic N fertilizer by 50% without negatively impacting rice yield. Consequently, utilizing GMs, particularly </w:t>
      </w:r>
      <w:proofErr w:type="spellStart"/>
      <w:r w:rsidRPr="00B11EC2">
        <w:rPr>
          <w:rFonts w:ascii="Arial" w:hAnsi="Arial" w:cs="Arial"/>
        </w:rPr>
        <w:t>sunn</w:t>
      </w:r>
      <w:proofErr w:type="spellEnd"/>
      <w:r w:rsidRPr="00B11EC2">
        <w:rPr>
          <w:rFonts w:ascii="Arial" w:hAnsi="Arial" w:cs="Arial"/>
        </w:rPr>
        <w:t xml:space="preserve"> hemp, not only enhances rice production but also lowers production costs associated with inorganic N fertilizers. Furthermore, this practice improves soil health and promotes sustainable agriculture.</w:t>
      </w:r>
    </w:p>
    <w:p w14:paraId="3A11E13D" w14:textId="77777777" w:rsidR="00790ADA" w:rsidRPr="00FB3A86" w:rsidRDefault="00790ADA" w:rsidP="00441B6F">
      <w:pPr>
        <w:pStyle w:val="Body"/>
        <w:spacing w:after="0"/>
        <w:rPr>
          <w:rFonts w:ascii="Arial" w:hAnsi="Arial" w:cs="Arial"/>
        </w:rPr>
      </w:pPr>
    </w:p>
    <w:p w14:paraId="5856114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8E1A229" w14:textId="77777777" w:rsidR="00790ADA" w:rsidRPr="00FB3A86" w:rsidRDefault="00790ADA" w:rsidP="00441B6F">
      <w:pPr>
        <w:pStyle w:val="ReferHead"/>
        <w:spacing w:after="0"/>
        <w:jc w:val="both"/>
        <w:rPr>
          <w:rFonts w:ascii="Arial" w:hAnsi="Arial" w:cs="Arial"/>
        </w:rPr>
      </w:pPr>
    </w:p>
    <w:p w14:paraId="15B56E3E"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 xml:space="preserve">Biswas, P. K., </w:t>
      </w:r>
      <w:proofErr w:type="spellStart"/>
      <w:r w:rsidRPr="00B11EC2">
        <w:rPr>
          <w:rFonts w:ascii="Arial" w:hAnsi="Arial" w:cs="Arial"/>
        </w:rPr>
        <w:t>Akhteruzzaman</w:t>
      </w:r>
      <w:proofErr w:type="spellEnd"/>
      <w:r w:rsidRPr="00B11EC2">
        <w:rPr>
          <w:rFonts w:ascii="Arial" w:hAnsi="Arial" w:cs="Arial"/>
        </w:rPr>
        <w:t xml:space="preserve">, M., </w:t>
      </w:r>
      <w:proofErr w:type="spellStart"/>
      <w:r w:rsidRPr="00B11EC2">
        <w:rPr>
          <w:rFonts w:ascii="Arial" w:hAnsi="Arial" w:cs="Arial"/>
        </w:rPr>
        <w:t>Quasem</w:t>
      </w:r>
      <w:proofErr w:type="spellEnd"/>
      <w:r w:rsidRPr="00B11EC2">
        <w:rPr>
          <w:rFonts w:ascii="Arial" w:hAnsi="Arial" w:cs="Arial"/>
        </w:rPr>
        <w:t>, A., &amp; Amin, A. K. M. R. (1996). Effect of decomposition period of Sesbania aculeata and N doses on rice yield and soil fertility. Progress in Agricultural Engineering Sciences, 7, 107-109.</w:t>
      </w:r>
    </w:p>
    <w:p w14:paraId="6C52EDDA"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Bremner, J. M. (1965). Total N. In: Black, C. A et al., (ed.). Methods of soil analysis, Part 2. Agronomy 9 Am, American Society of Agronomy, Inc., Madison, Wis, 1149-1178.</w:t>
      </w:r>
    </w:p>
    <w:p w14:paraId="447BC047" w14:textId="77777777" w:rsidR="00B11EC2" w:rsidRPr="00B11EC2" w:rsidRDefault="00B11EC2" w:rsidP="00C6441E">
      <w:pPr>
        <w:pStyle w:val="Body"/>
        <w:spacing w:after="0"/>
        <w:ind w:left="810" w:hanging="810"/>
        <w:rPr>
          <w:rFonts w:ascii="Arial" w:hAnsi="Arial" w:cs="Arial"/>
        </w:rPr>
      </w:pPr>
      <w:proofErr w:type="spellStart"/>
      <w:r w:rsidRPr="00B11EC2">
        <w:rPr>
          <w:rFonts w:ascii="Arial" w:hAnsi="Arial" w:cs="Arial"/>
        </w:rPr>
        <w:t>Fageria</w:t>
      </w:r>
      <w:proofErr w:type="spellEnd"/>
      <w:r w:rsidRPr="00B11EC2">
        <w:rPr>
          <w:rFonts w:ascii="Arial" w:hAnsi="Arial" w:cs="Arial"/>
        </w:rPr>
        <w:t>, N. K., Morais, O. P., &amp; Santos, A. B. (2010). N use efficiency in upland rice genotypes. Jornal of Plant Nutrient, 33(11),1696-1711.</w:t>
      </w:r>
    </w:p>
    <w:p w14:paraId="5A8C35D7"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 xml:space="preserve">Gizaw, Z. (2019). Public health risks related to food safety issues in the food market: A systematic literature review. Environmental Health and Preventive Medicine, 24(1), 68. </w:t>
      </w:r>
      <w:proofErr w:type="spellStart"/>
      <w:r w:rsidRPr="00B11EC2">
        <w:rPr>
          <w:rFonts w:ascii="Arial" w:hAnsi="Arial" w:cs="Arial"/>
        </w:rPr>
        <w:t>doi</w:t>
      </w:r>
      <w:proofErr w:type="spellEnd"/>
      <w:r w:rsidRPr="00B11EC2">
        <w:rPr>
          <w:rFonts w:ascii="Arial" w:hAnsi="Arial" w:cs="Arial"/>
        </w:rPr>
        <w:t>. org/ 10.1186/ s1219 9-019-0825-5</w:t>
      </w:r>
    </w:p>
    <w:p w14:paraId="4FFA4EF9"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Islam, M. R., Hossain, M. B., Siddique, A. B., Rahman, M. T., &amp; Malika, M. (2014). Contribution of green manure incorporation in combination with N fertilizer in rice production. SAARC journal of agriculture, 12, 134-142.</w:t>
      </w:r>
    </w:p>
    <w:p w14:paraId="50B48671"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Islam, Md S., Paul, N. K., Alam, Md R., Uddin, Md R., Sarker, U. K., Islam, Md A., &amp; Park, S. U. (2015). Responses of Rice to Green Manure and N Fertilizer Application. Article in Online Journal of Biological Sciences. · https://www.researchgate.net/publication/281574417</w:t>
      </w:r>
    </w:p>
    <w:p w14:paraId="38966AAD"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 xml:space="preserve">Jason, M. L. (1958). Soil </w:t>
      </w:r>
      <w:proofErr w:type="spellStart"/>
      <w:r w:rsidRPr="00B11EC2">
        <w:rPr>
          <w:rFonts w:ascii="Arial" w:hAnsi="Arial" w:cs="Arial"/>
        </w:rPr>
        <w:t>inorganicanalysis</w:t>
      </w:r>
      <w:proofErr w:type="spellEnd"/>
      <w:r w:rsidRPr="00B11EC2">
        <w:rPr>
          <w:rFonts w:ascii="Arial" w:hAnsi="Arial" w:cs="Arial"/>
        </w:rPr>
        <w:t xml:space="preserve">. </w:t>
      </w:r>
      <w:proofErr w:type="spellStart"/>
      <w:r w:rsidRPr="00B11EC2">
        <w:rPr>
          <w:rFonts w:ascii="Arial" w:hAnsi="Arial" w:cs="Arial"/>
        </w:rPr>
        <w:t>Prentic</w:t>
      </w:r>
      <w:proofErr w:type="spellEnd"/>
      <w:r w:rsidRPr="00B11EC2">
        <w:rPr>
          <w:rFonts w:ascii="Arial" w:hAnsi="Arial" w:cs="Arial"/>
        </w:rPr>
        <w:t>-Hall, Inc., Englewood Cliffs, N.J.</w:t>
      </w:r>
    </w:p>
    <w:p w14:paraId="7D874F94" w14:textId="77777777" w:rsidR="00B11EC2" w:rsidRPr="00B11EC2" w:rsidRDefault="00B11EC2" w:rsidP="00C6441E">
      <w:pPr>
        <w:pStyle w:val="Body"/>
        <w:spacing w:after="0"/>
        <w:ind w:left="810" w:hanging="810"/>
        <w:rPr>
          <w:rFonts w:ascii="Arial" w:hAnsi="Arial" w:cs="Arial"/>
        </w:rPr>
      </w:pPr>
      <w:proofErr w:type="spellStart"/>
      <w:r w:rsidRPr="00B11EC2">
        <w:rPr>
          <w:rFonts w:ascii="Arial" w:hAnsi="Arial" w:cs="Arial"/>
        </w:rPr>
        <w:t>Kudsen</w:t>
      </w:r>
      <w:proofErr w:type="spellEnd"/>
      <w:r w:rsidRPr="00B11EC2">
        <w:rPr>
          <w:rFonts w:ascii="Arial" w:hAnsi="Arial" w:cs="Arial"/>
        </w:rPr>
        <w:t xml:space="preserve">, D., Peterson, G. A., &amp; Pratt, P. F. (1982). Lithium sodium and potassium. In: Page, A. L(Ed.), Method of soil analysis, Part 2. </w:t>
      </w:r>
      <w:proofErr w:type="spellStart"/>
      <w:r w:rsidRPr="00B11EC2">
        <w:rPr>
          <w:rFonts w:ascii="Arial" w:hAnsi="Arial" w:cs="Arial"/>
        </w:rPr>
        <w:t>Inorganicand</w:t>
      </w:r>
      <w:proofErr w:type="spellEnd"/>
      <w:r w:rsidRPr="00B11EC2">
        <w:rPr>
          <w:rFonts w:ascii="Arial" w:hAnsi="Arial" w:cs="Arial"/>
        </w:rPr>
        <w:t xml:space="preserve"> microbiological properties, 2nd ed. Agronomy No. 9. ASA, SSAA, Madison, WI. 225-246.</w:t>
      </w:r>
    </w:p>
    <w:p w14:paraId="4B04CDB6"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Lee, C. H., Park, K. D., Jung, K. Y., Ali, M. A., Lee, D., Gutierrez, J., &amp; Kim, P. J. (2010). “E</w:t>
      </w:r>
      <w:r w:rsidRPr="00C6441E">
        <w:rPr>
          <w:rFonts w:ascii="Cambria Math" w:hAnsi="Cambria Math" w:cs="Cambria Math"/>
        </w:rPr>
        <w:t>ﬀ</w:t>
      </w:r>
      <w:r w:rsidRPr="00B11EC2">
        <w:rPr>
          <w:rFonts w:ascii="Arial" w:hAnsi="Arial" w:cs="Arial"/>
        </w:rPr>
        <w:t xml:space="preserve">ect of Chinese Milk Vetch (astragalus </w:t>
      </w:r>
      <w:proofErr w:type="spellStart"/>
      <w:r w:rsidRPr="00B11EC2">
        <w:rPr>
          <w:rFonts w:ascii="Arial" w:hAnsi="Arial" w:cs="Arial"/>
        </w:rPr>
        <w:t>Sinicus</w:t>
      </w:r>
      <w:proofErr w:type="spellEnd"/>
      <w:r w:rsidRPr="00B11EC2">
        <w:rPr>
          <w:rFonts w:ascii="Arial" w:hAnsi="Arial" w:cs="Arial"/>
        </w:rPr>
        <w:t xml:space="preserve"> L.) As a Green Manure on Rice Productivity and Methane Emission in Paddy Soil.” Agriculture, Ecosystems &amp; Environment 138: 343–347. doi:10.1016/j. agee.2010.05.011.</w:t>
      </w:r>
    </w:p>
    <w:p w14:paraId="12549D28"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 xml:space="preserve">Liu, X. J. A., van </w:t>
      </w:r>
      <w:proofErr w:type="spellStart"/>
      <w:r w:rsidRPr="00B11EC2">
        <w:rPr>
          <w:rFonts w:ascii="Arial" w:hAnsi="Arial" w:cs="Arial"/>
        </w:rPr>
        <w:t>Groenigen</w:t>
      </w:r>
      <w:proofErr w:type="spellEnd"/>
      <w:r w:rsidRPr="00B11EC2">
        <w:rPr>
          <w:rFonts w:ascii="Arial" w:hAnsi="Arial" w:cs="Arial"/>
        </w:rPr>
        <w:t>, K. J., Dijkstra, P., &amp; Hungate, B. A. (2017). Increased Plant Uptake of Native Soil N following Fertilizer Addition - Not a Priming Effect? Applied Soil Ecology, 114, 105–110.</w:t>
      </w:r>
    </w:p>
    <w:p w14:paraId="531DB96F"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 xml:space="preserve">Lu, H. J., Ye, Z. Q., Zhang, X. L., Lin., X. Y., &amp; Ni, W. Z. (2011). Growth and yield responses of crops and macronutrient balance influenced by commercial organic manure used as a partial substitute for </w:t>
      </w:r>
      <w:proofErr w:type="spellStart"/>
      <w:r w:rsidRPr="00B11EC2">
        <w:rPr>
          <w:rFonts w:ascii="Arial" w:hAnsi="Arial" w:cs="Arial"/>
        </w:rPr>
        <w:t>inorganicfertilizers</w:t>
      </w:r>
      <w:proofErr w:type="spellEnd"/>
      <w:r w:rsidRPr="00B11EC2">
        <w:rPr>
          <w:rFonts w:ascii="Arial" w:hAnsi="Arial" w:cs="Arial"/>
        </w:rPr>
        <w:t xml:space="preserve"> in an intensive vegetable cropping system. Physics and Chemistry of the Earth, Part A/b/c, 36(9–11), 387–394.</w:t>
      </w:r>
    </w:p>
    <w:p w14:paraId="365FB01D" w14:textId="77777777" w:rsidR="00B11EC2" w:rsidRPr="00B11EC2" w:rsidRDefault="00B11EC2" w:rsidP="00C6441E">
      <w:pPr>
        <w:pStyle w:val="Body"/>
        <w:spacing w:after="0"/>
        <w:ind w:left="810" w:hanging="810"/>
        <w:rPr>
          <w:rFonts w:ascii="Arial" w:hAnsi="Arial" w:cs="Arial"/>
        </w:rPr>
      </w:pPr>
      <w:proofErr w:type="spellStart"/>
      <w:r w:rsidRPr="00B11EC2">
        <w:rPr>
          <w:rFonts w:ascii="Arial" w:hAnsi="Arial" w:cs="Arial"/>
        </w:rPr>
        <w:t>Mridha</w:t>
      </w:r>
      <w:proofErr w:type="spellEnd"/>
      <w:r w:rsidRPr="00B11EC2">
        <w:rPr>
          <w:rFonts w:ascii="Arial" w:hAnsi="Arial" w:cs="Arial"/>
        </w:rPr>
        <w:t xml:space="preserve">, D., </w:t>
      </w:r>
      <w:proofErr w:type="spellStart"/>
      <w:r w:rsidRPr="00B11EC2">
        <w:rPr>
          <w:rFonts w:ascii="Arial" w:hAnsi="Arial" w:cs="Arial"/>
        </w:rPr>
        <w:t>Gorain</w:t>
      </w:r>
      <w:proofErr w:type="spellEnd"/>
      <w:r w:rsidRPr="00B11EC2">
        <w:rPr>
          <w:rFonts w:ascii="Arial" w:hAnsi="Arial" w:cs="Arial"/>
        </w:rPr>
        <w:t xml:space="preserve">, P. C., Joardar, M., Das, A., Majumder, S., De, A., Chowdhury, N. R., Lama, U., Pal, R., &amp; Roychowdhury, T. (2022). Rice grain arsenic and nutritional content during post harvesting to cooking: A review on arsenic bioavailability and </w:t>
      </w:r>
      <w:proofErr w:type="spellStart"/>
      <w:r w:rsidRPr="00B11EC2">
        <w:rPr>
          <w:rFonts w:ascii="Arial" w:hAnsi="Arial" w:cs="Arial"/>
        </w:rPr>
        <w:t>bioaccessibility</w:t>
      </w:r>
      <w:proofErr w:type="spellEnd"/>
      <w:r w:rsidRPr="00B11EC2">
        <w:rPr>
          <w:rFonts w:ascii="Arial" w:hAnsi="Arial" w:cs="Arial"/>
        </w:rPr>
        <w:t xml:space="preserve"> in humans. Food Research International, 154, 111042. https:// </w:t>
      </w:r>
      <w:proofErr w:type="spellStart"/>
      <w:r w:rsidRPr="00B11EC2">
        <w:rPr>
          <w:rFonts w:ascii="Arial" w:hAnsi="Arial" w:cs="Arial"/>
        </w:rPr>
        <w:t>doi</w:t>
      </w:r>
      <w:proofErr w:type="spellEnd"/>
      <w:r w:rsidRPr="00B11EC2">
        <w:rPr>
          <w:rFonts w:ascii="Arial" w:hAnsi="Arial" w:cs="Arial"/>
        </w:rPr>
        <w:t xml:space="preserve">. org/ 10. 1016/j. </w:t>
      </w:r>
      <w:proofErr w:type="spellStart"/>
      <w:r w:rsidRPr="00B11EC2">
        <w:rPr>
          <w:rFonts w:ascii="Arial" w:hAnsi="Arial" w:cs="Arial"/>
        </w:rPr>
        <w:t>foodres</w:t>
      </w:r>
      <w:proofErr w:type="spellEnd"/>
      <w:r w:rsidRPr="00B11EC2">
        <w:rPr>
          <w:rFonts w:ascii="Arial" w:hAnsi="Arial" w:cs="Arial"/>
        </w:rPr>
        <w:t>. 2022. 111042</w:t>
      </w:r>
    </w:p>
    <w:p w14:paraId="0FF42BBE"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 xml:space="preserve">Muntasir, I. M., </w:t>
      </w:r>
      <w:proofErr w:type="spellStart"/>
      <w:r w:rsidRPr="00B11EC2">
        <w:rPr>
          <w:rFonts w:ascii="Arial" w:hAnsi="Arial" w:cs="Arial"/>
        </w:rPr>
        <w:t>Tauhiduzzaman</w:t>
      </w:r>
      <w:proofErr w:type="spellEnd"/>
      <w:r w:rsidRPr="00B11EC2">
        <w:rPr>
          <w:rFonts w:ascii="Arial" w:hAnsi="Arial" w:cs="Arial"/>
        </w:rPr>
        <w:t>, S., &amp; Ishaque, M. (2001). Study on the effect of N fertilizer and green manure on the growth and yield of B R 22 rice. Indian Journal of Agricultural Chemistry, 34(1-2), 15-21.</w:t>
      </w:r>
    </w:p>
    <w:p w14:paraId="253EDE62"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 xml:space="preserve">Ohyama, T., Ito, M., Kobayashi, K., Araki, S., Yasuyoshi, S., Sasaki, O., Yamazaki, T., Soyama, K., Tanemura, R., Tanemura Y., &amp; </w:t>
      </w:r>
      <w:proofErr w:type="spellStart"/>
      <w:r w:rsidRPr="00B11EC2">
        <w:rPr>
          <w:rFonts w:ascii="Arial" w:hAnsi="Arial" w:cs="Arial"/>
        </w:rPr>
        <w:t>Ikarashi</w:t>
      </w:r>
      <w:proofErr w:type="spellEnd"/>
      <w:r w:rsidRPr="00B11EC2">
        <w:rPr>
          <w:rFonts w:ascii="Arial" w:hAnsi="Arial" w:cs="Arial"/>
        </w:rPr>
        <w:t>, T. (1991). Analytical procedures of N, P, K contents and manure materials using H2SO4-H2O2 Kjeldahl digestion method. Bulletin of the Faculty of Agriculture, Niigata University. 43, 111-120 (in Japanese with English summary).</w:t>
      </w:r>
    </w:p>
    <w:p w14:paraId="77E61E94"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 xml:space="preserve">Olsen, S. R., &amp; Sommers, L. E. (1982). Phosphorus. Methods of soil analysis, Part 2.  In: Page, A. L. et al. (ed.)., </w:t>
      </w:r>
      <w:proofErr w:type="spellStart"/>
      <w:r w:rsidRPr="00B11EC2">
        <w:rPr>
          <w:rFonts w:ascii="Arial" w:hAnsi="Arial" w:cs="Arial"/>
        </w:rPr>
        <w:t>Inorganicand</w:t>
      </w:r>
      <w:proofErr w:type="spellEnd"/>
      <w:r w:rsidRPr="00B11EC2">
        <w:rPr>
          <w:rFonts w:ascii="Arial" w:hAnsi="Arial" w:cs="Arial"/>
        </w:rPr>
        <w:t xml:space="preserve"> microbial properties. 2nd ed. </w:t>
      </w:r>
      <w:proofErr w:type="spellStart"/>
      <w:r w:rsidRPr="00B11EC2">
        <w:rPr>
          <w:rFonts w:ascii="Arial" w:hAnsi="Arial" w:cs="Arial"/>
        </w:rPr>
        <w:t>Agro</w:t>
      </w:r>
      <w:proofErr w:type="spellEnd"/>
      <w:r w:rsidRPr="00B11EC2">
        <w:rPr>
          <w:rFonts w:ascii="Arial" w:hAnsi="Arial" w:cs="Arial"/>
        </w:rPr>
        <w:t>. Monogram, 9. ASA and SSSA, Madison, WI. 403-430.</w:t>
      </w:r>
    </w:p>
    <w:p w14:paraId="523010D2"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 xml:space="preserve">Pramanik, M. Y. A. (2006). Effect of green manuring on transplant </w:t>
      </w:r>
      <w:proofErr w:type="spellStart"/>
      <w:r w:rsidRPr="00B11EC2">
        <w:rPr>
          <w:rFonts w:ascii="Arial" w:hAnsi="Arial" w:cs="Arial"/>
        </w:rPr>
        <w:t>aman</w:t>
      </w:r>
      <w:proofErr w:type="spellEnd"/>
      <w:r w:rsidRPr="00B11EC2">
        <w:rPr>
          <w:rFonts w:ascii="Arial" w:hAnsi="Arial" w:cs="Arial"/>
        </w:rPr>
        <w:t xml:space="preserve"> rice and its residual effect on subsequent </w:t>
      </w:r>
      <w:proofErr w:type="spellStart"/>
      <w:r w:rsidRPr="00B11EC2">
        <w:rPr>
          <w:rFonts w:ascii="Arial" w:hAnsi="Arial" w:cs="Arial"/>
        </w:rPr>
        <w:t>boro</w:t>
      </w:r>
      <w:proofErr w:type="spellEnd"/>
      <w:r w:rsidRPr="00B11EC2">
        <w:rPr>
          <w:rFonts w:ascii="Arial" w:hAnsi="Arial" w:cs="Arial"/>
        </w:rPr>
        <w:t xml:space="preserve"> rice. Ph.D. Thesis. Department of Agronomy, Bangladesh Agricultural University, </w:t>
      </w:r>
      <w:proofErr w:type="spellStart"/>
      <w:r w:rsidRPr="00B11EC2">
        <w:rPr>
          <w:rFonts w:ascii="Arial" w:hAnsi="Arial" w:cs="Arial"/>
        </w:rPr>
        <w:t>Mymensingsh</w:t>
      </w:r>
      <w:proofErr w:type="spellEnd"/>
      <w:r w:rsidRPr="00B11EC2">
        <w:rPr>
          <w:rFonts w:ascii="Arial" w:hAnsi="Arial" w:cs="Arial"/>
        </w:rPr>
        <w:t>.</w:t>
      </w:r>
    </w:p>
    <w:p w14:paraId="19022846" w14:textId="77777777" w:rsidR="00B11EC2" w:rsidRPr="00B11EC2" w:rsidRDefault="00B11EC2" w:rsidP="00C6441E">
      <w:pPr>
        <w:pStyle w:val="Body"/>
        <w:spacing w:after="0"/>
        <w:ind w:left="810" w:hanging="810"/>
        <w:rPr>
          <w:rFonts w:ascii="Arial" w:hAnsi="Arial" w:cs="Arial"/>
        </w:rPr>
      </w:pPr>
      <w:proofErr w:type="spellStart"/>
      <w:r w:rsidRPr="00B11EC2">
        <w:rPr>
          <w:rFonts w:ascii="Arial" w:hAnsi="Arial" w:cs="Arial"/>
        </w:rPr>
        <w:t>Pooniya</w:t>
      </w:r>
      <w:proofErr w:type="spellEnd"/>
      <w:r w:rsidRPr="00B11EC2">
        <w:rPr>
          <w:rFonts w:ascii="Arial" w:hAnsi="Arial" w:cs="Arial"/>
        </w:rPr>
        <w:t>, V., &amp; Shivay, Y. S. (2015). Influence of Green Manuring and Zinc Fertilization on Quality Parameters of Basmati Rice. Communications in Soil Science and Plant Analysis, 46(3), 382-342.</w:t>
      </w:r>
    </w:p>
    <w:p w14:paraId="02CFD30F"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 xml:space="preserve">Reis, J. C. L., Infeld, J. A., </w:t>
      </w:r>
      <w:proofErr w:type="spellStart"/>
      <w:r w:rsidRPr="00B11EC2">
        <w:rPr>
          <w:rFonts w:ascii="Arial" w:hAnsi="Arial" w:cs="Arial"/>
        </w:rPr>
        <w:t>Scivittaro</w:t>
      </w:r>
      <w:proofErr w:type="spellEnd"/>
      <w:r w:rsidRPr="00B11EC2">
        <w:rPr>
          <w:rFonts w:ascii="Arial" w:hAnsi="Arial" w:cs="Arial"/>
        </w:rPr>
        <w:t xml:space="preserve">, W. B., Silva, J. J. C., &amp; Silva. C. A. S. (2008). </w:t>
      </w:r>
      <w:proofErr w:type="spellStart"/>
      <w:r w:rsidRPr="00B11EC2">
        <w:rPr>
          <w:rFonts w:ascii="Arial" w:hAnsi="Arial" w:cs="Arial"/>
        </w:rPr>
        <w:t>Racionalização</w:t>
      </w:r>
      <w:proofErr w:type="spellEnd"/>
      <w:r w:rsidRPr="00B11EC2">
        <w:rPr>
          <w:rFonts w:ascii="Arial" w:hAnsi="Arial" w:cs="Arial"/>
        </w:rPr>
        <w:t xml:space="preserve"> da </w:t>
      </w:r>
      <w:proofErr w:type="spellStart"/>
      <w:r w:rsidRPr="00B11EC2">
        <w:rPr>
          <w:rFonts w:ascii="Arial" w:hAnsi="Arial" w:cs="Arial"/>
        </w:rPr>
        <w:t>aplicação</w:t>
      </w:r>
      <w:proofErr w:type="spellEnd"/>
      <w:r w:rsidRPr="00B11EC2">
        <w:rPr>
          <w:rFonts w:ascii="Arial" w:hAnsi="Arial" w:cs="Arial"/>
        </w:rPr>
        <w:t xml:space="preserve"> de </w:t>
      </w:r>
      <w:proofErr w:type="spellStart"/>
      <w:r w:rsidRPr="00B11EC2">
        <w:rPr>
          <w:rFonts w:ascii="Arial" w:hAnsi="Arial" w:cs="Arial"/>
        </w:rPr>
        <w:t>fertilizantes</w:t>
      </w:r>
      <w:proofErr w:type="spellEnd"/>
      <w:r w:rsidRPr="00B11EC2">
        <w:rPr>
          <w:rFonts w:ascii="Arial" w:hAnsi="Arial" w:cs="Arial"/>
        </w:rPr>
        <w:t xml:space="preserve"> para o </w:t>
      </w:r>
      <w:proofErr w:type="spellStart"/>
      <w:r w:rsidRPr="00B11EC2">
        <w:rPr>
          <w:rFonts w:ascii="Arial" w:hAnsi="Arial" w:cs="Arial"/>
        </w:rPr>
        <w:t>aumento</w:t>
      </w:r>
      <w:proofErr w:type="spellEnd"/>
      <w:r w:rsidRPr="00B11EC2">
        <w:rPr>
          <w:rFonts w:ascii="Arial" w:hAnsi="Arial" w:cs="Arial"/>
        </w:rPr>
        <w:t xml:space="preserve"> da </w:t>
      </w:r>
      <w:proofErr w:type="spellStart"/>
      <w:r w:rsidRPr="00B11EC2">
        <w:rPr>
          <w:rFonts w:ascii="Arial" w:hAnsi="Arial" w:cs="Arial"/>
        </w:rPr>
        <w:t>sustentabilidade</w:t>
      </w:r>
      <w:proofErr w:type="spellEnd"/>
      <w:r w:rsidRPr="00B11EC2">
        <w:rPr>
          <w:rFonts w:ascii="Arial" w:hAnsi="Arial" w:cs="Arial"/>
        </w:rPr>
        <w:t xml:space="preserve"> e </w:t>
      </w:r>
      <w:proofErr w:type="spellStart"/>
      <w:r w:rsidRPr="00B11EC2">
        <w:rPr>
          <w:rFonts w:ascii="Arial" w:hAnsi="Arial" w:cs="Arial"/>
        </w:rPr>
        <w:t>rentabilidade</w:t>
      </w:r>
      <w:proofErr w:type="spellEnd"/>
      <w:r w:rsidRPr="00B11EC2">
        <w:rPr>
          <w:rFonts w:ascii="Arial" w:hAnsi="Arial" w:cs="Arial"/>
        </w:rPr>
        <w:t xml:space="preserve"> de </w:t>
      </w:r>
      <w:proofErr w:type="spellStart"/>
      <w:r w:rsidRPr="00B11EC2">
        <w:rPr>
          <w:rFonts w:ascii="Arial" w:hAnsi="Arial" w:cs="Arial"/>
        </w:rPr>
        <w:t>sistemas</w:t>
      </w:r>
      <w:proofErr w:type="spellEnd"/>
      <w:r w:rsidRPr="00B11EC2">
        <w:rPr>
          <w:rFonts w:ascii="Arial" w:hAnsi="Arial" w:cs="Arial"/>
        </w:rPr>
        <w:t xml:space="preserve"> de </w:t>
      </w:r>
      <w:proofErr w:type="spellStart"/>
      <w:r w:rsidRPr="00B11EC2">
        <w:rPr>
          <w:rFonts w:ascii="Arial" w:hAnsi="Arial" w:cs="Arial"/>
        </w:rPr>
        <w:t>produção</w:t>
      </w:r>
      <w:proofErr w:type="spellEnd"/>
      <w:r w:rsidRPr="00B11EC2">
        <w:rPr>
          <w:rFonts w:ascii="Arial" w:hAnsi="Arial" w:cs="Arial"/>
        </w:rPr>
        <w:t xml:space="preserve"> </w:t>
      </w:r>
      <w:proofErr w:type="spellStart"/>
      <w:r w:rsidRPr="00B11EC2">
        <w:rPr>
          <w:rFonts w:ascii="Arial" w:hAnsi="Arial" w:cs="Arial"/>
        </w:rPr>
        <w:t>envolvendo</w:t>
      </w:r>
      <w:proofErr w:type="spellEnd"/>
      <w:r w:rsidRPr="00B11EC2">
        <w:rPr>
          <w:rFonts w:ascii="Arial" w:hAnsi="Arial" w:cs="Arial"/>
        </w:rPr>
        <w:t xml:space="preserve"> a </w:t>
      </w:r>
      <w:proofErr w:type="spellStart"/>
      <w:r w:rsidRPr="00B11EC2">
        <w:rPr>
          <w:rFonts w:ascii="Arial" w:hAnsi="Arial" w:cs="Arial"/>
        </w:rPr>
        <w:t>rotação</w:t>
      </w:r>
      <w:proofErr w:type="spellEnd"/>
      <w:r w:rsidRPr="00B11EC2">
        <w:rPr>
          <w:rFonts w:ascii="Arial" w:hAnsi="Arial" w:cs="Arial"/>
        </w:rPr>
        <w:t xml:space="preserve"> arroz-</w:t>
      </w:r>
      <w:proofErr w:type="spellStart"/>
      <w:r w:rsidRPr="00B11EC2">
        <w:rPr>
          <w:rFonts w:ascii="Arial" w:hAnsi="Arial" w:cs="Arial"/>
        </w:rPr>
        <w:t>pastagens</w:t>
      </w:r>
      <w:proofErr w:type="spellEnd"/>
      <w:r w:rsidRPr="00B11EC2">
        <w:rPr>
          <w:rFonts w:ascii="Arial" w:hAnsi="Arial" w:cs="Arial"/>
        </w:rPr>
        <w:t>-</w:t>
      </w:r>
      <w:proofErr w:type="spellStart"/>
      <w:r w:rsidRPr="00B11EC2">
        <w:rPr>
          <w:rFonts w:ascii="Arial" w:hAnsi="Arial" w:cs="Arial"/>
        </w:rPr>
        <w:t>pecuária</w:t>
      </w:r>
      <w:proofErr w:type="spellEnd"/>
      <w:r w:rsidRPr="00B11EC2">
        <w:rPr>
          <w:rFonts w:ascii="Arial" w:hAnsi="Arial" w:cs="Arial"/>
        </w:rPr>
        <w:t xml:space="preserve">. Pelotas: </w:t>
      </w:r>
      <w:proofErr w:type="spellStart"/>
      <w:r w:rsidRPr="00B11EC2">
        <w:rPr>
          <w:rFonts w:ascii="Arial" w:hAnsi="Arial" w:cs="Arial"/>
        </w:rPr>
        <w:t>Embrapa</w:t>
      </w:r>
      <w:proofErr w:type="spellEnd"/>
      <w:r w:rsidRPr="00B11EC2">
        <w:rPr>
          <w:rFonts w:ascii="Arial" w:hAnsi="Arial" w:cs="Arial"/>
        </w:rPr>
        <w:t xml:space="preserve"> </w:t>
      </w:r>
      <w:proofErr w:type="spellStart"/>
      <w:r w:rsidRPr="00B11EC2">
        <w:rPr>
          <w:rFonts w:ascii="Arial" w:hAnsi="Arial" w:cs="Arial"/>
        </w:rPr>
        <w:t>Clima</w:t>
      </w:r>
      <w:proofErr w:type="spellEnd"/>
      <w:r w:rsidRPr="00B11EC2">
        <w:rPr>
          <w:rFonts w:ascii="Arial" w:hAnsi="Arial" w:cs="Arial"/>
        </w:rPr>
        <w:t xml:space="preserve"> </w:t>
      </w:r>
      <w:proofErr w:type="spellStart"/>
      <w:r w:rsidRPr="00B11EC2">
        <w:rPr>
          <w:rFonts w:ascii="Arial" w:hAnsi="Arial" w:cs="Arial"/>
        </w:rPr>
        <w:t>Temperado</w:t>
      </w:r>
      <w:proofErr w:type="spellEnd"/>
      <w:r w:rsidRPr="00B11EC2">
        <w:rPr>
          <w:rFonts w:ascii="Arial" w:hAnsi="Arial" w:cs="Arial"/>
        </w:rPr>
        <w:t>, pp- 6. (</w:t>
      </w:r>
      <w:proofErr w:type="spellStart"/>
      <w:r w:rsidRPr="00B11EC2">
        <w:rPr>
          <w:rFonts w:ascii="Arial" w:hAnsi="Arial" w:cs="Arial"/>
        </w:rPr>
        <w:t>Embrapa</w:t>
      </w:r>
      <w:proofErr w:type="spellEnd"/>
      <w:r w:rsidRPr="00B11EC2">
        <w:rPr>
          <w:rFonts w:ascii="Arial" w:hAnsi="Arial" w:cs="Arial"/>
        </w:rPr>
        <w:t xml:space="preserve"> </w:t>
      </w:r>
      <w:proofErr w:type="spellStart"/>
      <w:r w:rsidRPr="00B11EC2">
        <w:rPr>
          <w:rFonts w:ascii="Arial" w:hAnsi="Arial" w:cs="Arial"/>
        </w:rPr>
        <w:t>Clima</w:t>
      </w:r>
      <w:proofErr w:type="spellEnd"/>
      <w:r w:rsidRPr="00B11EC2">
        <w:rPr>
          <w:rFonts w:ascii="Arial" w:hAnsi="Arial" w:cs="Arial"/>
        </w:rPr>
        <w:t xml:space="preserve"> </w:t>
      </w:r>
      <w:proofErr w:type="spellStart"/>
      <w:r w:rsidRPr="00B11EC2">
        <w:rPr>
          <w:rFonts w:ascii="Arial" w:hAnsi="Arial" w:cs="Arial"/>
        </w:rPr>
        <w:t>Temperado</w:t>
      </w:r>
      <w:proofErr w:type="spellEnd"/>
      <w:r w:rsidRPr="00B11EC2">
        <w:rPr>
          <w:rFonts w:ascii="Arial" w:hAnsi="Arial" w:cs="Arial"/>
        </w:rPr>
        <w:t xml:space="preserve">. </w:t>
      </w:r>
      <w:proofErr w:type="spellStart"/>
      <w:r w:rsidRPr="00B11EC2">
        <w:rPr>
          <w:rFonts w:ascii="Arial" w:hAnsi="Arial" w:cs="Arial"/>
        </w:rPr>
        <w:t>Comunicado</w:t>
      </w:r>
      <w:proofErr w:type="spellEnd"/>
      <w:r w:rsidRPr="00B11EC2">
        <w:rPr>
          <w:rFonts w:ascii="Arial" w:hAnsi="Arial" w:cs="Arial"/>
        </w:rPr>
        <w:t xml:space="preserve"> Técnico, 199). Available </w:t>
      </w:r>
      <w:proofErr w:type="spellStart"/>
      <w:proofErr w:type="gramStart"/>
      <w:r w:rsidRPr="00B11EC2">
        <w:rPr>
          <w:rFonts w:ascii="Arial" w:hAnsi="Arial" w:cs="Arial"/>
        </w:rPr>
        <w:t>at:http</w:t>
      </w:r>
      <w:proofErr w:type="spellEnd"/>
      <w:r w:rsidRPr="00B11EC2">
        <w:rPr>
          <w:rFonts w:ascii="Arial" w:hAnsi="Arial" w:cs="Arial"/>
        </w:rPr>
        <w:t>://ainfo.cnptia.embrapa.br/digital/bitstream/item/</w:t>
      </w:r>
      <w:proofErr w:type="gramEnd"/>
      <w:r w:rsidRPr="00B11EC2">
        <w:rPr>
          <w:rFonts w:ascii="Arial" w:hAnsi="Arial" w:cs="Arial"/>
        </w:rPr>
        <w:t xml:space="preserve"> 31419/1/</w:t>
      </w:r>
      <w:proofErr w:type="spellStart"/>
      <w:r w:rsidRPr="00B11EC2">
        <w:rPr>
          <w:rFonts w:ascii="Arial" w:hAnsi="Arial" w:cs="Arial"/>
        </w:rPr>
        <w:t>comunic</w:t>
      </w:r>
      <w:proofErr w:type="spellEnd"/>
      <w:r w:rsidRPr="00B11EC2">
        <w:rPr>
          <w:rFonts w:ascii="Arial" w:hAnsi="Arial" w:cs="Arial"/>
        </w:rPr>
        <w:t xml:space="preserve"> ado-199.</w:t>
      </w:r>
    </w:p>
    <w:p w14:paraId="79E0A0D1"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 xml:space="preserve">Saha, P. K., Ishaque, M., </w:t>
      </w:r>
      <w:proofErr w:type="spellStart"/>
      <w:r w:rsidRPr="00B11EC2">
        <w:rPr>
          <w:rFonts w:ascii="Arial" w:hAnsi="Arial" w:cs="Arial"/>
        </w:rPr>
        <w:t>Saleque</w:t>
      </w:r>
      <w:proofErr w:type="spellEnd"/>
      <w:r w:rsidRPr="00B11EC2">
        <w:rPr>
          <w:rFonts w:ascii="Arial" w:hAnsi="Arial" w:cs="Arial"/>
        </w:rPr>
        <w:t xml:space="preserve">, M. A., Miah, M. A. M., &amp; </w:t>
      </w:r>
      <w:proofErr w:type="spellStart"/>
      <w:r w:rsidRPr="00B11EC2">
        <w:rPr>
          <w:rFonts w:ascii="Arial" w:hAnsi="Arial" w:cs="Arial"/>
        </w:rPr>
        <w:t>Panaullah</w:t>
      </w:r>
      <w:proofErr w:type="spellEnd"/>
      <w:r w:rsidRPr="00B11EC2">
        <w:rPr>
          <w:rFonts w:ascii="Arial" w:hAnsi="Arial" w:cs="Arial"/>
        </w:rPr>
        <w:t xml:space="preserve">, G. M. (2007). Long-term integrated nutrient management for rice-based cropping pattern: Effect on growth, yield, nutrient uptake, nutrient balance sheet and soil fertility. Communications in Soil Science and Plant Analysis, 38, 579-610. </w:t>
      </w:r>
    </w:p>
    <w:p w14:paraId="39865EE0"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DOI: 10.1080/00103620701215718</w:t>
      </w:r>
    </w:p>
    <w:p w14:paraId="72F285F9" w14:textId="77777777" w:rsidR="00B11EC2" w:rsidRPr="00B11EC2" w:rsidRDefault="00B11EC2" w:rsidP="00C6441E">
      <w:pPr>
        <w:pStyle w:val="Body"/>
        <w:spacing w:after="0"/>
        <w:ind w:left="810" w:hanging="810"/>
        <w:rPr>
          <w:rFonts w:ascii="Arial" w:hAnsi="Arial" w:cs="Arial"/>
        </w:rPr>
      </w:pPr>
      <w:proofErr w:type="spellStart"/>
      <w:r w:rsidRPr="00B11EC2">
        <w:rPr>
          <w:rFonts w:ascii="Arial" w:hAnsi="Arial" w:cs="Arial"/>
        </w:rPr>
        <w:t>Scivittaro</w:t>
      </w:r>
      <w:proofErr w:type="spellEnd"/>
      <w:r w:rsidRPr="00B11EC2">
        <w:rPr>
          <w:rFonts w:ascii="Arial" w:hAnsi="Arial" w:cs="Arial"/>
        </w:rPr>
        <w:t xml:space="preserve">, W. B., Silva, C. A. S., &amp; Reis, J. C. L. (2008). </w:t>
      </w:r>
      <w:proofErr w:type="spellStart"/>
      <w:r w:rsidRPr="00B11EC2">
        <w:rPr>
          <w:rFonts w:ascii="Arial" w:hAnsi="Arial" w:cs="Arial"/>
        </w:rPr>
        <w:t>Racionalização</w:t>
      </w:r>
      <w:proofErr w:type="spellEnd"/>
      <w:r w:rsidRPr="00B11EC2">
        <w:rPr>
          <w:rFonts w:ascii="Arial" w:hAnsi="Arial" w:cs="Arial"/>
        </w:rPr>
        <w:t xml:space="preserve"> da </w:t>
      </w:r>
      <w:proofErr w:type="spellStart"/>
      <w:r w:rsidRPr="00B11EC2">
        <w:rPr>
          <w:rFonts w:ascii="Arial" w:hAnsi="Arial" w:cs="Arial"/>
        </w:rPr>
        <w:t>aplicação</w:t>
      </w:r>
      <w:proofErr w:type="spellEnd"/>
      <w:r w:rsidRPr="00B11EC2">
        <w:rPr>
          <w:rFonts w:ascii="Arial" w:hAnsi="Arial" w:cs="Arial"/>
        </w:rPr>
        <w:t xml:space="preserve"> de </w:t>
      </w:r>
      <w:proofErr w:type="spellStart"/>
      <w:r w:rsidRPr="00B11EC2">
        <w:rPr>
          <w:rFonts w:ascii="Arial" w:hAnsi="Arial" w:cs="Arial"/>
        </w:rPr>
        <w:t>fertilizante</w:t>
      </w:r>
      <w:proofErr w:type="spellEnd"/>
      <w:r w:rsidRPr="00B11EC2">
        <w:rPr>
          <w:rFonts w:ascii="Arial" w:hAnsi="Arial" w:cs="Arial"/>
        </w:rPr>
        <w:t xml:space="preserve"> </w:t>
      </w:r>
      <w:proofErr w:type="spellStart"/>
      <w:r w:rsidRPr="00B11EC2">
        <w:rPr>
          <w:rFonts w:ascii="Arial" w:hAnsi="Arial" w:cs="Arial"/>
        </w:rPr>
        <w:t>Nado</w:t>
      </w:r>
      <w:proofErr w:type="spellEnd"/>
      <w:r w:rsidRPr="00B11EC2">
        <w:rPr>
          <w:rFonts w:ascii="Arial" w:hAnsi="Arial" w:cs="Arial"/>
        </w:rPr>
        <w:t xml:space="preserve"> </w:t>
      </w:r>
      <w:proofErr w:type="spellStart"/>
      <w:r w:rsidRPr="00B11EC2">
        <w:rPr>
          <w:rFonts w:ascii="Arial" w:hAnsi="Arial" w:cs="Arial"/>
        </w:rPr>
        <w:t>na</w:t>
      </w:r>
      <w:proofErr w:type="spellEnd"/>
      <w:r w:rsidRPr="00B11EC2">
        <w:rPr>
          <w:rFonts w:ascii="Arial" w:hAnsi="Arial" w:cs="Arial"/>
        </w:rPr>
        <w:t xml:space="preserve"> </w:t>
      </w:r>
      <w:proofErr w:type="spellStart"/>
      <w:r w:rsidRPr="00B11EC2">
        <w:rPr>
          <w:rFonts w:ascii="Arial" w:hAnsi="Arial" w:cs="Arial"/>
        </w:rPr>
        <w:t>produção</w:t>
      </w:r>
      <w:proofErr w:type="spellEnd"/>
      <w:r w:rsidRPr="00B11EC2">
        <w:rPr>
          <w:rFonts w:ascii="Arial" w:hAnsi="Arial" w:cs="Arial"/>
        </w:rPr>
        <w:t xml:space="preserve"> de arroz </w:t>
      </w:r>
      <w:proofErr w:type="spellStart"/>
      <w:r w:rsidRPr="00B11EC2">
        <w:rPr>
          <w:rFonts w:ascii="Arial" w:hAnsi="Arial" w:cs="Arial"/>
        </w:rPr>
        <w:t>irrigado</w:t>
      </w:r>
      <w:proofErr w:type="spellEnd"/>
      <w:r w:rsidRPr="00B11EC2">
        <w:rPr>
          <w:rFonts w:ascii="Arial" w:hAnsi="Arial" w:cs="Arial"/>
        </w:rPr>
        <w:t xml:space="preserve">. Pelotas: </w:t>
      </w:r>
      <w:proofErr w:type="spellStart"/>
      <w:r w:rsidRPr="00B11EC2">
        <w:rPr>
          <w:rFonts w:ascii="Arial" w:hAnsi="Arial" w:cs="Arial"/>
        </w:rPr>
        <w:t>Embrapa</w:t>
      </w:r>
      <w:proofErr w:type="spellEnd"/>
      <w:r w:rsidRPr="00B11EC2">
        <w:rPr>
          <w:rFonts w:ascii="Arial" w:hAnsi="Arial" w:cs="Arial"/>
        </w:rPr>
        <w:t xml:space="preserve"> </w:t>
      </w:r>
      <w:proofErr w:type="spellStart"/>
      <w:r w:rsidRPr="00B11EC2">
        <w:rPr>
          <w:rFonts w:ascii="Arial" w:hAnsi="Arial" w:cs="Arial"/>
        </w:rPr>
        <w:t>Clima</w:t>
      </w:r>
      <w:proofErr w:type="spellEnd"/>
      <w:r w:rsidRPr="00B11EC2">
        <w:rPr>
          <w:rFonts w:ascii="Arial" w:hAnsi="Arial" w:cs="Arial"/>
        </w:rPr>
        <w:t xml:space="preserve"> </w:t>
      </w:r>
      <w:proofErr w:type="spellStart"/>
      <w:r w:rsidRPr="00B11EC2">
        <w:rPr>
          <w:rFonts w:ascii="Arial" w:hAnsi="Arial" w:cs="Arial"/>
        </w:rPr>
        <w:t>Temperado</w:t>
      </w:r>
      <w:proofErr w:type="spellEnd"/>
      <w:r w:rsidRPr="00B11EC2">
        <w:rPr>
          <w:rFonts w:ascii="Arial" w:hAnsi="Arial" w:cs="Arial"/>
        </w:rPr>
        <w:t>, (</w:t>
      </w:r>
      <w:proofErr w:type="spellStart"/>
      <w:r w:rsidRPr="00B11EC2">
        <w:rPr>
          <w:rFonts w:ascii="Arial" w:hAnsi="Arial" w:cs="Arial"/>
        </w:rPr>
        <w:t>Embrapa</w:t>
      </w:r>
      <w:proofErr w:type="spellEnd"/>
      <w:r w:rsidRPr="00B11EC2">
        <w:rPr>
          <w:rFonts w:ascii="Arial" w:hAnsi="Arial" w:cs="Arial"/>
        </w:rPr>
        <w:t xml:space="preserve"> </w:t>
      </w:r>
      <w:proofErr w:type="spellStart"/>
      <w:r w:rsidRPr="00B11EC2">
        <w:rPr>
          <w:rFonts w:ascii="Arial" w:hAnsi="Arial" w:cs="Arial"/>
        </w:rPr>
        <w:t>Clima</w:t>
      </w:r>
      <w:proofErr w:type="spellEnd"/>
      <w:r w:rsidRPr="00B11EC2">
        <w:rPr>
          <w:rFonts w:ascii="Arial" w:hAnsi="Arial" w:cs="Arial"/>
        </w:rPr>
        <w:t xml:space="preserve"> </w:t>
      </w:r>
      <w:proofErr w:type="spellStart"/>
      <w:r w:rsidRPr="00B11EC2">
        <w:rPr>
          <w:rFonts w:ascii="Arial" w:hAnsi="Arial" w:cs="Arial"/>
        </w:rPr>
        <w:t>Temperado</w:t>
      </w:r>
      <w:proofErr w:type="spellEnd"/>
      <w:r w:rsidRPr="00B11EC2">
        <w:rPr>
          <w:rFonts w:ascii="Arial" w:hAnsi="Arial" w:cs="Arial"/>
        </w:rPr>
        <w:t xml:space="preserve">. </w:t>
      </w:r>
      <w:proofErr w:type="spellStart"/>
      <w:r w:rsidRPr="00B11EC2">
        <w:rPr>
          <w:rFonts w:ascii="Arial" w:hAnsi="Arial" w:cs="Arial"/>
        </w:rPr>
        <w:t>Comunicado</w:t>
      </w:r>
      <w:proofErr w:type="spellEnd"/>
      <w:r w:rsidRPr="00B11EC2">
        <w:rPr>
          <w:rFonts w:ascii="Arial" w:hAnsi="Arial" w:cs="Arial"/>
        </w:rPr>
        <w:t xml:space="preserve"> Técnico, 2008) 6 pp.</w:t>
      </w:r>
    </w:p>
    <w:p w14:paraId="5D0A900D" w14:textId="77777777" w:rsidR="00B11EC2" w:rsidRPr="00B11EC2" w:rsidRDefault="00B11EC2" w:rsidP="00C6441E">
      <w:pPr>
        <w:pStyle w:val="Body"/>
        <w:spacing w:after="0"/>
        <w:ind w:left="810" w:hanging="810"/>
        <w:rPr>
          <w:rFonts w:ascii="Arial" w:hAnsi="Arial" w:cs="Arial"/>
        </w:rPr>
      </w:pPr>
      <w:proofErr w:type="spellStart"/>
      <w:r w:rsidRPr="00B11EC2">
        <w:rPr>
          <w:rFonts w:ascii="Arial" w:hAnsi="Arial" w:cs="Arial"/>
        </w:rPr>
        <w:t>Scivittaro</w:t>
      </w:r>
      <w:proofErr w:type="spellEnd"/>
      <w:r w:rsidRPr="00B11EC2">
        <w:rPr>
          <w:rFonts w:ascii="Arial" w:hAnsi="Arial" w:cs="Arial"/>
        </w:rPr>
        <w:t xml:space="preserve">, W. B., Silva, C. A. S., Reis, J. C. L., Muraoka, T., &amp; </w:t>
      </w:r>
      <w:proofErr w:type="spellStart"/>
      <w:r w:rsidRPr="00B11EC2">
        <w:rPr>
          <w:rFonts w:ascii="Arial" w:hAnsi="Arial" w:cs="Arial"/>
        </w:rPr>
        <w:t>Trivelin</w:t>
      </w:r>
      <w:proofErr w:type="spellEnd"/>
      <w:r w:rsidRPr="00B11EC2">
        <w:rPr>
          <w:rFonts w:ascii="Arial" w:hAnsi="Arial" w:cs="Arial"/>
        </w:rPr>
        <w:t xml:space="preserve">, P. C. O. (2005). </w:t>
      </w:r>
      <w:proofErr w:type="spellStart"/>
      <w:r w:rsidRPr="00B11EC2">
        <w:rPr>
          <w:rFonts w:ascii="Arial" w:hAnsi="Arial" w:cs="Arial"/>
        </w:rPr>
        <w:t>Potencial</w:t>
      </w:r>
      <w:proofErr w:type="spellEnd"/>
      <w:r w:rsidRPr="00B11EC2">
        <w:rPr>
          <w:rFonts w:ascii="Arial" w:hAnsi="Arial" w:cs="Arial"/>
        </w:rPr>
        <w:t xml:space="preserve"> de </w:t>
      </w:r>
      <w:proofErr w:type="spellStart"/>
      <w:r w:rsidRPr="00B11EC2">
        <w:rPr>
          <w:rFonts w:ascii="Arial" w:hAnsi="Arial" w:cs="Arial"/>
        </w:rPr>
        <w:t>fornecimento</w:t>
      </w:r>
      <w:proofErr w:type="spellEnd"/>
      <w:r w:rsidRPr="00B11EC2">
        <w:rPr>
          <w:rFonts w:ascii="Arial" w:hAnsi="Arial" w:cs="Arial"/>
        </w:rPr>
        <w:t xml:space="preserve"> de </w:t>
      </w:r>
      <w:proofErr w:type="spellStart"/>
      <w:r w:rsidRPr="00B11EC2">
        <w:rPr>
          <w:rFonts w:ascii="Arial" w:hAnsi="Arial" w:cs="Arial"/>
        </w:rPr>
        <w:t>nitrogênio</w:t>
      </w:r>
      <w:proofErr w:type="spellEnd"/>
      <w:r w:rsidRPr="00B11EC2">
        <w:rPr>
          <w:rFonts w:ascii="Arial" w:hAnsi="Arial" w:cs="Arial"/>
        </w:rPr>
        <w:t xml:space="preserve"> (15N) de </w:t>
      </w:r>
      <w:proofErr w:type="spellStart"/>
      <w:r w:rsidRPr="00B11EC2">
        <w:rPr>
          <w:rFonts w:ascii="Arial" w:hAnsi="Arial" w:cs="Arial"/>
        </w:rPr>
        <w:t>adubos</w:t>
      </w:r>
      <w:proofErr w:type="spellEnd"/>
      <w:r w:rsidRPr="00B11EC2">
        <w:rPr>
          <w:rFonts w:ascii="Arial" w:hAnsi="Arial" w:cs="Arial"/>
        </w:rPr>
        <w:t xml:space="preserve"> </w:t>
      </w:r>
      <w:proofErr w:type="spellStart"/>
      <w:r w:rsidRPr="00B11EC2">
        <w:rPr>
          <w:rFonts w:ascii="Arial" w:hAnsi="Arial" w:cs="Arial"/>
        </w:rPr>
        <w:t>verdes</w:t>
      </w:r>
      <w:proofErr w:type="spellEnd"/>
      <w:r w:rsidRPr="00B11EC2">
        <w:rPr>
          <w:rFonts w:ascii="Arial" w:hAnsi="Arial" w:cs="Arial"/>
        </w:rPr>
        <w:t xml:space="preserve"> para o arroz </w:t>
      </w:r>
      <w:proofErr w:type="spellStart"/>
      <w:r w:rsidRPr="00B11EC2">
        <w:rPr>
          <w:rFonts w:ascii="Arial" w:hAnsi="Arial" w:cs="Arial"/>
        </w:rPr>
        <w:t>irrigado</w:t>
      </w:r>
      <w:proofErr w:type="spellEnd"/>
      <w:r w:rsidRPr="00B11EC2">
        <w:rPr>
          <w:rFonts w:ascii="Arial" w:hAnsi="Arial" w:cs="Arial"/>
        </w:rPr>
        <w:t xml:space="preserve">. Pelotas: </w:t>
      </w:r>
      <w:proofErr w:type="spellStart"/>
      <w:r w:rsidRPr="00B11EC2">
        <w:rPr>
          <w:rFonts w:ascii="Arial" w:hAnsi="Arial" w:cs="Arial"/>
        </w:rPr>
        <w:t>Embrapa</w:t>
      </w:r>
      <w:proofErr w:type="spellEnd"/>
      <w:r w:rsidRPr="00B11EC2">
        <w:rPr>
          <w:rFonts w:ascii="Arial" w:hAnsi="Arial" w:cs="Arial"/>
        </w:rPr>
        <w:t xml:space="preserve"> </w:t>
      </w:r>
      <w:proofErr w:type="spellStart"/>
      <w:r w:rsidRPr="00B11EC2">
        <w:rPr>
          <w:rFonts w:ascii="Arial" w:hAnsi="Arial" w:cs="Arial"/>
        </w:rPr>
        <w:t>Clima</w:t>
      </w:r>
      <w:proofErr w:type="spellEnd"/>
      <w:r w:rsidRPr="00B11EC2">
        <w:rPr>
          <w:rFonts w:ascii="Arial" w:hAnsi="Arial" w:cs="Arial"/>
        </w:rPr>
        <w:t xml:space="preserve"> </w:t>
      </w:r>
      <w:proofErr w:type="spellStart"/>
      <w:r w:rsidRPr="00B11EC2">
        <w:rPr>
          <w:rFonts w:ascii="Arial" w:hAnsi="Arial" w:cs="Arial"/>
        </w:rPr>
        <w:t>Temperado</w:t>
      </w:r>
      <w:proofErr w:type="spellEnd"/>
      <w:r w:rsidRPr="00B11EC2">
        <w:rPr>
          <w:rFonts w:ascii="Arial" w:hAnsi="Arial" w:cs="Arial"/>
        </w:rPr>
        <w:t>. 22 pp. (</w:t>
      </w:r>
      <w:proofErr w:type="spellStart"/>
      <w:r w:rsidRPr="00B11EC2">
        <w:rPr>
          <w:rFonts w:ascii="Arial" w:hAnsi="Arial" w:cs="Arial"/>
        </w:rPr>
        <w:t>Embrapa</w:t>
      </w:r>
      <w:proofErr w:type="spellEnd"/>
      <w:r w:rsidRPr="00B11EC2">
        <w:rPr>
          <w:rFonts w:ascii="Arial" w:hAnsi="Arial" w:cs="Arial"/>
        </w:rPr>
        <w:t xml:space="preserve"> </w:t>
      </w:r>
      <w:proofErr w:type="spellStart"/>
      <w:r w:rsidRPr="00B11EC2">
        <w:rPr>
          <w:rFonts w:ascii="Arial" w:hAnsi="Arial" w:cs="Arial"/>
        </w:rPr>
        <w:t>Clima</w:t>
      </w:r>
      <w:proofErr w:type="spellEnd"/>
      <w:r w:rsidRPr="00B11EC2">
        <w:rPr>
          <w:rFonts w:ascii="Arial" w:hAnsi="Arial" w:cs="Arial"/>
        </w:rPr>
        <w:t xml:space="preserve"> </w:t>
      </w:r>
      <w:proofErr w:type="spellStart"/>
      <w:r w:rsidRPr="00B11EC2">
        <w:rPr>
          <w:rFonts w:ascii="Arial" w:hAnsi="Arial" w:cs="Arial"/>
        </w:rPr>
        <w:t>Temperado</w:t>
      </w:r>
      <w:proofErr w:type="spellEnd"/>
      <w:r w:rsidRPr="00B11EC2">
        <w:rPr>
          <w:rFonts w:ascii="Arial" w:hAnsi="Arial" w:cs="Arial"/>
        </w:rPr>
        <w:t xml:space="preserve">. </w:t>
      </w:r>
      <w:proofErr w:type="spellStart"/>
      <w:r w:rsidRPr="00B11EC2">
        <w:rPr>
          <w:rFonts w:ascii="Arial" w:hAnsi="Arial" w:cs="Arial"/>
        </w:rPr>
        <w:t>Boletim</w:t>
      </w:r>
      <w:proofErr w:type="spellEnd"/>
      <w:r w:rsidRPr="00B11EC2">
        <w:rPr>
          <w:rFonts w:ascii="Arial" w:hAnsi="Arial" w:cs="Arial"/>
        </w:rPr>
        <w:t xml:space="preserve"> de </w:t>
      </w:r>
      <w:proofErr w:type="spellStart"/>
      <w:r w:rsidRPr="00B11EC2">
        <w:rPr>
          <w:rFonts w:ascii="Arial" w:hAnsi="Arial" w:cs="Arial"/>
        </w:rPr>
        <w:t>pesquisa</w:t>
      </w:r>
      <w:proofErr w:type="spellEnd"/>
      <w:r w:rsidRPr="00B11EC2">
        <w:rPr>
          <w:rFonts w:ascii="Arial" w:hAnsi="Arial" w:cs="Arial"/>
        </w:rPr>
        <w:t xml:space="preserve"> e </w:t>
      </w:r>
      <w:proofErr w:type="spellStart"/>
      <w:r w:rsidRPr="00B11EC2">
        <w:rPr>
          <w:rFonts w:ascii="Arial" w:hAnsi="Arial" w:cs="Arial"/>
        </w:rPr>
        <w:t>desenvolvimento</w:t>
      </w:r>
      <w:proofErr w:type="spellEnd"/>
      <w:r w:rsidRPr="00B11EC2">
        <w:rPr>
          <w:rFonts w:ascii="Arial" w:hAnsi="Arial" w:cs="Arial"/>
        </w:rPr>
        <w:t>, 21).</w:t>
      </w:r>
    </w:p>
    <w:p w14:paraId="79452074"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lastRenderedPageBreak/>
        <w:t xml:space="preserve">Silva, E. C., Muraoka, T., </w:t>
      </w:r>
      <w:proofErr w:type="spellStart"/>
      <w:r w:rsidRPr="00B11EC2">
        <w:rPr>
          <w:rFonts w:ascii="Arial" w:hAnsi="Arial" w:cs="Arial"/>
        </w:rPr>
        <w:t>Buzetti</w:t>
      </w:r>
      <w:proofErr w:type="spellEnd"/>
      <w:r w:rsidRPr="00B11EC2">
        <w:rPr>
          <w:rFonts w:ascii="Arial" w:hAnsi="Arial" w:cs="Arial"/>
        </w:rPr>
        <w:t xml:space="preserve">, S., Veloso, M. E. C., &amp; </w:t>
      </w:r>
      <w:proofErr w:type="spellStart"/>
      <w:r w:rsidRPr="00B11EC2">
        <w:rPr>
          <w:rFonts w:ascii="Arial" w:hAnsi="Arial" w:cs="Arial"/>
        </w:rPr>
        <w:t>Trivelin</w:t>
      </w:r>
      <w:proofErr w:type="spellEnd"/>
      <w:r w:rsidRPr="00B11EC2">
        <w:rPr>
          <w:rFonts w:ascii="Arial" w:hAnsi="Arial" w:cs="Arial"/>
        </w:rPr>
        <w:t xml:space="preserve">, P. C. O. (2006). </w:t>
      </w:r>
      <w:proofErr w:type="spellStart"/>
      <w:r w:rsidRPr="00B11EC2">
        <w:rPr>
          <w:rFonts w:ascii="Arial" w:hAnsi="Arial" w:cs="Arial"/>
        </w:rPr>
        <w:t>Aproveitamento</w:t>
      </w:r>
      <w:proofErr w:type="spellEnd"/>
      <w:r w:rsidRPr="00B11EC2">
        <w:rPr>
          <w:rFonts w:ascii="Arial" w:hAnsi="Arial" w:cs="Arial"/>
        </w:rPr>
        <w:t xml:space="preserve"> do </w:t>
      </w:r>
      <w:proofErr w:type="spellStart"/>
      <w:r w:rsidRPr="00B11EC2">
        <w:rPr>
          <w:rFonts w:ascii="Arial" w:hAnsi="Arial" w:cs="Arial"/>
        </w:rPr>
        <w:t>nitrogênio</w:t>
      </w:r>
      <w:proofErr w:type="spellEnd"/>
      <w:r w:rsidRPr="00B11EC2">
        <w:rPr>
          <w:rFonts w:ascii="Arial" w:hAnsi="Arial" w:cs="Arial"/>
        </w:rPr>
        <w:t xml:space="preserve"> (15N) da </w:t>
      </w:r>
      <w:proofErr w:type="spellStart"/>
      <w:r w:rsidRPr="00B11EC2">
        <w:rPr>
          <w:rFonts w:ascii="Arial" w:hAnsi="Arial" w:cs="Arial"/>
        </w:rPr>
        <w:t>crotalária</w:t>
      </w:r>
      <w:proofErr w:type="spellEnd"/>
      <w:r w:rsidRPr="00B11EC2">
        <w:rPr>
          <w:rFonts w:ascii="Arial" w:hAnsi="Arial" w:cs="Arial"/>
        </w:rPr>
        <w:t xml:space="preserve"> e do </w:t>
      </w:r>
      <w:proofErr w:type="spellStart"/>
      <w:r w:rsidRPr="00B11EC2">
        <w:rPr>
          <w:rFonts w:ascii="Arial" w:hAnsi="Arial" w:cs="Arial"/>
        </w:rPr>
        <w:t>milheto</w:t>
      </w:r>
      <w:proofErr w:type="spellEnd"/>
      <w:r w:rsidRPr="00B11EC2">
        <w:rPr>
          <w:rFonts w:ascii="Arial" w:hAnsi="Arial" w:cs="Arial"/>
        </w:rPr>
        <w:t xml:space="preserve"> </w:t>
      </w:r>
      <w:proofErr w:type="spellStart"/>
      <w:r w:rsidRPr="00B11EC2">
        <w:rPr>
          <w:rFonts w:ascii="Arial" w:hAnsi="Arial" w:cs="Arial"/>
        </w:rPr>
        <w:t>pelo</w:t>
      </w:r>
      <w:proofErr w:type="spellEnd"/>
      <w:r w:rsidRPr="00B11EC2">
        <w:rPr>
          <w:rFonts w:ascii="Arial" w:hAnsi="Arial" w:cs="Arial"/>
        </w:rPr>
        <w:t xml:space="preserve"> </w:t>
      </w:r>
      <w:proofErr w:type="spellStart"/>
      <w:r w:rsidRPr="00B11EC2">
        <w:rPr>
          <w:rFonts w:ascii="Arial" w:hAnsi="Arial" w:cs="Arial"/>
        </w:rPr>
        <w:t>milho</w:t>
      </w:r>
      <w:proofErr w:type="spellEnd"/>
      <w:r w:rsidRPr="00B11EC2">
        <w:rPr>
          <w:rFonts w:ascii="Arial" w:hAnsi="Arial" w:cs="Arial"/>
        </w:rPr>
        <w:t xml:space="preserve"> sob </w:t>
      </w:r>
      <w:proofErr w:type="spellStart"/>
      <w:r w:rsidRPr="00B11EC2">
        <w:rPr>
          <w:rFonts w:ascii="Arial" w:hAnsi="Arial" w:cs="Arial"/>
        </w:rPr>
        <w:t>plantio</w:t>
      </w:r>
      <w:proofErr w:type="spellEnd"/>
      <w:r w:rsidRPr="00B11EC2">
        <w:rPr>
          <w:rFonts w:ascii="Arial" w:hAnsi="Arial" w:cs="Arial"/>
        </w:rPr>
        <w:t xml:space="preserve"> </w:t>
      </w:r>
      <w:proofErr w:type="spellStart"/>
      <w:r w:rsidRPr="00B11EC2">
        <w:rPr>
          <w:rFonts w:ascii="Arial" w:hAnsi="Arial" w:cs="Arial"/>
        </w:rPr>
        <w:t>direto</w:t>
      </w:r>
      <w:proofErr w:type="spellEnd"/>
      <w:r w:rsidRPr="00B11EC2">
        <w:rPr>
          <w:rFonts w:ascii="Arial" w:hAnsi="Arial" w:cs="Arial"/>
        </w:rPr>
        <w:t xml:space="preserve"> </w:t>
      </w:r>
      <w:proofErr w:type="spellStart"/>
      <w:r w:rsidRPr="00B11EC2">
        <w:rPr>
          <w:rFonts w:ascii="Arial" w:hAnsi="Arial" w:cs="Arial"/>
        </w:rPr>
        <w:t>em</w:t>
      </w:r>
      <w:proofErr w:type="spellEnd"/>
      <w:r w:rsidRPr="00B11EC2">
        <w:rPr>
          <w:rFonts w:ascii="Arial" w:hAnsi="Arial" w:cs="Arial"/>
        </w:rPr>
        <w:t xml:space="preserve"> </w:t>
      </w:r>
      <w:proofErr w:type="spellStart"/>
      <w:r w:rsidRPr="00B11EC2">
        <w:rPr>
          <w:rFonts w:ascii="Arial" w:hAnsi="Arial" w:cs="Arial"/>
        </w:rPr>
        <w:t>Latossolo</w:t>
      </w:r>
      <w:proofErr w:type="spellEnd"/>
      <w:r w:rsidRPr="00B11EC2">
        <w:rPr>
          <w:rFonts w:ascii="Arial" w:hAnsi="Arial" w:cs="Arial"/>
        </w:rPr>
        <w:t xml:space="preserve"> </w:t>
      </w:r>
      <w:proofErr w:type="spellStart"/>
      <w:r w:rsidRPr="00B11EC2">
        <w:rPr>
          <w:rFonts w:ascii="Arial" w:hAnsi="Arial" w:cs="Arial"/>
        </w:rPr>
        <w:t>Vermelho</w:t>
      </w:r>
      <w:proofErr w:type="spellEnd"/>
      <w:r w:rsidRPr="00B11EC2">
        <w:rPr>
          <w:rFonts w:ascii="Arial" w:hAnsi="Arial" w:cs="Arial"/>
        </w:rPr>
        <w:t xml:space="preserve"> de </w:t>
      </w:r>
      <w:proofErr w:type="spellStart"/>
      <w:r w:rsidRPr="00B11EC2">
        <w:rPr>
          <w:rFonts w:ascii="Arial" w:hAnsi="Arial" w:cs="Arial"/>
        </w:rPr>
        <w:t>Cerrado</w:t>
      </w:r>
      <w:proofErr w:type="spellEnd"/>
      <w:r w:rsidRPr="00B11EC2">
        <w:rPr>
          <w:rFonts w:ascii="Arial" w:hAnsi="Arial" w:cs="Arial"/>
        </w:rPr>
        <w:t xml:space="preserve">. </w:t>
      </w:r>
      <w:proofErr w:type="spellStart"/>
      <w:r w:rsidRPr="00B11EC2">
        <w:rPr>
          <w:rFonts w:ascii="Arial" w:hAnsi="Arial" w:cs="Arial"/>
        </w:rPr>
        <w:t>Cienc</w:t>
      </w:r>
      <w:proofErr w:type="spellEnd"/>
      <w:r w:rsidRPr="00B11EC2">
        <w:rPr>
          <w:rFonts w:ascii="Arial" w:hAnsi="Arial" w:cs="Arial"/>
        </w:rPr>
        <w:t>. Rural 36(3):739-746.</w:t>
      </w:r>
    </w:p>
    <w:p w14:paraId="6BFB0B42"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 xml:space="preserve">Tiwari, K. N., Tiwari, S. P., &amp; </w:t>
      </w:r>
      <w:proofErr w:type="spellStart"/>
      <w:r w:rsidRPr="00B11EC2">
        <w:rPr>
          <w:rFonts w:ascii="Arial" w:hAnsi="Arial" w:cs="Arial"/>
        </w:rPr>
        <w:t>Patham</w:t>
      </w:r>
      <w:proofErr w:type="spellEnd"/>
      <w:r w:rsidRPr="00B11EC2">
        <w:rPr>
          <w:rFonts w:ascii="Arial" w:hAnsi="Arial" w:cs="Arial"/>
        </w:rPr>
        <w:t>, A. N. (1980). Studies on green manuring of rice in double cropping system in a partially reclaimed saline sodic soil. Indian Journal of Agronomy, 25(1), 136-145.</w:t>
      </w:r>
    </w:p>
    <w:p w14:paraId="18EBCC67"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Tiwari, K.N., A.N. Pathak and H. Ram, 1980. Green manuring in combination with fertilizer N in rice under double cropping system in alluvial soils. J. Indian Soc. Soil Sci., 28: 162-169.</w:t>
      </w:r>
    </w:p>
    <w:p w14:paraId="290D54C6"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 xml:space="preserve">Vineela, K., D. Subramanyam, G. Karuna Sagar, K. V. Naga Madhuri, P. Sudhakar, &amp; V. Chandrika, (2024). Nutrient Uptake and Yield of Rice as Influenced by Different Systems of Rice Cultivation and Organic Nutrient Management Practices, J. Res. ANGRAU, 52 (1) 30-38. </w:t>
      </w:r>
      <w:proofErr w:type="spellStart"/>
      <w:r w:rsidRPr="00B11EC2">
        <w:rPr>
          <w:rFonts w:ascii="Arial" w:hAnsi="Arial" w:cs="Arial"/>
        </w:rPr>
        <w:t>DoI</w:t>
      </w:r>
      <w:proofErr w:type="spellEnd"/>
      <w:r w:rsidRPr="00B11EC2">
        <w:rPr>
          <w:rFonts w:ascii="Arial" w:hAnsi="Arial" w:cs="Arial"/>
        </w:rPr>
        <w:t>: https://doi.org/10.58537/jorangrau.2024.52.1.04</w:t>
      </w:r>
    </w:p>
    <w:p w14:paraId="7F7A0319"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 xml:space="preserve">Walkley, A., &amp; Black, I. A. (1934). An Examination of the </w:t>
      </w:r>
      <w:proofErr w:type="spellStart"/>
      <w:r w:rsidRPr="00B11EC2">
        <w:rPr>
          <w:rFonts w:ascii="Arial" w:hAnsi="Arial" w:cs="Arial"/>
        </w:rPr>
        <w:t>Degtjareff</w:t>
      </w:r>
      <w:proofErr w:type="spellEnd"/>
      <w:r w:rsidRPr="00B11EC2">
        <w:rPr>
          <w:rFonts w:ascii="Arial" w:hAnsi="Arial" w:cs="Arial"/>
        </w:rPr>
        <w:t xml:space="preserve"> Method for Determining Soil Organic Matter and a Proposed Modification of the </w:t>
      </w:r>
      <w:proofErr w:type="spellStart"/>
      <w:r w:rsidRPr="00B11EC2">
        <w:rPr>
          <w:rFonts w:ascii="Arial" w:hAnsi="Arial" w:cs="Arial"/>
        </w:rPr>
        <w:t>Chromi</w:t>
      </w:r>
      <w:proofErr w:type="spellEnd"/>
      <w:r w:rsidRPr="00B11EC2">
        <w:rPr>
          <w:rFonts w:ascii="Arial" w:hAnsi="Arial" w:cs="Arial"/>
        </w:rPr>
        <w:t xml:space="preserve"> Acid Titration Method. Soil Science, 37, 29-38.</w:t>
      </w:r>
    </w:p>
    <w:p w14:paraId="06D5C7C1"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Yoshida, S. (1981). Fundamental of Rice Crop Science. 1st (ed), International Rice Research Institute, Los Baños, Laguna, Philippines. pp. 269.</w:t>
      </w:r>
    </w:p>
    <w:p w14:paraId="525CD95B" w14:textId="77777777" w:rsidR="00B11EC2" w:rsidRPr="00B11EC2" w:rsidRDefault="00B11EC2" w:rsidP="00C6441E">
      <w:pPr>
        <w:pStyle w:val="Body"/>
        <w:spacing w:after="0"/>
        <w:ind w:left="810" w:hanging="810"/>
        <w:rPr>
          <w:rFonts w:ascii="Arial" w:hAnsi="Arial" w:cs="Arial"/>
        </w:rPr>
      </w:pPr>
      <w:proofErr w:type="spellStart"/>
      <w:r w:rsidRPr="00B11EC2">
        <w:rPr>
          <w:rFonts w:ascii="Arial" w:hAnsi="Arial" w:cs="Arial"/>
        </w:rPr>
        <w:t>Zheljazkov</w:t>
      </w:r>
      <w:proofErr w:type="spellEnd"/>
      <w:r w:rsidRPr="00B11EC2">
        <w:rPr>
          <w:rFonts w:ascii="Arial" w:hAnsi="Arial" w:cs="Arial"/>
        </w:rPr>
        <w:t>, V. D., &amp; Nielson, N. E. (1996). Effect of heavy metals on peppermint and corn mint. Plant and Soil. 178, 59-66.</w:t>
      </w:r>
    </w:p>
    <w:p w14:paraId="4F0B5246" w14:textId="77777777" w:rsidR="00B11EC2" w:rsidRPr="00B11EC2" w:rsidRDefault="00B11EC2" w:rsidP="00C6441E">
      <w:pPr>
        <w:pStyle w:val="Body"/>
        <w:spacing w:after="0"/>
        <w:ind w:left="810" w:hanging="810"/>
        <w:rPr>
          <w:rFonts w:ascii="Arial" w:hAnsi="Arial" w:cs="Arial"/>
        </w:rPr>
      </w:pPr>
      <w:r w:rsidRPr="00B11EC2">
        <w:rPr>
          <w:rFonts w:ascii="Arial" w:hAnsi="Arial" w:cs="Arial"/>
        </w:rPr>
        <w:t>Zhang, D. B., P. W. Yao, N. Zhao, C. W. Yu, W. D. Cao, and Y. J. Gao. 2016. “Contribution of Green Manure Legumes to N Dynamics in Traditional Winter Wheat Cropping System in the Loess Plateau of China.” European Journal of Agronomy 72: 47–55. doi:10.1016/j. eja.2015.09.012.</w:t>
      </w:r>
    </w:p>
    <w:p w14:paraId="7D8916B5" w14:textId="00601596" w:rsidR="00B11EC2" w:rsidRDefault="00B11EC2" w:rsidP="00C6441E">
      <w:pPr>
        <w:pStyle w:val="Body"/>
        <w:spacing w:after="0"/>
        <w:ind w:left="810" w:hanging="810"/>
        <w:rPr>
          <w:rFonts w:ascii="Arial" w:hAnsi="Arial" w:cs="Arial"/>
        </w:rPr>
      </w:pPr>
      <w:r w:rsidRPr="00B11EC2">
        <w:rPr>
          <w:rFonts w:ascii="Arial" w:hAnsi="Arial" w:cs="Arial"/>
        </w:rPr>
        <w:t xml:space="preserve">Zhu, B., L. X. Yi, L. M. Guo, G. Chen, Y. G. Hu, H. M. Tang, C. F. Xiao, et al. 2012. “Performance of Two Winter Cover Crops and Their Impacts on Soil Properties and Two Subsequent Rice Crops in </w:t>
      </w:r>
      <w:proofErr w:type="spellStart"/>
      <w:r w:rsidRPr="00B11EC2">
        <w:rPr>
          <w:rFonts w:ascii="Arial" w:hAnsi="Arial" w:cs="Arial"/>
        </w:rPr>
        <w:t>Dongting</w:t>
      </w:r>
      <w:proofErr w:type="spellEnd"/>
      <w:r w:rsidRPr="00B11EC2">
        <w:rPr>
          <w:rFonts w:ascii="Arial" w:hAnsi="Arial" w:cs="Arial"/>
        </w:rPr>
        <w:t xml:space="preserve"> Lake Plain, Hunan, China.” Soil &amp; Tillage Research 124: 95–101. doi:10.1016/j. still.2012.05.007.</w:t>
      </w:r>
    </w:p>
    <w:p w14:paraId="25C66280" w14:textId="77777777" w:rsidR="00E769F6" w:rsidRPr="002C57D2" w:rsidRDefault="00E769F6" w:rsidP="00441B6F">
      <w:pPr>
        <w:pStyle w:val="Body"/>
        <w:spacing w:after="0"/>
        <w:rPr>
          <w:rFonts w:ascii="Arial" w:hAnsi="Arial" w:cs="Arial"/>
        </w:rPr>
      </w:pPr>
    </w:p>
    <w:p w14:paraId="79E5426D" w14:textId="77777777" w:rsidR="00B01FCD" w:rsidRPr="00FB3A86" w:rsidRDefault="00B01FCD" w:rsidP="00441B6F">
      <w:pPr>
        <w:pStyle w:val="Appendix"/>
        <w:spacing w:after="0"/>
        <w:jc w:val="both"/>
        <w:rPr>
          <w:rFonts w:ascii="Arial" w:hAnsi="Arial" w:cs="Arial"/>
          <w:b w:val="0"/>
        </w:rPr>
      </w:pPr>
    </w:p>
    <w:sectPr w:rsidR="00B01FCD" w:rsidRPr="00FB3A86" w:rsidSect="00061E68">
      <w:headerReference w:type="even" r:id="rId22"/>
      <w:headerReference w:type="default" r:id="rId23"/>
      <w:footerReference w:type="default" r:id="rId24"/>
      <w:headerReference w:type="first" r:id="rId2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4B2CB9" w14:textId="77777777" w:rsidR="000B3E77" w:rsidRDefault="000B3E77" w:rsidP="00C37E61">
      <w:r>
        <w:separator/>
      </w:r>
    </w:p>
  </w:endnote>
  <w:endnote w:type="continuationSeparator" w:id="0">
    <w:p w14:paraId="157D3C45" w14:textId="77777777" w:rsidR="000B3E77" w:rsidRDefault="000B3E7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yanmar Text">
    <w:panose1 w:val="020B0502040204020203"/>
    <w:charset w:val="00"/>
    <w:family w:val="swiss"/>
    <w:pitch w:val="variable"/>
    <w:sig w:usb0="80000003" w:usb1="00000000" w:usb2="00000400" w:usb3="00000000" w:csb0="0000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92E68" w14:textId="77777777" w:rsidR="00061E68" w:rsidRDefault="00061E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8D939" w14:textId="77777777" w:rsidR="00061E68" w:rsidRDefault="00061E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4C043" w14:textId="22B0B8D7" w:rsidR="00754C9A" w:rsidRPr="00061E68" w:rsidRDefault="00754C9A" w:rsidP="00061E68">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3675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58CA8D" w14:textId="77777777" w:rsidR="000B3E77" w:rsidRDefault="000B3E77" w:rsidP="00C37E61">
      <w:r>
        <w:separator/>
      </w:r>
    </w:p>
  </w:footnote>
  <w:footnote w:type="continuationSeparator" w:id="0">
    <w:p w14:paraId="4CD8BF22" w14:textId="77777777" w:rsidR="000B3E77" w:rsidRDefault="000B3E7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B8B52" w14:textId="16D47865" w:rsidR="00061E68" w:rsidRDefault="00061E68">
    <w:pPr>
      <w:pStyle w:val="Header"/>
    </w:pPr>
    <w:r>
      <w:rPr>
        <w:noProof/>
      </w:rPr>
      <w:pict w14:anchorId="7837FC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5959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4BAA1" w14:textId="39F18BA4" w:rsidR="00061E68" w:rsidRDefault="00061E68">
    <w:pPr>
      <w:pStyle w:val="Header"/>
    </w:pPr>
    <w:r>
      <w:rPr>
        <w:noProof/>
      </w:rPr>
      <w:pict w14:anchorId="75D651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5959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6956A" w14:textId="74B43F6D" w:rsidR="00296529" w:rsidRPr="00296529" w:rsidRDefault="00061E68" w:rsidP="00296529">
    <w:pPr>
      <w:ind w:left="2160"/>
      <w:jc w:val="center"/>
      <w:rPr>
        <w:rFonts w:ascii="Times New Roman" w:eastAsia="Calibri" w:hAnsi="Times New Roman"/>
        <w:i/>
        <w:sz w:val="18"/>
        <w:szCs w:val="22"/>
      </w:rPr>
    </w:pPr>
    <w:r>
      <w:rPr>
        <w:noProof/>
      </w:rPr>
      <w:pict w14:anchorId="76F01D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59593"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18EF10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3C26EF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528D5F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AA67BA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FE3157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5BBD8A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5F0CA" w14:textId="2BA18AA4" w:rsidR="00061E68" w:rsidRDefault="00061E68">
    <w:pPr>
      <w:pStyle w:val="Header"/>
    </w:pPr>
    <w:r>
      <w:rPr>
        <w:noProof/>
      </w:rPr>
      <w:pict w14:anchorId="0D8468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59597"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DC860" w14:textId="45E37706" w:rsidR="00061E68" w:rsidRDefault="00061E68">
    <w:pPr>
      <w:pStyle w:val="Header"/>
    </w:pPr>
    <w:r>
      <w:rPr>
        <w:noProof/>
      </w:rPr>
      <w:pict w14:anchorId="2F2BFF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59598"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E417C" w14:textId="20877D45" w:rsidR="00061E68" w:rsidRDefault="00061E68">
    <w:pPr>
      <w:pStyle w:val="Header"/>
    </w:pPr>
    <w:r>
      <w:rPr>
        <w:noProof/>
      </w:rPr>
      <w:pict w14:anchorId="7131DA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59596"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9811A42"/>
    <w:multiLevelType w:val="hybridMultilevel"/>
    <w:tmpl w:val="2F785C16"/>
    <w:lvl w:ilvl="0" w:tplc="30547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9"/>
  </w:num>
  <w:num w:numId="20">
    <w:abstractNumId w:val="11"/>
  </w:num>
  <w:num w:numId="21">
    <w:abstractNumId w:val="9"/>
  </w:num>
  <w:num w:numId="22">
    <w:abstractNumId w:val="13"/>
  </w:num>
  <w:num w:numId="23">
    <w:abstractNumId w:val="19"/>
  </w:num>
  <w:num w:numId="24">
    <w:abstractNumId w:val="27"/>
  </w:num>
  <w:num w:numId="25">
    <w:abstractNumId w:val="4"/>
  </w:num>
  <w:num w:numId="26">
    <w:abstractNumId w:val="16"/>
  </w:num>
  <w:num w:numId="27">
    <w:abstractNumId w:val="20"/>
  </w:num>
  <w:num w:numId="28">
    <w:abstractNumId w:val="28"/>
  </w:num>
  <w:num w:numId="29">
    <w:abstractNumId w:val="24"/>
  </w:num>
  <w:num w:numId="30">
    <w:abstractNumId w:val="10"/>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61E68"/>
    <w:rsid w:val="000A47FA"/>
    <w:rsid w:val="000A65D3"/>
    <w:rsid w:val="000B1E33"/>
    <w:rsid w:val="000B3E77"/>
    <w:rsid w:val="000C728C"/>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E6F90"/>
    <w:rsid w:val="00200595"/>
    <w:rsid w:val="00204835"/>
    <w:rsid w:val="00231920"/>
    <w:rsid w:val="0023195C"/>
    <w:rsid w:val="0024282C"/>
    <w:rsid w:val="002460DC"/>
    <w:rsid w:val="00250985"/>
    <w:rsid w:val="002539DD"/>
    <w:rsid w:val="002556F6"/>
    <w:rsid w:val="00260A5D"/>
    <w:rsid w:val="00283105"/>
    <w:rsid w:val="00284C4C"/>
    <w:rsid w:val="00287E68"/>
    <w:rsid w:val="00296529"/>
    <w:rsid w:val="002B27FB"/>
    <w:rsid w:val="002B685A"/>
    <w:rsid w:val="002C57D2"/>
    <w:rsid w:val="002E0D56"/>
    <w:rsid w:val="00315186"/>
    <w:rsid w:val="0033343E"/>
    <w:rsid w:val="003512C2"/>
    <w:rsid w:val="00370489"/>
    <w:rsid w:val="00371FB6"/>
    <w:rsid w:val="003763C1"/>
    <w:rsid w:val="00376BBE"/>
    <w:rsid w:val="00382DCD"/>
    <w:rsid w:val="0039224F"/>
    <w:rsid w:val="003A43A4"/>
    <w:rsid w:val="003A7E18"/>
    <w:rsid w:val="003C4C86"/>
    <w:rsid w:val="003C6258"/>
    <w:rsid w:val="003E2904"/>
    <w:rsid w:val="00401927"/>
    <w:rsid w:val="0041027F"/>
    <w:rsid w:val="00412475"/>
    <w:rsid w:val="00423789"/>
    <w:rsid w:val="004249E8"/>
    <w:rsid w:val="00440F43"/>
    <w:rsid w:val="00441B6F"/>
    <w:rsid w:val="00446221"/>
    <w:rsid w:val="00450E62"/>
    <w:rsid w:val="004539DB"/>
    <w:rsid w:val="00471A80"/>
    <w:rsid w:val="004D2D3B"/>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54C44"/>
    <w:rsid w:val="0066510A"/>
    <w:rsid w:val="00673F9F"/>
    <w:rsid w:val="00686953"/>
    <w:rsid w:val="00687DEA"/>
    <w:rsid w:val="00687E67"/>
    <w:rsid w:val="006909F3"/>
    <w:rsid w:val="006967F7"/>
    <w:rsid w:val="006A250C"/>
    <w:rsid w:val="006B21D3"/>
    <w:rsid w:val="006B57D0"/>
    <w:rsid w:val="006D30FF"/>
    <w:rsid w:val="006D6940"/>
    <w:rsid w:val="006F11EC"/>
    <w:rsid w:val="0070082C"/>
    <w:rsid w:val="0071688A"/>
    <w:rsid w:val="007369E6"/>
    <w:rsid w:val="00746E59"/>
    <w:rsid w:val="00752311"/>
    <w:rsid w:val="00754C9A"/>
    <w:rsid w:val="0075599A"/>
    <w:rsid w:val="00761D52"/>
    <w:rsid w:val="007723C2"/>
    <w:rsid w:val="0077749E"/>
    <w:rsid w:val="00790ADA"/>
    <w:rsid w:val="007D2288"/>
    <w:rsid w:val="007E088F"/>
    <w:rsid w:val="007F7B32"/>
    <w:rsid w:val="00804BC2"/>
    <w:rsid w:val="0081431A"/>
    <w:rsid w:val="0083216F"/>
    <w:rsid w:val="008330C3"/>
    <w:rsid w:val="00860000"/>
    <w:rsid w:val="00863BD3"/>
    <w:rsid w:val="008641ED"/>
    <w:rsid w:val="00866D66"/>
    <w:rsid w:val="008671C6"/>
    <w:rsid w:val="00875803"/>
    <w:rsid w:val="008B459E"/>
    <w:rsid w:val="008E13AE"/>
    <w:rsid w:val="008E1506"/>
    <w:rsid w:val="008E710C"/>
    <w:rsid w:val="008F3AFD"/>
    <w:rsid w:val="008F69D6"/>
    <w:rsid w:val="00902823"/>
    <w:rsid w:val="00915CA6"/>
    <w:rsid w:val="00927834"/>
    <w:rsid w:val="00931F79"/>
    <w:rsid w:val="009500A6"/>
    <w:rsid w:val="00957C18"/>
    <w:rsid w:val="009659BA"/>
    <w:rsid w:val="00983040"/>
    <w:rsid w:val="00996A2E"/>
    <w:rsid w:val="009A7D97"/>
    <w:rsid w:val="009B3FB9"/>
    <w:rsid w:val="009C2465"/>
    <w:rsid w:val="009D35A0"/>
    <w:rsid w:val="009D7EB7"/>
    <w:rsid w:val="009E048A"/>
    <w:rsid w:val="009E08E9"/>
    <w:rsid w:val="009E3DB9"/>
    <w:rsid w:val="009E6E35"/>
    <w:rsid w:val="009F0EDA"/>
    <w:rsid w:val="009F4F4B"/>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1EC2"/>
    <w:rsid w:val="00B1776C"/>
    <w:rsid w:val="00B44F2A"/>
    <w:rsid w:val="00B52583"/>
    <w:rsid w:val="00B52896"/>
    <w:rsid w:val="00B60C72"/>
    <w:rsid w:val="00B95236"/>
    <w:rsid w:val="00B96BD9"/>
    <w:rsid w:val="00BA1B01"/>
    <w:rsid w:val="00BA2641"/>
    <w:rsid w:val="00BB37AA"/>
    <w:rsid w:val="00BC53A0"/>
    <w:rsid w:val="00BE62AD"/>
    <w:rsid w:val="00BF121F"/>
    <w:rsid w:val="00BF1F80"/>
    <w:rsid w:val="00C166EF"/>
    <w:rsid w:val="00C17EB0"/>
    <w:rsid w:val="00C25D37"/>
    <w:rsid w:val="00C27F5F"/>
    <w:rsid w:val="00C30A0F"/>
    <w:rsid w:val="00C37E61"/>
    <w:rsid w:val="00C6441E"/>
    <w:rsid w:val="00C70F1B"/>
    <w:rsid w:val="00C71A47"/>
    <w:rsid w:val="00C7464C"/>
    <w:rsid w:val="00C85588"/>
    <w:rsid w:val="00C94E7D"/>
    <w:rsid w:val="00CC61A5"/>
    <w:rsid w:val="00CD6755"/>
    <w:rsid w:val="00CD6856"/>
    <w:rsid w:val="00CE0089"/>
    <w:rsid w:val="00CE793C"/>
    <w:rsid w:val="00CF193C"/>
    <w:rsid w:val="00CF1DA8"/>
    <w:rsid w:val="00D00205"/>
    <w:rsid w:val="00D173F1"/>
    <w:rsid w:val="00D42DCB"/>
    <w:rsid w:val="00D74CB0"/>
    <w:rsid w:val="00D8295D"/>
    <w:rsid w:val="00D86F86"/>
    <w:rsid w:val="00DC2A65"/>
    <w:rsid w:val="00DE15F0"/>
    <w:rsid w:val="00DE5663"/>
    <w:rsid w:val="00DE7747"/>
    <w:rsid w:val="00DE78AA"/>
    <w:rsid w:val="00E053D0"/>
    <w:rsid w:val="00E15994"/>
    <w:rsid w:val="00E16660"/>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90787"/>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4A5F309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TableGrid11">
    <w:name w:val="Table Grid11"/>
    <w:basedOn w:val="TableNormal"/>
    <w:uiPriority w:val="39"/>
    <w:rsid w:val="0071688A"/>
    <w:rPr>
      <w:rFonts w:ascii="Calibri" w:eastAsia="Calibri" w:hAnsi="Calibri" w:cs="Myanmar Text"/>
      <w:sz w:val="22"/>
      <w:szCs w:val="22"/>
      <w:lang w:bidi="my-MM"/>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4.xml"/><Relationship Id="rId4" Type="http://schemas.openxmlformats.org/officeDocument/2006/relationships/oleObject" Target="../embeddings/oleObject3.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5.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6.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531377557738397E-2"/>
          <c:y val="2.613868451716134E-2"/>
          <c:w val="0.90535555965203351"/>
          <c:h val="0.67766213765866012"/>
        </c:manualLayout>
      </c:layout>
      <c:barChart>
        <c:barDir val="col"/>
        <c:grouping val="stacked"/>
        <c:varyColors val="0"/>
        <c:ser>
          <c:idx val="0"/>
          <c:order val="0"/>
          <c:tx>
            <c:strRef>
              <c:f>Harvest!$D$69</c:f>
              <c:strCache>
                <c:ptCount val="1"/>
                <c:pt idx="0">
                  <c:v>Sheat </c:v>
                </c:pt>
              </c:strCache>
            </c:strRef>
          </c:tx>
          <c:spPr>
            <a:solidFill>
              <a:srgbClr val="92D050"/>
            </a:solidFill>
            <a:ln>
              <a:noFill/>
            </a:ln>
            <a:effectLst/>
          </c:spPr>
          <c:invertIfNegative val="0"/>
          <c:dLbls>
            <c:delete val="1"/>
          </c:dLbls>
          <c:cat>
            <c:multiLvlStrRef>
              <c:f>Harvest!$B$70:$C$89</c:f>
              <c:multiLvlStrCache>
                <c:ptCount val="20"/>
                <c:lvl>
                  <c:pt idx="0">
                    <c:v>G0</c:v>
                  </c:pt>
                  <c:pt idx="1">
                    <c:v>GRB</c:v>
                  </c:pt>
                  <c:pt idx="2">
                    <c:v>GSH</c:v>
                  </c:pt>
                  <c:pt idx="3">
                    <c:v>GDC</c:v>
                  </c:pt>
                  <c:pt idx="4">
                    <c:v>G0</c:v>
                  </c:pt>
                  <c:pt idx="5">
                    <c:v>GRB</c:v>
                  </c:pt>
                  <c:pt idx="6">
                    <c:v>GSH</c:v>
                  </c:pt>
                  <c:pt idx="7">
                    <c:v>GDC</c:v>
                  </c:pt>
                  <c:pt idx="8">
                    <c:v>G0</c:v>
                  </c:pt>
                  <c:pt idx="9">
                    <c:v>GRB</c:v>
                  </c:pt>
                  <c:pt idx="10">
                    <c:v>GSH</c:v>
                  </c:pt>
                  <c:pt idx="11">
                    <c:v>GDC</c:v>
                  </c:pt>
                  <c:pt idx="12">
                    <c:v>G0</c:v>
                  </c:pt>
                  <c:pt idx="13">
                    <c:v>GRB</c:v>
                  </c:pt>
                  <c:pt idx="14">
                    <c:v>GSH</c:v>
                  </c:pt>
                  <c:pt idx="15">
                    <c:v>GDC</c:v>
                  </c:pt>
                  <c:pt idx="16">
                    <c:v>G0</c:v>
                  </c:pt>
                  <c:pt idx="17">
                    <c:v>GRB</c:v>
                  </c:pt>
                  <c:pt idx="18">
                    <c:v>GSH</c:v>
                  </c:pt>
                  <c:pt idx="19">
                    <c:v>GDC</c:v>
                  </c:pt>
                </c:lvl>
                <c:lvl>
                  <c:pt idx="0">
                    <c:v>N0</c:v>
                  </c:pt>
                  <c:pt idx="4">
                    <c:v>N25</c:v>
                  </c:pt>
                  <c:pt idx="8">
                    <c:v>N50</c:v>
                  </c:pt>
                  <c:pt idx="12">
                    <c:v>N75</c:v>
                  </c:pt>
                  <c:pt idx="16">
                    <c:v>N100</c:v>
                  </c:pt>
                </c:lvl>
              </c:multiLvlStrCache>
            </c:multiLvlStrRef>
          </c:cat>
          <c:val>
            <c:numRef>
              <c:f>Harvest!$D$70:$D$89</c:f>
              <c:numCache>
                <c:formatCode>0.00</c:formatCode>
                <c:ptCount val="20"/>
                <c:pt idx="0">
                  <c:v>1.7804166666666668</c:v>
                </c:pt>
                <c:pt idx="1">
                  <c:v>2.6379166666666669</c:v>
                </c:pt>
                <c:pt idx="2">
                  <c:v>3.3470833333333334</c:v>
                </c:pt>
                <c:pt idx="3">
                  <c:v>2.9087499999999999</c:v>
                </c:pt>
                <c:pt idx="4">
                  <c:v>2.5191666666666666</c:v>
                </c:pt>
                <c:pt idx="5">
                  <c:v>2.9466666666666668</c:v>
                </c:pt>
                <c:pt idx="6">
                  <c:v>3.0512499999999996</c:v>
                </c:pt>
                <c:pt idx="7">
                  <c:v>2.9858333333333333</c:v>
                </c:pt>
                <c:pt idx="8">
                  <c:v>3.2008333333333332</c:v>
                </c:pt>
                <c:pt idx="9">
                  <c:v>3.4237500000000001</c:v>
                </c:pt>
                <c:pt idx="10">
                  <c:v>4.0637499999999998</c:v>
                </c:pt>
                <c:pt idx="11">
                  <c:v>4.3274999999999997</c:v>
                </c:pt>
                <c:pt idx="12">
                  <c:v>2.5</c:v>
                </c:pt>
                <c:pt idx="13">
                  <c:v>3.8374999999999999</c:v>
                </c:pt>
                <c:pt idx="14">
                  <c:v>4.5479166666666666</c:v>
                </c:pt>
                <c:pt idx="15">
                  <c:v>2.9587500000000002</c:v>
                </c:pt>
                <c:pt idx="16">
                  <c:v>3.9995833333333333</c:v>
                </c:pt>
                <c:pt idx="17">
                  <c:v>4.0395833333333337</c:v>
                </c:pt>
                <c:pt idx="18">
                  <c:v>4.4695833333333335</c:v>
                </c:pt>
                <c:pt idx="19">
                  <c:v>4.19625</c:v>
                </c:pt>
              </c:numCache>
            </c:numRef>
          </c:val>
          <c:extLst>
            <c:ext xmlns:c16="http://schemas.microsoft.com/office/drawing/2014/chart" uri="{C3380CC4-5D6E-409C-BE32-E72D297353CC}">
              <c16:uniqueId val="{00000000-4999-5F45-AF0F-53984BC3CD6D}"/>
            </c:ext>
          </c:extLst>
        </c:ser>
        <c:ser>
          <c:idx val="1"/>
          <c:order val="1"/>
          <c:tx>
            <c:strRef>
              <c:f>Harvest!$E$69</c:f>
              <c:strCache>
                <c:ptCount val="1"/>
                <c:pt idx="0">
                  <c:v>Leaf </c:v>
                </c:pt>
              </c:strCache>
            </c:strRef>
          </c:tx>
          <c:spPr>
            <a:solidFill>
              <a:srgbClr val="70AD47">
                <a:lumMod val="50000"/>
              </a:srgbClr>
            </a:solidFill>
            <a:ln>
              <a:noFill/>
            </a:ln>
            <a:effectLst/>
          </c:spPr>
          <c:invertIfNegative val="0"/>
          <c:dLbls>
            <c:delete val="1"/>
          </c:dLbls>
          <c:cat>
            <c:multiLvlStrRef>
              <c:f>Harvest!$B$70:$C$89</c:f>
              <c:multiLvlStrCache>
                <c:ptCount val="20"/>
                <c:lvl>
                  <c:pt idx="0">
                    <c:v>G0</c:v>
                  </c:pt>
                  <c:pt idx="1">
                    <c:v>GRB</c:v>
                  </c:pt>
                  <c:pt idx="2">
                    <c:v>GSH</c:v>
                  </c:pt>
                  <c:pt idx="3">
                    <c:v>GDC</c:v>
                  </c:pt>
                  <c:pt idx="4">
                    <c:v>G0</c:v>
                  </c:pt>
                  <c:pt idx="5">
                    <c:v>GRB</c:v>
                  </c:pt>
                  <c:pt idx="6">
                    <c:v>GSH</c:v>
                  </c:pt>
                  <c:pt idx="7">
                    <c:v>GDC</c:v>
                  </c:pt>
                  <c:pt idx="8">
                    <c:v>G0</c:v>
                  </c:pt>
                  <c:pt idx="9">
                    <c:v>GRB</c:v>
                  </c:pt>
                  <c:pt idx="10">
                    <c:v>GSH</c:v>
                  </c:pt>
                  <c:pt idx="11">
                    <c:v>GDC</c:v>
                  </c:pt>
                  <c:pt idx="12">
                    <c:v>G0</c:v>
                  </c:pt>
                  <c:pt idx="13">
                    <c:v>GRB</c:v>
                  </c:pt>
                  <c:pt idx="14">
                    <c:v>GSH</c:v>
                  </c:pt>
                  <c:pt idx="15">
                    <c:v>GDC</c:v>
                  </c:pt>
                  <c:pt idx="16">
                    <c:v>G0</c:v>
                  </c:pt>
                  <c:pt idx="17">
                    <c:v>GRB</c:v>
                  </c:pt>
                  <c:pt idx="18">
                    <c:v>GSH</c:v>
                  </c:pt>
                  <c:pt idx="19">
                    <c:v>GDC</c:v>
                  </c:pt>
                </c:lvl>
                <c:lvl>
                  <c:pt idx="0">
                    <c:v>N0</c:v>
                  </c:pt>
                  <c:pt idx="4">
                    <c:v>N25</c:v>
                  </c:pt>
                  <c:pt idx="8">
                    <c:v>N50</c:v>
                  </c:pt>
                  <c:pt idx="12">
                    <c:v>N75</c:v>
                  </c:pt>
                  <c:pt idx="16">
                    <c:v>N100</c:v>
                  </c:pt>
                </c:lvl>
              </c:multiLvlStrCache>
            </c:multiLvlStrRef>
          </c:cat>
          <c:val>
            <c:numRef>
              <c:f>Harvest!$E$70:$E$89</c:f>
              <c:numCache>
                <c:formatCode>0.00</c:formatCode>
                <c:ptCount val="20"/>
                <c:pt idx="0">
                  <c:v>0.82250000000000012</c:v>
                </c:pt>
                <c:pt idx="1">
                  <c:v>0.80708333333333337</c:v>
                </c:pt>
                <c:pt idx="2">
                  <c:v>1.3004166666666668</c:v>
                </c:pt>
                <c:pt idx="3">
                  <c:v>1.0954166666666665</c:v>
                </c:pt>
                <c:pt idx="4">
                  <c:v>1.4008333333333332</c:v>
                </c:pt>
                <c:pt idx="5">
                  <c:v>1.3500000000000003</c:v>
                </c:pt>
                <c:pt idx="6">
                  <c:v>0.96125000000000005</c:v>
                </c:pt>
                <c:pt idx="7">
                  <c:v>0.89375000000000016</c:v>
                </c:pt>
                <c:pt idx="8">
                  <c:v>1.2758333333333334</c:v>
                </c:pt>
                <c:pt idx="9">
                  <c:v>1.1233333333333331</c:v>
                </c:pt>
                <c:pt idx="10">
                  <c:v>1.8041666666666665</c:v>
                </c:pt>
                <c:pt idx="11">
                  <c:v>1.4924999999999999</c:v>
                </c:pt>
                <c:pt idx="12">
                  <c:v>1.1075000000000002</c:v>
                </c:pt>
                <c:pt idx="13">
                  <c:v>1.3866666666666667</c:v>
                </c:pt>
                <c:pt idx="14">
                  <c:v>1.5825000000000002</c:v>
                </c:pt>
                <c:pt idx="15">
                  <c:v>1.1191666666666666</c:v>
                </c:pt>
                <c:pt idx="16">
                  <c:v>1.2429166666666667</c:v>
                </c:pt>
                <c:pt idx="17">
                  <c:v>1.5450000000000002</c:v>
                </c:pt>
                <c:pt idx="18">
                  <c:v>2.1308333333333329</c:v>
                </c:pt>
                <c:pt idx="19">
                  <c:v>1.85625</c:v>
                </c:pt>
              </c:numCache>
            </c:numRef>
          </c:val>
          <c:extLst>
            <c:ext xmlns:c16="http://schemas.microsoft.com/office/drawing/2014/chart" uri="{C3380CC4-5D6E-409C-BE32-E72D297353CC}">
              <c16:uniqueId val="{00000001-4999-5F45-AF0F-53984BC3CD6D}"/>
            </c:ext>
          </c:extLst>
        </c:ser>
        <c:ser>
          <c:idx val="2"/>
          <c:order val="2"/>
          <c:tx>
            <c:strRef>
              <c:f>Harvest!$F$69</c:f>
              <c:strCache>
                <c:ptCount val="1"/>
                <c:pt idx="0">
                  <c:v>Panicle </c:v>
                </c:pt>
              </c:strCache>
            </c:strRef>
          </c:tx>
          <c:spPr>
            <a:solidFill>
              <a:srgbClr val="FFC000"/>
            </a:solidFill>
            <a:ln>
              <a:noFill/>
            </a:ln>
            <a:effectLst/>
          </c:spPr>
          <c:invertIfNegative val="0"/>
          <c:dLbls>
            <c:dLbl>
              <c:idx val="0"/>
              <c:layout>
                <c:manualLayout>
                  <c:x val="-2.0715391579151176E-17"/>
                  <c:y val="-0.11594202898550725"/>
                </c:manualLayout>
              </c:layout>
              <c:tx>
                <c:rich>
                  <a:bodyPr/>
                  <a:lstStyle/>
                  <a:p>
                    <a:r>
                      <a:rPr lang="en-US"/>
                      <a:t>i</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99-5F45-AF0F-53984BC3CD6D}"/>
                </c:ext>
              </c:extLst>
            </c:dLbl>
            <c:dLbl>
              <c:idx val="1"/>
              <c:layout>
                <c:manualLayout>
                  <c:x val="2.2598870056497176E-3"/>
                  <c:y val="-0.1370223978919631"/>
                </c:manualLayout>
              </c:layout>
              <c:tx>
                <c:rich>
                  <a:bodyPr/>
                  <a:lstStyle/>
                  <a:p>
                    <a:r>
                      <a:rPr lang="en-US"/>
                      <a:t>hi</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99-5F45-AF0F-53984BC3CD6D}"/>
                </c:ext>
              </c:extLst>
            </c:dLbl>
            <c:dLbl>
              <c:idx val="2"/>
              <c:layout>
                <c:manualLayout>
                  <c:x val="0"/>
                  <c:y val="-0.14450823773211313"/>
                </c:manualLayout>
              </c:layout>
              <c:tx>
                <c:rich>
                  <a:bodyPr/>
                  <a:lstStyle/>
                  <a:p>
                    <a:r>
                      <a:rPr lang="en-US"/>
                      <a:t>efgh</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99-5F45-AF0F-53984BC3CD6D}"/>
                </c:ext>
              </c:extLst>
            </c:dLbl>
            <c:dLbl>
              <c:idx val="3"/>
              <c:layout>
                <c:manualLayout>
                  <c:x val="2.2598512978519824E-3"/>
                  <c:y val="-0.20622221118259276"/>
                </c:manualLayout>
              </c:layout>
              <c:tx>
                <c:rich>
                  <a:bodyPr/>
                  <a:lstStyle/>
                  <a:p>
                    <a:r>
                      <a:rPr lang="en-US"/>
                      <a:t>hi</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99-5F45-AF0F-53984BC3CD6D}"/>
                </c:ext>
              </c:extLst>
            </c:dLbl>
            <c:dLbl>
              <c:idx val="4"/>
              <c:layout>
                <c:manualLayout>
                  <c:x val="-2.2598512978520232E-3"/>
                  <c:y val="-0.18139901282055831"/>
                </c:manualLayout>
              </c:layout>
              <c:tx>
                <c:rich>
                  <a:bodyPr/>
                  <a:lstStyle/>
                  <a:p>
                    <a:r>
                      <a:rPr lang="en-US"/>
                      <a:t>fgh</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999-5F45-AF0F-53984BC3CD6D}"/>
                </c:ext>
              </c:extLst>
            </c:dLbl>
            <c:dLbl>
              <c:idx val="5"/>
              <c:layout>
                <c:manualLayout>
                  <c:x val="-4.1430783158302352E-17"/>
                  <c:y val="-0.15810276679841898"/>
                </c:manualLayout>
              </c:layout>
              <c:tx>
                <c:rich>
                  <a:bodyPr/>
                  <a:lstStyle/>
                  <a:p>
                    <a:r>
                      <a:rPr lang="en-US"/>
                      <a:t>hi</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999-5F45-AF0F-53984BC3CD6D}"/>
                </c:ext>
              </c:extLst>
            </c:dLbl>
            <c:dLbl>
              <c:idx val="6"/>
              <c:layout>
                <c:manualLayout>
                  <c:x val="0"/>
                  <c:y val="-0.17391304347826086"/>
                </c:manualLayout>
              </c:layout>
              <c:tx>
                <c:rich>
                  <a:bodyPr/>
                  <a:lstStyle/>
                  <a:p>
                    <a:r>
                      <a:rPr lang="en-US"/>
                      <a:t>ghi</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999-5F45-AF0F-53984BC3CD6D}"/>
                </c:ext>
              </c:extLst>
            </c:dLbl>
            <c:dLbl>
              <c:idx val="7"/>
              <c:layout>
                <c:manualLayout>
                  <c:x val="0"/>
                  <c:y val="-0.15879146810118772"/>
                </c:manualLayout>
              </c:layout>
              <c:tx>
                <c:rich>
                  <a:bodyPr/>
                  <a:lstStyle/>
                  <a:p>
                    <a:r>
                      <a:rPr lang="en-US"/>
                      <a:t>hi</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999-5F45-AF0F-53984BC3CD6D}"/>
                </c:ext>
              </c:extLst>
            </c:dLbl>
            <c:dLbl>
              <c:idx val="8"/>
              <c:layout>
                <c:manualLayout>
                  <c:x val="0"/>
                  <c:y val="-0.15283267457180499"/>
                </c:manualLayout>
              </c:layout>
              <c:tx>
                <c:rich>
                  <a:bodyPr/>
                  <a:lstStyle/>
                  <a:p>
                    <a:r>
                      <a:rPr lang="en-US"/>
                      <a:t>efgh</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999-5F45-AF0F-53984BC3CD6D}"/>
                </c:ext>
              </c:extLst>
            </c:dLbl>
            <c:dLbl>
              <c:idx val="9"/>
              <c:layout>
                <c:manualLayout>
                  <c:x val="-8.1753050379258811E-17"/>
                  <c:y val="-0.20247930365171229"/>
                </c:manualLayout>
              </c:layout>
              <c:tx>
                <c:rich>
                  <a:bodyPr/>
                  <a:lstStyle/>
                  <a:p>
                    <a:r>
                      <a:rPr lang="en-US"/>
                      <a:t>bcdefg</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999-5F45-AF0F-53984BC3CD6D}"/>
                </c:ext>
              </c:extLst>
            </c:dLbl>
            <c:dLbl>
              <c:idx val="10"/>
              <c:layout>
                <c:manualLayout>
                  <c:x val="4.5197025957039649E-3"/>
                  <c:y val="-0.26419327710219187"/>
                </c:manualLayout>
              </c:layout>
              <c:tx>
                <c:rich>
                  <a:bodyPr/>
                  <a:lstStyle/>
                  <a:p>
                    <a:r>
                      <a:rPr lang="en-US"/>
                      <a:t>abc</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999-5F45-AF0F-53984BC3CD6D}"/>
                </c:ext>
              </c:extLst>
            </c:dLbl>
            <c:dLbl>
              <c:idx val="11"/>
              <c:layout>
                <c:manualLayout>
                  <c:x val="4.5197025957038834E-3"/>
                  <c:y val="-0.23486354426516876"/>
                </c:manualLayout>
              </c:layout>
              <c:tx>
                <c:rich>
                  <a:bodyPr/>
                  <a:lstStyle/>
                  <a:p>
                    <a:r>
                      <a:rPr lang="en-US"/>
                      <a:t>abcd</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999-5F45-AF0F-53984BC3CD6D}"/>
                </c:ext>
              </c:extLst>
            </c:dLbl>
            <c:dLbl>
              <c:idx val="12"/>
              <c:layout>
                <c:manualLayout>
                  <c:x val="-8.2861566316604703E-17"/>
                  <c:y val="-0.17918313570487487"/>
                </c:manualLayout>
              </c:layout>
              <c:tx>
                <c:rich>
                  <a:bodyPr/>
                  <a:lstStyle/>
                  <a:p>
                    <a:r>
                      <a:rPr lang="en-US"/>
                      <a:t>defgh</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999-5F45-AF0F-53984BC3CD6D}"/>
                </c:ext>
              </c:extLst>
            </c:dLbl>
            <c:dLbl>
              <c:idx val="13"/>
              <c:layout>
                <c:manualLayout>
                  <c:x val="-2.2598512978519824E-3"/>
                  <c:y val="-0.20469531213961031"/>
                </c:manualLayout>
              </c:layout>
              <c:tx>
                <c:rich>
                  <a:bodyPr/>
                  <a:lstStyle/>
                  <a:p>
                    <a:r>
                      <a:rPr lang="en-US"/>
                      <a:t>bcdefg</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999-5F45-AF0F-53984BC3CD6D}"/>
                </c:ext>
              </c:extLst>
            </c:dLbl>
            <c:dLbl>
              <c:idx val="14"/>
              <c:layout>
                <c:manualLayout>
                  <c:x val="-2.320420649759917E-3"/>
                  <c:y val="-0.19568224318963284"/>
                </c:manualLayout>
              </c:layout>
              <c:tx>
                <c:rich>
                  <a:bodyPr/>
                  <a:lstStyle/>
                  <a:p>
                    <a:r>
                      <a:rPr lang="en-US"/>
                      <a:t>ab</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999-5F45-AF0F-53984BC3CD6D}"/>
                </c:ext>
              </c:extLst>
            </c:dLbl>
            <c:dLbl>
              <c:idx val="15"/>
              <c:layout>
                <c:manualLayout>
                  <c:x val="-3.0196894284535503E-5"/>
                  <c:y val="-0.28901683030946052"/>
                </c:manualLayout>
              </c:layout>
              <c:tx>
                <c:rich>
                  <a:bodyPr/>
                  <a:lstStyle/>
                  <a:p>
                    <a:r>
                      <a:rPr lang="en-US"/>
                      <a:t>cdefgh</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999-5F45-AF0F-53984BC3CD6D}"/>
                </c:ext>
              </c:extLst>
            </c:dLbl>
            <c:dLbl>
              <c:idx val="16"/>
              <c:layout>
                <c:manualLayout>
                  <c:x val="-9.0766246192470088E-5"/>
                  <c:y val="-0.2184391777526232"/>
                </c:manualLayout>
              </c:layout>
              <c:tx>
                <c:rich>
                  <a:bodyPr/>
                  <a:lstStyle/>
                  <a:p>
                    <a:r>
                      <a:rPr lang="en-US"/>
                      <a:t>abcdef</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999-5F45-AF0F-53984BC3CD6D}"/>
                </c:ext>
              </c:extLst>
            </c:dLbl>
            <c:dLbl>
              <c:idx val="17"/>
              <c:layout>
                <c:manualLayout>
                  <c:x val="-2.2900481921365179E-3"/>
                  <c:y val="-0.23409991732106042"/>
                </c:manualLayout>
              </c:layout>
              <c:tx>
                <c:rich>
                  <a:bodyPr/>
                  <a:lstStyle/>
                  <a:p>
                    <a:r>
                      <a:rPr lang="en-US"/>
                      <a:t>abcd</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999-5F45-AF0F-53984BC3CD6D}"/>
                </c:ext>
              </c:extLst>
            </c:dLbl>
            <c:dLbl>
              <c:idx val="18"/>
              <c:layout>
                <c:manualLayout>
                  <c:x val="-9.0766246192633599E-5"/>
                  <c:y val="-0.24013370568426581"/>
                </c:manualLayout>
              </c:layout>
              <c:tx>
                <c:rich>
                  <a:bodyPr/>
                  <a:lstStyle/>
                  <a:p>
                    <a:r>
                      <a:rPr lang="en-US"/>
                      <a:t>a</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999-5F45-AF0F-53984BC3CD6D}"/>
                </c:ext>
              </c:extLst>
            </c:dLbl>
            <c:dLbl>
              <c:idx val="19"/>
              <c:layout>
                <c:manualLayout>
                  <c:x val="0"/>
                  <c:y val="-0.23639044330815115"/>
                </c:manualLayout>
              </c:layout>
              <c:tx>
                <c:rich>
                  <a:bodyPr/>
                  <a:lstStyle/>
                  <a:p>
                    <a:r>
                      <a:rPr lang="en-US"/>
                      <a:t>abcde</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999-5F45-AF0F-53984BC3CD6D}"/>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Harvest!$AY$5:$AY$24</c:f>
                <c:numCache>
                  <c:formatCode>General</c:formatCode>
                  <c:ptCount val="20"/>
                  <c:pt idx="0">
                    <c:v>8.5759474695219759E-2</c:v>
                  </c:pt>
                  <c:pt idx="1">
                    <c:v>0.25465765418171393</c:v>
                  </c:pt>
                  <c:pt idx="2">
                    <c:v>0.53516498624256059</c:v>
                  </c:pt>
                  <c:pt idx="3">
                    <c:v>2.045256707604211</c:v>
                  </c:pt>
                  <c:pt idx="4">
                    <c:v>0.9107354514347189</c:v>
                  </c:pt>
                  <c:pt idx="5">
                    <c:v>1.3614382330829398</c:v>
                  </c:pt>
                  <c:pt idx="6">
                    <c:v>1.1766592894008487</c:v>
                  </c:pt>
                  <c:pt idx="7">
                    <c:v>0.46270997485826143</c:v>
                  </c:pt>
                  <c:pt idx="8">
                    <c:v>0.15740738017428968</c:v>
                  </c:pt>
                  <c:pt idx="9">
                    <c:v>0.74035710696483059</c:v>
                  </c:pt>
                  <c:pt idx="10">
                    <c:v>2.6687435597111917</c:v>
                  </c:pt>
                  <c:pt idx="11">
                    <c:v>1.8854073664595574</c:v>
                  </c:pt>
                  <c:pt idx="12">
                    <c:v>1.0712502430960431</c:v>
                  </c:pt>
                  <c:pt idx="13">
                    <c:v>0.85278312747145768</c:v>
                  </c:pt>
                  <c:pt idx="14">
                    <c:v>0.27556854108067813</c:v>
                  </c:pt>
                  <c:pt idx="15">
                    <c:v>2.4468196832827718</c:v>
                  </c:pt>
                  <c:pt idx="16">
                    <c:v>2.0681609181428073</c:v>
                  </c:pt>
                  <c:pt idx="17">
                    <c:v>1.5247971176520505</c:v>
                  </c:pt>
                  <c:pt idx="18">
                    <c:v>1.8114399198795883</c:v>
                  </c:pt>
                  <c:pt idx="19">
                    <c:v>2.040021063004017</c:v>
                  </c:pt>
                </c:numCache>
              </c:numRef>
            </c:plus>
            <c:minus>
              <c:numRef>
                <c:f>Harvest!$AY$5:$AY$24</c:f>
                <c:numCache>
                  <c:formatCode>General</c:formatCode>
                  <c:ptCount val="20"/>
                  <c:pt idx="0">
                    <c:v>8.5759474695219759E-2</c:v>
                  </c:pt>
                  <c:pt idx="1">
                    <c:v>0.25465765418171393</c:v>
                  </c:pt>
                  <c:pt idx="2">
                    <c:v>0.53516498624256059</c:v>
                  </c:pt>
                  <c:pt idx="3">
                    <c:v>2.045256707604211</c:v>
                  </c:pt>
                  <c:pt idx="4">
                    <c:v>0.9107354514347189</c:v>
                  </c:pt>
                  <c:pt idx="5">
                    <c:v>1.3614382330829398</c:v>
                  </c:pt>
                  <c:pt idx="6">
                    <c:v>1.1766592894008487</c:v>
                  </c:pt>
                  <c:pt idx="7">
                    <c:v>0.46270997485826143</c:v>
                  </c:pt>
                  <c:pt idx="8">
                    <c:v>0.15740738017428968</c:v>
                  </c:pt>
                  <c:pt idx="9">
                    <c:v>0.74035710696483059</c:v>
                  </c:pt>
                  <c:pt idx="10">
                    <c:v>2.6687435597111917</c:v>
                  </c:pt>
                  <c:pt idx="11">
                    <c:v>1.8854073664595574</c:v>
                  </c:pt>
                  <c:pt idx="12">
                    <c:v>1.0712502430960431</c:v>
                  </c:pt>
                  <c:pt idx="13">
                    <c:v>0.85278312747145768</c:v>
                  </c:pt>
                  <c:pt idx="14">
                    <c:v>0.27556854108067813</c:v>
                  </c:pt>
                  <c:pt idx="15">
                    <c:v>2.4468196832827718</c:v>
                  </c:pt>
                  <c:pt idx="16">
                    <c:v>2.0681609181428073</c:v>
                  </c:pt>
                  <c:pt idx="17">
                    <c:v>1.5247971176520505</c:v>
                  </c:pt>
                  <c:pt idx="18">
                    <c:v>1.8114399198795883</c:v>
                  </c:pt>
                  <c:pt idx="19">
                    <c:v>2.040021063004017</c:v>
                  </c:pt>
                </c:numCache>
              </c:numRef>
            </c:minus>
            <c:spPr>
              <a:noFill/>
              <a:ln w="9525" cap="flat" cmpd="sng" algn="ctr">
                <a:solidFill>
                  <a:schemeClr val="tx1">
                    <a:lumMod val="65000"/>
                    <a:lumOff val="35000"/>
                  </a:schemeClr>
                </a:solidFill>
                <a:round/>
              </a:ln>
              <a:effectLst/>
            </c:spPr>
          </c:errBars>
          <c:cat>
            <c:multiLvlStrRef>
              <c:f>Harvest!$B$70:$C$89</c:f>
              <c:multiLvlStrCache>
                <c:ptCount val="20"/>
                <c:lvl>
                  <c:pt idx="0">
                    <c:v>G0</c:v>
                  </c:pt>
                  <c:pt idx="1">
                    <c:v>GRB</c:v>
                  </c:pt>
                  <c:pt idx="2">
                    <c:v>GSH</c:v>
                  </c:pt>
                  <c:pt idx="3">
                    <c:v>GDC</c:v>
                  </c:pt>
                  <c:pt idx="4">
                    <c:v>G0</c:v>
                  </c:pt>
                  <c:pt idx="5">
                    <c:v>GRB</c:v>
                  </c:pt>
                  <c:pt idx="6">
                    <c:v>GSH</c:v>
                  </c:pt>
                  <c:pt idx="7">
                    <c:v>GDC</c:v>
                  </c:pt>
                  <c:pt idx="8">
                    <c:v>G0</c:v>
                  </c:pt>
                  <c:pt idx="9">
                    <c:v>GRB</c:v>
                  </c:pt>
                  <c:pt idx="10">
                    <c:v>GSH</c:v>
                  </c:pt>
                  <c:pt idx="11">
                    <c:v>GDC</c:v>
                  </c:pt>
                  <c:pt idx="12">
                    <c:v>G0</c:v>
                  </c:pt>
                  <c:pt idx="13">
                    <c:v>GRB</c:v>
                  </c:pt>
                  <c:pt idx="14">
                    <c:v>GSH</c:v>
                  </c:pt>
                  <c:pt idx="15">
                    <c:v>GDC</c:v>
                  </c:pt>
                  <c:pt idx="16">
                    <c:v>G0</c:v>
                  </c:pt>
                  <c:pt idx="17">
                    <c:v>GRB</c:v>
                  </c:pt>
                  <c:pt idx="18">
                    <c:v>GSH</c:v>
                  </c:pt>
                  <c:pt idx="19">
                    <c:v>GDC</c:v>
                  </c:pt>
                </c:lvl>
                <c:lvl>
                  <c:pt idx="0">
                    <c:v>N0</c:v>
                  </c:pt>
                  <c:pt idx="4">
                    <c:v>N25</c:v>
                  </c:pt>
                  <c:pt idx="8">
                    <c:v>N50</c:v>
                  </c:pt>
                  <c:pt idx="12">
                    <c:v>N75</c:v>
                  </c:pt>
                  <c:pt idx="16">
                    <c:v>N100</c:v>
                  </c:pt>
                </c:lvl>
              </c:multiLvlStrCache>
            </c:multiLvlStrRef>
          </c:cat>
          <c:val>
            <c:numRef>
              <c:f>Harvest!$F$70:$F$89</c:f>
              <c:numCache>
                <c:formatCode>0.00</c:formatCode>
                <c:ptCount val="20"/>
                <c:pt idx="0">
                  <c:v>3.7058333333333331</c:v>
                </c:pt>
                <c:pt idx="1">
                  <c:v>4.7454166666666664</c:v>
                </c:pt>
                <c:pt idx="2">
                  <c:v>4.7600000000000007</c:v>
                </c:pt>
                <c:pt idx="3">
                  <c:v>3.8433333333333333</c:v>
                </c:pt>
                <c:pt idx="4">
                  <c:v>4.94625</c:v>
                </c:pt>
                <c:pt idx="5">
                  <c:v>3.7358333333333333</c:v>
                </c:pt>
                <c:pt idx="6">
                  <c:v>4.6304166666666662</c:v>
                </c:pt>
                <c:pt idx="7">
                  <c:v>4.5375000000000005</c:v>
                </c:pt>
                <c:pt idx="8">
                  <c:v>4.7374999999999998</c:v>
                </c:pt>
                <c:pt idx="9">
                  <c:v>6.435833333333334</c:v>
                </c:pt>
                <c:pt idx="10">
                  <c:v>6.2145833333333336</c:v>
                </c:pt>
                <c:pt idx="11">
                  <c:v>6.1012500000000003</c:v>
                </c:pt>
                <c:pt idx="12">
                  <c:v>4.8804166666666662</c:v>
                </c:pt>
                <c:pt idx="13">
                  <c:v>5.7195833333333335</c:v>
                </c:pt>
                <c:pt idx="14">
                  <c:v>6.5804166666666672</c:v>
                </c:pt>
                <c:pt idx="15">
                  <c:v>5.8633333333333333</c:v>
                </c:pt>
                <c:pt idx="16">
                  <c:v>5.0979166666666664</c:v>
                </c:pt>
                <c:pt idx="17">
                  <c:v>6.376666666666666</c:v>
                </c:pt>
                <c:pt idx="18">
                  <c:v>7.0874999999999995</c:v>
                </c:pt>
                <c:pt idx="19">
                  <c:v>5.4750000000000005</c:v>
                </c:pt>
              </c:numCache>
            </c:numRef>
          </c:val>
          <c:extLst>
            <c:ext xmlns:c16="http://schemas.microsoft.com/office/drawing/2014/chart" uri="{C3380CC4-5D6E-409C-BE32-E72D297353CC}">
              <c16:uniqueId val="{00000016-4999-5F45-AF0F-53984BC3CD6D}"/>
            </c:ext>
          </c:extLst>
        </c:ser>
        <c:dLbls>
          <c:dLblPos val="ctr"/>
          <c:showLegendKey val="0"/>
          <c:showVal val="1"/>
          <c:showCatName val="0"/>
          <c:showSerName val="0"/>
          <c:showPercent val="0"/>
          <c:showBubbleSize val="0"/>
        </c:dLbls>
        <c:gapWidth val="150"/>
        <c:overlap val="100"/>
        <c:axId val="208608367"/>
        <c:axId val="208575503"/>
      </c:barChart>
      <c:catAx>
        <c:axId val="2086083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t>Combination of N levels and green manures</a:t>
                </a:r>
              </a:p>
            </c:rich>
          </c:tx>
          <c:layout>
            <c:manualLayout>
              <c:xMode val="edge"/>
              <c:yMode val="edge"/>
              <c:x val="0.35730580500179954"/>
              <c:y val="0.919311123982772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8575503"/>
        <c:crosses val="autoZero"/>
        <c:auto val="1"/>
        <c:lblAlgn val="ctr"/>
        <c:lblOffset val="100"/>
        <c:noMultiLvlLbl val="0"/>
      </c:catAx>
      <c:valAx>
        <c:axId val="208575503"/>
        <c:scaling>
          <c:orientation val="minMax"/>
          <c:max val="16"/>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t>Dry matter (t ha</a:t>
                </a:r>
                <a:r>
                  <a:rPr lang="en-US" baseline="30000"/>
                  <a:t>-1</a:t>
                </a:r>
                <a:r>
                  <a:rPr lang="en-US"/>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8608367"/>
        <c:crosses val="autoZero"/>
        <c:crossBetween val="between"/>
        <c:majorUnit val="4"/>
      </c:valAx>
      <c:spPr>
        <a:noFill/>
        <a:ln>
          <a:noFill/>
        </a:ln>
        <a:effectLst/>
      </c:spPr>
    </c:plotArea>
    <c:legend>
      <c:legendPos val="r"/>
      <c:layout>
        <c:manualLayout>
          <c:xMode val="edge"/>
          <c:yMode val="edge"/>
          <c:x val="0.54496232038791748"/>
          <c:y val="4.9812745738798472E-3"/>
          <c:w val="0.32143565105209304"/>
          <c:h val="5.961926695921902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915837096939465E-2"/>
          <c:y val="9.9704677383554458E-2"/>
          <c:w val="0.90613164345447805"/>
          <c:h val="0.55278576416480052"/>
        </c:manualLayout>
      </c:layout>
      <c:barChart>
        <c:barDir val="col"/>
        <c:grouping val="stacked"/>
        <c:varyColors val="0"/>
        <c:ser>
          <c:idx val="0"/>
          <c:order val="0"/>
          <c:tx>
            <c:strRef>
              <c:f>Harvest!$D$69</c:f>
              <c:strCache>
                <c:ptCount val="1"/>
                <c:pt idx="0">
                  <c:v>Sheat </c:v>
                </c:pt>
              </c:strCache>
            </c:strRef>
          </c:tx>
          <c:spPr>
            <a:solidFill>
              <a:srgbClr val="92D050"/>
            </a:solidFill>
            <a:ln>
              <a:noFill/>
            </a:ln>
            <a:effectLst/>
          </c:spPr>
          <c:invertIfNegative val="0"/>
          <c:dLbls>
            <c:delete val="1"/>
          </c:dLbls>
          <c:cat>
            <c:multiLvlStrRef>
              <c:f>Harvest!$B$70:$C$89</c:f>
              <c:multiLvlStrCache>
                <c:ptCount val="20"/>
                <c:lvl>
                  <c:pt idx="0">
                    <c:v>G0</c:v>
                  </c:pt>
                  <c:pt idx="1">
                    <c:v>GRB</c:v>
                  </c:pt>
                  <c:pt idx="2">
                    <c:v>GSH</c:v>
                  </c:pt>
                  <c:pt idx="3">
                    <c:v>GDC</c:v>
                  </c:pt>
                  <c:pt idx="4">
                    <c:v>G0</c:v>
                  </c:pt>
                  <c:pt idx="5">
                    <c:v>GRB</c:v>
                  </c:pt>
                  <c:pt idx="6">
                    <c:v>GSH</c:v>
                  </c:pt>
                  <c:pt idx="7">
                    <c:v>GDC</c:v>
                  </c:pt>
                  <c:pt idx="8">
                    <c:v>G0</c:v>
                  </c:pt>
                  <c:pt idx="9">
                    <c:v>GRB</c:v>
                  </c:pt>
                  <c:pt idx="10">
                    <c:v>GSH</c:v>
                  </c:pt>
                  <c:pt idx="11">
                    <c:v>GDC</c:v>
                  </c:pt>
                  <c:pt idx="12">
                    <c:v>G0</c:v>
                  </c:pt>
                  <c:pt idx="13">
                    <c:v>GRB</c:v>
                  </c:pt>
                  <c:pt idx="14">
                    <c:v>GSH</c:v>
                  </c:pt>
                  <c:pt idx="15">
                    <c:v>GDC</c:v>
                  </c:pt>
                  <c:pt idx="16">
                    <c:v>G0</c:v>
                  </c:pt>
                  <c:pt idx="17">
                    <c:v>GRB</c:v>
                  </c:pt>
                  <c:pt idx="18">
                    <c:v>GSH</c:v>
                  </c:pt>
                  <c:pt idx="19">
                    <c:v>GDC</c:v>
                  </c:pt>
                </c:lvl>
                <c:lvl>
                  <c:pt idx="0">
                    <c:v>N0</c:v>
                  </c:pt>
                  <c:pt idx="4">
                    <c:v>N25</c:v>
                  </c:pt>
                  <c:pt idx="8">
                    <c:v>N50</c:v>
                  </c:pt>
                  <c:pt idx="12">
                    <c:v>N75</c:v>
                  </c:pt>
                  <c:pt idx="16">
                    <c:v>N100</c:v>
                  </c:pt>
                </c:lvl>
              </c:multiLvlStrCache>
            </c:multiLvlStrRef>
          </c:cat>
          <c:val>
            <c:numRef>
              <c:f>Harvest!$D$70:$D$89</c:f>
              <c:numCache>
                <c:formatCode>0.00</c:formatCode>
                <c:ptCount val="20"/>
                <c:pt idx="0">
                  <c:v>1.7804166666666668</c:v>
                </c:pt>
                <c:pt idx="1">
                  <c:v>2.6379166666666669</c:v>
                </c:pt>
                <c:pt idx="2">
                  <c:v>3.3470833333333334</c:v>
                </c:pt>
                <c:pt idx="3">
                  <c:v>2.9087499999999999</c:v>
                </c:pt>
                <c:pt idx="4">
                  <c:v>2.5191666666666666</c:v>
                </c:pt>
                <c:pt idx="5">
                  <c:v>2.9466666666666668</c:v>
                </c:pt>
                <c:pt idx="6">
                  <c:v>3.0512499999999996</c:v>
                </c:pt>
                <c:pt idx="7">
                  <c:v>2.9858333333333333</c:v>
                </c:pt>
                <c:pt idx="8">
                  <c:v>3.2008333333333332</c:v>
                </c:pt>
                <c:pt idx="9">
                  <c:v>3.4237500000000001</c:v>
                </c:pt>
                <c:pt idx="10">
                  <c:v>4.0637499999999998</c:v>
                </c:pt>
                <c:pt idx="11">
                  <c:v>4.3274999999999997</c:v>
                </c:pt>
                <c:pt idx="12">
                  <c:v>2.5</c:v>
                </c:pt>
                <c:pt idx="13">
                  <c:v>3.8374999999999999</c:v>
                </c:pt>
                <c:pt idx="14">
                  <c:v>4.5479166666666666</c:v>
                </c:pt>
                <c:pt idx="15">
                  <c:v>2.9587500000000002</c:v>
                </c:pt>
                <c:pt idx="16">
                  <c:v>3.9995833333333333</c:v>
                </c:pt>
                <c:pt idx="17">
                  <c:v>4.0395833333333337</c:v>
                </c:pt>
                <c:pt idx="18">
                  <c:v>4.4695833333333335</c:v>
                </c:pt>
                <c:pt idx="19">
                  <c:v>4.19625</c:v>
                </c:pt>
              </c:numCache>
            </c:numRef>
          </c:val>
          <c:extLst>
            <c:ext xmlns:c16="http://schemas.microsoft.com/office/drawing/2014/chart" uri="{C3380CC4-5D6E-409C-BE32-E72D297353CC}">
              <c16:uniqueId val="{00000000-5E2B-A94E-B902-46E2958898A8}"/>
            </c:ext>
          </c:extLst>
        </c:ser>
        <c:ser>
          <c:idx val="1"/>
          <c:order val="1"/>
          <c:tx>
            <c:strRef>
              <c:f>Harvest!$E$69</c:f>
              <c:strCache>
                <c:ptCount val="1"/>
                <c:pt idx="0">
                  <c:v>Leaf </c:v>
                </c:pt>
              </c:strCache>
            </c:strRef>
          </c:tx>
          <c:spPr>
            <a:solidFill>
              <a:srgbClr val="70AD47">
                <a:lumMod val="50000"/>
              </a:srgbClr>
            </a:solidFill>
            <a:ln>
              <a:noFill/>
            </a:ln>
            <a:effectLst/>
          </c:spPr>
          <c:invertIfNegative val="0"/>
          <c:dLbls>
            <c:delete val="1"/>
          </c:dLbls>
          <c:cat>
            <c:multiLvlStrRef>
              <c:f>Harvest!$B$70:$C$89</c:f>
              <c:multiLvlStrCache>
                <c:ptCount val="20"/>
                <c:lvl>
                  <c:pt idx="0">
                    <c:v>G0</c:v>
                  </c:pt>
                  <c:pt idx="1">
                    <c:v>GRB</c:v>
                  </c:pt>
                  <c:pt idx="2">
                    <c:v>GSH</c:v>
                  </c:pt>
                  <c:pt idx="3">
                    <c:v>GDC</c:v>
                  </c:pt>
                  <c:pt idx="4">
                    <c:v>G0</c:v>
                  </c:pt>
                  <c:pt idx="5">
                    <c:v>GRB</c:v>
                  </c:pt>
                  <c:pt idx="6">
                    <c:v>GSH</c:v>
                  </c:pt>
                  <c:pt idx="7">
                    <c:v>GDC</c:v>
                  </c:pt>
                  <c:pt idx="8">
                    <c:v>G0</c:v>
                  </c:pt>
                  <c:pt idx="9">
                    <c:v>GRB</c:v>
                  </c:pt>
                  <c:pt idx="10">
                    <c:v>GSH</c:v>
                  </c:pt>
                  <c:pt idx="11">
                    <c:v>GDC</c:v>
                  </c:pt>
                  <c:pt idx="12">
                    <c:v>G0</c:v>
                  </c:pt>
                  <c:pt idx="13">
                    <c:v>GRB</c:v>
                  </c:pt>
                  <c:pt idx="14">
                    <c:v>GSH</c:v>
                  </c:pt>
                  <c:pt idx="15">
                    <c:v>GDC</c:v>
                  </c:pt>
                  <c:pt idx="16">
                    <c:v>G0</c:v>
                  </c:pt>
                  <c:pt idx="17">
                    <c:v>GRB</c:v>
                  </c:pt>
                  <c:pt idx="18">
                    <c:v>GSH</c:v>
                  </c:pt>
                  <c:pt idx="19">
                    <c:v>GDC</c:v>
                  </c:pt>
                </c:lvl>
                <c:lvl>
                  <c:pt idx="0">
                    <c:v>N0</c:v>
                  </c:pt>
                  <c:pt idx="4">
                    <c:v>N25</c:v>
                  </c:pt>
                  <c:pt idx="8">
                    <c:v>N50</c:v>
                  </c:pt>
                  <c:pt idx="12">
                    <c:v>N75</c:v>
                  </c:pt>
                  <c:pt idx="16">
                    <c:v>N100</c:v>
                  </c:pt>
                </c:lvl>
              </c:multiLvlStrCache>
            </c:multiLvlStrRef>
          </c:cat>
          <c:val>
            <c:numRef>
              <c:f>Harvest!$E$70:$E$89</c:f>
              <c:numCache>
                <c:formatCode>0.00</c:formatCode>
                <c:ptCount val="20"/>
                <c:pt idx="0">
                  <c:v>0.82250000000000012</c:v>
                </c:pt>
                <c:pt idx="1">
                  <c:v>0.80708333333333337</c:v>
                </c:pt>
                <c:pt idx="2">
                  <c:v>1.3004166666666668</c:v>
                </c:pt>
                <c:pt idx="3">
                  <c:v>1.0954166666666665</c:v>
                </c:pt>
                <c:pt idx="4">
                  <c:v>1.4008333333333332</c:v>
                </c:pt>
                <c:pt idx="5">
                  <c:v>1.3500000000000003</c:v>
                </c:pt>
                <c:pt idx="6">
                  <c:v>0.96125000000000005</c:v>
                </c:pt>
                <c:pt idx="7">
                  <c:v>0.89375000000000016</c:v>
                </c:pt>
                <c:pt idx="8">
                  <c:v>1.2758333333333334</c:v>
                </c:pt>
                <c:pt idx="9">
                  <c:v>1.1233333333333331</c:v>
                </c:pt>
                <c:pt idx="10">
                  <c:v>1.8041666666666665</c:v>
                </c:pt>
                <c:pt idx="11">
                  <c:v>1.4924999999999999</c:v>
                </c:pt>
                <c:pt idx="12">
                  <c:v>1.1075000000000002</c:v>
                </c:pt>
                <c:pt idx="13">
                  <c:v>1.3866666666666667</c:v>
                </c:pt>
                <c:pt idx="14">
                  <c:v>1.5825000000000002</c:v>
                </c:pt>
                <c:pt idx="15">
                  <c:v>1.1191666666666666</c:v>
                </c:pt>
                <c:pt idx="16">
                  <c:v>1.2429166666666667</c:v>
                </c:pt>
                <c:pt idx="17">
                  <c:v>1.5450000000000002</c:v>
                </c:pt>
                <c:pt idx="18">
                  <c:v>2.1308333333333329</c:v>
                </c:pt>
                <c:pt idx="19">
                  <c:v>1.85625</c:v>
                </c:pt>
              </c:numCache>
            </c:numRef>
          </c:val>
          <c:extLst>
            <c:ext xmlns:c16="http://schemas.microsoft.com/office/drawing/2014/chart" uri="{C3380CC4-5D6E-409C-BE32-E72D297353CC}">
              <c16:uniqueId val="{00000001-5E2B-A94E-B902-46E2958898A8}"/>
            </c:ext>
          </c:extLst>
        </c:ser>
        <c:ser>
          <c:idx val="2"/>
          <c:order val="2"/>
          <c:tx>
            <c:strRef>
              <c:f>Harvest!$F$69</c:f>
              <c:strCache>
                <c:ptCount val="1"/>
                <c:pt idx="0">
                  <c:v>Panicle </c:v>
                </c:pt>
              </c:strCache>
            </c:strRef>
          </c:tx>
          <c:spPr>
            <a:solidFill>
              <a:srgbClr val="FFC000"/>
            </a:solidFill>
            <a:ln>
              <a:noFill/>
            </a:ln>
            <a:effectLst/>
          </c:spPr>
          <c:invertIfNegative val="0"/>
          <c:dLbls>
            <c:dLbl>
              <c:idx val="0"/>
              <c:layout>
                <c:manualLayout>
                  <c:x val="-2.0715391579151176E-17"/>
                  <c:y val="-0.11594202898550725"/>
                </c:manualLayout>
              </c:layout>
              <c:tx>
                <c:rich>
                  <a:bodyPr/>
                  <a:lstStyle/>
                  <a:p>
                    <a:r>
                      <a:rPr lang="en-US"/>
                      <a:t>i</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2B-A94E-B902-46E2958898A8}"/>
                </c:ext>
              </c:extLst>
            </c:dLbl>
            <c:dLbl>
              <c:idx val="1"/>
              <c:layout>
                <c:manualLayout>
                  <c:x val="2.2598870056497176E-3"/>
                  <c:y val="-0.1370223978919631"/>
                </c:manualLayout>
              </c:layout>
              <c:tx>
                <c:rich>
                  <a:bodyPr/>
                  <a:lstStyle/>
                  <a:p>
                    <a:r>
                      <a:rPr lang="en-US"/>
                      <a:t>hi</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2B-A94E-B902-46E2958898A8}"/>
                </c:ext>
              </c:extLst>
            </c:dLbl>
            <c:dLbl>
              <c:idx val="2"/>
              <c:layout>
                <c:manualLayout>
                  <c:x val="0"/>
                  <c:y val="-0.12648221343873514"/>
                </c:manualLayout>
              </c:layout>
              <c:tx>
                <c:rich>
                  <a:bodyPr/>
                  <a:lstStyle/>
                  <a:p>
                    <a:r>
                      <a:rPr lang="en-US"/>
                      <a:t>e-h</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2B-A94E-B902-46E2958898A8}"/>
                </c:ext>
              </c:extLst>
            </c:dLbl>
            <c:dLbl>
              <c:idx val="3"/>
              <c:layout>
                <c:manualLayout>
                  <c:x val="2.259887005649676E-3"/>
                  <c:y val="-0.17918313570487485"/>
                </c:manualLayout>
              </c:layout>
              <c:tx>
                <c:rich>
                  <a:bodyPr/>
                  <a:lstStyle/>
                  <a:p>
                    <a:r>
                      <a:rPr lang="en-US"/>
                      <a:t>hi</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2B-A94E-B902-46E2958898A8}"/>
                </c:ext>
              </c:extLst>
            </c:dLbl>
            <c:dLbl>
              <c:idx val="4"/>
              <c:layout>
                <c:manualLayout>
                  <c:x val="-2.2598870056497176E-3"/>
                  <c:y val="-0.16337285902503293"/>
                </c:manualLayout>
              </c:layout>
              <c:tx>
                <c:rich>
                  <a:bodyPr/>
                  <a:lstStyle/>
                  <a:p>
                    <a:r>
                      <a:rPr lang="en-US"/>
                      <a:t>fgh</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E2B-A94E-B902-46E2958898A8}"/>
                </c:ext>
              </c:extLst>
            </c:dLbl>
            <c:dLbl>
              <c:idx val="5"/>
              <c:layout>
                <c:manualLayout>
                  <c:x val="-4.1430783158302352E-17"/>
                  <c:y val="-0.15810276679841898"/>
                </c:manualLayout>
              </c:layout>
              <c:tx>
                <c:rich>
                  <a:bodyPr/>
                  <a:lstStyle/>
                  <a:p>
                    <a:r>
                      <a:rPr lang="en-US"/>
                      <a:t>hi</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E2B-A94E-B902-46E2958898A8}"/>
                </c:ext>
              </c:extLst>
            </c:dLbl>
            <c:dLbl>
              <c:idx val="6"/>
              <c:layout>
                <c:manualLayout>
                  <c:x val="0"/>
                  <c:y val="-0.17391304347826086"/>
                </c:manualLayout>
              </c:layout>
              <c:tx>
                <c:rich>
                  <a:bodyPr/>
                  <a:lstStyle/>
                  <a:p>
                    <a:r>
                      <a:rPr lang="en-US"/>
                      <a:t>ghi</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E2B-A94E-B902-46E2958898A8}"/>
                </c:ext>
              </c:extLst>
            </c:dLbl>
            <c:dLbl>
              <c:idx val="7"/>
              <c:layout>
                <c:manualLayout>
                  <c:x val="-8.2861566316604703E-17"/>
                  <c:y val="-0.13175230566534915"/>
                </c:manualLayout>
              </c:layout>
              <c:tx>
                <c:rich>
                  <a:bodyPr/>
                  <a:lstStyle/>
                  <a:p>
                    <a:r>
                      <a:rPr lang="en-US"/>
                      <a:t>hi</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E2B-A94E-B902-46E2958898A8}"/>
                </c:ext>
              </c:extLst>
            </c:dLbl>
            <c:dLbl>
              <c:idx val="8"/>
              <c:layout>
                <c:manualLayout>
                  <c:x val="0"/>
                  <c:y val="-0.15283267457180499"/>
                </c:manualLayout>
              </c:layout>
              <c:tx>
                <c:rich>
                  <a:bodyPr/>
                  <a:lstStyle/>
                  <a:p>
                    <a:r>
                      <a:rPr lang="en-US"/>
                      <a:t>e-h</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E2B-A94E-B902-46E2958898A8}"/>
                </c:ext>
              </c:extLst>
            </c:dLbl>
            <c:dLbl>
              <c:idx val="9"/>
              <c:layout>
                <c:manualLayout>
                  <c:x val="0"/>
                  <c:y val="-0.1844532279314888"/>
                </c:manualLayout>
              </c:layout>
              <c:tx>
                <c:rich>
                  <a:bodyPr/>
                  <a:lstStyle/>
                  <a:p>
                    <a:r>
                      <a:rPr lang="en-US"/>
                      <a:t>b-g</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E2B-A94E-B902-46E2958898A8}"/>
                </c:ext>
              </c:extLst>
            </c:dLbl>
            <c:dLbl>
              <c:idx val="10"/>
              <c:layout>
                <c:manualLayout>
                  <c:x val="4.5197740112994352E-3"/>
                  <c:y val="-0.23715415019762845"/>
                </c:manualLayout>
              </c:layout>
              <c:tx>
                <c:rich>
                  <a:bodyPr/>
                  <a:lstStyle/>
                  <a:p>
                    <a:r>
                      <a:rPr lang="en-US"/>
                      <a:t>abc</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E2B-A94E-B902-46E2958898A8}"/>
                </c:ext>
              </c:extLst>
            </c:dLbl>
            <c:dLbl>
              <c:idx val="11"/>
              <c:layout>
                <c:manualLayout>
                  <c:x val="4.5197740112994352E-3"/>
                  <c:y val="-0.22134387351778662"/>
                </c:manualLayout>
              </c:layout>
              <c:tx>
                <c:rich>
                  <a:bodyPr/>
                  <a:lstStyle/>
                  <a:p>
                    <a:r>
                      <a:rPr lang="en-US"/>
                      <a:t>a-d</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E2B-A94E-B902-46E2958898A8}"/>
                </c:ext>
              </c:extLst>
            </c:dLbl>
            <c:dLbl>
              <c:idx val="12"/>
              <c:layout>
                <c:manualLayout>
                  <c:x val="-8.2861566316604703E-17"/>
                  <c:y val="-0.17918313570487487"/>
                </c:manualLayout>
              </c:layout>
              <c:tx>
                <c:rich>
                  <a:bodyPr/>
                  <a:lstStyle/>
                  <a:p>
                    <a:r>
                      <a:rPr lang="en-US"/>
                      <a:t>d-h</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E2B-A94E-B902-46E2958898A8}"/>
                </c:ext>
              </c:extLst>
            </c:dLbl>
            <c:dLbl>
              <c:idx val="13"/>
              <c:layout>
                <c:manualLayout>
                  <c:x val="-2.2598870056496348E-3"/>
                  <c:y val="-0.16864295125164694"/>
                </c:manualLayout>
              </c:layout>
              <c:tx>
                <c:rich>
                  <a:bodyPr/>
                  <a:lstStyle/>
                  <a:p>
                    <a:r>
                      <a:rPr lang="en-US"/>
                      <a:t>b-g</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E2B-A94E-B902-46E2958898A8}"/>
                </c:ext>
              </c:extLst>
            </c:dLbl>
            <c:dLbl>
              <c:idx val="14"/>
              <c:layout>
                <c:manualLayout>
                  <c:x val="-8.3711865536938623E-4"/>
                  <c:y val="-0.16864320531362151"/>
                </c:manualLayout>
              </c:layout>
              <c:tx>
                <c:rich>
                  <a:bodyPr/>
                  <a:lstStyle/>
                  <a:p>
                    <a:r>
                      <a:rPr lang="en-US"/>
                      <a:t>ab</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E2B-A94E-B902-46E2958898A8}"/>
                </c:ext>
              </c:extLst>
            </c:dLbl>
            <c:dLbl>
              <c:idx val="15"/>
              <c:layout>
                <c:manualLayout>
                  <c:x val="-2.2598870056497176E-3"/>
                  <c:y val="-0.25296442687747034"/>
                </c:manualLayout>
              </c:layout>
              <c:tx>
                <c:rich>
                  <a:bodyPr/>
                  <a:lstStyle/>
                  <a:p>
                    <a:r>
                      <a:rPr lang="en-US"/>
                      <a:t>c-h</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E2B-A94E-B902-46E2958898A8}"/>
                </c:ext>
              </c:extLst>
            </c:dLbl>
            <c:dLbl>
              <c:idx val="16"/>
              <c:layout>
                <c:manualLayout>
                  <c:x val="-8.3711865536938623E-4"/>
                  <c:y val="-0.21815344510507614"/>
                </c:manualLayout>
              </c:layout>
              <c:tx>
                <c:rich>
                  <a:bodyPr/>
                  <a:lstStyle/>
                  <a:p>
                    <a:r>
                      <a:rPr lang="en-US"/>
                      <a:t>a-f</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E2B-A94E-B902-46E2958898A8}"/>
                </c:ext>
              </c:extLst>
            </c:dLbl>
            <c:dLbl>
              <c:idx val="17"/>
              <c:layout>
                <c:manualLayout>
                  <c:x val="-4.5197740112994352E-3"/>
                  <c:y val="-0.21607378129117263"/>
                </c:manualLayout>
              </c:layout>
              <c:tx>
                <c:rich>
                  <a:bodyPr/>
                  <a:lstStyle/>
                  <a:p>
                    <a:r>
                      <a:rPr lang="en-US"/>
                      <a:t>a-d</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E2B-A94E-B902-46E2958898A8}"/>
                </c:ext>
              </c:extLst>
            </c:dLbl>
            <c:dLbl>
              <c:idx val="18"/>
              <c:layout>
                <c:manualLayout>
                  <c:x val="-8.370421088670036E-4"/>
                  <c:y val="-0.2210559949273406"/>
                </c:manualLayout>
              </c:layout>
              <c:tx>
                <c:rich>
                  <a:bodyPr/>
                  <a:lstStyle/>
                  <a:p>
                    <a:r>
                      <a:rPr lang="en-US"/>
                      <a:t>a</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E2B-A94E-B902-46E2958898A8}"/>
                </c:ext>
              </c:extLst>
            </c:dLbl>
            <c:dLbl>
              <c:idx val="19"/>
              <c:layout>
                <c:manualLayout>
                  <c:x val="0"/>
                  <c:y val="-0.2318840579710145"/>
                </c:manualLayout>
              </c:layout>
              <c:tx>
                <c:rich>
                  <a:bodyPr/>
                  <a:lstStyle/>
                  <a:p>
                    <a:r>
                      <a:rPr lang="en-US"/>
                      <a:t>a-e</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E2B-A94E-B902-46E2958898A8}"/>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Harvest!$AY$5:$AY$24</c:f>
                <c:numCache>
                  <c:formatCode>General</c:formatCode>
                  <c:ptCount val="20"/>
                  <c:pt idx="0">
                    <c:v>8.5759474695219759E-2</c:v>
                  </c:pt>
                  <c:pt idx="1">
                    <c:v>0.25465765418171393</c:v>
                  </c:pt>
                  <c:pt idx="2">
                    <c:v>0.53516498624256059</c:v>
                  </c:pt>
                  <c:pt idx="3">
                    <c:v>2.045256707604211</c:v>
                  </c:pt>
                  <c:pt idx="4">
                    <c:v>0.9107354514347189</c:v>
                  </c:pt>
                  <c:pt idx="5">
                    <c:v>1.3614382330829398</c:v>
                  </c:pt>
                  <c:pt idx="6">
                    <c:v>1.1766592894008487</c:v>
                  </c:pt>
                  <c:pt idx="7">
                    <c:v>0.46270997485826143</c:v>
                  </c:pt>
                  <c:pt idx="8">
                    <c:v>0.15740738017428968</c:v>
                  </c:pt>
                  <c:pt idx="9">
                    <c:v>0.74035710696483059</c:v>
                  </c:pt>
                  <c:pt idx="10">
                    <c:v>2.6687435597111917</c:v>
                  </c:pt>
                  <c:pt idx="11">
                    <c:v>1.8854073664595574</c:v>
                  </c:pt>
                  <c:pt idx="12">
                    <c:v>1.0712502430960431</c:v>
                  </c:pt>
                  <c:pt idx="13">
                    <c:v>0.85278312747145768</c:v>
                  </c:pt>
                  <c:pt idx="14">
                    <c:v>0.27556854108067813</c:v>
                  </c:pt>
                  <c:pt idx="15">
                    <c:v>2.4468196832827718</c:v>
                  </c:pt>
                  <c:pt idx="16">
                    <c:v>2.0681609181428073</c:v>
                  </c:pt>
                  <c:pt idx="17">
                    <c:v>1.5247971176520505</c:v>
                  </c:pt>
                  <c:pt idx="18">
                    <c:v>1.8114399198795883</c:v>
                  </c:pt>
                  <c:pt idx="19">
                    <c:v>2.040021063004017</c:v>
                  </c:pt>
                </c:numCache>
              </c:numRef>
            </c:plus>
            <c:minus>
              <c:numRef>
                <c:f>Harvest!$AY$5:$AY$24</c:f>
                <c:numCache>
                  <c:formatCode>General</c:formatCode>
                  <c:ptCount val="20"/>
                  <c:pt idx="0">
                    <c:v>8.5759474695219759E-2</c:v>
                  </c:pt>
                  <c:pt idx="1">
                    <c:v>0.25465765418171393</c:v>
                  </c:pt>
                  <c:pt idx="2">
                    <c:v>0.53516498624256059</c:v>
                  </c:pt>
                  <c:pt idx="3">
                    <c:v>2.045256707604211</c:v>
                  </c:pt>
                  <c:pt idx="4">
                    <c:v>0.9107354514347189</c:v>
                  </c:pt>
                  <c:pt idx="5">
                    <c:v>1.3614382330829398</c:v>
                  </c:pt>
                  <c:pt idx="6">
                    <c:v>1.1766592894008487</c:v>
                  </c:pt>
                  <c:pt idx="7">
                    <c:v>0.46270997485826143</c:v>
                  </c:pt>
                  <c:pt idx="8">
                    <c:v>0.15740738017428968</c:v>
                  </c:pt>
                  <c:pt idx="9">
                    <c:v>0.74035710696483059</c:v>
                  </c:pt>
                  <c:pt idx="10">
                    <c:v>2.6687435597111917</c:v>
                  </c:pt>
                  <c:pt idx="11">
                    <c:v>1.8854073664595574</c:v>
                  </c:pt>
                  <c:pt idx="12">
                    <c:v>1.0712502430960431</c:v>
                  </c:pt>
                  <c:pt idx="13">
                    <c:v>0.85278312747145768</c:v>
                  </c:pt>
                  <c:pt idx="14">
                    <c:v>0.27556854108067813</c:v>
                  </c:pt>
                  <c:pt idx="15">
                    <c:v>2.4468196832827718</c:v>
                  </c:pt>
                  <c:pt idx="16">
                    <c:v>2.0681609181428073</c:v>
                  </c:pt>
                  <c:pt idx="17">
                    <c:v>1.5247971176520505</c:v>
                  </c:pt>
                  <c:pt idx="18">
                    <c:v>1.8114399198795883</c:v>
                  </c:pt>
                  <c:pt idx="19">
                    <c:v>2.040021063004017</c:v>
                  </c:pt>
                </c:numCache>
              </c:numRef>
            </c:minus>
            <c:spPr>
              <a:noFill/>
              <a:ln w="9525" cap="flat" cmpd="sng" algn="ctr">
                <a:solidFill>
                  <a:schemeClr val="tx1">
                    <a:lumMod val="65000"/>
                    <a:lumOff val="35000"/>
                  </a:schemeClr>
                </a:solidFill>
                <a:round/>
              </a:ln>
              <a:effectLst/>
            </c:spPr>
          </c:errBars>
          <c:cat>
            <c:multiLvlStrRef>
              <c:f>Harvest!$B$70:$C$89</c:f>
              <c:multiLvlStrCache>
                <c:ptCount val="20"/>
                <c:lvl>
                  <c:pt idx="0">
                    <c:v>G0</c:v>
                  </c:pt>
                  <c:pt idx="1">
                    <c:v>GRB</c:v>
                  </c:pt>
                  <c:pt idx="2">
                    <c:v>GSH</c:v>
                  </c:pt>
                  <c:pt idx="3">
                    <c:v>GDC</c:v>
                  </c:pt>
                  <c:pt idx="4">
                    <c:v>G0</c:v>
                  </c:pt>
                  <c:pt idx="5">
                    <c:v>GRB</c:v>
                  </c:pt>
                  <c:pt idx="6">
                    <c:v>GSH</c:v>
                  </c:pt>
                  <c:pt idx="7">
                    <c:v>GDC</c:v>
                  </c:pt>
                  <c:pt idx="8">
                    <c:v>G0</c:v>
                  </c:pt>
                  <c:pt idx="9">
                    <c:v>GRB</c:v>
                  </c:pt>
                  <c:pt idx="10">
                    <c:v>GSH</c:v>
                  </c:pt>
                  <c:pt idx="11">
                    <c:v>GDC</c:v>
                  </c:pt>
                  <c:pt idx="12">
                    <c:v>G0</c:v>
                  </c:pt>
                  <c:pt idx="13">
                    <c:v>GRB</c:v>
                  </c:pt>
                  <c:pt idx="14">
                    <c:v>GSH</c:v>
                  </c:pt>
                  <c:pt idx="15">
                    <c:v>GDC</c:v>
                  </c:pt>
                  <c:pt idx="16">
                    <c:v>G0</c:v>
                  </c:pt>
                  <c:pt idx="17">
                    <c:v>GRB</c:v>
                  </c:pt>
                  <c:pt idx="18">
                    <c:v>GSH</c:v>
                  </c:pt>
                  <c:pt idx="19">
                    <c:v>GDC</c:v>
                  </c:pt>
                </c:lvl>
                <c:lvl>
                  <c:pt idx="0">
                    <c:v>N0</c:v>
                  </c:pt>
                  <c:pt idx="4">
                    <c:v>N25</c:v>
                  </c:pt>
                  <c:pt idx="8">
                    <c:v>N50</c:v>
                  </c:pt>
                  <c:pt idx="12">
                    <c:v>N75</c:v>
                  </c:pt>
                  <c:pt idx="16">
                    <c:v>N100</c:v>
                  </c:pt>
                </c:lvl>
              </c:multiLvlStrCache>
            </c:multiLvlStrRef>
          </c:cat>
          <c:val>
            <c:numRef>
              <c:f>Harvest!$F$70:$F$89</c:f>
              <c:numCache>
                <c:formatCode>0.00</c:formatCode>
                <c:ptCount val="20"/>
                <c:pt idx="0">
                  <c:v>3.7058333333333331</c:v>
                </c:pt>
                <c:pt idx="1">
                  <c:v>4.7454166666666664</c:v>
                </c:pt>
                <c:pt idx="2">
                  <c:v>4.7600000000000007</c:v>
                </c:pt>
                <c:pt idx="3">
                  <c:v>3.8433333333333333</c:v>
                </c:pt>
                <c:pt idx="4">
                  <c:v>4.94625</c:v>
                </c:pt>
                <c:pt idx="5">
                  <c:v>3.7358333333333333</c:v>
                </c:pt>
                <c:pt idx="6">
                  <c:v>4.6304166666666662</c:v>
                </c:pt>
                <c:pt idx="7">
                  <c:v>4.5375000000000005</c:v>
                </c:pt>
                <c:pt idx="8">
                  <c:v>4.7374999999999998</c:v>
                </c:pt>
                <c:pt idx="9">
                  <c:v>6.435833333333334</c:v>
                </c:pt>
                <c:pt idx="10">
                  <c:v>6.2145833333333336</c:v>
                </c:pt>
                <c:pt idx="11">
                  <c:v>6.1012500000000003</c:v>
                </c:pt>
                <c:pt idx="12">
                  <c:v>4.8804166666666662</c:v>
                </c:pt>
                <c:pt idx="13">
                  <c:v>5.7195833333333335</c:v>
                </c:pt>
                <c:pt idx="14">
                  <c:v>6.5804166666666672</c:v>
                </c:pt>
                <c:pt idx="15">
                  <c:v>5.8633333333333333</c:v>
                </c:pt>
                <c:pt idx="16">
                  <c:v>5.0979166666666664</c:v>
                </c:pt>
                <c:pt idx="17">
                  <c:v>6.376666666666666</c:v>
                </c:pt>
                <c:pt idx="18">
                  <c:v>7.0874999999999995</c:v>
                </c:pt>
                <c:pt idx="19">
                  <c:v>5.4750000000000005</c:v>
                </c:pt>
              </c:numCache>
            </c:numRef>
          </c:val>
          <c:extLst>
            <c:ext xmlns:c16="http://schemas.microsoft.com/office/drawing/2014/chart" uri="{C3380CC4-5D6E-409C-BE32-E72D297353CC}">
              <c16:uniqueId val="{00000016-5E2B-A94E-B902-46E2958898A8}"/>
            </c:ext>
          </c:extLst>
        </c:ser>
        <c:dLbls>
          <c:dLblPos val="ctr"/>
          <c:showLegendKey val="0"/>
          <c:showVal val="1"/>
          <c:showCatName val="0"/>
          <c:showSerName val="0"/>
          <c:showPercent val="0"/>
          <c:showBubbleSize val="0"/>
        </c:dLbls>
        <c:gapWidth val="150"/>
        <c:overlap val="100"/>
        <c:axId val="208608367"/>
        <c:axId val="208575503"/>
      </c:barChart>
      <c:catAx>
        <c:axId val="2086083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t>Combination of N levels and green manures</a:t>
                </a:r>
              </a:p>
            </c:rich>
          </c:tx>
          <c:layout>
            <c:manualLayout>
              <c:xMode val="edge"/>
              <c:yMode val="edge"/>
              <c:x val="0.33006559026083432"/>
              <c:y val="0.8916926467712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8575503"/>
        <c:crosses val="autoZero"/>
        <c:auto val="1"/>
        <c:lblAlgn val="ctr"/>
        <c:lblOffset val="100"/>
        <c:noMultiLvlLbl val="0"/>
      </c:catAx>
      <c:valAx>
        <c:axId val="208575503"/>
        <c:scaling>
          <c:orientation val="minMax"/>
          <c:max val="16"/>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t>Dry matter (t ha</a:t>
                </a:r>
                <a:r>
                  <a:rPr lang="en-US" baseline="30000"/>
                  <a:t>-1</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8608367"/>
        <c:crosses val="autoZero"/>
        <c:crossBetween val="between"/>
        <c:majorUnit val="4"/>
      </c:valAx>
      <c:spPr>
        <a:noFill/>
        <a:ln>
          <a:noFill/>
        </a:ln>
        <a:effectLst/>
      </c:spPr>
    </c:plotArea>
    <c:legend>
      <c:legendPos val="t"/>
      <c:layout>
        <c:manualLayout>
          <c:xMode val="edge"/>
          <c:yMode val="edge"/>
          <c:x val="0.63749135800158396"/>
          <c:y val="0"/>
          <c:w val="0.36088096327136049"/>
          <c:h val="6.141732283464566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a:t>2023</a:t>
            </a:r>
          </a:p>
        </c:rich>
      </c:tx>
      <c:layout>
        <c:manualLayout>
          <c:xMode val="edge"/>
          <c:yMode val="edge"/>
          <c:x val="0.18635566347008178"/>
          <c:y val="4.0243290022183763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1258157419038574"/>
          <c:y val="3.0657621084561663E-2"/>
          <c:w val="0.86304440240203439"/>
          <c:h val="0.663260587236284"/>
        </c:manualLayout>
      </c:layout>
      <c:barChart>
        <c:barDir val="col"/>
        <c:grouping val="clustered"/>
        <c:varyColors val="0"/>
        <c:ser>
          <c:idx val="0"/>
          <c:order val="0"/>
          <c:tx>
            <c:strRef>
              <c:f>Harvest!$S$96</c:f>
              <c:strCache>
                <c:ptCount val="1"/>
                <c:pt idx="0">
                  <c:v>NU (kg ha-1)</c:v>
                </c:pt>
              </c:strCache>
            </c:strRef>
          </c:tx>
          <c:spPr>
            <a:solidFill>
              <a:schemeClr val="accent1"/>
            </a:solidFill>
            <a:ln>
              <a:noFill/>
            </a:ln>
            <a:effectLst/>
          </c:spPr>
          <c:invertIfNegative val="0"/>
          <c:dPt>
            <c:idx val="0"/>
            <c:invertIfNegative val="0"/>
            <c:bubble3D val="0"/>
            <c:spPr>
              <a:solidFill>
                <a:srgbClr val="00B0F0"/>
              </a:solidFill>
              <a:ln>
                <a:solidFill>
                  <a:srgbClr val="00B0F0"/>
                </a:solidFill>
              </a:ln>
              <a:effectLst/>
            </c:spPr>
            <c:extLst>
              <c:ext xmlns:c16="http://schemas.microsoft.com/office/drawing/2014/chart" uri="{C3380CC4-5D6E-409C-BE32-E72D297353CC}">
                <c16:uniqueId val="{00000001-4008-F149-9D31-EA045CA13AE7}"/>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4008-F149-9D31-EA045CA13AE7}"/>
              </c:ext>
            </c:extLst>
          </c:dPt>
          <c:dPt>
            <c:idx val="2"/>
            <c:invertIfNegative val="0"/>
            <c:bubble3D val="0"/>
            <c:spPr>
              <a:solidFill>
                <a:srgbClr val="00B050"/>
              </a:solidFill>
              <a:ln>
                <a:noFill/>
              </a:ln>
              <a:effectLst/>
            </c:spPr>
            <c:extLst>
              <c:ext xmlns:c16="http://schemas.microsoft.com/office/drawing/2014/chart" uri="{C3380CC4-5D6E-409C-BE32-E72D297353CC}">
                <c16:uniqueId val="{00000005-4008-F149-9D31-EA045CA13AE7}"/>
              </c:ext>
            </c:extLst>
          </c:dPt>
          <c:dPt>
            <c:idx val="3"/>
            <c:invertIfNegative val="0"/>
            <c:bubble3D val="0"/>
            <c:spPr>
              <a:solidFill>
                <a:srgbClr val="7030A0"/>
              </a:solidFill>
              <a:ln>
                <a:noFill/>
              </a:ln>
              <a:effectLst/>
            </c:spPr>
            <c:extLst>
              <c:ext xmlns:c16="http://schemas.microsoft.com/office/drawing/2014/chart" uri="{C3380CC4-5D6E-409C-BE32-E72D297353CC}">
                <c16:uniqueId val="{00000007-4008-F149-9D31-EA045CA13AE7}"/>
              </c:ext>
            </c:extLst>
          </c:dPt>
          <c:dPt>
            <c:idx val="4"/>
            <c:invertIfNegative val="0"/>
            <c:bubble3D val="0"/>
            <c:spPr>
              <a:solidFill>
                <a:srgbClr val="00B0F0"/>
              </a:solidFill>
              <a:ln>
                <a:noFill/>
              </a:ln>
              <a:effectLst/>
            </c:spPr>
            <c:extLst>
              <c:ext xmlns:c16="http://schemas.microsoft.com/office/drawing/2014/chart" uri="{C3380CC4-5D6E-409C-BE32-E72D297353CC}">
                <c16:uniqueId val="{00000009-4008-F149-9D31-EA045CA13AE7}"/>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B-4008-F149-9D31-EA045CA13AE7}"/>
              </c:ext>
            </c:extLst>
          </c:dPt>
          <c:dPt>
            <c:idx val="6"/>
            <c:invertIfNegative val="0"/>
            <c:bubble3D val="0"/>
            <c:spPr>
              <a:solidFill>
                <a:srgbClr val="00B050"/>
              </a:solidFill>
              <a:ln>
                <a:noFill/>
              </a:ln>
              <a:effectLst/>
            </c:spPr>
            <c:extLst>
              <c:ext xmlns:c16="http://schemas.microsoft.com/office/drawing/2014/chart" uri="{C3380CC4-5D6E-409C-BE32-E72D297353CC}">
                <c16:uniqueId val="{0000000D-4008-F149-9D31-EA045CA13AE7}"/>
              </c:ext>
            </c:extLst>
          </c:dPt>
          <c:dPt>
            <c:idx val="7"/>
            <c:invertIfNegative val="0"/>
            <c:bubble3D val="0"/>
            <c:spPr>
              <a:solidFill>
                <a:srgbClr val="7030A0"/>
              </a:solidFill>
              <a:ln>
                <a:noFill/>
              </a:ln>
              <a:effectLst/>
            </c:spPr>
            <c:extLst>
              <c:ext xmlns:c16="http://schemas.microsoft.com/office/drawing/2014/chart" uri="{C3380CC4-5D6E-409C-BE32-E72D297353CC}">
                <c16:uniqueId val="{0000000F-4008-F149-9D31-EA045CA13AE7}"/>
              </c:ext>
            </c:extLst>
          </c:dPt>
          <c:dPt>
            <c:idx val="8"/>
            <c:invertIfNegative val="0"/>
            <c:bubble3D val="0"/>
            <c:spPr>
              <a:solidFill>
                <a:srgbClr val="00B0F0"/>
              </a:solidFill>
              <a:ln>
                <a:solidFill>
                  <a:srgbClr val="00B0F0"/>
                </a:solidFill>
              </a:ln>
              <a:effectLst/>
            </c:spPr>
            <c:extLst>
              <c:ext xmlns:c16="http://schemas.microsoft.com/office/drawing/2014/chart" uri="{C3380CC4-5D6E-409C-BE32-E72D297353CC}">
                <c16:uniqueId val="{00000011-4008-F149-9D31-EA045CA13AE7}"/>
              </c:ext>
            </c:extLst>
          </c:dPt>
          <c:dPt>
            <c:idx val="9"/>
            <c:invertIfNegative val="0"/>
            <c:bubble3D val="0"/>
            <c:spPr>
              <a:solidFill>
                <a:schemeClr val="accent2"/>
              </a:solidFill>
              <a:ln>
                <a:noFill/>
              </a:ln>
              <a:effectLst/>
            </c:spPr>
            <c:extLst>
              <c:ext xmlns:c16="http://schemas.microsoft.com/office/drawing/2014/chart" uri="{C3380CC4-5D6E-409C-BE32-E72D297353CC}">
                <c16:uniqueId val="{00000013-4008-F149-9D31-EA045CA13AE7}"/>
              </c:ext>
            </c:extLst>
          </c:dPt>
          <c:dPt>
            <c:idx val="10"/>
            <c:invertIfNegative val="0"/>
            <c:bubble3D val="0"/>
            <c:spPr>
              <a:solidFill>
                <a:srgbClr val="00B050"/>
              </a:solidFill>
              <a:ln>
                <a:noFill/>
              </a:ln>
              <a:effectLst/>
            </c:spPr>
            <c:extLst>
              <c:ext xmlns:c16="http://schemas.microsoft.com/office/drawing/2014/chart" uri="{C3380CC4-5D6E-409C-BE32-E72D297353CC}">
                <c16:uniqueId val="{00000015-4008-F149-9D31-EA045CA13AE7}"/>
              </c:ext>
            </c:extLst>
          </c:dPt>
          <c:dPt>
            <c:idx val="11"/>
            <c:invertIfNegative val="0"/>
            <c:bubble3D val="0"/>
            <c:spPr>
              <a:solidFill>
                <a:srgbClr val="7030A0"/>
              </a:solidFill>
              <a:ln>
                <a:noFill/>
              </a:ln>
              <a:effectLst/>
            </c:spPr>
            <c:extLst>
              <c:ext xmlns:c16="http://schemas.microsoft.com/office/drawing/2014/chart" uri="{C3380CC4-5D6E-409C-BE32-E72D297353CC}">
                <c16:uniqueId val="{00000017-4008-F149-9D31-EA045CA13AE7}"/>
              </c:ext>
            </c:extLst>
          </c:dPt>
          <c:dPt>
            <c:idx val="12"/>
            <c:invertIfNegative val="0"/>
            <c:bubble3D val="0"/>
            <c:spPr>
              <a:solidFill>
                <a:srgbClr val="00B0F0"/>
              </a:solidFill>
              <a:ln>
                <a:solidFill>
                  <a:srgbClr val="00B0F0"/>
                </a:solidFill>
              </a:ln>
              <a:effectLst/>
            </c:spPr>
            <c:extLst>
              <c:ext xmlns:c16="http://schemas.microsoft.com/office/drawing/2014/chart" uri="{C3380CC4-5D6E-409C-BE32-E72D297353CC}">
                <c16:uniqueId val="{00000019-4008-F149-9D31-EA045CA13AE7}"/>
              </c:ext>
            </c:extLst>
          </c:dPt>
          <c:dPt>
            <c:idx val="13"/>
            <c:invertIfNegative val="0"/>
            <c:bubble3D val="0"/>
            <c:spPr>
              <a:solidFill>
                <a:schemeClr val="accent2"/>
              </a:solidFill>
              <a:ln>
                <a:noFill/>
              </a:ln>
              <a:effectLst/>
            </c:spPr>
            <c:extLst>
              <c:ext xmlns:c16="http://schemas.microsoft.com/office/drawing/2014/chart" uri="{C3380CC4-5D6E-409C-BE32-E72D297353CC}">
                <c16:uniqueId val="{0000001B-4008-F149-9D31-EA045CA13AE7}"/>
              </c:ext>
            </c:extLst>
          </c:dPt>
          <c:dPt>
            <c:idx val="14"/>
            <c:invertIfNegative val="0"/>
            <c:bubble3D val="0"/>
            <c:spPr>
              <a:solidFill>
                <a:srgbClr val="00B050"/>
              </a:solidFill>
              <a:ln>
                <a:noFill/>
              </a:ln>
              <a:effectLst/>
            </c:spPr>
            <c:extLst>
              <c:ext xmlns:c16="http://schemas.microsoft.com/office/drawing/2014/chart" uri="{C3380CC4-5D6E-409C-BE32-E72D297353CC}">
                <c16:uniqueId val="{0000001D-4008-F149-9D31-EA045CA13AE7}"/>
              </c:ext>
            </c:extLst>
          </c:dPt>
          <c:dPt>
            <c:idx val="15"/>
            <c:invertIfNegative val="0"/>
            <c:bubble3D val="0"/>
            <c:spPr>
              <a:solidFill>
                <a:srgbClr val="7030A0"/>
              </a:solidFill>
              <a:ln>
                <a:noFill/>
              </a:ln>
              <a:effectLst/>
            </c:spPr>
            <c:extLst>
              <c:ext xmlns:c16="http://schemas.microsoft.com/office/drawing/2014/chart" uri="{C3380CC4-5D6E-409C-BE32-E72D297353CC}">
                <c16:uniqueId val="{0000001F-4008-F149-9D31-EA045CA13AE7}"/>
              </c:ext>
            </c:extLst>
          </c:dPt>
          <c:dPt>
            <c:idx val="16"/>
            <c:invertIfNegative val="0"/>
            <c:bubble3D val="0"/>
            <c:spPr>
              <a:solidFill>
                <a:srgbClr val="00B0F0"/>
              </a:solidFill>
              <a:ln>
                <a:solidFill>
                  <a:srgbClr val="00B0F0"/>
                </a:solidFill>
              </a:ln>
              <a:effectLst/>
            </c:spPr>
            <c:extLst>
              <c:ext xmlns:c16="http://schemas.microsoft.com/office/drawing/2014/chart" uri="{C3380CC4-5D6E-409C-BE32-E72D297353CC}">
                <c16:uniqueId val="{00000021-4008-F149-9D31-EA045CA13AE7}"/>
              </c:ext>
            </c:extLst>
          </c:dPt>
          <c:dPt>
            <c:idx val="17"/>
            <c:invertIfNegative val="0"/>
            <c:bubble3D val="0"/>
            <c:spPr>
              <a:solidFill>
                <a:schemeClr val="accent2"/>
              </a:solidFill>
              <a:ln>
                <a:noFill/>
              </a:ln>
              <a:effectLst/>
            </c:spPr>
            <c:extLst>
              <c:ext xmlns:c16="http://schemas.microsoft.com/office/drawing/2014/chart" uri="{C3380CC4-5D6E-409C-BE32-E72D297353CC}">
                <c16:uniqueId val="{00000023-4008-F149-9D31-EA045CA13AE7}"/>
              </c:ext>
            </c:extLst>
          </c:dPt>
          <c:dPt>
            <c:idx val="18"/>
            <c:invertIfNegative val="0"/>
            <c:bubble3D val="0"/>
            <c:spPr>
              <a:solidFill>
                <a:srgbClr val="00B050"/>
              </a:solidFill>
              <a:ln>
                <a:noFill/>
              </a:ln>
              <a:effectLst/>
            </c:spPr>
            <c:extLst>
              <c:ext xmlns:c16="http://schemas.microsoft.com/office/drawing/2014/chart" uri="{C3380CC4-5D6E-409C-BE32-E72D297353CC}">
                <c16:uniqueId val="{00000025-4008-F149-9D31-EA045CA13AE7}"/>
              </c:ext>
            </c:extLst>
          </c:dPt>
          <c:dPt>
            <c:idx val="19"/>
            <c:invertIfNegative val="0"/>
            <c:bubble3D val="0"/>
            <c:spPr>
              <a:solidFill>
                <a:srgbClr val="7030A0"/>
              </a:solidFill>
              <a:ln>
                <a:noFill/>
              </a:ln>
              <a:effectLst/>
            </c:spPr>
            <c:extLst>
              <c:ext xmlns:c16="http://schemas.microsoft.com/office/drawing/2014/chart" uri="{C3380CC4-5D6E-409C-BE32-E72D297353CC}">
                <c16:uniqueId val="{00000027-4008-F149-9D31-EA045CA13AE7}"/>
              </c:ext>
            </c:extLst>
          </c:dPt>
          <c:cat>
            <c:multiLvlStrRef>
              <c:f>Harvest!$Q$97:$R$116</c:f>
              <c:multiLvlStrCache>
                <c:ptCount val="20"/>
                <c:lvl>
                  <c:pt idx="0">
                    <c:v>G0</c:v>
                  </c:pt>
                  <c:pt idx="1">
                    <c:v>GRB</c:v>
                  </c:pt>
                  <c:pt idx="2">
                    <c:v>GSH</c:v>
                  </c:pt>
                  <c:pt idx="3">
                    <c:v>GDC</c:v>
                  </c:pt>
                  <c:pt idx="4">
                    <c:v>G0</c:v>
                  </c:pt>
                  <c:pt idx="5">
                    <c:v>GRB</c:v>
                  </c:pt>
                  <c:pt idx="6">
                    <c:v>GSH</c:v>
                  </c:pt>
                  <c:pt idx="7">
                    <c:v>GDC</c:v>
                  </c:pt>
                  <c:pt idx="8">
                    <c:v>G0</c:v>
                  </c:pt>
                  <c:pt idx="9">
                    <c:v>GRB</c:v>
                  </c:pt>
                  <c:pt idx="10">
                    <c:v>GSH</c:v>
                  </c:pt>
                  <c:pt idx="11">
                    <c:v>GDC</c:v>
                  </c:pt>
                  <c:pt idx="12">
                    <c:v>G0</c:v>
                  </c:pt>
                  <c:pt idx="13">
                    <c:v>GRB</c:v>
                  </c:pt>
                  <c:pt idx="14">
                    <c:v>GSH</c:v>
                  </c:pt>
                  <c:pt idx="15">
                    <c:v>GDC</c:v>
                  </c:pt>
                  <c:pt idx="16">
                    <c:v>G0</c:v>
                  </c:pt>
                  <c:pt idx="17">
                    <c:v>GRB</c:v>
                  </c:pt>
                  <c:pt idx="18">
                    <c:v>GSH</c:v>
                  </c:pt>
                  <c:pt idx="19">
                    <c:v>GDC</c:v>
                  </c:pt>
                </c:lvl>
                <c:lvl>
                  <c:pt idx="0">
                    <c:v>N0</c:v>
                  </c:pt>
                  <c:pt idx="4">
                    <c:v>N25</c:v>
                  </c:pt>
                  <c:pt idx="8">
                    <c:v>N50</c:v>
                  </c:pt>
                  <c:pt idx="12">
                    <c:v>N75</c:v>
                  </c:pt>
                  <c:pt idx="16">
                    <c:v>N100</c:v>
                  </c:pt>
                </c:lvl>
              </c:multiLvlStrCache>
            </c:multiLvlStrRef>
          </c:cat>
          <c:val>
            <c:numRef>
              <c:f>Harvest!$S$97:$S$116</c:f>
              <c:numCache>
                <c:formatCode>General</c:formatCode>
                <c:ptCount val="20"/>
                <c:pt idx="0">
                  <c:v>56.013484870940474</c:v>
                </c:pt>
                <c:pt idx="1">
                  <c:v>78.881441527583661</c:v>
                </c:pt>
                <c:pt idx="2">
                  <c:v>93.349817332723163</c:v>
                </c:pt>
                <c:pt idx="3">
                  <c:v>75.253539821687511</c:v>
                </c:pt>
                <c:pt idx="4">
                  <c:v>76.910863360825928</c:v>
                </c:pt>
                <c:pt idx="5">
                  <c:v>71.265421541254042</c:v>
                </c:pt>
                <c:pt idx="6">
                  <c:v>87.746414489970064</c:v>
                </c:pt>
                <c:pt idx="7">
                  <c:v>83.881810758490218</c:v>
                </c:pt>
                <c:pt idx="8">
                  <c:v>77.757622260484325</c:v>
                </c:pt>
                <c:pt idx="9">
                  <c:v>108.76869915643006</c:v>
                </c:pt>
                <c:pt idx="10">
                  <c:v>123.97656715475833</c:v>
                </c:pt>
                <c:pt idx="11">
                  <c:v>117.94344045984101</c:v>
                </c:pt>
                <c:pt idx="12">
                  <c:v>75.039751558935862</c:v>
                </c:pt>
                <c:pt idx="13">
                  <c:v>105.40514995670253</c:v>
                </c:pt>
                <c:pt idx="14">
                  <c:v>132.90608186861462</c:v>
                </c:pt>
                <c:pt idx="15">
                  <c:v>105.39261857240301</c:v>
                </c:pt>
                <c:pt idx="16">
                  <c:v>86.9318207757441</c:v>
                </c:pt>
                <c:pt idx="17">
                  <c:v>121.65638410595828</c:v>
                </c:pt>
                <c:pt idx="18">
                  <c:v>144.54338705230202</c:v>
                </c:pt>
                <c:pt idx="19">
                  <c:v>116.78198779405885</c:v>
                </c:pt>
              </c:numCache>
            </c:numRef>
          </c:val>
          <c:extLst>
            <c:ext xmlns:c16="http://schemas.microsoft.com/office/drawing/2014/chart" uri="{C3380CC4-5D6E-409C-BE32-E72D297353CC}">
              <c16:uniqueId val="{00000028-4008-F149-9D31-EA045CA13AE7}"/>
            </c:ext>
          </c:extLst>
        </c:ser>
        <c:dLbls>
          <c:showLegendKey val="0"/>
          <c:showVal val="0"/>
          <c:showCatName val="0"/>
          <c:showSerName val="0"/>
          <c:showPercent val="0"/>
          <c:showBubbleSize val="0"/>
        </c:dLbls>
        <c:gapWidth val="80"/>
        <c:overlap val="-33"/>
        <c:axId val="601626399"/>
        <c:axId val="676650511"/>
      </c:barChart>
      <c:catAx>
        <c:axId val="6016263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t>Combination of green manures and N levels</a:t>
                </a:r>
              </a:p>
            </c:rich>
          </c:tx>
          <c:layout>
            <c:manualLayout>
              <c:xMode val="edge"/>
              <c:yMode val="edge"/>
              <c:x val="0.31517904483045145"/>
              <c:y val="0.931619173463014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76650511"/>
        <c:crosses val="autoZero"/>
        <c:auto val="1"/>
        <c:lblAlgn val="ctr"/>
        <c:lblOffset val="100"/>
        <c:noMultiLvlLbl val="0"/>
      </c:catAx>
      <c:valAx>
        <c:axId val="676650511"/>
        <c:scaling>
          <c:orientation val="minMax"/>
          <c:max val="18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t>N uptake (kg ha</a:t>
                </a:r>
                <a:r>
                  <a:rPr lang="en-US" baseline="30000"/>
                  <a:t>-1</a:t>
                </a:r>
                <a:r>
                  <a:rPr lang="en-US"/>
                  <a:t>)</a:t>
                </a:r>
              </a:p>
            </c:rich>
          </c:tx>
          <c:layout>
            <c:manualLayout>
              <c:xMode val="edge"/>
              <c:yMode val="edge"/>
              <c:x val="6.8245212663925027E-3"/>
              <c:y val="0.2265446057997075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16263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b="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2024</a:t>
            </a:r>
          </a:p>
        </c:rich>
      </c:tx>
      <c:layout>
        <c:manualLayout>
          <c:xMode val="edge"/>
          <c:yMode val="edge"/>
          <c:x val="0.19390070161463283"/>
          <c:y val="5.8029999745908417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1319472103924752"/>
          <c:y val="4.566202583188874E-2"/>
          <c:w val="0.88138346763074826"/>
          <c:h val="0.62926995943688857"/>
        </c:manualLayout>
      </c:layout>
      <c:barChart>
        <c:barDir val="col"/>
        <c:grouping val="clustered"/>
        <c:varyColors val="0"/>
        <c:ser>
          <c:idx val="0"/>
          <c:order val="0"/>
          <c:tx>
            <c:strRef>
              <c:f>'NU 2024'!$D$27</c:f>
              <c:strCache>
                <c:ptCount val="1"/>
                <c:pt idx="0">
                  <c:v>Total NU (kg ha-1)</c:v>
                </c:pt>
              </c:strCache>
            </c:strRef>
          </c:tx>
          <c:spPr>
            <a:solidFill>
              <a:schemeClr val="accent1"/>
            </a:solidFill>
            <a:ln>
              <a:noFill/>
            </a:ln>
            <a:effectLst/>
          </c:spPr>
          <c:invertIfNegative val="0"/>
          <c:dPt>
            <c:idx val="0"/>
            <c:invertIfNegative val="0"/>
            <c:bubble3D val="0"/>
            <c:spPr>
              <a:solidFill>
                <a:srgbClr val="00B0F0"/>
              </a:solidFill>
              <a:ln>
                <a:solidFill>
                  <a:srgbClr val="00B0F0"/>
                </a:solidFill>
              </a:ln>
              <a:effectLst/>
            </c:spPr>
            <c:extLst>
              <c:ext xmlns:c16="http://schemas.microsoft.com/office/drawing/2014/chart" uri="{C3380CC4-5D6E-409C-BE32-E72D297353CC}">
                <c16:uniqueId val="{00000001-C65E-074F-AF62-0CF3DE78AF51}"/>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C65E-074F-AF62-0CF3DE78AF51}"/>
              </c:ext>
            </c:extLst>
          </c:dPt>
          <c:dPt>
            <c:idx val="2"/>
            <c:invertIfNegative val="0"/>
            <c:bubble3D val="0"/>
            <c:spPr>
              <a:solidFill>
                <a:srgbClr val="00B050"/>
              </a:solidFill>
              <a:ln>
                <a:noFill/>
              </a:ln>
              <a:effectLst/>
            </c:spPr>
            <c:extLst>
              <c:ext xmlns:c16="http://schemas.microsoft.com/office/drawing/2014/chart" uri="{C3380CC4-5D6E-409C-BE32-E72D297353CC}">
                <c16:uniqueId val="{00000005-C65E-074F-AF62-0CF3DE78AF51}"/>
              </c:ext>
            </c:extLst>
          </c:dPt>
          <c:dPt>
            <c:idx val="3"/>
            <c:invertIfNegative val="0"/>
            <c:bubble3D val="0"/>
            <c:spPr>
              <a:solidFill>
                <a:srgbClr val="7030A0"/>
              </a:solidFill>
              <a:ln>
                <a:noFill/>
              </a:ln>
              <a:effectLst/>
            </c:spPr>
            <c:extLst>
              <c:ext xmlns:c16="http://schemas.microsoft.com/office/drawing/2014/chart" uri="{C3380CC4-5D6E-409C-BE32-E72D297353CC}">
                <c16:uniqueId val="{00000007-C65E-074F-AF62-0CF3DE78AF51}"/>
              </c:ext>
            </c:extLst>
          </c:dPt>
          <c:dPt>
            <c:idx val="4"/>
            <c:invertIfNegative val="0"/>
            <c:bubble3D val="0"/>
            <c:spPr>
              <a:solidFill>
                <a:srgbClr val="00B0F0"/>
              </a:solidFill>
              <a:ln>
                <a:solidFill>
                  <a:srgbClr val="00B0F0"/>
                </a:solidFill>
              </a:ln>
              <a:effectLst/>
            </c:spPr>
            <c:extLst>
              <c:ext xmlns:c16="http://schemas.microsoft.com/office/drawing/2014/chart" uri="{C3380CC4-5D6E-409C-BE32-E72D297353CC}">
                <c16:uniqueId val="{00000009-C65E-074F-AF62-0CF3DE78AF51}"/>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B-C65E-074F-AF62-0CF3DE78AF51}"/>
              </c:ext>
            </c:extLst>
          </c:dPt>
          <c:dPt>
            <c:idx val="6"/>
            <c:invertIfNegative val="0"/>
            <c:bubble3D val="0"/>
            <c:spPr>
              <a:solidFill>
                <a:srgbClr val="00B050"/>
              </a:solidFill>
              <a:ln>
                <a:noFill/>
              </a:ln>
              <a:effectLst/>
            </c:spPr>
            <c:extLst>
              <c:ext xmlns:c16="http://schemas.microsoft.com/office/drawing/2014/chart" uri="{C3380CC4-5D6E-409C-BE32-E72D297353CC}">
                <c16:uniqueId val="{0000000D-C65E-074F-AF62-0CF3DE78AF51}"/>
              </c:ext>
            </c:extLst>
          </c:dPt>
          <c:dPt>
            <c:idx val="7"/>
            <c:invertIfNegative val="0"/>
            <c:bubble3D val="0"/>
            <c:spPr>
              <a:solidFill>
                <a:srgbClr val="7030A0"/>
              </a:solidFill>
              <a:ln>
                <a:noFill/>
              </a:ln>
              <a:effectLst/>
            </c:spPr>
            <c:extLst>
              <c:ext xmlns:c16="http://schemas.microsoft.com/office/drawing/2014/chart" uri="{C3380CC4-5D6E-409C-BE32-E72D297353CC}">
                <c16:uniqueId val="{0000000F-C65E-074F-AF62-0CF3DE78AF51}"/>
              </c:ext>
            </c:extLst>
          </c:dPt>
          <c:dPt>
            <c:idx val="8"/>
            <c:invertIfNegative val="0"/>
            <c:bubble3D val="0"/>
            <c:spPr>
              <a:solidFill>
                <a:srgbClr val="00B0F0"/>
              </a:solidFill>
              <a:ln>
                <a:noFill/>
              </a:ln>
              <a:effectLst/>
            </c:spPr>
            <c:extLst>
              <c:ext xmlns:c16="http://schemas.microsoft.com/office/drawing/2014/chart" uri="{C3380CC4-5D6E-409C-BE32-E72D297353CC}">
                <c16:uniqueId val="{00000011-C65E-074F-AF62-0CF3DE78AF51}"/>
              </c:ext>
            </c:extLst>
          </c:dPt>
          <c:dPt>
            <c:idx val="9"/>
            <c:invertIfNegative val="0"/>
            <c:bubble3D val="0"/>
            <c:spPr>
              <a:solidFill>
                <a:schemeClr val="accent2"/>
              </a:solidFill>
              <a:ln>
                <a:noFill/>
              </a:ln>
              <a:effectLst/>
            </c:spPr>
            <c:extLst>
              <c:ext xmlns:c16="http://schemas.microsoft.com/office/drawing/2014/chart" uri="{C3380CC4-5D6E-409C-BE32-E72D297353CC}">
                <c16:uniqueId val="{00000013-C65E-074F-AF62-0CF3DE78AF51}"/>
              </c:ext>
            </c:extLst>
          </c:dPt>
          <c:dPt>
            <c:idx val="10"/>
            <c:invertIfNegative val="0"/>
            <c:bubble3D val="0"/>
            <c:spPr>
              <a:solidFill>
                <a:srgbClr val="00B050"/>
              </a:solidFill>
              <a:ln>
                <a:noFill/>
              </a:ln>
              <a:effectLst/>
            </c:spPr>
            <c:extLst>
              <c:ext xmlns:c16="http://schemas.microsoft.com/office/drawing/2014/chart" uri="{C3380CC4-5D6E-409C-BE32-E72D297353CC}">
                <c16:uniqueId val="{00000015-C65E-074F-AF62-0CF3DE78AF51}"/>
              </c:ext>
            </c:extLst>
          </c:dPt>
          <c:dPt>
            <c:idx val="11"/>
            <c:invertIfNegative val="0"/>
            <c:bubble3D val="0"/>
            <c:spPr>
              <a:solidFill>
                <a:srgbClr val="7030A0"/>
              </a:solidFill>
              <a:ln>
                <a:noFill/>
              </a:ln>
              <a:effectLst/>
            </c:spPr>
            <c:extLst>
              <c:ext xmlns:c16="http://schemas.microsoft.com/office/drawing/2014/chart" uri="{C3380CC4-5D6E-409C-BE32-E72D297353CC}">
                <c16:uniqueId val="{00000017-C65E-074F-AF62-0CF3DE78AF51}"/>
              </c:ext>
            </c:extLst>
          </c:dPt>
          <c:dPt>
            <c:idx val="12"/>
            <c:invertIfNegative val="0"/>
            <c:bubble3D val="0"/>
            <c:spPr>
              <a:solidFill>
                <a:srgbClr val="00B0F0"/>
              </a:solidFill>
              <a:ln>
                <a:noFill/>
              </a:ln>
              <a:effectLst/>
            </c:spPr>
            <c:extLst>
              <c:ext xmlns:c16="http://schemas.microsoft.com/office/drawing/2014/chart" uri="{C3380CC4-5D6E-409C-BE32-E72D297353CC}">
                <c16:uniqueId val="{00000019-C65E-074F-AF62-0CF3DE78AF51}"/>
              </c:ext>
            </c:extLst>
          </c:dPt>
          <c:dPt>
            <c:idx val="13"/>
            <c:invertIfNegative val="0"/>
            <c:bubble3D val="0"/>
            <c:spPr>
              <a:solidFill>
                <a:schemeClr val="accent2"/>
              </a:solidFill>
              <a:ln>
                <a:noFill/>
              </a:ln>
              <a:effectLst/>
            </c:spPr>
            <c:extLst>
              <c:ext xmlns:c16="http://schemas.microsoft.com/office/drawing/2014/chart" uri="{C3380CC4-5D6E-409C-BE32-E72D297353CC}">
                <c16:uniqueId val="{0000001B-C65E-074F-AF62-0CF3DE78AF51}"/>
              </c:ext>
            </c:extLst>
          </c:dPt>
          <c:dPt>
            <c:idx val="14"/>
            <c:invertIfNegative val="0"/>
            <c:bubble3D val="0"/>
            <c:spPr>
              <a:solidFill>
                <a:srgbClr val="00B050"/>
              </a:solidFill>
              <a:ln>
                <a:noFill/>
              </a:ln>
              <a:effectLst/>
            </c:spPr>
            <c:extLst>
              <c:ext xmlns:c16="http://schemas.microsoft.com/office/drawing/2014/chart" uri="{C3380CC4-5D6E-409C-BE32-E72D297353CC}">
                <c16:uniqueId val="{0000001D-C65E-074F-AF62-0CF3DE78AF51}"/>
              </c:ext>
            </c:extLst>
          </c:dPt>
          <c:dPt>
            <c:idx val="15"/>
            <c:invertIfNegative val="0"/>
            <c:bubble3D val="0"/>
            <c:spPr>
              <a:solidFill>
                <a:srgbClr val="7030A0"/>
              </a:solidFill>
              <a:ln>
                <a:noFill/>
              </a:ln>
              <a:effectLst/>
            </c:spPr>
            <c:extLst>
              <c:ext xmlns:c16="http://schemas.microsoft.com/office/drawing/2014/chart" uri="{C3380CC4-5D6E-409C-BE32-E72D297353CC}">
                <c16:uniqueId val="{0000001F-C65E-074F-AF62-0CF3DE78AF51}"/>
              </c:ext>
            </c:extLst>
          </c:dPt>
          <c:dPt>
            <c:idx val="16"/>
            <c:invertIfNegative val="0"/>
            <c:bubble3D val="0"/>
            <c:spPr>
              <a:solidFill>
                <a:srgbClr val="00B0F0"/>
              </a:solidFill>
              <a:ln>
                <a:noFill/>
              </a:ln>
              <a:effectLst/>
            </c:spPr>
            <c:extLst>
              <c:ext xmlns:c16="http://schemas.microsoft.com/office/drawing/2014/chart" uri="{C3380CC4-5D6E-409C-BE32-E72D297353CC}">
                <c16:uniqueId val="{00000021-C65E-074F-AF62-0CF3DE78AF51}"/>
              </c:ext>
            </c:extLst>
          </c:dPt>
          <c:dPt>
            <c:idx val="17"/>
            <c:invertIfNegative val="0"/>
            <c:bubble3D val="0"/>
            <c:spPr>
              <a:solidFill>
                <a:schemeClr val="accent2"/>
              </a:solidFill>
              <a:ln>
                <a:noFill/>
              </a:ln>
              <a:effectLst/>
            </c:spPr>
            <c:extLst>
              <c:ext xmlns:c16="http://schemas.microsoft.com/office/drawing/2014/chart" uri="{C3380CC4-5D6E-409C-BE32-E72D297353CC}">
                <c16:uniqueId val="{00000023-C65E-074F-AF62-0CF3DE78AF51}"/>
              </c:ext>
            </c:extLst>
          </c:dPt>
          <c:dPt>
            <c:idx val="18"/>
            <c:invertIfNegative val="0"/>
            <c:bubble3D val="0"/>
            <c:spPr>
              <a:solidFill>
                <a:srgbClr val="00B050"/>
              </a:solidFill>
              <a:ln>
                <a:noFill/>
              </a:ln>
              <a:effectLst/>
            </c:spPr>
            <c:extLst>
              <c:ext xmlns:c16="http://schemas.microsoft.com/office/drawing/2014/chart" uri="{C3380CC4-5D6E-409C-BE32-E72D297353CC}">
                <c16:uniqueId val="{00000025-C65E-074F-AF62-0CF3DE78AF51}"/>
              </c:ext>
            </c:extLst>
          </c:dPt>
          <c:dPt>
            <c:idx val="19"/>
            <c:invertIfNegative val="0"/>
            <c:bubble3D val="0"/>
            <c:spPr>
              <a:solidFill>
                <a:srgbClr val="7030A0"/>
              </a:solidFill>
              <a:ln>
                <a:noFill/>
              </a:ln>
              <a:effectLst/>
            </c:spPr>
            <c:extLst>
              <c:ext xmlns:c16="http://schemas.microsoft.com/office/drawing/2014/chart" uri="{C3380CC4-5D6E-409C-BE32-E72D297353CC}">
                <c16:uniqueId val="{00000027-C65E-074F-AF62-0CF3DE78AF51}"/>
              </c:ext>
            </c:extLst>
          </c:dPt>
          <c:cat>
            <c:multiLvlStrRef>
              <c:f>'NU 2024'!$B$28:$C$47</c:f>
              <c:multiLvlStrCache>
                <c:ptCount val="20"/>
                <c:lvl>
                  <c:pt idx="0">
                    <c:v>G0</c:v>
                  </c:pt>
                  <c:pt idx="1">
                    <c:v>GRB</c:v>
                  </c:pt>
                  <c:pt idx="2">
                    <c:v>GSH</c:v>
                  </c:pt>
                  <c:pt idx="3">
                    <c:v>GDC</c:v>
                  </c:pt>
                  <c:pt idx="4">
                    <c:v>G0</c:v>
                  </c:pt>
                  <c:pt idx="5">
                    <c:v>GRB</c:v>
                  </c:pt>
                  <c:pt idx="6">
                    <c:v>GSH</c:v>
                  </c:pt>
                  <c:pt idx="7">
                    <c:v>GDC</c:v>
                  </c:pt>
                  <c:pt idx="8">
                    <c:v>G0</c:v>
                  </c:pt>
                  <c:pt idx="9">
                    <c:v>GRB</c:v>
                  </c:pt>
                  <c:pt idx="10">
                    <c:v>GSH</c:v>
                  </c:pt>
                  <c:pt idx="11">
                    <c:v>GDC</c:v>
                  </c:pt>
                  <c:pt idx="12">
                    <c:v>G0</c:v>
                  </c:pt>
                  <c:pt idx="13">
                    <c:v>GRB</c:v>
                  </c:pt>
                  <c:pt idx="14">
                    <c:v>GSH</c:v>
                  </c:pt>
                  <c:pt idx="15">
                    <c:v>GDC</c:v>
                  </c:pt>
                  <c:pt idx="16">
                    <c:v>G0</c:v>
                  </c:pt>
                  <c:pt idx="17">
                    <c:v>GRB</c:v>
                  </c:pt>
                  <c:pt idx="18">
                    <c:v>GSH</c:v>
                  </c:pt>
                  <c:pt idx="19">
                    <c:v>GDC</c:v>
                  </c:pt>
                </c:lvl>
                <c:lvl>
                  <c:pt idx="0">
                    <c:v>N0</c:v>
                  </c:pt>
                  <c:pt idx="4">
                    <c:v>N25</c:v>
                  </c:pt>
                  <c:pt idx="8">
                    <c:v>N50</c:v>
                  </c:pt>
                  <c:pt idx="12">
                    <c:v>N75</c:v>
                  </c:pt>
                  <c:pt idx="16">
                    <c:v>N100</c:v>
                  </c:pt>
                </c:lvl>
              </c:multiLvlStrCache>
            </c:multiLvlStrRef>
          </c:cat>
          <c:val>
            <c:numRef>
              <c:f>'NU 2024'!$D$28:$D$47</c:f>
              <c:numCache>
                <c:formatCode>General</c:formatCode>
                <c:ptCount val="20"/>
                <c:pt idx="0">
                  <c:v>45.339577094454683</c:v>
                </c:pt>
                <c:pt idx="1">
                  <c:v>82.853914679781738</c:v>
                </c:pt>
                <c:pt idx="2">
                  <c:v>98.945008886710397</c:v>
                </c:pt>
                <c:pt idx="3">
                  <c:v>80.008616552043634</c:v>
                </c:pt>
                <c:pt idx="4">
                  <c:v>62.791094127732315</c:v>
                </c:pt>
                <c:pt idx="5">
                  <c:v>87.425007530462224</c:v>
                </c:pt>
                <c:pt idx="6">
                  <c:v>124.06498203776722</c:v>
                </c:pt>
                <c:pt idx="7">
                  <c:v>81.376093771798466</c:v>
                </c:pt>
                <c:pt idx="8">
                  <c:v>68.526616711943134</c:v>
                </c:pt>
                <c:pt idx="9">
                  <c:v>96.364297821941364</c:v>
                </c:pt>
                <c:pt idx="10">
                  <c:v>125.00634238329469</c:v>
                </c:pt>
                <c:pt idx="11">
                  <c:v>85.640557421316558</c:v>
                </c:pt>
                <c:pt idx="12">
                  <c:v>77.182046155448106</c:v>
                </c:pt>
                <c:pt idx="13">
                  <c:v>108.78612532951048</c:v>
                </c:pt>
                <c:pt idx="14">
                  <c:v>149.81407033391247</c:v>
                </c:pt>
                <c:pt idx="15">
                  <c:v>106.07936285667512</c:v>
                </c:pt>
                <c:pt idx="16">
                  <c:v>85.58126862805814</c:v>
                </c:pt>
                <c:pt idx="17">
                  <c:v>117.36013872719209</c:v>
                </c:pt>
                <c:pt idx="18">
                  <c:v>166.43063715093163</c:v>
                </c:pt>
                <c:pt idx="19">
                  <c:v>114.6308299484656</c:v>
                </c:pt>
              </c:numCache>
            </c:numRef>
          </c:val>
          <c:extLst>
            <c:ext xmlns:c16="http://schemas.microsoft.com/office/drawing/2014/chart" uri="{C3380CC4-5D6E-409C-BE32-E72D297353CC}">
              <c16:uniqueId val="{00000028-C65E-074F-AF62-0CF3DE78AF51}"/>
            </c:ext>
          </c:extLst>
        </c:ser>
        <c:dLbls>
          <c:showLegendKey val="0"/>
          <c:showVal val="0"/>
          <c:showCatName val="0"/>
          <c:showSerName val="0"/>
          <c:showPercent val="0"/>
          <c:showBubbleSize val="0"/>
        </c:dLbls>
        <c:gapWidth val="80"/>
        <c:overlap val="42"/>
        <c:axId val="49343968"/>
        <c:axId val="49325312"/>
      </c:barChart>
      <c:catAx>
        <c:axId val="4934396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Combination of green manure and N levels</a:t>
                </a:r>
              </a:p>
            </c:rich>
          </c:tx>
          <c:layout>
            <c:manualLayout>
              <c:xMode val="edge"/>
              <c:yMode val="edge"/>
              <c:x val="0.30528414379512464"/>
              <c:y val="0.9007018849916487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9325312"/>
        <c:crosses val="autoZero"/>
        <c:auto val="1"/>
        <c:lblAlgn val="ctr"/>
        <c:lblOffset val="100"/>
        <c:noMultiLvlLbl val="0"/>
      </c:catAx>
      <c:valAx>
        <c:axId val="4932531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N uptake (kg ha</a:t>
                </a:r>
                <a:r>
                  <a:rPr lang="en-US" baseline="30000"/>
                  <a:t>-1</a:t>
                </a:r>
                <a:r>
                  <a:rPr lang="en-US"/>
                  <a:t>)</a:t>
                </a:r>
              </a:p>
            </c:rich>
          </c:tx>
          <c:layout>
            <c:manualLayout>
              <c:xMode val="edge"/>
              <c:yMode val="edge"/>
              <c:x val="1.2015840272362122E-2"/>
              <c:y val="0.190016702457647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9343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b="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a:t>2023</a:t>
            </a:r>
          </a:p>
        </c:rich>
      </c:tx>
      <c:layout>
        <c:manualLayout>
          <c:xMode val="edge"/>
          <c:yMode val="edge"/>
          <c:x val="0.17784052943363868"/>
          <c:y val="1.4442782018523791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1660482094910558E-2"/>
          <c:y val="4.200482319783827E-2"/>
          <c:w val="0.88922970835542114"/>
          <c:h val="0.63840967705123819"/>
        </c:manualLayout>
      </c:layout>
      <c:barChart>
        <c:barDir val="col"/>
        <c:grouping val="clustered"/>
        <c:varyColors val="0"/>
        <c:ser>
          <c:idx val="0"/>
          <c:order val="0"/>
          <c:tx>
            <c:strRef>
              <c:f>'NUE 2023'!$T$71</c:f>
              <c:strCache>
                <c:ptCount val="1"/>
                <c:pt idx="0">
                  <c:v>NUE</c:v>
                </c:pt>
              </c:strCache>
            </c:strRef>
          </c:tx>
          <c:spPr>
            <a:solidFill>
              <a:schemeClr val="accent1"/>
            </a:solidFill>
            <a:ln>
              <a:noFill/>
            </a:ln>
            <a:effectLst/>
          </c:spPr>
          <c:invertIfNegative val="0"/>
          <c:dPt>
            <c:idx val="0"/>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1-94ED-7447-BD00-C3C7F9D6404F}"/>
              </c:ext>
            </c:extLst>
          </c:dPt>
          <c:dPt>
            <c:idx val="1"/>
            <c:invertIfNegative val="0"/>
            <c:bubble3D val="0"/>
            <c:spPr>
              <a:solidFill>
                <a:srgbClr val="00B050"/>
              </a:solidFill>
              <a:ln>
                <a:solidFill>
                  <a:srgbClr val="00B050"/>
                </a:solidFill>
              </a:ln>
              <a:effectLst/>
            </c:spPr>
            <c:extLst>
              <c:ext xmlns:c16="http://schemas.microsoft.com/office/drawing/2014/chart" uri="{C3380CC4-5D6E-409C-BE32-E72D297353CC}">
                <c16:uniqueId val="{00000003-94ED-7447-BD00-C3C7F9D6404F}"/>
              </c:ext>
            </c:extLst>
          </c:dPt>
          <c:dPt>
            <c:idx val="2"/>
            <c:invertIfNegative val="0"/>
            <c:bubble3D val="0"/>
            <c:spPr>
              <a:solidFill>
                <a:srgbClr val="7030A0"/>
              </a:solidFill>
              <a:ln>
                <a:solidFill>
                  <a:srgbClr val="7030A0"/>
                </a:solidFill>
              </a:ln>
              <a:effectLst/>
            </c:spPr>
            <c:extLst>
              <c:ext xmlns:c16="http://schemas.microsoft.com/office/drawing/2014/chart" uri="{C3380CC4-5D6E-409C-BE32-E72D297353CC}">
                <c16:uniqueId val="{00000005-94ED-7447-BD00-C3C7F9D6404F}"/>
              </c:ext>
            </c:extLst>
          </c:dPt>
          <c:dPt>
            <c:idx val="3"/>
            <c:invertIfNegative val="0"/>
            <c:bubble3D val="0"/>
            <c:spPr>
              <a:solidFill>
                <a:srgbClr val="00B0F0"/>
              </a:solidFill>
              <a:ln>
                <a:solidFill>
                  <a:srgbClr val="00B0F0"/>
                </a:solidFill>
              </a:ln>
              <a:effectLst/>
            </c:spPr>
            <c:extLst>
              <c:ext xmlns:c16="http://schemas.microsoft.com/office/drawing/2014/chart" uri="{C3380CC4-5D6E-409C-BE32-E72D297353CC}">
                <c16:uniqueId val="{00000007-94ED-7447-BD00-C3C7F9D6404F}"/>
              </c:ext>
            </c:extLst>
          </c:dPt>
          <c:dPt>
            <c:idx val="4"/>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9-94ED-7447-BD00-C3C7F9D6404F}"/>
              </c:ext>
            </c:extLst>
          </c:dPt>
          <c:dPt>
            <c:idx val="5"/>
            <c:invertIfNegative val="0"/>
            <c:bubble3D val="0"/>
            <c:spPr>
              <a:solidFill>
                <a:srgbClr val="00B050"/>
              </a:solidFill>
              <a:ln>
                <a:solidFill>
                  <a:srgbClr val="00B050"/>
                </a:solidFill>
              </a:ln>
              <a:effectLst/>
            </c:spPr>
            <c:extLst>
              <c:ext xmlns:c16="http://schemas.microsoft.com/office/drawing/2014/chart" uri="{C3380CC4-5D6E-409C-BE32-E72D297353CC}">
                <c16:uniqueId val="{0000000B-94ED-7447-BD00-C3C7F9D6404F}"/>
              </c:ext>
            </c:extLst>
          </c:dPt>
          <c:dPt>
            <c:idx val="6"/>
            <c:invertIfNegative val="0"/>
            <c:bubble3D val="0"/>
            <c:spPr>
              <a:solidFill>
                <a:srgbClr val="7030A0"/>
              </a:solidFill>
              <a:ln>
                <a:solidFill>
                  <a:srgbClr val="7030A0"/>
                </a:solidFill>
              </a:ln>
              <a:effectLst/>
            </c:spPr>
            <c:extLst>
              <c:ext xmlns:c16="http://schemas.microsoft.com/office/drawing/2014/chart" uri="{C3380CC4-5D6E-409C-BE32-E72D297353CC}">
                <c16:uniqueId val="{0000000D-94ED-7447-BD00-C3C7F9D6404F}"/>
              </c:ext>
            </c:extLst>
          </c:dPt>
          <c:dPt>
            <c:idx val="7"/>
            <c:invertIfNegative val="0"/>
            <c:bubble3D val="0"/>
            <c:spPr>
              <a:solidFill>
                <a:srgbClr val="00B0F0"/>
              </a:solidFill>
              <a:ln>
                <a:solidFill>
                  <a:srgbClr val="00B0F0"/>
                </a:solidFill>
              </a:ln>
              <a:effectLst/>
            </c:spPr>
            <c:extLst>
              <c:ext xmlns:c16="http://schemas.microsoft.com/office/drawing/2014/chart" uri="{C3380CC4-5D6E-409C-BE32-E72D297353CC}">
                <c16:uniqueId val="{0000000F-94ED-7447-BD00-C3C7F9D6404F}"/>
              </c:ext>
            </c:extLst>
          </c:dPt>
          <c:dPt>
            <c:idx val="8"/>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11-94ED-7447-BD00-C3C7F9D6404F}"/>
              </c:ext>
            </c:extLst>
          </c:dPt>
          <c:dPt>
            <c:idx val="9"/>
            <c:invertIfNegative val="0"/>
            <c:bubble3D val="0"/>
            <c:spPr>
              <a:solidFill>
                <a:srgbClr val="00B050"/>
              </a:solidFill>
              <a:ln>
                <a:solidFill>
                  <a:srgbClr val="00B050"/>
                </a:solidFill>
              </a:ln>
              <a:effectLst/>
            </c:spPr>
            <c:extLst>
              <c:ext xmlns:c16="http://schemas.microsoft.com/office/drawing/2014/chart" uri="{C3380CC4-5D6E-409C-BE32-E72D297353CC}">
                <c16:uniqueId val="{00000013-94ED-7447-BD00-C3C7F9D6404F}"/>
              </c:ext>
            </c:extLst>
          </c:dPt>
          <c:dPt>
            <c:idx val="10"/>
            <c:invertIfNegative val="0"/>
            <c:bubble3D val="0"/>
            <c:spPr>
              <a:solidFill>
                <a:srgbClr val="7030A0"/>
              </a:solidFill>
              <a:ln>
                <a:solidFill>
                  <a:srgbClr val="7030A0"/>
                </a:solidFill>
              </a:ln>
              <a:effectLst/>
            </c:spPr>
            <c:extLst>
              <c:ext xmlns:c16="http://schemas.microsoft.com/office/drawing/2014/chart" uri="{C3380CC4-5D6E-409C-BE32-E72D297353CC}">
                <c16:uniqueId val="{00000015-94ED-7447-BD00-C3C7F9D6404F}"/>
              </c:ext>
            </c:extLst>
          </c:dPt>
          <c:dPt>
            <c:idx val="11"/>
            <c:invertIfNegative val="0"/>
            <c:bubble3D val="0"/>
            <c:spPr>
              <a:solidFill>
                <a:srgbClr val="00B0F0"/>
              </a:solidFill>
              <a:ln>
                <a:solidFill>
                  <a:srgbClr val="00B0F0"/>
                </a:solidFill>
              </a:ln>
              <a:effectLst/>
            </c:spPr>
            <c:extLst>
              <c:ext xmlns:c16="http://schemas.microsoft.com/office/drawing/2014/chart" uri="{C3380CC4-5D6E-409C-BE32-E72D297353CC}">
                <c16:uniqueId val="{00000017-94ED-7447-BD00-C3C7F9D6404F}"/>
              </c:ext>
            </c:extLst>
          </c:dPt>
          <c:dPt>
            <c:idx val="12"/>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19-94ED-7447-BD00-C3C7F9D6404F}"/>
              </c:ext>
            </c:extLst>
          </c:dPt>
          <c:dPt>
            <c:idx val="13"/>
            <c:invertIfNegative val="0"/>
            <c:bubble3D val="0"/>
            <c:spPr>
              <a:solidFill>
                <a:srgbClr val="00B050"/>
              </a:solidFill>
              <a:ln>
                <a:solidFill>
                  <a:srgbClr val="00B050"/>
                </a:solidFill>
              </a:ln>
              <a:effectLst/>
            </c:spPr>
            <c:extLst>
              <c:ext xmlns:c16="http://schemas.microsoft.com/office/drawing/2014/chart" uri="{C3380CC4-5D6E-409C-BE32-E72D297353CC}">
                <c16:uniqueId val="{0000001B-94ED-7447-BD00-C3C7F9D6404F}"/>
              </c:ext>
            </c:extLst>
          </c:dPt>
          <c:dPt>
            <c:idx val="14"/>
            <c:invertIfNegative val="0"/>
            <c:bubble3D val="0"/>
            <c:spPr>
              <a:solidFill>
                <a:srgbClr val="7030A0"/>
              </a:solidFill>
              <a:ln>
                <a:solidFill>
                  <a:srgbClr val="7030A0"/>
                </a:solidFill>
              </a:ln>
              <a:effectLst/>
            </c:spPr>
            <c:extLst>
              <c:ext xmlns:c16="http://schemas.microsoft.com/office/drawing/2014/chart" uri="{C3380CC4-5D6E-409C-BE32-E72D297353CC}">
                <c16:uniqueId val="{0000001D-94ED-7447-BD00-C3C7F9D6404F}"/>
              </c:ext>
            </c:extLst>
          </c:dPt>
          <c:dPt>
            <c:idx val="15"/>
            <c:invertIfNegative val="0"/>
            <c:bubble3D val="0"/>
            <c:spPr>
              <a:solidFill>
                <a:srgbClr val="00B0F0"/>
              </a:solidFill>
              <a:ln>
                <a:solidFill>
                  <a:srgbClr val="00B0F0"/>
                </a:solidFill>
              </a:ln>
              <a:effectLst/>
            </c:spPr>
            <c:extLst>
              <c:ext xmlns:c16="http://schemas.microsoft.com/office/drawing/2014/chart" uri="{C3380CC4-5D6E-409C-BE32-E72D297353CC}">
                <c16:uniqueId val="{0000001F-94ED-7447-BD00-C3C7F9D6404F}"/>
              </c:ext>
            </c:extLst>
          </c:dPt>
          <c:dPt>
            <c:idx val="16"/>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21-94ED-7447-BD00-C3C7F9D6404F}"/>
              </c:ext>
            </c:extLst>
          </c:dPt>
          <c:dPt>
            <c:idx val="17"/>
            <c:invertIfNegative val="0"/>
            <c:bubble3D val="0"/>
            <c:spPr>
              <a:solidFill>
                <a:srgbClr val="00B050"/>
              </a:solidFill>
              <a:ln>
                <a:solidFill>
                  <a:srgbClr val="00B050"/>
                </a:solidFill>
              </a:ln>
              <a:effectLst/>
            </c:spPr>
            <c:extLst>
              <c:ext xmlns:c16="http://schemas.microsoft.com/office/drawing/2014/chart" uri="{C3380CC4-5D6E-409C-BE32-E72D297353CC}">
                <c16:uniqueId val="{00000023-94ED-7447-BD00-C3C7F9D6404F}"/>
              </c:ext>
            </c:extLst>
          </c:dPt>
          <c:dPt>
            <c:idx val="18"/>
            <c:invertIfNegative val="0"/>
            <c:bubble3D val="0"/>
            <c:spPr>
              <a:solidFill>
                <a:srgbClr val="7030A0"/>
              </a:solidFill>
              <a:ln>
                <a:solidFill>
                  <a:schemeClr val="tx1"/>
                </a:solidFill>
              </a:ln>
              <a:effectLst/>
            </c:spPr>
            <c:extLst>
              <c:ext xmlns:c16="http://schemas.microsoft.com/office/drawing/2014/chart" uri="{C3380CC4-5D6E-409C-BE32-E72D297353CC}">
                <c16:uniqueId val="{00000025-94ED-7447-BD00-C3C7F9D6404F}"/>
              </c:ext>
            </c:extLst>
          </c:dPt>
          <c:dLbls>
            <c:dLbl>
              <c:idx val="0"/>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ED-7447-BD00-C3C7F9D6404F}"/>
                </c:ext>
              </c:extLst>
            </c:dLbl>
            <c:dLbl>
              <c:idx val="1"/>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ED-7447-BD00-C3C7F9D6404F}"/>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ED-7447-BD00-C3C7F9D6404F}"/>
                </c:ext>
              </c:extLst>
            </c:dLbl>
            <c:dLbl>
              <c:idx val="3"/>
              <c:tx>
                <c:rich>
                  <a:bodyPr/>
                  <a:lstStyle/>
                  <a:p>
                    <a:r>
                      <a:rPr lang="en-US"/>
                      <a:t>ef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ED-7447-BD00-C3C7F9D6404F}"/>
                </c:ext>
              </c:extLst>
            </c:dLbl>
            <c:dLbl>
              <c:idx val="4"/>
              <c:tx>
                <c:rich>
                  <a:bodyPr/>
                  <a:lstStyle/>
                  <a:p>
                    <a:r>
                      <a:rPr lang="en-US"/>
                      <a:t>kl</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4ED-7447-BD00-C3C7F9D6404F}"/>
                </c:ext>
              </c:extLst>
            </c:dLbl>
            <c:dLbl>
              <c:idx val="5"/>
              <c:tx>
                <c:rich>
                  <a:bodyPr/>
                  <a:lstStyle/>
                  <a:p>
                    <a:r>
                      <a:rPr lang="en-US"/>
                      <a:t>fghi</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4ED-7447-BD00-C3C7F9D6404F}"/>
                </c:ext>
              </c:extLst>
            </c:dLbl>
            <c:dLbl>
              <c:idx val="6"/>
              <c:tx>
                <c:rich>
                  <a:bodyPr/>
                  <a:lstStyle/>
                  <a:p>
                    <a:r>
                      <a:rPr lang="en-US"/>
                      <a:t>efgh</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4ED-7447-BD00-C3C7F9D6404F}"/>
                </c:ext>
              </c:extLst>
            </c:dLbl>
            <c:dLbl>
              <c:idx val="7"/>
              <c:tx>
                <c:rich>
                  <a:bodyPr/>
                  <a:lstStyle/>
                  <a:p>
                    <a:r>
                      <a:rPr lang="en-US"/>
                      <a:t>ghi</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4ED-7447-BD00-C3C7F9D6404F}"/>
                </c:ext>
              </c:extLst>
            </c:dLbl>
            <c:dLbl>
              <c:idx val="8"/>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4ED-7447-BD00-C3C7F9D6404F}"/>
                </c:ext>
              </c:extLst>
            </c:dLbl>
            <c:dLbl>
              <c:idx val="9"/>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4ED-7447-BD00-C3C7F9D6404F}"/>
                </c:ext>
              </c:extLst>
            </c:dLbl>
            <c:dLbl>
              <c:idx val="10"/>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4ED-7447-BD00-C3C7F9D6404F}"/>
                </c:ext>
              </c:extLst>
            </c:dLbl>
            <c:dLbl>
              <c:idx val="11"/>
              <c:tx>
                <c:rich>
                  <a:bodyPr/>
                  <a:lstStyle/>
                  <a:p>
                    <a:r>
                      <a:rPr lang="en-US"/>
                      <a:t>l</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4ED-7447-BD00-C3C7F9D6404F}"/>
                </c:ext>
              </c:extLst>
            </c:dLbl>
            <c:dLbl>
              <c:idx val="12"/>
              <c:tx>
                <c:rich>
                  <a:bodyPr/>
                  <a:lstStyle/>
                  <a:p>
                    <a:r>
                      <a:rPr lang="en-US"/>
                      <a:t>hij</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4ED-7447-BD00-C3C7F9D6404F}"/>
                </c:ext>
              </c:extLst>
            </c:dLbl>
            <c:dLbl>
              <c:idx val="13"/>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94ED-7447-BD00-C3C7F9D6404F}"/>
                </c:ext>
              </c:extLst>
            </c:dLbl>
            <c:dLbl>
              <c:idx val="14"/>
              <c:tx>
                <c:rich>
                  <a:bodyPr/>
                  <a:lstStyle/>
                  <a:p>
                    <a:r>
                      <a:rPr lang="en-US"/>
                      <a:t>jkl</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94ED-7447-BD00-C3C7F9D6404F}"/>
                </c:ext>
              </c:extLst>
            </c:dLbl>
            <c:dLbl>
              <c:idx val="15"/>
              <c:tx>
                <c:rich>
                  <a:bodyPr/>
                  <a:lstStyle/>
                  <a:p>
                    <a:r>
                      <a:rPr lang="en-US"/>
                      <a:t>ghi</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94ED-7447-BD00-C3C7F9D6404F}"/>
                </c:ext>
              </c:extLst>
            </c:dLbl>
            <c:dLbl>
              <c:idx val="16"/>
              <c:tx>
                <c:rich>
                  <a:bodyPr/>
                  <a:lstStyle/>
                  <a:p>
                    <a:r>
                      <a:rPr lang="en-US"/>
                      <a:t>hijk</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94ED-7447-BD00-C3C7F9D6404F}"/>
                </c:ext>
              </c:extLst>
            </c:dLbl>
            <c:dLbl>
              <c:idx val="17"/>
              <c:tx>
                <c:rich>
                  <a:bodyPr/>
                  <a:lstStyle/>
                  <a:p>
                    <a:r>
                      <a:rPr lang="en-US"/>
                      <a:t>efg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94ED-7447-BD00-C3C7F9D6404F}"/>
                </c:ext>
              </c:extLst>
            </c:dLbl>
            <c:dLbl>
              <c:idx val="18"/>
              <c:tx>
                <c:rich>
                  <a:bodyPr/>
                  <a:lstStyle/>
                  <a:p>
                    <a:r>
                      <a:rPr lang="en-US"/>
                      <a:t>ijk</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94ED-7447-BD00-C3C7F9D6404F}"/>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'NUE 2023'!$R$72:$S$90</c:f>
              <c:multiLvlStrCache>
                <c:ptCount val="19"/>
                <c:lvl>
                  <c:pt idx="0">
                    <c:v>GRB</c:v>
                  </c:pt>
                  <c:pt idx="1">
                    <c:v>GSH </c:v>
                  </c:pt>
                  <c:pt idx="2">
                    <c:v>GDC</c:v>
                  </c:pt>
                  <c:pt idx="3">
                    <c:v>G0</c:v>
                  </c:pt>
                  <c:pt idx="4">
                    <c:v>GRB</c:v>
                  </c:pt>
                  <c:pt idx="5">
                    <c:v>GSH</c:v>
                  </c:pt>
                  <c:pt idx="6">
                    <c:v>GDC</c:v>
                  </c:pt>
                  <c:pt idx="7">
                    <c:v>G0 </c:v>
                  </c:pt>
                  <c:pt idx="8">
                    <c:v>GRB</c:v>
                  </c:pt>
                  <c:pt idx="9">
                    <c:v>GSH </c:v>
                  </c:pt>
                  <c:pt idx="10">
                    <c:v>GDC</c:v>
                  </c:pt>
                  <c:pt idx="11">
                    <c:v>G0</c:v>
                  </c:pt>
                  <c:pt idx="12">
                    <c:v>GRB</c:v>
                  </c:pt>
                  <c:pt idx="13">
                    <c:v>GSH </c:v>
                  </c:pt>
                  <c:pt idx="14">
                    <c:v>GDC</c:v>
                  </c:pt>
                  <c:pt idx="15">
                    <c:v>G0</c:v>
                  </c:pt>
                  <c:pt idx="16">
                    <c:v>GRB</c:v>
                  </c:pt>
                  <c:pt idx="17">
                    <c:v>GSH </c:v>
                  </c:pt>
                  <c:pt idx="18">
                    <c:v>GDC</c:v>
                  </c:pt>
                </c:lvl>
                <c:lvl>
                  <c:pt idx="0">
                    <c:v>N0</c:v>
                  </c:pt>
                  <c:pt idx="3">
                    <c:v>N25</c:v>
                  </c:pt>
                  <c:pt idx="7">
                    <c:v>N50</c:v>
                  </c:pt>
                  <c:pt idx="11">
                    <c:v>N75</c:v>
                  </c:pt>
                  <c:pt idx="15">
                    <c:v>N100</c:v>
                  </c:pt>
                </c:lvl>
              </c:multiLvlStrCache>
            </c:multiLvlStrRef>
          </c:cat>
          <c:val>
            <c:numRef>
              <c:f>'NUE 2023'!$T$72:$T$90</c:f>
              <c:numCache>
                <c:formatCode>0.0</c:formatCode>
                <c:ptCount val="19"/>
                <c:pt idx="0">
                  <c:v>39.023427408703903</c:v>
                </c:pt>
                <c:pt idx="1">
                  <c:v>37.693690835052074</c:v>
                </c:pt>
                <c:pt idx="2">
                  <c:v>43.333448355187365</c:v>
                </c:pt>
                <c:pt idx="3">
                  <c:v>27.641699346405204</c:v>
                </c:pt>
                <c:pt idx="4">
                  <c:v>14.577271870714467</c:v>
                </c:pt>
                <c:pt idx="5">
                  <c:v>22.726418851393493</c:v>
                </c:pt>
                <c:pt idx="6">
                  <c:v>24.038013858077946</c:v>
                </c:pt>
                <c:pt idx="7">
                  <c:v>21.925490196078432</c:v>
                </c:pt>
                <c:pt idx="8">
                  <c:v>27.897278170293024</c:v>
                </c:pt>
                <c:pt idx="9">
                  <c:v>34.958568939151469</c:v>
                </c:pt>
                <c:pt idx="10">
                  <c:v>33.393993313922145</c:v>
                </c:pt>
                <c:pt idx="11">
                  <c:v>11.354525386313467</c:v>
                </c:pt>
                <c:pt idx="12">
                  <c:v>19.92943857560979</c:v>
                </c:pt>
                <c:pt idx="13">
                  <c:v>28.728483989000953</c:v>
                </c:pt>
                <c:pt idx="14">
                  <c:v>15.314931160742001</c:v>
                </c:pt>
                <c:pt idx="15">
                  <c:v>22.253594771241833</c:v>
                </c:pt>
                <c:pt idx="16">
                  <c:v>19.459741767319581</c:v>
                </c:pt>
                <c:pt idx="17">
                  <c:v>25.755936028711233</c:v>
                </c:pt>
                <c:pt idx="18">
                  <c:v>18.642957566462169</c:v>
                </c:pt>
              </c:numCache>
            </c:numRef>
          </c:val>
          <c:extLst>
            <c:ext xmlns:c16="http://schemas.microsoft.com/office/drawing/2014/chart" uri="{C3380CC4-5D6E-409C-BE32-E72D297353CC}">
              <c16:uniqueId val="{00000026-94ED-7447-BD00-C3C7F9D6404F}"/>
            </c:ext>
          </c:extLst>
        </c:ser>
        <c:dLbls>
          <c:dLblPos val="outEnd"/>
          <c:showLegendKey val="0"/>
          <c:showVal val="1"/>
          <c:showCatName val="0"/>
          <c:showSerName val="0"/>
          <c:showPercent val="0"/>
          <c:showBubbleSize val="0"/>
        </c:dLbls>
        <c:gapWidth val="80"/>
        <c:overlap val="100"/>
        <c:axId val="198593904"/>
        <c:axId val="198592656"/>
      </c:barChart>
      <c:catAx>
        <c:axId val="1985939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t>Combination of green manures and N levels</a:t>
                </a:r>
              </a:p>
            </c:rich>
          </c:tx>
          <c:layout>
            <c:manualLayout>
              <c:xMode val="edge"/>
              <c:yMode val="edge"/>
              <c:x val="0.33723901848677806"/>
              <c:y val="0.9429444727457971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8592656"/>
        <c:crosses val="autoZero"/>
        <c:auto val="1"/>
        <c:lblAlgn val="ctr"/>
        <c:lblOffset val="100"/>
        <c:noMultiLvlLbl val="0"/>
      </c:catAx>
      <c:valAx>
        <c:axId val="198592656"/>
        <c:scaling>
          <c:orientation val="minMax"/>
          <c:max val="6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t>N use efficiency (kg kg</a:t>
                </a:r>
                <a:r>
                  <a:rPr lang="en-US" baseline="30000"/>
                  <a:t>-1</a:t>
                </a:r>
                <a:r>
                  <a:rPr lang="en-US"/>
                  <a:t>)</a:t>
                </a:r>
              </a:p>
            </c:rich>
          </c:tx>
          <c:layout>
            <c:manualLayout>
              <c:xMode val="edge"/>
              <c:yMode val="edge"/>
              <c:x val="2.2623034189691803E-3"/>
              <c:y val="6.4755905511811027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8593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a:t>2024</a:t>
            </a:r>
          </a:p>
        </c:rich>
      </c:tx>
      <c:layout>
        <c:manualLayout>
          <c:xMode val="edge"/>
          <c:yMode val="edge"/>
          <c:x val="0.17013166457641071"/>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7.9289399169931329E-2"/>
          <c:y val="0.11652471100686883"/>
          <c:w val="0.89472160807485268"/>
          <c:h val="0.5359803428826716"/>
        </c:manualLayout>
      </c:layout>
      <c:barChart>
        <c:barDir val="col"/>
        <c:grouping val="stacked"/>
        <c:varyColors val="0"/>
        <c:ser>
          <c:idx val="0"/>
          <c:order val="0"/>
          <c:tx>
            <c:strRef>
              <c:f>'NUE 2024'!$T$70</c:f>
              <c:strCache>
                <c:ptCount val="1"/>
                <c:pt idx="0">
                  <c:v>NUE</c:v>
                </c:pt>
              </c:strCache>
            </c:strRef>
          </c:tx>
          <c:spPr>
            <a:solidFill>
              <a:schemeClr val="accent1"/>
            </a:solidFill>
            <a:ln>
              <a:noFill/>
            </a:ln>
            <a:effectLst/>
          </c:spPr>
          <c:invertIfNegative val="0"/>
          <c:dPt>
            <c:idx val="0"/>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1-D93E-ED45-9708-57F823ACAA18}"/>
              </c:ext>
            </c:extLst>
          </c:dPt>
          <c:dPt>
            <c:idx val="1"/>
            <c:invertIfNegative val="0"/>
            <c:bubble3D val="0"/>
            <c:spPr>
              <a:solidFill>
                <a:srgbClr val="00B050"/>
              </a:solidFill>
              <a:ln>
                <a:solidFill>
                  <a:srgbClr val="00B050"/>
                </a:solidFill>
              </a:ln>
              <a:effectLst/>
            </c:spPr>
            <c:extLst>
              <c:ext xmlns:c16="http://schemas.microsoft.com/office/drawing/2014/chart" uri="{C3380CC4-5D6E-409C-BE32-E72D297353CC}">
                <c16:uniqueId val="{00000003-D93E-ED45-9708-57F823ACAA18}"/>
              </c:ext>
            </c:extLst>
          </c:dPt>
          <c:dPt>
            <c:idx val="2"/>
            <c:invertIfNegative val="0"/>
            <c:bubble3D val="0"/>
            <c:spPr>
              <a:solidFill>
                <a:srgbClr val="7030A0"/>
              </a:solidFill>
              <a:ln>
                <a:solidFill>
                  <a:srgbClr val="7030A0"/>
                </a:solidFill>
              </a:ln>
              <a:effectLst/>
            </c:spPr>
            <c:extLst>
              <c:ext xmlns:c16="http://schemas.microsoft.com/office/drawing/2014/chart" uri="{C3380CC4-5D6E-409C-BE32-E72D297353CC}">
                <c16:uniqueId val="{00000005-D93E-ED45-9708-57F823ACAA18}"/>
              </c:ext>
            </c:extLst>
          </c:dPt>
          <c:dPt>
            <c:idx val="3"/>
            <c:invertIfNegative val="0"/>
            <c:bubble3D val="0"/>
            <c:spPr>
              <a:solidFill>
                <a:srgbClr val="00B0F0"/>
              </a:solidFill>
              <a:ln>
                <a:solidFill>
                  <a:srgbClr val="00B0F0"/>
                </a:solidFill>
              </a:ln>
              <a:effectLst/>
            </c:spPr>
            <c:extLst>
              <c:ext xmlns:c16="http://schemas.microsoft.com/office/drawing/2014/chart" uri="{C3380CC4-5D6E-409C-BE32-E72D297353CC}">
                <c16:uniqueId val="{00000007-D93E-ED45-9708-57F823ACAA18}"/>
              </c:ext>
            </c:extLst>
          </c:dPt>
          <c:dPt>
            <c:idx val="4"/>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9-D93E-ED45-9708-57F823ACAA18}"/>
              </c:ext>
            </c:extLst>
          </c:dPt>
          <c:dPt>
            <c:idx val="5"/>
            <c:invertIfNegative val="0"/>
            <c:bubble3D val="0"/>
            <c:spPr>
              <a:solidFill>
                <a:srgbClr val="00B050"/>
              </a:solidFill>
              <a:ln>
                <a:solidFill>
                  <a:srgbClr val="00B050"/>
                </a:solidFill>
              </a:ln>
              <a:effectLst/>
            </c:spPr>
            <c:extLst>
              <c:ext xmlns:c16="http://schemas.microsoft.com/office/drawing/2014/chart" uri="{C3380CC4-5D6E-409C-BE32-E72D297353CC}">
                <c16:uniqueId val="{0000000B-D93E-ED45-9708-57F823ACAA18}"/>
              </c:ext>
            </c:extLst>
          </c:dPt>
          <c:dPt>
            <c:idx val="6"/>
            <c:invertIfNegative val="0"/>
            <c:bubble3D val="0"/>
            <c:spPr>
              <a:solidFill>
                <a:srgbClr val="7030A0"/>
              </a:solidFill>
              <a:ln>
                <a:solidFill>
                  <a:srgbClr val="7030A0"/>
                </a:solidFill>
              </a:ln>
              <a:effectLst/>
            </c:spPr>
            <c:extLst>
              <c:ext xmlns:c16="http://schemas.microsoft.com/office/drawing/2014/chart" uri="{C3380CC4-5D6E-409C-BE32-E72D297353CC}">
                <c16:uniqueId val="{0000000D-D93E-ED45-9708-57F823ACAA18}"/>
              </c:ext>
            </c:extLst>
          </c:dPt>
          <c:dPt>
            <c:idx val="7"/>
            <c:invertIfNegative val="0"/>
            <c:bubble3D val="0"/>
            <c:spPr>
              <a:solidFill>
                <a:srgbClr val="00B0F0"/>
              </a:solidFill>
              <a:ln>
                <a:solidFill>
                  <a:srgbClr val="00B0F0"/>
                </a:solidFill>
              </a:ln>
              <a:effectLst/>
            </c:spPr>
            <c:extLst>
              <c:ext xmlns:c16="http://schemas.microsoft.com/office/drawing/2014/chart" uri="{C3380CC4-5D6E-409C-BE32-E72D297353CC}">
                <c16:uniqueId val="{0000000F-D93E-ED45-9708-57F823ACAA18}"/>
              </c:ext>
            </c:extLst>
          </c:dPt>
          <c:dPt>
            <c:idx val="8"/>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11-D93E-ED45-9708-57F823ACAA18}"/>
              </c:ext>
            </c:extLst>
          </c:dPt>
          <c:dPt>
            <c:idx val="9"/>
            <c:invertIfNegative val="0"/>
            <c:bubble3D val="0"/>
            <c:spPr>
              <a:solidFill>
                <a:srgbClr val="00B050"/>
              </a:solidFill>
              <a:ln>
                <a:solidFill>
                  <a:srgbClr val="00B050"/>
                </a:solidFill>
              </a:ln>
              <a:effectLst/>
            </c:spPr>
            <c:extLst>
              <c:ext xmlns:c16="http://schemas.microsoft.com/office/drawing/2014/chart" uri="{C3380CC4-5D6E-409C-BE32-E72D297353CC}">
                <c16:uniqueId val="{00000013-D93E-ED45-9708-57F823ACAA18}"/>
              </c:ext>
            </c:extLst>
          </c:dPt>
          <c:dPt>
            <c:idx val="10"/>
            <c:invertIfNegative val="0"/>
            <c:bubble3D val="0"/>
            <c:spPr>
              <a:solidFill>
                <a:srgbClr val="7030A0"/>
              </a:solidFill>
              <a:ln>
                <a:solidFill>
                  <a:srgbClr val="7030A0"/>
                </a:solidFill>
              </a:ln>
              <a:effectLst/>
            </c:spPr>
            <c:extLst>
              <c:ext xmlns:c16="http://schemas.microsoft.com/office/drawing/2014/chart" uri="{C3380CC4-5D6E-409C-BE32-E72D297353CC}">
                <c16:uniqueId val="{00000015-D93E-ED45-9708-57F823ACAA18}"/>
              </c:ext>
            </c:extLst>
          </c:dPt>
          <c:dPt>
            <c:idx val="11"/>
            <c:invertIfNegative val="0"/>
            <c:bubble3D val="0"/>
            <c:spPr>
              <a:solidFill>
                <a:srgbClr val="00B0F0"/>
              </a:solidFill>
              <a:ln>
                <a:solidFill>
                  <a:srgbClr val="00B0F0"/>
                </a:solidFill>
              </a:ln>
              <a:effectLst/>
            </c:spPr>
            <c:extLst>
              <c:ext xmlns:c16="http://schemas.microsoft.com/office/drawing/2014/chart" uri="{C3380CC4-5D6E-409C-BE32-E72D297353CC}">
                <c16:uniqueId val="{00000017-D93E-ED45-9708-57F823ACAA18}"/>
              </c:ext>
            </c:extLst>
          </c:dPt>
          <c:dPt>
            <c:idx val="12"/>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19-D93E-ED45-9708-57F823ACAA18}"/>
              </c:ext>
            </c:extLst>
          </c:dPt>
          <c:dPt>
            <c:idx val="13"/>
            <c:invertIfNegative val="0"/>
            <c:bubble3D val="0"/>
            <c:spPr>
              <a:solidFill>
                <a:srgbClr val="00B050"/>
              </a:solidFill>
              <a:ln>
                <a:noFill/>
              </a:ln>
              <a:effectLst/>
            </c:spPr>
            <c:extLst>
              <c:ext xmlns:c16="http://schemas.microsoft.com/office/drawing/2014/chart" uri="{C3380CC4-5D6E-409C-BE32-E72D297353CC}">
                <c16:uniqueId val="{0000001B-D93E-ED45-9708-57F823ACAA18}"/>
              </c:ext>
            </c:extLst>
          </c:dPt>
          <c:dPt>
            <c:idx val="14"/>
            <c:invertIfNegative val="0"/>
            <c:bubble3D val="0"/>
            <c:spPr>
              <a:solidFill>
                <a:srgbClr val="7030A0"/>
              </a:solidFill>
              <a:ln>
                <a:solidFill>
                  <a:srgbClr val="7030A0"/>
                </a:solidFill>
              </a:ln>
              <a:effectLst/>
            </c:spPr>
            <c:extLst>
              <c:ext xmlns:c16="http://schemas.microsoft.com/office/drawing/2014/chart" uri="{C3380CC4-5D6E-409C-BE32-E72D297353CC}">
                <c16:uniqueId val="{0000001D-D93E-ED45-9708-57F823ACAA18}"/>
              </c:ext>
            </c:extLst>
          </c:dPt>
          <c:dPt>
            <c:idx val="15"/>
            <c:invertIfNegative val="0"/>
            <c:bubble3D val="0"/>
            <c:spPr>
              <a:solidFill>
                <a:srgbClr val="00B0F0"/>
              </a:solidFill>
              <a:ln>
                <a:solidFill>
                  <a:srgbClr val="00B0F0"/>
                </a:solidFill>
              </a:ln>
              <a:effectLst/>
            </c:spPr>
            <c:extLst>
              <c:ext xmlns:c16="http://schemas.microsoft.com/office/drawing/2014/chart" uri="{C3380CC4-5D6E-409C-BE32-E72D297353CC}">
                <c16:uniqueId val="{0000001F-D93E-ED45-9708-57F823ACAA18}"/>
              </c:ext>
            </c:extLst>
          </c:dPt>
          <c:dPt>
            <c:idx val="16"/>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21-D93E-ED45-9708-57F823ACAA18}"/>
              </c:ext>
            </c:extLst>
          </c:dPt>
          <c:dPt>
            <c:idx val="17"/>
            <c:invertIfNegative val="0"/>
            <c:bubble3D val="0"/>
            <c:spPr>
              <a:solidFill>
                <a:srgbClr val="00B050"/>
              </a:solidFill>
              <a:ln>
                <a:solidFill>
                  <a:srgbClr val="00B050"/>
                </a:solidFill>
              </a:ln>
              <a:effectLst/>
            </c:spPr>
            <c:extLst>
              <c:ext xmlns:c16="http://schemas.microsoft.com/office/drawing/2014/chart" uri="{C3380CC4-5D6E-409C-BE32-E72D297353CC}">
                <c16:uniqueId val="{00000023-D93E-ED45-9708-57F823ACAA18}"/>
              </c:ext>
            </c:extLst>
          </c:dPt>
          <c:dPt>
            <c:idx val="18"/>
            <c:invertIfNegative val="0"/>
            <c:bubble3D val="0"/>
            <c:spPr>
              <a:solidFill>
                <a:srgbClr val="7030A0"/>
              </a:solidFill>
              <a:ln>
                <a:solidFill>
                  <a:srgbClr val="7030A0"/>
                </a:solidFill>
              </a:ln>
              <a:effectLst/>
            </c:spPr>
            <c:extLst>
              <c:ext xmlns:c16="http://schemas.microsoft.com/office/drawing/2014/chart" uri="{C3380CC4-5D6E-409C-BE32-E72D297353CC}">
                <c16:uniqueId val="{00000025-D93E-ED45-9708-57F823ACAA18}"/>
              </c:ext>
            </c:extLst>
          </c:dPt>
          <c:dLbls>
            <c:dLbl>
              <c:idx val="0"/>
              <c:layout>
                <c:manualLayout>
                  <c:x val="0"/>
                  <c:y val="-0.29949401034050843"/>
                </c:manualLayout>
              </c:layout>
              <c:tx>
                <c:rich>
                  <a:bodyPr/>
                  <a:lstStyle/>
                  <a:p>
                    <a:r>
                      <a:rPr lang="en-US"/>
                      <a:t>bc</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3E-ED45-9708-57F823ACAA18}"/>
                </c:ext>
              </c:extLst>
            </c:dLbl>
            <c:dLbl>
              <c:idx val="1"/>
              <c:layout>
                <c:manualLayout>
                  <c:x val="-4.5047146884417223E-4"/>
                  <c:y val="-0.29823086399914295"/>
                </c:manualLayout>
              </c:layout>
              <c:tx>
                <c:rich>
                  <a:bodyPr/>
                  <a:lstStyle/>
                  <a:p>
                    <a:r>
                      <a:rPr lang="en-US"/>
                      <a:t>a</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3E-ED45-9708-57F823ACAA18}"/>
                </c:ext>
              </c:extLst>
            </c:dLbl>
            <c:dLbl>
              <c:idx val="2"/>
              <c:layout>
                <c:manualLayout>
                  <c:x val="3.7911927675707204E-4"/>
                  <c:y val="-0.29188922813219775"/>
                </c:manualLayout>
              </c:layout>
              <c:tx>
                <c:rich>
                  <a:bodyPr/>
                  <a:lstStyle/>
                  <a:p>
                    <a:r>
                      <a:rPr lang="en-US"/>
                      <a:t>ab</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3E-ED45-9708-57F823ACAA18}"/>
                </c:ext>
              </c:extLst>
            </c:dLbl>
            <c:dLbl>
              <c:idx val="3"/>
              <c:layout>
                <c:manualLayout>
                  <c:x val="1.9992315730944852E-3"/>
                  <c:y val="-0.17878595589006174"/>
                </c:manualLayout>
              </c:layout>
              <c:tx>
                <c:rich>
                  <a:bodyPr/>
                  <a:lstStyle/>
                  <a:p>
                    <a:r>
                      <a:rPr lang="en-US" dirty="0" err="1"/>
                      <a:t>fgh</a:t>
                    </a:r>
                    <a:endParaRPr lang="en-US" dirty="0"/>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3E-ED45-9708-57F823ACAA18}"/>
                </c:ext>
              </c:extLst>
            </c:dLbl>
            <c:dLbl>
              <c:idx val="4"/>
              <c:layout>
                <c:manualLayout>
                  <c:x val="3.9982743435094835E-3"/>
                  <c:y val="-0.18672894514674804"/>
                </c:manualLayout>
              </c:layout>
              <c:tx>
                <c:rich>
                  <a:bodyPr/>
                  <a:lstStyle/>
                  <a:p>
                    <a:r>
                      <a:rPr lang="en-US" dirty="0" err="1"/>
                      <a:t>fgh</a:t>
                    </a:r>
                    <a:endParaRPr lang="en-US" dirty="0"/>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93E-ED45-9708-57F823ACAA18}"/>
                </c:ext>
              </c:extLst>
            </c:dLbl>
            <c:dLbl>
              <c:idx val="5"/>
              <c:layout>
                <c:manualLayout>
                  <c:x val="7.2596480995426604E-4"/>
                  <c:y val="-0.22792050993625798"/>
                </c:manualLayout>
              </c:layout>
              <c:tx>
                <c:rich>
                  <a:bodyPr/>
                  <a:lstStyle/>
                  <a:p>
                    <a:r>
                      <a:rPr lang="en-US" dirty="0"/>
                      <a:t>cd</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93E-ED45-9708-57F823ACAA18}"/>
                </c:ext>
              </c:extLst>
            </c:dLbl>
            <c:dLbl>
              <c:idx val="6"/>
              <c:layout>
                <c:manualLayout>
                  <c:x val="-3.9983068587176969E-3"/>
                  <c:y val="-0.20681689357141059"/>
                </c:manualLayout>
              </c:layout>
              <c:tx>
                <c:rich>
                  <a:bodyPr/>
                  <a:lstStyle/>
                  <a:p>
                    <a:r>
                      <a:rPr lang="en-US" dirty="0" err="1"/>
                      <a:t>fgh</a:t>
                    </a:r>
                    <a:endParaRPr lang="en-US" dirty="0"/>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93E-ED45-9708-57F823ACAA18}"/>
                </c:ext>
              </c:extLst>
            </c:dLbl>
            <c:dLbl>
              <c:idx val="7"/>
              <c:layout>
                <c:manualLayout>
                  <c:x val="0"/>
                  <c:y val="-0.19934148606404162"/>
                </c:manualLayout>
              </c:layout>
              <c:tx>
                <c:rich>
                  <a:bodyPr/>
                  <a:lstStyle/>
                  <a:p>
                    <a:r>
                      <a:rPr lang="en-US"/>
                      <a:t>fgh</a:t>
                    </a:r>
                  </a:p>
                </c:rich>
              </c:tx>
              <c:dLblPos val="ctr"/>
              <c:showLegendKey val="0"/>
              <c:showVal val="1"/>
              <c:showCatName val="0"/>
              <c:showSerName val="0"/>
              <c:showPercent val="0"/>
              <c:showBubbleSize val="0"/>
              <c:extLst>
                <c:ext xmlns:c15="http://schemas.microsoft.com/office/drawing/2012/chart" uri="{CE6537A1-D6FC-4f65-9D91-7224C49458BB}">
                  <c15:layout>
                    <c:manualLayout>
                      <c:w val="5.0698530968539463E-2"/>
                      <c:h val="5.9316678239335063E-2"/>
                    </c:manualLayout>
                  </c15:layout>
                </c:ext>
                <c:ext xmlns:c16="http://schemas.microsoft.com/office/drawing/2014/chart" uri="{C3380CC4-5D6E-409C-BE32-E72D297353CC}">
                  <c16:uniqueId val="{0000000F-D93E-ED45-9708-57F823ACAA18}"/>
                </c:ext>
              </c:extLst>
            </c:dLbl>
            <c:dLbl>
              <c:idx val="8"/>
              <c:layout>
                <c:manualLayout>
                  <c:x val="-1.9991534293588849E-3"/>
                  <c:y val="-0.20930866337347573"/>
                </c:manualLayout>
              </c:layout>
              <c:tx>
                <c:rich>
                  <a:bodyPr/>
                  <a:lstStyle/>
                  <a:p>
                    <a:r>
                      <a:rPr lang="en-US" dirty="0" err="1"/>
                      <a:t>efgh</a:t>
                    </a:r>
                    <a:endParaRPr lang="en-US" dirty="0"/>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93E-ED45-9708-57F823ACAA18}"/>
                </c:ext>
              </c:extLst>
            </c:dLbl>
            <c:dLbl>
              <c:idx val="9"/>
              <c:layout>
                <c:manualLayout>
                  <c:x val="9.9942698386775515E-4"/>
                  <c:y val="-0.24209246312676228"/>
                </c:manualLayout>
              </c:layout>
              <c:tx>
                <c:rich>
                  <a:bodyPr/>
                  <a:lstStyle/>
                  <a:p>
                    <a:r>
                      <a:rPr lang="en-US"/>
                      <a:t>cde</a:t>
                    </a:r>
                  </a:p>
                </c:rich>
              </c:tx>
              <c:dLblPos val="ctr"/>
              <c:showLegendKey val="0"/>
              <c:showVal val="1"/>
              <c:showCatName val="0"/>
              <c:showSerName val="0"/>
              <c:showPercent val="0"/>
              <c:showBubbleSize val="0"/>
              <c:extLst>
                <c:ext xmlns:c15="http://schemas.microsoft.com/office/drawing/2012/chart" uri="{CE6537A1-D6FC-4f65-9D91-7224C49458BB}">
                  <c15:layout>
                    <c:manualLayout>
                      <c:w val="6.467261343975754E-2"/>
                      <c:h val="4.6857829229009142E-2"/>
                    </c:manualLayout>
                  </c15:layout>
                </c:ext>
                <c:ext xmlns:c16="http://schemas.microsoft.com/office/drawing/2014/chart" uri="{C3380CC4-5D6E-409C-BE32-E72D297353CC}">
                  <c16:uniqueId val="{00000013-D93E-ED45-9708-57F823ACAA18}"/>
                </c:ext>
              </c:extLst>
            </c:dLbl>
            <c:dLbl>
              <c:idx val="10"/>
              <c:layout>
                <c:manualLayout>
                  <c:x val="5.9974602880764347E-3"/>
                  <c:y val="-0.18688273515488904"/>
                </c:manualLayout>
              </c:layout>
              <c:tx>
                <c:rich>
                  <a:bodyPr/>
                  <a:lstStyle/>
                  <a:p>
                    <a:r>
                      <a:rPr lang="en-US" dirty="0" err="1"/>
                      <a:t>fgh</a:t>
                    </a:r>
                    <a:endParaRPr lang="en-US" dirty="0"/>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93E-ED45-9708-57F823ACAA18}"/>
                </c:ext>
              </c:extLst>
            </c:dLbl>
            <c:dLbl>
              <c:idx val="11"/>
              <c:layout>
                <c:manualLayout>
                  <c:x val="-7.3301445625268177E-17"/>
                  <c:y val="-0.16196503713423713"/>
                </c:manualLayout>
              </c:layout>
              <c:tx>
                <c:rich>
                  <a:bodyPr/>
                  <a:lstStyle/>
                  <a:p>
                    <a:r>
                      <a:rPr lang="en-US" dirty="0" err="1"/>
                      <a:t>gh</a:t>
                    </a:r>
                    <a:endParaRPr lang="en-US" dirty="0"/>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93E-ED45-9708-57F823ACAA18}"/>
                </c:ext>
              </c:extLst>
            </c:dLbl>
            <c:dLbl>
              <c:idx val="12"/>
              <c:layout>
                <c:manualLayout>
                  <c:x val="1.9991534293588116E-3"/>
                  <c:y val="-0.21927574258173646"/>
                </c:manualLayout>
              </c:layout>
              <c:tx>
                <c:rich>
                  <a:bodyPr/>
                  <a:lstStyle/>
                  <a:p>
                    <a:r>
                      <a:rPr lang="en-US" dirty="0" err="1"/>
                      <a:t>efgh</a:t>
                    </a:r>
                    <a:endParaRPr lang="en-US" dirty="0"/>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93E-ED45-9708-57F823ACAA18}"/>
                </c:ext>
              </c:extLst>
            </c:dLbl>
            <c:dLbl>
              <c:idx val="13"/>
              <c:layout>
                <c:manualLayout>
                  <c:x val="-3.985624563983812E-4"/>
                  <c:y val="-0.23562923152475593"/>
                </c:manualLayout>
              </c:layout>
              <c:tx>
                <c:rich>
                  <a:bodyPr/>
                  <a:lstStyle/>
                  <a:p>
                    <a:r>
                      <a:rPr lang="en-US" dirty="0"/>
                      <a:t>def</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D93E-ED45-9708-57F823ACAA18}"/>
                </c:ext>
              </c:extLst>
            </c:dLbl>
            <c:dLbl>
              <c:idx val="14"/>
              <c:layout>
                <c:manualLayout>
                  <c:x val="-1.9991534293588116E-3"/>
                  <c:y val="-0.226751051987932"/>
                </c:manualLayout>
              </c:layout>
              <c:tx>
                <c:rich>
                  <a:bodyPr/>
                  <a:lstStyle/>
                  <a:p>
                    <a:r>
                      <a:rPr lang="en-US" dirty="0" err="1"/>
                      <a:t>efgh</a:t>
                    </a:r>
                    <a:endParaRPr lang="en-US" dirty="0"/>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D93E-ED45-9708-57F823ACAA18}"/>
                </c:ext>
              </c:extLst>
            </c:dLbl>
            <c:dLbl>
              <c:idx val="15"/>
              <c:layout>
                <c:manualLayout>
                  <c:x val="-3.9983068587176231E-3"/>
                  <c:y val="-0.1495061881239112"/>
                </c:manualLayout>
              </c:layout>
              <c:tx>
                <c:rich>
                  <a:bodyPr/>
                  <a:lstStyle/>
                  <a:p>
                    <a:r>
                      <a:rPr lang="en-US" dirty="0"/>
                      <a:t>h</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D93E-ED45-9708-57F823ACAA18}"/>
                </c:ext>
              </c:extLst>
            </c:dLbl>
            <c:dLbl>
              <c:idx val="16"/>
              <c:layout>
                <c:manualLayout>
                  <c:x val="-7.9966137174352463E-3"/>
                  <c:y val="-0.19684981436314974"/>
                </c:manualLayout>
              </c:layout>
              <c:tx>
                <c:rich>
                  <a:bodyPr/>
                  <a:lstStyle/>
                  <a:p>
                    <a:r>
                      <a:rPr lang="en-US" dirty="0" err="1"/>
                      <a:t>efgh</a:t>
                    </a:r>
                    <a:endParaRPr lang="en-US" dirty="0"/>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D93E-ED45-9708-57F823ACAA18}"/>
                </c:ext>
              </c:extLst>
            </c:dLbl>
            <c:dLbl>
              <c:idx val="17"/>
              <c:layout>
                <c:manualLayout>
                  <c:x val="-3.9982743435094835E-3"/>
                  <c:y val="-0.2092316902923925"/>
                </c:manualLayout>
              </c:layout>
              <c:tx>
                <c:rich>
                  <a:bodyPr/>
                  <a:lstStyle/>
                  <a:p>
                    <a:r>
                      <a:rPr lang="en-US" dirty="0" err="1"/>
                      <a:t>efg</a:t>
                    </a:r>
                    <a:endParaRPr lang="en-US" dirty="0"/>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D93E-ED45-9708-57F823ACAA18}"/>
                </c:ext>
              </c:extLst>
            </c:dLbl>
            <c:dLbl>
              <c:idx val="18"/>
              <c:layout>
                <c:manualLayout>
                  <c:x val="7.9966137174351005E-3"/>
                  <c:y val="-0.19186627475901938"/>
                </c:manualLayout>
              </c:layout>
              <c:tx>
                <c:rich>
                  <a:bodyPr/>
                  <a:lstStyle/>
                  <a:p>
                    <a:r>
                      <a:rPr lang="en-US" dirty="0" err="1"/>
                      <a:t>fgh</a:t>
                    </a:r>
                    <a:endParaRPr lang="en-US" dirty="0"/>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D93E-ED45-9708-57F823ACAA18}"/>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'NUE 2024'!$R$72:$S$90</c:f>
              <c:multiLvlStrCache>
                <c:ptCount val="19"/>
                <c:lvl>
                  <c:pt idx="0">
                    <c:v>GRB</c:v>
                  </c:pt>
                  <c:pt idx="1">
                    <c:v>GSH </c:v>
                  </c:pt>
                  <c:pt idx="2">
                    <c:v>GDC</c:v>
                  </c:pt>
                  <c:pt idx="3">
                    <c:v>G0</c:v>
                  </c:pt>
                  <c:pt idx="4">
                    <c:v>GRB</c:v>
                  </c:pt>
                  <c:pt idx="5">
                    <c:v>GSH</c:v>
                  </c:pt>
                  <c:pt idx="6">
                    <c:v>GDC</c:v>
                  </c:pt>
                  <c:pt idx="7">
                    <c:v>G0 </c:v>
                  </c:pt>
                  <c:pt idx="8">
                    <c:v>GRB</c:v>
                  </c:pt>
                  <c:pt idx="9">
                    <c:v>GSH </c:v>
                  </c:pt>
                  <c:pt idx="10">
                    <c:v>GDC</c:v>
                  </c:pt>
                  <c:pt idx="11">
                    <c:v>G0</c:v>
                  </c:pt>
                  <c:pt idx="12">
                    <c:v>GRB</c:v>
                  </c:pt>
                  <c:pt idx="13">
                    <c:v>GSH </c:v>
                  </c:pt>
                  <c:pt idx="14">
                    <c:v>GDC</c:v>
                  </c:pt>
                  <c:pt idx="15">
                    <c:v>G0</c:v>
                  </c:pt>
                  <c:pt idx="16">
                    <c:v>GRB</c:v>
                  </c:pt>
                  <c:pt idx="17">
                    <c:v>GSH </c:v>
                  </c:pt>
                  <c:pt idx="18">
                    <c:v>GDC</c:v>
                  </c:pt>
                </c:lvl>
                <c:lvl>
                  <c:pt idx="0">
                    <c:v>N0</c:v>
                  </c:pt>
                  <c:pt idx="3">
                    <c:v>N25</c:v>
                  </c:pt>
                  <c:pt idx="7">
                    <c:v>N50</c:v>
                  </c:pt>
                  <c:pt idx="11">
                    <c:v>N75</c:v>
                  </c:pt>
                  <c:pt idx="15">
                    <c:v>N100</c:v>
                  </c:pt>
                </c:lvl>
              </c:multiLvlStrCache>
            </c:multiLvlStrRef>
          </c:cat>
          <c:val>
            <c:numRef>
              <c:f>'NUE 2024'!$T$72:$T$90</c:f>
              <c:numCache>
                <c:formatCode>0.0</c:formatCode>
                <c:ptCount val="19"/>
                <c:pt idx="0">
                  <c:v>47.015915311847806</c:v>
                </c:pt>
                <c:pt idx="1">
                  <c:v>57.124072711888033</c:v>
                </c:pt>
                <c:pt idx="2">
                  <c:v>56.658327582240624</c:v>
                </c:pt>
                <c:pt idx="3">
                  <c:v>25.154117647058811</c:v>
                </c:pt>
                <c:pt idx="4">
                  <c:v>26.709362031661144</c:v>
                </c:pt>
                <c:pt idx="5">
                  <c:v>43.417766857274536</c:v>
                </c:pt>
                <c:pt idx="6">
                  <c:v>26.428943116150421</c:v>
                </c:pt>
                <c:pt idx="7">
                  <c:v>26.075163398692808</c:v>
                </c:pt>
                <c:pt idx="8">
                  <c:v>29.295788865545273</c:v>
                </c:pt>
                <c:pt idx="9">
                  <c:v>37.934695909730586</c:v>
                </c:pt>
                <c:pt idx="10">
                  <c:v>26.179274955965344</c:v>
                </c:pt>
                <c:pt idx="11">
                  <c:v>20.486534216335546</c:v>
                </c:pt>
                <c:pt idx="12">
                  <c:v>28.966947436410425</c:v>
                </c:pt>
                <c:pt idx="13">
                  <c:v>34.204435523972265</c:v>
                </c:pt>
                <c:pt idx="14">
                  <c:v>28.817538810749458</c:v>
                </c:pt>
                <c:pt idx="15">
                  <c:v>18.841176470588234</c:v>
                </c:pt>
                <c:pt idx="16">
                  <c:v>27.647717191310161</c:v>
                </c:pt>
                <c:pt idx="17">
                  <c:v>30.083509849444862</c:v>
                </c:pt>
                <c:pt idx="18">
                  <c:v>25.608490967961824</c:v>
                </c:pt>
              </c:numCache>
            </c:numRef>
          </c:val>
          <c:extLst>
            <c:ext xmlns:c16="http://schemas.microsoft.com/office/drawing/2014/chart" uri="{C3380CC4-5D6E-409C-BE32-E72D297353CC}">
              <c16:uniqueId val="{00000026-D93E-ED45-9708-57F823ACAA18}"/>
            </c:ext>
          </c:extLst>
        </c:ser>
        <c:dLbls>
          <c:dLblPos val="ctr"/>
          <c:showLegendKey val="0"/>
          <c:showVal val="1"/>
          <c:showCatName val="0"/>
          <c:showSerName val="0"/>
          <c:showPercent val="0"/>
          <c:showBubbleSize val="0"/>
        </c:dLbls>
        <c:gapWidth val="80"/>
        <c:overlap val="100"/>
        <c:axId val="83817823"/>
        <c:axId val="83792863"/>
      </c:barChart>
      <c:catAx>
        <c:axId val="838178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t>Combination of green manure and N levels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3792863"/>
        <c:crosses val="autoZero"/>
        <c:auto val="1"/>
        <c:lblAlgn val="ctr"/>
        <c:lblOffset val="100"/>
        <c:noMultiLvlLbl val="0"/>
      </c:catAx>
      <c:valAx>
        <c:axId val="8379286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t>N use efficiency (kg kg-1)</a:t>
                </a:r>
              </a:p>
            </c:rich>
          </c:tx>
          <c:layout>
            <c:manualLayout>
              <c:xMode val="edge"/>
              <c:yMode val="edge"/>
              <c:x val="1.1026207930905189E-3"/>
              <c:y val="0.1263987918908664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38178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b="0">
          <a:solidFill>
            <a:schemeClr val="tx1"/>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LSD</a:t>
            </a:r>
            <a:r>
              <a:rPr lang="en-US" baseline="-25000"/>
              <a:t>0.05</a:t>
            </a:r>
            <a:r>
              <a:rPr lang="en-US"/>
              <a:t> = 1.41</a:t>
            </a:r>
          </a:p>
          <a:p>
            <a:pPr>
              <a:defRPr/>
            </a:pPr>
            <a:r>
              <a:rPr lang="en-US"/>
              <a:t> CV%     = 16.03</a:t>
            </a:r>
          </a:p>
        </c:rich>
      </c:tx>
      <c:layout>
        <c:manualLayout>
          <c:xMode val="edge"/>
          <c:yMode val="edge"/>
          <c:x val="0.78564910155461332"/>
          <c:y val="2.7535620547431573E-3"/>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8898778956978203E-2"/>
          <c:y val="9.7253381788814861E-2"/>
          <c:w val="0.90399786983148844"/>
          <c:h val="0.55058069548535349"/>
        </c:manualLayout>
      </c:layout>
      <c:barChart>
        <c:barDir val="col"/>
        <c:grouping val="clustered"/>
        <c:varyColors val="0"/>
        <c:ser>
          <c:idx val="0"/>
          <c:order val="0"/>
          <c:spPr>
            <a:solidFill>
              <a:schemeClr val="accent1"/>
            </a:solidFill>
            <a:ln>
              <a:solidFill>
                <a:srgbClr val="7030A0"/>
              </a:solidFill>
            </a:ln>
            <a:effectLst/>
          </c:spPr>
          <c:invertIfNegative val="0"/>
          <c:dPt>
            <c:idx val="0"/>
            <c:invertIfNegative val="0"/>
            <c:bubble3D val="0"/>
            <c:spPr>
              <a:solidFill>
                <a:srgbClr val="00B0F0"/>
              </a:solidFill>
              <a:ln>
                <a:solidFill>
                  <a:schemeClr val="accent5">
                    <a:lumMod val="60000"/>
                    <a:lumOff val="40000"/>
                  </a:schemeClr>
                </a:solidFill>
              </a:ln>
              <a:effectLst/>
            </c:spPr>
            <c:extLst>
              <c:ext xmlns:c16="http://schemas.microsoft.com/office/drawing/2014/chart" uri="{C3380CC4-5D6E-409C-BE32-E72D297353CC}">
                <c16:uniqueId val="{00000001-6987-884A-BCA7-933DACFB360E}"/>
              </c:ext>
            </c:extLst>
          </c:dPt>
          <c:dPt>
            <c:idx val="1"/>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3-6987-884A-BCA7-933DACFB360E}"/>
              </c:ext>
            </c:extLst>
          </c:dPt>
          <c:dPt>
            <c:idx val="2"/>
            <c:invertIfNegative val="0"/>
            <c:bubble3D val="0"/>
            <c:spPr>
              <a:solidFill>
                <a:srgbClr val="00B050"/>
              </a:solidFill>
              <a:ln>
                <a:solidFill>
                  <a:srgbClr val="00B050"/>
                </a:solidFill>
              </a:ln>
              <a:effectLst/>
            </c:spPr>
            <c:extLst>
              <c:ext xmlns:c16="http://schemas.microsoft.com/office/drawing/2014/chart" uri="{C3380CC4-5D6E-409C-BE32-E72D297353CC}">
                <c16:uniqueId val="{00000005-6987-884A-BCA7-933DACFB360E}"/>
              </c:ext>
            </c:extLst>
          </c:dPt>
          <c:dPt>
            <c:idx val="3"/>
            <c:invertIfNegative val="0"/>
            <c:bubble3D val="0"/>
            <c:spPr>
              <a:solidFill>
                <a:srgbClr val="7030A0"/>
              </a:solidFill>
              <a:ln>
                <a:solidFill>
                  <a:srgbClr val="7030A0"/>
                </a:solidFill>
              </a:ln>
              <a:effectLst/>
            </c:spPr>
            <c:extLst>
              <c:ext xmlns:c16="http://schemas.microsoft.com/office/drawing/2014/chart" uri="{C3380CC4-5D6E-409C-BE32-E72D297353CC}">
                <c16:uniqueId val="{00000007-6987-884A-BCA7-933DACFB360E}"/>
              </c:ext>
            </c:extLst>
          </c:dPt>
          <c:dPt>
            <c:idx val="4"/>
            <c:invertIfNegative val="0"/>
            <c:bubble3D val="0"/>
            <c:spPr>
              <a:solidFill>
                <a:srgbClr val="00B0F0"/>
              </a:solidFill>
              <a:ln>
                <a:solidFill>
                  <a:schemeClr val="accent5">
                    <a:lumMod val="60000"/>
                    <a:lumOff val="40000"/>
                  </a:schemeClr>
                </a:solidFill>
              </a:ln>
              <a:effectLst/>
            </c:spPr>
            <c:extLst>
              <c:ext xmlns:c16="http://schemas.microsoft.com/office/drawing/2014/chart" uri="{C3380CC4-5D6E-409C-BE32-E72D297353CC}">
                <c16:uniqueId val="{00000009-6987-884A-BCA7-933DACFB360E}"/>
              </c:ext>
            </c:extLst>
          </c:dPt>
          <c:dPt>
            <c:idx val="5"/>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B-6987-884A-BCA7-933DACFB360E}"/>
              </c:ext>
            </c:extLst>
          </c:dPt>
          <c:dPt>
            <c:idx val="6"/>
            <c:invertIfNegative val="0"/>
            <c:bubble3D val="0"/>
            <c:spPr>
              <a:solidFill>
                <a:srgbClr val="00B050"/>
              </a:solidFill>
              <a:ln>
                <a:solidFill>
                  <a:srgbClr val="00B050"/>
                </a:solidFill>
              </a:ln>
              <a:effectLst/>
            </c:spPr>
            <c:extLst>
              <c:ext xmlns:c16="http://schemas.microsoft.com/office/drawing/2014/chart" uri="{C3380CC4-5D6E-409C-BE32-E72D297353CC}">
                <c16:uniqueId val="{0000000D-6987-884A-BCA7-933DACFB360E}"/>
              </c:ext>
            </c:extLst>
          </c:dPt>
          <c:dPt>
            <c:idx val="7"/>
            <c:invertIfNegative val="0"/>
            <c:bubble3D val="0"/>
            <c:spPr>
              <a:solidFill>
                <a:srgbClr val="7030A0"/>
              </a:solidFill>
              <a:ln>
                <a:solidFill>
                  <a:srgbClr val="7030A0"/>
                </a:solidFill>
              </a:ln>
              <a:effectLst/>
            </c:spPr>
            <c:extLst>
              <c:ext xmlns:c16="http://schemas.microsoft.com/office/drawing/2014/chart" uri="{C3380CC4-5D6E-409C-BE32-E72D297353CC}">
                <c16:uniqueId val="{0000000F-6987-884A-BCA7-933DACFB360E}"/>
              </c:ext>
            </c:extLst>
          </c:dPt>
          <c:dPt>
            <c:idx val="8"/>
            <c:invertIfNegative val="0"/>
            <c:bubble3D val="0"/>
            <c:spPr>
              <a:solidFill>
                <a:srgbClr val="00B0F0"/>
              </a:solidFill>
              <a:ln>
                <a:solidFill>
                  <a:schemeClr val="accent5">
                    <a:lumMod val="60000"/>
                    <a:lumOff val="40000"/>
                  </a:schemeClr>
                </a:solidFill>
              </a:ln>
              <a:effectLst/>
            </c:spPr>
            <c:extLst>
              <c:ext xmlns:c16="http://schemas.microsoft.com/office/drawing/2014/chart" uri="{C3380CC4-5D6E-409C-BE32-E72D297353CC}">
                <c16:uniqueId val="{00000011-6987-884A-BCA7-933DACFB360E}"/>
              </c:ext>
            </c:extLst>
          </c:dPt>
          <c:dPt>
            <c:idx val="9"/>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13-6987-884A-BCA7-933DACFB360E}"/>
              </c:ext>
            </c:extLst>
          </c:dPt>
          <c:dPt>
            <c:idx val="10"/>
            <c:invertIfNegative val="0"/>
            <c:bubble3D val="0"/>
            <c:spPr>
              <a:solidFill>
                <a:srgbClr val="00B050"/>
              </a:solidFill>
              <a:ln>
                <a:solidFill>
                  <a:srgbClr val="00B050"/>
                </a:solidFill>
              </a:ln>
              <a:effectLst/>
            </c:spPr>
            <c:extLst>
              <c:ext xmlns:c16="http://schemas.microsoft.com/office/drawing/2014/chart" uri="{C3380CC4-5D6E-409C-BE32-E72D297353CC}">
                <c16:uniqueId val="{00000015-6987-884A-BCA7-933DACFB360E}"/>
              </c:ext>
            </c:extLst>
          </c:dPt>
          <c:dPt>
            <c:idx val="11"/>
            <c:invertIfNegative val="0"/>
            <c:bubble3D val="0"/>
            <c:spPr>
              <a:solidFill>
                <a:srgbClr val="7030A0"/>
              </a:solidFill>
              <a:ln>
                <a:solidFill>
                  <a:srgbClr val="7030A0"/>
                </a:solidFill>
              </a:ln>
              <a:effectLst/>
            </c:spPr>
            <c:extLst>
              <c:ext xmlns:c16="http://schemas.microsoft.com/office/drawing/2014/chart" uri="{C3380CC4-5D6E-409C-BE32-E72D297353CC}">
                <c16:uniqueId val="{00000017-6987-884A-BCA7-933DACFB360E}"/>
              </c:ext>
            </c:extLst>
          </c:dPt>
          <c:dPt>
            <c:idx val="12"/>
            <c:invertIfNegative val="0"/>
            <c:bubble3D val="0"/>
            <c:spPr>
              <a:solidFill>
                <a:srgbClr val="00B0F0"/>
              </a:solidFill>
              <a:ln>
                <a:solidFill>
                  <a:schemeClr val="accent5">
                    <a:lumMod val="60000"/>
                    <a:lumOff val="40000"/>
                  </a:schemeClr>
                </a:solidFill>
              </a:ln>
              <a:effectLst/>
            </c:spPr>
            <c:extLst>
              <c:ext xmlns:c16="http://schemas.microsoft.com/office/drawing/2014/chart" uri="{C3380CC4-5D6E-409C-BE32-E72D297353CC}">
                <c16:uniqueId val="{00000019-6987-884A-BCA7-933DACFB360E}"/>
              </c:ext>
            </c:extLst>
          </c:dPt>
          <c:dPt>
            <c:idx val="13"/>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1B-6987-884A-BCA7-933DACFB360E}"/>
              </c:ext>
            </c:extLst>
          </c:dPt>
          <c:dPt>
            <c:idx val="14"/>
            <c:invertIfNegative val="0"/>
            <c:bubble3D val="0"/>
            <c:spPr>
              <a:solidFill>
                <a:srgbClr val="00B050"/>
              </a:solidFill>
              <a:ln>
                <a:solidFill>
                  <a:srgbClr val="00B050"/>
                </a:solidFill>
              </a:ln>
              <a:effectLst/>
            </c:spPr>
            <c:extLst>
              <c:ext xmlns:c16="http://schemas.microsoft.com/office/drawing/2014/chart" uri="{C3380CC4-5D6E-409C-BE32-E72D297353CC}">
                <c16:uniqueId val="{0000001D-6987-884A-BCA7-933DACFB360E}"/>
              </c:ext>
            </c:extLst>
          </c:dPt>
          <c:dPt>
            <c:idx val="15"/>
            <c:invertIfNegative val="0"/>
            <c:bubble3D val="0"/>
            <c:spPr>
              <a:solidFill>
                <a:srgbClr val="7030A0"/>
              </a:solidFill>
              <a:ln>
                <a:solidFill>
                  <a:srgbClr val="7030A0"/>
                </a:solidFill>
              </a:ln>
              <a:effectLst/>
            </c:spPr>
            <c:extLst>
              <c:ext xmlns:c16="http://schemas.microsoft.com/office/drawing/2014/chart" uri="{C3380CC4-5D6E-409C-BE32-E72D297353CC}">
                <c16:uniqueId val="{0000001F-6987-884A-BCA7-933DACFB360E}"/>
              </c:ext>
            </c:extLst>
          </c:dPt>
          <c:dPt>
            <c:idx val="16"/>
            <c:invertIfNegative val="0"/>
            <c:bubble3D val="0"/>
            <c:spPr>
              <a:solidFill>
                <a:srgbClr val="00B0F0"/>
              </a:solidFill>
              <a:ln>
                <a:solidFill>
                  <a:srgbClr val="7030A0"/>
                </a:solidFill>
              </a:ln>
              <a:effectLst/>
            </c:spPr>
            <c:extLst>
              <c:ext xmlns:c16="http://schemas.microsoft.com/office/drawing/2014/chart" uri="{C3380CC4-5D6E-409C-BE32-E72D297353CC}">
                <c16:uniqueId val="{00000021-6987-884A-BCA7-933DACFB360E}"/>
              </c:ext>
            </c:extLst>
          </c:dPt>
          <c:dPt>
            <c:idx val="17"/>
            <c:invertIfNegative val="0"/>
            <c:bubble3D val="0"/>
            <c:spPr>
              <a:solidFill>
                <a:schemeClr val="accent2"/>
              </a:solidFill>
              <a:ln>
                <a:solidFill>
                  <a:srgbClr val="7030A0"/>
                </a:solidFill>
              </a:ln>
              <a:effectLst/>
            </c:spPr>
            <c:extLst>
              <c:ext xmlns:c16="http://schemas.microsoft.com/office/drawing/2014/chart" uri="{C3380CC4-5D6E-409C-BE32-E72D297353CC}">
                <c16:uniqueId val="{00000023-6987-884A-BCA7-933DACFB360E}"/>
              </c:ext>
            </c:extLst>
          </c:dPt>
          <c:dPt>
            <c:idx val="18"/>
            <c:invertIfNegative val="0"/>
            <c:bubble3D val="0"/>
            <c:spPr>
              <a:solidFill>
                <a:srgbClr val="00B050"/>
              </a:solidFill>
              <a:ln>
                <a:solidFill>
                  <a:srgbClr val="7030A0"/>
                </a:solidFill>
              </a:ln>
              <a:effectLst/>
            </c:spPr>
            <c:extLst>
              <c:ext xmlns:c16="http://schemas.microsoft.com/office/drawing/2014/chart" uri="{C3380CC4-5D6E-409C-BE32-E72D297353CC}">
                <c16:uniqueId val="{00000025-6987-884A-BCA7-933DACFB360E}"/>
              </c:ext>
            </c:extLst>
          </c:dPt>
          <c:dPt>
            <c:idx val="19"/>
            <c:invertIfNegative val="0"/>
            <c:bubble3D val="0"/>
            <c:spPr>
              <a:solidFill>
                <a:srgbClr val="7030A0"/>
              </a:solidFill>
              <a:ln>
                <a:solidFill>
                  <a:srgbClr val="7030A0"/>
                </a:solidFill>
              </a:ln>
              <a:effectLst/>
            </c:spPr>
            <c:extLst>
              <c:ext xmlns:c16="http://schemas.microsoft.com/office/drawing/2014/chart" uri="{C3380CC4-5D6E-409C-BE32-E72D297353CC}">
                <c16:uniqueId val="{00000027-6987-884A-BCA7-933DACFB360E}"/>
              </c:ext>
            </c:extLst>
          </c:dPt>
          <c:dLbls>
            <c:dLbl>
              <c:idx val="0"/>
              <c:layout>
                <c:manualLayout>
                  <c:x val="-1.9898293963254592E-4"/>
                  <c:y val="-3.7205215253388255E-2"/>
                </c:manualLayout>
              </c:layout>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87-884A-BCA7-933DACFB360E}"/>
                </c:ext>
              </c:extLst>
            </c:dLbl>
            <c:dLbl>
              <c:idx val="1"/>
              <c:layout>
                <c:manualLayout>
                  <c:x val="1.6853674540682415E-3"/>
                  <c:y val="-3.1093241351980768E-2"/>
                </c:manualLayout>
              </c:layout>
              <c:tx>
                <c:rich>
                  <a:bodyPr/>
                  <a:lstStyle/>
                  <a:p>
                    <a:r>
                      <a:rPr lang="en-US" dirty="0"/>
                      <a:t>e-g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87-884A-BCA7-933DACFB360E}"/>
                </c:ext>
              </c:extLst>
            </c:dLbl>
            <c:dLbl>
              <c:idx val="2"/>
              <c:layout>
                <c:manualLayout>
                  <c:x val="-5.0621719160105182E-3"/>
                  <c:y val="-4.9929308172414845E-2"/>
                </c:manualLayout>
              </c:layout>
              <c:tx>
                <c:rich>
                  <a:bodyPr/>
                  <a:lstStyle/>
                  <a:p>
                    <a:r>
                      <a:rPr lang="en-US" dirty="0"/>
                      <a:t>c-g</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8.1656824146981624E-2"/>
                      <c:h val="4.3702479673265265E-2"/>
                    </c:manualLayout>
                  </c15:layout>
                </c:ext>
                <c:ext xmlns:c16="http://schemas.microsoft.com/office/drawing/2014/chart" uri="{C3380CC4-5D6E-409C-BE32-E72D297353CC}">
                  <c16:uniqueId val="{00000005-6987-884A-BCA7-933DACFB360E}"/>
                </c:ext>
              </c:extLst>
            </c:dLbl>
            <c:dLbl>
              <c:idx val="3"/>
              <c:layout>
                <c:manualLayout>
                  <c:x val="3.7687321556242191E-3"/>
                  <c:y val="-0.15689177842535282"/>
                </c:manualLayout>
              </c:layout>
              <c:tx>
                <c:rich>
                  <a:bodyPr/>
                  <a:lstStyle/>
                  <a:p>
                    <a:r>
                      <a:rPr lang="en-US"/>
                      <a:t>efg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87-884A-BCA7-933DACFB360E}"/>
                </c:ext>
              </c:extLst>
            </c:dLbl>
            <c:dLbl>
              <c:idx val="4"/>
              <c:layout>
                <c:manualLayout>
                  <c:x val="-2.4052916416115893E-3"/>
                  <c:y val="-2.3667019338000441E-2"/>
                </c:manualLayout>
              </c:layout>
              <c:tx>
                <c:rich>
                  <a:bodyPr/>
                  <a:lstStyle/>
                  <a:p>
                    <a:r>
                      <a:rPr lang="en-US" dirty="0"/>
                      <a:t>d-g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987-884A-BCA7-933DACFB360E}"/>
                </c:ext>
              </c:extLst>
            </c:dLbl>
            <c:dLbl>
              <c:idx val="5"/>
              <c:layout>
                <c:manualLayout>
                  <c:x val="0"/>
                  <c:y val="-5.1029274530465421E-2"/>
                </c:manualLayout>
              </c:layout>
              <c:tx>
                <c:rich>
                  <a:bodyPr/>
                  <a:lstStyle/>
                  <a:p>
                    <a:r>
                      <a:rPr lang="en-US"/>
                      <a:t>fg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987-884A-BCA7-933DACFB360E}"/>
                </c:ext>
              </c:extLst>
            </c:dLbl>
            <c:dLbl>
              <c:idx val="6"/>
              <c:layout>
                <c:manualLayout>
                  <c:x val="2.0833333333333333E-3"/>
                  <c:y val="-6.6535085332518451E-2"/>
                </c:manualLayout>
              </c:layout>
              <c:tx>
                <c:rich>
                  <a:bodyPr/>
                  <a:lstStyle/>
                  <a:p>
                    <a:r>
                      <a:rPr lang="en-US" dirty="0"/>
                      <a:t>c-g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987-884A-BCA7-933DACFB360E}"/>
                </c:ext>
              </c:extLst>
            </c:dLbl>
            <c:dLbl>
              <c:idx val="7"/>
              <c:layout>
                <c:manualLayout>
                  <c:x val="-4.5646325459317589E-3"/>
                  <c:y val="-3.7738587098331583E-2"/>
                </c:manualLayout>
              </c:layout>
              <c:tx>
                <c:rich>
                  <a:bodyPr/>
                  <a:lstStyle/>
                  <a:p>
                    <a:r>
                      <a:rPr lang="en-US" dirty="0"/>
                      <a:t>c-g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987-884A-BCA7-933DACFB360E}"/>
                </c:ext>
              </c:extLst>
            </c:dLbl>
            <c:dLbl>
              <c:idx val="8"/>
              <c:layout>
                <c:manualLayout>
                  <c:x val="3.7687007874014984E-3"/>
                  <c:y val="-2.7989114888783855E-2"/>
                </c:manualLayout>
              </c:layout>
              <c:tx>
                <c:rich>
                  <a:bodyPr/>
                  <a:lstStyle/>
                  <a:p>
                    <a:r>
                      <a:rPr lang="en-US" dirty="0"/>
                      <a:t>c-g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987-884A-BCA7-933DACFB360E}"/>
                </c:ext>
              </c:extLst>
            </c:dLbl>
            <c:dLbl>
              <c:idx val="9"/>
              <c:layout>
                <c:manualLayout>
                  <c:x val="0"/>
                  <c:y val="-3.782361060925489E-2"/>
                </c:manualLayout>
              </c:layout>
              <c:tx>
                <c:rich>
                  <a:bodyPr/>
                  <a:lstStyle/>
                  <a:p>
                    <a:r>
                      <a:rPr lang="en-US" dirty="0"/>
                      <a:t>a-f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987-884A-BCA7-933DACFB360E}"/>
                </c:ext>
              </c:extLst>
            </c:dLbl>
            <c:dLbl>
              <c:idx val="10"/>
              <c:layout>
                <c:manualLayout>
                  <c:x val="6.6478838582676404E-3"/>
                  <c:y val="-0.11982029310684042"/>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7.8270833333333317E-2"/>
                      <c:h val="5.7814507993252093E-2"/>
                    </c:manualLayout>
                  </c15:layout>
                </c:ext>
                <c:ext xmlns:c16="http://schemas.microsoft.com/office/drawing/2014/chart" uri="{C3380CC4-5D6E-409C-BE32-E72D297353CC}">
                  <c16:uniqueId val="{00000015-6987-884A-BCA7-933DACFB360E}"/>
                </c:ext>
              </c:extLst>
            </c:dLbl>
            <c:dLbl>
              <c:idx val="11"/>
              <c:layout>
                <c:manualLayout>
                  <c:x val="1.2874939039113516E-3"/>
                  <c:y val="-4.5837481770704708E-2"/>
                </c:manualLayout>
              </c:layout>
              <c:tx>
                <c:rich>
                  <a:bodyPr/>
                  <a:lstStyle/>
                  <a:p>
                    <a:r>
                      <a:rPr lang="en-US" dirty="0"/>
                      <a:t>a-c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987-884A-BCA7-933DACFB360E}"/>
                </c:ext>
              </c:extLst>
            </c:dLbl>
            <c:dLbl>
              <c:idx val="12"/>
              <c:layout>
                <c:manualLayout>
                  <c:x val="1.8843680541748397E-3"/>
                  <c:y val="-8.0796351339903524E-2"/>
                </c:manualLayout>
              </c:layout>
              <c:tx>
                <c:rich>
                  <a:bodyPr/>
                  <a:lstStyle/>
                  <a:p>
                    <a:r>
                      <a:rPr lang="en-US"/>
                      <a:t>fg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987-884A-BCA7-933DACFB360E}"/>
                </c:ext>
              </c:extLst>
            </c:dLbl>
            <c:dLbl>
              <c:idx val="13"/>
              <c:layout>
                <c:manualLayout>
                  <c:x val="-2.2823755569339162E-3"/>
                  <c:y val="-1.3457314204162938E-2"/>
                </c:manualLayout>
              </c:layout>
              <c:tx>
                <c:rich>
                  <a:bodyPr/>
                  <a:lstStyle/>
                  <a:p>
                    <a:r>
                      <a:rPr lang="en-US" dirty="0"/>
                      <a:t>a-f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987-884A-BCA7-933DACFB360E}"/>
                </c:ext>
              </c:extLst>
            </c:dLbl>
            <c:dLbl>
              <c:idx val="14"/>
              <c:layout>
                <c:manualLayout>
                  <c:x val="3.7687361083496794E-3"/>
                  <c:y val="-4.2524395442054504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987-884A-BCA7-933DACFB360E}"/>
                </c:ext>
              </c:extLst>
            </c:dLbl>
            <c:dLbl>
              <c:idx val="15"/>
              <c:layout>
                <c:manualLayout>
                  <c:x val="-2.0833333333333333E-3"/>
                  <c:y val="-0.11995721164780854"/>
                </c:manualLayout>
              </c:layout>
              <c:tx>
                <c:rich>
                  <a:bodyPr/>
                  <a:lstStyle/>
                  <a:p>
                    <a:r>
                      <a:rPr lang="en-US" dirty="0"/>
                      <a:t>b-g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6987-884A-BCA7-933DACFB360E}"/>
                </c:ext>
              </c:extLst>
            </c:dLbl>
            <c:dLbl>
              <c:idx val="16"/>
              <c:layout>
                <c:manualLayout>
                  <c:x val="-2.4812992125984252E-3"/>
                  <c:y val="-3.9420330502171898E-2"/>
                </c:manualLayout>
              </c:layout>
              <c:tx>
                <c:rich>
                  <a:bodyPr/>
                  <a:lstStyle/>
                  <a:p>
                    <a:r>
                      <a:rPr lang="en-US" dirty="0"/>
                      <a:t>a-e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6987-884A-BCA7-933DACFB360E}"/>
                </c:ext>
              </c:extLst>
            </c:dLbl>
            <c:dLbl>
              <c:idx val="17"/>
              <c:layout>
                <c:manualLayout>
                  <c:x val="-1.9905208782155387E-4"/>
                  <c:y val="-5.3569302516617581E-2"/>
                </c:manualLayout>
              </c:layout>
              <c:tx>
                <c:rich>
                  <a:bodyPr/>
                  <a:lstStyle/>
                  <a:p>
                    <a:r>
                      <a:rPr lang="en-US" dirty="0"/>
                      <a:t>a-d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6987-884A-BCA7-933DACFB360E}"/>
                </c:ext>
              </c:extLst>
            </c:dLbl>
            <c:dLbl>
              <c:idx val="18"/>
              <c:layout>
                <c:manualLayout>
                  <c:x val="1.8843213160226245E-3"/>
                  <c:y val="-3.8145366444579019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6987-884A-BCA7-933DACFB360E}"/>
                </c:ext>
              </c:extLst>
            </c:dLbl>
            <c:dLbl>
              <c:idx val="19"/>
              <c:layout>
                <c:manualLayout>
                  <c:x val="0"/>
                  <c:y val="-6.8321449089250114E-2"/>
                </c:manualLayout>
              </c:layout>
              <c:tx>
                <c:rich>
                  <a:bodyPr/>
                  <a:lstStyle/>
                  <a:p>
                    <a:r>
                      <a:rPr lang="en-US" dirty="0"/>
                      <a:t>a-e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6987-884A-BCA7-933DACFB360E}"/>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Yield!$L$4:$L$23</c:f>
                <c:numCache>
                  <c:formatCode>General</c:formatCode>
                  <c:ptCount val="20"/>
                  <c:pt idx="0">
                    <c:v>0.31151042251156441</c:v>
                  </c:pt>
                  <c:pt idx="1">
                    <c:v>0.20656428377948929</c:v>
                  </c:pt>
                  <c:pt idx="2">
                    <c:v>0.36198348489031001</c:v>
                  </c:pt>
                  <c:pt idx="3">
                    <c:v>2.043672879890519</c:v>
                  </c:pt>
                  <c:pt idx="4">
                    <c:v>4.1666896132701643E-2</c:v>
                  </c:pt>
                  <c:pt idx="5">
                    <c:v>0.5366956803751427</c:v>
                  </c:pt>
                  <c:pt idx="6">
                    <c:v>0.61960229179692405</c:v>
                  </c:pt>
                  <c:pt idx="7">
                    <c:v>0.28334603108802042</c:v>
                  </c:pt>
                  <c:pt idx="8">
                    <c:v>0.31370956313125076</c:v>
                  </c:pt>
                  <c:pt idx="9">
                    <c:v>0.53532962119925087</c:v>
                  </c:pt>
                  <c:pt idx="10">
                    <c:v>1.5325527625501216</c:v>
                  </c:pt>
                  <c:pt idx="11">
                    <c:v>0.60322369814190802</c:v>
                  </c:pt>
                  <c:pt idx="12">
                    <c:v>1.0115928578237412</c:v>
                  </c:pt>
                  <c:pt idx="13">
                    <c:v>0.20049468820894001</c:v>
                  </c:pt>
                  <c:pt idx="14">
                    <c:v>0.54913970292934888</c:v>
                  </c:pt>
                  <c:pt idx="15">
                    <c:v>1.1349122976394823</c:v>
                  </c:pt>
                  <c:pt idx="16">
                    <c:v>0.42108562470515792</c:v>
                  </c:pt>
                  <c:pt idx="17">
                    <c:v>0.51077862458538104</c:v>
                  </c:pt>
                  <c:pt idx="18">
                    <c:v>0.8020616622180613</c:v>
                  </c:pt>
                  <c:pt idx="19">
                    <c:v>0.85902338152112767</c:v>
                  </c:pt>
                </c:numCache>
              </c:numRef>
            </c:plus>
            <c:minus>
              <c:numRef>
                <c:f>Yield!$L$4:$L$23</c:f>
                <c:numCache>
                  <c:formatCode>General</c:formatCode>
                  <c:ptCount val="20"/>
                  <c:pt idx="0">
                    <c:v>0.31151042251156441</c:v>
                  </c:pt>
                  <c:pt idx="1">
                    <c:v>0.20656428377948929</c:v>
                  </c:pt>
                  <c:pt idx="2">
                    <c:v>0.36198348489031001</c:v>
                  </c:pt>
                  <c:pt idx="3">
                    <c:v>2.043672879890519</c:v>
                  </c:pt>
                  <c:pt idx="4">
                    <c:v>4.1666896132701643E-2</c:v>
                  </c:pt>
                  <c:pt idx="5">
                    <c:v>0.5366956803751427</c:v>
                  </c:pt>
                  <c:pt idx="6">
                    <c:v>0.61960229179692405</c:v>
                  </c:pt>
                  <c:pt idx="7">
                    <c:v>0.28334603108802042</c:v>
                  </c:pt>
                  <c:pt idx="8">
                    <c:v>0.31370956313125076</c:v>
                  </c:pt>
                  <c:pt idx="9">
                    <c:v>0.53532962119925087</c:v>
                  </c:pt>
                  <c:pt idx="10">
                    <c:v>1.5325527625501216</c:v>
                  </c:pt>
                  <c:pt idx="11">
                    <c:v>0.60322369814190802</c:v>
                  </c:pt>
                  <c:pt idx="12">
                    <c:v>1.0115928578237412</c:v>
                  </c:pt>
                  <c:pt idx="13">
                    <c:v>0.20049468820894001</c:v>
                  </c:pt>
                  <c:pt idx="14">
                    <c:v>0.54913970292934888</c:v>
                  </c:pt>
                  <c:pt idx="15">
                    <c:v>1.1349122976394823</c:v>
                  </c:pt>
                  <c:pt idx="16">
                    <c:v>0.42108562470515792</c:v>
                  </c:pt>
                  <c:pt idx="17">
                    <c:v>0.51077862458538104</c:v>
                  </c:pt>
                  <c:pt idx="18">
                    <c:v>0.8020616622180613</c:v>
                  </c:pt>
                  <c:pt idx="19">
                    <c:v>0.85902338152112767</c:v>
                  </c:pt>
                </c:numCache>
              </c:numRef>
            </c:minus>
            <c:spPr>
              <a:noFill/>
              <a:ln w="9525" cap="flat" cmpd="sng" algn="ctr">
                <a:solidFill>
                  <a:schemeClr val="tx1">
                    <a:lumMod val="65000"/>
                    <a:lumOff val="35000"/>
                  </a:schemeClr>
                </a:solidFill>
                <a:round/>
              </a:ln>
              <a:effectLst/>
            </c:spPr>
          </c:errBars>
          <c:cat>
            <c:multiLvlStrRef>
              <c:f>Yield!$I$4:$J$23</c:f>
              <c:multiLvlStrCache>
                <c:ptCount val="20"/>
                <c:lvl>
                  <c:pt idx="0">
                    <c:v>G0</c:v>
                  </c:pt>
                  <c:pt idx="1">
                    <c:v>GRB</c:v>
                  </c:pt>
                  <c:pt idx="2">
                    <c:v>GSH</c:v>
                  </c:pt>
                  <c:pt idx="3">
                    <c:v>GDC</c:v>
                  </c:pt>
                  <c:pt idx="4">
                    <c:v>G0</c:v>
                  </c:pt>
                  <c:pt idx="5">
                    <c:v>GRB</c:v>
                  </c:pt>
                  <c:pt idx="6">
                    <c:v>GSH</c:v>
                  </c:pt>
                  <c:pt idx="7">
                    <c:v>GDC</c:v>
                  </c:pt>
                  <c:pt idx="8">
                    <c:v>G0</c:v>
                  </c:pt>
                  <c:pt idx="9">
                    <c:v>GRB</c:v>
                  </c:pt>
                  <c:pt idx="10">
                    <c:v>GSH</c:v>
                  </c:pt>
                  <c:pt idx="11">
                    <c:v>GDC</c:v>
                  </c:pt>
                  <c:pt idx="12">
                    <c:v>G0</c:v>
                  </c:pt>
                  <c:pt idx="13">
                    <c:v>GRB</c:v>
                  </c:pt>
                  <c:pt idx="14">
                    <c:v>GSH</c:v>
                  </c:pt>
                  <c:pt idx="15">
                    <c:v>GDC</c:v>
                  </c:pt>
                  <c:pt idx="16">
                    <c:v>G0</c:v>
                  </c:pt>
                  <c:pt idx="17">
                    <c:v>GRB</c:v>
                  </c:pt>
                  <c:pt idx="18">
                    <c:v>GSH</c:v>
                  </c:pt>
                  <c:pt idx="19">
                    <c:v>GDC</c:v>
                  </c:pt>
                </c:lvl>
                <c:lvl>
                  <c:pt idx="0">
                    <c:v>N0</c:v>
                  </c:pt>
                  <c:pt idx="4">
                    <c:v>N25</c:v>
                  </c:pt>
                  <c:pt idx="8">
                    <c:v>N50</c:v>
                  </c:pt>
                  <c:pt idx="12">
                    <c:v>N75</c:v>
                  </c:pt>
                  <c:pt idx="16">
                    <c:v>N100</c:v>
                  </c:pt>
                </c:lvl>
              </c:multiLvlStrCache>
            </c:multiLvlStrRef>
          </c:cat>
          <c:val>
            <c:numRef>
              <c:f>Yield!$K$4:$K$23</c:f>
              <c:numCache>
                <c:formatCode>0.00</c:formatCode>
                <c:ptCount val="20"/>
                <c:pt idx="0">
                  <c:v>3.6014666666666666</c:v>
                </c:pt>
                <c:pt idx="1">
                  <c:v>4.3351666666666659</c:v>
                </c:pt>
                <c:pt idx="2">
                  <c:v>4.4842666666666666</c:v>
                </c:pt>
                <c:pt idx="3">
                  <c:v>4.4578999999999995</c:v>
                </c:pt>
                <c:pt idx="4">
                  <c:v>4.1437633333333332</c:v>
                </c:pt>
                <c:pt idx="5">
                  <c:v>4.1292666666666662</c:v>
                </c:pt>
                <c:pt idx="6">
                  <c:v>4.6486999999999998</c:v>
                </c:pt>
                <c:pt idx="7">
                  <c:v>4.6091666666666669</c:v>
                </c:pt>
                <c:pt idx="8">
                  <c:v>4.5571000000000002</c:v>
                </c:pt>
                <c:pt idx="9">
                  <c:v>5.4777333333333331</c:v>
                </c:pt>
                <c:pt idx="10">
                  <c:v>6.1912999999999991</c:v>
                </c:pt>
                <c:pt idx="11">
                  <c:v>5.9161999999999999</c:v>
                </c:pt>
                <c:pt idx="12">
                  <c:v>4.2709999999999999</c:v>
                </c:pt>
                <c:pt idx="13">
                  <c:v>5.4012999999999991</c:v>
                </c:pt>
                <c:pt idx="14">
                  <c:v>6.4046333333333338</c:v>
                </c:pt>
                <c:pt idx="15">
                  <c:v>4.9831333333333339</c:v>
                </c:pt>
                <c:pt idx="16">
                  <c:v>5.7087666666666665</c:v>
                </c:pt>
                <c:pt idx="17">
                  <c:v>5.8707333333333329</c:v>
                </c:pt>
                <c:pt idx="18">
                  <c:v>6.7802999999999995</c:v>
                </c:pt>
                <c:pt idx="19">
                  <c:v>5.7727000000000004</c:v>
                </c:pt>
              </c:numCache>
            </c:numRef>
          </c:val>
          <c:extLst>
            <c:ext xmlns:c16="http://schemas.microsoft.com/office/drawing/2014/chart" uri="{C3380CC4-5D6E-409C-BE32-E72D297353CC}">
              <c16:uniqueId val="{00000028-6987-884A-BCA7-933DACFB360E}"/>
            </c:ext>
          </c:extLst>
        </c:ser>
        <c:dLbls>
          <c:dLblPos val="outEnd"/>
          <c:showLegendKey val="0"/>
          <c:showVal val="1"/>
          <c:showCatName val="0"/>
          <c:showSerName val="0"/>
          <c:showPercent val="0"/>
          <c:showBubbleSize val="0"/>
        </c:dLbls>
        <c:gapWidth val="80"/>
        <c:overlap val="100"/>
        <c:axId val="227932991"/>
        <c:axId val="227935263"/>
      </c:barChart>
      <c:catAx>
        <c:axId val="227932991"/>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Combination of green manures and N levels</a:t>
                </a:r>
              </a:p>
            </c:rich>
          </c:tx>
          <c:layout>
            <c:manualLayout>
              <c:xMode val="edge"/>
              <c:yMode val="edge"/>
              <c:x val="0.32059166386522792"/>
              <c:y val="0.902266801496296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27935263"/>
        <c:crosses val="autoZero"/>
        <c:auto val="1"/>
        <c:lblAlgn val="ctr"/>
        <c:lblOffset val="100"/>
        <c:noMultiLvlLbl val="0"/>
      </c:catAx>
      <c:valAx>
        <c:axId val="227935263"/>
        <c:scaling>
          <c:orientation val="minMax"/>
          <c:max val="9"/>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Yield (t ha</a:t>
                </a:r>
                <a:r>
                  <a:rPr lang="en-US" baseline="30000"/>
                  <a:t>-1</a:t>
                </a:r>
                <a:r>
                  <a:rPr lang="en-US"/>
                  <a:t>)</a:t>
                </a:r>
              </a:p>
            </c:rich>
          </c:tx>
          <c:layout>
            <c:manualLayout>
              <c:xMode val="edge"/>
              <c:yMode val="edge"/>
              <c:x val="6.0132199194164277E-3"/>
              <c:y val="0.2427915260592426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9525">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27932991"/>
        <c:crosses val="autoZero"/>
        <c:crossBetween val="between"/>
        <c:majorUnit val="1"/>
      </c:valAx>
      <c:spPr>
        <a:noFill/>
        <a:ln>
          <a:noFill/>
        </a:ln>
        <a:effectLst/>
      </c:spPr>
    </c:plotArea>
    <c:plotVisOnly val="1"/>
    <c:dispBlanksAs val="gap"/>
    <c:showDLblsOverMax val="0"/>
  </c:chart>
  <c:spPr>
    <a:noFill/>
    <a:ln w="9525" cap="flat" cmpd="sng" algn="ctr">
      <a:noFill/>
      <a:round/>
    </a:ln>
    <a:effectLst/>
  </c:spPr>
  <c:txPr>
    <a:bodyPr/>
    <a:lstStyle/>
    <a:p>
      <a:pPr>
        <a:defRPr sz="800" b="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solidFill>
                <a:latin typeface="Arial" panose="020B0604020202020204" pitchFamily="34" charset="0"/>
                <a:ea typeface="+mn-ea"/>
                <a:cs typeface="Arial" panose="020B0604020202020204" pitchFamily="34" charset="0"/>
              </a:defRPr>
            </a:pPr>
            <a:r>
              <a:rPr lang="en-US"/>
              <a:t>2024 </a:t>
            </a:r>
          </a:p>
        </c:rich>
      </c:tx>
      <c:layout>
        <c:manualLayout>
          <c:xMode val="edge"/>
          <c:yMode val="edge"/>
          <c:x val="0.13142229440201514"/>
          <c:y val="2.0844277011079031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7.3255383210877906E-2"/>
          <c:y val="0.1211240662224914"/>
          <c:w val="0.91310299423274432"/>
          <c:h val="0.56372471513349987"/>
        </c:manualLayout>
      </c:layout>
      <c:barChart>
        <c:barDir val="col"/>
        <c:grouping val="clustered"/>
        <c:varyColors val="0"/>
        <c:ser>
          <c:idx val="0"/>
          <c:order val="0"/>
          <c:tx>
            <c:strRef>
              <c:f>'Yield and Yield components'!$T$168</c:f>
              <c:strCache>
                <c:ptCount val="1"/>
                <c:pt idx="0">
                  <c:v>Yield </c:v>
                </c:pt>
              </c:strCache>
            </c:strRef>
          </c:tx>
          <c:spPr>
            <a:solidFill>
              <a:schemeClr val="accent1"/>
            </a:solidFill>
            <a:ln>
              <a:noFill/>
            </a:ln>
            <a:effectLst/>
          </c:spPr>
          <c:invertIfNegative val="0"/>
          <c:dPt>
            <c:idx val="0"/>
            <c:invertIfNegative val="0"/>
            <c:bubble3D val="0"/>
            <c:spPr>
              <a:solidFill>
                <a:srgbClr val="00B0F0"/>
              </a:solidFill>
              <a:ln>
                <a:solidFill>
                  <a:schemeClr val="accent5">
                    <a:lumMod val="60000"/>
                    <a:lumOff val="40000"/>
                  </a:schemeClr>
                </a:solidFill>
              </a:ln>
              <a:effectLst/>
            </c:spPr>
            <c:extLst>
              <c:ext xmlns:c16="http://schemas.microsoft.com/office/drawing/2014/chart" uri="{C3380CC4-5D6E-409C-BE32-E72D297353CC}">
                <c16:uniqueId val="{00000001-80D4-2449-B006-C9650C889826}"/>
              </c:ext>
            </c:extLst>
          </c:dPt>
          <c:dPt>
            <c:idx val="1"/>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3-80D4-2449-B006-C9650C889826}"/>
              </c:ext>
            </c:extLst>
          </c:dPt>
          <c:dPt>
            <c:idx val="2"/>
            <c:invertIfNegative val="0"/>
            <c:bubble3D val="0"/>
            <c:spPr>
              <a:solidFill>
                <a:srgbClr val="00B050"/>
              </a:solidFill>
              <a:ln>
                <a:solidFill>
                  <a:srgbClr val="00B050"/>
                </a:solidFill>
              </a:ln>
              <a:effectLst/>
            </c:spPr>
            <c:extLst>
              <c:ext xmlns:c16="http://schemas.microsoft.com/office/drawing/2014/chart" uri="{C3380CC4-5D6E-409C-BE32-E72D297353CC}">
                <c16:uniqueId val="{00000005-80D4-2449-B006-C9650C889826}"/>
              </c:ext>
            </c:extLst>
          </c:dPt>
          <c:dPt>
            <c:idx val="3"/>
            <c:invertIfNegative val="0"/>
            <c:bubble3D val="0"/>
            <c:spPr>
              <a:solidFill>
                <a:srgbClr val="7030A0"/>
              </a:solidFill>
              <a:ln>
                <a:solidFill>
                  <a:srgbClr val="7030A0"/>
                </a:solidFill>
              </a:ln>
              <a:effectLst/>
            </c:spPr>
            <c:extLst>
              <c:ext xmlns:c16="http://schemas.microsoft.com/office/drawing/2014/chart" uri="{C3380CC4-5D6E-409C-BE32-E72D297353CC}">
                <c16:uniqueId val="{00000007-80D4-2449-B006-C9650C889826}"/>
              </c:ext>
            </c:extLst>
          </c:dPt>
          <c:dPt>
            <c:idx val="4"/>
            <c:invertIfNegative val="0"/>
            <c:bubble3D val="0"/>
            <c:spPr>
              <a:solidFill>
                <a:srgbClr val="00B0F0"/>
              </a:solidFill>
              <a:ln>
                <a:solidFill>
                  <a:schemeClr val="accent5">
                    <a:lumMod val="60000"/>
                    <a:lumOff val="40000"/>
                  </a:schemeClr>
                </a:solidFill>
              </a:ln>
              <a:effectLst/>
            </c:spPr>
            <c:extLst>
              <c:ext xmlns:c16="http://schemas.microsoft.com/office/drawing/2014/chart" uri="{C3380CC4-5D6E-409C-BE32-E72D297353CC}">
                <c16:uniqueId val="{00000009-80D4-2449-B006-C9650C889826}"/>
              </c:ext>
            </c:extLst>
          </c:dPt>
          <c:dPt>
            <c:idx val="5"/>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B-80D4-2449-B006-C9650C889826}"/>
              </c:ext>
            </c:extLst>
          </c:dPt>
          <c:dPt>
            <c:idx val="6"/>
            <c:invertIfNegative val="0"/>
            <c:bubble3D val="0"/>
            <c:spPr>
              <a:solidFill>
                <a:srgbClr val="00B050"/>
              </a:solidFill>
              <a:ln>
                <a:solidFill>
                  <a:srgbClr val="00B050"/>
                </a:solidFill>
              </a:ln>
              <a:effectLst/>
            </c:spPr>
            <c:extLst>
              <c:ext xmlns:c16="http://schemas.microsoft.com/office/drawing/2014/chart" uri="{C3380CC4-5D6E-409C-BE32-E72D297353CC}">
                <c16:uniqueId val="{0000000D-80D4-2449-B006-C9650C889826}"/>
              </c:ext>
            </c:extLst>
          </c:dPt>
          <c:dPt>
            <c:idx val="7"/>
            <c:invertIfNegative val="0"/>
            <c:bubble3D val="0"/>
            <c:spPr>
              <a:solidFill>
                <a:srgbClr val="7030A0"/>
              </a:solidFill>
              <a:ln>
                <a:solidFill>
                  <a:srgbClr val="7030A0"/>
                </a:solidFill>
              </a:ln>
              <a:effectLst/>
            </c:spPr>
            <c:extLst>
              <c:ext xmlns:c16="http://schemas.microsoft.com/office/drawing/2014/chart" uri="{C3380CC4-5D6E-409C-BE32-E72D297353CC}">
                <c16:uniqueId val="{0000000F-80D4-2449-B006-C9650C889826}"/>
              </c:ext>
            </c:extLst>
          </c:dPt>
          <c:dPt>
            <c:idx val="8"/>
            <c:invertIfNegative val="0"/>
            <c:bubble3D val="0"/>
            <c:spPr>
              <a:solidFill>
                <a:srgbClr val="00B0F0"/>
              </a:solidFill>
              <a:ln>
                <a:solidFill>
                  <a:schemeClr val="accent5">
                    <a:lumMod val="60000"/>
                    <a:lumOff val="40000"/>
                  </a:schemeClr>
                </a:solidFill>
              </a:ln>
              <a:effectLst/>
            </c:spPr>
            <c:extLst>
              <c:ext xmlns:c16="http://schemas.microsoft.com/office/drawing/2014/chart" uri="{C3380CC4-5D6E-409C-BE32-E72D297353CC}">
                <c16:uniqueId val="{00000011-80D4-2449-B006-C9650C889826}"/>
              </c:ext>
            </c:extLst>
          </c:dPt>
          <c:dPt>
            <c:idx val="9"/>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13-80D4-2449-B006-C9650C889826}"/>
              </c:ext>
            </c:extLst>
          </c:dPt>
          <c:dPt>
            <c:idx val="10"/>
            <c:invertIfNegative val="0"/>
            <c:bubble3D val="0"/>
            <c:spPr>
              <a:solidFill>
                <a:srgbClr val="00B050"/>
              </a:solidFill>
              <a:ln>
                <a:solidFill>
                  <a:srgbClr val="00B050"/>
                </a:solidFill>
              </a:ln>
              <a:effectLst/>
            </c:spPr>
            <c:extLst>
              <c:ext xmlns:c16="http://schemas.microsoft.com/office/drawing/2014/chart" uri="{C3380CC4-5D6E-409C-BE32-E72D297353CC}">
                <c16:uniqueId val="{00000015-80D4-2449-B006-C9650C889826}"/>
              </c:ext>
            </c:extLst>
          </c:dPt>
          <c:dPt>
            <c:idx val="11"/>
            <c:invertIfNegative val="0"/>
            <c:bubble3D val="0"/>
            <c:spPr>
              <a:solidFill>
                <a:srgbClr val="7030A0"/>
              </a:solidFill>
              <a:ln>
                <a:solidFill>
                  <a:srgbClr val="7030A0"/>
                </a:solidFill>
              </a:ln>
              <a:effectLst/>
            </c:spPr>
            <c:extLst>
              <c:ext xmlns:c16="http://schemas.microsoft.com/office/drawing/2014/chart" uri="{C3380CC4-5D6E-409C-BE32-E72D297353CC}">
                <c16:uniqueId val="{00000017-80D4-2449-B006-C9650C889826}"/>
              </c:ext>
            </c:extLst>
          </c:dPt>
          <c:dPt>
            <c:idx val="12"/>
            <c:invertIfNegative val="0"/>
            <c:bubble3D val="0"/>
            <c:spPr>
              <a:solidFill>
                <a:srgbClr val="00B0F0"/>
              </a:solidFill>
              <a:ln>
                <a:solidFill>
                  <a:schemeClr val="accent5">
                    <a:lumMod val="60000"/>
                    <a:lumOff val="40000"/>
                  </a:schemeClr>
                </a:solidFill>
              </a:ln>
              <a:effectLst/>
            </c:spPr>
            <c:extLst>
              <c:ext xmlns:c16="http://schemas.microsoft.com/office/drawing/2014/chart" uri="{C3380CC4-5D6E-409C-BE32-E72D297353CC}">
                <c16:uniqueId val="{00000019-80D4-2449-B006-C9650C889826}"/>
              </c:ext>
            </c:extLst>
          </c:dPt>
          <c:dPt>
            <c:idx val="13"/>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1B-80D4-2449-B006-C9650C889826}"/>
              </c:ext>
            </c:extLst>
          </c:dPt>
          <c:dPt>
            <c:idx val="14"/>
            <c:invertIfNegative val="0"/>
            <c:bubble3D val="0"/>
            <c:spPr>
              <a:solidFill>
                <a:srgbClr val="00B050"/>
              </a:solidFill>
              <a:ln>
                <a:solidFill>
                  <a:srgbClr val="00B050"/>
                </a:solidFill>
              </a:ln>
              <a:effectLst/>
            </c:spPr>
            <c:extLst>
              <c:ext xmlns:c16="http://schemas.microsoft.com/office/drawing/2014/chart" uri="{C3380CC4-5D6E-409C-BE32-E72D297353CC}">
                <c16:uniqueId val="{0000001D-80D4-2449-B006-C9650C889826}"/>
              </c:ext>
            </c:extLst>
          </c:dPt>
          <c:dPt>
            <c:idx val="15"/>
            <c:invertIfNegative val="0"/>
            <c:bubble3D val="0"/>
            <c:spPr>
              <a:solidFill>
                <a:srgbClr val="7030A0"/>
              </a:solidFill>
              <a:ln>
                <a:solidFill>
                  <a:srgbClr val="7030A0"/>
                </a:solidFill>
              </a:ln>
              <a:effectLst/>
            </c:spPr>
            <c:extLst>
              <c:ext xmlns:c16="http://schemas.microsoft.com/office/drawing/2014/chart" uri="{C3380CC4-5D6E-409C-BE32-E72D297353CC}">
                <c16:uniqueId val="{0000001F-80D4-2449-B006-C9650C889826}"/>
              </c:ext>
            </c:extLst>
          </c:dPt>
          <c:dPt>
            <c:idx val="16"/>
            <c:invertIfNegative val="0"/>
            <c:bubble3D val="0"/>
            <c:spPr>
              <a:solidFill>
                <a:srgbClr val="00B0F0"/>
              </a:solidFill>
              <a:ln>
                <a:solidFill>
                  <a:schemeClr val="accent5">
                    <a:lumMod val="60000"/>
                    <a:lumOff val="40000"/>
                  </a:schemeClr>
                </a:solidFill>
              </a:ln>
              <a:effectLst/>
            </c:spPr>
            <c:extLst>
              <c:ext xmlns:c16="http://schemas.microsoft.com/office/drawing/2014/chart" uri="{C3380CC4-5D6E-409C-BE32-E72D297353CC}">
                <c16:uniqueId val="{00000021-80D4-2449-B006-C9650C889826}"/>
              </c:ext>
            </c:extLst>
          </c:dPt>
          <c:dPt>
            <c:idx val="17"/>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23-80D4-2449-B006-C9650C889826}"/>
              </c:ext>
            </c:extLst>
          </c:dPt>
          <c:dPt>
            <c:idx val="18"/>
            <c:invertIfNegative val="0"/>
            <c:bubble3D val="0"/>
            <c:spPr>
              <a:solidFill>
                <a:srgbClr val="00B050"/>
              </a:solidFill>
              <a:ln>
                <a:solidFill>
                  <a:srgbClr val="00B050"/>
                </a:solidFill>
              </a:ln>
              <a:effectLst/>
            </c:spPr>
            <c:extLst>
              <c:ext xmlns:c16="http://schemas.microsoft.com/office/drawing/2014/chart" uri="{C3380CC4-5D6E-409C-BE32-E72D297353CC}">
                <c16:uniqueId val="{00000025-80D4-2449-B006-C9650C889826}"/>
              </c:ext>
            </c:extLst>
          </c:dPt>
          <c:dPt>
            <c:idx val="19"/>
            <c:invertIfNegative val="0"/>
            <c:bubble3D val="0"/>
            <c:spPr>
              <a:solidFill>
                <a:srgbClr val="7030A0"/>
              </a:solidFill>
              <a:ln>
                <a:solidFill>
                  <a:srgbClr val="7030A0"/>
                </a:solidFill>
              </a:ln>
              <a:effectLst/>
            </c:spPr>
            <c:extLst>
              <c:ext xmlns:c16="http://schemas.microsoft.com/office/drawing/2014/chart" uri="{C3380CC4-5D6E-409C-BE32-E72D297353CC}">
                <c16:uniqueId val="{00000027-80D4-2449-B006-C9650C889826}"/>
              </c:ext>
            </c:extLst>
          </c:dPt>
          <c:dLbls>
            <c:dLbl>
              <c:idx val="0"/>
              <c:layout>
                <c:manualLayout>
                  <c:x val="4.2941492216854536E-3"/>
                  <c:y val="-4.371584015461083E-2"/>
                </c:manualLayout>
              </c:layout>
              <c:tx>
                <c:rich>
                  <a:bodyPr/>
                  <a:lstStyle/>
                  <a:p>
                    <a:r>
                      <a:rPr lang="en-US"/>
                      <a:t>k</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D4-2449-B006-C9650C889826}"/>
                </c:ext>
              </c:extLst>
            </c:dLbl>
            <c:dLbl>
              <c:idx val="1"/>
              <c:layout>
                <c:manualLayout>
                  <c:x val="0"/>
                  <c:y val="-2.3845003720696773E-2"/>
                </c:manualLayout>
              </c:layout>
              <c:tx>
                <c:rich>
                  <a:bodyPr/>
                  <a:lstStyle/>
                  <a:p>
                    <a:r>
                      <a:rPr lang="en-US"/>
                      <a:t>ij</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D4-2449-B006-C9650C889826}"/>
                </c:ext>
              </c:extLst>
            </c:dLbl>
            <c:dLbl>
              <c:idx val="2"/>
              <c:layout>
                <c:manualLayout>
                  <c:x val="6.4412238325281803E-3"/>
                  <c:y val="-2.3845003720696811E-2"/>
                </c:manualLayout>
              </c:layout>
              <c:tx>
                <c:rich>
                  <a:bodyPr/>
                  <a:lstStyle/>
                  <a:p>
                    <a:r>
                      <a:rPr lang="en-US"/>
                      <a:t>fgh</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0D4-2449-B006-C9650C889826}"/>
                </c:ext>
              </c:extLst>
            </c:dLbl>
            <c:dLbl>
              <c:idx val="3"/>
              <c:layout>
                <c:manualLayout>
                  <c:x val="6.4412238325281803E-3"/>
                  <c:y val="-3.5767505581045161E-2"/>
                </c:manualLayout>
              </c:layout>
              <c:tx>
                <c:rich>
                  <a:bodyPr/>
                  <a:lstStyle/>
                  <a:p>
                    <a:r>
                      <a:rPr lang="en-US"/>
                      <a:t>hi</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0D4-2449-B006-C9650C889826}"/>
                </c:ext>
              </c:extLst>
            </c:dLbl>
            <c:dLbl>
              <c:idx val="4"/>
              <c:layout>
                <c:manualLayout>
                  <c:x val="4.2941492216854536E-3"/>
                  <c:y val="-3.5767505581045161E-2"/>
                </c:manualLayout>
              </c:layout>
              <c:tx>
                <c:rich>
                  <a:bodyPr/>
                  <a:lstStyle/>
                  <a:p>
                    <a:r>
                      <a:rPr lang="en-US"/>
                      <a:t>j</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0D4-2449-B006-C9650C889826}"/>
                </c:ext>
              </c:extLst>
            </c:dLbl>
            <c:dLbl>
              <c:idx val="5"/>
              <c:layout>
                <c:manualLayout>
                  <c:x val="-3.9362579812235726E-17"/>
                  <c:y val="-3.1793338294262369E-2"/>
                </c:manualLayout>
              </c:layout>
              <c:tx>
                <c:rich>
                  <a:bodyPr/>
                  <a:lstStyle/>
                  <a:p>
                    <a:r>
                      <a:rPr lang="en-US"/>
                      <a:t>hi</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0D4-2449-B006-C9650C889826}"/>
                </c:ext>
              </c:extLst>
            </c:dLbl>
            <c:dLbl>
              <c:idx val="6"/>
              <c:layout>
                <c:manualLayout>
                  <c:x val="-3.9362579812235726E-17"/>
                  <c:y val="-2.3845003720696811E-2"/>
                </c:manualLayout>
              </c:layout>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0D4-2449-B006-C9650C889826}"/>
                </c:ext>
              </c:extLst>
            </c:dLbl>
            <c:dLbl>
              <c:idx val="7"/>
              <c:layout>
                <c:manualLayout>
                  <c:x val="2.1470746108427268E-3"/>
                  <c:y val="-1.987083643391398E-2"/>
                </c:manualLayout>
              </c:layout>
              <c:tx>
                <c:rich>
                  <a:bodyPr/>
                  <a:lstStyle/>
                  <a:p>
                    <a:r>
                      <a:rPr lang="en-US"/>
                      <a:t>hi</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0D4-2449-B006-C9650C889826}"/>
                </c:ext>
              </c:extLst>
            </c:dLbl>
            <c:dLbl>
              <c:idx val="8"/>
              <c:layout>
                <c:manualLayout>
                  <c:x val="0"/>
                  <c:y val="-3.9741672867827996E-2"/>
                </c:manualLayout>
              </c:layout>
              <c:tx>
                <c:rich>
                  <a:bodyPr/>
                  <a:lstStyle/>
                  <a:p>
                    <a:r>
                      <a:rPr lang="en-US"/>
                      <a:t>hi</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0D4-2449-B006-C9650C889826}"/>
                </c:ext>
              </c:extLst>
            </c:dLbl>
            <c:dLbl>
              <c:idx val="9"/>
              <c:layout>
                <c:manualLayout>
                  <c:x val="6.4412238325281014E-3"/>
                  <c:y val="-3.5767505581045127E-2"/>
                </c:manualLayout>
              </c:layout>
              <c:tx>
                <c:rich>
                  <a:bodyPr/>
                  <a:lstStyle/>
                  <a:p>
                    <a:r>
                      <a:rPr lang="en-US"/>
                      <a:t>ef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0D4-2449-B006-C9650C889826}"/>
                </c:ext>
              </c:extLst>
            </c:dLbl>
            <c:dLbl>
              <c:idx val="10"/>
              <c:layout>
                <c:manualLayout>
                  <c:x val="-7.8725159624471452E-17"/>
                  <c:y val="-2.3845003720696811E-2"/>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0D4-2449-B006-C9650C889826}"/>
                </c:ext>
              </c:extLst>
            </c:dLbl>
            <c:dLbl>
              <c:idx val="11"/>
              <c:layout>
                <c:manualLayout>
                  <c:x val="6.4412238325281014E-3"/>
                  <c:y val="-5.9612509301741938E-2"/>
                </c:manualLayout>
              </c:layout>
              <c:tx>
                <c:rich>
                  <a:bodyPr/>
                  <a:lstStyle/>
                  <a:p>
                    <a:r>
                      <a:rPr lang="en-US"/>
                      <a:t>efg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0D4-2449-B006-C9650C889826}"/>
                </c:ext>
              </c:extLst>
            </c:dLbl>
            <c:dLbl>
              <c:idx val="12"/>
              <c:layout>
                <c:manualLayout>
                  <c:x val="-2.1470746108427268E-3"/>
                  <c:y val="-5.563834201495918E-2"/>
                </c:manualLayout>
              </c:layout>
              <c:tx>
                <c:rich>
                  <a:bodyPr/>
                  <a:lstStyle/>
                  <a:p>
                    <a:r>
                      <a:rPr lang="en-US"/>
                      <a:t>ghi</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0D4-2449-B006-C9650C889826}"/>
                </c:ext>
              </c:extLst>
            </c:dLbl>
            <c:dLbl>
              <c:idx val="13"/>
              <c:layout>
                <c:manualLayout>
                  <c:x val="-2.1470746108428842E-3"/>
                  <c:y val="-3.5767505581045196E-2"/>
                </c:manualLayout>
              </c:layout>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80D4-2449-B006-C9650C889826}"/>
                </c:ext>
              </c:extLst>
            </c:dLbl>
            <c:dLbl>
              <c:idx val="14"/>
              <c:layout>
                <c:manualLayout>
                  <c:x val="2.1470746108427268E-3"/>
                  <c:y val="-1.987083643391398E-2"/>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80D4-2449-B006-C9650C889826}"/>
                </c:ext>
              </c:extLst>
            </c:dLbl>
            <c:dLbl>
              <c:idx val="15"/>
              <c:layout>
                <c:manualLayout>
                  <c:x val="2.1470746108428842E-3"/>
                  <c:y val="-3.5767505581045161E-2"/>
                </c:manualLayout>
              </c:layout>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80D4-2449-B006-C9650C889826}"/>
                </c:ext>
              </c:extLst>
            </c:dLbl>
            <c:dLbl>
              <c:idx val="16"/>
              <c:layout>
                <c:manualLayout>
                  <c:x val="0"/>
                  <c:y val="-4.7690007441393588E-2"/>
                </c:manualLayout>
              </c:layout>
              <c:tx>
                <c:rich>
                  <a:bodyPr/>
                  <a:lstStyle/>
                  <a:p>
                    <a:r>
                      <a:rPr lang="en-US"/>
                      <a:t>efg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80D4-2449-B006-C9650C889826}"/>
                </c:ext>
              </c:extLst>
            </c:dLbl>
            <c:dLbl>
              <c:idx val="17"/>
              <c:layout>
                <c:manualLayout>
                  <c:x val="-1.6081685568025255E-16"/>
                  <c:y val="-2.0249287020940563E-2"/>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80D4-2449-B006-C9650C889826}"/>
                </c:ext>
              </c:extLst>
            </c:dLbl>
            <c:dLbl>
              <c:idx val="18"/>
              <c:layout>
                <c:manualLayout>
                  <c:x val="0"/>
                  <c:y val="-5.8947177057413276E-4"/>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80D4-2449-B006-C9650C889826}"/>
                </c:ext>
              </c:extLst>
            </c:dLbl>
            <c:dLbl>
              <c:idx val="19"/>
              <c:layout>
                <c:manualLayout>
                  <c:x val="0"/>
                  <c:y val="-3.1793338294262369E-2"/>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4.7128287707997853E-2"/>
                      <c:h val="6.3527220542501997E-2"/>
                    </c:manualLayout>
                  </c15:layout>
                </c:ext>
                <c:ext xmlns:c16="http://schemas.microsoft.com/office/drawing/2014/chart" uri="{C3380CC4-5D6E-409C-BE32-E72D297353CC}">
                  <c16:uniqueId val="{00000027-80D4-2449-B006-C9650C889826}"/>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'Yield and Yield components'!$AQ$74:$AQ$93</c:f>
                <c:numCache>
                  <c:formatCode>General</c:formatCode>
                  <c:ptCount val="20"/>
                  <c:pt idx="0">
                    <c:v>0.13370917445460981</c:v>
                  </c:pt>
                  <c:pt idx="1">
                    <c:v>0.2912361641921094</c:v>
                  </c:pt>
                  <c:pt idx="2">
                    <c:v>8.7879026697689891E-2</c:v>
                  </c:pt>
                  <c:pt idx="3">
                    <c:v>0.30527956040324772</c:v>
                  </c:pt>
                  <c:pt idx="4">
                    <c:v>0.31270348207207416</c:v>
                  </c:pt>
                  <c:pt idx="5">
                    <c:v>0.16895811117946713</c:v>
                  </c:pt>
                  <c:pt idx="6">
                    <c:v>0.32804591650153708</c:v>
                  </c:pt>
                  <c:pt idx="7">
                    <c:v>4.4961353775585293E-2</c:v>
                  </c:pt>
                  <c:pt idx="8">
                    <c:v>0.31798744210005109</c:v>
                  </c:pt>
                  <c:pt idx="9">
                    <c:v>0.68179444360696628</c:v>
                  </c:pt>
                  <c:pt idx="10">
                    <c:v>0.44515499008772175</c:v>
                  </c:pt>
                  <c:pt idx="11">
                    <c:v>0.42260042100468065</c:v>
                  </c:pt>
                  <c:pt idx="12">
                    <c:v>0.36855328425253997</c:v>
                  </c:pt>
                  <c:pt idx="13">
                    <c:v>0.40052439376397497</c:v>
                  </c:pt>
                  <c:pt idx="14">
                    <c:v>0.25571516054652194</c:v>
                  </c:pt>
                  <c:pt idx="15">
                    <c:v>0.29407195667047203</c:v>
                  </c:pt>
                  <c:pt idx="16">
                    <c:v>0.29977503231590219</c:v>
                  </c:pt>
                  <c:pt idx="17">
                    <c:v>0.72487437051763226</c:v>
                  </c:pt>
                  <c:pt idx="18">
                    <c:v>0.51236895953990047</c:v>
                  </c:pt>
                  <c:pt idx="19">
                    <c:v>8.3912192995615129E-2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multiLvlStrRef>
              <c:f>'Yield and Yield components'!$R$169:$S$188</c:f>
              <c:multiLvlStrCache>
                <c:ptCount val="20"/>
                <c:lvl>
                  <c:pt idx="0">
                    <c:v>G0</c:v>
                  </c:pt>
                  <c:pt idx="1">
                    <c:v>GRB</c:v>
                  </c:pt>
                  <c:pt idx="2">
                    <c:v>GSH </c:v>
                  </c:pt>
                  <c:pt idx="3">
                    <c:v>GDC</c:v>
                  </c:pt>
                  <c:pt idx="4">
                    <c:v>G0</c:v>
                  </c:pt>
                  <c:pt idx="5">
                    <c:v>GRB</c:v>
                  </c:pt>
                  <c:pt idx="6">
                    <c:v>GSH</c:v>
                  </c:pt>
                  <c:pt idx="7">
                    <c:v>GDC</c:v>
                  </c:pt>
                  <c:pt idx="8">
                    <c:v>G0 </c:v>
                  </c:pt>
                  <c:pt idx="9">
                    <c:v>GRB</c:v>
                  </c:pt>
                  <c:pt idx="10">
                    <c:v>GSH </c:v>
                  </c:pt>
                  <c:pt idx="11">
                    <c:v>GDC</c:v>
                  </c:pt>
                  <c:pt idx="12">
                    <c:v>G0</c:v>
                  </c:pt>
                  <c:pt idx="13">
                    <c:v>GRB</c:v>
                  </c:pt>
                  <c:pt idx="14">
                    <c:v>GSH </c:v>
                  </c:pt>
                  <c:pt idx="15">
                    <c:v>GDC</c:v>
                  </c:pt>
                  <c:pt idx="16">
                    <c:v>G0</c:v>
                  </c:pt>
                  <c:pt idx="17">
                    <c:v>GRB</c:v>
                  </c:pt>
                  <c:pt idx="18">
                    <c:v>GSH </c:v>
                  </c:pt>
                  <c:pt idx="19">
                    <c:v>GDC</c:v>
                  </c:pt>
                </c:lvl>
                <c:lvl>
                  <c:pt idx="0">
                    <c:v>N0</c:v>
                  </c:pt>
                  <c:pt idx="4">
                    <c:v>N25</c:v>
                  </c:pt>
                  <c:pt idx="8">
                    <c:v>N50</c:v>
                  </c:pt>
                  <c:pt idx="12">
                    <c:v>N75</c:v>
                  </c:pt>
                  <c:pt idx="16">
                    <c:v>N100</c:v>
                  </c:pt>
                </c:lvl>
              </c:multiLvlStrCache>
            </c:multiLvlStrRef>
          </c:cat>
          <c:val>
            <c:numRef>
              <c:f>'Yield and Yield components'!$T$169:$T$188</c:f>
              <c:numCache>
                <c:formatCode>0.00</c:formatCode>
                <c:ptCount val="20"/>
                <c:pt idx="0">
                  <c:v>3.4388666666666663</c:v>
                </c:pt>
                <c:pt idx="1">
                  <c:v>4.5187333333333326</c:v>
                </c:pt>
                <c:pt idx="2">
                  <c:v>5.023133333333333</c:v>
                </c:pt>
                <c:pt idx="3">
                  <c:v>4.5075000000000003</c:v>
                </c:pt>
                <c:pt idx="4">
                  <c:v>4.08033</c:v>
                </c:pt>
                <c:pt idx="5">
                  <c:v>4.7334333333333332</c:v>
                </c:pt>
                <c:pt idx="6">
                  <c:v>5.7501666666666678</c:v>
                </c:pt>
                <c:pt idx="7">
                  <c:v>4.7255666666666665</c:v>
                </c:pt>
                <c:pt idx="8">
                  <c:v>4.7687333333333335</c:v>
                </c:pt>
                <c:pt idx="9">
                  <c:v>5.605833333333333</c:v>
                </c:pt>
                <c:pt idx="10">
                  <c:v>6.4256199999999994</c:v>
                </c:pt>
                <c:pt idx="11">
                  <c:v>5.380983333333333</c:v>
                </c:pt>
                <c:pt idx="12">
                  <c:v>4.9856333333333334</c:v>
                </c:pt>
                <c:pt idx="13">
                  <c:v>6.2911999999999999</c:v>
                </c:pt>
                <c:pt idx="14">
                  <c:v>6.9699333333333335</c:v>
                </c:pt>
                <c:pt idx="15">
                  <c:v>6.2827299999999999</c:v>
                </c:pt>
                <c:pt idx="16">
                  <c:v>5.3607000000000005</c:v>
                </c:pt>
                <c:pt idx="17">
                  <c:v>6.8939633333333328</c:v>
                </c:pt>
                <c:pt idx="18">
                  <c:v>7.3417299999999992</c:v>
                </c:pt>
                <c:pt idx="19">
                  <c:v>6.6446733333333334</c:v>
                </c:pt>
              </c:numCache>
            </c:numRef>
          </c:val>
          <c:extLst>
            <c:ext xmlns:c16="http://schemas.microsoft.com/office/drawing/2014/chart" uri="{C3380CC4-5D6E-409C-BE32-E72D297353CC}">
              <c16:uniqueId val="{00000028-80D4-2449-B006-C9650C889826}"/>
            </c:ext>
          </c:extLst>
        </c:ser>
        <c:dLbls>
          <c:dLblPos val="outEnd"/>
          <c:showLegendKey val="0"/>
          <c:showVal val="1"/>
          <c:showCatName val="0"/>
          <c:showSerName val="0"/>
          <c:showPercent val="0"/>
          <c:showBubbleSize val="0"/>
        </c:dLbls>
        <c:gapWidth val="80"/>
        <c:overlap val="100"/>
        <c:axId val="119647744"/>
        <c:axId val="119645664"/>
      </c:barChart>
      <c:catAx>
        <c:axId val="11964774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en-US"/>
                  <a:t>Combination of green manure and N levels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9645664"/>
        <c:crosses val="autoZero"/>
        <c:auto val="1"/>
        <c:lblAlgn val="ctr"/>
        <c:lblOffset val="100"/>
        <c:noMultiLvlLbl val="0"/>
      </c:catAx>
      <c:valAx>
        <c:axId val="119645664"/>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en-US"/>
                  <a:t>Yield (t ha</a:t>
                </a:r>
                <a:r>
                  <a:rPr lang="en-US" baseline="30000"/>
                  <a:t>-1</a:t>
                </a:r>
                <a:r>
                  <a:rPr lang="en-US"/>
                  <a:t>)</a:t>
                </a:r>
              </a:p>
            </c:rich>
          </c:tx>
          <c:layout>
            <c:manualLayout>
              <c:xMode val="edge"/>
              <c:yMode val="edge"/>
              <c:x val="9.6935541920136255E-3"/>
              <c:y val="0.2753957562533598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9647744"/>
        <c:crosses val="autoZero"/>
        <c:crossBetween val="between"/>
      </c:valAx>
      <c:spPr>
        <a:solidFill>
          <a:sysClr val="window" lastClr="FFFFFF"/>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0.17113</cdr:x>
      <cdr:y>0.02222</cdr:y>
    </cdr:from>
    <cdr:to>
      <cdr:x>0.29212</cdr:x>
      <cdr:y>0.12609</cdr:y>
    </cdr:to>
    <cdr:sp macro="" textlink="">
      <cdr:nvSpPr>
        <cdr:cNvPr id="2" name="TextBox 1">
          <a:extLst xmlns:a="http://schemas.openxmlformats.org/drawingml/2006/main">
            <a:ext uri="{FF2B5EF4-FFF2-40B4-BE49-F238E27FC236}">
              <a16:creationId xmlns:a16="http://schemas.microsoft.com/office/drawing/2014/main" id="{3034945C-E5F4-404C-9FB5-EB26A8AC65D9}"/>
            </a:ext>
          </a:extLst>
        </cdr:cNvPr>
        <cdr:cNvSpPr txBox="1"/>
      </cdr:nvSpPr>
      <cdr:spPr>
        <a:xfrm xmlns:a="http://schemas.openxmlformats.org/drawingml/2006/main">
          <a:off x="974749" y="58119"/>
          <a:ext cx="689160" cy="2716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dirty="0">
              <a:solidFill>
                <a:sysClr val="windowText" lastClr="000000"/>
              </a:solidFill>
              <a:latin typeface="Times New Roman" panose="02020603050405020304" pitchFamily="18" charset="0"/>
              <a:cs typeface="Times New Roman" panose="02020603050405020304" pitchFamily="18" charset="0"/>
            </a:rPr>
            <a:t>2023</a:t>
          </a:r>
        </a:p>
      </cdr:txBody>
    </cdr:sp>
  </cdr:relSizeAnchor>
</c:userShapes>
</file>

<file path=word/drawings/drawing2.xml><?xml version="1.0" encoding="utf-8"?>
<c:userShapes xmlns:c="http://schemas.openxmlformats.org/drawingml/2006/chart">
  <cdr:relSizeAnchor xmlns:cdr="http://schemas.openxmlformats.org/drawingml/2006/chartDrawing">
    <cdr:from>
      <cdr:x>0.11635</cdr:x>
      <cdr:y>0.01699</cdr:y>
    </cdr:from>
    <cdr:to>
      <cdr:x>0.21836</cdr:x>
      <cdr:y>0.14607</cdr:y>
    </cdr:to>
    <cdr:sp macro="" textlink="">
      <cdr:nvSpPr>
        <cdr:cNvPr id="3" name="TextBox 1"/>
        <cdr:cNvSpPr txBox="1"/>
      </cdr:nvSpPr>
      <cdr:spPr>
        <a:xfrm xmlns:a="http://schemas.openxmlformats.org/drawingml/2006/main">
          <a:off x="611769" y="25401"/>
          <a:ext cx="536311" cy="1930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dirty="0">
              <a:solidFill>
                <a:schemeClr val="accent2">
                  <a:lumMod val="50000"/>
                </a:schemeClr>
              </a:solidFill>
              <a:latin typeface="Times New Roman" panose="02020603050405020304" pitchFamily="18" charset="0"/>
              <a:cs typeface="Times New Roman" panose="02020603050405020304" pitchFamily="18" charset="0"/>
            </a:rPr>
            <a:t> </a:t>
          </a:r>
          <a:r>
            <a:rPr lang="en-US" sz="1000" b="1" dirty="0">
              <a:solidFill>
                <a:schemeClr val="tx1"/>
              </a:solidFill>
              <a:latin typeface="Times New Roman" panose="02020603050405020304" pitchFamily="18" charset="0"/>
              <a:cs typeface="Times New Roman" panose="02020603050405020304" pitchFamily="18" charset="0"/>
            </a:rPr>
            <a:t>2024</a:t>
          </a:r>
        </a:p>
      </cdr:txBody>
    </cdr:sp>
  </cdr:relSizeAnchor>
</c:userShapes>
</file>

<file path=word/drawings/drawing3.xml><?xml version="1.0" encoding="utf-8"?>
<c:userShapes xmlns:c="http://schemas.openxmlformats.org/drawingml/2006/chart">
  <cdr:relSizeAnchor xmlns:cdr="http://schemas.openxmlformats.org/drawingml/2006/chartDrawing">
    <cdr:from>
      <cdr:x>0.74181</cdr:x>
      <cdr:y>0.04149</cdr:y>
    </cdr:from>
    <cdr:to>
      <cdr:x>1</cdr:x>
      <cdr:y>0.31535</cdr:y>
    </cdr:to>
    <cdr:sp macro="" textlink="">
      <cdr:nvSpPr>
        <cdr:cNvPr id="2" name="Rectangle 1">
          <a:extLst xmlns:a="http://schemas.openxmlformats.org/drawingml/2006/main">
            <a:ext uri="{FF2B5EF4-FFF2-40B4-BE49-F238E27FC236}">
              <a16:creationId xmlns:a16="http://schemas.microsoft.com/office/drawing/2014/main" id="{456B8F07-6284-49D0-B571-EA9D183358A4}"/>
            </a:ext>
          </a:extLst>
        </cdr:cNvPr>
        <cdr:cNvSpPr/>
      </cdr:nvSpPr>
      <cdr:spPr>
        <a:xfrm xmlns:a="http://schemas.openxmlformats.org/drawingml/2006/main">
          <a:off x="3836697" y="95250"/>
          <a:ext cx="1335378" cy="6286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000" b="0" dirty="0">
              <a:solidFill>
                <a:schemeClr val="tx1"/>
              </a:solidFill>
              <a:latin typeface="Arial" panose="020B0604020202020204" pitchFamily="34" charset="0"/>
              <a:cs typeface="Arial" panose="020B0604020202020204" pitchFamily="34" charset="0"/>
            </a:rPr>
            <a:t>LSD</a:t>
          </a:r>
          <a:r>
            <a:rPr lang="en-US" sz="1000" b="0" baseline="-25000" dirty="0">
              <a:solidFill>
                <a:schemeClr val="tx1"/>
              </a:solidFill>
              <a:latin typeface="Arial" panose="020B0604020202020204" pitchFamily="34" charset="0"/>
              <a:cs typeface="Arial" panose="020B0604020202020204" pitchFamily="34" charset="0"/>
            </a:rPr>
            <a:t>0.05</a:t>
          </a:r>
          <a:r>
            <a:rPr lang="en-US" sz="1000" b="0" dirty="0">
              <a:solidFill>
                <a:schemeClr val="tx1"/>
              </a:solidFill>
              <a:latin typeface="Arial" panose="020B0604020202020204" pitchFamily="34" charset="0"/>
              <a:cs typeface="Arial" panose="020B0604020202020204" pitchFamily="34" charset="0"/>
            </a:rPr>
            <a:t>  =  5.12</a:t>
          </a:r>
        </a:p>
        <a:p xmlns:a="http://schemas.openxmlformats.org/drawingml/2006/main">
          <a:r>
            <a:rPr lang="en-US" sz="1000" b="0" dirty="0">
              <a:solidFill>
                <a:schemeClr val="tx1"/>
              </a:solidFill>
              <a:latin typeface="Arial" panose="020B0604020202020204" pitchFamily="34" charset="0"/>
              <a:cs typeface="Arial" panose="020B0604020202020204" pitchFamily="34" charset="0"/>
            </a:rPr>
            <a:t>CV%     =  13.17</a:t>
          </a:r>
        </a:p>
      </cdr:txBody>
    </cdr:sp>
  </cdr:relSizeAnchor>
</c:userShapes>
</file>

<file path=word/drawings/drawing4.xml><?xml version="1.0" encoding="utf-8"?>
<c:userShapes xmlns:c="http://schemas.openxmlformats.org/drawingml/2006/chart">
  <cdr:relSizeAnchor xmlns:cdr="http://schemas.openxmlformats.org/drawingml/2006/chartDrawing">
    <cdr:from>
      <cdr:x>0.75537</cdr:x>
      <cdr:y>0</cdr:y>
    </cdr:from>
    <cdr:to>
      <cdr:x>0.97537</cdr:x>
      <cdr:y>0.26923</cdr:y>
    </cdr:to>
    <cdr:sp macro="" textlink="">
      <cdr:nvSpPr>
        <cdr:cNvPr id="2" name="Rectangle: Rounded Corners 1">
          <a:extLst xmlns:a="http://schemas.openxmlformats.org/drawingml/2006/main">
            <a:ext uri="{FF2B5EF4-FFF2-40B4-BE49-F238E27FC236}">
              <a16:creationId xmlns:a16="http://schemas.microsoft.com/office/drawing/2014/main" id="{A95BCEF1-B944-4AD4-9C90-BADE4F0EBBD0}"/>
            </a:ext>
          </a:extLst>
        </cdr:cNvPr>
        <cdr:cNvSpPr/>
      </cdr:nvSpPr>
      <cdr:spPr>
        <a:xfrm xmlns:a="http://schemas.openxmlformats.org/drawingml/2006/main">
          <a:off x="4381685" y="0"/>
          <a:ext cx="1276165" cy="602638"/>
        </a:xfrm>
        <a:prstGeom xmlns:a="http://schemas.openxmlformats.org/drawingml/2006/main" prst="round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00" b="0" dirty="0">
              <a:solidFill>
                <a:schemeClr val="tx1"/>
              </a:solidFill>
              <a:latin typeface="Times New Roman" panose="02020603050405020304" pitchFamily="18" charset="0"/>
              <a:cs typeface="Times New Roman" panose="02020603050405020304" pitchFamily="18" charset="0"/>
            </a:rPr>
            <a:t>LSD</a:t>
          </a:r>
          <a:r>
            <a:rPr lang="en-US" sz="1000" b="0" baseline="-25000" dirty="0">
              <a:solidFill>
                <a:schemeClr val="tx1"/>
              </a:solidFill>
              <a:latin typeface="Times New Roman" panose="02020603050405020304" pitchFamily="18" charset="0"/>
              <a:cs typeface="Times New Roman" panose="02020603050405020304" pitchFamily="18" charset="0"/>
            </a:rPr>
            <a:t>0.05</a:t>
          </a:r>
          <a:r>
            <a:rPr lang="en-US" sz="1000" b="0" dirty="0">
              <a:solidFill>
                <a:schemeClr val="tx1"/>
              </a:solidFill>
              <a:latin typeface="Times New Roman" panose="02020603050405020304" pitchFamily="18" charset="0"/>
              <a:cs typeface="Times New Roman" panose="02020603050405020304" pitchFamily="18" charset="0"/>
            </a:rPr>
            <a:t>  =  10.95</a:t>
          </a:r>
        </a:p>
        <a:p xmlns:a="http://schemas.openxmlformats.org/drawingml/2006/main">
          <a:r>
            <a:rPr lang="en-US" sz="1000" b="0" dirty="0">
              <a:solidFill>
                <a:schemeClr val="tx1"/>
              </a:solidFill>
              <a:latin typeface="Times New Roman" panose="02020603050405020304" pitchFamily="18" charset="0"/>
              <a:cs typeface="Times New Roman" panose="02020603050405020304" pitchFamily="18" charset="0"/>
            </a:rPr>
            <a:t>CV%     =  19.49</a:t>
          </a:r>
        </a:p>
      </cdr:txBody>
    </cdr:sp>
  </cdr:relSizeAnchor>
</c:userShapes>
</file>

<file path=word/drawings/drawing5.xml><?xml version="1.0" encoding="utf-8"?>
<c:userShapes xmlns:c="http://schemas.openxmlformats.org/drawingml/2006/chart">
  <cdr:relSizeAnchor xmlns:cdr="http://schemas.openxmlformats.org/drawingml/2006/chartDrawing">
    <cdr:from>
      <cdr:x>0.13022</cdr:x>
      <cdr:y>0.02679</cdr:y>
    </cdr:from>
    <cdr:to>
      <cdr:x>0.23704</cdr:x>
      <cdr:y>0.15179</cdr:y>
    </cdr:to>
    <cdr:sp macro="" textlink="">
      <cdr:nvSpPr>
        <cdr:cNvPr id="2" name="Rectangle 1">
          <a:extLst xmlns:a="http://schemas.openxmlformats.org/drawingml/2006/main">
            <a:ext uri="{FF2B5EF4-FFF2-40B4-BE49-F238E27FC236}">
              <a16:creationId xmlns:a16="http://schemas.microsoft.com/office/drawing/2014/main" id="{AAD88C97-5BF3-4109-A09F-F19A11896DF1}"/>
            </a:ext>
          </a:extLst>
        </cdr:cNvPr>
        <cdr:cNvSpPr/>
      </cdr:nvSpPr>
      <cdr:spPr>
        <a:xfrm xmlns:a="http://schemas.openxmlformats.org/drawingml/2006/main">
          <a:off x="741708" y="57150"/>
          <a:ext cx="608441" cy="26670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000" b="1" dirty="0">
              <a:solidFill>
                <a:schemeClr val="tx1"/>
              </a:solidFill>
              <a:latin typeface="Arial" panose="020B0604020202020204" pitchFamily="34" charset="0"/>
              <a:cs typeface="Arial" panose="020B0604020202020204" pitchFamily="34" charset="0"/>
            </a:rPr>
            <a:t>2023</a:t>
          </a:r>
        </a:p>
      </cdr:txBody>
    </cdr:sp>
  </cdr:relSizeAnchor>
</c:userShapes>
</file>

<file path=word/drawings/drawing6.xml><?xml version="1.0" encoding="utf-8"?>
<c:userShapes xmlns:c="http://schemas.openxmlformats.org/drawingml/2006/chart">
  <cdr:relSizeAnchor xmlns:cdr="http://schemas.openxmlformats.org/drawingml/2006/chartDrawing">
    <cdr:from>
      <cdr:x>0.78317</cdr:x>
      <cdr:y>0</cdr:y>
    </cdr:from>
    <cdr:to>
      <cdr:x>0.96124</cdr:x>
      <cdr:y>0.17671</cdr:y>
    </cdr:to>
    <cdr:sp macro="" textlink="">
      <cdr:nvSpPr>
        <cdr:cNvPr id="11" name="Rectangle 10">
          <a:extLst xmlns:a="http://schemas.openxmlformats.org/drawingml/2006/main">
            <a:ext uri="{FF2B5EF4-FFF2-40B4-BE49-F238E27FC236}">
              <a16:creationId xmlns:a16="http://schemas.microsoft.com/office/drawing/2014/main" id="{821E8C23-A89E-45DB-8A55-B910BAF317D2}"/>
            </a:ext>
          </a:extLst>
        </cdr:cNvPr>
        <cdr:cNvSpPr/>
      </cdr:nvSpPr>
      <cdr:spPr>
        <a:xfrm xmlns:a="http://schemas.openxmlformats.org/drawingml/2006/main">
          <a:off x="4535498" y="0"/>
          <a:ext cx="1031211" cy="4191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800" b="0" dirty="0">
              <a:solidFill>
                <a:schemeClr val="tx1"/>
              </a:solidFill>
              <a:latin typeface="Times New Roman" panose="02020603050405020304" pitchFamily="18" charset="0"/>
              <a:cs typeface="Times New Roman" panose="02020603050405020304" pitchFamily="18" charset="0"/>
            </a:rPr>
            <a:t>LSD</a:t>
          </a:r>
          <a:r>
            <a:rPr lang="en-US" sz="800" b="0" baseline="-25000" dirty="0">
              <a:solidFill>
                <a:schemeClr val="tx1"/>
              </a:solidFill>
              <a:latin typeface="Times New Roman" panose="02020603050405020304" pitchFamily="18" charset="0"/>
              <a:cs typeface="Times New Roman" panose="02020603050405020304" pitchFamily="18" charset="0"/>
            </a:rPr>
            <a:t>0.05</a:t>
          </a:r>
          <a:r>
            <a:rPr lang="en-US" sz="800" b="0" dirty="0">
              <a:solidFill>
                <a:schemeClr val="tx1"/>
              </a:solidFill>
              <a:latin typeface="Times New Roman" panose="02020603050405020304" pitchFamily="18" charset="0"/>
              <a:cs typeface="Times New Roman" panose="02020603050405020304" pitchFamily="18" charset="0"/>
            </a:rPr>
            <a:t> = 0.59</a:t>
          </a:r>
        </a:p>
        <a:p xmlns:a="http://schemas.openxmlformats.org/drawingml/2006/main">
          <a:r>
            <a:rPr lang="en-US" sz="800" b="0" dirty="0">
              <a:solidFill>
                <a:schemeClr val="tx1"/>
              </a:solidFill>
              <a:latin typeface="Times New Roman" panose="02020603050405020304" pitchFamily="18" charset="0"/>
              <a:cs typeface="Times New Roman" panose="02020603050405020304" pitchFamily="18" charset="0"/>
            </a:rPr>
            <a:t>CV%    = 5.31</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50CBB-8DFA-4234-AF3E-DD2C49745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93</TotalTime>
  <Pages>11</Pages>
  <Words>4932</Words>
  <Characters>28114</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32981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26</cp:revision>
  <cp:lastPrinted>1999-07-06T11:00:00Z</cp:lastPrinted>
  <dcterms:created xsi:type="dcterms:W3CDTF">2014-10-25T14:34:00Z</dcterms:created>
  <dcterms:modified xsi:type="dcterms:W3CDTF">2025-08-26T09:27:00Z</dcterms:modified>
</cp:coreProperties>
</file>