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978CC" w14:textId="77777777" w:rsidR="00806C56" w:rsidRDefault="00806C56" w:rsidP="005E706B">
      <w:pPr>
        <w:pStyle w:val="Default"/>
        <w:spacing w:before="120" w:after="100" w:line="360" w:lineRule="auto"/>
        <w:jc w:val="center"/>
        <w:rPr>
          <w:rFonts w:ascii="Arial" w:hAnsi="Arial" w:cs="Arial"/>
          <w:b/>
          <w:bCs/>
          <w:sz w:val="36"/>
          <w:szCs w:val="36"/>
        </w:rPr>
      </w:pPr>
      <w:r w:rsidRPr="00806C56">
        <w:rPr>
          <w:rFonts w:ascii="Arial" w:hAnsi="Arial" w:cs="Arial"/>
          <w:b/>
          <w:bCs/>
          <w:sz w:val="36"/>
          <w:szCs w:val="36"/>
        </w:rPr>
        <w:t>Original Research Article</w:t>
      </w:r>
    </w:p>
    <w:p w14:paraId="622EBBF4" w14:textId="77777777" w:rsidR="00806C56" w:rsidRDefault="00806C56" w:rsidP="005E706B">
      <w:pPr>
        <w:pStyle w:val="Default"/>
        <w:spacing w:before="120" w:after="100" w:line="360" w:lineRule="auto"/>
        <w:jc w:val="center"/>
        <w:rPr>
          <w:rFonts w:ascii="Arial" w:hAnsi="Arial" w:cs="Arial"/>
          <w:b/>
          <w:bCs/>
          <w:sz w:val="36"/>
          <w:szCs w:val="36"/>
        </w:rPr>
      </w:pPr>
    </w:p>
    <w:p w14:paraId="4FCCBAA1" w14:textId="613EA824" w:rsidR="005E706B" w:rsidRPr="00827D91" w:rsidRDefault="00827D91" w:rsidP="005E706B">
      <w:pPr>
        <w:pStyle w:val="Default"/>
        <w:spacing w:before="120" w:after="100" w:line="360" w:lineRule="auto"/>
        <w:jc w:val="center"/>
        <w:rPr>
          <w:rFonts w:ascii="Arial" w:hAnsi="Arial" w:cs="Arial"/>
          <w:sz w:val="36"/>
          <w:szCs w:val="36"/>
        </w:rPr>
      </w:pPr>
      <w:bookmarkStart w:id="0" w:name="_Hlk206254822"/>
      <w:r w:rsidRPr="00827D91">
        <w:rPr>
          <w:rFonts w:ascii="Arial" w:hAnsi="Arial" w:cs="Arial"/>
          <w:b/>
          <w:bCs/>
          <w:sz w:val="36"/>
          <w:szCs w:val="36"/>
          <w:lang w:val="fr-FR"/>
        </w:rPr>
        <w:t>Influence of Harvesting Age on Yield and Quality of Sugarcane Varieties (PMA-7, PMA-8, PMA-9) in Myanmar</w:t>
      </w:r>
      <w:r w:rsidR="005E706B" w:rsidRPr="00827D91">
        <w:rPr>
          <w:rFonts w:ascii="Arial" w:hAnsi="Arial" w:cs="Arial"/>
          <w:b/>
          <w:bCs/>
          <w:sz w:val="36"/>
          <w:szCs w:val="36"/>
        </w:rPr>
        <w:t xml:space="preserve"> </w:t>
      </w:r>
      <w:bookmarkEnd w:id="0"/>
    </w:p>
    <w:p w14:paraId="3260FF57" w14:textId="71052EDB" w:rsidR="00634224" w:rsidRDefault="00634224" w:rsidP="00634224">
      <w:pPr>
        <w:pStyle w:val="Affiliation"/>
        <w:spacing w:after="0" w:line="240" w:lineRule="auto"/>
        <w:jc w:val="both"/>
        <w:rPr>
          <w:rFonts w:ascii="Arial" w:hAnsi="Arial" w:cs="Arial"/>
        </w:rPr>
      </w:pPr>
    </w:p>
    <w:p w14:paraId="797D6FEE" w14:textId="77777777" w:rsidR="00B01FCD" w:rsidRPr="00FB3A86" w:rsidRDefault="00907112" w:rsidP="00441B6F">
      <w:pPr>
        <w:pStyle w:val="Copyright"/>
        <w:spacing w:after="0" w:line="240" w:lineRule="auto"/>
        <w:jc w:val="both"/>
        <w:rPr>
          <w:rFonts w:ascii="Arial" w:hAnsi="Arial" w:cs="Arial"/>
        </w:rPr>
        <w:sectPr w:rsidR="00B01FCD" w:rsidRPr="00FB3A86" w:rsidSect="000550D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48E3E9" wp14:editId="285C15D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F60D9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AtKuyoygEAAH0DAAAOAAAAAAAAAAAAAAAA&#10;AC4CAABkcnMvZTJvRG9jLnhtbFBLAQItABQABgAIAAAAIQARSDBg1gAAAAIBAAAPAAAAAAAAAAAA&#10;AAAAACQEAABkcnMvZG93bnJldi54bWxQSwUGAAAAAAQABADzAAAAJwUAAAAA&#10;" strokeweight="1.5pt">
                <w10:anchorlock/>
              </v:shape>
            </w:pict>
          </mc:Fallback>
        </mc:AlternateContent>
      </w:r>
      <w:r w:rsidR="00FB3A86">
        <w:rPr>
          <w:rFonts w:ascii="Arial" w:hAnsi="Arial" w:cs="Arial"/>
        </w:rPr>
        <w:t>.</w:t>
      </w:r>
    </w:p>
    <w:p w14:paraId="5C3C006F" w14:textId="5E9FF78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E98FA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0CE577C" w14:textId="77777777" w:rsidTr="001E44FE">
        <w:tc>
          <w:tcPr>
            <w:tcW w:w="9576" w:type="dxa"/>
            <w:shd w:val="clear" w:color="auto" w:fill="F2F2F2"/>
          </w:tcPr>
          <w:p w14:paraId="2935D237" w14:textId="61C784FE" w:rsidR="00505F06" w:rsidRPr="0035418E" w:rsidRDefault="0035418E" w:rsidP="005A6A0A">
            <w:pPr>
              <w:pStyle w:val="Default"/>
              <w:spacing w:line="360" w:lineRule="auto"/>
              <w:jc w:val="both"/>
              <w:rPr>
                <w:rFonts w:ascii="Arial" w:hAnsi="Arial" w:cs="Arial"/>
              </w:rPr>
            </w:pPr>
            <w:r w:rsidRPr="005A6A0A">
              <w:rPr>
                <w:rFonts w:ascii="Arial" w:hAnsi="Arial" w:cs="Arial"/>
                <w:sz w:val="20"/>
                <w:szCs w:val="20"/>
              </w:rPr>
              <w:t xml:space="preserve">This study aimed to determine the optimal harvesting age for three sugarcane varieties and to assess the changes in yield and quality at different harvesting ages. It was conducted at the Sugarcane Research Farm in Pyinmana and Nyaungpintha, Myanmar, from December 2023 to January 2025. </w:t>
            </w:r>
            <w:r w:rsidR="005A6A0A" w:rsidRPr="005A6A0A">
              <w:rPr>
                <w:rFonts w:ascii="Arial" w:hAnsi="Arial" w:cs="Arial"/>
                <w:sz w:val="20"/>
                <w:szCs w:val="20"/>
              </w:rPr>
              <w:t xml:space="preserve"> </w:t>
            </w:r>
            <w:r w:rsidRPr="005A6A0A">
              <w:rPr>
                <w:rFonts w:ascii="Arial" w:hAnsi="Arial" w:cs="Arial"/>
                <w:sz w:val="20"/>
                <w:szCs w:val="20"/>
              </w:rPr>
              <w:t>The results indicated a similar number of millable canes across all varieties; however, significant differences were observed in single cane weight, cane yields, and sugar yields among the varieties. PMA-7</w:t>
            </w:r>
            <w:r w:rsidR="00F30E7B">
              <w:rPr>
                <w:rFonts w:ascii="Arial" w:hAnsi="Arial" w:cs="Arial"/>
                <w:sz w:val="20"/>
                <w:szCs w:val="20"/>
              </w:rPr>
              <w:t xml:space="preserve"> </w:t>
            </w:r>
            <w:r w:rsidR="00F30E7B" w:rsidRPr="00F30E7B">
              <w:rPr>
                <w:rFonts w:ascii="Arial" w:hAnsi="Arial" w:cs="Arial"/>
                <w:sz w:val="20"/>
                <w:szCs w:val="20"/>
              </w:rPr>
              <w:t>(92.56 t ha</w:t>
            </w:r>
            <w:r w:rsidR="00F30E7B" w:rsidRPr="00F30E7B">
              <w:rPr>
                <w:rFonts w:ascii="Arial" w:hAnsi="Arial" w:cs="Arial"/>
                <w:sz w:val="20"/>
                <w:szCs w:val="20"/>
                <w:vertAlign w:val="superscript"/>
              </w:rPr>
              <w:t>-1</w:t>
            </w:r>
            <w:r w:rsidR="00F30E7B" w:rsidRPr="00F30E7B">
              <w:rPr>
                <w:rFonts w:ascii="Arial" w:hAnsi="Arial" w:cs="Arial"/>
                <w:sz w:val="20"/>
                <w:szCs w:val="20"/>
              </w:rPr>
              <w:t>)</w:t>
            </w:r>
            <w:r w:rsidRPr="005A6A0A">
              <w:rPr>
                <w:rFonts w:ascii="Arial" w:hAnsi="Arial" w:cs="Arial"/>
                <w:sz w:val="20"/>
                <w:szCs w:val="20"/>
              </w:rPr>
              <w:t xml:space="preserve"> </w:t>
            </w:r>
            <w:r w:rsidR="009C13D9">
              <w:rPr>
                <w:rFonts w:ascii="Arial" w:hAnsi="Arial" w:cs="Arial"/>
                <w:sz w:val="20"/>
                <w:szCs w:val="20"/>
              </w:rPr>
              <w:t>achieve</w:t>
            </w:r>
            <w:r w:rsidRPr="005A6A0A">
              <w:rPr>
                <w:rFonts w:ascii="Arial" w:hAnsi="Arial" w:cs="Arial"/>
                <w:sz w:val="20"/>
                <w:szCs w:val="20"/>
              </w:rPr>
              <w:t xml:space="preserve">d the highest yield in Pyinmana, </w:t>
            </w:r>
            <w:r w:rsidR="009C13D9">
              <w:rPr>
                <w:rFonts w:ascii="Arial" w:hAnsi="Arial" w:cs="Arial"/>
                <w:sz w:val="20"/>
                <w:szCs w:val="20"/>
              </w:rPr>
              <w:t xml:space="preserve">whereas </w:t>
            </w:r>
            <w:r w:rsidRPr="005A6A0A">
              <w:rPr>
                <w:rFonts w:ascii="Arial" w:hAnsi="Arial" w:cs="Arial"/>
                <w:sz w:val="20"/>
                <w:szCs w:val="20"/>
              </w:rPr>
              <w:t>PMA-9</w:t>
            </w:r>
            <w:r w:rsidR="00F30E7B">
              <w:rPr>
                <w:rFonts w:ascii="Arial" w:hAnsi="Arial" w:cs="Arial"/>
                <w:sz w:val="20"/>
                <w:szCs w:val="20"/>
              </w:rPr>
              <w:t xml:space="preserve"> </w:t>
            </w:r>
            <w:r w:rsidR="00F30E7B" w:rsidRPr="00F30E7B">
              <w:rPr>
                <w:rFonts w:ascii="Arial" w:hAnsi="Arial" w:cs="Arial"/>
                <w:sz w:val="20"/>
                <w:szCs w:val="20"/>
              </w:rPr>
              <w:t>(89.90 t ha</w:t>
            </w:r>
            <w:r w:rsidR="00F30E7B" w:rsidRPr="00F30E7B">
              <w:rPr>
                <w:rFonts w:ascii="Arial" w:hAnsi="Arial" w:cs="Arial"/>
                <w:sz w:val="20"/>
                <w:szCs w:val="20"/>
                <w:vertAlign w:val="superscript"/>
              </w:rPr>
              <w:t>-1</w:t>
            </w:r>
            <w:r w:rsidR="00F30E7B" w:rsidRPr="00F30E7B">
              <w:rPr>
                <w:rFonts w:ascii="Arial" w:hAnsi="Arial" w:cs="Arial"/>
                <w:sz w:val="20"/>
                <w:szCs w:val="20"/>
              </w:rPr>
              <w:t>)</w:t>
            </w:r>
            <w:r w:rsidRPr="00F30E7B">
              <w:rPr>
                <w:rFonts w:ascii="Arial" w:hAnsi="Arial" w:cs="Arial"/>
                <w:sz w:val="20"/>
                <w:szCs w:val="20"/>
              </w:rPr>
              <w:t xml:space="preserve"> </w:t>
            </w:r>
            <w:r w:rsidR="009C13D9">
              <w:rPr>
                <w:rFonts w:ascii="Arial" w:hAnsi="Arial" w:cs="Arial"/>
                <w:sz w:val="20"/>
                <w:szCs w:val="20"/>
              </w:rPr>
              <w:t>performed best</w:t>
            </w:r>
            <w:r w:rsidRPr="005A6A0A">
              <w:rPr>
                <w:rFonts w:ascii="Arial" w:hAnsi="Arial" w:cs="Arial"/>
                <w:sz w:val="20"/>
                <w:szCs w:val="20"/>
              </w:rPr>
              <w:t xml:space="preserve"> in Nyaungpintha. All varieties demonstrated comparable quality parameters at each location. Regarding harvesting ages, the 13-month age (H</w:t>
            </w:r>
            <w:r w:rsidRPr="005A6A0A">
              <w:rPr>
                <w:rFonts w:ascii="Arial" w:hAnsi="Arial" w:cs="Arial"/>
                <w:sz w:val="20"/>
                <w:szCs w:val="20"/>
                <w:vertAlign w:val="subscript"/>
              </w:rPr>
              <w:t>3</w:t>
            </w:r>
            <w:r w:rsidRPr="005A6A0A">
              <w:rPr>
                <w:rFonts w:ascii="Arial" w:hAnsi="Arial" w:cs="Arial"/>
                <w:sz w:val="20"/>
                <w:szCs w:val="20"/>
              </w:rPr>
              <w:t xml:space="preserve">) tended to produce higher yields at both sites. Additionally, there were quality parameters </w:t>
            </w:r>
            <w:r w:rsidR="009C13D9">
              <w:rPr>
                <w:rFonts w:ascii="Arial" w:hAnsi="Arial" w:cs="Arial"/>
                <w:sz w:val="20"/>
                <w:szCs w:val="20"/>
              </w:rPr>
              <w:t>improved consistently at</w:t>
            </w:r>
            <w:r w:rsidRPr="005A6A0A">
              <w:rPr>
                <w:rFonts w:ascii="Arial" w:hAnsi="Arial" w:cs="Arial"/>
                <w:sz w:val="20"/>
                <w:szCs w:val="20"/>
              </w:rPr>
              <w:t xml:space="preserve"> 13</w:t>
            </w:r>
            <w:r w:rsidR="009C13D9">
              <w:rPr>
                <w:rFonts w:ascii="Arial" w:hAnsi="Arial" w:cs="Arial"/>
                <w:sz w:val="20"/>
                <w:szCs w:val="20"/>
              </w:rPr>
              <w:t xml:space="preserve"> </w:t>
            </w:r>
            <w:r w:rsidRPr="005A6A0A">
              <w:rPr>
                <w:rFonts w:ascii="Arial" w:hAnsi="Arial" w:cs="Arial"/>
                <w:sz w:val="20"/>
                <w:szCs w:val="20"/>
              </w:rPr>
              <w:t>month</w:t>
            </w:r>
            <w:r w:rsidR="009C13D9">
              <w:rPr>
                <w:rFonts w:ascii="Arial" w:hAnsi="Arial" w:cs="Arial"/>
                <w:sz w:val="20"/>
                <w:szCs w:val="20"/>
              </w:rPr>
              <w:t>s.</w:t>
            </w:r>
            <w:r w:rsidRPr="005A6A0A">
              <w:rPr>
                <w:rFonts w:ascii="Arial" w:hAnsi="Arial" w:cs="Arial"/>
                <w:sz w:val="20"/>
                <w:szCs w:val="20"/>
              </w:rPr>
              <w:t xml:space="preserve"> In conclusion, the sugarcane varieties showed differing cane and sugar yields, while harvesting ages had a notable impact on quality parameters in both Pyinmana and Nyaungpintha. PMA-7 </w:t>
            </w:r>
            <w:r w:rsidR="009C13D9">
              <w:rPr>
                <w:rFonts w:ascii="Arial" w:hAnsi="Arial" w:cs="Arial"/>
                <w:sz w:val="20"/>
                <w:szCs w:val="20"/>
              </w:rPr>
              <w:t xml:space="preserve">consistently produced higher cane and sugar yields </w:t>
            </w:r>
            <w:r w:rsidRPr="005A6A0A">
              <w:rPr>
                <w:rFonts w:ascii="Arial" w:hAnsi="Arial" w:cs="Arial"/>
                <w:sz w:val="20"/>
                <w:szCs w:val="20"/>
              </w:rPr>
              <w:t xml:space="preserve">in Pyinmana, </w:t>
            </w:r>
            <w:r w:rsidR="009C13D9">
              <w:rPr>
                <w:rFonts w:ascii="Arial" w:hAnsi="Arial" w:cs="Arial"/>
                <w:sz w:val="20"/>
                <w:szCs w:val="20"/>
              </w:rPr>
              <w:t>while</w:t>
            </w:r>
            <w:r w:rsidRPr="005A6A0A">
              <w:rPr>
                <w:rFonts w:ascii="Arial" w:hAnsi="Arial" w:cs="Arial"/>
                <w:sz w:val="20"/>
                <w:szCs w:val="20"/>
              </w:rPr>
              <w:t xml:space="preserve"> PMA-9 </w:t>
            </w:r>
            <w:r w:rsidR="009C13D9">
              <w:rPr>
                <w:rFonts w:ascii="Arial" w:hAnsi="Arial" w:cs="Arial"/>
                <w:sz w:val="20"/>
                <w:szCs w:val="20"/>
              </w:rPr>
              <w:t>showed superior performance</w:t>
            </w:r>
            <w:r w:rsidRPr="005A6A0A">
              <w:rPr>
                <w:rFonts w:ascii="Arial" w:hAnsi="Arial" w:cs="Arial"/>
                <w:sz w:val="20"/>
                <w:szCs w:val="20"/>
              </w:rPr>
              <w:t xml:space="preserve"> in Nyaungpintha</w:t>
            </w:r>
            <w:r w:rsidR="0063137D">
              <w:rPr>
                <w:rFonts w:ascii="Arial" w:hAnsi="Arial" w:cs="Arial"/>
                <w:sz w:val="20"/>
                <w:szCs w:val="20"/>
              </w:rPr>
              <w:t xml:space="preserve">. </w:t>
            </w:r>
            <w:r w:rsidRPr="005A6A0A">
              <w:rPr>
                <w:rFonts w:ascii="Arial" w:hAnsi="Arial" w:cs="Arial"/>
                <w:sz w:val="20"/>
                <w:szCs w:val="20"/>
              </w:rPr>
              <w:t xml:space="preserve"> All quality parameters improved when harvesting ages were extended from 11 to 13 months. It is suggested that the tested sugarcane varieties should be harvested at 13 months of age for optimal results.</w:t>
            </w:r>
            <w:r w:rsidR="006D2320">
              <w:rPr>
                <w:rFonts w:ascii="Arial" w:hAnsi="Arial" w:cs="Arial"/>
                <w:sz w:val="20"/>
                <w:szCs w:val="20"/>
              </w:rPr>
              <w:t xml:space="preserve"> </w:t>
            </w:r>
            <w:r w:rsidR="006D2320" w:rsidRPr="006D2320">
              <w:rPr>
                <w:rFonts w:ascii="Arial" w:hAnsi="Arial" w:cs="Arial"/>
                <w:sz w:val="20"/>
                <w:szCs w:val="20"/>
              </w:rPr>
              <w:t>This manuscript provides valuable insights on how harvest timing influences sugarcane yield and quality. Its findings guide farmers and policymakers in improving productivity and sustainability in sugarcane production.</w:t>
            </w:r>
          </w:p>
        </w:tc>
      </w:tr>
    </w:tbl>
    <w:p w14:paraId="06B780DB" w14:textId="71D8C33B" w:rsidR="005E706B" w:rsidRPr="009F588E" w:rsidRDefault="005E706B" w:rsidP="009F588E">
      <w:pPr>
        <w:spacing w:before="120" w:after="120" w:line="360" w:lineRule="auto"/>
        <w:jc w:val="both"/>
        <w:rPr>
          <w:rFonts w:ascii="Arial" w:hAnsi="Arial" w:cs="Arial"/>
        </w:rPr>
      </w:pPr>
      <w:r w:rsidRPr="009E70FC">
        <w:rPr>
          <w:rFonts w:ascii="Arial" w:hAnsi="Arial" w:cs="Arial"/>
          <w:b/>
          <w:bCs/>
          <w:i/>
          <w:iCs/>
        </w:rPr>
        <w:t>Keywords</w:t>
      </w:r>
      <w:r w:rsidRPr="009E70FC">
        <w:rPr>
          <w:rFonts w:ascii="Arial" w:hAnsi="Arial" w:cs="Arial"/>
          <w:b/>
          <w:bCs/>
        </w:rPr>
        <w:t xml:space="preserve">: </w:t>
      </w:r>
      <w:r w:rsidR="009F588E" w:rsidRPr="009F588E">
        <w:rPr>
          <w:rFonts w:ascii="Times New Roman" w:hAnsi="Times New Roman"/>
          <w:i/>
          <w:iCs/>
          <w:sz w:val="24"/>
          <w:szCs w:val="24"/>
        </w:rPr>
        <w:t>cane quality, cane yield, harvesting age, sugar yield, sugarcane, variety</w:t>
      </w:r>
    </w:p>
    <w:p w14:paraId="6C028EAE" w14:textId="6AD9C125" w:rsidR="007F7B32" w:rsidRPr="002757E0" w:rsidRDefault="00902823" w:rsidP="004152B2">
      <w:pPr>
        <w:pStyle w:val="Heading1"/>
        <w:keepNext w:val="0"/>
        <w:widowControl w:val="0"/>
        <w:spacing w:before="120" w:after="100" w:line="360" w:lineRule="auto"/>
        <w:jc w:val="both"/>
        <w:rPr>
          <w:sz w:val="22"/>
          <w:szCs w:val="22"/>
        </w:rPr>
      </w:pPr>
      <w:r w:rsidRPr="002757E0">
        <w:rPr>
          <w:sz w:val="22"/>
          <w:szCs w:val="22"/>
        </w:rPr>
        <w:t xml:space="preserve">1. </w:t>
      </w:r>
      <w:r w:rsidR="00B01FCD" w:rsidRPr="002757E0">
        <w:rPr>
          <w:sz w:val="22"/>
          <w:szCs w:val="22"/>
        </w:rPr>
        <w:t>INTRODUCTION</w:t>
      </w:r>
      <w:r w:rsidR="007F7B32" w:rsidRPr="002757E0">
        <w:rPr>
          <w:sz w:val="22"/>
          <w:szCs w:val="22"/>
        </w:rPr>
        <w:t xml:space="preserve"> </w:t>
      </w:r>
    </w:p>
    <w:p w14:paraId="4F82AD77" w14:textId="5906C17E" w:rsidR="00940700" w:rsidRPr="0081048D" w:rsidRDefault="00940700" w:rsidP="0081048D">
      <w:pPr>
        <w:spacing w:line="360" w:lineRule="auto"/>
        <w:ind w:firstLine="720"/>
        <w:jc w:val="both"/>
        <w:rPr>
          <w:rFonts w:ascii="Arial" w:hAnsi="Arial" w:cs="Arial"/>
          <w:b/>
        </w:rPr>
      </w:pPr>
      <w:r w:rsidRPr="0081048D">
        <w:rPr>
          <w:rFonts w:ascii="Arial" w:hAnsi="Arial" w:cs="Arial"/>
        </w:rPr>
        <w:lastRenderedPageBreak/>
        <w:t>Sugarcane (</w:t>
      </w:r>
      <w:r w:rsidRPr="0081048D">
        <w:rPr>
          <w:rFonts w:ascii="Arial" w:hAnsi="Arial" w:cs="Arial"/>
          <w:i/>
          <w:iCs/>
        </w:rPr>
        <w:t>Saccharum</w:t>
      </w:r>
      <w:r w:rsidRPr="0081048D">
        <w:rPr>
          <w:rFonts w:ascii="Arial" w:hAnsi="Arial" w:cs="Arial"/>
        </w:rPr>
        <w:t xml:space="preserve"> spp.) is a crucial industrial source for raw materials used in sugar and ethanol production, primarily cultivated in tropical and subtropical regions around the globe (Hoang, 2017). It serves as a key commercial crop in both developing and developed countries. Worldwide, sugarcane plays a significant role as a major sugar source and finds applications in various industries. It is the primary raw material for sugar production, essential for food processing and human consumption, and influential in sectors like beverages and pharmaceuticals (Khin Moh Moh Aung, 2024).</w:t>
      </w:r>
    </w:p>
    <w:p w14:paraId="7BF255AF" w14:textId="1D033D96" w:rsidR="00940700" w:rsidRPr="0081048D" w:rsidRDefault="00940700" w:rsidP="0081048D">
      <w:pPr>
        <w:spacing w:line="360" w:lineRule="auto"/>
        <w:ind w:firstLine="720"/>
        <w:jc w:val="both"/>
        <w:rPr>
          <w:rFonts w:ascii="Arial" w:hAnsi="Arial" w:cs="Arial"/>
          <w:b/>
        </w:rPr>
      </w:pPr>
      <w:r w:rsidRPr="0081048D">
        <w:rPr>
          <w:rFonts w:ascii="Arial" w:hAnsi="Arial" w:cs="Arial"/>
        </w:rPr>
        <w:t>In Myanmar, sugarcane production is a vital part of the agricultural sector and the economy. The country cultivates sugarcane across 165000 hectares, producing 10.9 million tons with an average yield of 65.83 t ha</w:t>
      </w:r>
      <w:r w:rsidRPr="0081048D">
        <w:rPr>
          <w:rFonts w:ascii="Arial" w:hAnsi="Arial" w:cs="Arial"/>
          <w:vertAlign w:val="superscript"/>
        </w:rPr>
        <w:t>-1</w:t>
      </w:r>
      <w:r w:rsidRPr="0081048D">
        <w:rPr>
          <w:rFonts w:ascii="Arial" w:hAnsi="Arial" w:cs="Arial"/>
        </w:rPr>
        <w:t xml:space="preserve"> (Ministry of Agriculture, Livestock and Irrigation [MOALI], 2023). This yield is lower than that of Brazil, India, and China, which rank as the top sugarcane-producing countries in the world. Factors contributing to the low sugarcane yield include a lack of locally adapted sugarcane varieties, varying regional climates, pest infestations, and the need for improved infrastructure and technology.</w:t>
      </w:r>
    </w:p>
    <w:p w14:paraId="1ACE0B7E" w14:textId="61BD3CD1" w:rsidR="00940700" w:rsidRPr="0081048D" w:rsidRDefault="00940700" w:rsidP="0081048D">
      <w:pPr>
        <w:spacing w:line="360" w:lineRule="auto"/>
        <w:ind w:firstLine="720"/>
        <w:jc w:val="both"/>
        <w:rPr>
          <w:rFonts w:ascii="Arial" w:hAnsi="Arial" w:cs="Arial"/>
          <w:b/>
        </w:rPr>
      </w:pPr>
      <w:r w:rsidRPr="0081048D">
        <w:rPr>
          <w:rFonts w:ascii="Arial" w:hAnsi="Arial" w:cs="Arial"/>
        </w:rPr>
        <w:t xml:space="preserve">Myanmar’s diverse climatic conditions and soil types provide a range of environments suitable for sugarcane cultivation. Various locally adapted sugarcane varieties are grown, and the Sugarcane Research Farm in Pyinmana has developed several hybrid varieties. These hybrids are bred for high sugar content, yield potential, and resistance to environmental stressors. Many hybrids are either imported or cross-bred within Myanmar to enhance their performance in the country's unique growing conditions. Notable characteristics of these hybrids include increased resistance to drought, pests, and diseases, along with higher yields of both sugarcane and sugar. Among these, varieties such as Pyinmana-7 (PMA-7), Pyinmana-8 (PMA-8), and Pyinmana-9 (PMA-9) have been selected for their suitability to the local water and soil types, as well as climatic conditions, making them favorites among farmers for their good yields. </w:t>
      </w:r>
    </w:p>
    <w:p w14:paraId="3F9C6B97" w14:textId="77777777" w:rsidR="00EF07A9" w:rsidRPr="00EF07A9" w:rsidRDefault="00940700" w:rsidP="00EF07A9">
      <w:pPr>
        <w:spacing w:line="360" w:lineRule="auto"/>
        <w:ind w:firstLine="720"/>
        <w:jc w:val="both"/>
        <w:rPr>
          <w:rFonts w:ascii="Arial" w:hAnsi="Arial" w:cs="Arial"/>
          <w:lang w:eastAsia="ja-JP"/>
        </w:rPr>
      </w:pPr>
      <w:r w:rsidRPr="0081048D">
        <w:rPr>
          <w:rFonts w:ascii="Arial" w:hAnsi="Arial" w:cs="Arial"/>
        </w:rPr>
        <w:t xml:space="preserve">Sugarcane varieties differ in their maturation times, impacting their quality, yield, and specific characteristics. These differences are significant for both cane growers and processors (Vajantha et al., 2019). </w:t>
      </w:r>
      <w:r w:rsidR="00EF07A9" w:rsidRPr="00EF07A9">
        <w:rPr>
          <w:rFonts w:ascii="Arial" w:hAnsi="Arial" w:cs="Arial"/>
          <w:lang w:eastAsia="ja-JP"/>
        </w:rPr>
        <w:t>Many researchers have emphasized the significant role that yield variations, components, and quality play among different sugarcane varieties (</w:t>
      </w:r>
      <w:r w:rsidR="00EF07A9" w:rsidRPr="00EF07A9">
        <w:rPr>
          <w:rFonts w:ascii="Arial" w:hAnsi="Arial" w:cs="Arial"/>
        </w:rPr>
        <w:t xml:space="preserve">Abo El-Hamd, Ibrahim, Ahamed, &amp; Kamel, 2019). </w:t>
      </w:r>
    </w:p>
    <w:p w14:paraId="75C73D78" w14:textId="28CBE143" w:rsidR="00940700" w:rsidRPr="0081048D" w:rsidRDefault="00940700" w:rsidP="0081048D">
      <w:pPr>
        <w:spacing w:line="360" w:lineRule="auto"/>
        <w:ind w:firstLine="720"/>
        <w:jc w:val="both"/>
        <w:rPr>
          <w:rFonts w:ascii="Arial" w:hAnsi="Arial" w:cs="Arial"/>
          <w:b/>
        </w:rPr>
      </w:pPr>
      <w:r w:rsidRPr="0081048D">
        <w:rPr>
          <w:rFonts w:ascii="Arial" w:hAnsi="Arial" w:cs="Arial"/>
        </w:rPr>
        <w:t>Proper timing of the harvest is essential; harvesting under-aged or over-aged cane can result in yield loss, poor juice quality</w:t>
      </w:r>
      <w:r w:rsidR="00952EC0">
        <w:rPr>
          <w:rFonts w:ascii="Arial" w:hAnsi="Arial" w:cs="Arial"/>
        </w:rPr>
        <w:t xml:space="preserve"> </w:t>
      </w:r>
      <w:r w:rsidRPr="0081048D">
        <w:rPr>
          <w:rFonts w:ascii="Arial" w:hAnsi="Arial" w:cs="Arial"/>
        </w:rPr>
        <w:t>leading to reduced yield and sugar content (Terauchi et al., 2012). Conversely, delaying the harvest can decrease cane yield, lower sugar recovery, compromise juice quality, and create milling challenges. According to Hagos et al. (2014), harvesting at the optimal age can maximize the weight of millable canes, minimize field losses, and significantly enhance the percentage of Brix, sucrose, and purity.</w:t>
      </w:r>
    </w:p>
    <w:p w14:paraId="488F99D5" w14:textId="3C964F41" w:rsidR="00940700" w:rsidRDefault="00940700" w:rsidP="0081048D">
      <w:pPr>
        <w:spacing w:line="360" w:lineRule="auto"/>
        <w:ind w:firstLine="720"/>
        <w:jc w:val="both"/>
        <w:rPr>
          <w:b/>
        </w:rPr>
      </w:pPr>
      <w:r w:rsidRPr="0081048D">
        <w:rPr>
          <w:rFonts w:ascii="Arial" w:hAnsi="Arial" w:cs="Arial"/>
        </w:rPr>
        <w:lastRenderedPageBreak/>
        <w:t xml:space="preserve">The </w:t>
      </w:r>
      <w:r>
        <w:t xml:space="preserve">Brix percentage is a critical factor in sugarcane production, as it indicates the sweetness of the plant. Typically, sugarcane is harvested at its physiological maturity, which usually occurs around 12 months, though this can vary among different varieties. The optimal harvesting age is determined based on crop cycles, particularly when the sugarcane stalks reach a Brix value of 16-20%. However, limited research has been conducted to identify the best harvesting age and appropriate sugarcane varieties for </w:t>
      </w:r>
      <w:r w:rsidRPr="007317D2">
        <w:t>Myanmar</w:t>
      </w:r>
      <w:r w:rsidR="006F1D57" w:rsidRPr="007317D2">
        <w:t>’s farmers</w:t>
      </w:r>
      <w:r w:rsidRPr="007317D2">
        <w:t>.</w:t>
      </w:r>
      <w:r>
        <w:t xml:space="preserve"> Therefore, this study aims to establish the ideal </w:t>
      </w:r>
      <w:r w:rsidRPr="006F1D57">
        <w:t>harvesting age for the released sugarcane varieties and to evaluate how both yield and</w:t>
      </w:r>
      <w:r>
        <w:t xml:space="preserve"> quality change at different harvesting ages.</w:t>
      </w:r>
    </w:p>
    <w:p w14:paraId="53EC52EF" w14:textId="5E85A81F" w:rsidR="007F7B32" w:rsidRPr="002757E0" w:rsidRDefault="00902823" w:rsidP="00940700">
      <w:pPr>
        <w:pStyle w:val="Heading1"/>
        <w:spacing w:before="120" w:after="100" w:line="360" w:lineRule="auto"/>
        <w:jc w:val="both"/>
        <w:rPr>
          <w:sz w:val="22"/>
          <w:szCs w:val="22"/>
        </w:rPr>
      </w:pPr>
      <w:r w:rsidRPr="002757E0">
        <w:rPr>
          <w:sz w:val="22"/>
          <w:szCs w:val="22"/>
        </w:rPr>
        <w:t xml:space="preserve">2. </w:t>
      </w:r>
      <w:r w:rsidR="002757E0">
        <w:rPr>
          <w:sz w:val="22"/>
          <w:szCs w:val="22"/>
        </w:rPr>
        <w:t>MATERIAL AND METHODS</w:t>
      </w:r>
    </w:p>
    <w:p w14:paraId="2585D21A" w14:textId="69888B2B" w:rsidR="00D1252D" w:rsidRPr="00660599" w:rsidRDefault="00660599" w:rsidP="00D1252D">
      <w:pPr>
        <w:keepNext/>
        <w:keepLines/>
        <w:spacing w:after="120" w:line="360" w:lineRule="auto"/>
        <w:ind w:left="504" w:hanging="504"/>
        <w:jc w:val="both"/>
        <w:outlineLvl w:val="1"/>
        <w:rPr>
          <w:rFonts w:ascii="Arial" w:eastAsia="Calibri" w:hAnsi="Arial" w:cs="Arial"/>
          <w:b/>
          <w:bCs/>
          <w:sz w:val="22"/>
          <w:szCs w:val="22"/>
        </w:rPr>
      </w:pPr>
      <w:bookmarkStart w:id="1" w:name="_Toc180073652"/>
      <w:r>
        <w:rPr>
          <w:rFonts w:ascii="Arial" w:eastAsia="Calibri" w:hAnsi="Arial" w:cs="Arial"/>
          <w:b/>
          <w:bCs/>
          <w:sz w:val="22"/>
          <w:szCs w:val="22"/>
        </w:rPr>
        <w:t xml:space="preserve">2.1 </w:t>
      </w:r>
      <w:r w:rsidR="00D1252D" w:rsidRPr="00660599">
        <w:rPr>
          <w:rFonts w:ascii="Arial" w:eastAsia="Calibri" w:hAnsi="Arial" w:cs="Arial"/>
          <w:b/>
          <w:bCs/>
          <w:sz w:val="22"/>
          <w:szCs w:val="22"/>
        </w:rPr>
        <w:t xml:space="preserve">Experimental </w:t>
      </w:r>
      <w:r w:rsidR="00765BC7">
        <w:rPr>
          <w:rFonts w:ascii="Arial" w:eastAsia="Calibri" w:hAnsi="Arial" w:cs="Arial"/>
          <w:b/>
          <w:bCs/>
          <w:sz w:val="22"/>
          <w:szCs w:val="22"/>
        </w:rPr>
        <w:t>S</w:t>
      </w:r>
      <w:r w:rsidR="00D1252D" w:rsidRPr="00660599">
        <w:rPr>
          <w:rFonts w:ascii="Arial" w:eastAsia="Calibri" w:hAnsi="Arial" w:cs="Arial"/>
          <w:b/>
          <w:bCs/>
          <w:sz w:val="22"/>
          <w:szCs w:val="22"/>
        </w:rPr>
        <w:t>ite</w:t>
      </w:r>
      <w:bookmarkEnd w:id="1"/>
    </w:p>
    <w:p w14:paraId="4FD6F5E9" w14:textId="30F2FA54" w:rsidR="00340967" w:rsidRDefault="00940700" w:rsidP="00C5770C">
      <w:pPr>
        <w:autoSpaceDE w:val="0"/>
        <w:autoSpaceDN w:val="0"/>
        <w:adjustRightInd w:val="0"/>
        <w:spacing w:before="120" w:after="100" w:line="360" w:lineRule="auto"/>
        <w:ind w:firstLine="720"/>
        <w:jc w:val="both"/>
        <w:rPr>
          <w:rFonts w:ascii="Arial" w:eastAsiaTheme="minorHAnsi" w:hAnsi="Arial" w:cs="Arial"/>
        </w:rPr>
      </w:pPr>
      <w:r>
        <w:rPr>
          <w:rFonts w:ascii="Arial" w:eastAsiaTheme="minorHAnsi" w:hAnsi="Arial" w:cs="Arial"/>
        </w:rPr>
        <w:t>Two field experiments were conducted from November 2023 to January 2025 at the Sugarcane Research Farm in Pyinmana, located at 19.00° N latitude, 96.00° E longitude, and at an elevation of 152.36 meters above sea level and Nyaungpintha, situated at 18.00° N latitude, 96.00° E longitude, and at an elevation of 175.00 meters above sea level. Both farms are operated under the Department of Agriculture (DOA) in Nay Pyi Taw, Myanmar.</w:t>
      </w:r>
    </w:p>
    <w:p w14:paraId="57078A5D" w14:textId="659604C0" w:rsidR="00D1252D" w:rsidRPr="00660599" w:rsidRDefault="00660599" w:rsidP="00D1252D">
      <w:pPr>
        <w:keepNext/>
        <w:keepLines/>
        <w:spacing w:before="120" w:after="120" w:line="360" w:lineRule="auto"/>
        <w:ind w:left="504" w:hanging="504"/>
        <w:jc w:val="both"/>
        <w:outlineLvl w:val="1"/>
        <w:rPr>
          <w:rFonts w:ascii="Arial" w:eastAsia="Calibri" w:hAnsi="Arial" w:cs="Arial"/>
          <w:b/>
          <w:bCs/>
          <w:sz w:val="22"/>
          <w:szCs w:val="22"/>
        </w:rPr>
      </w:pPr>
      <w:bookmarkStart w:id="2" w:name="_Toc180073653"/>
      <w:r w:rsidRPr="00660599">
        <w:rPr>
          <w:rFonts w:ascii="Arial" w:eastAsia="Calibri" w:hAnsi="Arial" w:cs="Arial"/>
          <w:b/>
          <w:bCs/>
          <w:sz w:val="22"/>
          <w:szCs w:val="22"/>
        </w:rPr>
        <w:t xml:space="preserve">2.2. </w:t>
      </w:r>
      <w:r w:rsidR="00D1252D" w:rsidRPr="00660599">
        <w:rPr>
          <w:rFonts w:ascii="Arial" w:eastAsia="Calibri" w:hAnsi="Arial" w:cs="Arial"/>
          <w:b/>
          <w:bCs/>
          <w:sz w:val="22"/>
          <w:szCs w:val="22"/>
        </w:rPr>
        <w:t xml:space="preserve">Experimental </w:t>
      </w:r>
      <w:r w:rsidR="00765BC7">
        <w:rPr>
          <w:rFonts w:ascii="Arial" w:eastAsia="Calibri" w:hAnsi="Arial" w:cs="Arial"/>
          <w:b/>
          <w:bCs/>
          <w:sz w:val="22"/>
          <w:szCs w:val="22"/>
        </w:rPr>
        <w:t>D</w:t>
      </w:r>
      <w:r w:rsidR="00D1252D" w:rsidRPr="00660599">
        <w:rPr>
          <w:rFonts w:ascii="Arial" w:eastAsia="Calibri" w:hAnsi="Arial" w:cs="Arial"/>
          <w:b/>
          <w:bCs/>
          <w:sz w:val="22"/>
          <w:szCs w:val="22"/>
        </w:rPr>
        <w:t xml:space="preserve">esign and </w:t>
      </w:r>
      <w:r w:rsidR="00765BC7">
        <w:rPr>
          <w:rFonts w:ascii="Arial" w:eastAsia="Calibri" w:hAnsi="Arial" w:cs="Arial"/>
          <w:b/>
          <w:bCs/>
          <w:sz w:val="22"/>
          <w:szCs w:val="22"/>
        </w:rPr>
        <w:t>T</w:t>
      </w:r>
      <w:r w:rsidR="00D1252D" w:rsidRPr="00660599">
        <w:rPr>
          <w:rFonts w:ascii="Arial" w:eastAsia="Calibri" w:hAnsi="Arial" w:cs="Arial"/>
          <w:b/>
          <w:bCs/>
          <w:sz w:val="22"/>
          <w:szCs w:val="22"/>
        </w:rPr>
        <w:t>reatments</w:t>
      </w:r>
      <w:bookmarkEnd w:id="2"/>
    </w:p>
    <w:p w14:paraId="53C2257A" w14:textId="388A2B8F" w:rsidR="005E706B" w:rsidRPr="00660599" w:rsidRDefault="00F351BD" w:rsidP="00C5770C">
      <w:pPr>
        <w:autoSpaceDE w:val="0"/>
        <w:autoSpaceDN w:val="0"/>
        <w:adjustRightInd w:val="0"/>
        <w:spacing w:before="120" w:after="100" w:line="360" w:lineRule="auto"/>
        <w:ind w:firstLine="720"/>
        <w:jc w:val="both"/>
        <w:rPr>
          <w:rFonts w:ascii="Arial" w:eastAsiaTheme="minorHAnsi" w:hAnsi="Arial" w:cs="Arial"/>
        </w:rPr>
      </w:pPr>
      <w:r>
        <w:rPr>
          <w:rFonts w:ascii="Arial" w:eastAsiaTheme="minorHAnsi" w:hAnsi="Arial" w:cs="Arial"/>
        </w:rPr>
        <w:t xml:space="preserve">The experiment </w:t>
      </w:r>
      <w:r w:rsidR="00765BC7" w:rsidRPr="007317D2">
        <w:rPr>
          <w:rFonts w:ascii="Arial" w:eastAsiaTheme="minorHAnsi" w:hAnsi="Arial" w:cs="Arial"/>
        </w:rPr>
        <w:t>was conducted by using</w:t>
      </w:r>
      <w:r w:rsidR="00765BC7">
        <w:rPr>
          <w:rFonts w:ascii="Arial" w:eastAsiaTheme="minorHAnsi" w:hAnsi="Arial" w:cs="Arial"/>
        </w:rPr>
        <w:t xml:space="preserve"> </w:t>
      </w:r>
      <w:r>
        <w:rPr>
          <w:rFonts w:ascii="Arial" w:eastAsiaTheme="minorHAnsi" w:hAnsi="Arial" w:cs="Arial"/>
        </w:rPr>
        <w:t xml:space="preserve">a split-plot design with four replications for each treatment, testing a total of nine different treatments. </w:t>
      </w:r>
      <w:r w:rsidR="003A0FA0" w:rsidRPr="00F351BD">
        <w:rPr>
          <w:rFonts w:ascii="Arial" w:eastAsia="Calibri" w:hAnsi="Arial" w:cs="Arial"/>
        </w:rPr>
        <w:t xml:space="preserve">Three sugarcane varieties developed </w:t>
      </w:r>
      <w:r w:rsidR="0011359B">
        <w:rPr>
          <w:rFonts w:ascii="Arial" w:eastAsiaTheme="minorHAnsi" w:hAnsi="Arial" w:cs="Arial"/>
        </w:rPr>
        <w:t xml:space="preserve">and released </w:t>
      </w:r>
      <w:r w:rsidR="003A0FA0" w:rsidRPr="00F351BD">
        <w:rPr>
          <w:rFonts w:ascii="Arial" w:eastAsia="Calibri" w:hAnsi="Arial" w:cs="Arial"/>
        </w:rPr>
        <w:t xml:space="preserve">by the Sugarcane Research Farm in Pyinmana were used in this experiment: </w:t>
      </w:r>
      <w:r>
        <w:rPr>
          <w:rFonts w:ascii="Arial" w:eastAsiaTheme="minorHAnsi" w:hAnsi="Arial" w:cs="Arial"/>
        </w:rPr>
        <w:t>V</w:t>
      </w:r>
      <w:r w:rsidRPr="00765BC7">
        <w:rPr>
          <w:rFonts w:ascii="Arial" w:eastAsiaTheme="minorHAnsi" w:hAnsi="Arial" w:cs="Arial"/>
          <w:vertAlign w:val="subscript"/>
        </w:rPr>
        <w:t>1</w:t>
      </w:r>
      <w:r>
        <w:rPr>
          <w:rFonts w:ascii="Arial" w:eastAsiaTheme="minorHAnsi" w:hAnsi="Arial" w:cs="Arial"/>
        </w:rPr>
        <w:t xml:space="preserve"> = PMA-7, V</w:t>
      </w:r>
      <w:r w:rsidRPr="00765BC7">
        <w:rPr>
          <w:rFonts w:ascii="Arial" w:eastAsiaTheme="minorHAnsi" w:hAnsi="Arial" w:cs="Arial"/>
          <w:vertAlign w:val="subscript"/>
        </w:rPr>
        <w:t>2</w:t>
      </w:r>
      <w:r>
        <w:rPr>
          <w:rFonts w:ascii="Arial" w:eastAsiaTheme="minorHAnsi" w:hAnsi="Arial" w:cs="Arial"/>
        </w:rPr>
        <w:t xml:space="preserve"> = PMA-8, and V</w:t>
      </w:r>
      <w:r w:rsidRPr="00765BC7">
        <w:rPr>
          <w:rFonts w:ascii="Arial" w:eastAsiaTheme="minorHAnsi" w:hAnsi="Arial" w:cs="Arial"/>
          <w:vertAlign w:val="subscript"/>
        </w:rPr>
        <w:t>3</w:t>
      </w:r>
      <w:r>
        <w:rPr>
          <w:rFonts w:ascii="Arial" w:eastAsiaTheme="minorHAnsi" w:hAnsi="Arial" w:cs="Arial"/>
        </w:rPr>
        <w:t xml:space="preserve"> = PMA-9, which were assigned to the main plots. The subplots were designated for three harvesting ages: H</w:t>
      </w:r>
      <w:r w:rsidRPr="00765BC7">
        <w:rPr>
          <w:rFonts w:ascii="Arial" w:eastAsiaTheme="minorHAnsi" w:hAnsi="Arial" w:cs="Arial"/>
          <w:vertAlign w:val="subscript"/>
        </w:rPr>
        <w:t>1</w:t>
      </w:r>
      <w:r>
        <w:rPr>
          <w:rFonts w:ascii="Arial" w:eastAsiaTheme="minorHAnsi" w:hAnsi="Arial" w:cs="Arial"/>
        </w:rPr>
        <w:t xml:space="preserve"> = Brix 16-20% (harvest when the sugarcane stalk reaches a Brix level of 16-20%), H</w:t>
      </w:r>
      <w:r w:rsidRPr="00765BC7">
        <w:rPr>
          <w:rFonts w:ascii="Arial" w:eastAsiaTheme="minorHAnsi" w:hAnsi="Arial" w:cs="Arial"/>
          <w:vertAlign w:val="subscript"/>
        </w:rPr>
        <w:t>2</w:t>
      </w:r>
      <w:r>
        <w:rPr>
          <w:rFonts w:ascii="Arial" w:eastAsiaTheme="minorHAnsi" w:hAnsi="Arial" w:cs="Arial"/>
        </w:rPr>
        <w:t xml:space="preserve"> = one month after H</w:t>
      </w:r>
      <w:r w:rsidRPr="00765BC7">
        <w:rPr>
          <w:rFonts w:ascii="Arial" w:eastAsiaTheme="minorHAnsi" w:hAnsi="Arial" w:cs="Arial"/>
          <w:vertAlign w:val="subscript"/>
        </w:rPr>
        <w:t>1</w:t>
      </w:r>
      <w:r>
        <w:rPr>
          <w:rFonts w:ascii="Arial" w:eastAsiaTheme="minorHAnsi" w:hAnsi="Arial" w:cs="Arial"/>
        </w:rPr>
        <w:t>, and H</w:t>
      </w:r>
      <w:r w:rsidRPr="00765BC7">
        <w:rPr>
          <w:rFonts w:ascii="Arial" w:eastAsiaTheme="minorHAnsi" w:hAnsi="Arial" w:cs="Arial"/>
          <w:vertAlign w:val="subscript"/>
        </w:rPr>
        <w:t>3</w:t>
      </w:r>
      <w:r>
        <w:rPr>
          <w:rFonts w:ascii="Arial" w:eastAsiaTheme="minorHAnsi" w:hAnsi="Arial" w:cs="Arial"/>
        </w:rPr>
        <w:t xml:space="preserve"> = two months after H</w:t>
      </w:r>
      <w:r w:rsidRPr="00765BC7">
        <w:rPr>
          <w:rFonts w:ascii="Arial" w:eastAsiaTheme="minorHAnsi" w:hAnsi="Arial" w:cs="Arial"/>
          <w:vertAlign w:val="subscript"/>
        </w:rPr>
        <w:t>1</w:t>
      </w:r>
      <w:r>
        <w:rPr>
          <w:rFonts w:ascii="Arial" w:eastAsiaTheme="minorHAnsi" w:hAnsi="Arial" w:cs="Arial"/>
        </w:rPr>
        <w:t>. Each plot measured 10 x 5.33 meters, resulting in a total experimental area of 1,918.8 square meters.</w:t>
      </w:r>
    </w:p>
    <w:p w14:paraId="1EE57592" w14:textId="5C6320D7" w:rsidR="00C5770C" w:rsidRDefault="007236FA" w:rsidP="001119EB">
      <w:pPr>
        <w:pStyle w:val="Heading2"/>
        <w:spacing w:before="0" w:line="360" w:lineRule="auto"/>
        <w:jc w:val="both"/>
        <w:rPr>
          <w:rFonts w:ascii="Arial" w:hAnsi="Arial" w:cs="Arial"/>
          <w:b/>
          <w:bCs/>
          <w:color w:val="000000"/>
          <w:sz w:val="22"/>
          <w:szCs w:val="22"/>
        </w:rPr>
      </w:pPr>
      <w:r>
        <w:rPr>
          <w:rFonts w:ascii="Arial" w:hAnsi="Arial" w:cs="Arial"/>
          <w:b/>
          <w:bCs/>
          <w:color w:val="000000"/>
          <w:sz w:val="22"/>
          <w:szCs w:val="22"/>
        </w:rPr>
        <w:t>2.</w:t>
      </w:r>
      <w:r w:rsidR="008D38FD">
        <w:rPr>
          <w:rFonts w:ascii="Arial" w:hAnsi="Arial" w:cs="Arial"/>
          <w:b/>
          <w:bCs/>
          <w:color w:val="000000"/>
          <w:sz w:val="22"/>
          <w:szCs w:val="22"/>
        </w:rPr>
        <w:t>3</w:t>
      </w:r>
      <w:r>
        <w:rPr>
          <w:rFonts w:ascii="Arial" w:hAnsi="Arial" w:cs="Arial"/>
          <w:b/>
          <w:bCs/>
          <w:color w:val="000000"/>
          <w:sz w:val="22"/>
          <w:szCs w:val="22"/>
        </w:rPr>
        <w:t xml:space="preserve"> Crop Management</w:t>
      </w:r>
    </w:p>
    <w:p w14:paraId="2F49B284" w14:textId="379FDE17"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 xml:space="preserve">In November 2023, the first tillage operation was conducted in the experimental fields at both locations. This process involved using a tractor equipped with two-disc ploughs to perform four rounds of harrowing. Following this, the fields were cleared of crop residues and any unwanted materials. A second tillage operation took place in December 2023, which included leveling the soil, harrowing with 16 discs, and plowing. </w:t>
      </w:r>
      <w:r>
        <w:rPr>
          <w:rFonts w:ascii="Arial" w:eastAsia="Calibri" w:hAnsi="Arial" w:cs="Arial"/>
        </w:rPr>
        <w:t>Then, t</w:t>
      </w:r>
      <w:r w:rsidRPr="00F351BD">
        <w:rPr>
          <w:rFonts w:ascii="Arial" w:eastAsia="Calibri" w:hAnsi="Arial" w:cs="Arial"/>
        </w:rPr>
        <w:t>o achieve good soil tilth, three-disc deep plowing was employed, followed by the use of 16-disc harrows for finer tillage. Finally, ridges and furrows were prepared for planting sugarcane using a tractor.</w:t>
      </w:r>
    </w:p>
    <w:p w14:paraId="209231B4" w14:textId="37128932"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lastRenderedPageBreak/>
        <w:t>Three sugarcane varieties</w:t>
      </w:r>
      <w:r w:rsidR="00764881">
        <w:rPr>
          <w:rFonts w:ascii="Arial" w:eastAsia="Calibri" w:hAnsi="Arial" w:cs="Arial"/>
        </w:rPr>
        <w:t>: (</w:t>
      </w:r>
      <w:r w:rsidR="00764881" w:rsidRPr="00F351BD">
        <w:rPr>
          <w:rFonts w:ascii="Arial" w:eastAsia="Calibri" w:hAnsi="Arial" w:cs="Arial"/>
        </w:rPr>
        <w:t>PMA-7, PMA-8, and PMA-9</w:t>
      </w:r>
      <w:r w:rsidR="00764881">
        <w:rPr>
          <w:rFonts w:ascii="Arial" w:eastAsia="Calibri" w:hAnsi="Arial" w:cs="Arial"/>
        </w:rPr>
        <w:t>)</w:t>
      </w:r>
      <w:r w:rsidRPr="00F351BD">
        <w:rPr>
          <w:rFonts w:ascii="Arial" w:eastAsia="Calibri" w:hAnsi="Arial" w:cs="Arial"/>
        </w:rPr>
        <w:t xml:space="preserve"> were used in this experiment</w:t>
      </w:r>
      <w:r w:rsidR="00764881">
        <w:rPr>
          <w:rFonts w:ascii="Arial" w:eastAsia="Calibri" w:hAnsi="Arial" w:cs="Arial"/>
        </w:rPr>
        <w:t>.</w:t>
      </w:r>
      <w:r w:rsidRPr="00F351BD">
        <w:rPr>
          <w:rFonts w:ascii="Arial" w:eastAsia="Calibri" w:hAnsi="Arial" w:cs="Arial"/>
        </w:rPr>
        <w:t xml:space="preserve"> Each variety has a growth duration of 12 months. For planting, only the middle portion of the cane setts was utilized, while the top and bottom portions were discarded due to their lower germination rates. </w:t>
      </w:r>
      <w:r w:rsidRPr="0081048D">
        <w:rPr>
          <w:rFonts w:ascii="Arial" w:eastAsia="Calibri" w:hAnsi="Arial" w:cs="Arial"/>
        </w:rPr>
        <w:t>Healthy, disease-free cane setts with three eye buds were selected and soaked in water for</w:t>
      </w:r>
      <w:r w:rsidRPr="00F351BD">
        <w:rPr>
          <w:rFonts w:ascii="Arial" w:eastAsia="Calibri" w:hAnsi="Arial" w:cs="Arial"/>
        </w:rPr>
        <w:t xml:space="preserve"> 24 hours to enhance germination. Additionally, all cane setts were treated by dipping them in a 2% Topsin solution for 30 minutes to prevent seed-borne diseases</w:t>
      </w:r>
    </w:p>
    <w:p w14:paraId="6D7F3B06" w14:textId="52BDFC9F"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Cane setts were planted using a ridges and furrows system at a seed rate of 9.88 tons per hectare, with rows spaced 1.33 meters apart. The field was leveled with heavy planking to retain soil moisture and ensure uniform germination. After planting, the furrows were covered with 5 to 7 centimeters of soil. It is essential to ensure adequate moisture in the field at the time of planting</w:t>
      </w:r>
      <w:r>
        <w:rPr>
          <w:rFonts w:ascii="Arial" w:eastAsia="Calibri" w:hAnsi="Arial" w:cs="Arial"/>
        </w:rPr>
        <w:t>.</w:t>
      </w:r>
    </w:p>
    <w:p w14:paraId="689B868F" w14:textId="4EFC5DBC" w:rsidR="00F351BD" w:rsidRPr="00F351BD" w:rsidRDefault="00F351BD" w:rsidP="00F351BD">
      <w:pPr>
        <w:spacing w:line="360" w:lineRule="auto"/>
        <w:ind w:firstLine="634"/>
        <w:jc w:val="both"/>
        <w:rPr>
          <w:rFonts w:ascii="Arial" w:eastAsia="Calibri" w:hAnsi="Arial" w:cs="Arial"/>
        </w:rPr>
      </w:pPr>
      <w:r w:rsidRPr="00F351BD">
        <w:rPr>
          <w:rFonts w:ascii="Arial" w:eastAsia="Calibri" w:hAnsi="Arial" w:cs="Arial"/>
        </w:rPr>
        <w:t>One-third of the total nitrogen rate</w:t>
      </w:r>
      <w:r>
        <w:rPr>
          <w:rFonts w:ascii="Arial" w:eastAsia="Calibri" w:hAnsi="Arial" w:cs="Arial"/>
        </w:rPr>
        <w:t xml:space="preserve"> </w:t>
      </w:r>
      <w:r w:rsidRPr="00F351BD">
        <w:rPr>
          <w:rFonts w:ascii="Arial" w:eastAsia="Calibri" w:hAnsi="Arial" w:cs="Arial"/>
        </w:rPr>
        <w:t>(247 kg N ha</w:t>
      </w:r>
      <w:r w:rsidRPr="00F351BD">
        <w:rPr>
          <w:rFonts w:ascii="Arial" w:eastAsia="Calibri" w:hAnsi="Arial" w:cs="Arial"/>
          <w:vertAlign w:val="superscript"/>
        </w:rPr>
        <w:t>-1</w:t>
      </w:r>
      <w:r w:rsidRPr="00F351BD">
        <w:rPr>
          <w:rFonts w:ascii="Arial" w:eastAsia="Calibri" w:hAnsi="Arial" w:cs="Arial"/>
        </w:rPr>
        <w:t>), in the form of urea</w:t>
      </w:r>
      <w:r w:rsidR="008A5329">
        <w:rPr>
          <w:rFonts w:ascii="Arial" w:eastAsia="Calibri" w:hAnsi="Arial" w:cs="Arial"/>
        </w:rPr>
        <w:t xml:space="preserve"> and </w:t>
      </w:r>
      <w:r w:rsidR="008A5329" w:rsidRPr="00F351BD">
        <w:rPr>
          <w:rFonts w:ascii="Arial" w:eastAsia="Calibri" w:hAnsi="Arial" w:cs="Arial"/>
        </w:rPr>
        <w:t>the total potassium rate (also 123 kg K</w:t>
      </w:r>
      <w:r w:rsidR="008A5329" w:rsidRPr="00F351BD">
        <w:rPr>
          <w:rFonts w:ascii="Arial" w:eastAsia="Calibri" w:hAnsi="Arial" w:cs="Arial"/>
          <w:vertAlign w:val="subscript"/>
        </w:rPr>
        <w:t>2</w:t>
      </w:r>
      <w:r w:rsidR="008A5329" w:rsidRPr="00F351BD">
        <w:rPr>
          <w:rFonts w:ascii="Arial" w:eastAsia="Calibri" w:hAnsi="Arial" w:cs="Arial"/>
        </w:rPr>
        <w:t>O ha</w:t>
      </w:r>
      <w:r w:rsidR="008A5329" w:rsidRPr="00F351BD">
        <w:rPr>
          <w:rFonts w:ascii="Arial" w:eastAsia="Calibri" w:hAnsi="Arial" w:cs="Arial"/>
          <w:vertAlign w:val="superscript"/>
        </w:rPr>
        <w:t>-1</w:t>
      </w:r>
      <w:r w:rsidR="008A5329" w:rsidRPr="00F351BD">
        <w:rPr>
          <w:rFonts w:ascii="Arial" w:eastAsia="Calibri" w:hAnsi="Arial" w:cs="Arial"/>
        </w:rPr>
        <w:t>)</w:t>
      </w:r>
      <w:r w:rsidR="008A5329">
        <w:rPr>
          <w:rFonts w:ascii="Arial" w:eastAsia="Calibri" w:hAnsi="Arial" w:cs="Arial"/>
        </w:rPr>
        <w:t>, in the form of Muriate of Potash</w:t>
      </w:r>
      <w:r w:rsidR="008A5329" w:rsidRPr="00F351BD">
        <w:rPr>
          <w:rFonts w:ascii="Arial" w:eastAsia="Calibri" w:hAnsi="Arial" w:cs="Arial"/>
        </w:rPr>
        <w:t xml:space="preserve"> </w:t>
      </w:r>
      <w:r w:rsidRPr="00F351BD">
        <w:rPr>
          <w:rFonts w:ascii="Arial" w:eastAsia="Calibri" w:hAnsi="Arial" w:cs="Arial"/>
        </w:rPr>
        <w:t>w</w:t>
      </w:r>
      <w:r w:rsidR="008A5329">
        <w:rPr>
          <w:rFonts w:ascii="Arial" w:eastAsia="Calibri" w:hAnsi="Arial" w:cs="Arial"/>
        </w:rPr>
        <w:t xml:space="preserve">ere </w:t>
      </w:r>
      <w:r w:rsidRPr="00F351BD">
        <w:rPr>
          <w:rFonts w:ascii="Arial" w:eastAsia="Calibri" w:hAnsi="Arial" w:cs="Arial"/>
        </w:rPr>
        <w:t xml:space="preserve">applied at three different </w:t>
      </w:r>
      <w:r w:rsidR="00765BC7" w:rsidRPr="007317D2">
        <w:rPr>
          <w:rFonts w:ascii="Arial" w:eastAsia="Calibri" w:hAnsi="Arial" w:cs="Arial"/>
        </w:rPr>
        <w:t xml:space="preserve">growth </w:t>
      </w:r>
      <w:r w:rsidRPr="007317D2">
        <w:rPr>
          <w:rFonts w:ascii="Arial" w:eastAsia="Calibri" w:hAnsi="Arial" w:cs="Arial"/>
        </w:rPr>
        <w:t>stages</w:t>
      </w:r>
      <w:r w:rsidRPr="00F351BD">
        <w:rPr>
          <w:rFonts w:ascii="Arial" w:eastAsia="Calibri" w:hAnsi="Arial" w:cs="Arial"/>
        </w:rPr>
        <w:t xml:space="preserve"> of sugarcane: at the basal stage, </w:t>
      </w:r>
      <w:r w:rsidR="008A5329" w:rsidRPr="007317D2">
        <w:rPr>
          <w:rFonts w:ascii="Arial" w:eastAsia="Calibri" w:hAnsi="Arial" w:cs="Arial"/>
        </w:rPr>
        <w:t>at</w:t>
      </w:r>
      <w:r w:rsidRPr="00F351BD">
        <w:rPr>
          <w:rFonts w:ascii="Arial" w:eastAsia="Calibri" w:hAnsi="Arial" w:cs="Arial"/>
        </w:rPr>
        <w:t xml:space="preserve"> tillering (90 days after planting), and </w:t>
      </w:r>
      <w:r w:rsidR="008A5329" w:rsidRPr="007317D2">
        <w:rPr>
          <w:rFonts w:ascii="Arial" w:eastAsia="Calibri" w:hAnsi="Arial" w:cs="Arial"/>
        </w:rPr>
        <w:t>at</w:t>
      </w:r>
      <w:r w:rsidRPr="00F351BD">
        <w:rPr>
          <w:rFonts w:ascii="Arial" w:eastAsia="Calibri" w:hAnsi="Arial" w:cs="Arial"/>
        </w:rPr>
        <w:t xml:space="preserve"> grand growth phase</w:t>
      </w:r>
      <w:r>
        <w:rPr>
          <w:rFonts w:ascii="Arial" w:eastAsia="Calibri" w:hAnsi="Arial" w:cs="Arial"/>
        </w:rPr>
        <w:t xml:space="preserve"> </w:t>
      </w:r>
      <w:r w:rsidRPr="0081048D">
        <w:rPr>
          <w:rFonts w:ascii="Arial" w:eastAsia="Calibri" w:hAnsi="Arial" w:cs="Arial"/>
        </w:rPr>
        <w:t>(</w:t>
      </w:r>
      <w:r w:rsidR="0081048D" w:rsidRPr="0081048D">
        <w:rPr>
          <w:rFonts w:ascii="Arial" w:eastAsia="Calibri" w:hAnsi="Arial" w:cs="Arial"/>
        </w:rPr>
        <w:t>125</w:t>
      </w:r>
      <w:r w:rsidRPr="0081048D">
        <w:rPr>
          <w:rFonts w:ascii="Arial" w:eastAsia="Calibri" w:hAnsi="Arial" w:cs="Arial"/>
        </w:rPr>
        <w:t xml:space="preserve"> DAP).</w:t>
      </w:r>
      <w:r w:rsidRPr="00F351BD">
        <w:rPr>
          <w:rFonts w:ascii="Arial" w:eastAsia="Calibri" w:hAnsi="Arial" w:cs="Arial"/>
        </w:rPr>
        <w:t xml:space="preserve"> A phosphorus rate of 123 kg P</w:t>
      </w:r>
      <w:r w:rsidRPr="00F351BD">
        <w:rPr>
          <w:rFonts w:ascii="Arial" w:eastAsia="Calibri" w:hAnsi="Arial" w:cs="Arial"/>
          <w:vertAlign w:val="subscript"/>
        </w:rPr>
        <w:t>2</w:t>
      </w:r>
      <w:r w:rsidRPr="00F351BD">
        <w:rPr>
          <w:rFonts w:ascii="Arial" w:eastAsia="Calibri" w:hAnsi="Arial" w:cs="Arial"/>
        </w:rPr>
        <w:t>O</w:t>
      </w:r>
      <w:r w:rsidRPr="00F351BD">
        <w:rPr>
          <w:rFonts w:ascii="Arial" w:eastAsia="Calibri" w:hAnsi="Arial" w:cs="Arial"/>
          <w:vertAlign w:val="subscript"/>
        </w:rPr>
        <w:t>5</w:t>
      </w:r>
      <w:r w:rsidRPr="00F351BD">
        <w:rPr>
          <w:rFonts w:ascii="Arial" w:eastAsia="Calibri" w:hAnsi="Arial" w:cs="Arial"/>
        </w:rPr>
        <w:t xml:space="preserve"> ha</w:t>
      </w:r>
      <w:r w:rsidRPr="00F351BD">
        <w:rPr>
          <w:rFonts w:ascii="Arial" w:eastAsia="Calibri" w:hAnsi="Arial" w:cs="Arial"/>
          <w:vertAlign w:val="superscript"/>
        </w:rPr>
        <w:t>-1</w:t>
      </w:r>
      <w:r w:rsidRPr="00F351BD">
        <w:rPr>
          <w:rFonts w:ascii="Arial" w:eastAsia="Calibri" w:hAnsi="Arial" w:cs="Arial"/>
        </w:rPr>
        <w:t xml:space="preserve"> was applied as a basal fertilizer using triple superphosphate. The remaining urea and potash fertilizers were applied as a side dressing, followed by earthing-up in each plot.</w:t>
      </w:r>
    </w:p>
    <w:p w14:paraId="36F3DE6A" w14:textId="088DE371" w:rsidR="000508A5" w:rsidRPr="000508A5" w:rsidRDefault="00F351BD" w:rsidP="00F351BD">
      <w:pPr>
        <w:spacing w:line="360" w:lineRule="auto"/>
        <w:ind w:firstLine="634"/>
        <w:jc w:val="both"/>
        <w:rPr>
          <w:rFonts w:ascii="Arial" w:hAnsi="Arial" w:cs="Arial"/>
        </w:rPr>
      </w:pPr>
      <w:r w:rsidRPr="00F351BD">
        <w:rPr>
          <w:rFonts w:ascii="Arial" w:eastAsia="Calibri" w:hAnsi="Arial" w:cs="Arial"/>
        </w:rPr>
        <w:t xml:space="preserve">After planting, irrigation was provided due to </w:t>
      </w:r>
      <w:r w:rsidRPr="007317D2">
        <w:rPr>
          <w:rFonts w:ascii="Arial" w:eastAsia="Calibri" w:hAnsi="Arial" w:cs="Arial"/>
        </w:rPr>
        <w:t>d</w:t>
      </w:r>
      <w:r w:rsidR="008A5329" w:rsidRPr="007317D2">
        <w:rPr>
          <w:rFonts w:ascii="Arial" w:eastAsia="Calibri" w:hAnsi="Arial" w:cs="Arial"/>
        </w:rPr>
        <w:t>ry</w:t>
      </w:r>
      <w:r w:rsidRPr="00F351BD">
        <w:rPr>
          <w:rFonts w:ascii="Arial" w:eastAsia="Calibri" w:hAnsi="Arial" w:cs="Arial"/>
        </w:rPr>
        <w:t xml:space="preserve"> conditions during the dry season. During the rainy season, when the field </w:t>
      </w:r>
      <w:r w:rsidR="008A5329" w:rsidRPr="007317D2">
        <w:rPr>
          <w:rFonts w:ascii="Arial" w:eastAsia="Calibri" w:hAnsi="Arial" w:cs="Arial"/>
        </w:rPr>
        <w:t>was</w:t>
      </w:r>
      <w:r w:rsidRPr="00F351BD">
        <w:rPr>
          <w:rFonts w:ascii="Arial" w:eastAsia="Calibri" w:hAnsi="Arial" w:cs="Arial"/>
        </w:rPr>
        <w:t xml:space="preserve"> flooded, drainage </w:t>
      </w:r>
      <w:r w:rsidR="00AB148C" w:rsidRPr="00F351BD">
        <w:rPr>
          <w:rFonts w:ascii="Arial" w:eastAsia="Calibri" w:hAnsi="Arial" w:cs="Arial"/>
        </w:rPr>
        <w:t>was</w:t>
      </w:r>
      <w:r w:rsidRPr="00F351BD">
        <w:rPr>
          <w:rFonts w:ascii="Arial" w:eastAsia="Calibri" w:hAnsi="Arial" w:cs="Arial"/>
        </w:rPr>
        <w:t xml:space="preserve"> implemented. The first weeding was carried out using draft animals one week after irrigation. The second weeding was completed by hand one month later. After the first weeding, the final application of remaining fertilizers was made, and the earthing-up process was completed.</w:t>
      </w:r>
    </w:p>
    <w:p w14:paraId="5A2488D1" w14:textId="4E15210B" w:rsidR="005E706B" w:rsidRDefault="005E706B" w:rsidP="001119EB">
      <w:pPr>
        <w:pStyle w:val="Heading2"/>
        <w:spacing w:before="0" w:line="360" w:lineRule="auto"/>
        <w:jc w:val="both"/>
        <w:rPr>
          <w:rFonts w:ascii="Arial" w:hAnsi="Arial" w:cs="Arial"/>
          <w:b/>
          <w:bCs/>
          <w:color w:val="000000" w:themeColor="text1"/>
          <w:sz w:val="22"/>
          <w:szCs w:val="22"/>
        </w:rPr>
      </w:pPr>
      <w:r w:rsidRPr="00B97087">
        <w:rPr>
          <w:rFonts w:ascii="Arial" w:hAnsi="Arial" w:cs="Arial"/>
          <w:b/>
          <w:bCs/>
          <w:color w:val="000000" w:themeColor="text1"/>
          <w:sz w:val="22"/>
          <w:szCs w:val="22"/>
        </w:rPr>
        <w:t>2.</w:t>
      </w:r>
      <w:r w:rsidR="009D1C40">
        <w:rPr>
          <w:rFonts w:ascii="Arial" w:hAnsi="Arial" w:cs="Arial"/>
          <w:b/>
          <w:bCs/>
          <w:color w:val="000000" w:themeColor="text1"/>
          <w:sz w:val="22"/>
          <w:szCs w:val="22"/>
        </w:rPr>
        <w:t>4</w:t>
      </w:r>
      <w:r w:rsidRPr="00B97087">
        <w:rPr>
          <w:rFonts w:ascii="Arial" w:hAnsi="Arial" w:cs="Arial"/>
          <w:b/>
          <w:bCs/>
          <w:color w:val="000000" w:themeColor="text1"/>
          <w:sz w:val="22"/>
          <w:szCs w:val="22"/>
        </w:rPr>
        <w:t xml:space="preserve"> Data Collection</w:t>
      </w:r>
    </w:p>
    <w:p w14:paraId="402BC335" w14:textId="7A0D1832" w:rsidR="00D1252D" w:rsidRPr="001119EB" w:rsidRDefault="009D1C40" w:rsidP="001119EB">
      <w:pPr>
        <w:spacing w:line="360" w:lineRule="auto"/>
        <w:rPr>
          <w:rFonts w:ascii="Arial" w:hAnsi="Arial" w:cs="Arial"/>
          <w:b/>
          <w:bCs/>
          <w:u w:val="single"/>
        </w:rPr>
      </w:pPr>
      <w:r w:rsidRPr="001119EB">
        <w:rPr>
          <w:rFonts w:ascii="Arial" w:hAnsi="Arial" w:cs="Arial"/>
          <w:b/>
          <w:bCs/>
          <w:u w:val="single"/>
        </w:rPr>
        <w:t xml:space="preserve">2.4.1 </w:t>
      </w:r>
      <w:r w:rsidR="00D1252D" w:rsidRPr="001119EB">
        <w:rPr>
          <w:rFonts w:ascii="Arial" w:hAnsi="Arial" w:cs="Arial"/>
          <w:b/>
          <w:bCs/>
          <w:u w:val="single"/>
        </w:rPr>
        <w:t>Yield and yield components</w:t>
      </w:r>
    </w:p>
    <w:p w14:paraId="43D34827" w14:textId="2440B532" w:rsidR="005E706B" w:rsidRPr="00AB148C" w:rsidRDefault="00C97A7C" w:rsidP="00AB148C">
      <w:pPr>
        <w:autoSpaceDE w:val="0"/>
        <w:autoSpaceDN w:val="0"/>
        <w:adjustRightInd w:val="0"/>
        <w:spacing w:line="360" w:lineRule="auto"/>
        <w:ind w:firstLine="720"/>
        <w:jc w:val="both"/>
        <w:rPr>
          <w:rFonts w:ascii="Arial" w:eastAsiaTheme="minorHAnsi" w:hAnsi="Arial" w:cs="Arial"/>
        </w:rPr>
      </w:pPr>
      <w:r w:rsidRPr="00C97A7C">
        <w:rPr>
          <w:rFonts w:ascii="Arial" w:eastAsiaTheme="minorHAnsi" w:hAnsi="Arial" w:cs="Arial"/>
        </w:rPr>
        <w:t>During harvest time, we recorded the number of millable canes from each plot. The cane yield was calculated based on these counts. Before harvesting each plot, we randomly selected ten cane stalks from the two central rows and harvested them by hand. We then weighed the ten sampled cane stalks using a hanging scale to determine the weight of a single cane stalk. The following formula was used to calculate the cane yield</w:t>
      </w:r>
      <w:r w:rsidR="005E706B" w:rsidRPr="00C97A7C">
        <w:rPr>
          <w:rFonts w:ascii="Arial" w:hAnsi="Arial" w:cs="Arial"/>
        </w:rPr>
        <w:t>:</w:t>
      </w:r>
    </w:p>
    <w:p w14:paraId="1B83E76C" w14:textId="5DC5D657" w:rsidR="005E706B" w:rsidRPr="00A80F68" w:rsidRDefault="005E706B" w:rsidP="00AF7CB0">
      <w:pPr>
        <w:autoSpaceDE w:val="0"/>
        <w:autoSpaceDN w:val="0"/>
        <w:adjustRightInd w:val="0"/>
        <w:spacing w:line="360" w:lineRule="auto"/>
        <w:ind w:left="720"/>
        <w:jc w:val="both"/>
        <w:rPr>
          <w:rFonts w:ascii="Arial" w:eastAsiaTheme="minorHAnsi" w:hAnsi="Arial" w:cs="Arial"/>
          <w:color w:val="000000" w:themeColor="text1"/>
        </w:rPr>
      </w:pPr>
      <m:oMathPara>
        <m:oMathParaPr>
          <m:jc m:val="left"/>
        </m:oMathParaPr>
        <m:oMath>
          <m:r>
            <m:rPr>
              <m:nor/>
            </m:rPr>
            <w:rPr>
              <w:rFonts w:ascii="Arial" w:eastAsiaTheme="minorHAnsi" w:hAnsi="Arial" w:cs="Arial"/>
              <w:color w:val="000000" w:themeColor="text1"/>
            </w:rPr>
            <m:t>Cane yield (t ha</m:t>
          </m:r>
          <m:r>
            <m:rPr>
              <m:nor/>
            </m:rPr>
            <w:rPr>
              <w:rFonts w:ascii="Arial" w:eastAsiaTheme="minorHAnsi" w:hAnsi="Arial" w:cs="Arial"/>
              <w:color w:val="000000" w:themeColor="text1"/>
              <w:vertAlign w:val="superscript"/>
            </w:rPr>
            <m:t>-1</m:t>
          </m:r>
          <m:r>
            <m:rPr>
              <m:nor/>
            </m:rPr>
            <w:rPr>
              <w:rFonts w:ascii="Arial" w:eastAsiaTheme="minorHAnsi" w:hAnsi="Arial" w:cs="Arial"/>
              <w:color w:val="000000" w:themeColor="text1"/>
            </w:rPr>
            <m:t xml:space="preserve">) = </m:t>
          </m:r>
          <m:f>
            <m:fPr>
              <m:ctrlPr>
                <w:rPr>
                  <w:rFonts w:ascii="Cambria Math" w:eastAsiaTheme="minorHAnsi" w:hAnsi="Cambria Math" w:cs="Arial"/>
                  <w:color w:val="000000" w:themeColor="text1"/>
                </w:rPr>
              </m:ctrlPr>
            </m:fPr>
            <m:num>
              <m:r>
                <m:rPr>
                  <m:nor/>
                </m:rPr>
                <w:rPr>
                  <w:rFonts w:ascii="Arial" w:eastAsiaTheme="minorHAnsi" w:hAnsi="Arial" w:cs="Arial"/>
                  <w:color w:val="000000" w:themeColor="text1"/>
                </w:rPr>
                <m:t xml:space="preserve">No. millable cane </m:t>
              </m:r>
              <m:r>
                <m:rPr>
                  <m:nor/>
                </m:rPr>
                <w:rPr>
                  <w:rFonts w:ascii="Arial" w:eastAsiaTheme="minorHAnsi" w:hAnsi="Arial" w:cs="Arial"/>
                  <w:color w:val="000000" w:themeColor="text1"/>
                </w:rPr>
                <w:sym w:font="Symbol" w:char="F020"/>
              </m:r>
              <m:r>
                <m:rPr>
                  <m:nor/>
                </m:rPr>
                <w:rPr>
                  <w:rFonts w:ascii="Arial" w:eastAsiaTheme="minorHAnsi" w:hAnsi="Arial" w:cs="Arial"/>
                  <w:color w:val="000000" w:themeColor="text1"/>
                </w:rPr>
                <w:sym w:font="Symbol" w:char="F0B4"/>
              </m:r>
              <m:r>
                <m:rPr>
                  <m:nor/>
                </m:rPr>
                <w:rPr>
                  <w:rFonts w:ascii="Arial" w:eastAsiaTheme="minorHAnsi" w:hAnsi="Arial" w:cs="Arial"/>
                  <w:color w:val="000000" w:themeColor="text1"/>
                </w:rPr>
                <m:t xml:space="preserve">  single cane weight (kg)</m:t>
              </m:r>
            </m:num>
            <m:den>
              <m:r>
                <m:rPr>
                  <m:nor/>
                </m:rPr>
                <w:rPr>
                  <w:rFonts w:ascii="Arial" w:eastAsiaTheme="minorHAnsi" w:hAnsi="Arial" w:cs="Arial"/>
                  <w:color w:val="000000" w:themeColor="text1"/>
                </w:rPr>
                <m:t>1000</m:t>
              </m:r>
            </m:den>
          </m:f>
        </m:oMath>
      </m:oMathPara>
    </w:p>
    <w:p w14:paraId="7224051E" w14:textId="77777777" w:rsidR="004152B2" w:rsidRDefault="004152B2" w:rsidP="00D1252D">
      <w:pPr>
        <w:spacing w:line="360" w:lineRule="auto"/>
        <w:jc w:val="both"/>
        <w:rPr>
          <w:rFonts w:ascii="Arial" w:hAnsi="Arial" w:cs="Arial"/>
          <w:b/>
          <w:bCs/>
          <w:u w:val="single"/>
        </w:rPr>
      </w:pPr>
    </w:p>
    <w:p w14:paraId="0488B94C" w14:textId="77777777" w:rsidR="004152B2" w:rsidRDefault="004152B2" w:rsidP="00D1252D">
      <w:pPr>
        <w:spacing w:line="360" w:lineRule="auto"/>
        <w:jc w:val="both"/>
        <w:rPr>
          <w:rFonts w:ascii="Arial" w:hAnsi="Arial" w:cs="Arial"/>
          <w:b/>
          <w:bCs/>
          <w:u w:val="single"/>
        </w:rPr>
      </w:pPr>
    </w:p>
    <w:p w14:paraId="6E5AA51F" w14:textId="319A38FB" w:rsidR="00D1252D" w:rsidRPr="001119EB" w:rsidRDefault="001119EB" w:rsidP="00D1252D">
      <w:pPr>
        <w:spacing w:line="360" w:lineRule="auto"/>
        <w:jc w:val="both"/>
        <w:rPr>
          <w:rFonts w:ascii="Arial" w:hAnsi="Arial" w:cs="Arial"/>
          <w:b/>
          <w:bCs/>
          <w:u w:val="single"/>
        </w:rPr>
      </w:pPr>
      <w:r w:rsidRPr="001119EB">
        <w:rPr>
          <w:rFonts w:ascii="Arial" w:hAnsi="Arial" w:cs="Arial"/>
          <w:b/>
          <w:bCs/>
          <w:u w:val="single"/>
        </w:rPr>
        <w:t xml:space="preserve">2.4.2 </w:t>
      </w:r>
      <w:r w:rsidR="00D1252D" w:rsidRPr="001119EB">
        <w:rPr>
          <w:rFonts w:ascii="Arial" w:hAnsi="Arial" w:cs="Arial"/>
          <w:b/>
          <w:bCs/>
          <w:u w:val="single"/>
        </w:rPr>
        <w:t>Quality parameters</w:t>
      </w:r>
    </w:p>
    <w:p w14:paraId="2E51D940" w14:textId="153CBF11" w:rsidR="005E706B" w:rsidRDefault="00C97A7C" w:rsidP="00AF7CB0">
      <w:pPr>
        <w:spacing w:line="360" w:lineRule="auto"/>
        <w:ind w:firstLine="634"/>
        <w:jc w:val="both"/>
        <w:rPr>
          <w:rFonts w:ascii="Arial" w:eastAsiaTheme="minorHAnsi" w:hAnsi="Arial" w:cs="Arial"/>
        </w:rPr>
      </w:pPr>
      <w:r>
        <w:rPr>
          <w:rFonts w:ascii="Arial" w:eastAsiaTheme="minorHAnsi" w:hAnsi="Arial" w:cs="Arial"/>
        </w:rPr>
        <w:lastRenderedPageBreak/>
        <w:t>A Brix refractometer was used to evaluate the total sugar content (Brix) in the juice samples. Brix measurements were taken from the standing stalks located in the middle row of each plot. At one-third of the ground level, three sample plants were t</w:t>
      </w:r>
      <w:r w:rsidR="0011359B">
        <w:rPr>
          <w:rFonts w:ascii="Arial" w:eastAsiaTheme="minorHAnsi" w:hAnsi="Arial" w:cs="Arial"/>
        </w:rPr>
        <w:t>est</w:t>
      </w:r>
      <w:r>
        <w:rPr>
          <w:rFonts w:ascii="Arial" w:eastAsiaTheme="minorHAnsi" w:hAnsi="Arial" w:cs="Arial"/>
        </w:rPr>
        <w:t>ed with a hand refractometer</w:t>
      </w:r>
      <w:r w:rsidR="007615E4">
        <w:rPr>
          <w:rFonts w:ascii="Arial" w:eastAsiaTheme="minorHAnsi" w:hAnsi="Arial" w:cs="Arial"/>
        </w:rPr>
        <w:t xml:space="preserve"> </w:t>
      </w:r>
      <w:r w:rsidR="007615E4" w:rsidRPr="007317D2">
        <w:rPr>
          <w:rFonts w:ascii="Arial" w:eastAsiaTheme="minorHAnsi" w:hAnsi="Arial" w:cs="Arial"/>
        </w:rPr>
        <w:t>in the field</w:t>
      </w:r>
      <w:r w:rsidRPr="007317D2">
        <w:rPr>
          <w:rFonts w:ascii="Arial" w:eastAsiaTheme="minorHAnsi" w:hAnsi="Arial" w:cs="Arial"/>
        </w:rPr>
        <w:t>.</w:t>
      </w:r>
      <w:r>
        <w:rPr>
          <w:rFonts w:ascii="Arial" w:eastAsiaTheme="minorHAnsi" w:hAnsi="Arial" w:cs="Arial"/>
        </w:rPr>
        <w:t xml:space="preserve"> A higher Brix value indicates a greater amount of sucrose. </w:t>
      </w:r>
      <w:r w:rsidR="001E7ADC" w:rsidRPr="007317D2">
        <w:rPr>
          <w:rFonts w:ascii="Arial" w:eastAsiaTheme="minorHAnsi" w:hAnsi="Arial" w:cs="Arial"/>
        </w:rPr>
        <w:t>After harvesting,</w:t>
      </w:r>
      <w:r w:rsidR="001E7ADC">
        <w:rPr>
          <w:rFonts w:ascii="Arial" w:eastAsiaTheme="minorHAnsi" w:hAnsi="Arial" w:cs="Arial"/>
        </w:rPr>
        <w:t xml:space="preserve"> c</w:t>
      </w:r>
      <w:r>
        <w:rPr>
          <w:rFonts w:ascii="Arial" w:eastAsiaTheme="minorHAnsi" w:hAnsi="Arial" w:cs="Arial"/>
        </w:rPr>
        <w:t>ane juice was extracted using a three-roller sugar mill, and the Brix level was determined with a Brix hydrometer.</w:t>
      </w:r>
    </w:p>
    <w:p w14:paraId="15083CE0" w14:textId="1E908C91" w:rsidR="005E706B" w:rsidRPr="00316EFD" w:rsidRDefault="00C97A7C" w:rsidP="00AF7CB0">
      <w:pPr>
        <w:spacing w:line="360" w:lineRule="auto"/>
        <w:ind w:firstLine="634"/>
        <w:jc w:val="both"/>
        <w:rPr>
          <w:rFonts w:ascii="Arial" w:eastAsiaTheme="minorHAnsi" w:hAnsi="Arial" w:cs="Arial"/>
        </w:rPr>
      </w:pPr>
      <w:r>
        <w:rPr>
          <w:rFonts w:ascii="Arial" w:eastAsiaTheme="minorHAnsi" w:hAnsi="Arial" w:cs="Arial"/>
        </w:rPr>
        <w:t>Cane juice was clarified using lead acetate, and polar readings were noted with a polarimeter. The quality of the cane, including brix percentage and pol percentage, was tested. Purity percentage was computed from brix and pol using the following equation.</w:t>
      </w:r>
    </w:p>
    <w:p w14:paraId="781421EE" w14:textId="77777777" w:rsidR="005E706B" w:rsidRPr="00316EFD" w:rsidRDefault="005E706B" w:rsidP="00AF7CB0">
      <w:pPr>
        <w:autoSpaceDE w:val="0"/>
        <w:autoSpaceDN w:val="0"/>
        <w:adjustRightInd w:val="0"/>
        <w:spacing w:line="360" w:lineRule="auto"/>
        <w:ind w:left="851"/>
        <w:jc w:val="both"/>
        <w:rPr>
          <w:rFonts w:ascii="Arial" w:eastAsiaTheme="minorHAnsi" w:hAnsi="Arial" w:cs="Arial"/>
        </w:rPr>
      </w:pPr>
      <m:oMathPara>
        <m:oMathParaPr>
          <m:jc m:val="left"/>
        </m:oMathParaPr>
        <m:oMath>
          <m:r>
            <m:rPr>
              <m:nor/>
            </m:rPr>
            <w:rPr>
              <w:rFonts w:ascii="Arial" w:eastAsiaTheme="minorHAnsi" w:hAnsi="Arial" w:cs="Arial"/>
            </w:rPr>
            <m:t xml:space="preserve">Purity (%)  = </m:t>
          </m:r>
          <m:f>
            <m:fPr>
              <m:ctrlPr>
                <w:rPr>
                  <w:rFonts w:ascii="Cambria Math" w:eastAsiaTheme="minorHAnsi" w:hAnsi="Cambria Math" w:cs="Arial"/>
                </w:rPr>
              </m:ctrlPr>
            </m:fPr>
            <m:num>
              <m:r>
                <m:rPr>
                  <m:nor/>
                </m:rPr>
                <w:rPr>
                  <w:rFonts w:ascii="Arial" w:eastAsiaTheme="minorHAnsi" w:hAnsi="Arial" w:cs="Arial"/>
                </w:rPr>
                <m:t>% sucrose (Pol )</m:t>
              </m:r>
            </m:num>
            <m:den>
              <m:r>
                <m:rPr>
                  <m:nor/>
                </m:rPr>
                <w:rPr>
                  <w:rFonts w:ascii="Arial" w:eastAsiaTheme="minorHAnsi" w:hAnsi="Arial" w:cs="Arial"/>
                </w:rPr>
                <m:t>Brix</m:t>
              </m:r>
            </m:den>
          </m:f>
          <m:r>
            <m:rPr>
              <m:nor/>
            </m:rPr>
            <w:rPr>
              <w:rFonts w:ascii="Arial" w:eastAsiaTheme="minorHAnsi" w:hAnsi="Arial" w:cs="Arial"/>
            </w:rPr>
            <m:t xml:space="preserve"> × 100</m:t>
          </m:r>
        </m:oMath>
      </m:oMathPara>
    </w:p>
    <w:p w14:paraId="3766AF62" w14:textId="77777777" w:rsidR="005E706B" w:rsidRPr="00316EFD" w:rsidRDefault="005E706B" w:rsidP="00AF7CB0">
      <w:pPr>
        <w:autoSpaceDE w:val="0"/>
        <w:autoSpaceDN w:val="0"/>
        <w:adjustRightInd w:val="0"/>
        <w:spacing w:line="360" w:lineRule="auto"/>
        <w:ind w:left="6030"/>
        <w:jc w:val="both"/>
        <w:rPr>
          <w:rFonts w:ascii="Arial" w:eastAsiaTheme="minorHAnsi" w:hAnsi="Arial" w:cs="Arial"/>
        </w:rPr>
      </w:pPr>
      <w:r w:rsidRPr="00316EFD">
        <w:rPr>
          <w:rFonts w:ascii="Arial" w:eastAsiaTheme="minorHAnsi" w:hAnsi="Arial" w:cs="Arial"/>
        </w:rPr>
        <w:t>(Meade &amp; Chen, 1977)</w:t>
      </w:r>
    </w:p>
    <w:p w14:paraId="79630941" w14:textId="5034FEFF" w:rsidR="005E706B" w:rsidRPr="00316EFD" w:rsidRDefault="00C97A7C" w:rsidP="00AF7CB0">
      <w:pPr>
        <w:autoSpaceDE w:val="0"/>
        <w:autoSpaceDN w:val="0"/>
        <w:adjustRightInd w:val="0"/>
        <w:spacing w:line="360" w:lineRule="auto"/>
        <w:ind w:firstLine="630"/>
        <w:jc w:val="both"/>
        <w:rPr>
          <w:rFonts w:ascii="Arial" w:eastAsiaTheme="minorHAnsi" w:hAnsi="Arial" w:cs="Arial"/>
        </w:rPr>
      </w:pPr>
      <w:r>
        <w:rPr>
          <w:rFonts w:ascii="Arial" w:eastAsiaTheme="minorHAnsi" w:hAnsi="Arial" w:cs="Arial"/>
        </w:rPr>
        <w:t>Fiber content was determined from the cross-section of the stalk, taken from the base, middle, and top portions of each sample cane stalk. Fiber was extracted from the cane stalk using a cane shredder, followed by a standard washing method</w:t>
      </w:r>
      <w:r w:rsidR="005E706B" w:rsidRPr="00316EFD">
        <w:rPr>
          <w:rFonts w:ascii="Arial" w:eastAsiaTheme="minorHAnsi" w:hAnsi="Arial" w:cs="Arial"/>
        </w:rPr>
        <w:t>.</w:t>
      </w:r>
    </w:p>
    <w:p w14:paraId="67670DD4" w14:textId="77777777" w:rsidR="005E706B" w:rsidRPr="00316EFD" w:rsidRDefault="005E706B" w:rsidP="00AF7CB0">
      <w:pPr>
        <w:autoSpaceDE w:val="0"/>
        <w:autoSpaceDN w:val="0"/>
        <w:adjustRightInd w:val="0"/>
        <w:spacing w:line="360" w:lineRule="auto"/>
        <w:ind w:firstLine="630"/>
        <w:jc w:val="both"/>
        <w:rPr>
          <w:rFonts w:ascii="Arial" w:eastAsia="Calibri" w:hAnsi="Arial" w:cs="Arial"/>
        </w:rPr>
      </w:pPr>
      <w:r w:rsidRPr="00316EFD">
        <w:rPr>
          <w:rFonts w:ascii="Arial" w:eastAsia="Calibri" w:hAnsi="Arial" w:cs="Arial"/>
        </w:rPr>
        <w:t>Commercial cane sugar (CCS%) is calculated using the following formula:</w:t>
      </w:r>
    </w:p>
    <w:p w14:paraId="778A6ABC" w14:textId="41909A25" w:rsidR="005E706B" w:rsidRPr="00C97A7C" w:rsidRDefault="00C97A7C" w:rsidP="00C97A7C">
      <w:pPr>
        <w:autoSpaceDE w:val="0"/>
        <w:autoSpaceDN w:val="0"/>
        <w:adjustRightInd w:val="0"/>
        <w:spacing w:line="360" w:lineRule="auto"/>
        <w:ind w:left="630" w:hanging="630"/>
        <w:jc w:val="both"/>
        <w:rPr>
          <w:rFonts w:ascii="Arial" w:hAnsi="Arial" w:cs="Arial"/>
          <w:iCs/>
        </w:rPr>
      </w:pPr>
      <m:oMathPara>
        <m:oMathParaPr>
          <m:jc m:val="left"/>
        </m:oMathParaPr>
        <m:oMath>
          <m:r>
            <m:rPr>
              <m:nor/>
            </m:rPr>
            <w:rPr>
              <w:rFonts w:ascii="Arial" w:eastAsiaTheme="minorHAnsi" w:hAnsi="Arial" w:cs="Arial"/>
              <w:iCs/>
            </w:rPr>
            <m:t>CCS%</m:t>
          </m:r>
          <m:r>
            <w:rPr>
              <w:rFonts w:ascii="Cambria Math" w:eastAsiaTheme="minorHAnsi" w:hAnsi="Cambria Math" w:cs="Arial"/>
            </w:rPr>
            <m:t xml:space="preserve"> =</m:t>
          </m:r>
          <m:f>
            <m:fPr>
              <m:ctrlPr>
                <w:rPr>
                  <w:rFonts w:ascii="Cambria Math" w:eastAsiaTheme="minorHAnsi" w:hAnsi="Cambria Math" w:cs="Arial"/>
                  <w:i/>
                  <w:iCs/>
                </w:rPr>
              </m:ctrlPr>
            </m:fPr>
            <m:num>
              <m:r>
                <m:rPr>
                  <m:nor/>
                </m:rPr>
                <w:rPr>
                  <w:rFonts w:ascii="Arial" w:eastAsiaTheme="minorHAnsi" w:hAnsi="Arial" w:cs="Arial"/>
                </w:rPr>
                <m:t>3P</m:t>
              </m:r>
            </m:num>
            <m:den>
              <m:r>
                <m:rPr>
                  <m:nor/>
                </m:rPr>
                <w:rPr>
                  <w:rFonts w:ascii="Arial" w:eastAsiaTheme="minorHAnsi" w:hAnsi="Arial" w:cs="Arial"/>
                </w:rPr>
                <m:t>2</m:t>
              </m:r>
            </m:den>
          </m:f>
          <m:r>
            <m:rPr>
              <m:nor/>
            </m:rPr>
            <w:rPr>
              <w:rFonts w:ascii="Arial" w:eastAsiaTheme="minorHAnsi" w:hAnsi="Arial" w:cs="Arial"/>
            </w:rPr>
            <m:t xml:space="preserve"> (1 - </m:t>
          </m:r>
          <m:f>
            <m:fPr>
              <m:ctrlPr>
                <w:rPr>
                  <w:rFonts w:ascii="Cambria Math" w:eastAsiaTheme="minorHAnsi" w:hAnsi="Cambria Math" w:cs="Arial"/>
                  <w:i/>
                  <w:iCs/>
                </w:rPr>
              </m:ctrlPr>
            </m:fPr>
            <m:num>
              <m:r>
                <m:rPr>
                  <m:nor/>
                </m:rPr>
                <w:rPr>
                  <w:rFonts w:ascii="Arial" w:eastAsiaTheme="minorHAnsi" w:hAnsi="Arial" w:cs="Arial"/>
                </w:rPr>
                <m:t>F+5</m:t>
              </m:r>
            </m:num>
            <m:den>
              <m:r>
                <m:rPr>
                  <m:nor/>
                </m:rPr>
                <w:rPr>
                  <w:rFonts w:ascii="Arial" w:eastAsiaTheme="minorHAnsi" w:hAnsi="Arial" w:cs="Arial"/>
                </w:rPr>
                <m:t>100</m:t>
              </m:r>
            </m:den>
          </m:f>
          <m:r>
            <m:rPr>
              <m:nor/>
            </m:rPr>
            <w:rPr>
              <w:rFonts w:ascii="Arial" w:eastAsiaTheme="minorHAnsi" w:hAnsi="Arial" w:cs="Arial"/>
            </w:rPr>
            <m:t xml:space="preserve">) - </m:t>
          </m:r>
          <m:f>
            <m:fPr>
              <m:ctrlPr>
                <w:rPr>
                  <w:rFonts w:ascii="Cambria Math" w:eastAsiaTheme="minorHAnsi" w:hAnsi="Cambria Math" w:cs="Arial"/>
                  <w:i/>
                  <w:iCs/>
                </w:rPr>
              </m:ctrlPr>
            </m:fPr>
            <m:num>
              <m:r>
                <m:rPr>
                  <m:nor/>
                </m:rPr>
                <w:rPr>
                  <w:rFonts w:ascii="Arial" w:eastAsiaTheme="minorHAnsi" w:hAnsi="Arial" w:cs="Arial"/>
                </w:rPr>
                <m:t>B</m:t>
              </m:r>
            </m:num>
            <m:den>
              <m:r>
                <m:rPr>
                  <m:nor/>
                </m:rPr>
                <w:rPr>
                  <w:rFonts w:ascii="Arial" w:eastAsiaTheme="minorHAnsi" w:hAnsi="Arial" w:cs="Arial"/>
                </w:rPr>
                <m:t>2</m:t>
              </m:r>
            </m:den>
          </m:f>
          <m:r>
            <m:rPr>
              <m:nor/>
            </m:rPr>
            <w:rPr>
              <w:rFonts w:ascii="Arial" w:eastAsiaTheme="minorHAnsi" w:hAnsi="Arial" w:cs="Arial"/>
            </w:rPr>
            <m:t xml:space="preserve"> (1 - </m:t>
          </m:r>
          <m:f>
            <m:fPr>
              <m:ctrlPr>
                <w:rPr>
                  <w:rFonts w:ascii="Cambria Math" w:eastAsiaTheme="minorHAnsi" w:hAnsi="Cambria Math" w:cs="Arial"/>
                  <w:i/>
                  <w:iCs/>
                </w:rPr>
              </m:ctrlPr>
            </m:fPr>
            <m:num>
              <m:r>
                <m:rPr>
                  <m:nor/>
                </m:rPr>
                <w:rPr>
                  <w:rFonts w:ascii="Arial" w:eastAsiaTheme="minorHAnsi" w:hAnsi="Arial" w:cs="Arial"/>
                </w:rPr>
                <m:t>F+3</m:t>
              </m:r>
            </m:num>
            <m:den>
              <m:r>
                <m:rPr>
                  <m:nor/>
                </m:rPr>
                <w:rPr>
                  <w:rFonts w:ascii="Arial" w:eastAsiaTheme="minorHAnsi" w:hAnsi="Arial" w:cs="Arial"/>
                </w:rPr>
                <m:t>100</m:t>
              </m:r>
            </m:den>
          </m:f>
          <m:r>
            <m:rPr>
              <m:nor/>
            </m:rPr>
            <w:rPr>
              <w:rFonts w:ascii="Arial" w:eastAsiaTheme="minorHAnsi" w:hAnsi="Arial" w:cs="Arial"/>
              <w:iCs/>
            </w:rPr>
            <m:t>)</m:t>
          </m:r>
        </m:oMath>
      </m:oMathPara>
    </w:p>
    <w:p w14:paraId="142D9DA5" w14:textId="53AF3F8A" w:rsidR="005E706B" w:rsidRPr="00316EFD" w:rsidRDefault="005E706B" w:rsidP="00C97A7C">
      <w:pPr>
        <w:autoSpaceDE w:val="0"/>
        <w:autoSpaceDN w:val="0"/>
        <w:adjustRightInd w:val="0"/>
        <w:spacing w:line="360" w:lineRule="auto"/>
        <w:ind w:left="630"/>
        <w:jc w:val="both"/>
        <w:rPr>
          <w:rFonts w:ascii="Arial" w:eastAsiaTheme="minorHAnsi" w:hAnsi="Arial" w:cs="Arial"/>
        </w:rPr>
      </w:pPr>
      <w:r w:rsidRPr="00316EFD">
        <w:rPr>
          <w:rFonts w:ascii="Arial" w:eastAsiaTheme="minorHAnsi" w:hAnsi="Arial" w:cs="Arial"/>
        </w:rPr>
        <w:t>Where, P = Pol% in cane juice</w:t>
      </w:r>
      <w:r>
        <w:rPr>
          <w:rFonts w:ascii="Arial" w:eastAsiaTheme="minorHAnsi" w:hAnsi="Arial" w:cs="Arial"/>
        </w:rPr>
        <w:t xml:space="preserve">, </w:t>
      </w:r>
      <w:r w:rsidRPr="00316EFD">
        <w:rPr>
          <w:rFonts w:ascii="Arial" w:eastAsiaTheme="minorHAnsi" w:hAnsi="Arial" w:cs="Arial"/>
        </w:rPr>
        <w:t>B = Brix% in cane juice</w:t>
      </w:r>
      <w:r>
        <w:rPr>
          <w:rFonts w:ascii="Arial" w:eastAsiaTheme="minorHAnsi" w:hAnsi="Arial" w:cs="Arial"/>
        </w:rPr>
        <w:t xml:space="preserve">, </w:t>
      </w:r>
      <w:r w:rsidRPr="00316EFD">
        <w:rPr>
          <w:rFonts w:ascii="Arial" w:eastAsiaTheme="minorHAnsi" w:hAnsi="Arial" w:cs="Arial"/>
        </w:rPr>
        <w:t>F = Fibre% in cane</w:t>
      </w:r>
    </w:p>
    <w:p w14:paraId="3505736C" w14:textId="77777777" w:rsidR="005E706B" w:rsidRPr="00316EFD" w:rsidRDefault="005E706B" w:rsidP="00AF7CB0">
      <w:pPr>
        <w:autoSpaceDE w:val="0"/>
        <w:autoSpaceDN w:val="0"/>
        <w:adjustRightInd w:val="0"/>
        <w:spacing w:line="360" w:lineRule="auto"/>
        <w:ind w:left="2430" w:firstLine="3420"/>
        <w:jc w:val="both"/>
        <w:rPr>
          <w:rFonts w:ascii="Arial" w:eastAsiaTheme="minorHAnsi" w:hAnsi="Arial" w:cs="Arial"/>
        </w:rPr>
      </w:pPr>
      <w:r w:rsidRPr="00316EFD">
        <w:rPr>
          <w:rFonts w:ascii="Arial" w:eastAsiaTheme="minorHAnsi" w:hAnsi="Arial" w:cs="Arial"/>
        </w:rPr>
        <w:t>(Yadav &amp; Sharma, 1980)</w:t>
      </w:r>
    </w:p>
    <w:p w14:paraId="2D29BDB8" w14:textId="77777777" w:rsidR="005E706B" w:rsidRPr="00316EFD" w:rsidRDefault="005E706B" w:rsidP="00C97A7C">
      <w:pPr>
        <w:autoSpaceDE w:val="0"/>
        <w:autoSpaceDN w:val="0"/>
        <w:adjustRightInd w:val="0"/>
        <w:spacing w:line="360" w:lineRule="auto"/>
        <w:ind w:firstLine="630"/>
        <w:jc w:val="both"/>
        <w:rPr>
          <w:rFonts w:ascii="Arial" w:eastAsiaTheme="minorHAnsi" w:hAnsi="Arial" w:cs="Arial"/>
        </w:rPr>
      </w:pPr>
      <w:r w:rsidRPr="00316EFD">
        <w:rPr>
          <w:rFonts w:ascii="Arial" w:eastAsia="Calibri" w:hAnsi="Arial" w:cs="Arial"/>
        </w:rPr>
        <w:t>Sugar yield was computed using the following formula:</w:t>
      </w:r>
    </w:p>
    <w:p w14:paraId="355FFA43" w14:textId="77777777" w:rsidR="005E706B" w:rsidRPr="00316EFD" w:rsidRDefault="005E706B" w:rsidP="00C97A7C">
      <w:pPr>
        <w:autoSpaceDE w:val="0"/>
        <w:autoSpaceDN w:val="0"/>
        <w:adjustRightInd w:val="0"/>
        <w:spacing w:line="360" w:lineRule="auto"/>
        <w:ind w:left="630"/>
        <w:jc w:val="both"/>
        <w:rPr>
          <w:rFonts w:ascii="Arial" w:eastAsiaTheme="minorHAnsi" w:hAnsi="Arial" w:cs="Arial"/>
        </w:rPr>
      </w:pPr>
      <m:oMathPara>
        <m:oMathParaPr>
          <m:jc m:val="left"/>
        </m:oMathParaPr>
        <m:oMath>
          <m:r>
            <m:rPr>
              <m:nor/>
            </m:rPr>
            <w:rPr>
              <w:rFonts w:ascii="Arial" w:eastAsiaTheme="minorHAnsi" w:hAnsi="Arial" w:cs="Arial"/>
            </w:rPr>
            <m:t>Sugar yield (t ha</m:t>
          </m:r>
          <m:r>
            <m:rPr>
              <m:nor/>
            </m:rPr>
            <w:rPr>
              <w:rFonts w:ascii="Arial" w:eastAsiaTheme="minorHAnsi" w:hAnsi="Arial" w:cs="Arial"/>
              <w:vertAlign w:val="superscript"/>
            </w:rPr>
            <m:t>-1</m:t>
          </m:r>
          <m:r>
            <m:rPr>
              <m:nor/>
            </m:rPr>
            <w:rPr>
              <w:rFonts w:ascii="Arial" w:eastAsiaTheme="minorHAnsi" w:hAnsi="Arial" w:cs="Arial"/>
            </w:rPr>
            <m:t xml:space="preserve">) = </m:t>
          </m:r>
          <m:f>
            <m:fPr>
              <m:ctrlPr>
                <w:rPr>
                  <w:rFonts w:ascii="Cambria Math" w:eastAsiaTheme="minorHAnsi" w:hAnsi="Cambria Math" w:cs="Arial"/>
                </w:rPr>
              </m:ctrlPr>
            </m:fPr>
            <m:num>
              <m:r>
                <m:rPr>
                  <m:nor/>
                </m:rPr>
                <w:rPr>
                  <w:rFonts w:ascii="Arial" w:eastAsiaTheme="minorHAnsi" w:hAnsi="Arial" w:cs="Arial"/>
                </w:rPr>
                <m:t>Cane yield × CCS</m:t>
              </m:r>
            </m:num>
            <m:den>
              <m:r>
                <m:rPr>
                  <m:nor/>
                </m:rPr>
                <w:rPr>
                  <w:rFonts w:ascii="Arial" w:eastAsiaTheme="minorHAnsi" w:hAnsi="Arial" w:cs="Arial"/>
                </w:rPr>
                <m:t>100</m:t>
              </m:r>
            </m:den>
          </m:f>
        </m:oMath>
      </m:oMathPara>
    </w:p>
    <w:p w14:paraId="3E109B94" w14:textId="77777777" w:rsidR="005E706B" w:rsidRPr="00316EFD" w:rsidRDefault="005E706B" w:rsidP="00AF7CB0">
      <w:pPr>
        <w:autoSpaceDE w:val="0"/>
        <w:autoSpaceDN w:val="0"/>
        <w:adjustRightInd w:val="0"/>
        <w:spacing w:line="360" w:lineRule="auto"/>
        <w:ind w:left="6480"/>
        <w:jc w:val="both"/>
        <w:rPr>
          <w:rFonts w:ascii="Arial" w:eastAsiaTheme="minorHAnsi" w:hAnsi="Arial" w:cs="Arial"/>
        </w:rPr>
      </w:pPr>
      <w:r w:rsidRPr="00316EFD">
        <w:rPr>
          <w:rFonts w:ascii="Arial" w:eastAsiaTheme="minorHAnsi" w:hAnsi="Arial" w:cs="Arial"/>
        </w:rPr>
        <w:t>(Mathur, 1997)</w:t>
      </w:r>
    </w:p>
    <w:p w14:paraId="4EBA755C" w14:textId="43A7CBB9" w:rsidR="00307333" w:rsidRPr="00823586" w:rsidRDefault="003B149C" w:rsidP="003B149C">
      <w:pPr>
        <w:keepNext/>
        <w:keepLines/>
        <w:spacing w:line="360" w:lineRule="auto"/>
        <w:ind w:left="504" w:hanging="504"/>
        <w:jc w:val="both"/>
        <w:outlineLvl w:val="1"/>
        <w:rPr>
          <w:rFonts w:ascii="Arial" w:eastAsia="Calibri" w:hAnsi="Arial" w:cs="Arial"/>
          <w:b/>
          <w:bCs/>
          <w:sz w:val="22"/>
          <w:szCs w:val="22"/>
        </w:rPr>
      </w:pPr>
      <w:bookmarkStart w:id="3" w:name="_Toc180073672"/>
      <w:r w:rsidRPr="00823586">
        <w:rPr>
          <w:rFonts w:ascii="Arial" w:eastAsia="Calibri" w:hAnsi="Arial" w:cs="Arial"/>
          <w:b/>
          <w:bCs/>
          <w:sz w:val="22"/>
          <w:szCs w:val="22"/>
        </w:rPr>
        <w:t xml:space="preserve">2.5 </w:t>
      </w:r>
      <w:r w:rsidR="00307333" w:rsidRPr="00823586">
        <w:rPr>
          <w:rFonts w:ascii="Arial" w:eastAsia="Calibri" w:hAnsi="Arial" w:cs="Arial"/>
          <w:b/>
          <w:bCs/>
          <w:sz w:val="22"/>
          <w:szCs w:val="22"/>
        </w:rPr>
        <w:t>Statistical Analysis</w:t>
      </w:r>
      <w:bookmarkEnd w:id="3"/>
    </w:p>
    <w:p w14:paraId="6F759A49" w14:textId="77777777" w:rsidR="00AB148C" w:rsidRDefault="005E706B" w:rsidP="00AB148C">
      <w:pPr>
        <w:autoSpaceDE w:val="0"/>
        <w:autoSpaceDN w:val="0"/>
        <w:adjustRightInd w:val="0"/>
        <w:spacing w:line="360" w:lineRule="auto"/>
        <w:ind w:firstLine="720"/>
        <w:jc w:val="both"/>
        <w:rPr>
          <w:rFonts w:ascii="Arial" w:eastAsia="Calibri" w:hAnsi="Arial" w:cs="Arial"/>
          <w:color w:val="000000"/>
        </w:rPr>
      </w:pPr>
      <w:r w:rsidRPr="00316EFD">
        <w:rPr>
          <w:rFonts w:ascii="Arial" w:eastAsia="Calibri" w:hAnsi="Arial" w:cs="Arial"/>
          <w:color w:val="000000"/>
        </w:rPr>
        <w:t xml:space="preserve">The data were subjected to analysis of variance by using Statistix (8.0) software. The treatment means were </w:t>
      </w:r>
      <w:r w:rsidR="00C97A7C">
        <w:rPr>
          <w:rFonts w:ascii="Arial" w:eastAsia="Calibri" w:hAnsi="Arial" w:cs="Arial"/>
          <w:color w:val="000000"/>
        </w:rPr>
        <w:t>compared</w:t>
      </w:r>
      <w:r w:rsidRPr="00316EFD">
        <w:rPr>
          <w:rFonts w:ascii="Arial" w:eastAsia="Calibri" w:hAnsi="Arial" w:cs="Arial"/>
          <w:color w:val="000000"/>
        </w:rPr>
        <w:t xml:space="preserve"> </w:t>
      </w:r>
      <w:r w:rsidR="00C97A7C">
        <w:rPr>
          <w:rFonts w:ascii="Arial" w:eastAsia="Calibri" w:hAnsi="Arial" w:cs="Arial"/>
          <w:color w:val="000000"/>
        </w:rPr>
        <w:t>by</w:t>
      </w:r>
      <w:r w:rsidRPr="00316EFD">
        <w:rPr>
          <w:rFonts w:ascii="Arial" w:eastAsia="Calibri" w:hAnsi="Arial" w:cs="Arial"/>
          <w:color w:val="000000"/>
        </w:rPr>
        <w:t xml:space="preserve"> Least Significant Difference (LSD) at a 5% level of significance. </w:t>
      </w:r>
    </w:p>
    <w:p w14:paraId="114C586D" w14:textId="2CF5DEEB" w:rsidR="00902823" w:rsidRPr="00AB148C" w:rsidRDefault="00000F8F" w:rsidP="00AB148C">
      <w:pPr>
        <w:autoSpaceDE w:val="0"/>
        <w:autoSpaceDN w:val="0"/>
        <w:adjustRightInd w:val="0"/>
        <w:spacing w:line="360" w:lineRule="auto"/>
        <w:jc w:val="both"/>
        <w:rPr>
          <w:b/>
          <w:bCs/>
          <w:sz w:val="22"/>
          <w:szCs w:val="22"/>
        </w:rPr>
      </w:pPr>
      <w:r w:rsidRPr="00AB148C">
        <w:rPr>
          <w:b/>
          <w:bCs/>
          <w:sz w:val="22"/>
          <w:szCs w:val="22"/>
        </w:rPr>
        <w:t>3</w:t>
      </w:r>
      <w:r w:rsidR="00902823" w:rsidRPr="00AB148C">
        <w:rPr>
          <w:b/>
          <w:bCs/>
          <w:sz w:val="22"/>
          <w:szCs w:val="22"/>
        </w:rPr>
        <w:t xml:space="preserve">. </w:t>
      </w:r>
      <w:r w:rsidR="002757E0" w:rsidRPr="00AB148C">
        <w:rPr>
          <w:b/>
          <w:bCs/>
          <w:sz w:val="22"/>
          <w:szCs w:val="22"/>
        </w:rPr>
        <w:t>RESULTS AND DIS</w:t>
      </w:r>
      <w:r w:rsidR="00C97A7C" w:rsidRPr="00AB148C">
        <w:rPr>
          <w:b/>
          <w:bCs/>
          <w:sz w:val="22"/>
          <w:szCs w:val="22"/>
        </w:rPr>
        <w:t>CUSS</w:t>
      </w:r>
      <w:r w:rsidR="002757E0" w:rsidRPr="00AB148C">
        <w:rPr>
          <w:b/>
          <w:bCs/>
          <w:sz w:val="22"/>
          <w:szCs w:val="22"/>
        </w:rPr>
        <w:t xml:space="preserve">ION </w:t>
      </w:r>
    </w:p>
    <w:p w14:paraId="206E5976" w14:textId="77777777" w:rsidR="00871649" w:rsidRPr="00BF1184" w:rsidRDefault="00871649" w:rsidP="00AB148C">
      <w:pPr>
        <w:pStyle w:val="Heading2"/>
        <w:keepNext w:val="0"/>
        <w:keepLines w:val="0"/>
        <w:widowControl w:val="0"/>
        <w:spacing w:before="120" w:after="100" w:line="360" w:lineRule="auto"/>
        <w:jc w:val="both"/>
        <w:rPr>
          <w:rFonts w:ascii="Arial" w:eastAsia="Calibri" w:hAnsi="Arial" w:cs="Arial"/>
          <w:b/>
          <w:bCs/>
          <w:color w:val="000000" w:themeColor="text1"/>
          <w:sz w:val="22"/>
          <w:szCs w:val="22"/>
        </w:rPr>
      </w:pPr>
      <w:r w:rsidRPr="00BF1184">
        <w:rPr>
          <w:rFonts w:ascii="Arial" w:eastAsia="Calibri" w:hAnsi="Arial" w:cs="Arial"/>
          <w:b/>
          <w:bCs/>
          <w:color w:val="000000" w:themeColor="text1"/>
          <w:sz w:val="22"/>
          <w:szCs w:val="22"/>
        </w:rPr>
        <w:t>3.1 Yield and Yield Components</w:t>
      </w:r>
    </w:p>
    <w:p w14:paraId="446ABA57" w14:textId="77777777" w:rsidR="00871649" w:rsidRDefault="00871649" w:rsidP="00AB148C">
      <w:pPr>
        <w:pStyle w:val="Heading3"/>
        <w:keepNext w:val="0"/>
        <w:keepLines w:val="0"/>
        <w:widowControl w:val="0"/>
        <w:spacing w:before="120" w:after="100" w:line="360" w:lineRule="auto"/>
        <w:jc w:val="both"/>
        <w:rPr>
          <w:rFonts w:ascii="Arial" w:hAnsi="Arial" w:cs="Arial"/>
          <w:b/>
          <w:bCs/>
          <w:color w:val="000000" w:themeColor="text1"/>
          <w:sz w:val="20"/>
          <w:szCs w:val="20"/>
          <w:u w:val="single"/>
        </w:rPr>
      </w:pPr>
      <w:r w:rsidRPr="006D3F60">
        <w:rPr>
          <w:rFonts w:ascii="Arial" w:hAnsi="Arial" w:cs="Arial"/>
          <w:b/>
          <w:bCs/>
          <w:color w:val="000000" w:themeColor="text1"/>
          <w:sz w:val="20"/>
          <w:szCs w:val="20"/>
          <w:u w:val="single"/>
        </w:rPr>
        <w:t>3.1.1 Single cane weight</w:t>
      </w:r>
    </w:p>
    <w:p w14:paraId="40ABBACA" w14:textId="43B6FF35" w:rsidR="00C97A7C" w:rsidRPr="0081048D" w:rsidRDefault="00C97A7C" w:rsidP="00F03D0B">
      <w:pPr>
        <w:spacing w:line="360" w:lineRule="auto"/>
        <w:ind w:firstLine="720"/>
        <w:jc w:val="both"/>
        <w:rPr>
          <w:rFonts w:ascii="Arial" w:hAnsi="Arial" w:cs="Arial"/>
        </w:rPr>
      </w:pPr>
      <w:r w:rsidRPr="0081048D">
        <w:rPr>
          <w:rFonts w:ascii="Arial" w:hAnsi="Arial" w:cs="Arial"/>
        </w:rPr>
        <w:t xml:space="preserve">In Pyinmana and Nyuangpintha, the weight of individual sugarcanes was significantly influenced by the sugarcane varieties (Table 1). However, no significant differences were observed among the harvesting ages </w:t>
      </w:r>
      <w:r w:rsidRPr="001312B6">
        <w:rPr>
          <w:rFonts w:ascii="Arial" w:hAnsi="Arial" w:cs="Arial"/>
        </w:rPr>
        <w:t>(</w:t>
      </w:r>
      <w:r w:rsidRPr="0081048D">
        <w:rPr>
          <w:rFonts w:ascii="Arial" w:hAnsi="Arial" w:cs="Arial"/>
        </w:rPr>
        <w:t xml:space="preserve">Table 1). Additionally, there was no interaction effect between the sugarcane varieties and harvesting ages (Table 1). The </w:t>
      </w:r>
      <w:r w:rsidRPr="0081048D">
        <w:rPr>
          <w:rFonts w:ascii="Arial" w:hAnsi="Arial" w:cs="Arial"/>
        </w:rPr>
        <w:lastRenderedPageBreak/>
        <w:t>maximum cane weight recorded was 1.76 kg for the PMA-7 variety at the Pyinmana site, while 1.81 kg was observed for the PMA-9 variety at Nyuangpintha. The differences in cane weight among varieties may be attributed to variations in stalk diameter and height. This finding aligns with the results of Yousif, Ibrahim, and Ahamed (2015), who also noted that differences in stalk weight among varieties could be linked to differences in stalk height and diameter.</w:t>
      </w:r>
    </w:p>
    <w:p w14:paraId="7F58C26F" w14:textId="77777777" w:rsidR="001D7984" w:rsidRDefault="00C97A7C" w:rsidP="00F03D0B">
      <w:pPr>
        <w:spacing w:line="360" w:lineRule="auto"/>
        <w:ind w:firstLine="720"/>
        <w:jc w:val="both"/>
      </w:pPr>
      <w:r w:rsidRPr="0081048D">
        <w:rPr>
          <w:rFonts w:ascii="Arial" w:hAnsi="Arial" w:cs="Arial"/>
        </w:rPr>
        <w:t>The harvesting age of H</w:t>
      </w:r>
      <w:r w:rsidRPr="00F03D0B">
        <w:rPr>
          <w:rFonts w:ascii="Arial" w:hAnsi="Arial" w:cs="Arial"/>
          <w:vertAlign w:val="subscript"/>
        </w:rPr>
        <w:t>3</w:t>
      </w:r>
      <w:r w:rsidRPr="0081048D">
        <w:rPr>
          <w:rFonts w:ascii="Arial" w:hAnsi="Arial" w:cs="Arial"/>
        </w:rPr>
        <w:t xml:space="preserve"> (approximately 13 months) yielded the highest single cane weight of 1.71 kg in Pyinmana and 1.72 kg in Nyuangpintha. This indicates that single cane weight gradually increases as the harvesting age is extended. These results are consistent with the findings of Ahmed, El-Bakry, and Abazied (2016), who reported that stalk cane weight significantly increased when the plant</w:t>
      </w:r>
      <w:r w:rsidRPr="00C97A7C">
        <w:t xml:space="preserve"> age was extended from 11 to 14 months.</w:t>
      </w:r>
    </w:p>
    <w:p w14:paraId="2A702F9D" w14:textId="5455EC58" w:rsidR="00871649" w:rsidRPr="006D3F60" w:rsidRDefault="00871649" w:rsidP="00AB148C">
      <w:pPr>
        <w:pStyle w:val="Heading3"/>
        <w:keepNext w:val="0"/>
        <w:keepLines w:val="0"/>
        <w:widowControl w:val="0"/>
        <w:spacing w:before="0" w:line="360" w:lineRule="auto"/>
        <w:jc w:val="both"/>
        <w:rPr>
          <w:rFonts w:ascii="Arial" w:eastAsia="Calibri" w:hAnsi="Arial" w:cs="Arial"/>
          <w:b/>
          <w:bCs/>
          <w:color w:val="000000" w:themeColor="text1"/>
          <w:sz w:val="20"/>
          <w:szCs w:val="20"/>
          <w:u w:val="single"/>
        </w:rPr>
      </w:pPr>
      <w:r w:rsidRPr="006D3F60">
        <w:rPr>
          <w:rFonts w:ascii="Arial" w:hAnsi="Arial" w:cs="Arial"/>
          <w:b/>
          <w:bCs/>
          <w:color w:val="000000" w:themeColor="text1"/>
          <w:sz w:val="20"/>
          <w:szCs w:val="20"/>
          <w:u w:val="single"/>
        </w:rPr>
        <w:t xml:space="preserve">3.1.2 </w:t>
      </w:r>
      <w:r w:rsidRPr="006D3F60">
        <w:rPr>
          <w:rFonts w:ascii="Arial" w:eastAsia="Calibri" w:hAnsi="Arial" w:cs="Arial"/>
          <w:b/>
          <w:bCs/>
          <w:color w:val="000000" w:themeColor="text1"/>
          <w:sz w:val="20"/>
          <w:szCs w:val="20"/>
          <w:u w:val="single"/>
        </w:rPr>
        <w:t xml:space="preserve">Millable cane per hectare </w:t>
      </w:r>
    </w:p>
    <w:p w14:paraId="4EACF16A" w14:textId="1A079D92" w:rsidR="001D7984" w:rsidRDefault="001D7984" w:rsidP="0081048D">
      <w:pPr>
        <w:spacing w:line="360" w:lineRule="auto"/>
        <w:ind w:firstLine="720"/>
        <w:jc w:val="both"/>
        <w:rPr>
          <w:rFonts w:ascii="Arial" w:hAnsi="Arial" w:cs="Arial"/>
          <w:lang w:eastAsia="ja-JP"/>
        </w:rPr>
      </w:pPr>
      <w:r w:rsidRPr="0081048D">
        <w:rPr>
          <w:rFonts w:ascii="Arial" w:hAnsi="Arial" w:cs="Arial"/>
          <w:lang w:eastAsia="ja-JP"/>
        </w:rPr>
        <w:t>The number of millable canes was not significantly influenced by the various sugarcane varieties and harvesting ages at both sites (Table 1). Numerically, the maximum number of millable cane, 52701 ha</w:t>
      </w:r>
      <w:r w:rsidRPr="0081048D">
        <w:rPr>
          <w:rFonts w:ascii="Cambria Math" w:hAnsi="Cambria Math" w:cs="Cambria Math"/>
          <w:lang w:eastAsia="ja-JP"/>
        </w:rPr>
        <w:t>⁻</w:t>
      </w:r>
      <w:r w:rsidRPr="0081048D">
        <w:rPr>
          <w:rFonts w:ascii="Arial" w:hAnsi="Arial" w:cs="Arial"/>
          <w:lang w:eastAsia="ja-JP"/>
        </w:rPr>
        <w:t>¹ was achieved by the PMA-7 variety at Pyinmana, while the PMA-9 variety yielded 49762 ha¹ at Nyuangpintha. The increased population of cane and the utilization of growth factors such as space, sunlight, water, and nutrients may have contributed to the rise in the number of millable canes</w:t>
      </w:r>
      <w:r w:rsidRPr="0081048D">
        <w:rPr>
          <w:rFonts w:ascii="Arial" w:hAnsi="Arial" w:cs="Arial"/>
          <w:lang w:val="x-none" w:eastAsia="ja-JP"/>
        </w:rPr>
        <w:t xml:space="preserve"> (</w:t>
      </w:r>
      <w:r w:rsidRPr="0081048D">
        <w:rPr>
          <w:rFonts w:ascii="Arial" w:hAnsi="Arial" w:cs="Arial"/>
          <w:lang w:eastAsia="ja-JP"/>
        </w:rPr>
        <w:t>Ali, Gadallah</w:t>
      </w:r>
      <w:r w:rsidR="00D61181">
        <w:rPr>
          <w:rFonts w:ascii="Arial" w:hAnsi="Arial" w:cs="Arial"/>
          <w:lang w:eastAsia="ja-JP"/>
        </w:rPr>
        <w:t xml:space="preserve"> &amp; </w:t>
      </w:r>
      <w:r w:rsidRPr="0081048D">
        <w:rPr>
          <w:rFonts w:ascii="Arial" w:hAnsi="Arial" w:cs="Arial"/>
          <w:lang w:eastAsia="ja-JP"/>
        </w:rPr>
        <w:t xml:space="preserve">Hussien, </w:t>
      </w:r>
      <w:r w:rsidRPr="0081048D">
        <w:rPr>
          <w:rFonts w:ascii="Arial" w:hAnsi="Arial" w:cs="Arial"/>
          <w:lang w:val="x-none" w:eastAsia="ja-JP"/>
        </w:rPr>
        <w:t>2</w:t>
      </w:r>
      <w:r w:rsidRPr="0081048D">
        <w:rPr>
          <w:rFonts w:ascii="Arial" w:hAnsi="Arial" w:cs="Arial"/>
          <w:lang w:eastAsia="ja-JP"/>
        </w:rPr>
        <w:t xml:space="preserve">022). </w:t>
      </w:r>
    </w:p>
    <w:p w14:paraId="5BB63F4E" w14:textId="03D9A58C" w:rsidR="001D7984" w:rsidRPr="0081048D" w:rsidRDefault="001D7984" w:rsidP="0081048D">
      <w:pPr>
        <w:spacing w:line="360" w:lineRule="auto"/>
        <w:ind w:firstLine="720"/>
        <w:jc w:val="both"/>
        <w:rPr>
          <w:rFonts w:ascii="Arial" w:hAnsi="Arial" w:cs="Arial"/>
          <w:lang w:eastAsia="ja-JP"/>
        </w:rPr>
      </w:pPr>
      <w:r w:rsidRPr="0081048D">
        <w:rPr>
          <w:rFonts w:ascii="Arial" w:hAnsi="Arial" w:cs="Arial"/>
          <w:lang w:eastAsia="ja-JP"/>
        </w:rPr>
        <w:t>When compared to other varieties, the PMA-7 variety demonstrates a higher number of millable canes, which suggests it is better suited to well-distributed rainfall in the central zone of Myanmar. Conversely, the PMA-9 variety may thrive in regions with heavier rain and is more suited to wetter zones. The highest number of millable canes observed was 51929 ha</w:t>
      </w:r>
      <w:r w:rsidRPr="0081048D">
        <w:rPr>
          <w:rFonts w:ascii="Cambria Math" w:hAnsi="Cambria Math" w:cs="Cambria Math"/>
          <w:lang w:eastAsia="ja-JP"/>
        </w:rPr>
        <w:t>⁻</w:t>
      </w:r>
      <w:r w:rsidRPr="0081048D">
        <w:rPr>
          <w:rFonts w:ascii="Arial" w:hAnsi="Arial" w:cs="Arial"/>
          <w:lang w:eastAsia="ja-JP"/>
        </w:rPr>
        <w:t>¹ at Pyinmana and 49837 ha</w:t>
      </w:r>
      <w:r w:rsidRPr="0081048D">
        <w:rPr>
          <w:rFonts w:ascii="Cambria Math" w:hAnsi="Cambria Math" w:cs="Cambria Math"/>
          <w:lang w:eastAsia="ja-JP"/>
        </w:rPr>
        <w:t>⁻</w:t>
      </w:r>
      <w:r w:rsidRPr="0081048D">
        <w:rPr>
          <w:rFonts w:ascii="Arial" w:hAnsi="Arial" w:cs="Arial"/>
          <w:lang w:eastAsia="ja-JP"/>
        </w:rPr>
        <w:t>¹ at Nyuangpintha, noted at harvesting age H</w:t>
      </w:r>
      <w:r w:rsidRPr="0040622F">
        <w:rPr>
          <w:rFonts w:ascii="Arial" w:hAnsi="Arial" w:cs="Arial"/>
          <w:vertAlign w:val="subscript"/>
          <w:lang w:eastAsia="ja-JP"/>
        </w:rPr>
        <w:t>3</w:t>
      </w:r>
      <w:r w:rsidRPr="0081048D">
        <w:rPr>
          <w:rFonts w:ascii="Arial" w:hAnsi="Arial" w:cs="Arial"/>
          <w:lang w:eastAsia="ja-JP"/>
        </w:rPr>
        <w:t xml:space="preserve">. </w:t>
      </w:r>
    </w:p>
    <w:p w14:paraId="16C74817" w14:textId="5CD50AE2" w:rsidR="00B559BD" w:rsidRPr="00D61181" w:rsidRDefault="00B559BD" w:rsidP="00B559BD">
      <w:pPr>
        <w:spacing w:line="360" w:lineRule="auto"/>
        <w:ind w:firstLine="720"/>
        <w:jc w:val="both"/>
        <w:rPr>
          <w:rFonts w:ascii="Arial" w:hAnsi="Arial" w:cs="Arial"/>
          <w:spacing w:val="-2"/>
          <w:lang w:eastAsia="ja-JP"/>
        </w:rPr>
      </w:pPr>
      <w:r w:rsidRPr="00D61181">
        <w:rPr>
          <w:rFonts w:ascii="Arial" w:hAnsi="Arial" w:cs="Arial"/>
          <w:spacing w:val="-2"/>
          <w:lang w:eastAsia="ja-JP"/>
        </w:rPr>
        <w:t xml:space="preserve">Tillering capacity and tiller population are the main vital crop variables that are used to estimate the final </w:t>
      </w:r>
      <w:r w:rsidR="00487861">
        <w:rPr>
          <w:rFonts w:ascii="Arial" w:hAnsi="Arial" w:cs="Arial"/>
          <w:spacing w:val="-2"/>
          <w:lang w:eastAsia="ja-JP"/>
        </w:rPr>
        <w:t>millable cane</w:t>
      </w:r>
      <w:bookmarkStart w:id="4" w:name="_GoBack"/>
      <w:bookmarkEnd w:id="4"/>
      <w:r w:rsidRPr="00D61181">
        <w:rPr>
          <w:rFonts w:ascii="Arial" w:hAnsi="Arial" w:cs="Arial"/>
          <w:spacing w:val="-2"/>
          <w:lang w:eastAsia="ja-JP"/>
        </w:rPr>
        <w:t xml:space="preserve"> and sucrose yield</w:t>
      </w:r>
      <w:r w:rsidR="00D61181" w:rsidRPr="00D61181">
        <w:rPr>
          <w:rFonts w:ascii="Arial" w:hAnsi="Arial" w:cs="Arial"/>
          <w:spacing w:val="-2"/>
          <w:lang w:eastAsia="ja-JP"/>
        </w:rPr>
        <w:t xml:space="preserve"> (</w:t>
      </w:r>
      <w:r w:rsidR="00D61181" w:rsidRPr="00D61181">
        <w:rPr>
          <w:spacing w:val="-2"/>
        </w:rPr>
        <w:t>D Legesse,</w:t>
      </w:r>
      <w:r w:rsidR="001B04C1">
        <w:rPr>
          <w:spacing w:val="-2"/>
        </w:rPr>
        <w:t xml:space="preserve"> </w:t>
      </w:r>
      <w:r w:rsidR="00D61181" w:rsidRPr="00D61181">
        <w:rPr>
          <w:spacing w:val="-2"/>
        </w:rPr>
        <w:t>Legesse &amp; Geleta, 2016).</w:t>
      </w:r>
    </w:p>
    <w:p w14:paraId="3656066D" w14:textId="14C7C2B9" w:rsidR="00871649" w:rsidRPr="006D3F60" w:rsidRDefault="00871649" w:rsidP="00AB148C">
      <w:pPr>
        <w:pStyle w:val="Heading3"/>
        <w:keepNext w:val="0"/>
        <w:keepLines w:val="0"/>
        <w:widowControl w:val="0"/>
        <w:spacing w:before="120" w:after="100" w:line="360" w:lineRule="auto"/>
        <w:jc w:val="both"/>
        <w:rPr>
          <w:rFonts w:ascii="Arial" w:hAnsi="Arial" w:cs="Arial"/>
          <w:b/>
          <w:bCs/>
          <w:sz w:val="20"/>
          <w:szCs w:val="20"/>
          <w:u w:val="single"/>
        </w:rPr>
      </w:pPr>
      <w:r w:rsidRPr="006D3F60">
        <w:rPr>
          <w:rFonts w:ascii="Arial" w:hAnsi="Arial" w:cs="Arial"/>
          <w:b/>
          <w:bCs/>
          <w:color w:val="000000" w:themeColor="text1"/>
          <w:sz w:val="20"/>
          <w:szCs w:val="20"/>
          <w:u w:val="single"/>
        </w:rPr>
        <w:t>3.1.3 Cane yield</w:t>
      </w:r>
    </w:p>
    <w:p w14:paraId="08BF3C47" w14:textId="1937F9E4" w:rsidR="00AF6976" w:rsidRDefault="001D7984" w:rsidP="00AB148C">
      <w:pPr>
        <w:widowControl w:val="0"/>
        <w:autoSpaceDE w:val="0"/>
        <w:autoSpaceDN w:val="0"/>
        <w:adjustRightInd w:val="0"/>
        <w:spacing w:line="360" w:lineRule="auto"/>
        <w:ind w:firstLine="720"/>
        <w:jc w:val="both"/>
        <w:rPr>
          <w:rFonts w:ascii="Arial" w:hAnsi="Arial" w:cs="Arial"/>
          <w:color w:val="000000"/>
        </w:rPr>
      </w:pPr>
      <w:r w:rsidRPr="001D7984">
        <w:rPr>
          <w:rFonts w:ascii="Arial" w:hAnsi="Arial" w:cs="Arial"/>
          <w:color w:val="000000"/>
        </w:rPr>
        <w:t xml:space="preserve">A significant difference in cane yield was observed among various sugarcane varieties (Table 1) </w:t>
      </w:r>
      <w:r w:rsidR="00C42FBF">
        <w:rPr>
          <w:rFonts w:ascii="Arial" w:hAnsi="Arial" w:cs="Arial"/>
          <w:color w:val="000000"/>
        </w:rPr>
        <w:t>in</w:t>
      </w:r>
      <w:r w:rsidRPr="001D7984">
        <w:rPr>
          <w:rFonts w:ascii="Arial" w:hAnsi="Arial" w:cs="Arial"/>
          <w:color w:val="000000"/>
        </w:rPr>
        <w:t xml:space="preserve"> Pyinmana and Nyuangpintha</w:t>
      </w:r>
      <w:r w:rsidR="00C42FBF">
        <w:rPr>
          <w:rFonts w:ascii="Arial" w:hAnsi="Arial" w:cs="Arial"/>
          <w:color w:val="000000"/>
        </w:rPr>
        <w:t>.</w:t>
      </w:r>
      <w:r w:rsidRPr="001D7984">
        <w:rPr>
          <w:rFonts w:ascii="Arial" w:hAnsi="Arial" w:cs="Arial"/>
          <w:color w:val="000000"/>
        </w:rPr>
        <w:t xml:space="preserve"> However, no significant differences were found among the harvesting ages (Table 1). At Pyinmana, the highest cane yield of 92.56 t ha</w:t>
      </w:r>
      <w:r w:rsidRPr="00F00371">
        <w:rPr>
          <w:rFonts w:ascii="Arial" w:hAnsi="Arial" w:cs="Arial"/>
          <w:color w:val="000000"/>
          <w:vertAlign w:val="superscript"/>
        </w:rPr>
        <w:t>-1</w:t>
      </w:r>
      <w:r w:rsidRPr="001D7984">
        <w:rPr>
          <w:rFonts w:ascii="Arial" w:hAnsi="Arial" w:cs="Arial"/>
          <w:color w:val="000000"/>
        </w:rPr>
        <w:t xml:space="preserve"> was recorded for the PMA-7 variety, while the PMA-9 variety yielded 89.90 t ha</w:t>
      </w:r>
      <w:r w:rsidRPr="00F00371">
        <w:rPr>
          <w:rFonts w:ascii="Arial" w:hAnsi="Arial" w:cs="Arial"/>
          <w:color w:val="000000"/>
          <w:vertAlign w:val="superscript"/>
        </w:rPr>
        <w:t>-1</w:t>
      </w:r>
      <w:r w:rsidRPr="001D7984">
        <w:rPr>
          <w:rFonts w:ascii="Arial" w:hAnsi="Arial" w:cs="Arial"/>
          <w:color w:val="000000"/>
        </w:rPr>
        <w:t xml:space="preserve"> at Nyuangpintha. The variation in cane yields among the tested varieties may be attributed to their distinct characteristics. These findings support those reported by Abd El-Azez, Nagib, and Elwan (2018), who also found significant differences in cane yield among the studied varieties. </w:t>
      </w:r>
    </w:p>
    <w:p w14:paraId="0C4C7BBD" w14:textId="62D55714" w:rsidR="004B14C8" w:rsidRPr="004B14C8" w:rsidRDefault="001D7984" w:rsidP="00AB148C">
      <w:pPr>
        <w:widowControl w:val="0"/>
        <w:autoSpaceDE w:val="0"/>
        <w:autoSpaceDN w:val="0"/>
        <w:adjustRightInd w:val="0"/>
        <w:spacing w:line="360" w:lineRule="auto"/>
        <w:ind w:firstLine="720"/>
        <w:jc w:val="both"/>
        <w:rPr>
          <w:rFonts w:ascii="Arial" w:hAnsi="Arial" w:cs="Arial"/>
          <w:color w:val="000000"/>
        </w:rPr>
      </w:pPr>
      <w:r w:rsidRPr="001D7984">
        <w:rPr>
          <w:rFonts w:ascii="Arial" w:hAnsi="Arial" w:cs="Arial"/>
          <w:color w:val="000000"/>
        </w:rPr>
        <w:t>Additionally, the highest cane yields of 88.41 t ha</w:t>
      </w:r>
      <w:r w:rsidRPr="00AF6976">
        <w:rPr>
          <w:rFonts w:ascii="Arial" w:hAnsi="Arial" w:cs="Arial"/>
          <w:color w:val="000000"/>
          <w:vertAlign w:val="superscript"/>
        </w:rPr>
        <w:t>-1</w:t>
      </w:r>
      <w:r w:rsidRPr="001D7984">
        <w:rPr>
          <w:rFonts w:ascii="Arial" w:hAnsi="Arial" w:cs="Arial"/>
          <w:color w:val="000000"/>
        </w:rPr>
        <w:t xml:space="preserve"> at Pyinmana and 85.72 t ha</w:t>
      </w:r>
      <w:r w:rsidRPr="00AF6976">
        <w:rPr>
          <w:rFonts w:ascii="Arial" w:hAnsi="Arial" w:cs="Arial"/>
          <w:color w:val="000000"/>
          <w:vertAlign w:val="superscript"/>
        </w:rPr>
        <w:t>-1</w:t>
      </w:r>
      <w:r w:rsidRPr="001D7984">
        <w:rPr>
          <w:rFonts w:ascii="Arial" w:hAnsi="Arial" w:cs="Arial"/>
          <w:color w:val="000000"/>
        </w:rPr>
        <w:t xml:space="preserve"> at </w:t>
      </w:r>
      <w:r w:rsidRPr="001D7984">
        <w:rPr>
          <w:rFonts w:ascii="Arial" w:hAnsi="Arial" w:cs="Arial"/>
          <w:color w:val="000000"/>
        </w:rPr>
        <w:lastRenderedPageBreak/>
        <w:t>Nyuangpintha were observed at a harvesting age of H3</w:t>
      </w:r>
      <w:r w:rsidR="00C42FBF">
        <w:rPr>
          <w:rFonts w:ascii="Arial" w:hAnsi="Arial" w:cs="Arial"/>
          <w:color w:val="000000"/>
        </w:rPr>
        <w:t>.</w:t>
      </w:r>
      <w:r w:rsidRPr="001D7984">
        <w:rPr>
          <w:rFonts w:ascii="Arial" w:hAnsi="Arial" w:cs="Arial"/>
          <w:color w:val="000000"/>
        </w:rPr>
        <w:t xml:space="preserve"> </w:t>
      </w:r>
      <w:r w:rsidR="004B14C8" w:rsidRPr="00AD7CC8">
        <w:rPr>
          <w:rFonts w:ascii="Arial" w:hAnsi="Arial" w:cs="Arial"/>
          <w:color w:val="000000" w:themeColor="text1"/>
        </w:rPr>
        <w:t xml:space="preserve">Gemechis and Ebisa (2021) </w:t>
      </w:r>
      <w:r w:rsidR="004B14C8">
        <w:rPr>
          <w:rFonts w:ascii="Arial" w:hAnsi="Arial" w:cs="Arial"/>
        </w:rPr>
        <w:t>reported</w:t>
      </w:r>
      <w:r w:rsidR="004B14C8" w:rsidRPr="004B14C8">
        <w:rPr>
          <w:rFonts w:ascii="Arial" w:hAnsi="Arial" w:cs="Arial"/>
        </w:rPr>
        <w:t xml:space="preserve"> that this </w:t>
      </w:r>
      <w:r w:rsidR="00397269">
        <w:rPr>
          <w:rFonts w:ascii="Arial" w:hAnsi="Arial" w:cs="Arial"/>
        </w:rPr>
        <w:t>may</w:t>
      </w:r>
      <w:r w:rsidR="004B14C8" w:rsidRPr="004B14C8">
        <w:rPr>
          <w:rFonts w:ascii="Arial" w:hAnsi="Arial" w:cs="Arial"/>
        </w:rPr>
        <w:t xml:space="preserve"> be due to the contribution of maximum cane yield at the harvest age and the increasing effect of quality parameters with </w:t>
      </w:r>
      <w:r w:rsidR="004B14C8">
        <w:rPr>
          <w:rFonts w:ascii="Arial" w:hAnsi="Arial" w:cs="Arial"/>
        </w:rPr>
        <w:t>extend</w:t>
      </w:r>
      <w:r w:rsidR="004B14C8" w:rsidRPr="004B14C8">
        <w:rPr>
          <w:rFonts w:ascii="Arial" w:hAnsi="Arial" w:cs="Arial"/>
        </w:rPr>
        <w:t>ing age.</w:t>
      </w:r>
    </w:p>
    <w:p w14:paraId="302BC07D" w14:textId="098143E3" w:rsidR="001338EB" w:rsidRPr="00BA2540" w:rsidRDefault="00871649" w:rsidP="00AF6976">
      <w:pPr>
        <w:pStyle w:val="Body"/>
        <w:spacing w:after="0"/>
        <w:ind w:left="1080" w:hanging="1080"/>
        <w:rPr>
          <w:rFonts w:ascii="Arial" w:hAnsi="Arial" w:cs="Arial"/>
        </w:rPr>
      </w:pPr>
      <w:r w:rsidRPr="00BA2540">
        <w:rPr>
          <w:rFonts w:ascii="Arial" w:eastAsia="Calibri" w:hAnsi="Arial" w:cs="Arial"/>
          <w:b/>
          <w:bCs/>
          <w:color w:val="000000"/>
        </w:rPr>
        <w:t xml:space="preserve">Table </w:t>
      </w:r>
      <w:r>
        <w:rPr>
          <w:rFonts w:ascii="Arial" w:eastAsia="Calibri" w:hAnsi="Arial" w:cs="Arial"/>
          <w:b/>
          <w:bCs/>
          <w:color w:val="000000"/>
        </w:rPr>
        <w:t>1</w:t>
      </w:r>
      <w:r w:rsidRPr="00BA2540">
        <w:rPr>
          <w:rFonts w:ascii="Arial" w:eastAsia="Calibri" w:hAnsi="Arial" w:cs="Arial"/>
          <w:b/>
          <w:bCs/>
          <w:color w:val="000000"/>
        </w:rPr>
        <w:t xml:space="preserve"> Yield and yield components of sugarcane </w:t>
      </w:r>
      <w:r w:rsidR="003F1E77" w:rsidRPr="0085181C">
        <w:rPr>
          <w:rFonts w:ascii="Arial" w:eastAsia="Calibri" w:hAnsi="Arial" w:cs="Arial"/>
          <w:b/>
          <w:bCs/>
          <w:color w:val="000000"/>
          <w:spacing w:val="-8"/>
        </w:rPr>
        <w:t>as affected by varieties and harvesting ages</w:t>
      </w:r>
    </w:p>
    <w:tbl>
      <w:tblPr>
        <w:tblW w:w="5000" w:type="pct"/>
        <w:tblLook w:val="04A0" w:firstRow="1" w:lastRow="0" w:firstColumn="1" w:lastColumn="0" w:noHBand="0" w:noVBand="1"/>
      </w:tblPr>
      <w:tblGrid>
        <w:gridCol w:w="1267"/>
        <w:gridCol w:w="1222"/>
        <w:gridCol w:w="240"/>
        <w:gridCol w:w="1015"/>
        <w:gridCol w:w="360"/>
        <w:gridCol w:w="734"/>
        <w:gridCol w:w="272"/>
        <w:gridCol w:w="791"/>
        <w:gridCol w:w="296"/>
        <w:gridCol w:w="672"/>
        <w:gridCol w:w="283"/>
        <w:gridCol w:w="1070"/>
        <w:gridCol w:w="15"/>
        <w:gridCol w:w="187"/>
      </w:tblGrid>
      <w:tr w:rsidR="00AF6976" w:rsidRPr="008E13BC" w14:paraId="0F62FBE6" w14:textId="77777777" w:rsidTr="00AF6976">
        <w:trPr>
          <w:gridAfter w:val="1"/>
          <w:wAfter w:w="125" w:type="pct"/>
          <w:trHeight w:val="205"/>
        </w:trPr>
        <w:tc>
          <w:tcPr>
            <w:tcW w:w="794" w:type="pct"/>
            <w:vMerge w:val="restart"/>
            <w:tcBorders>
              <w:top w:val="single" w:sz="4" w:space="0" w:color="auto"/>
              <w:left w:val="nil"/>
              <w:bottom w:val="single" w:sz="4" w:space="0" w:color="000000"/>
              <w:right w:val="nil"/>
            </w:tcBorders>
            <w:noWrap/>
            <w:vAlign w:val="center"/>
            <w:hideMark/>
          </w:tcPr>
          <w:p w14:paraId="58FD5B7F"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Treatment</w:t>
            </w:r>
          </w:p>
        </w:tc>
        <w:tc>
          <w:tcPr>
            <w:tcW w:w="2123" w:type="pct"/>
            <w:gridSpan w:val="5"/>
            <w:tcBorders>
              <w:top w:val="single" w:sz="4" w:space="0" w:color="auto"/>
              <w:left w:val="nil"/>
              <w:bottom w:val="single" w:sz="4" w:space="0" w:color="auto"/>
              <w:right w:val="nil"/>
            </w:tcBorders>
            <w:vAlign w:val="bottom"/>
            <w:hideMark/>
          </w:tcPr>
          <w:p w14:paraId="0AABEF1B" w14:textId="1F04458C"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P</w:t>
            </w:r>
            <w:r w:rsidR="00444110">
              <w:rPr>
                <w:rFonts w:ascii="Arial" w:hAnsi="Arial" w:cs="Arial"/>
                <w:b/>
                <w:bCs/>
                <w:color w:val="000000"/>
                <w:lang w:eastAsia="ja-JP"/>
              </w:rPr>
              <w:t>yinmana</w:t>
            </w:r>
            <w:r w:rsidRPr="008E13BC">
              <w:rPr>
                <w:rFonts w:ascii="Arial" w:hAnsi="Arial" w:cs="Arial"/>
                <w:b/>
                <w:bCs/>
                <w:color w:val="000000"/>
                <w:lang w:eastAsia="ja-JP"/>
              </w:rPr>
              <w:t xml:space="preserve"> </w:t>
            </w:r>
            <w:r w:rsidR="0050402D">
              <w:rPr>
                <w:rFonts w:ascii="Arial" w:hAnsi="Arial" w:cs="Arial"/>
                <w:b/>
                <w:bCs/>
                <w:color w:val="000000"/>
                <w:lang w:eastAsia="ja-JP"/>
              </w:rPr>
              <w:t>Site</w:t>
            </w:r>
          </w:p>
        </w:tc>
        <w:tc>
          <w:tcPr>
            <w:tcW w:w="1958" w:type="pct"/>
            <w:gridSpan w:val="7"/>
            <w:tcBorders>
              <w:top w:val="single" w:sz="4" w:space="0" w:color="auto"/>
              <w:left w:val="nil"/>
              <w:bottom w:val="single" w:sz="4" w:space="0" w:color="auto"/>
              <w:right w:val="nil"/>
            </w:tcBorders>
            <w:noWrap/>
            <w:vAlign w:val="bottom"/>
            <w:hideMark/>
          </w:tcPr>
          <w:p w14:paraId="01009BBB" w14:textId="1D75AD9E"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N</w:t>
            </w:r>
            <w:r w:rsidR="00444110">
              <w:rPr>
                <w:rFonts w:ascii="Arial" w:hAnsi="Arial" w:cs="Arial"/>
                <w:b/>
                <w:bCs/>
                <w:color w:val="000000"/>
                <w:lang w:eastAsia="ja-JP"/>
              </w:rPr>
              <w:t>yaungpintha</w:t>
            </w:r>
            <w:r w:rsidR="0050402D">
              <w:rPr>
                <w:rFonts w:ascii="Arial" w:hAnsi="Arial" w:cs="Arial"/>
                <w:b/>
                <w:bCs/>
                <w:color w:val="000000"/>
                <w:lang w:eastAsia="ja-JP"/>
              </w:rPr>
              <w:t xml:space="preserve"> Site</w:t>
            </w:r>
          </w:p>
        </w:tc>
      </w:tr>
      <w:tr w:rsidR="00AF6976" w:rsidRPr="008E13BC" w14:paraId="6EA08821" w14:textId="77777777" w:rsidTr="00AF6976">
        <w:trPr>
          <w:gridAfter w:val="2"/>
          <w:wAfter w:w="135" w:type="pct"/>
          <w:trHeight w:val="576"/>
        </w:trPr>
        <w:tc>
          <w:tcPr>
            <w:tcW w:w="794" w:type="pct"/>
            <w:vMerge/>
            <w:tcBorders>
              <w:top w:val="nil"/>
              <w:left w:val="nil"/>
              <w:bottom w:val="single" w:sz="4" w:space="0" w:color="000000"/>
              <w:right w:val="nil"/>
            </w:tcBorders>
            <w:vAlign w:val="center"/>
            <w:hideMark/>
          </w:tcPr>
          <w:p w14:paraId="63666B6A" w14:textId="77777777" w:rsidR="00871649" w:rsidRPr="008E13BC" w:rsidRDefault="00871649" w:rsidP="00AF6976">
            <w:pPr>
              <w:rPr>
                <w:rFonts w:ascii="Arial" w:hAnsi="Arial" w:cs="Arial"/>
                <w:b/>
                <w:bCs/>
                <w:color w:val="000000"/>
                <w:lang w:eastAsia="ja-JP"/>
              </w:rPr>
            </w:pPr>
          </w:p>
        </w:tc>
        <w:tc>
          <w:tcPr>
            <w:tcW w:w="764" w:type="pct"/>
            <w:tcBorders>
              <w:top w:val="single" w:sz="4" w:space="0" w:color="auto"/>
              <w:left w:val="nil"/>
              <w:bottom w:val="single" w:sz="4" w:space="0" w:color="auto"/>
              <w:right w:val="nil"/>
            </w:tcBorders>
            <w:vAlign w:val="center"/>
            <w:hideMark/>
          </w:tcPr>
          <w:p w14:paraId="6B33A413"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Single cane</w:t>
            </w:r>
            <w:r w:rsidRPr="008E13BC">
              <w:rPr>
                <w:rFonts w:ascii="Arial" w:hAnsi="Arial" w:cs="Arial"/>
                <w:b/>
                <w:bCs/>
                <w:color w:val="000000"/>
                <w:lang w:eastAsia="ja-JP"/>
              </w:rPr>
              <w:br/>
              <w:t>weight (kg)</w:t>
            </w:r>
          </w:p>
        </w:tc>
        <w:tc>
          <w:tcPr>
            <w:tcW w:w="733" w:type="pct"/>
            <w:gridSpan w:val="2"/>
            <w:tcBorders>
              <w:top w:val="single" w:sz="4" w:space="0" w:color="auto"/>
              <w:left w:val="nil"/>
              <w:bottom w:val="single" w:sz="4" w:space="0" w:color="auto"/>
              <w:right w:val="nil"/>
            </w:tcBorders>
            <w:vAlign w:val="center"/>
            <w:hideMark/>
          </w:tcPr>
          <w:p w14:paraId="372A57E7"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Millable cane</w:t>
            </w:r>
            <w:r w:rsidRPr="008E13BC">
              <w:rPr>
                <w:rFonts w:ascii="Arial" w:hAnsi="Arial" w:cs="Arial"/>
                <w:b/>
                <w:bCs/>
                <w:color w:val="000000"/>
                <w:lang w:eastAsia="ja-JP"/>
              </w:rPr>
              <w:br/>
              <w:t>(ha</w:t>
            </w:r>
            <w:r w:rsidRPr="008E13BC">
              <w:rPr>
                <w:rFonts w:ascii="Arial" w:hAnsi="Arial" w:cs="Arial"/>
                <w:b/>
                <w:bCs/>
                <w:color w:val="000000"/>
                <w:vertAlign w:val="superscript"/>
                <w:lang w:eastAsia="ja-JP"/>
              </w:rPr>
              <w:t>-1)</w:t>
            </w:r>
          </w:p>
        </w:tc>
        <w:tc>
          <w:tcPr>
            <w:tcW w:w="626" w:type="pct"/>
            <w:gridSpan w:val="2"/>
            <w:tcBorders>
              <w:top w:val="single" w:sz="4" w:space="0" w:color="auto"/>
              <w:left w:val="nil"/>
              <w:bottom w:val="single" w:sz="4" w:space="0" w:color="auto"/>
              <w:right w:val="nil"/>
            </w:tcBorders>
            <w:vAlign w:val="center"/>
            <w:hideMark/>
          </w:tcPr>
          <w:p w14:paraId="6E7AFB14"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Cane yield</w:t>
            </w:r>
            <w:r w:rsidRPr="008E13BC">
              <w:rPr>
                <w:rFonts w:ascii="Arial" w:hAnsi="Arial" w:cs="Arial"/>
                <w:b/>
                <w:bCs/>
                <w:color w:val="000000"/>
                <w:lang w:eastAsia="ja-JP"/>
              </w:rPr>
              <w:br/>
              <w:t>( t ha</w:t>
            </w:r>
            <w:r w:rsidRPr="008E13BC">
              <w:rPr>
                <w:rFonts w:ascii="Arial" w:hAnsi="Arial" w:cs="Arial"/>
                <w:b/>
                <w:bCs/>
                <w:color w:val="000000"/>
                <w:vertAlign w:val="superscript"/>
                <w:lang w:eastAsia="ja-JP"/>
              </w:rPr>
              <w:t>-1</w:t>
            </w:r>
            <w:r w:rsidRPr="008E13BC">
              <w:rPr>
                <w:rFonts w:ascii="Arial" w:hAnsi="Arial" w:cs="Arial"/>
                <w:b/>
                <w:bCs/>
                <w:color w:val="000000"/>
                <w:lang w:eastAsia="ja-JP"/>
              </w:rPr>
              <w:t>)</w:t>
            </w:r>
          </w:p>
        </w:tc>
        <w:tc>
          <w:tcPr>
            <w:tcW w:w="606" w:type="pct"/>
            <w:gridSpan w:val="2"/>
            <w:tcBorders>
              <w:top w:val="single" w:sz="4" w:space="0" w:color="auto"/>
              <w:left w:val="nil"/>
              <w:bottom w:val="single" w:sz="4" w:space="0" w:color="auto"/>
              <w:right w:val="nil"/>
            </w:tcBorders>
            <w:vAlign w:val="center"/>
            <w:hideMark/>
          </w:tcPr>
          <w:p w14:paraId="7EFF1703"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Single cane</w:t>
            </w:r>
            <w:r w:rsidRPr="008E13BC">
              <w:rPr>
                <w:rFonts w:ascii="Arial" w:hAnsi="Arial" w:cs="Arial"/>
                <w:b/>
                <w:bCs/>
                <w:color w:val="000000"/>
                <w:lang w:eastAsia="ja-JP"/>
              </w:rPr>
              <w:br/>
              <w:t>weight (kg)</w:t>
            </w:r>
          </w:p>
        </w:tc>
        <w:tc>
          <w:tcPr>
            <w:tcW w:w="543" w:type="pct"/>
            <w:gridSpan w:val="2"/>
            <w:tcBorders>
              <w:top w:val="single" w:sz="4" w:space="0" w:color="auto"/>
              <w:left w:val="nil"/>
              <w:bottom w:val="single" w:sz="4" w:space="0" w:color="auto"/>
              <w:right w:val="nil"/>
            </w:tcBorders>
            <w:vAlign w:val="center"/>
            <w:hideMark/>
          </w:tcPr>
          <w:p w14:paraId="1B22CBE6"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Millable cane</w:t>
            </w:r>
            <w:r w:rsidRPr="008E13BC">
              <w:rPr>
                <w:rFonts w:ascii="Arial" w:hAnsi="Arial" w:cs="Arial"/>
                <w:b/>
                <w:bCs/>
                <w:color w:val="000000"/>
                <w:lang w:eastAsia="ja-JP"/>
              </w:rPr>
              <w:br/>
              <w:t>(ha</w:t>
            </w:r>
            <w:r w:rsidRPr="008E13BC">
              <w:rPr>
                <w:rFonts w:ascii="Arial" w:hAnsi="Arial" w:cs="Arial"/>
                <w:b/>
                <w:bCs/>
                <w:color w:val="000000"/>
                <w:vertAlign w:val="superscript"/>
                <w:lang w:eastAsia="ja-JP"/>
              </w:rPr>
              <w:t>-1</w:t>
            </w:r>
            <w:r w:rsidRPr="008E13BC">
              <w:rPr>
                <w:rFonts w:ascii="Arial" w:hAnsi="Arial" w:cs="Arial"/>
                <w:b/>
                <w:bCs/>
                <w:color w:val="000000"/>
                <w:lang w:eastAsia="ja-JP"/>
              </w:rPr>
              <w:t>)</w:t>
            </w:r>
          </w:p>
        </w:tc>
        <w:tc>
          <w:tcPr>
            <w:tcW w:w="799" w:type="pct"/>
            <w:gridSpan w:val="2"/>
            <w:tcBorders>
              <w:top w:val="single" w:sz="4" w:space="0" w:color="auto"/>
              <w:left w:val="nil"/>
              <w:bottom w:val="single" w:sz="4" w:space="0" w:color="auto"/>
              <w:right w:val="nil"/>
            </w:tcBorders>
            <w:vAlign w:val="center"/>
            <w:hideMark/>
          </w:tcPr>
          <w:p w14:paraId="20F4E922" w14:textId="77777777" w:rsidR="00871649" w:rsidRPr="008E13BC" w:rsidRDefault="00871649" w:rsidP="00AF6976">
            <w:pPr>
              <w:jc w:val="center"/>
              <w:rPr>
                <w:rFonts w:ascii="Arial" w:hAnsi="Arial" w:cs="Arial"/>
                <w:b/>
                <w:bCs/>
                <w:color w:val="000000"/>
                <w:lang w:eastAsia="ja-JP"/>
              </w:rPr>
            </w:pPr>
            <w:r w:rsidRPr="008E13BC">
              <w:rPr>
                <w:rFonts w:ascii="Arial" w:hAnsi="Arial" w:cs="Arial"/>
                <w:b/>
                <w:bCs/>
                <w:color w:val="000000"/>
                <w:lang w:eastAsia="ja-JP"/>
              </w:rPr>
              <w:t>Cane yield</w:t>
            </w:r>
            <w:r w:rsidRPr="008E13BC">
              <w:rPr>
                <w:rFonts w:ascii="Arial" w:hAnsi="Arial" w:cs="Arial"/>
                <w:b/>
                <w:bCs/>
                <w:color w:val="000000"/>
                <w:lang w:eastAsia="ja-JP"/>
              </w:rPr>
              <w:br/>
              <w:t>( t ha</w:t>
            </w:r>
            <w:r w:rsidRPr="008E13BC">
              <w:rPr>
                <w:rFonts w:ascii="Arial" w:hAnsi="Arial" w:cs="Arial"/>
                <w:b/>
                <w:bCs/>
                <w:color w:val="000000"/>
                <w:vertAlign w:val="superscript"/>
                <w:lang w:eastAsia="ja-JP"/>
              </w:rPr>
              <w:t>-1</w:t>
            </w:r>
            <w:r w:rsidRPr="008E13BC">
              <w:rPr>
                <w:rFonts w:ascii="Arial" w:hAnsi="Arial" w:cs="Arial"/>
                <w:b/>
                <w:bCs/>
                <w:color w:val="000000"/>
                <w:lang w:eastAsia="ja-JP"/>
              </w:rPr>
              <w:t>)</w:t>
            </w:r>
          </w:p>
        </w:tc>
      </w:tr>
      <w:tr w:rsidR="00AF6976" w:rsidRPr="008E13BC" w14:paraId="59C88508" w14:textId="77777777" w:rsidTr="00AF6976">
        <w:trPr>
          <w:gridAfter w:val="2"/>
          <w:wAfter w:w="135" w:type="pct"/>
          <w:trHeight w:val="249"/>
        </w:trPr>
        <w:tc>
          <w:tcPr>
            <w:tcW w:w="794" w:type="pct"/>
            <w:tcBorders>
              <w:top w:val="nil"/>
              <w:left w:val="nil"/>
              <w:bottom w:val="nil"/>
              <w:right w:val="nil"/>
            </w:tcBorders>
            <w:noWrap/>
            <w:vAlign w:val="bottom"/>
            <w:hideMark/>
          </w:tcPr>
          <w:p w14:paraId="1F933E78" w14:textId="0EFF98E8" w:rsidR="008836C9" w:rsidRPr="008E13BC" w:rsidRDefault="008836C9" w:rsidP="00AF6976">
            <w:pPr>
              <w:rPr>
                <w:rFonts w:ascii="Arial" w:hAnsi="Arial" w:cs="Arial"/>
                <w:b/>
                <w:bCs/>
                <w:color w:val="000000"/>
                <w:lang w:eastAsia="ja-JP"/>
              </w:rPr>
            </w:pPr>
            <w:r w:rsidRPr="00A16FCD">
              <w:rPr>
                <w:rFonts w:ascii="Arial" w:hAnsi="Arial" w:cs="Arial"/>
                <w:b/>
                <w:bCs/>
                <w:color w:val="000000"/>
                <w:lang w:eastAsia="ja-JP"/>
              </w:rPr>
              <w:t>Variety (A)</w:t>
            </w:r>
          </w:p>
        </w:tc>
        <w:tc>
          <w:tcPr>
            <w:tcW w:w="764" w:type="pct"/>
            <w:tcBorders>
              <w:top w:val="nil"/>
              <w:left w:val="nil"/>
              <w:bottom w:val="nil"/>
              <w:right w:val="nil"/>
            </w:tcBorders>
            <w:noWrap/>
            <w:vAlign w:val="bottom"/>
            <w:hideMark/>
          </w:tcPr>
          <w:p w14:paraId="6ED04B6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733" w:type="pct"/>
            <w:gridSpan w:val="2"/>
            <w:tcBorders>
              <w:top w:val="nil"/>
              <w:left w:val="nil"/>
              <w:bottom w:val="nil"/>
              <w:right w:val="nil"/>
            </w:tcBorders>
            <w:noWrap/>
            <w:vAlign w:val="bottom"/>
            <w:hideMark/>
          </w:tcPr>
          <w:p w14:paraId="47E95EA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626" w:type="pct"/>
            <w:gridSpan w:val="2"/>
            <w:tcBorders>
              <w:top w:val="nil"/>
              <w:left w:val="nil"/>
              <w:bottom w:val="nil"/>
              <w:right w:val="nil"/>
            </w:tcBorders>
            <w:noWrap/>
            <w:vAlign w:val="bottom"/>
            <w:hideMark/>
          </w:tcPr>
          <w:p w14:paraId="5EE1C56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606" w:type="pct"/>
            <w:gridSpan w:val="2"/>
            <w:tcBorders>
              <w:top w:val="nil"/>
              <w:left w:val="nil"/>
              <w:bottom w:val="nil"/>
              <w:right w:val="nil"/>
            </w:tcBorders>
            <w:noWrap/>
            <w:vAlign w:val="bottom"/>
            <w:hideMark/>
          </w:tcPr>
          <w:p w14:paraId="165FB161"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543" w:type="pct"/>
            <w:gridSpan w:val="2"/>
            <w:tcBorders>
              <w:top w:val="nil"/>
              <w:left w:val="nil"/>
              <w:bottom w:val="nil"/>
              <w:right w:val="nil"/>
            </w:tcBorders>
            <w:noWrap/>
            <w:vAlign w:val="bottom"/>
            <w:hideMark/>
          </w:tcPr>
          <w:p w14:paraId="7024945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799" w:type="pct"/>
            <w:gridSpan w:val="2"/>
            <w:tcBorders>
              <w:top w:val="nil"/>
              <w:left w:val="nil"/>
              <w:bottom w:val="nil"/>
              <w:right w:val="nil"/>
            </w:tcBorders>
            <w:noWrap/>
            <w:vAlign w:val="bottom"/>
            <w:hideMark/>
          </w:tcPr>
          <w:p w14:paraId="465C30C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r>
      <w:tr w:rsidR="00AF6976" w:rsidRPr="008E13BC" w14:paraId="15288791" w14:textId="77777777" w:rsidTr="00AF6976">
        <w:trPr>
          <w:gridAfter w:val="2"/>
          <w:wAfter w:w="135" w:type="pct"/>
          <w:trHeight w:val="328"/>
        </w:trPr>
        <w:tc>
          <w:tcPr>
            <w:tcW w:w="794" w:type="pct"/>
            <w:tcBorders>
              <w:top w:val="nil"/>
              <w:left w:val="nil"/>
              <w:bottom w:val="nil"/>
              <w:right w:val="nil"/>
            </w:tcBorders>
            <w:noWrap/>
            <w:vAlign w:val="bottom"/>
            <w:hideMark/>
          </w:tcPr>
          <w:p w14:paraId="7CA460F7" w14:textId="726197B2" w:rsidR="008836C9" w:rsidRPr="005B316B" w:rsidRDefault="008836C9" w:rsidP="00AF6976">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1</w:t>
            </w:r>
            <w:r w:rsidR="001338EB" w:rsidRPr="005B316B">
              <w:rPr>
                <w:rFonts w:ascii="Arial" w:hAnsi="Arial" w:cs="Arial"/>
                <w:color w:val="000000"/>
                <w:lang w:eastAsia="ja-JP"/>
              </w:rPr>
              <w:t xml:space="preserve"> (PMA-7)</w:t>
            </w:r>
          </w:p>
        </w:tc>
        <w:tc>
          <w:tcPr>
            <w:tcW w:w="764" w:type="pct"/>
            <w:tcBorders>
              <w:top w:val="nil"/>
              <w:left w:val="nil"/>
              <w:bottom w:val="nil"/>
              <w:right w:val="nil"/>
            </w:tcBorders>
            <w:noWrap/>
            <w:vAlign w:val="bottom"/>
            <w:hideMark/>
          </w:tcPr>
          <w:p w14:paraId="4928D47F"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1.76 a</w:t>
            </w:r>
          </w:p>
        </w:tc>
        <w:tc>
          <w:tcPr>
            <w:tcW w:w="733" w:type="pct"/>
            <w:gridSpan w:val="2"/>
            <w:tcBorders>
              <w:top w:val="nil"/>
              <w:left w:val="nil"/>
              <w:bottom w:val="nil"/>
              <w:right w:val="nil"/>
            </w:tcBorders>
            <w:noWrap/>
            <w:vAlign w:val="bottom"/>
            <w:hideMark/>
          </w:tcPr>
          <w:p w14:paraId="3E6CF436"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52701</w:t>
            </w:r>
          </w:p>
        </w:tc>
        <w:tc>
          <w:tcPr>
            <w:tcW w:w="626" w:type="pct"/>
            <w:gridSpan w:val="2"/>
            <w:tcBorders>
              <w:top w:val="nil"/>
              <w:left w:val="nil"/>
              <w:bottom w:val="nil"/>
              <w:right w:val="nil"/>
            </w:tcBorders>
            <w:noWrap/>
            <w:vAlign w:val="bottom"/>
            <w:hideMark/>
          </w:tcPr>
          <w:p w14:paraId="74E1A0EB"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92.56 a</w:t>
            </w:r>
          </w:p>
        </w:tc>
        <w:tc>
          <w:tcPr>
            <w:tcW w:w="606" w:type="pct"/>
            <w:gridSpan w:val="2"/>
            <w:tcBorders>
              <w:top w:val="nil"/>
              <w:left w:val="nil"/>
              <w:bottom w:val="nil"/>
              <w:right w:val="nil"/>
            </w:tcBorders>
            <w:noWrap/>
            <w:vAlign w:val="bottom"/>
            <w:hideMark/>
          </w:tcPr>
          <w:p w14:paraId="0EE74764"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1.64 b</w:t>
            </w:r>
          </w:p>
        </w:tc>
        <w:tc>
          <w:tcPr>
            <w:tcW w:w="543" w:type="pct"/>
            <w:gridSpan w:val="2"/>
            <w:tcBorders>
              <w:top w:val="nil"/>
              <w:left w:val="nil"/>
              <w:bottom w:val="nil"/>
              <w:right w:val="nil"/>
            </w:tcBorders>
            <w:noWrap/>
            <w:vAlign w:val="bottom"/>
            <w:hideMark/>
          </w:tcPr>
          <w:p w14:paraId="59AA901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48068</w:t>
            </w:r>
          </w:p>
        </w:tc>
        <w:tc>
          <w:tcPr>
            <w:tcW w:w="799" w:type="pct"/>
            <w:gridSpan w:val="2"/>
            <w:tcBorders>
              <w:top w:val="nil"/>
              <w:left w:val="nil"/>
              <w:bottom w:val="nil"/>
              <w:right w:val="nil"/>
            </w:tcBorders>
            <w:noWrap/>
            <w:vAlign w:val="bottom"/>
            <w:hideMark/>
          </w:tcPr>
          <w:p w14:paraId="7F665DC7"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79.09 b</w:t>
            </w:r>
          </w:p>
        </w:tc>
      </w:tr>
      <w:tr w:rsidR="00AF6976" w:rsidRPr="008E13BC" w14:paraId="58BE1EE3" w14:textId="77777777" w:rsidTr="00AF6976">
        <w:trPr>
          <w:gridAfter w:val="2"/>
          <w:wAfter w:w="135" w:type="pct"/>
          <w:trHeight w:val="328"/>
        </w:trPr>
        <w:tc>
          <w:tcPr>
            <w:tcW w:w="794" w:type="pct"/>
            <w:tcBorders>
              <w:top w:val="nil"/>
              <w:left w:val="nil"/>
              <w:bottom w:val="nil"/>
              <w:right w:val="nil"/>
            </w:tcBorders>
            <w:noWrap/>
            <w:vAlign w:val="bottom"/>
            <w:hideMark/>
          </w:tcPr>
          <w:p w14:paraId="4EE58B49" w14:textId="0E46E7E1" w:rsidR="008836C9" w:rsidRPr="005B316B" w:rsidRDefault="008836C9" w:rsidP="00AF6976">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2</w:t>
            </w:r>
            <w:r w:rsidR="001338EB" w:rsidRPr="005B316B">
              <w:rPr>
                <w:rFonts w:ascii="Arial" w:hAnsi="Arial" w:cs="Arial"/>
                <w:color w:val="000000"/>
                <w:vertAlign w:val="subscript"/>
                <w:lang w:eastAsia="ja-JP"/>
              </w:rPr>
              <w:t xml:space="preserve"> </w:t>
            </w:r>
            <w:r w:rsidR="001338EB" w:rsidRPr="005B316B">
              <w:rPr>
                <w:rFonts w:ascii="Arial" w:hAnsi="Arial" w:cs="Arial"/>
                <w:color w:val="000000"/>
                <w:lang w:eastAsia="ja-JP"/>
              </w:rPr>
              <w:t>(PMA-8)</w:t>
            </w:r>
          </w:p>
        </w:tc>
        <w:tc>
          <w:tcPr>
            <w:tcW w:w="764" w:type="pct"/>
            <w:tcBorders>
              <w:top w:val="nil"/>
              <w:left w:val="nil"/>
              <w:bottom w:val="nil"/>
              <w:right w:val="nil"/>
            </w:tcBorders>
            <w:noWrap/>
            <w:vAlign w:val="bottom"/>
            <w:hideMark/>
          </w:tcPr>
          <w:p w14:paraId="571D3F8B"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xml:space="preserve"> 1.68 ab</w:t>
            </w:r>
          </w:p>
        </w:tc>
        <w:tc>
          <w:tcPr>
            <w:tcW w:w="733" w:type="pct"/>
            <w:gridSpan w:val="2"/>
            <w:tcBorders>
              <w:top w:val="nil"/>
              <w:left w:val="nil"/>
              <w:bottom w:val="nil"/>
              <w:right w:val="nil"/>
            </w:tcBorders>
            <w:noWrap/>
            <w:vAlign w:val="bottom"/>
            <w:hideMark/>
          </w:tcPr>
          <w:p w14:paraId="181B910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50310</w:t>
            </w:r>
          </w:p>
        </w:tc>
        <w:tc>
          <w:tcPr>
            <w:tcW w:w="626" w:type="pct"/>
            <w:gridSpan w:val="2"/>
            <w:tcBorders>
              <w:top w:val="nil"/>
              <w:left w:val="nil"/>
              <w:bottom w:val="nil"/>
              <w:right w:val="nil"/>
            </w:tcBorders>
            <w:noWrap/>
            <w:vAlign w:val="bottom"/>
            <w:hideMark/>
          </w:tcPr>
          <w:p w14:paraId="7497E26E"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84.37 b</w:t>
            </w:r>
          </w:p>
        </w:tc>
        <w:tc>
          <w:tcPr>
            <w:tcW w:w="606" w:type="pct"/>
            <w:gridSpan w:val="2"/>
            <w:tcBorders>
              <w:top w:val="nil"/>
              <w:left w:val="nil"/>
              <w:bottom w:val="nil"/>
              <w:right w:val="nil"/>
            </w:tcBorders>
            <w:noWrap/>
            <w:vAlign w:val="bottom"/>
            <w:hideMark/>
          </w:tcPr>
          <w:p w14:paraId="01D67FD7"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xml:space="preserve"> 1.58 b</w:t>
            </w:r>
          </w:p>
        </w:tc>
        <w:tc>
          <w:tcPr>
            <w:tcW w:w="543" w:type="pct"/>
            <w:gridSpan w:val="2"/>
            <w:tcBorders>
              <w:top w:val="nil"/>
              <w:left w:val="nil"/>
              <w:bottom w:val="nil"/>
              <w:right w:val="nil"/>
            </w:tcBorders>
            <w:noWrap/>
            <w:vAlign w:val="bottom"/>
            <w:hideMark/>
          </w:tcPr>
          <w:p w14:paraId="1CF3018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46898</w:t>
            </w:r>
          </w:p>
        </w:tc>
        <w:tc>
          <w:tcPr>
            <w:tcW w:w="799" w:type="pct"/>
            <w:gridSpan w:val="2"/>
            <w:tcBorders>
              <w:top w:val="nil"/>
              <w:left w:val="nil"/>
              <w:bottom w:val="nil"/>
              <w:right w:val="nil"/>
            </w:tcBorders>
            <w:noWrap/>
            <w:vAlign w:val="bottom"/>
            <w:hideMark/>
          </w:tcPr>
          <w:p w14:paraId="318F124F"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xml:space="preserve"> 74.04 b</w:t>
            </w:r>
          </w:p>
        </w:tc>
      </w:tr>
      <w:tr w:rsidR="00AF6976" w:rsidRPr="008E13BC" w14:paraId="3124C9D1"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10B3E187" w14:textId="07F83B6C" w:rsidR="008836C9" w:rsidRPr="005B316B" w:rsidRDefault="008836C9" w:rsidP="00AF6976">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3</w:t>
            </w:r>
            <w:r w:rsidR="001338EB" w:rsidRPr="005B316B">
              <w:rPr>
                <w:rFonts w:ascii="Arial" w:hAnsi="Arial" w:cs="Arial"/>
                <w:color w:val="000000"/>
                <w:vertAlign w:val="subscript"/>
                <w:lang w:eastAsia="ja-JP"/>
              </w:rPr>
              <w:t xml:space="preserve"> </w:t>
            </w:r>
            <w:r w:rsidR="001338EB" w:rsidRPr="005B316B">
              <w:rPr>
                <w:rFonts w:ascii="Arial" w:hAnsi="Arial" w:cs="Arial"/>
                <w:color w:val="000000"/>
                <w:lang w:eastAsia="ja-JP"/>
              </w:rPr>
              <w:t>(PMA-9</w:t>
            </w:r>
            <w:r w:rsidR="007F0595">
              <w:rPr>
                <w:rFonts w:ascii="Arial" w:hAnsi="Arial" w:cs="Arial"/>
                <w:color w:val="000000"/>
                <w:lang w:eastAsia="ja-JP"/>
              </w:rPr>
              <w:t>)</w:t>
            </w:r>
          </w:p>
        </w:tc>
        <w:tc>
          <w:tcPr>
            <w:tcW w:w="764" w:type="pct"/>
            <w:tcBorders>
              <w:top w:val="nil"/>
              <w:left w:val="nil"/>
              <w:bottom w:val="single" w:sz="4" w:space="0" w:color="auto"/>
              <w:right w:val="nil"/>
            </w:tcBorders>
            <w:noWrap/>
            <w:vAlign w:val="bottom"/>
            <w:hideMark/>
          </w:tcPr>
          <w:p w14:paraId="5FDFC39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1.64 b</w:t>
            </w:r>
          </w:p>
        </w:tc>
        <w:tc>
          <w:tcPr>
            <w:tcW w:w="733" w:type="pct"/>
            <w:gridSpan w:val="2"/>
            <w:tcBorders>
              <w:top w:val="nil"/>
              <w:left w:val="nil"/>
              <w:bottom w:val="single" w:sz="4" w:space="0" w:color="auto"/>
              <w:right w:val="nil"/>
            </w:tcBorders>
            <w:noWrap/>
            <w:vAlign w:val="bottom"/>
            <w:hideMark/>
          </w:tcPr>
          <w:p w14:paraId="265E957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48068</w:t>
            </w:r>
          </w:p>
        </w:tc>
        <w:tc>
          <w:tcPr>
            <w:tcW w:w="626" w:type="pct"/>
            <w:gridSpan w:val="2"/>
            <w:tcBorders>
              <w:top w:val="nil"/>
              <w:left w:val="nil"/>
              <w:bottom w:val="single" w:sz="4" w:space="0" w:color="auto"/>
              <w:right w:val="nil"/>
            </w:tcBorders>
            <w:noWrap/>
            <w:vAlign w:val="bottom"/>
            <w:hideMark/>
          </w:tcPr>
          <w:p w14:paraId="1599303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78.82 b</w:t>
            </w:r>
          </w:p>
        </w:tc>
        <w:tc>
          <w:tcPr>
            <w:tcW w:w="606" w:type="pct"/>
            <w:gridSpan w:val="2"/>
            <w:tcBorders>
              <w:top w:val="nil"/>
              <w:left w:val="nil"/>
              <w:bottom w:val="single" w:sz="4" w:space="0" w:color="auto"/>
              <w:right w:val="nil"/>
            </w:tcBorders>
            <w:noWrap/>
            <w:vAlign w:val="bottom"/>
            <w:hideMark/>
          </w:tcPr>
          <w:p w14:paraId="30DB0E49"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1.81 a</w:t>
            </w:r>
          </w:p>
        </w:tc>
        <w:tc>
          <w:tcPr>
            <w:tcW w:w="543" w:type="pct"/>
            <w:gridSpan w:val="2"/>
            <w:tcBorders>
              <w:top w:val="nil"/>
              <w:left w:val="nil"/>
              <w:bottom w:val="single" w:sz="4" w:space="0" w:color="auto"/>
              <w:right w:val="nil"/>
            </w:tcBorders>
            <w:noWrap/>
            <w:vAlign w:val="bottom"/>
            <w:hideMark/>
          </w:tcPr>
          <w:p w14:paraId="5EBFE6B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49762</w:t>
            </w:r>
          </w:p>
        </w:tc>
        <w:tc>
          <w:tcPr>
            <w:tcW w:w="799" w:type="pct"/>
            <w:gridSpan w:val="2"/>
            <w:tcBorders>
              <w:top w:val="nil"/>
              <w:left w:val="nil"/>
              <w:bottom w:val="single" w:sz="4" w:space="0" w:color="auto"/>
              <w:right w:val="nil"/>
            </w:tcBorders>
            <w:noWrap/>
            <w:vAlign w:val="bottom"/>
            <w:hideMark/>
          </w:tcPr>
          <w:p w14:paraId="0303501B"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89.90 a</w:t>
            </w:r>
          </w:p>
        </w:tc>
      </w:tr>
      <w:tr w:rsidR="00AF6976" w:rsidRPr="008E13BC" w14:paraId="3C42E46B" w14:textId="77777777" w:rsidTr="00AF6976">
        <w:trPr>
          <w:gridAfter w:val="2"/>
          <w:wAfter w:w="135" w:type="pct"/>
          <w:trHeight w:val="198"/>
        </w:trPr>
        <w:tc>
          <w:tcPr>
            <w:tcW w:w="794" w:type="pct"/>
            <w:tcBorders>
              <w:top w:val="single" w:sz="4" w:space="0" w:color="auto"/>
              <w:left w:val="nil"/>
              <w:bottom w:val="single" w:sz="4" w:space="0" w:color="auto"/>
              <w:right w:val="nil"/>
            </w:tcBorders>
            <w:noWrap/>
            <w:vAlign w:val="bottom"/>
            <w:hideMark/>
          </w:tcPr>
          <w:p w14:paraId="6B5F1EA2" w14:textId="3C600653"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 xml:space="preserve">LSD </w:t>
            </w:r>
            <w:r w:rsidRPr="00A16FCD">
              <w:rPr>
                <w:rFonts w:ascii="Arial" w:hAnsi="Arial" w:cs="Arial"/>
                <w:color w:val="000000"/>
                <w:vertAlign w:val="subscript"/>
                <w:lang w:eastAsia="ja-JP"/>
              </w:rPr>
              <w:t>0.05</w:t>
            </w:r>
          </w:p>
        </w:tc>
        <w:tc>
          <w:tcPr>
            <w:tcW w:w="764" w:type="pct"/>
            <w:tcBorders>
              <w:top w:val="single" w:sz="4" w:space="0" w:color="auto"/>
              <w:left w:val="nil"/>
              <w:bottom w:val="single" w:sz="4" w:space="0" w:color="auto"/>
              <w:right w:val="nil"/>
            </w:tcBorders>
            <w:noWrap/>
            <w:vAlign w:val="bottom"/>
            <w:hideMark/>
          </w:tcPr>
          <w:p w14:paraId="3B27172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0.08</w:t>
            </w:r>
          </w:p>
        </w:tc>
        <w:tc>
          <w:tcPr>
            <w:tcW w:w="733" w:type="pct"/>
            <w:gridSpan w:val="2"/>
            <w:tcBorders>
              <w:top w:val="single" w:sz="4" w:space="0" w:color="auto"/>
              <w:left w:val="nil"/>
              <w:bottom w:val="single" w:sz="4" w:space="0" w:color="auto"/>
              <w:right w:val="nil"/>
            </w:tcBorders>
            <w:noWrap/>
            <w:vAlign w:val="bottom"/>
            <w:hideMark/>
          </w:tcPr>
          <w:p w14:paraId="65B0E998"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4605.30</w:t>
            </w:r>
          </w:p>
        </w:tc>
        <w:tc>
          <w:tcPr>
            <w:tcW w:w="626" w:type="pct"/>
            <w:gridSpan w:val="2"/>
            <w:tcBorders>
              <w:top w:val="single" w:sz="4" w:space="0" w:color="auto"/>
              <w:left w:val="nil"/>
              <w:bottom w:val="single" w:sz="4" w:space="0" w:color="auto"/>
              <w:right w:val="nil"/>
            </w:tcBorders>
            <w:noWrap/>
            <w:vAlign w:val="bottom"/>
            <w:hideMark/>
          </w:tcPr>
          <w:p w14:paraId="4EFE5AA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7.37</w:t>
            </w:r>
          </w:p>
        </w:tc>
        <w:tc>
          <w:tcPr>
            <w:tcW w:w="606" w:type="pct"/>
            <w:gridSpan w:val="2"/>
            <w:tcBorders>
              <w:top w:val="single" w:sz="4" w:space="0" w:color="auto"/>
              <w:left w:val="nil"/>
              <w:bottom w:val="single" w:sz="4" w:space="0" w:color="auto"/>
              <w:right w:val="nil"/>
            </w:tcBorders>
            <w:noWrap/>
            <w:vAlign w:val="bottom"/>
            <w:hideMark/>
          </w:tcPr>
          <w:p w14:paraId="0EE8FB8F"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0.07</w:t>
            </w:r>
          </w:p>
        </w:tc>
        <w:tc>
          <w:tcPr>
            <w:tcW w:w="543" w:type="pct"/>
            <w:gridSpan w:val="2"/>
            <w:tcBorders>
              <w:top w:val="single" w:sz="4" w:space="0" w:color="auto"/>
              <w:left w:val="nil"/>
              <w:bottom w:val="single" w:sz="4" w:space="0" w:color="auto"/>
              <w:right w:val="nil"/>
            </w:tcBorders>
            <w:noWrap/>
            <w:vAlign w:val="bottom"/>
            <w:hideMark/>
          </w:tcPr>
          <w:p w14:paraId="1B076196"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4098.30</w:t>
            </w:r>
          </w:p>
        </w:tc>
        <w:tc>
          <w:tcPr>
            <w:tcW w:w="799" w:type="pct"/>
            <w:gridSpan w:val="2"/>
            <w:tcBorders>
              <w:top w:val="single" w:sz="4" w:space="0" w:color="auto"/>
              <w:left w:val="nil"/>
              <w:bottom w:val="single" w:sz="4" w:space="0" w:color="auto"/>
              <w:right w:val="nil"/>
            </w:tcBorders>
            <w:noWrap/>
            <w:vAlign w:val="bottom"/>
            <w:hideMark/>
          </w:tcPr>
          <w:p w14:paraId="053779A8"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8.21</w:t>
            </w:r>
          </w:p>
        </w:tc>
      </w:tr>
      <w:tr w:rsidR="00AF6976" w:rsidRPr="008E13BC" w14:paraId="57811AA3" w14:textId="77777777" w:rsidTr="00AF6976">
        <w:trPr>
          <w:trHeight w:val="286"/>
        </w:trPr>
        <w:tc>
          <w:tcPr>
            <w:tcW w:w="1666" w:type="pct"/>
            <w:gridSpan w:val="3"/>
            <w:tcBorders>
              <w:top w:val="single" w:sz="4" w:space="0" w:color="auto"/>
              <w:left w:val="nil"/>
              <w:bottom w:val="nil"/>
              <w:right w:val="nil"/>
            </w:tcBorders>
            <w:noWrap/>
            <w:vAlign w:val="bottom"/>
            <w:hideMark/>
          </w:tcPr>
          <w:p w14:paraId="6D41B429" w14:textId="7664E6F9" w:rsidR="008836C9" w:rsidRPr="008E13BC" w:rsidRDefault="008836C9" w:rsidP="00AF6976">
            <w:pPr>
              <w:rPr>
                <w:rFonts w:ascii="Arial" w:hAnsi="Arial" w:cs="Arial"/>
                <w:b/>
                <w:bCs/>
                <w:color w:val="000000"/>
                <w:lang w:eastAsia="ja-JP"/>
              </w:rPr>
            </w:pPr>
            <w:r w:rsidRPr="00A16FCD">
              <w:rPr>
                <w:rFonts w:ascii="Arial" w:hAnsi="Arial" w:cs="Arial"/>
                <w:b/>
                <w:bCs/>
                <w:color w:val="000000"/>
                <w:lang w:eastAsia="ja-JP"/>
              </w:rPr>
              <w:t>Harvesting (B)</w:t>
            </w:r>
          </w:p>
        </w:tc>
        <w:tc>
          <w:tcPr>
            <w:tcW w:w="813" w:type="pct"/>
            <w:gridSpan w:val="2"/>
            <w:tcBorders>
              <w:top w:val="single" w:sz="4" w:space="0" w:color="auto"/>
              <w:left w:val="nil"/>
              <w:bottom w:val="nil"/>
              <w:right w:val="nil"/>
            </w:tcBorders>
            <w:noWrap/>
            <w:vAlign w:val="bottom"/>
            <w:hideMark/>
          </w:tcPr>
          <w:p w14:paraId="0CA97A31"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568" w:type="pct"/>
            <w:gridSpan w:val="2"/>
            <w:tcBorders>
              <w:top w:val="single" w:sz="4" w:space="0" w:color="auto"/>
              <w:left w:val="nil"/>
              <w:bottom w:val="nil"/>
              <w:right w:val="nil"/>
            </w:tcBorders>
            <w:noWrap/>
            <w:vAlign w:val="bottom"/>
            <w:hideMark/>
          </w:tcPr>
          <w:p w14:paraId="5CC14F7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622" w:type="pct"/>
            <w:gridSpan w:val="2"/>
            <w:tcBorders>
              <w:top w:val="single" w:sz="4" w:space="0" w:color="auto"/>
              <w:left w:val="nil"/>
              <w:bottom w:val="nil"/>
              <w:right w:val="nil"/>
            </w:tcBorders>
            <w:noWrap/>
            <w:vAlign w:val="bottom"/>
            <w:hideMark/>
          </w:tcPr>
          <w:p w14:paraId="7F13564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534" w:type="pct"/>
            <w:gridSpan w:val="2"/>
            <w:tcBorders>
              <w:top w:val="single" w:sz="4" w:space="0" w:color="auto"/>
              <w:left w:val="nil"/>
              <w:bottom w:val="nil"/>
              <w:right w:val="nil"/>
            </w:tcBorders>
            <w:noWrap/>
            <w:vAlign w:val="bottom"/>
            <w:hideMark/>
          </w:tcPr>
          <w:p w14:paraId="23E118B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c>
          <w:tcPr>
            <w:tcW w:w="798" w:type="pct"/>
            <w:gridSpan w:val="3"/>
            <w:tcBorders>
              <w:top w:val="single" w:sz="4" w:space="0" w:color="auto"/>
              <w:left w:val="nil"/>
              <w:bottom w:val="nil"/>
              <w:right w:val="nil"/>
            </w:tcBorders>
            <w:noWrap/>
            <w:vAlign w:val="bottom"/>
            <w:hideMark/>
          </w:tcPr>
          <w:p w14:paraId="0D7EE0C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 </w:t>
            </w:r>
          </w:p>
        </w:tc>
      </w:tr>
      <w:tr w:rsidR="00AF6976" w:rsidRPr="008E13BC" w14:paraId="53F2CEC6" w14:textId="77777777" w:rsidTr="00AF6976">
        <w:trPr>
          <w:gridAfter w:val="2"/>
          <w:wAfter w:w="135" w:type="pct"/>
          <w:trHeight w:val="328"/>
        </w:trPr>
        <w:tc>
          <w:tcPr>
            <w:tcW w:w="794" w:type="pct"/>
            <w:tcBorders>
              <w:top w:val="nil"/>
              <w:left w:val="nil"/>
              <w:bottom w:val="nil"/>
              <w:right w:val="nil"/>
            </w:tcBorders>
            <w:noWrap/>
            <w:vAlign w:val="bottom"/>
            <w:hideMark/>
          </w:tcPr>
          <w:p w14:paraId="0EE7C6D8" w14:textId="00C131AB"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1</w:t>
            </w:r>
          </w:p>
        </w:tc>
        <w:tc>
          <w:tcPr>
            <w:tcW w:w="764" w:type="pct"/>
            <w:tcBorders>
              <w:top w:val="nil"/>
              <w:left w:val="nil"/>
              <w:bottom w:val="nil"/>
              <w:right w:val="nil"/>
            </w:tcBorders>
            <w:noWrap/>
            <w:vAlign w:val="bottom"/>
            <w:hideMark/>
          </w:tcPr>
          <w:p w14:paraId="6CC407F6"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1.67</w:t>
            </w:r>
          </w:p>
        </w:tc>
        <w:tc>
          <w:tcPr>
            <w:tcW w:w="733" w:type="pct"/>
            <w:gridSpan w:val="2"/>
            <w:tcBorders>
              <w:top w:val="nil"/>
              <w:left w:val="nil"/>
              <w:bottom w:val="nil"/>
              <w:right w:val="nil"/>
            </w:tcBorders>
            <w:noWrap/>
            <w:vAlign w:val="bottom"/>
            <w:hideMark/>
          </w:tcPr>
          <w:p w14:paraId="37724AC0"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50434</w:t>
            </w:r>
          </w:p>
        </w:tc>
        <w:tc>
          <w:tcPr>
            <w:tcW w:w="626" w:type="pct"/>
            <w:gridSpan w:val="2"/>
            <w:tcBorders>
              <w:top w:val="nil"/>
              <w:left w:val="nil"/>
              <w:bottom w:val="nil"/>
              <w:right w:val="nil"/>
            </w:tcBorders>
            <w:noWrap/>
            <w:vAlign w:val="bottom"/>
            <w:hideMark/>
          </w:tcPr>
          <w:p w14:paraId="36AA6E4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84.53</w:t>
            </w:r>
          </w:p>
        </w:tc>
        <w:tc>
          <w:tcPr>
            <w:tcW w:w="606" w:type="pct"/>
            <w:gridSpan w:val="2"/>
            <w:tcBorders>
              <w:top w:val="nil"/>
              <w:left w:val="nil"/>
              <w:bottom w:val="nil"/>
              <w:right w:val="nil"/>
            </w:tcBorders>
            <w:noWrap/>
            <w:vAlign w:val="bottom"/>
            <w:hideMark/>
          </w:tcPr>
          <w:p w14:paraId="4354B0E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1.62</w:t>
            </w:r>
          </w:p>
        </w:tc>
        <w:tc>
          <w:tcPr>
            <w:tcW w:w="543" w:type="pct"/>
            <w:gridSpan w:val="2"/>
            <w:tcBorders>
              <w:top w:val="nil"/>
              <w:left w:val="nil"/>
              <w:bottom w:val="nil"/>
              <w:right w:val="nil"/>
            </w:tcBorders>
            <w:noWrap/>
            <w:vAlign w:val="bottom"/>
            <w:hideMark/>
          </w:tcPr>
          <w:p w14:paraId="23130FA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46848</w:t>
            </w:r>
          </w:p>
        </w:tc>
        <w:tc>
          <w:tcPr>
            <w:tcW w:w="799" w:type="pct"/>
            <w:gridSpan w:val="2"/>
            <w:tcBorders>
              <w:top w:val="nil"/>
              <w:left w:val="nil"/>
              <w:bottom w:val="nil"/>
              <w:right w:val="nil"/>
            </w:tcBorders>
            <w:noWrap/>
            <w:vAlign w:val="bottom"/>
            <w:hideMark/>
          </w:tcPr>
          <w:p w14:paraId="2D4BE73D"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76.28</w:t>
            </w:r>
          </w:p>
        </w:tc>
      </w:tr>
      <w:tr w:rsidR="00AF6976" w:rsidRPr="008E13BC" w14:paraId="6065202F" w14:textId="77777777" w:rsidTr="00AF6976">
        <w:trPr>
          <w:gridAfter w:val="2"/>
          <w:wAfter w:w="135" w:type="pct"/>
          <w:trHeight w:val="328"/>
        </w:trPr>
        <w:tc>
          <w:tcPr>
            <w:tcW w:w="794" w:type="pct"/>
            <w:tcBorders>
              <w:top w:val="nil"/>
              <w:left w:val="nil"/>
              <w:bottom w:val="nil"/>
              <w:right w:val="nil"/>
            </w:tcBorders>
            <w:noWrap/>
            <w:vAlign w:val="bottom"/>
            <w:hideMark/>
          </w:tcPr>
          <w:p w14:paraId="24F363F0" w14:textId="6D2DA28F"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2</w:t>
            </w:r>
          </w:p>
        </w:tc>
        <w:tc>
          <w:tcPr>
            <w:tcW w:w="764" w:type="pct"/>
            <w:tcBorders>
              <w:top w:val="nil"/>
              <w:left w:val="nil"/>
              <w:bottom w:val="nil"/>
              <w:right w:val="nil"/>
            </w:tcBorders>
            <w:noWrap/>
            <w:vAlign w:val="bottom"/>
            <w:hideMark/>
          </w:tcPr>
          <w:p w14:paraId="284DB825"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w:t>
            </w:r>
          </w:p>
        </w:tc>
        <w:tc>
          <w:tcPr>
            <w:tcW w:w="733" w:type="pct"/>
            <w:gridSpan w:val="2"/>
            <w:tcBorders>
              <w:top w:val="nil"/>
              <w:left w:val="nil"/>
              <w:bottom w:val="nil"/>
              <w:right w:val="nil"/>
            </w:tcBorders>
            <w:noWrap/>
            <w:vAlign w:val="bottom"/>
            <w:hideMark/>
          </w:tcPr>
          <w:p w14:paraId="489E21A2"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48716</w:t>
            </w:r>
          </w:p>
        </w:tc>
        <w:tc>
          <w:tcPr>
            <w:tcW w:w="626" w:type="pct"/>
            <w:gridSpan w:val="2"/>
            <w:tcBorders>
              <w:top w:val="nil"/>
              <w:left w:val="nil"/>
              <w:bottom w:val="nil"/>
              <w:right w:val="nil"/>
            </w:tcBorders>
            <w:noWrap/>
            <w:vAlign w:val="bottom"/>
            <w:hideMark/>
          </w:tcPr>
          <w:p w14:paraId="757D148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82.8</w:t>
            </w:r>
          </w:p>
        </w:tc>
        <w:tc>
          <w:tcPr>
            <w:tcW w:w="606" w:type="pct"/>
            <w:gridSpan w:val="2"/>
            <w:tcBorders>
              <w:top w:val="nil"/>
              <w:left w:val="nil"/>
              <w:bottom w:val="nil"/>
              <w:right w:val="nil"/>
            </w:tcBorders>
            <w:noWrap/>
            <w:vAlign w:val="bottom"/>
            <w:hideMark/>
          </w:tcPr>
          <w:p w14:paraId="5A8A30C0"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1.69</w:t>
            </w:r>
          </w:p>
        </w:tc>
        <w:tc>
          <w:tcPr>
            <w:tcW w:w="543" w:type="pct"/>
            <w:gridSpan w:val="2"/>
            <w:tcBorders>
              <w:top w:val="nil"/>
              <w:left w:val="nil"/>
              <w:bottom w:val="nil"/>
              <w:right w:val="nil"/>
            </w:tcBorders>
            <w:noWrap/>
            <w:vAlign w:val="bottom"/>
            <w:hideMark/>
          </w:tcPr>
          <w:p w14:paraId="027D1331"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48044</w:t>
            </w:r>
          </w:p>
        </w:tc>
        <w:tc>
          <w:tcPr>
            <w:tcW w:w="799" w:type="pct"/>
            <w:gridSpan w:val="2"/>
            <w:tcBorders>
              <w:top w:val="nil"/>
              <w:left w:val="nil"/>
              <w:bottom w:val="nil"/>
              <w:right w:val="nil"/>
            </w:tcBorders>
            <w:noWrap/>
            <w:vAlign w:val="bottom"/>
            <w:hideMark/>
          </w:tcPr>
          <w:p w14:paraId="1355DF53"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81.02</w:t>
            </w:r>
          </w:p>
        </w:tc>
      </w:tr>
      <w:tr w:rsidR="00AF6976" w:rsidRPr="008E13BC" w14:paraId="16167E5A"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2290A24A" w14:textId="581F1B6B" w:rsidR="008836C9" w:rsidRPr="008E13BC" w:rsidRDefault="008836C9" w:rsidP="00AF6976">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3</w:t>
            </w:r>
          </w:p>
        </w:tc>
        <w:tc>
          <w:tcPr>
            <w:tcW w:w="764" w:type="pct"/>
            <w:tcBorders>
              <w:top w:val="nil"/>
              <w:left w:val="nil"/>
              <w:bottom w:val="single" w:sz="4" w:space="0" w:color="auto"/>
              <w:right w:val="nil"/>
            </w:tcBorders>
            <w:noWrap/>
            <w:vAlign w:val="bottom"/>
            <w:hideMark/>
          </w:tcPr>
          <w:p w14:paraId="21AEA3FC"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1.71</w:t>
            </w:r>
          </w:p>
        </w:tc>
        <w:tc>
          <w:tcPr>
            <w:tcW w:w="733" w:type="pct"/>
            <w:gridSpan w:val="2"/>
            <w:tcBorders>
              <w:top w:val="nil"/>
              <w:left w:val="nil"/>
              <w:bottom w:val="single" w:sz="4" w:space="0" w:color="auto"/>
              <w:right w:val="nil"/>
            </w:tcBorders>
            <w:noWrap/>
            <w:vAlign w:val="bottom"/>
            <w:hideMark/>
          </w:tcPr>
          <w:p w14:paraId="43D5CFBE"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51929</w:t>
            </w:r>
          </w:p>
        </w:tc>
        <w:tc>
          <w:tcPr>
            <w:tcW w:w="626" w:type="pct"/>
            <w:gridSpan w:val="2"/>
            <w:tcBorders>
              <w:top w:val="nil"/>
              <w:left w:val="nil"/>
              <w:bottom w:val="single" w:sz="4" w:space="0" w:color="auto"/>
              <w:right w:val="nil"/>
            </w:tcBorders>
            <w:noWrap/>
            <w:vAlign w:val="bottom"/>
            <w:hideMark/>
          </w:tcPr>
          <w:p w14:paraId="7C8F73A7"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88.41</w:t>
            </w:r>
          </w:p>
        </w:tc>
        <w:tc>
          <w:tcPr>
            <w:tcW w:w="606" w:type="pct"/>
            <w:gridSpan w:val="2"/>
            <w:tcBorders>
              <w:top w:val="nil"/>
              <w:left w:val="nil"/>
              <w:bottom w:val="single" w:sz="4" w:space="0" w:color="auto"/>
              <w:right w:val="nil"/>
            </w:tcBorders>
            <w:noWrap/>
            <w:vAlign w:val="bottom"/>
            <w:hideMark/>
          </w:tcPr>
          <w:p w14:paraId="2654C063"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1.72</w:t>
            </w:r>
          </w:p>
        </w:tc>
        <w:tc>
          <w:tcPr>
            <w:tcW w:w="543" w:type="pct"/>
            <w:gridSpan w:val="2"/>
            <w:tcBorders>
              <w:top w:val="nil"/>
              <w:left w:val="nil"/>
              <w:bottom w:val="single" w:sz="4" w:space="0" w:color="auto"/>
              <w:right w:val="nil"/>
            </w:tcBorders>
            <w:noWrap/>
            <w:vAlign w:val="bottom"/>
            <w:hideMark/>
          </w:tcPr>
          <w:p w14:paraId="1C654D0A"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49837</w:t>
            </w:r>
          </w:p>
        </w:tc>
        <w:tc>
          <w:tcPr>
            <w:tcW w:w="799" w:type="pct"/>
            <w:gridSpan w:val="2"/>
            <w:tcBorders>
              <w:top w:val="nil"/>
              <w:left w:val="nil"/>
              <w:bottom w:val="single" w:sz="4" w:space="0" w:color="auto"/>
              <w:right w:val="nil"/>
            </w:tcBorders>
            <w:noWrap/>
            <w:vAlign w:val="bottom"/>
            <w:hideMark/>
          </w:tcPr>
          <w:p w14:paraId="75493F83" w14:textId="77777777" w:rsidR="008836C9" w:rsidRPr="008E13BC" w:rsidRDefault="008836C9" w:rsidP="00AF6976">
            <w:pPr>
              <w:jc w:val="center"/>
              <w:rPr>
                <w:rFonts w:ascii="Arial" w:hAnsi="Arial" w:cs="Arial"/>
                <w:color w:val="000000"/>
                <w:lang w:eastAsia="ja-JP"/>
              </w:rPr>
            </w:pPr>
            <w:r w:rsidRPr="008E13BC">
              <w:rPr>
                <w:rFonts w:ascii="Arial" w:hAnsi="Arial" w:cs="Arial"/>
                <w:color w:val="000000"/>
                <w:lang w:eastAsia="ja-JP"/>
              </w:rPr>
              <w:t>85.72</w:t>
            </w:r>
          </w:p>
        </w:tc>
      </w:tr>
      <w:tr w:rsidR="00AF6976" w:rsidRPr="008E13BC" w14:paraId="2DAD0A67" w14:textId="77777777" w:rsidTr="00AF6976">
        <w:trPr>
          <w:gridAfter w:val="2"/>
          <w:wAfter w:w="135" w:type="pct"/>
          <w:trHeight w:val="328"/>
        </w:trPr>
        <w:tc>
          <w:tcPr>
            <w:tcW w:w="794" w:type="pct"/>
            <w:tcBorders>
              <w:top w:val="single" w:sz="4" w:space="0" w:color="auto"/>
              <w:left w:val="nil"/>
              <w:bottom w:val="single" w:sz="4" w:space="0" w:color="auto"/>
              <w:right w:val="nil"/>
            </w:tcBorders>
            <w:noWrap/>
            <w:vAlign w:val="bottom"/>
            <w:hideMark/>
          </w:tcPr>
          <w:p w14:paraId="77F9FC9D"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LSD</w:t>
            </w:r>
            <w:r w:rsidRPr="008E13BC">
              <w:rPr>
                <w:rFonts w:ascii="Arial" w:hAnsi="Arial" w:cs="Arial"/>
                <w:color w:val="000000"/>
                <w:vertAlign w:val="subscript"/>
                <w:lang w:eastAsia="ja-JP"/>
              </w:rPr>
              <w:t xml:space="preserve"> 0.05</w:t>
            </w:r>
          </w:p>
        </w:tc>
        <w:tc>
          <w:tcPr>
            <w:tcW w:w="764" w:type="pct"/>
            <w:tcBorders>
              <w:top w:val="single" w:sz="4" w:space="0" w:color="auto"/>
              <w:left w:val="nil"/>
              <w:bottom w:val="single" w:sz="4" w:space="0" w:color="auto"/>
              <w:right w:val="nil"/>
            </w:tcBorders>
            <w:noWrap/>
            <w:vAlign w:val="bottom"/>
            <w:hideMark/>
          </w:tcPr>
          <w:p w14:paraId="4C5CFC8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0.04</w:t>
            </w:r>
          </w:p>
        </w:tc>
        <w:tc>
          <w:tcPr>
            <w:tcW w:w="733" w:type="pct"/>
            <w:gridSpan w:val="2"/>
            <w:tcBorders>
              <w:top w:val="single" w:sz="4" w:space="0" w:color="auto"/>
              <w:left w:val="nil"/>
              <w:bottom w:val="single" w:sz="4" w:space="0" w:color="auto"/>
              <w:right w:val="nil"/>
            </w:tcBorders>
            <w:noWrap/>
            <w:vAlign w:val="bottom"/>
            <w:hideMark/>
          </w:tcPr>
          <w:p w14:paraId="2650E405"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3281.60</w:t>
            </w:r>
          </w:p>
        </w:tc>
        <w:tc>
          <w:tcPr>
            <w:tcW w:w="626" w:type="pct"/>
            <w:gridSpan w:val="2"/>
            <w:tcBorders>
              <w:top w:val="single" w:sz="4" w:space="0" w:color="auto"/>
              <w:left w:val="nil"/>
              <w:bottom w:val="single" w:sz="4" w:space="0" w:color="auto"/>
              <w:right w:val="nil"/>
            </w:tcBorders>
            <w:noWrap/>
            <w:vAlign w:val="bottom"/>
            <w:hideMark/>
          </w:tcPr>
          <w:p w14:paraId="08485BE7"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5.65</w:t>
            </w:r>
          </w:p>
        </w:tc>
        <w:tc>
          <w:tcPr>
            <w:tcW w:w="606" w:type="pct"/>
            <w:gridSpan w:val="2"/>
            <w:tcBorders>
              <w:top w:val="single" w:sz="4" w:space="0" w:color="auto"/>
              <w:left w:val="nil"/>
              <w:bottom w:val="single" w:sz="4" w:space="0" w:color="auto"/>
              <w:right w:val="nil"/>
            </w:tcBorders>
            <w:noWrap/>
            <w:vAlign w:val="bottom"/>
            <w:hideMark/>
          </w:tcPr>
          <w:p w14:paraId="5AFA565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0.10</w:t>
            </w:r>
          </w:p>
        </w:tc>
        <w:tc>
          <w:tcPr>
            <w:tcW w:w="543" w:type="pct"/>
            <w:gridSpan w:val="2"/>
            <w:tcBorders>
              <w:top w:val="single" w:sz="4" w:space="0" w:color="auto"/>
              <w:left w:val="nil"/>
              <w:bottom w:val="single" w:sz="4" w:space="0" w:color="auto"/>
              <w:right w:val="nil"/>
            </w:tcBorders>
            <w:noWrap/>
            <w:vAlign w:val="bottom"/>
            <w:hideMark/>
          </w:tcPr>
          <w:p w14:paraId="50CFA5B1"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3572.20</w:t>
            </w:r>
          </w:p>
        </w:tc>
        <w:tc>
          <w:tcPr>
            <w:tcW w:w="799" w:type="pct"/>
            <w:gridSpan w:val="2"/>
            <w:tcBorders>
              <w:top w:val="single" w:sz="4" w:space="0" w:color="auto"/>
              <w:left w:val="nil"/>
              <w:bottom w:val="single" w:sz="4" w:space="0" w:color="auto"/>
              <w:right w:val="nil"/>
            </w:tcBorders>
            <w:noWrap/>
            <w:vAlign w:val="bottom"/>
            <w:hideMark/>
          </w:tcPr>
          <w:p w14:paraId="49145FD3"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8.68</w:t>
            </w:r>
          </w:p>
        </w:tc>
      </w:tr>
      <w:tr w:rsidR="00AF6976" w:rsidRPr="008E13BC" w14:paraId="3D0BE083" w14:textId="77777777" w:rsidTr="00AF6976">
        <w:trPr>
          <w:gridAfter w:val="2"/>
          <w:wAfter w:w="135" w:type="pct"/>
          <w:trHeight w:val="139"/>
        </w:trPr>
        <w:tc>
          <w:tcPr>
            <w:tcW w:w="794" w:type="pct"/>
            <w:tcBorders>
              <w:top w:val="single" w:sz="4" w:space="0" w:color="auto"/>
              <w:left w:val="nil"/>
              <w:bottom w:val="nil"/>
              <w:right w:val="nil"/>
            </w:tcBorders>
            <w:noWrap/>
            <w:vAlign w:val="bottom"/>
            <w:hideMark/>
          </w:tcPr>
          <w:p w14:paraId="6274E8B5" w14:textId="77777777" w:rsidR="00871649" w:rsidRPr="008E13BC" w:rsidRDefault="00871649" w:rsidP="00AF6976">
            <w:pPr>
              <w:rPr>
                <w:rFonts w:ascii="Arial" w:hAnsi="Arial" w:cs="Arial"/>
                <w:b/>
                <w:bCs/>
                <w:color w:val="000000"/>
                <w:lang w:eastAsia="ja-JP"/>
              </w:rPr>
            </w:pPr>
            <w:r w:rsidRPr="008E13BC">
              <w:rPr>
                <w:rFonts w:ascii="Arial" w:hAnsi="Arial" w:cs="Arial"/>
                <w:b/>
                <w:bCs/>
                <w:color w:val="000000"/>
                <w:lang w:eastAsia="ja-JP"/>
              </w:rPr>
              <w:t>Pr &gt; F</w:t>
            </w:r>
          </w:p>
        </w:tc>
        <w:tc>
          <w:tcPr>
            <w:tcW w:w="764" w:type="pct"/>
            <w:tcBorders>
              <w:top w:val="single" w:sz="4" w:space="0" w:color="auto"/>
              <w:left w:val="nil"/>
              <w:bottom w:val="nil"/>
              <w:right w:val="nil"/>
            </w:tcBorders>
            <w:noWrap/>
            <w:vAlign w:val="bottom"/>
            <w:hideMark/>
          </w:tcPr>
          <w:p w14:paraId="3A10590C"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733" w:type="pct"/>
            <w:gridSpan w:val="2"/>
            <w:tcBorders>
              <w:top w:val="single" w:sz="4" w:space="0" w:color="auto"/>
              <w:left w:val="nil"/>
              <w:bottom w:val="nil"/>
              <w:right w:val="nil"/>
            </w:tcBorders>
            <w:noWrap/>
            <w:vAlign w:val="bottom"/>
            <w:hideMark/>
          </w:tcPr>
          <w:p w14:paraId="2034ED6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626" w:type="pct"/>
            <w:gridSpan w:val="2"/>
            <w:tcBorders>
              <w:top w:val="single" w:sz="4" w:space="0" w:color="auto"/>
              <w:left w:val="nil"/>
              <w:bottom w:val="nil"/>
              <w:right w:val="nil"/>
            </w:tcBorders>
            <w:noWrap/>
            <w:vAlign w:val="bottom"/>
            <w:hideMark/>
          </w:tcPr>
          <w:p w14:paraId="2984BCF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606" w:type="pct"/>
            <w:gridSpan w:val="2"/>
            <w:tcBorders>
              <w:top w:val="single" w:sz="4" w:space="0" w:color="auto"/>
              <w:left w:val="nil"/>
              <w:bottom w:val="nil"/>
              <w:right w:val="nil"/>
            </w:tcBorders>
            <w:noWrap/>
            <w:vAlign w:val="bottom"/>
            <w:hideMark/>
          </w:tcPr>
          <w:p w14:paraId="64535308"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543" w:type="pct"/>
            <w:gridSpan w:val="2"/>
            <w:tcBorders>
              <w:top w:val="single" w:sz="4" w:space="0" w:color="auto"/>
              <w:left w:val="nil"/>
              <w:bottom w:val="nil"/>
              <w:right w:val="nil"/>
            </w:tcBorders>
            <w:noWrap/>
            <w:vAlign w:val="bottom"/>
            <w:hideMark/>
          </w:tcPr>
          <w:p w14:paraId="6BA5564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c>
          <w:tcPr>
            <w:tcW w:w="799" w:type="pct"/>
            <w:gridSpan w:val="2"/>
            <w:tcBorders>
              <w:top w:val="single" w:sz="4" w:space="0" w:color="auto"/>
              <w:left w:val="nil"/>
              <w:bottom w:val="nil"/>
              <w:right w:val="nil"/>
            </w:tcBorders>
            <w:noWrap/>
            <w:vAlign w:val="bottom"/>
            <w:hideMark/>
          </w:tcPr>
          <w:p w14:paraId="40EC1C71"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 </w:t>
            </w:r>
          </w:p>
        </w:tc>
      </w:tr>
      <w:tr w:rsidR="00AF6976" w:rsidRPr="008E13BC" w14:paraId="45BFFECE" w14:textId="77777777" w:rsidTr="00AF6976">
        <w:trPr>
          <w:gridAfter w:val="2"/>
          <w:wAfter w:w="135" w:type="pct"/>
          <w:trHeight w:val="328"/>
        </w:trPr>
        <w:tc>
          <w:tcPr>
            <w:tcW w:w="794" w:type="pct"/>
            <w:tcBorders>
              <w:top w:val="nil"/>
              <w:left w:val="nil"/>
              <w:bottom w:val="nil"/>
              <w:right w:val="nil"/>
            </w:tcBorders>
            <w:noWrap/>
            <w:vAlign w:val="bottom"/>
            <w:hideMark/>
          </w:tcPr>
          <w:p w14:paraId="0BB0C3AE"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Variety (A)</w:t>
            </w:r>
          </w:p>
        </w:tc>
        <w:tc>
          <w:tcPr>
            <w:tcW w:w="764" w:type="pct"/>
            <w:tcBorders>
              <w:top w:val="nil"/>
              <w:left w:val="nil"/>
              <w:bottom w:val="nil"/>
              <w:right w:val="nil"/>
            </w:tcBorders>
            <w:noWrap/>
            <w:vAlign w:val="bottom"/>
            <w:hideMark/>
          </w:tcPr>
          <w:p w14:paraId="174FA5A2"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c>
          <w:tcPr>
            <w:tcW w:w="733" w:type="pct"/>
            <w:gridSpan w:val="2"/>
            <w:tcBorders>
              <w:top w:val="nil"/>
              <w:left w:val="nil"/>
              <w:bottom w:val="nil"/>
              <w:right w:val="nil"/>
            </w:tcBorders>
            <w:noWrap/>
            <w:vAlign w:val="bottom"/>
            <w:hideMark/>
          </w:tcPr>
          <w:p w14:paraId="6591ECE6"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26" w:type="pct"/>
            <w:gridSpan w:val="2"/>
            <w:tcBorders>
              <w:top w:val="nil"/>
              <w:left w:val="nil"/>
              <w:bottom w:val="nil"/>
              <w:right w:val="nil"/>
            </w:tcBorders>
            <w:noWrap/>
            <w:vAlign w:val="bottom"/>
            <w:hideMark/>
          </w:tcPr>
          <w:p w14:paraId="2A3A247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c>
          <w:tcPr>
            <w:tcW w:w="606" w:type="pct"/>
            <w:gridSpan w:val="2"/>
            <w:tcBorders>
              <w:top w:val="nil"/>
              <w:left w:val="nil"/>
              <w:bottom w:val="nil"/>
              <w:right w:val="nil"/>
            </w:tcBorders>
            <w:noWrap/>
            <w:vAlign w:val="bottom"/>
            <w:hideMark/>
          </w:tcPr>
          <w:p w14:paraId="13960589"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c>
          <w:tcPr>
            <w:tcW w:w="543" w:type="pct"/>
            <w:gridSpan w:val="2"/>
            <w:tcBorders>
              <w:top w:val="nil"/>
              <w:left w:val="nil"/>
              <w:bottom w:val="nil"/>
              <w:right w:val="nil"/>
            </w:tcBorders>
            <w:noWrap/>
            <w:vAlign w:val="bottom"/>
            <w:hideMark/>
          </w:tcPr>
          <w:p w14:paraId="7D5F087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99" w:type="pct"/>
            <w:gridSpan w:val="2"/>
            <w:tcBorders>
              <w:top w:val="nil"/>
              <w:left w:val="nil"/>
              <w:bottom w:val="nil"/>
              <w:right w:val="nil"/>
            </w:tcBorders>
            <w:noWrap/>
            <w:vAlign w:val="bottom"/>
            <w:hideMark/>
          </w:tcPr>
          <w:p w14:paraId="41D5E506"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w:t>
            </w:r>
          </w:p>
        </w:tc>
      </w:tr>
      <w:tr w:rsidR="00AF6976" w:rsidRPr="008E13BC" w14:paraId="76A9B583" w14:textId="77777777" w:rsidTr="00AF6976">
        <w:trPr>
          <w:gridAfter w:val="2"/>
          <w:wAfter w:w="135" w:type="pct"/>
          <w:trHeight w:val="328"/>
        </w:trPr>
        <w:tc>
          <w:tcPr>
            <w:tcW w:w="794" w:type="pct"/>
            <w:tcBorders>
              <w:top w:val="nil"/>
              <w:left w:val="nil"/>
              <w:bottom w:val="nil"/>
              <w:right w:val="nil"/>
            </w:tcBorders>
            <w:noWrap/>
            <w:vAlign w:val="bottom"/>
            <w:hideMark/>
          </w:tcPr>
          <w:p w14:paraId="719F06B1"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Harvesting (B)</w:t>
            </w:r>
          </w:p>
        </w:tc>
        <w:tc>
          <w:tcPr>
            <w:tcW w:w="764" w:type="pct"/>
            <w:tcBorders>
              <w:top w:val="nil"/>
              <w:left w:val="nil"/>
              <w:bottom w:val="nil"/>
              <w:right w:val="nil"/>
            </w:tcBorders>
            <w:noWrap/>
            <w:vAlign w:val="bottom"/>
            <w:hideMark/>
          </w:tcPr>
          <w:p w14:paraId="7CD096AE"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33" w:type="pct"/>
            <w:gridSpan w:val="2"/>
            <w:tcBorders>
              <w:top w:val="nil"/>
              <w:left w:val="nil"/>
              <w:bottom w:val="nil"/>
              <w:right w:val="nil"/>
            </w:tcBorders>
            <w:noWrap/>
            <w:vAlign w:val="bottom"/>
            <w:hideMark/>
          </w:tcPr>
          <w:p w14:paraId="69317E1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26" w:type="pct"/>
            <w:gridSpan w:val="2"/>
            <w:tcBorders>
              <w:top w:val="nil"/>
              <w:left w:val="nil"/>
              <w:bottom w:val="nil"/>
              <w:right w:val="nil"/>
            </w:tcBorders>
            <w:noWrap/>
            <w:vAlign w:val="bottom"/>
            <w:hideMark/>
          </w:tcPr>
          <w:p w14:paraId="2ABEC29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06" w:type="pct"/>
            <w:gridSpan w:val="2"/>
            <w:tcBorders>
              <w:top w:val="nil"/>
              <w:left w:val="nil"/>
              <w:bottom w:val="nil"/>
              <w:right w:val="nil"/>
            </w:tcBorders>
            <w:noWrap/>
            <w:vAlign w:val="bottom"/>
            <w:hideMark/>
          </w:tcPr>
          <w:p w14:paraId="733D232D"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543" w:type="pct"/>
            <w:gridSpan w:val="2"/>
            <w:tcBorders>
              <w:top w:val="nil"/>
              <w:left w:val="nil"/>
              <w:bottom w:val="nil"/>
              <w:right w:val="nil"/>
            </w:tcBorders>
            <w:noWrap/>
            <w:vAlign w:val="bottom"/>
            <w:hideMark/>
          </w:tcPr>
          <w:p w14:paraId="0B7B784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99" w:type="pct"/>
            <w:gridSpan w:val="2"/>
            <w:tcBorders>
              <w:top w:val="nil"/>
              <w:left w:val="nil"/>
              <w:bottom w:val="nil"/>
              <w:right w:val="nil"/>
            </w:tcBorders>
            <w:noWrap/>
            <w:vAlign w:val="bottom"/>
            <w:hideMark/>
          </w:tcPr>
          <w:p w14:paraId="1AC0EF51"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r>
      <w:tr w:rsidR="00AF6976" w:rsidRPr="008E13BC" w14:paraId="7BBC6984"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67A5608B"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A x B</w:t>
            </w:r>
          </w:p>
        </w:tc>
        <w:tc>
          <w:tcPr>
            <w:tcW w:w="764" w:type="pct"/>
            <w:tcBorders>
              <w:top w:val="nil"/>
              <w:left w:val="nil"/>
              <w:bottom w:val="single" w:sz="4" w:space="0" w:color="auto"/>
              <w:right w:val="nil"/>
            </w:tcBorders>
            <w:noWrap/>
            <w:vAlign w:val="bottom"/>
            <w:hideMark/>
          </w:tcPr>
          <w:p w14:paraId="4E759B5F"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33" w:type="pct"/>
            <w:gridSpan w:val="2"/>
            <w:tcBorders>
              <w:top w:val="nil"/>
              <w:left w:val="nil"/>
              <w:bottom w:val="nil"/>
              <w:right w:val="nil"/>
            </w:tcBorders>
            <w:noWrap/>
            <w:vAlign w:val="bottom"/>
            <w:hideMark/>
          </w:tcPr>
          <w:p w14:paraId="10D6746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26" w:type="pct"/>
            <w:gridSpan w:val="2"/>
            <w:tcBorders>
              <w:top w:val="nil"/>
              <w:left w:val="nil"/>
              <w:bottom w:val="single" w:sz="4" w:space="0" w:color="auto"/>
              <w:right w:val="nil"/>
            </w:tcBorders>
            <w:noWrap/>
            <w:vAlign w:val="bottom"/>
            <w:hideMark/>
          </w:tcPr>
          <w:p w14:paraId="0E3CC56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606" w:type="pct"/>
            <w:gridSpan w:val="2"/>
            <w:tcBorders>
              <w:top w:val="nil"/>
              <w:left w:val="nil"/>
              <w:bottom w:val="single" w:sz="4" w:space="0" w:color="auto"/>
              <w:right w:val="nil"/>
            </w:tcBorders>
            <w:noWrap/>
            <w:vAlign w:val="bottom"/>
            <w:hideMark/>
          </w:tcPr>
          <w:p w14:paraId="4C6CB69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543" w:type="pct"/>
            <w:gridSpan w:val="2"/>
            <w:tcBorders>
              <w:top w:val="nil"/>
              <w:left w:val="nil"/>
              <w:bottom w:val="nil"/>
              <w:right w:val="nil"/>
            </w:tcBorders>
            <w:noWrap/>
            <w:vAlign w:val="bottom"/>
            <w:hideMark/>
          </w:tcPr>
          <w:p w14:paraId="01A47F1E"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c>
          <w:tcPr>
            <w:tcW w:w="799" w:type="pct"/>
            <w:gridSpan w:val="2"/>
            <w:tcBorders>
              <w:top w:val="nil"/>
              <w:left w:val="nil"/>
              <w:bottom w:val="single" w:sz="4" w:space="0" w:color="auto"/>
              <w:right w:val="nil"/>
            </w:tcBorders>
            <w:noWrap/>
            <w:vAlign w:val="bottom"/>
            <w:hideMark/>
          </w:tcPr>
          <w:p w14:paraId="1EAD5C58"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ns</w:t>
            </w:r>
          </w:p>
        </w:tc>
      </w:tr>
      <w:tr w:rsidR="00AF6976" w:rsidRPr="008E13BC" w14:paraId="2CDBDC8A" w14:textId="77777777" w:rsidTr="00AF6976">
        <w:trPr>
          <w:gridAfter w:val="2"/>
          <w:wAfter w:w="135" w:type="pct"/>
          <w:trHeight w:val="328"/>
        </w:trPr>
        <w:tc>
          <w:tcPr>
            <w:tcW w:w="794" w:type="pct"/>
            <w:tcBorders>
              <w:top w:val="nil"/>
              <w:left w:val="nil"/>
              <w:bottom w:val="nil"/>
              <w:right w:val="nil"/>
            </w:tcBorders>
            <w:noWrap/>
            <w:vAlign w:val="bottom"/>
            <w:hideMark/>
          </w:tcPr>
          <w:p w14:paraId="0628F896"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CV % (a)</w:t>
            </w:r>
          </w:p>
        </w:tc>
        <w:tc>
          <w:tcPr>
            <w:tcW w:w="764" w:type="pct"/>
            <w:tcBorders>
              <w:top w:val="nil"/>
              <w:left w:val="nil"/>
              <w:bottom w:val="nil"/>
              <w:right w:val="nil"/>
            </w:tcBorders>
            <w:noWrap/>
            <w:vAlign w:val="bottom"/>
            <w:hideMark/>
          </w:tcPr>
          <w:p w14:paraId="6CD5458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4.63</w:t>
            </w:r>
          </w:p>
        </w:tc>
        <w:tc>
          <w:tcPr>
            <w:tcW w:w="733" w:type="pct"/>
            <w:gridSpan w:val="2"/>
            <w:tcBorders>
              <w:top w:val="single" w:sz="4" w:space="0" w:color="auto"/>
              <w:left w:val="nil"/>
              <w:bottom w:val="nil"/>
              <w:right w:val="nil"/>
            </w:tcBorders>
            <w:noWrap/>
            <w:vAlign w:val="bottom"/>
            <w:hideMark/>
          </w:tcPr>
          <w:p w14:paraId="4CD8CD8B"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9.15</w:t>
            </w:r>
          </w:p>
        </w:tc>
        <w:tc>
          <w:tcPr>
            <w:tcW w:w="626" w:type="pct"/>
            <w:gridSpan w:val="2"/>
            <w:tcBorders>
              <w:top w:val="nil"/>
              <w:left w:val="nil"/>
              <w:bottom w:val="nil"/>
              <w:right w:val="nil"/>
            </w:tcBorders>
            <w:noWrap/>
            <w:vAlign w:val="bottom"/>
            <w:hideMark/>
          </w:tcPr>
          <w:p w14:paraId="34521940"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8.66</w:t>
            </w:r>
          </w:p>
        </w:tc>
        <w:tc>
          <w:tcPr>
            <w:tcW w:w="606" w:type="pct"/>
            <w:gridSpan w:val="2"/>
            <w:tcBorders>
              <w:top w:val="nil"/>
              <w:left w:val="nil"/>
              <w:bottom w:val="nil"/>
              <w:right w:val="nil"/>
            </w:tcBorders>
            <w:noWrap/>
            <w:vAlign w:val="bottom"/>
            <w:hideMark/>
          </w:tcPr>
          <w:p w14:paraId="4C9F783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4.22</w:t>
            </w:r>
          </w:p>
        </w:tc>
        <w:tc>
          <w:tcPr>
            <w:tcW w:w="543" w:type="pct"/>
            <w:gridSpan w:val="2"/>
            <w:tcBorders>
              <w:top w:val="single" w:sz="4" w:space="0" w:color="auto"/>
              <w:left w:val="nil"/>
              <w:bottom w:val="nil"/>
              <w:right w:val="nil"/>
            </w:tcBorders>
            <w:noWrap/>
            <w:vAlign w:val="bottom"/>
            <w:hideMark/>
          </w:tcPr>
          <w:p w14:paraId="1CD429F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8.50</w:t>
            </w:r>
          </w:p>
        </w:tc>
        <w:tc>
          <w:tcPr>
            <w:tcW w:w="799" w:type="pct"/>
            <w:gridSpan w:val="2"/>
            <w:tcBorders>
              <w:top w:val="nil"/>
              <w:left w:val="nil"/>
              <w:bottom w:val="nil"/>
              <w:right w:val="nil"/>
            </w:tcBorders>
            <w:noWrap/>
            <w:vAlign w:val="bottom"/>
            <w:hideMark/>
          </w:tcPr>
          <w:p w14:paraId="125A4A2A"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10.14</w:t>
            </w:r>
          </w:p>
        </w:tc>
      </w:tr>
      <w:tr w:rsidR="00AF6976" w:rsidRPr="008E13BC" w14:paraId="3AFB75FB" w14:textId="77777777" w:rsidTr="00AF6976">
        <w:trPr>
          <w:gridAfter w:val="2"/>
          <w:wAfter w:w="135" w:type="pct"/>
          <w:trHeight w:val="328"/>
        </w:trPr>
        <w:tc>
          <w:tcPr>
            <w:tcW w:w="794" w:type="pct"/>
            <w:tcBorders>
              <w:top w:val="nil"/>
              <w:left w:val="nil"/>
              <w:bottom w:val="single" w:sz="4" w:space="0" w:color="auto"/>
              <w:right w:val="nil"/>
            </w:tcBorders>
            <w:noWrap/>
            <w:vAlign w:val="bottom"/>
            <w:hideMark/>
          </w:tcPr>
          <w:p w14:paraId="09A86537" w14:textId="77777777" w:rsidR="00871649" w:rsidRPr="008E13BC" w:rsidRDefault="00871649" w:rsidP="00AF6976">
            <w:pPr>
              <w:rPr>
                <w:rFonts w:ascii="Arial" w:hAnsi="Arial" w:cs="Arial"/>
                <w:color w:val="000000"/>
                <w:lang w:eastAsia="ja-JP"/>
              </w:rPr>
            </w:pPr>
            <w:r w:rsidRPr="008E13BC">
              <w:rPr>
                <w:rFonts w:ascii="Arial" w:hAnsi="Arial" w:cs="Arial"/>
                <w:color w:val="000000"/>
                <w:lang w:eastAsia="ja-JP"/>
              </w:rPr>
              <w:t>CV % (b)</w:t>
            </w:r>
          </w:p>
        </w:tc>
        <w:tc>
          <w:tcPr>
            <w:tcW w:w="764" w:type="pct"/>
            <w:tcBorders>
              <w:top w:val="nil"/>
              <w:left w:val="nil"/>
              <w:bottom w:val="single" w:sz="4" w:space="0" w:color="auto"/>
              <w:right w:val="nil"/>
            </w:tcBorders>
            <w:noWrap/>
            <w:vAlign w:val="bottom"/>
            <w:hideMark/>
          </w:tcPr>
          <w:p w14:paraId="1C3FA29C"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2.83</w:t>
            </w:r>
          </w:p>
        </w:tc>
        <w:tc>
          <w:tcPr>
            <w:tcW w:w="733" w:type="pct"/>
            <w:gridSpan w:val="2"/>
            <w:tcBorders>
              <w:top w:val="nil"/>
              <w:left w:val="nil"/>
              <w:bottom w:val="single" w:sz="4" w:space="0" w:color="auto"/>
              <w:right w:val="nil"/>
            </w:tcBorders>
            <w:noWrap/>
            <w:vAlign w:val="bottom"/>
            <w:hideMark/>
          </w:tcPr>
          <w:p w14:paraId="504DF3EB"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7.60</w:t>
            </w:r>
          </w:p>
        </w:tc>
        <w:tc>
          <w:tcPr>
            <w:tcW w:w="626" w:type="pct"/>
            <w:gridSpan w:val="2"/>
            <w:tcBorders>
              <w:top w:val="nil"/>
              <w:left w:val="nil"/>
              <w:bottom w:val="single" w:sz="4" w:space="0" w:color="auto"/>
              <w:right w:val="nil"/>
            </w:tcBorders>
            <w:noWrap/>
            <w:vAlign w:val="bottom"/>
            <w:hideMark/>
          </w:tcPr>
          <w:p w14:paraId="59934F8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7.73</w:t>
            </w:r>
          </w:p>
        </w:tc>
        <w:tc>
          <w:tcPr>
            <w:tcW w:w="606" w:type="pct"/>
            <w:gridSpan w:val="2"/>
            <w:tcBorders>
              <w:top w:val="nil"/>
              <w:left w:val="nil"/>
              <w:bottom w:val="single" w:sz="4" w:space="0" w:color="auto"/>
              <w:right w:val="nil"/>
            </w:tcBorders>
            <w:noWrap/>
            <w:vAlign w:val="bottom"/>
            <w:hideMark/>
          </w:tcPr>
          <w:p w14:paraId="035E704B"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6.68</w:t>
            </w:r>
          </w:p>
        </w:tc>
        <w:tc>
          <w:tcPr>
            <w:tcW w:w="543" w:type="pct"/>
            <w:gridSpan w:val="2"/>
            <w:tcBorders>
              <w:top w:val="nil"/>
              <w:left w:val="nil"/>
              <w:bottom w:val="single" w:sz="4" w:space="0" w:color="auto"/>
              <w:right w:val="nil"/>
            </w:tcBorders>
            <w:noWrap/>
            <w:vAlign w:val="bottom"/>
            <w:hideMark/>
          </w:tcPr>
          <w:p w14:paraId="5906B1F4"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8.63</w:t>
            </w:r>
          </w:p>
        </w:tc>
        <w:tc>
          <w:tcPr>
            <w:tcW w:w="799" w:type="pct"/>
            <w:gridSpan w:val="2"/>
            <w:tcBorders>
              <w:top w:val="nil"/>
              <w:left w:val="nil"/>
              <w:bottom w:val="single" w:sz="4" w:space="0" w:color="auto"/>
              <w:right w:val="nil"/>
            </w:tcBorders>
            <w:noWrap/>
            <w:vAlign w:val="bottom"/>
            <w:hideMark/>
          </w:tcPr>
          <w:p w14:paraId="70E5CD22" w14:textId="77777777" w:rsidR="00871649" w:rsidRPr="008E13BC" w:rsidRDefault="00871649" w:rsidP="00AF6976">
            <w:pPr>
              <w:jc w:val="center"/>
              <w:rPr>
                <w:rFonts w:ascii="Arial" w:hAnsi="Arial" w:cs="Arial"/>
                <w:color w:val="000000"/>
                <w:lang w:eastAsia="ja-JP"/>
              </w:rPr>
            </w:pPr>
            <w:r w:rsidRPr="008E13BC">
              <w:rPr>
                <w:rFonts w:ascii="Arial" w:hAnsi="Arial" w:cs="Arial"/>
                <w:color w:val="000000"/>
                <w:lang w:eastAsia="ja-JP"/>
              </w:rPr>
              <w:t>12.49</w:t>
            </w:r>
          </w:p>
        </w:tc>
      </w:tr>
      <w:tr w:rsidR="00AF6976" w:rsidRPr="008E13BC" w14:paraId="398C5379" w14:textId="77777777" w:rsidTr="00AF6976">
        <w:trPr>
          <w:trHeight w:val="359"/>
        </w:trPr>
        <w:tc>
          <w:tcPr>
            <w:tcW w:w="5000" w:type="pct"/>
            <w:gridSpan w:val="14"/>
            <w:tcBorders>
              <w:top w:val="nil"/>
              <w:left w:val="nil"/>
              <w:bottom w:val="nil"/>
              <w:right w:val="nil"/>
            </w:tcBorders>
            <w:noWrap/>
            <w:vAlign w:val="bottom"/>
            <w:hideMark/>
          </w:tcPr>
          <w:p w14:paraId="22BB0A79" w14:textId="49ECD71B" w:rsidR="008836C9" w:rsidRPr="00A16FCD" w:rsidRDefault="008836C9" w:rsidP="00AF6976">
            <w:pPr>
              <w:jc w:val="both"/>
              <w:rPr>
                <w:rFonts w:ascii="Arial" w:hAnsi="Arial" w:cs="Arial"/>
              </w:rPr>
            </w:pPr>
            <w:r w:rsidRPr="00A16FCD">
              <w:rPr>
                <w:rFonts w:ascii="Arial" w:hAnsi="Arial" w:cs="Arial"/>
              </w:rPr>
              <w:t xml:space="preserve">**= significant at 1 % level, </w:t>
            </w:r>
            <w:r w:rsidRPr="00A16FCD">
              <w:rPr>
                <w:rFonts w:ascii="Arial" w:hAnsi="Arial" w:cs="Arial"/>
                <w:color w:val="000000"/>
                <w:lang w:eastAsia="ja-JP"/>
              </w:rPr>
              <w:t xml:space="preserve">* = significant at 5% level, </w:t>
            </w:r>
            <w:r w:rsidRPr="00A16FCD">
              <w:rPr>
                <w:rFonts w:ascii="Arial" w:hAnsi="Arial" w:cs="Arial"/>
              </w:rPr>
              <w:t xml:space="preserve">ns = non </w:t>
            </w:r>
            <w:r w:rsidR="00B1064B">
              <w:rPr>
                <w:rFonts w:ascii="Arial" w:hAnsi="Arial" w:cs="Arial"/>
              </w:rPr>
              <w:t xml:space="preserve">- </w:t>
            </w:r>
            <w:r w:rsidRPr="00A16FCD">
              <w:rPr>
                <w:rFonts w:ascii="Arial" w:hAnsi="Arial" w:cs="Arial"/>
              </w:rPr>
              <w:t>significant</w:t>
            </w:r>
          </w:p>
          <w:p w14:paraId="59EC71D7" w14:textId="426B35A6" w:rsidR="008836C9" w:rsidRPr="00A16FCD" w:rsidRDefault="008836C9" w:rsidP="00AF6976">
            <w:pPr>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w:t>
            </w:r>
            <w:r w:rsidR="00B1064B" w:rsidRPr="006F4732">
              <w:rPr>
                <w:rFonts w:ascii="Arial" w:hAnsi="Arial" w:cs="Arial"/>
                <w:color w:val="000000"/>
                <w:spacing w:val="-4"/>
                <w:lang w:eastAsia="ja-JP"/>
              </w:rPr>
              <w:t>s</w:t>
            </w:r>
            <w:r w:rsidRPr="006F4732">
              <w:rPr>
                <w:rFonts w:ascii="Arial" w:hAnsi="Arial" w:cs="Arial"/>
                <w:color w:val="000000"/>
                <w:spacing w:val="-4"/>
                <w:lang w:eastAsia="ja-JP"/>
              </w:rPr>
              <w:t xml:space="preserve">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w:t>
            </w:r>
            <w:r w:rsidR="00AB2D75" w:rsidRPr="006F4732">
              <w:rPr>
                <w:rFonts w:ascii="Arial" w:hAnsi="Arial" w:cs="Arial"/>
                <w:color w:val="000000"/>
                <w:spacing w:val="-4"/>
                <w:lang w:eastAsia="ja-JP"/>
              </w:rPr>
              <w:t>~</w:t>
            </w:r>
            <w:r w:rsidRPr="006F4732">
              <w:rPr>
                <w:rFonts w:ascii="Arial" w:hAnsi="Arial" w:cs="Arial"/>
                <w:color w:val="000000"/>
                <w:spacing w:val="-4"/>
                <w:lang w:eastAsia="ja-JP"/>
              </w:rPr>
              <w:t xml:space="preserve"> 12 month</w:t>
            </w:r>
            <w:r w:rsidR="00B1064B" w:rsidRPr="006F4732">
              <w:rPr>
                <w:rFonts w:ascii="Arial" w:hAnsi="Arial" w:cs="Arial"/>
                <w:color w:val="000000"/>
                <w:spacing w:val="-4"/>
                <w:lang w:eastAsia="ja-JP"/>
              </w:rPr>
              <w:t>s</w:t>
            </w:r>
            <w:r w:rsidRPr="006F4732">
              <w:rPr>
                <w:rFonts w:ascii="Arial" w:hAnsi="Arial" w:cs="Arial"/>
                <w:color w:val="000000"/>
                <w:spacing w:val="-4"/>
                <w:lang w:eastAsia="ja-JP"/>
              </w:rPr>
              <w:t xml:space="preserve"> age), H</w:t>
            </w:r>
            <w:r w:rsidRPr="006F4732">
              <w:rPr>
                <w:rFonts w:ascii="Arial" w:hAnsi="Arial" w:cs="Arial"/>
                <w:color w:val="000000"/>
                <w:spacing w:val="-4"/>
                <w:vertAlign w:val="subscript"/>
                <w:lang w:eastAsia="ja-JP"/>
              </w:rPr>
              <w:t>3</w:t>
            </w:r>
            <w:r w:rsidR="004519F2" w:rsidRPr="006F4732">
              <w:rPr>
                <w:rFonts w:ascii="Arial" w:hAnsi="Arial" w:cs="Arial"/>
                <w:color w:val="000000"/>
                <w:spacing w:val="-4"/>
                <w:vertAlign w:val="subscript"/>
                <w:lang w:eastAsia="ja-JP"/>
              </w:rPr>
              <w:t xml:space="preserve"> </w:t>
            </w:r>
            <w:r w:rsidRPr="006F4732">
              <w:rPr>
                <w:rFonts w:ascii="Arial" w:hAnsi="Arial" w:cs="Arial"/>
                <w:color w:val="000000"/>
                <w:spacing w:val="-4"/>
                <w:lang w:eastAsia="ja-JP"/>
              </w:rPr>
              <w:t>=</w:t>
            </w:r>
            <w:r w:rsidR="004519F2">
              <w:rPr>
                <w:rFonts w:ascii="Arial" w:hAnsi="Arial" w:cs="Arial"/>
                <w:color w:val="000000"/>
                <w:lang w:eastAsia="ja-JP"/>
              </w:rPr>
              <w:t xml:space="preserve"> </w:t>
            </w:r>
            <w:r w:rsidRPr="00A16FCD">
              <w:rPr>
                <w:rFonts w:ascii="Arial" w:hAnsi="Arial" w:cs="Arial"/>
                <w:color w:val="000000"/>
                <w:lang w:eastAsia="ja-JP"/>
              </w:rPr>
              <w:t>Two month</w:t>
            </w:r>
            <w:r w:rsidR="004519F2">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sidR="00AB2D75">
              <w:rPr>
                <w:rFonts w:ascii="Arial" w:hAnsi="Arial" w:cs="Arial"/>
                <w:color w:val="000000"/>
                <w:lang w:eastAsia="ja-JP"/>
              </w:rPr>
              <w:t>~</w:t>
            </w:r>
            <w:r w:rsidRPr="00A16FCD">
              <w:rPr>
                <w:rFonts w:ascii="Arial" w:hAnsi="Arial" w:cs="Arial"/>
                <w:color w:val="000000"/>
                <w:lang w:eastAsia="ja-JP"/>
              </w:rPr>
              <w:t xml:space="preserve"> 13 month</w:t>
            </w:r>
            <w:r w:rsidR="00B1064B">
              <w:rPr>
                <w:rFonts w:ascii="Arial" w:hAnsi="Arial" w:cs="Arial"/>
                <w:color w:val="000000"/>
                <w:lang w:eastAsia="ja-JP"/>
              </w:rPr>
              <w:t>s</w:t>
            </w:r>
            <w:r w:rsidRPr="00A16FCD">
              <w:rPr>
                <w:rFonts w:ascii="Arial" w:hAnsi="Arial" w:cs="Arial"/>
                <w:color w:val="000000"/>
                <w:lang w:eastAsia="ja-JP"/>
              </w:rPr>
              <w:t xml:space="preserve"> age)</w:t>
            </w:r>
          </w:p>
          <w:p w14:paraId="5BE9F5EC" w14:textId="7A47775C" w:rsidR="00871649" w:rsidRPr="008E13BC" w:rsidRDefault="00871649" w:rsidP="00AF6976">
            <w:pPr>
              <w:rPr>
                <w:rFonts w:ascii="Arial" w:hAnsi="Arial" w:cs="Arial"/>
                <w:color w:val="000000"/>
                <w:lang w:eastAsia="ja-JP"/>
              </w:rPr>
            </w:pPr>
          </w:p>
        </w:tc>
      </w:tr>
    </w:tbl>
    <w:p w14:paraId="42037FA4" w14:textId="77777777" w:rsidR="00AF0C14" w:rsidRPr="00BF1184" w:rsidRDefault="00AF0C14" w:rsidP="00AF7CB0">
      <w:pPr>
        <w:pStyle w:val="Heading2"/>
        <w:spacing w:before="120" w:after="100" w:line="360" w:lineRule="auto"/>
        <w:jc w:val="both"/>
        <w:rPr>
          <w:rFonts w:ascii="Arial" w:eastAsia="Calibri" w:hAnsi="Arial" w:cs="Arial"/>
          <w:b/>
          <w:bCs/>
          <w:color w:val="000000" w:themeColor="text1"/>
          <w:sz w:val="22"/>
          <w:szCs w:val="22"/>
        </w:rPr>
      </w:pPr>
      <w:r w:rsidRPr="00BF1184">
        <w:rPr>
          <w:rFonts w:ascii="Arial" w:eastAsia="Calibri" w:hAnsi="Arial" w:cs="Arial"/>
          <w:b/>
          <w:bCs/>
          <w:color w:val="000000" w:themeColor="text1"/>
          <w:sz w:val="22"/>
          <w:szCs w:val="22"/>
        </w:rPr>
        <w:t xml:space="preserve">3.2 </w:t>
      </w:r>
      <w:r w:rsidRPr="00BF1184">
        <w:rPr>
          <w:rFonts w:ascii="Arial" w:hAnsi="Arial" w:cs="Arial"/>
          <w:b/>
          <w:bCs/>
          <w:color w:val="000000" w:themeColor="text1"/>
          <w:sz w:val="22"/>
          <w:szCs w:val="22"/>
        </w:rPr>
        <w:t>Cane Quality Parameters</w:t>
      </w:r>
    </w:p>
    <w:p w14:paraId="1B4485DB" w14:textId="466862B2" w:rsidR="00AF0C14" w:rsidRPr="006D3F60" w:rsidRDefault="00AF0C14" w:rsidP="00AF7CB0">
      <w:pPr>
        <w:pStyle w:val="Heading3"/>
        <w:spacing w:before="120" w:after="100" w:line="360" w:lineRule="auto"/>
        <w:jc w:val="both"/>
        <w:rPr>
          <w:rFonts w:ascii="Arial" w:hAnsi="Arial" w:cs="Arial"/>
          <w:b/>
          <w:bCs/>
          <w:sz w:val="20"/>
          <w:szCs w:val="20"/>
          <w:u w:val="single"/>
        </w:rPr>
      </w:pPr>
      <w:r w:rsidRPr="006D3F60">
        <w:rPr>
          <w:rFonts w:ascii="Arial" w:hAnsi="Arial" w:cs="Arial"/>
          <w:b/>
          <w:bCs/>
          <w:color w:val="000000" w:themeColor="text1"/>
          <w:sz w:val="20"/>
          <w:szCs w:val="20"/>
          <w:u w:val="single"/>
        </w:rPr>
        <w:t xml:space="preserve">3.2.1 Brix </w:t>
      </w:r>
      <w:r w:rsidR="001E32E4" w:rsidRPr="006D3F60">
        <w:rPr>
          <w:rFonts w:ascii="Arial" w:hAnsi="Arial" w:cs="Arial"/>
          <w:b/>
          <w:bCs/>
          <w:color w:val="000000" w:themeColor="text1"/>
          <w:sz w:val="20"/>
          <w:szCs w:val="20"/>
          <w:u w:val="single"/>
        </w:rPr>
        <w:t>%</w:t>
      </w:r>
    </w:p>
    <w:p w14:paraId="07A376D4" w14:textId="050F6127" w:rsidR="005C73D1" w:rsidRPr="0081048D" w:rsidRDefault="00AF6976" w:rsidP="0081048D">
      <w:pPr>
        <w:spacing w:line="360" w:lineRule="auto"/>
        <w:ind w:firstLine="720"/>
        <w:jc w:val="both"/>
        <w:rPr>
          <w:rFonts w:ascii="Arial" w:hAnsi="Arial" w:cs="Arial"/>
        </w:rPr>
      </w:pPr>
      <w:r w:rsidRPr="0081048D">
        <w:rPr>
          <w:rFonts w:ascii="Arial" w:hAnsi="Arial" w:cs="Arial"/>
        </w:rPr>
        <w:t xml:space="preserve">The response of sugarcane to brix percentage did not significantly differ among the various sugarcane varieties (Table 2). However, the effect of harvesting age on brix percentage showed significant differences (Table 2) </w:t>
      </w:r>
      <w:r w:rsidR="00C42FBF">
        <w:rPr>
          <w:rFonts w:ascii="Arial" w:hAnsi="Arial" w:cs="Arial"/>
        </w:rPr>
        <w:t>in</w:t>
      </w:r>
      <w:r w:rsidRPr="0081048D">
        <w:rPr>
          <w:rFonts w:ascii="Arial" w:hAnsi="Arial" w:cs="Arial"/>
        </w:rPr>
        <w:t xml:space="preserve"> both </w:t>
      </w:r>
      <w:r w:rsidR="00C42FBF">
        <w:rPr>
          <w:rFonts w:ascii="Arial" w:hAnsi="Arial" w:cs="Arial"/>
        </w:rPr>
        <w:t>location</w:t>
      </w:r>
      <w:r w:rsidRPr="0081048D">
        <w:rPr>
          <w:rFonts w:ascii="Arial" w:hAnsi="Arial" w:cs="Arial"/>
        </w:rPr>
        <w:t xml:space="preserve">s. The highest brix percentage recorded was for the PMA-7 variety, which reached 20.23% in Pyinmana, while the PMA-9 variety achieved 20.30% in Nyaungpintha. </w:t>
      </w:r>
      <w:r w:rsidR="00E15980" w:rsidRPr="007317D2">
        <w:rPr>
          <w:rFonts w:ascii="Arial" w:hAnsi="Arial" w:cs="Arial"/>
        </w:rPr>
        <w:t xml:space="preserve">Differences among varieties </w:t>
      </w:r>
      <w:r w:rsidR="00B63C15" w:rsidRPr="007317D2">
        <w:rPr>
          <w:rFonts w:ascii="Arial" w:hAnsi="Arial" w:cs="Arial"/>
        </w:rPr>
        <w:t xml:space="preserve">in brix% </w:t>
      </w:r>
      <w:r w:rsidR="00E15980" w:rsidRPr="007317D2">
        <w:rPr>
          <w:rFonts w:ascii="Arial" w:hAnsi="Arial" w:cs="Arial"/>
        </w:rPr>
        <w:t>could be due to differences in their growth and response to the surrounding environmental conditions.</w:t>
      </w:r>
      <w:r w:rsidR="00E15980" w:rsidRPr="00E15980">
        <w:rPr>
          <w:rFonts w:ascii="Arial" w:hAnsi="Arial" w:cs="Arial"/>
        </w:rPr>
        <w:t xml:space="preserve"> </w:t>
      </w:r>
      <w:r w:rsidRPr="0081048D">
        <w:rPr>
          <w:rFonts w:ascii="Arial" w:hAnsi="Arial" w:cs="Arial"/>
        </w:rPr>
        <w:t xml:space="preserve">Similar results were observed by Mehareb, Abou-Elwafa, and Galal (2016), who also found differences among the evaluated sugarcane varieties in terms of brix percentage. </w:t>
      </w:r>
    </w:p>
    <w:p w14:paraId="3D1B20FA" w14:textId="5E6C1AE5" w:rsidR="00AF6976" w:rsidRPr="0081048D" w:rsidRDefault="00AF6976" w:rsidP="0081048D">
      <w:pPr>
        <w:spacing w:line="360" w:lineRule="auto"/>
        <w:ind w:firstLine="720"/>
        <w:jc w:val="both"/>
        <w:rPr>
          <w:rFonts w:ascii="Arial" w:hAnsi="Arial" w:cs="Arial"/>
        </w:rPr>
      </w:pPr>
      <w:r w:rsidRPr="0081048D">
        <w:rPr>
          <w:rFonts w:ascii="Arial" w:hAnsi="Arial" w:cs="Arial"/>
        </w:rPr>
        <w:lastRenderedPageBreak/>
        <w:t>Among the varying harvesting ages, the highest brix percentage was recorded for H3 at 20.80% in Pyinmana and 21.11% in Nyaungpintha. As the harvesting age increased from 11 to 13 months, the brix percentage gradually and significantly increased. This increase may be due to the continuous accumulation of soluble solids as the harvest date approaches the end of the growth period (between 11 to 14 months old). Similar findings were reported by Abu-Ellail, Gadallah, and El-Gamal (2020), who noted that the age at harvest significantly influences brix percentage.</w:t>
      </w:r>
    </w:p>
    <w:p w14:paraId="3B344CFA" w14:textId="633D2E03" w:rsidR="00AF0C14" w:rsidRPr="00852502" w:rsidRDefault="00AF0C14" w:rsidP="00AF6976">
      <w:pPr>
        <w:pStyle w:val="Heading3"/>
        <w:spacing w:before="120" w:after="100" w:line="360" w:lineRule="auto"/>
        <w:jc w:val="both"/>
        <w:rPr>
          <w:rFonts w:ascii="Arial" w:hAnsi="Arial" w:cs="Arial"/>
          <w:b/>
          <w:bCs/>
          <w:sz w:val="20"/>
          <w:szCs w:val="20"/>
          <w:u w:val="single"/>
        </w:rPr>
      </w:pPr>
      <w:r w:rsidRPr="00852502">
        <w:rPr>
          <w:rFonts w:ascii="Arial" w:hAnsi="Arial" w:cs="Arial"/>
          <w:b/>
          <w:bCs/>
          <w:color w:val="000000" w:themeColor="text1"/>
          <w:sz w:val="20"/>
          <w:szCs w:val="20"/>
          <w:u w:val="single"/>
        </w:rPr>
        <w:t xml:space="preserve">3.2.2 Pol (sucrose) </w:t>
      </w:r>
      <w:r w:rsidR="001E32E4" w:rsidRPr="001E32E4">
        <w:rPr>
          <w:rFonts w:ascii="Arial" w:hAnsi="Arial" w:cs="Arial"/>
          <w:b/>
          <w:bCs/>
          <w:color w:val="000000" w:themeColor="text1"/>
          <w:sz w:val="20"/>
          <w:szCs w:val="20"/>
          <w:u w:val="single"/>
        </w:rPr>
        <w:t>%</w:t>
      </w:r>
    </w:p>
    <w:p w14:paraId="735A2C61" w14:textId="1FE1022A" w:rsidR="00837B25" w:rsidRPr="0081048D" w:rsidRDefault="00837B25" w:rsidP="0081048D">
      <w:pPr>
        <w:spacing w:line="360" w:lineRule="auto"/>
        <w:ind w:firstLine="720"/>
        <w:jc w:val="both"/>
        <w:rPr>
          <w:rFonts w:ascii="Arial" w:hAnsi="Arial" w:cs="Arial"/>
          <w:lang w:eastAsia="ja-JP"/>
        </w:rPr>
      </w:pPr>
      <w:r w:rsidRPr="0081048D">
        <w:rPr>
          <w:rFonts w:ascii="Arial" w:hAnsi="Arial" w:cs="Arial"/>
          <w:lang w:eastAsia="ja-JP"/>
        </w:rPr>
        <w:t xml:space="preserve">The response of sugarcane to different polarization percentages did not show significant differences across the various sugarcane varieties (Table 2). However, a significant difference was observed between harvesting ages (Table 2) in both Pyinmana and Nyaungpintha. The highest polarization percentages recorded were 17.11% for the PMA-7 variety in Pyinmana and 17.24% for the PMA-9 variety in Nyaungpintha; these values were statistically similar with other in both sites. The interaction between varieties and environmental conditions during growth, sucrose formation, and storage periods leads to variations in sucrose percentages. According to the findings of Mehareb, Abou-Elwafa, and Galal (2016), there were changes among the evaluated sugarcane varieties concerning brix and sucrose percentages. </w:t>
      </w:r>
    </w:p>
    <w:p w14:paraId="24EAD3B0" w14:textId="02B8886C" w:rsidR="00254829" w:rsidRPr="00254829" w:rsidRDefault="00837B25" w:rsidP="00254829">
      <w:pPr>
        <w:spacing w:line="360" w:lineRule="auto"/>
        <w:ind w:firstLine="720"/>
        <w:jc w:val="both"/>
        <w:rPr>
          <w:rFonts w:ascii="Arial" w:hAnsi="Arial" w:cs="Arial"/>
          <w:color w:val="000000" w:themeColor="text1"/>
        </w:rPr>
      </w:pPr>
      <w:r w:rsidRPr="0081048D">
        <w:rPr>
          <w:rFonts w:ascii="Arial" w:hAnsi="Arial" w:cs="Arial"/>
          <w:lang w:eastAsia="ja-JP"/>
        </w:rPr>
        <w:t>Furthermore, the highest polarization percentage</w:t>
      </w:r>
      <w:r w:rsidR="0081048D">
        <w:rPr>
          <w:rFonts w:ascii="Arial" w:hAnsi="Arial" w:cs="Arial"/>
          <w:lang w:eastAsia="ja-JP"/>
        </w:rPr>
        <w:t xml:space="preserve"> </w:t>
      </w:r>
      <w:r w:rsidR="009C13D9">
        <w:rPr>
          <w:rFonts w:ascii="Arial" w:hAnsi="Arial" w:cs="Arial"/>
          <w:lang w:eastAsia="ja-JP"/>
        </w:rPr>
        <w:t>17.87</w:t>
      </w:r>
      <w:r w:rsidRPr="0081048D">
        <w:rPr>
          <w:rFonts w:ascii="Arial" w:hAnsi="Arial" w:cs="Arial"/>
          <w:lang w:eastAsia="ja-JP"/>
        </w:rPr>
        <w:t>% in Pyinmana and 17.93% in Nyaungpintha</w:t>
      </w:r>
      <w:r w:rsidR="0081048D">
        <w:rPr>
          <w:rFonts w:ascii="Arial" w:hAnsi="Arial" w:cs="Arial"/>
          <w:lang w:eastAsia="ja-JP"/>
        </w:rPr>
        <w:t xml:space="preserve"> </w:t>
      </w:r>
      <w:r w:rsidRPr="0081048D">
        <w:rPr>
          <w:rFonts w:ascii="Arial" w:hAnsi="Arial" w:cs="Arial"/>
          <w:lang w:eastAsia="ja-JP"/>
        </w:rPr>
        <w:t xml:space="preserve">was observed at the harvesting age of H3. This phenomenon could be attributed to the dilution effect of enzymes, which alter the levels of reducing sugars and non-sucrose materials, thereby allowing for greater sucrose accumulation at the time of harvest. </w:t>
      </w:r>
      <w:r w:rsidR="00254829" w:rsidRPr="0081048D">
        <w:rPr>
          <w:rFonts w:ascii="Arial" w:hAnsi="Arial" w:cs="Arial"/>
          <w:lang w:eastAsia="ja-JP"/>
        </w:rPr>
        <w:t>According to the findings of</w:t>
      </w:r>
      <w:r w:rsidR="00254829">
        <w:rPr>
          <w:rFonts w:ascii="Arial" w:hAnsi="Arial" w:cs="Arial"/>
          <w:lang w:eastAsia="ja-JP"/>
        </w:rPr>
        <w:t xml:space="preserve"> </w:t>
      </w:r>
      <w:r w:rsidR="00B642F5" w:rsidRPr="002A12A2">
        <w:rPr>
          <w:rFonts w:ascii="Arial" w:hAnsi="Arial" w:cs="Arial"/>
        </w:rPr>
        <w:t xml:space="preserve">Shikanda, Jamoza </w:t>
      </w:r>
      <w:r w:rsidR="00B642F5">
        <w:rPr>
          <w:rFonts w:ascii="Arial" w:hAnsi="Arial" w:cs="Arial"/>
        </w:rPr>
        <w:t>and</w:t>
      </w:r>
      <w:r w:rsidR="00B642F5" w:rsidRPr="002A12A2">
        <w:rPr>
          <w:rFonts w:ascii="Arial" w:hAnsi="Arial" w:cs="Arial"/>
        </w:rPr>
        <w:t xml:space="preserve"> Kiplagat (2017)</w:t>
      </w:r>
      <w:r w:rsidR="00B642F5">
        <w:rPr>
          <w:rFonts w:ascii="Arial" w:hAnsi="Arial" w:cs="Arial"/>
        </w:rPr>
        <w:t xml:space="preserve">, </w:t>
      </w:r>
      <w:r w:rsidR="00254829" w:rsidRPr="00254829">
        <w:rPr>
          <w:rFonts w:ascii="Arial" w:hAnsi="Arial" w:cs="Arial"/>
          <w:color w:val="000000" w:themeColor="text1"/>
        </w:rPr>
        <w:t xml:space="preserve">who reported that harvest age </w:t>
      </w:r>
      <w:r w:rsidR="0005176D">
        <w:rPr>
          <w:rFonts w:ascii="Arial" w:hAnsi="Arial" w:cs="Arial"/>
          <w:color w:val="000000" w:themeColor="text1"/>
        </w:rPr>
        <w:t>exhibit</w:t>
      </w:r>
      <w:r w:rsidR="00254829" w:rsidRPr="00254829">
        <w:rPr>
          <w:rFonts w:ascii="Arial" w:hAnsi="Arial" w:cs="Arial"/>
          <w:color w:val="000000" w:themeColor="text1"/>
        </w:rPr>
        <w:t xml:space="preserve">ed significant influence on </w:t>
      </w:r>
      <w:r w:rsidR="003722E1">
        <w:rPr>
          <w:rFonts w:ascii="Arial" w:hAnsi="Arial" w:cs="Arial"/>
          <w:color w:val="000000" w:themeColor="text1"/>
        </w:rPr>
        <w:t>b</w:t>
      </w:r>
      <w:r w:rsidR="00254829" w:rsidRPr="00254829">
        <w:rPr>
          <w:rFonts w:ascii="Arial" w:hAnsi="Arial" w:cs="Arial"/>
          <w:color w:val="000000" w:themeColor="text1"/>
        </w:rPr>
        <w:t>rix, sucrose, and purity percentage.</w:t>
      </w:r>
    </w:p>
    <w:p w14:paraId="53F90519" w14:textId="77777777" w:rsidR="00254829" w:rsidRDefault="00254829" w:rsidP="00254829">
      <w:pPr>
        <w:autoSpaceDE w:val="0"/>
        <w:autoSpaceDN w:val="0"/>
        <w:adjustRightInd w:val="0"/>
        <w:rPr>
          <w:rFonts w:ascii="Arial" w:hAnsi="Arial" w:cs="Arial"/>
          <w:lang w:eastAsia="ja-JP"/>
        </w:rPr>
      </w:pPr>
    </w:p>
    <w:p w14:paraId="55B71428" w14:textId="77EF16A9" w:rsidR="00AF0C14" w:rsidRPr="00D06385" w:rsidRDefault="00AF0C14" w:rsidP="00837B25">
      <w:pPr>
        <w:pStyle w:val="Heading3"/>
        <w:spacing w:before="120" w:after="100" w:line="360" w:lineRule="auto"/>
        <w:jc w:val="both"/>
        <w:rPr>
          <w:rFonts w:ascii="Arial" w:hAnsi="Arial" w:cs="Arial"/>
          <w:b/>
          <w:bCs/>
          <w:color w:val="000000" w:themeColor="text1"/>
          <w:sz w:val="20"/>
          <w:szCs w:val="20"/>
          <w:u w:val="single"/>
        </w:rPr>
      </w:pPr>
      <w:r w:rsidRPr="00D06385">
        <w:rPr>
          <w:rFonts w:ascii="Arial" w:hAnsi="Arial" w:cs="Arial"/>
          <w:b/>
          <w:bCs/>
          <w:color w:val="000000" w:themeColor="text1"/>
          <w:sz w:val="20"/>
          <w:szCs w:val="20"/>
          <w:u w:val="single"/>
        </w:rPr>
        <w:t>3.2.</w:t>
      </w:r>
      <w:r>
        <w:rPr>
          <w:rFonts w:ascii="Arial" w:hAnsi="Arial" w:cs="Arial"/>
          <w:b/>
          <w:bCs/>
          <w:color w:val="000000" w:themeColor="text1"/>
          <w:sz w:val="20"/>
          <w:szCs w:val="20"/>
          <w:u w:val="single"/>
        </w:rPr>
        <w:t xml:space="preserve">3 </w:t>
      </w:r>
      <w:r w:rsidRPr="00D06385">
        <w:rPr>
          <w:rFonts w:ascii="Arial" w:hAnsi="Arial" w:cs="Arial"/>
          <w:b/>
          <w:bCs/>
          <w:color w:val="000000" w:themeColor="text1"/>
          <w:sz w:val="20"/>
          <w:szCs w:val="20"/>
          <w:u w:val="single"/>
        </w:rPr>
        <w:t xml:space="preserve">Commercial cane sugar (CCS </w:t>
      </w:r>
      <w:r w:rsidR="001E32E4">
        <w:rPr>
          <w:rFonts w:ascii="Arial" w:hAnsi="Arial" w:cs="Arial"/>
          <w:b/>
          <w:bCs/>
          <w:color w:val="000000" w:themeColor="text1"/>
          <w:sz w:val="20"/>
          <w:szCs w:val="20"/>
          <w:u w:val="single"/>
        </w:rPr>
        <w:t>%</w:t>
      </w:r>
      <w:r w:rsidRPr="00D06385">
        <w:rPr>
          <w:rFonts w:ascii="Arial" w:hAnsi="Arial" w:cs="Arial"/>
          <w:b/>
          <w:bCs/>
          <w:color w:val="000000" w:themeColor="text1"/>
          <w:sz w:val="20"/>
          <w:szCs w:val="20"/>
          <w:u w:val="single"/>
        </w:rPr>
        <w:t xml:space="preserve">) </w:t>
      </w:r>
    </w:p>
    <w:p w14:paraId="25001C0E" w14:textId="07B31BC4" w:rsidR="00C14B2F" w:rsidRPr="0081048D" w:rsidRDefault="0063137D" w:rsidP="0081048D">
      <w:pPr>
        <w:spacing w:line="360" w:lineRule="auto"/>
        <w:ind w:firstLine="720"/>
        <w:jc w:val="both"/>
        <w:rPr>
          <w:rFonts w:ascii="Arial" w:hAnsi="Arial" w:cs="Arial"/>
        </w:rPr>
      </w:pPr>
      <w:r>
        <w:rPr>
          <w:rFonts w:ascii="Arial" w:hAnsi="Arial" w:cs="Arial"/>
        </w:rPr>
        <w:t xml:space="preserve">In </w:t>
      </w:r>
      <w:r w:rsidR="00C14B2F" w:rsidRPr="0081048D">
        <w:rPr>
          <w:rFonts w:ascii="Arial" w:hAnsi="Arial" w:cs="Arial"/>
        </w:rPr>
        <w:t xml:space="preserve">both </w:t>
      </w:r>
      <w:r>
        <w:rPr>
          <w:rFonts w:ascii="Arial" w:hAnsi="Arial" w:cs="Arial"/>
          <w:lang w:eastAsia="ja-JP"/>
        </w:rPr>
        <w:t>location</w:t>
      </w:r>
      <w:r w:rsidR="00C14B2F" w:rsidRPr="0081048D">
        <w:rPr>
          <w:rFonts w:ascii="Arial" w:hAnsi="Arial" w:cs="Arial"/>
          <w:lang w:eastAsia="ja-JP"/>
        </w:rPr>
        <w:t>s</w:t>
      </w:r>
      <w:r w:rsidR="00C14B2F" w:rsidRPr="0081048D">
        <w:rPr>
          <w:rFonts w:ascii="Arial" w:hAnsi="Arial" w:cs="Arial"/>
        </w:rPr>
        <w:t xml:space="preserve">, there were no significant differences in the CCS percentage among the different sugarcane varieties (Table 2). However, the harvesting age showed a significant difference (Table 2). The highest CCS percentage recorded was 12.53% for the PMA-7 variety in Pyinmana, while the PMA-9 variety in Nyaungpintha showed a CCS percentage of 12.60%. These values were not significantly different from each other. The variation in reducing sugar content among the tested varieties may be attributed to their inherent varietal characteristics. </w:t>
      </w:r>
      <w:r w:rsidR="00C14B2F" w:rsidRPr="00B96050">
        <w:rPr>
          <w:rFonts w:ascii="Arial" w:hAnsi="Arial" w:cs="Arial"/>
          <w:color w:val="000000" w:themeColor="text1"/>
        </w:rPr>
        <w:t>Kamel</w:t>
      </w:r>
      <w:r w:rsidR="00F30E7B" w:rsidRPr="00B96050">
        <w:rPr>
          <w:rFonts w:ascii="Arial" w:hAnsi="Arial" w:cs="Arial"/>
          <w:color w:val="000000" w:themeColor="text1"/>
        </w:rPr>
        <w:t>,</w:t>
      </w:r>
      <w:r w:rsidR="00C14B2F" w:rsidRPr="00B96050">
        <w:rPr>
          <w:rFonts w:ascii="Arial" w:hAnsi="Arial" w:cs="Arial"/>
          <w:color w:val="000000" w:themeColor="text1"/>
        </w:rPr>
        <w:t xml:space="preserve"> (2015) reported </w:t>
      </w:r>
      <w:r w:rsidR="00C14B2F" w:rsidRPr="0081048D">
        <w:rPr>
          <w:rFonts w:ascii="Arial" w:hAnsi="Arial" w:cs="Arial"/>
        </w:rPr>
        <w:t>significant differences in reducing sugar percentages across various sugarcane varieties.</w:t>
      </w:r>
    </w:p>
    <w:p w14:paraId="0F9C6655" w14:textId="77777777" w:rsidR="008328DE" w:rsidRPr="00B96050" w:rsidRDefault="00C14B2F" w:rsidP="008328DE">
      <w:pPr>
        <w:spacing w:line="360" w:lineRule="auto"/>
        <w:ind w:firstLine="720"/>
        <w:jc w:val="both"/>
        <w:rPr>
          <w:rFonts w:ascii="Arial" w:hAnsi="Arial" w:cs="Arial"/>
          <w:color w:val="000000" w:themeColor="text1"/>
        </w:rPr>
      </w:pPr>
      <w:r w:rsidRPr="0081048D">
        <w:rPr>
          <w:rFonts w:ascii="Arial" w:hAnsi="Arial" w:cs="Arial"/>
        </w:rPr>
        <w:lastRenderedPageBreak/>
        <w:t xml:space="preserve">In terms of harvesting age, the maximum CCS percentage was achieved at the H3 harvesting age, at both sites. The data indicated that the sugar recovery percentage increased as the age of harvest progressed from 10 to 13 months. </w:t>
      </w:r>
      <w:r w:rsidR="008328DE" w:rsidRPr="00B96050">
        <w:rPr>
          <w:rFonts w:ascii="Arial" w:hAnsi="Arial" w:cs="Arial"/>
          <w:color w:val="000000" w:themeColor="text1"/>
        </w:rPr>
        <w:t>Similar findings were reported by Ahmed, El-Bakry and Abazied (2016) also disclosed that sugarcane harvesting age and variety varied significantly in sugar recovery percentage.</w:t>
      </w:r>
    </w:p>
    <w:p w14:paraId="37C2787A" w14:textId="1A9CE225" w:rsidR="00A16FCD" w:rsidRPr="00C14B2F" w:rsidRDefault="00A16FCD" w:rsidP="008328DE">
      <w:pPr>
        <w:spacing w:line="360" w:lineRule="auto"/>
        <w:jc w:val="both"/>
        <w:rPr>
          <w:rFonts w:ascii="Arial" w:eastAsia="Calibri" w:hAnsi="Arial" w:cs="Arial"/>
          <w:b/>
          <w:bCs/>
          <w:color w:val="000000"/>
          <w:spacing w:val="-8"/>
        </w:rPr>
      </w:pPr>
      <w:r w:rsidRPr="00C14B2F">
        <w:rPr>
          <w:rFonts w:ascii="Arial" w:eastAsia="Calibri" w:hAnsi="Arial" w:cs="Arial"/>
          <w:b/>
          <w:bCs/>
          <w:color w:val="000000"/>
          <w:spacing w:val="-8"/>
        </w:rPr>
        <w:t xml:space="preserve">Table 2 Brix % and CCS % of sugarcane </w:t>
      </w:r>
      <w:r w:rsidR="003F1E77" w:rsidRPr="00C14B2F">
        <w:rPr>
          <w:rFonts w:ascii="Arial" w:eastAsia="Calibri" w:hAnsi="Arial" w:cs="Arial"/>
          <w:b/>
          <w:bCs/>
          <w:color w:val="000000"/>
          <w:spacing w:val="-8"/>
        </w:rPr>
        <w:t>as affected by varieties and harvesting ages</w:t>
      </w:r>
    </w:p>
    <w:tbl>
      <w:tblPr>
        <w:tblW w:w="5000" w:type="pct"/>
        <w:tblLook w:val="04A0" w:firstRow="1" w:lastRow="0" w:firstColumn="1" w:lastColumn="0" w:noHBand="0" w:noVBand="1"/>
      </w:tblPr>
      <w:tblGrid>
        <w:gridCol w:w="1947"/>
        <w:gridCol w:w="1592"/>
        <w:gridCol w:w="1646"/>
        <w:gridCol w:w="1606"/>
        <w:gridCol w:w="1633"/>
      </w:tblGrid>
      <w:tr w:rsidR="00A16FCD" w:rsidRPr="00A16FCD" w14:paraId="5FD44CFB" w14:textId="77777777" w:rsidTr="00C14B2F">
        <w:trPr>
          <w:trHeight w:val="283"/>
        </w:trPr>
        <w:tc>
          <w:tcPr>
            <w:tcW w:w="1156" w:type="pct"/>
            <w:vMerge w:val="restart"/>
            <w:tcBorders>
              <w:top w:val="single" w:sz="4" w:space="0" w:color="auto"/>
              <w:left w:val="nil"/>
              <w:bottom w:val="single" w:sz="4" w:space="0" w:color="000000"/>
              <w:right w:val="nil"/>
            </w:tcBorders>
            <w:noWrap/>
            <w:vAlign w:val="center"/>
            <w:hideMark/>
          </w:tcPr>
          <w:p w14:paraId="312D9438"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Treatment</w:t>
            </w:r>
          </w:p>
        </w:tc>
        <w:tc>
          <w:tcPr>
            <w:tcW w:w="1922" w:type="pct"/>
            <w:gridSpan w:val="2"/>
            <w:tcBorders>
              <w:top w:val="single" w:sz="4" w:space="0" w:color="auto"/>
              <w:left w:val="nil"/>
              <w:bottom w:val="single" w:sz="4" w:space="0" w:color="auto"/>
              <w:right w:val="nil"/>
            </w:tcBorders>
            <w:vAlign w:val="center"/>
            <w:hideMark/>
          </w:tcPr>
          <w:p w14:paraId="3C9BE543" w14:textId="5F928D2B"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P</w:t>
            </w:r>
            <w:r w:rsidR="00444110">
              <w:rPr>
                <w:rFonts w:ascii="Arial" w:hAnsi="Arial" w:cs="Arial"/>
                <w:b/>
                <w:bCs/>
                <w:color w:val="000000"/>
                <w:lang w:eastAsia="ja-JP"/>
              </w:rPr>
              <w:t>yinmana</w:t>
            </w:r>
            <w:r w:rsidRPr="00A16FCD">
              <w:rPr>
                <w:rFonts w:ascii="Arial" w:hAnsi="Arial" w:cs="Arial"/>
                <w:b/>
                <w:bCs/>
                <w:color w:val="000000"/>
                <w:lang w:eastAsia="ja-JP"/>
              </w:rPr>
              <w:t xml:space="preserve"> </w:t>
            </w:r>
            <w:r w:rsidR="001E32E4">
              <w:rPr>
                <w:rFonts w:ascii="Arial" w:hAnsi="Arial" w:cs="Arial"/>
                <w:b/>
                <w:bCs/>
                <w:color w:val="000000"/>
                <w:lang w:eastAsia="ja-JP"/>
              </w:rPr>
              <w:t>Site</w:t>
            </w:r>
          </w:p>
        </w:tc>
        <w:tc>
          <w:tcPr>
            <w:tcW w:w="1922" w:type="pct"/>
            <w:gridSpan w:val="2"/>
            <w:tcBorders>
              <w:top w:val="single" w:sz="4" w:space="0" w:color="auto"/>
              <w:left w:val="nil"/>
              <w:bottom w:val="single" w:sz="4" w:space="0" w:color="auto"/>
              <w:right w:val="nil"/>
            </w:tcBorders>
            <w:noWrap/>
            <w:vAlign w:val="center"/>
            <w:hideMark/>
          </w:tcPr>
          <w:p w14:paraId="43B708AA" w14:textId="00A00D33"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N</w:t>
            </w:r>
            <w:r w:rsidR="00444110">
              <w:rPr>
                <w:rFonts w:ascii="Arial" w:hAnsi="Arial" w:cs="Arial"/>
                <w:b/>
                <w:bCs/>
                <w:color w:val="000000"/>
                <w:lang w:eastAsia="ja-JP"/>
              </w:rPr>
              <w:t>yaungpintha</w:t>
            </w:r>
            <w:r w:rsidRPr="00A16FCD">
              <w:rPr>
                <w:rFonts w:ascii="Arial" w:hAnsi="Arial" w:cs="Arial"/>
                <w:b/>
                <w:bCs/>
                <w:color w:val="000000"/>
                <w:lang w:eastAsia="ja-JP"/>
              </w:rPr>
              <w:t xml:space="preserve"> </w:t>
            </w:r>
            <w:r w:rsidR="001E32E4">
              <w:rPr>
                <w:rFonts w:ascii="Arial" w:hAnsi="Arial" w:cs="Arial"/>
                <w:b/>
                <w:bCs/>
                <w:color w:val="000000"/>
                <w:lang w:eastAsia="ja-JP"/>
              </w:rPr>
              <w:t>Site</w:t>
            </w:r>
          </w:p>
        </w:tc>
      </w:tr>
      <w:tr w:rsidR="00A16FCD" w:rsidRPr="00A16FCD" w14:paraId="68909E39" w14:textId="77777777" w:rsidTr="00C14B2F">
        <w:trPr>
          <w:trHeight w:val="270"/>
        </w:trPr>
        <w:tc>
          <w:tcPr>
            <w:tcW w:w="1156" w:type="pct"/>
            <w:vMerge/>
            <w:tcBorders>
              <w:top w:val="single" w:sz="4" w:space="0" w:color="auto"/>
              <w:left w:val="nil"/>
              <w:bottom w:val="single" w:sz="4" w:space="0" w:color="000000"/>
              <w:right w:val="nil"/>
            </w:tcBorders>
            <w:vAlign w:val="center"/>
            <w:hideMark/>
          </w:tcPr>
          <w:p w14:paraId="6E9A103F" w14:textId="77777777" w:rsidR="00A16FCD" w:rsidRPr="00A16FCD" w:rsidRDefault="00A16FCD" w:rsidP="00C14B2F">
            <w:pPr>
              <w:rPr>
                <w:rFonts w:ascii="Arial" w:hAnsi="Arial" w:cs="Arial"/>
                <w:b/>
                <w:bCs/>
                <w:color w:val="000000"/>
                <w:lang w:eastAsia="ja-JP"/>
              </w:rPr>
            </w:pPr>
          </w:p>
        </w:tc>
        <w:tc>
          <w:tcPr>
            <w:tcW w:w="945" w:type="pct"/>
            <w:tcBorders>
              <w:top w:val="nil"/>
              <w:left w:val="nil"/>
              <w:bottom w:val="single" w:sz="4" w:space="0" w:color="auto"/>
              <w:right w:val="nil"/>
            </w:tcBorders>
            <w:noWrap/>
            <w:vAlign w:val="center"/>
            <w:hideMark/>
          </w:tcPr>
          <w:p w14:paraId="276E43A3"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Brix %</w:t>
            </w:r>
          </w:p>
        </w:tc>
        <w:tc>
          <w:tcPr>
            <w:tcW w:w="977" w:type="pct"/>
            <w:tcBorders>
              <w:top w:val="nil"/>
              <w:left w:val="nil"/>
              <w:bottom w:val="single" w:sz="4" w:space="0" w:color="auto"/>
              <w:right w:val="nil"/>
            </w:tcBorders>
            <w:noWrap/>
            <w:vAlign w:val="center"/>
            <w:hideMark/>
          </w:tcPr>
          <w:p w14:paraId="4C259CB4"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CCS %</w:t>
            </w:r>
          </w:p>
        </w:tc>
        <w:tc>
          <w:tcPr>
            <w:tcW w:w="953" w:type="pct"/>
            <w:tcBorders>
              <w:top w:val="nil"/>
              <w:left w:val="nil"/>
              <w:bottom w:val="single" w:sz="4" w:space="0" w:color="auto"/>
              <w:right w:val="nil"/>
            </w:tcBorders>
            <w:noWrap/>
            <w:vAlign w:val="center"/>
            <w:hideMark/>
          </w:tcPr>
          <w:p w14:paraId="59F99316"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Brix %</w:t>
            </w:r>
          </w:p>
        </w:tc>
        <w:tc>
          <w:tcPr>
            <w:tcW w:w="969" w:type="pct"/>
            <w:tcBorders>
              <w:top w:val="nil"/>
              <w:left w:val="nil"/>
              <w:bottom w:val="single" w:sz="4" w:space="0" w:color="auto"/>
              <w:right w:val="nil"/>
            </w:tcBorders>
            <w:noWrap/>
            <w:vAlign w:val="center"/>
            <w:hideMark/>
          </w:tcPr>
          <w:p w14:paraId="568C89D5"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CCS %</w:t>
            </w:r>
          </w:p>
        </w:tc>
      </w:tr>
      <w:tr w:rsidR="00A16FCD" w:rsidRPr="00A16FCD" w14:paraId="1FFA70F5" w14:textId="77777777" w:rsidTr="00C14B2F">
        <w:trPr>
          <w:trHeight w:val="283"/>
        </w:trPr>
        <w:tc>
          <w:tcPr>
            <w:tcW w:w="1156" w:type="pct"/>
            <w:tcBorders>
              <w:top w:val="nil"/>
              <w:left w:val="nil"/>
              <w:bottom w:val="nil"/>
              <w:right w:val="nil"/>
            </w:tcBorders>
            <w:noWrap/>
            <w:vAlign w:val="bottom"/>
            <w:hideMark/>
          </w:tcPr>
          <w:p w14:paraId="0F12D57D"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Variety (A)</w:t>
            </w:r>
          </w:p>
        </w:tc>
        <w:tc>
          <w:tcPr>
            <w:tcW w:w="945" w:type="pct"/>
            <w:tcBorders>
              <w:top w:val="nil"/>
              <w:left w:val="nil"/>
              <w:bottom w:val="nil"/>
              <w:right w:val="nil"/>
            </w:tcBorders>
            <w:noWrap/>
            <w:vAlign w:val="bottom"/>
            <w:hideMark/>
          </w:tcPr>
          <w:p w14:paraId="6094DBA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77" w:type="pct"/>
            <w:tcBorders>
              <w:top w:val="nil"/>
              <w:left w:val="nil"/>
              <w:bottom w:val="nil"/>
              <w:right w:val="nil"/>
            </w:tcBorders>
            <w:noWrap/>
            <w:vAlign w:val="bottom"/>
            <w:hideMark/>
          </w:tcPr>
          <w:p w14:paraId="49BB54D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53" w:type="pct"/>
            <w:tcBorders>
              <w:top w:val="nil"/>
              <w:left w:val="nil"/>
              <w:bottom w:val="nil"/>
              <w:right w:val="nil"/>
            </w:tcBorders>
            <w:noWrap/>
            <w:vAlign w:val="bottom"/>
            <w:hideMark/>
          </w:tcPr>
          <w:p w14:paraId="32B24DF1"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69" w:type="pct"/>
            <w:tcBorders>
              <w:top w:val="nil"/>
              <w:left w:val="nil"/>
              <w:bottom w:val="nil"/>
              <w:right w:val="nil"/>
            </w:tcBorders>
            <w:noWrap/>
            <w:vAlign w:val="bottom"/>
            <w:hideMark/>
          </w:tcPr>
          <w:p w14:paraId="7D64D2D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r>
      <w:tr w:rsidR="005B316B" w:rsidRPr="00A16FCD" w14:paraId="79469DFA" w14:textId="77777777" w:rsidTr="00C14B2F">
        <w:trPr>
          <w:trHeight w:val="283"/>
        </w:trPr>
        <w:tc>
          <w:tcPr>
            <w:tcW w:w="1156" w:type="pct"/>
            <w:tcBorders>
              <w:top w:val="nil"/>
              <w:left w:val="nil"/>
              <w:bottom w:val="nil"/>
              <w:right w:val="nil"/>
            </w:tcBorders>
            <w:noWrap/>
            <w:vAlign w:val="bottom"/>
            <w:hideMark/>
          </w:tcPr>
          <w:p w14:paraId="65CC2677" w14:textId="2378270B" w:rsidR="005B316B" w:rsidRPr="00A16FCD" w:rsidRDefault="005B316B" w:rsidP="00C14B2F">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1</w:t>
            </w:r>
            <w:r w:rsidRPr="005B316B">
              <w:rPr>
                <w:rFonts w:ascii="Arial" w:hAnsi="Arial" w:cs="Arial"/>
                <w:color w:val="000000"/>
                <w:lang w:eastAsia="ja-JP"/>
              </w:rPr>
              <w:t xml:space="preserve"> (PMA-7)</w:t>
            </w:r>
          </w:p>
        </w:tc>
        <w:tc>
          <w:tcPr>
            <w:tcW w:w="945" w:type="pct"/>
            <w:tcBorders>
              <w:top w:val="nil"/>
              <w:left w:val="nil"/>
              <w:bottom w:val="nil"/>
              <w:right w:val="nil"/>
            </w:tcBorders>
            <w:noWrap/>
            <w:vAlign w:val="bottom"/>
            <w:hideMark/>
          </w:tcPr>
          <w:p w14:paraId="63EC9DA9" w14:textId="2180F664"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20.23 </w:t>
            </w:r>
          </w:p>
        </w:tc>
        <w:tc>
          <w:tcPr>
            <w:tcW w:w="977" w:type="pct"/>
            <w:tcBorders>
              <w:top w:val="nil"/>
              <w:left w:val="nil"/>
              <w:bottom w:val="nil"/>
              <w:right w:val="nil"/>
            </w:tcBorders>
            <w:noWrap/>
            <w:vAlign w:val="bottom"/>
            <w:hideMark/>
          </w:tcPr>
          <w:p w14:paraId="076954F5" w14:textId="262E7508"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12.53 </w:t>
            </w:r>
          </w:p>
        </w:tc>
        <w:tc>
          <w:tcPr>
            <w:tcW w:w="953" w:type="pct"/>
            <w:tcBorders>
              <w:top w:val="nil"/>
              <w:left w:val="nil"/>
              <w:bottom w:val="nil"/>
              <w:right w:val="nil"/>
            </w:tcBorders>
            <w:noWrap/>
            <w:vAlign w:val="bottom"/>
            <w:hideMark/>
          </w:tcPr>
          <w:p w14:paraId="6EECF871" w14:textId="7F6575AF"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20.24 </w:t>
            </w:r>
          </w:p>
        </w:tc>
        <w:tc>
          <w:tcPr>
            <w:tcW w:w="969" w:type="pct"/>
            <w:tcBorders>
              <w:top w:val="nil"/>
              <w:left w:val="nil"/>
              <w:bottom w:val="nil"/>
              <w:right w:val="nil"/>
            </w:tcBorders>
            <w:noWrap/>
            <w:vAlign w:val="bottom"/>
            <w:hideMark/>
          </w:tcPr>
          <w:p w14:paraId="14040528" w14:textId="578A3F4E"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12.26 </w:t>
            </w:r>
          </w:p>
        </w:tc>
      </w:tr>
      <w:tr w:rsidR="005B316B" w:rsidRPr="00A16FCD" w14:paraId="752E3907" w14:textId="77777777" w:rsidTr="00C14B2F">
        <w:trPr>
          <w:trHeight w:val="283"/>
        </w:trPr>
        <w:tc>
          <w:tcPr>
            <w:tcW w:w="1156" w:type="pct"/>
            <w:tcBorders>
              <w:top w:val="nil"/>
              <w:left w:val="nil"/>
              <w:right w:val="nil"/>
            </w:tcBorders>
            <w:noWrap/>
            <w:vAlign w:val="bottom"/>
            <w:hideMark/>
          </w:tcPr>
          <w:p w14:paraId="252786D8" w14:textId="3B13E072" w:rsidR="005B316B" w:rsidRPr="00A16FCD" w:rsidRDefault="005B316B" w:rsidP="00C14B2F">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2 </w:t>
            </w:r>
            <w:r w:rsidRPr="005B316B">
              <w:rPr>
                <w:rFonts w:ascii="Arial" w:hAnsi="Arial" w:cs="Arial"/>
                <w:color w:val="000000"/>
                <w:lang w:eastAsia="ja-JP"/>
              </w:rPr>
              <w:t>(PMA-8)</w:t>
            </w:r>
          </w:p>
        </w:tc>
        <w:tc>
          <w:tcPr>
            <w:tcW w:w="945" w:type="pct"/>
            <w:tcBorders>
              <w:top w:val="nil"/>
              <w:left w:val="nil"/>
              <w:right w:val="nil"/>
            </w:tcBorders>
            <w:noWrap/>
            <w:vAlign w:val="bottom"/>
            <w:hideMark/>
          </w:tcPr>
          <w:p w14:paraId="786CCC3B" w14:textId="6B7926FA"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20.22 </w:t>
            </w:r>
          </w:p>
        </w:tc>
        <w:tc>
          <w:tcPr>
            <w:tcW w:w="977" w:type="pct"/>
            <w:tcBorders>
              <w:top w:val="nil"/>
              <w:left w:val="nil"/>
              <w:bottom w:val="nil"/>
              <w:right w:val="nil"/>
            </w:tcBorders>
            <w:noWrap/>
            <w:vAlign w:val="bottom"/>
            <w:hideMark/>
          </w:tcPr>
          <w:p w14:paraId="00E3E361" w14:textId="5F4C747E"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12.31 </w:t>
            </w:r>
          </w:p>
        </w:tc>
        <w:tc>
          <w:tcPr>
            <w:tcW w:w="953" w:type="pct"/>
            <w:tcBorders>
              <w:top w:val="nil"/>
              <w:left w:val="nil"/>
              <w:bottom w:val="nil"/>
              <w:right w:val="nil"/>
            </w:tcBorders>
            <w:noWrap/>
            <w:vAlign w:val="bottom"/>
            <w:hideMark/>
          </w:tcPr>
          <w:p w14:paraId="4196C21A" w14:textId="7260A3FF"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 19.96 </w:t>
            </w:r>
          </w:p>
        </w:tc>
        <w:tc>
          <w:tcPr>
            <w:tcW w:w="969" w:type="pct"/>
            <w:tcBorders>
              <w:top w:val="nil"/>
              <w:left w:val="nil"/>
              <w:bottom w:val="nil"/>
              <w:right w:val="nil"/>
            </w:tcBorders>
            <w:noWrap/>
            <w:vAlign w:val="bottom"/>
            <w:hideMark/>
          </w:tcPr>
          <w:p w14:paraId="4FA12C53" w14:textId="6DAB659B"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 12.25 </w:t>
            </w:r>
          </w:p>
        </w:tc>
      </w:tr>
      <w:tr w:rsidR="005B316B" w:rsidRPr="00A16FCD" w14:paraId="54C73AD9" w14:textId="77777777" w:rsidTr="00C14B2F">
        <w:trPr>
          <w:trHeight w:val="283"/>
        </w:trPr>
        <w:tc>
          <w:tcPr>
            <w:tcW w:w="1156" w:type="pct"/>
            <w:tcBorders>
              <w:top w:val="nil"/>
              <w:left w:val="nil"/>
              <w:bottom w:val="single" w:sz="4" w:space="0" w:color="auto"/>
              <w:right w:val="nil"/>
            </w:tcBorders>
            <w:noWrap/>
            <w:vAlign w:val="bottom"/>
            <w:hideMark/>
          </w:tcPr>
          <w:p w14:paraId="094EA953" w14:textId="12324768" w:rsidR="005B316B" w:rsidRPr="00A16FCD" w:rsidRDefault="005B316B" w:rsidP="00C14B2F">
            <w:pPr>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3 </w:t>
            </w:r>
            <w:r w:rsidRPr="005B316B">
              <w:rPr>
                <w:rFonts w:ascii="Arial" w:hAnsi="Arial" w:cs="Arial"/>
                <w:color w:val="000000"/>
                <w:lang w:eastAsia="ja-JP"/>
              </w:rPr>
              <w:t>(PMA-9</w:t>
            </w:r>
          </w:p>
        </w:tc>
        <w:tc>
          <w:tcPr>
            <w:tcW w:w="945" w:type="pct"/>
            <w:tcBorders>
              <w:top w:val="nil"/>
              <w:left w:val="nil"/>
              <w:bottom w:val="single" w:sz="4" w:space="0" w:color="auto"/>
              <w:right w:val="nil"/>
            </w:tcBorders>
            <w:noWrap/>
            <w:vAlign w:val="bottom"/>
            <w:hideMark/>
          </w:tcPr>
          <w:p w14:paraId="29C2784C" w14:textId="21D93E0E"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20.00 </w:t>
            </w:r>
          </w:p>
        </w:tc>
        <w:tc>
          <w:tcPr>
            <w:tcW w:w="977" w:type="pct"/>
            <w:tcBorders>
              <w:top w:val="nil"/>
              <w:left w:val="nil"/>
              <w:bottom w:val="single" w:sz="4" w:space="0" w:color="auto"/>
              <w:right w:val="nil"/>
            </w:tcBorders>
            <w:noWrap/>
            <w:vAlign w:val="bottom"/>
            <w:hideMark/>
          </w:tcPr>
          <w:p w14:paraId="248DB65B" w14:textId="131DF5A5"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12.29 </w:t>
            </w:r>
          </w:p>
        </w:tc>
        <w:tc>
          <w:tcPr>
            <w:tcW w:w="953" w:type="pct"/>
            <w:tcBorders>
              <w:top w:val="nil"/>
              <w:left w:val="nil"/>
              <w:bottom w:val="single" w:sz="4" w:space="0" w:color="auto"/>
              <w:right w:val="nil"/>
            </w:tcBorders>
            <w:noWrap/>
            <w:vAlign w:val="bottom"/>
            <w:hideMark/>
          </w:tcPr>
          <w:p w14:paraId="6B99841E" w14:textId="00805D5C"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20.30 </w:t>
            </w:r>
          </w:p>
        </w:tc>
        <w:tc>
          <w:tcPr>
            <w:tcW w:w="969" w:type="pct"/>
            <w:tcBorders>
              <w:top w:val="nil"/>
              <w:left w:val="nil"/>
              <w:bottom w:val="single" w:sz="4" w:space="0" w:color="auto"/>
              <w:right w:val="nil"/>
            </w:tcBorders>
            <w:noWrap/>
            <w:vAlign w:val="bottom"/>
            <w:hideMark/>
          </w:tcPr>
          <w:p w14:paraId="7B6E628A" w14:textId="6365E18B" w:rsidR="005B316B" w:rsidRPr="00A16FCD" w:rsidRDefault="005B316B" w:rsidP="00C14B2F">
            <w:pPr>
              <w:jc w:val="center"/>
              <w:rPr>
                <w:rFonts w:ascii="Arial" w:hAnsi="Arial" w:cs="Arial"/>
                <w:color w:val="000000"/>
                <w:lang w:eastAsia="ja-JP"/>
              </w:rPr>
            </w:pPr>
            <w:r w:rsidRPr="00A16FCD">
              <w:rPr>
                <w:rFonts w:ascii="Arial" w:hAnsi="Arial" w:cs="Arial"/>
                <w:color w:val="000000"/>
                <w:lang w:eastAsia="ja-JP"/>
              </w:rPr>
              <w:t xml:space="preserve">12.61 </w:t>
            </w:r>
          </w:p>
        </w:tc>
      </w:tr>
      <w:tr w:rsidR="00A16FCD" w:rsidRPr="00A16FCD" w14:paraId="3F2A7FE5" w14:textId="77777777" w:rsidTr="00C14B2F">
        <w:trPr>
          <w:trHeight w:val="283"/>
        </w:trPr>
        <w:tc>
          <w:tcPr>
            <w:tcW w:w="1156" w:type="pct"/>
            <w:tcBorders>
              <w:top w:val="single" w:sz="4" w:space="0" w:color="auto"/>
              <w:left w:val="nil"/>
              <w:bottom w:val="single" w:sz="4" w:space="0" w:color="auto"/>
              <w:right w:val="nil"/>
            </w:tcBorders>
            <w:noWrap/>
            <w:vAlign w:val="bottom"/>
            <w:hideMark/>
          </w:tcPr>
          <w:p w14:paraId="7A297444"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 xml:space="preserve">LSD </w:t>
            </w:r>
            <w:r w:rsidRPr="00A16FCD">
              <w:rPr>
                <w:rFonts w:ascii="Arial" w:hAnsi="Arial" w:cs="Arial"/>
                <w:color w:val="000000"/>
                <w:vertAlign w:val="subscript"/>
                <w:lang w:eastAsia="ja-JP"/>
              </w:rPr>
              <w:t>0.05</w:t>
            </w:r>
          </w:p>
        </w:tc>
        <w:tc>
          <w:tcPr>
            <w:tcW w:w="945" w:type="pct"/>
            <w:tcBorders>
              <w:top w:val="single" w:sz="4" w:space="0" w:color="auto"/>
              <w:left w:val="nil"/>
              <w:bottom w:val="single" w:sz="4" w:space="0" w:color="auto"/>
              <w:right w:val="nil"/>
            </w:tcBorders>
            <w:noWrap/>
            <w:vAlign w:val="bottom"/>
            <w:hideMark/>
          </w:tcPr>
          <w:p w14:paraId="235E41F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1.04</w:t>
            </w:r>
          </w:p>
        </w:tc>
        <w:tc>
          <w:tcPr>
            <w:tcW w:w="977" w:type="pct"/>
            <w:tcBorders>
              <w:top w:val="single" w:sz="4" w:space="0" w:color="auto"/>
              <w:left w:val="nil"/>
              <w:bottom w:val="single" w:sz="4" w:space="0" w:color="auto"/>
              <w:right w:val="nil"/>
            </w:tcBorders>
            <w:noWrap/>
            <w:vAlign w:val="bottom"/>
            <w:hideMark/>
          </w:tcPr>
          <w:p w14:paraId="7214DAD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0.85</w:t>
            </w:r>
          </w:p>
        </w:tc>
        <w:tc>
          <w:tcPr>
            <w:tcW w:w="953" w:type="pct"/>
            <w:tcBorders>
              <w:top w:val="single" w:sz="4" w:space="0" w:color="auto"/>
              <w:left w:val="nil"/>
              <w:bottom w:val="single" w:sz="4" w:space="0" w:color="auto"/>
              <w:right w:val="nil"/>
            </w:tcBorders>
            <w:noWrap/>
            <w:vAlign w:val="bottom"/>
            <w:hideMark/>
          </w:tcPr>
          <w:p w14:paraId="251B987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1.24</w:t>
            </w:r>
          </w:p>
        </w:tc>
        <w:tc>
          <w:tcPr>
            <w:tcW w:w="969" w:type="pct"/>
            <w:tcBorders>
              <w:top w:val="single" w:sz="4" w:space="0" w:color="auto"/>
              <w:left w:val="nil"/>
              <w:bottom w:val="single" w:sz="4" w:space="0" w:color="auto"/>
              <w:right w:val="nil"/>
            </w:tcBorders>
            <w:noWrap/>
            <w:vAlign w:val="bottom"/>
            <w:hideMark/>
          </w:tcPr>
          <w:p w14:paraId="2EB3B4C4"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1.29</w:t>
            </w:r>
          </w:p>
        </w:tc>
      </w:tr>
      <w:tr w:rsidR="00A16FCD" w:rsidRPr="00A16FCD" w14:paraId="4AC45250" w14:textId="77777777" w:rsidTr="00C14B2F">
        <w:trPr>
          <w:trHeight w:val="283"/>
        </w:trPr>
        <w:tc>
          <w:tcPr>
            <w:tcW w:w="1156" w:type="pct"/>
            <w:tcBorders>
              <w:top w:val="single" w:sz="4" w:space="0" w:color="auto"/>
              <w:left w:val="nil"/>
              <w:bottom w:val="nil"/>
              <w:right w:val="nil"/>
            </w:tcBorders>
            <w:noWrap/>
            <w:vAlign w:val="bottom"/>
            <w:hideMark/>
          </w:tcPr>
          <w:p w14:paraId="5C7952F9" w14:textId="77777777" w:rsidR="00A16FCD" w:rsidRPr="00A16FCD" w:rsidRDefault="00A16FCD" w:rsidP="00C14B2F">
            <w:pPr>
              <w:jc w:val="center"/>
              <w:rPr>
                <w:rFonts w:ascii="Arial" w:hAnsi="Arial" w:cs="Arial"/>
                <w:b/>
                <w:bCs/>
                <w:color w:val="000000"/>
                <w:lang w:eastAsia="ja-JP"/>
              </w:rPr>
            </w:pPr>
            <w:r w:rsidRPr="00A16FCD">
              <w:rPr>
                <w:rFonts w:ascii="Arial" w:hAnsi="Arial" w:cs="Arial"/>
                <w:b/>
                <w:bCs/>
                <w:color w:val="000000"/>
                <w:lang w:eastAsia="ja-JP"/>
              </w:rPr>
              <w:t>Harvesting (B)</w:t>
            </w:r>
          </w:p>
        </w:tc>
        <w:tc>
          <w:tcPr>
            <w:tcW w:w="945" w:type="pct"/>
            <w:tcBorders>
              <w:top w:val="single" w:sz="4" w:space="0" w:color="auto"/>
              <w:left w:val="nil"/>
              <w:bottom w:val="nil"/>
              <w:right w:val="nil"/>
            </w:tcBorders>
            <w:noWrap/>
            <w:vAlign w:val="bottom"/>
            <w:hideMark/>
          </w:tcPr>
          <w:p w14:paraId="3571120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77" w:type="pct"/>
            <w:tcBorders>
              <w:top w:val="single" w:sz="4" w:space="0" w:color="auto"/>
              <w:left w:val="nil"/>
              <w:bottom w:val="nil"/>
              <w:right w:val="nil"/>
            </w:tcBorders>
            <w:noWrap/>
            <w:vAlign w:val="bottom"/>
            <w:hideMark/>
          </w:tcPr>
          <w:p w14:paraId="4DCE05F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53" w:type="pct"/>
            <w:tcBorders>
              <w:top w:val="single" w:sz="4" w:space="0" w:color="auto"/>
              <w:left w:val="nil"/>
              <w:bottom w:val="nil"/>
              <w:right w:val="nil"/>
            </w:tcBorders>
            <w:noWrap/>
            <w:vAlign w:val="bottom"/>
            <w:hideMark/>
          </w:tcPr>
          <w:p w14:paraId="73C6AF2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69" w:type="pct"/>
            <w:tcBorders>
              <w:top w:val="single" w:sz="4" w:space="0" w:color="auto"/>
              <w:left w:val="nil"/>
              <w:bottom w:val="nil"/>
              <w:right w:val="nil"/>
            </w:tcBorders>
            <w:noWrap/>
            <w:vAlign w:val="bottom"/>
            <w:hideMark/>
          </w:tcPr>
          <w:p w14:paraId="2839C19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r>
      <w:tr w:rsidR="00A16FCD" w:rsidRPr="00A16FCD" w14:paraId="033E3D63" w14:textId="77777777" w:rsidTr="00C14B2F">
        <w:trPr>
          <w:trHeight w:val="283"/>
        </w:trPr>
        <w:tc>
          <w:tcPr>
            <w:tcW w:w="1156" w:type="pct"/>
            <w:tcBorders>
              <w:top w:val="nil"/>
              <w:left w:val="nil"/>
              <w:bottom w:val="nil"/>
              <w:right w:val="nil"/>
            </w:tcBorders>
            <w:noWrap/>
            <w:vAlign w:val="bottom"/>
            <w:hideMark/>
          </w:tcPr>
          <w:p w14:paraId="6896911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1</w:t>
            </w:r>
          </w:p>
        </w:tc>
        <w:tc>
          <w:tcPr>
            <w:tcW w:w="945" w:type="pct"/>
            <w:tcBorders>
              <w:top w:val="nil"/>
              <w:left w:val="nil"/>
              <w:bottom w:val="nil"/>
              <w:right w:val="nil"/>
            </w:tcBorders>
            <w:noWrap/>
            <w:vAlign w:val="bottom"/>
            <w:hideMark/>
          </w:tcPr>
          <w:p w14:paraId="73490AE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19.58 c</w:t>
            </w:r>
          </w:p>
        </w:tc>
        <w:tc>
          <w:tcPr>
            <w:tcW w:w="977" w:type="pct"/>
            <w:tcBorders>
              <w:top w:val="nil"/>
              <w:left w:val="nil"/>
              <w:bottom w:val="nil"/>
              <w:right w:val="nil"/>
            </w:tcBorders>
            <w:noWrap/>
            <w:vAlign w:val="bottom"/>
            <w:hideMark/>
          </w:tcPr>
          <w:p w14:paraId="5433265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11.65 c</w:t>
            </w:r>
          </w:p>
        </w:tc>
        <w:tc>
          <w:tcPr>
            <w:tcW w:w="953" w:type="pct"/>
            <w:tcBorders>
              <w:top w:val="nil"/>
              <w:left w:val="nil"/>
              <w:bottom w:val="nil"/>
              <w:right w:val="nil"/>
            </w:tcBorders>
            <w:noWrap/>
            <w:vAlign w:val="bottom"/>
            <w:hideMark/>
          </w:tcPr>
          <w:p w14:paraId="4951BD7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19.36 c</w:t>
            </w:r>
          </w:p>
        </w:tc>
        <w:tc>
          <w:tcPr>
            <w:tcW w:w="969" w:type="pct"/>
            <w:tcBorders>
              <w:top w:val="nil"/>
              <w:left w:val="nil"/>
              <w:bottom w:val="nil"/>
              <w:right w:val="nil"/>
            </w:tcBorders>
            <w:noWrap/>
            <w:vAlign w:val="bottom"/>
            <w:hideMark/>
          </w:tcPr>
          <w:p w14:paraId="5FDED92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11.91 b</w:t>
            </w:r>
          </w:p>
        </w:tc>
      </w:tr>
      <w:tr w:rsidR="00A16FCD" w:rsidRPr="00A16FCD" w14:paraId="15F6CF9A" w14:textId="77777777" w:rsidTr="00C14B2F">
        <w:trPr>
          <w:trHeight w:val="283"/>
        </w:trPr>
        <w:tc>
          <w:tcPr>
            <w:tcW w:w="1156" w:type="pct"/>
            <w:tcBorders>
              <w:top w:val="nil"/>
              <w:left w:val="nil"/>
              <w:bottom w:val="nil"/>
              <w:right w:val="nil"/>
            </w:tcBorders>
            <w:noWrap/>
            <w:vAlign w:val="bottom"/>
            <w:hideMark/>
          </w:tcPr>
          <w:p w14:paraId="05C5AEA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2</w:t>
            </w:r>
          </w:p>
        </w:tc>
        <w:tc>
          <w:tcPr>
            <w:tcW w:w="945" w:type="pct"/>
            <w:tcBorders>
              <w:top w:val="nil"/>
              <w:left w:val="nil"/>
              <w:bottom w:val="nil"/>
              <w:right w:val="nil"/>
            </w:tcBorders>
            <w:noWrap/>
            <w:vAlign w:val="bottom"/>
            <w:hideMark/>
          </w:tcPr>
          <w:p w14:paraId="0BC8D15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20.06 b</w:t>
            </w:r>
          </w:p>
        </w:tc>
        <w:tc>
          <w:tcPr>
            <w:tcW w:w="977" w:type="pct"/>
            <w:tcBorders>
              <w:top w:val="nil"/>
              <w:left w:val="nil"/>
              <w:bottom w:val="nil"/>
              <w:right w:val="nil"/>
            </w:tcBorders>
            <w:noWrap/>
            <w:vAlign w:val="bottom"/>
            <w:hideMark/>
          </w:tcPr>
          <w:p w14:paraId="3213132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12.21 b</w:t>
            </w:r>
          </w:p>
        </w:tc>
        <w:tc>
          <w:tcPr>
            <w:tcW w:w="953" w:type="pct"/>
            <w:tcBorders>
              <w:top w:val="nil"/>
              <w:left w:val="nil"/>
              <w:bottom w:val="nil"/>
              <w:right w:val="nil"/>
            </w:tcBorders>
            <w:noWrap/>
            <w:vAlign w:val="bottom"/>
            <w:hideMark/>
          </w:tcPr>
          <w:p w14:paraId="20D321C8"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20.02 b</w:t>
            </w:r>
          </w:p>
        </w:tc>
        <w:tc>
          <w:tcPr>
            <w:tcW w:w="969" w:type="pct"/>
            <w:tcBorders>
              <w:top w:val="nil"/>
              <w:left w:val="nil"/>
              <w:bottom w:val="nil"/>
              <w:right w:val="nil"/>
            </w:tcBorders>
            <w:noWrap/>
            <w:vAlign w:val="bottom"/>
            <w:hideMark/>
          </w:tcPr>
          <w:p w14:paraId="5EC3BB5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11.99 b</w:t>
            </w:r>
          </w:p>
        </w:tc>
      </w:tr>
      <w:tr w:rsidR="00A16FCD" w:rsidRPr="00A16FCD" w14:paraId="440FAF82" w14:textId="77777777" w:rsidTr="00C14B2F">
        <w:trPr>
          <w:trHeight w:val="283"/>
        </w:trPr>
        <w:tc>
          <w:tcPr>
            <w:tcW w:w="1156" w:type="pct"/>
            <w:tcBorders>
              <w:top w:val="nil"/>
              <w:left w:val="nil"/>
              <w:bottom w:val="nil"/>
              <w:right w:val="nil"/>
            </w:tcBorders>
            <w:noWrap/>
            <w:vAlign w:val="bottom"/>
            <w:hideMark/>
          </w:tcPr>
          <w:p w14:paraId="3886F60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H</w:t>
            </w:r>
            <w:r w:rsidRPr="00A16FCD">
              <w:rPr>
                <w:rFonts w:ascii="Arial" w:hAnsi="Arial" w:cs="Arial"/>
                <w:color w:val="000000"/>
                <w:vertAlign w:val="subscript"/>
                <w:lang w:eastAsia="ja-JP"/>
              </w:rPr>
              <w:t>3</w:t>
            </w:r>
          </w:p>
        </w:tc>
        <w:tc>
          <w:tcPr>
            <w:tcW w:w="945" w:type="pct"/>
            <w:tcBorders>
              <w:top w:val="nil"/>
              <w:left w:val="nil"/>
              <w:bottom w:val="single" w:sz="4" w:space="0" w:color="auto"/>
              <w:right w:val="nil"/>
            </w:tcBorders>
            <w:noWrap/>
            <w:vAlign w:val="bottom"/>
            <w:hideMark/>
          </w:tcPr>
          <w:p w14:paraId="2C983A8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20.80 a</w:t>
            </w:r>
          </w:p>
        </w:tc>
        <w:tc>
          <w:tcPr>
            <w:tcW w:w="977" w:type="pct"/>
            <w:tcBorders>
              <w:top w:val="nil"/>
              <w:left w:val="nil"/>
              <w:bottom w:val="single" w:sz="4" w:space="0" w:color="auto"/>
              <w:right w:val="nil"/>
            </w:tcBorders>
            <w:noWrap/>
            <w:vAlign w:val="bottom"/>
            <w:hideMark/>
          </w:tcPr>
          <w:p w14:paraId="670A801F"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13.28 a</w:t>
            </w:r>
          </w:p>
        </w:tc>
        <w:tc>
          <w:tcPr>
            <w:tcW w:w="953" w:type="pct"/>
            <w:tcBorders>
              <w:top w:val="nil"/>
              <w:left w:val="nil"/>
              <w:bottom w:val="single" w:sz="4" w:space="0" w:color="auto"/>
              <w:right w:val="nil"/>
            </w:tcBorders>
            <w:noWrap/>
            <w:vAlign w:val="bottom"/>
            <w:hideMark/>
          </w:tcPr>
          <w:p w14:paraId="18E203C0"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21.11 a</w:t>
            </w:r>
          </w:p>
        </w:tc>
        <w:tc>
          <w:tcPr>
            <w:tcW w:w="969" w:type="pct"/>
            <w:tcBorders>
              <w:top w:val="nil"/>
              <w:left w:val="nil"/>
              <w:bottom w:val="single" w:sz="4" w:space="0" w:color="auto"/>
              <w:right w:val="nil"/>
            </w:tcBorders>
            <w:noWrap/>
            <w:vAlign w:val="bottom"/>
            <w:hideMark/>
          </w:tcPr>
          <w:p w14:paraId="31B6921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13.22 a</w:t>
            </w:r>
          </w:p>
        </w:tc>
      </w:tr>
      <w:tr w:rsidR="00A16FCD" w:rsidRPr="00A16FCD" w14:paraId="7FF3CB3D" w14:textId="77777777" w:rsidTr="00C14B2F">
        <w:trPr>
          <w:trHeight w:val="283"/>
        </w:trPr>
        <w:tc>
          <w:tcPr>
            <w:tcW w:w="1156" w:type="pct"/>
            <w:tcBorders>
              <w:top w:val="single" w:sz="4" w:space="0" w:color="auto"/>
              <w:left w:val="nil"/>
              <w:bottom w:val="single" w:sz="4" w:space="0" w:color="auto"/>
              <w:right w:val="nil"/>
            </w:tcBorders>
            <w:noWrap/>
            <w:vAlign w:val="bottom"/>
            <w:hideMark/>
          </w:tcPr>
          <w:p w14:paraId="28CCF3AE"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LSD</w:t>
            </w:r>
            <w:r w:rsidRPr="00A16FCD">
              <w:rPr>
                <w:rFonts w:ascii="Arial" w:hAnsi="Arial" w:cs="Arial"/>
                <w:color w:val="000000"/>
                <w:vertAlign w:val="subscript"/>
                <w:lang w:eastAsia="ja-JP"/>
              </w:rPr>
              <w:t xml:space="preserve"> 0.05</w:t>
            </w:r>
          </w:p>
        </w:tc>
        <w:tc>
          <w:tcPr>
            <w:tcW w:w="945" w:type="pct"/>
            <w:tcBorders>
              <w:top w:val="single" w:sz="4" w:space="0" w:color="auto"/>
              <w:left w:val="nil"/>
              <w:bottom w:val="single" w:sz="4" w:space="0" w:color="auto"/>
              <w:right w:val="nil"/>
            </w:tcBorders>
            <w:noWrap/>
            <w:vAlign w:val="bottom"/>
            <w:hideMark/>
          </w:tcPr>
          <w:p w14:paraId="59AD31C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0.36</w:t>
            </w:r>
          </w:p>
        </w:tc>
        <w:tc>
          <w:tcPr>
            <w:tcW w:w="977" w:type="pct"/>
            <w:tcBorders>
              <w:top w:val="single" w:sz="4" w:space="0" w:color="auto"/>
              <w:left w:val="nil"/>
              <w:bottom w:val="single" w:sz="4" w:space="0" w:color="auto"/>
              <w:right w:val="nil"/>
            </w:tcBorders>
            <w:noWrap/>
            <w:vAlign w:val="bottom"/>
            <w:hideMark/>
          </w:tcPr>
          <w:p w14:paraId="645C6C4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0.52</w:t>
            </w:r>
          </w:p>
        </w:tc>
        <w:tc>
          <w:tcPr>
            <w:tcW w:w="953" w:type="pct"/>
            <w:tcBorders>
              <w:top w:val="single" w:sz="4" w:space="0" w:color="auto"/>
              <w:left w:val="nil"/>
              <w:bottom w:val="single" w:sz="4" w:space="0" w:color="auto"/>
              <w:right w:val="nil"/>
            </w:tcBorders>
            <w:noWrap/>
            <w:vAlign w:val="bottom"/>
            <w:hideMark/>
          </w:tcPr>
          <w:p w14:paraId="48B29B5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0.43</w:t>
            </w:r>
          </w:p>
        </w:tc>
        <w:tc>
          <w:tcPr>
            <w:tcW w:w="969" w:type="pct"/>
            <w:tcBorders>
              <w:top w:val="single" w:sz="4" w:space="0" w:color="auto"/>
              <w:left w:val="nil"/>
              <w:bottom w:val="single" w:sz="4" w:space="0" w:color="auto"/>
              <w:right w:val="nil"/>
            </w:tcBorders>
            <w:noWrap/>
            <w:vAlign w:val="bottom"/>
            <w:hideMark/>
          </w:tcPr>
          <w:p w14:paraId="06FF01C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0.60</w:t>
            </w:r>
          </w:p>
        </w:tc>
      </w:tr>
      <w:tr w:rsidR="00A16FCD" w:rsidRPr="00A16FCD" w14:paraId="27CC6CDB" w14:textId="77777777" w:rsidTr="00C14B2F">
        <w:trPr>
          <w:trHeight w:val="283"/>
        </w:trPr>
        <w:tc>
          <w:tcPr>
            <w:tcW w:w="1156" w:type="pct"/>
            <w:tcBorders>
              <w:top w:val="single" w:sz="4" w:space="0" w:color="auto"/>
              <w:left w:val="nil"/>
              <w:bottom w:val="nil"/>
              <w:right w:val="nil"/>
            </w:tcBorders>
            <w:noWrap/>
            <w:vAlign w:val="bottom"/>
            <w:hideMark/>
          </w:tcPr>
          <w:p w14:paraId="46C8D9D9" w14:textId="77777777" w:rsidR="00A16FCD" w:rsidRPr="00A16FCD" w:rsidRDefault="00A16FCD" w:rsidP="00C14B2F">
            <w:pPr>
              <w:rPr>
                <w:rFonts w:ascii="Arial" w:hAnsi="Arial" w:cs="Arial"/>
                <w:b/>
                <w:bCs/>
                <w:color w:val="000000"/>
                <w:lang w:eastAsia="ja-JP"/>
              </w:rPr>
            </w:pPr>
            <w:r w:rsidRPr="00A16FCD">
              <w:rPr>
                <w:rFonts w:ascii="Arial" w:hAnsi="Arial" w:cs="Arial"/>
                <w:b/>
                <w:bCs/>
                <w:color w:val="000000"/>
                <w:lang w:eastAsia="ja-JP"/>
              </w:rPr>
              <w:t>Pr &gt; F</w:t>
            </w:r>
          </w:p>
        </w:tc>
        <w:tc>
          <w:tcPr>
            <w:tcW w:w="945" w:type="pct"/>
            <w:tcBorders>
              <w:top w:val="single" w:sz="4" w:space="0" w:color="auto"/>
              <w:left w:val="nil"/>
              <w:bottom w:val="nil"/>
              <w:right w:val="nil"/>
            </w:tcBorders>
            <w:noWrap/>
            <w:vAlign w:val="bottom"/>
            <w:hideMark/>
          </w:tcPr>
          <w:p w14:paraId="225A28E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77" w:type="pct"/>
            <w:tcBorders>
              <w:top w:val="single" w:sz="4" w:space="0" w:color="auto"/>
              <w:left w:val="nil"/>
              <w:bottom w:val="nil"/>
              <w:right w:val="nil"/>
            </w:tcBorders>
            <w:noWrap/>
            <w:vAlign w:val="bottom"/>
            <w:hideMark/>
          </w:tcPr>
          <w:p w14:paraId="77DF31C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53" w:type="pct"/>
            <w:tcBorders>
              <w:top w:val="single" w:sz="4" w:space="0" w:color="auto"/>
              <w:left w:val="nil"/>
              <w:bottom w:val="nil"/>
              <w:right w:val="nil"/>
            </w:tcBorders>
            <w:noWrap/>
            <w:vAlign w:val="bottom"/>
            <w:hideMark/>
          </w:tcPr>
          <w:p w14:paraId="48858AAA"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c>
          <w:tcPr>
            <w:tcW w:w="969" w:type="pct"/>
            <w:tcBorders>
              <w:top w:val="single" w:sz="4" w:space="0" w:color="auto"/>
              <w:left w:val="nil"/>
              <w:bottom w:val="nil"/>
              <w:right w:val="nil"/>
            </w:tcBorders>
            <w:noWrap/>
            <w:vAlign w:val="bottom"/>
            <w:hideMark/>
          </w:tcPr>
          <w:p w14:paraId="462580D6"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 </w:t>
            </w:r>
          </w:p>
        </w:tc>
      </w:tr>
      <w:tr w:rsidR="00A16FCD" w:rsidRPr="00A16FCD" w14:paraId="74B59892" w14:textId="77777777" w:rsidTr="00C14B2F">
        <w:trPr>
          <w:trHeight w:val="283"/>
        </w:trPr>
        <w:tc>
          <w:tcPr>
            <w:tcW w:w="1156" w:type="pct"/>
            <w:tcBorders>
              <w:top w:val="nil"/>
              <w:left w:val="nil"/>
              <w:bottom w:val="nil"/>
              <w:right w:val="nil"/>
            </w:tcBorders>
            <w:noWrap/>
            <w:vAlign w:val="bottom"/>
            <w:hideMark/>
          </w:tcPr>
          <w:p w14:paraId="6878E29A"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Variety (A)</w:t>
            </w:r>
          </w:p>
        </w:tc>
        <w:tc>
          <w:tcPr>
            <w:tcW w:w="945" w:type="pct"/>
            <w:tcBorders>
              <w:top w:val="nil"/>
              <w:left w:val="nil"/>
              <w:bottom w:val="nil"/>
              <w:right w:val="nil"/>
            </w:tcBorders>
            <w:noWrap/>
            <w:vAlign w:val="bottom"/>
            <w:hideMark/>
          </w:tcPr>
          <w:p w14:paraId="009A0E0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77" w:type="pct"/>
            <w:tcBorders>
              <w:top w:val="nil"/>
              <w:left w:val="nil"/>
              <w:bottom w:val="nil"/>
              <w:right w:val="nil"/>
            </w:tcBorders>
            <w:noWrap/>
            <w:vAlign w:val="bottom"/>
            <w:hideMark/>
          </w:tcPr>
          <w:p w14:paraId="311810F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53" w:type="pct"/>
            <w:tcBorders>
              <w:top w:val="nil"/>
              <w:left w:val="nil"/>
              <w:bottom w:val="nil"/>
              <w:right w:val="nil"/>
            </w:tcBorders>
            <w:noWrap/>
            <w:vAlign w:val="bottom"/>
            <w:hideMark/>
          </w:tcPr>
          <w:p w14:paraId="034F639F"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69" w:type="pct"/>
            <w:tcBorders>
              <w:top w:val="nil"/>
              <w:left w:val="nil"/>
              <w:bottom w:val="nil"/>
              <w:right w:val="nil"/>
            </w:tcBorders>
            <w:noWrap/>
            <w:vAlign w:val="bottom"/>
            <w:hideMark/>
          </w:tcPr>
          <w:p w14:paraId="17AD76D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r>
      <w:tr w:rsidR="00A16FCD" w:rsidRPr="00A16FCD" w14:paraId="70574AA5" w14:textId="77777777" w:rsidTr="00C14B2F">
        <w:trPr>
          <w:trHeight w:val="283"/>
        </w:trPr>
        <w:tc>
          <w:tcPr>
            <w:tcW w:w="1156" w:type="pct"/>
            <w:tcBorders>
              <w:top w:val="nil"/>
              <w:left w:val="nil"/>
              <w:bottom w:val="nil"/>
              <w:right w:val="nil"/>
            </w:tcBorders>
            <w:noWrap/>
            <w:vAlign w:val="bottom"/>
            <w:hideMark/>
          </w:tcPr>
          <w:p w14:paraId="75AB0C8A"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Harvesting (B)</w:t>
            </w:r>
          </w:p>
        </w:tc>
        <w:tc>
          <w:tcPr>
            <w:tcW w:w="945" w:type="pct"/>
            <w:tcBorders>
              <w:top w:val="nil"/>
              <w:left w:val="nil"/>
              <w:bottom w:val="nil"/>
              <w:right w:val="nil"/>
            </w:tcBorders>
            <w:noWrap/>
            <w:vAlign w:val="bottom"/>
            <w:hideMark/>
          </w:tcPr>
          <w:p w14:paraId="3E0CF727"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c>
          <w:tcPr>
            <w:tcW w:w="977" w:type="pct"/>
            <w:tcBorders>
              <w:top w:val="nil"/>
              <w:left w:val="nil"/>
              <w:bottom w:val="nil"/>
              <w:right w:val="nil"/>
            </w:tcBorders>
            <w:noWrap/>
            <w:vAlign w:val="bottom"/>
            <w:hideMark/>
          </w:tcPr>
          <w:p w14:paraId="12727819"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c>
          <w:tcPr>
            <w:tcW w:w="953" w:type="pct"/>
            <w:tcBorders>
              <w:top w:val="nil"/>
              <w:left w:val="nil"/>
              <w:bottom w:val="nil"/>
              <w:right w:val="nil"/>
            </w:tcBorders>
            <w:noWrap/>
            <w:vAlign w:val="bottom"/>
            <w:hideMark/>
          </w:tcPr>
          <w:p w14:paraId="4C762442"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c>
          <w:tcPr>
            <w:tcW w:w="969" w:type="pct"/>
            <w:tcBorders>
              <w:top w:val="nil"/>
              <w:left w:val="nil"/>
              <w:bottom w:val="nil"/>
              <w:right w:val="nil"/>
            </w:tcBorders>
            <w:noWrap/>
            <w:vAlign w:val="bottom"/>
            <w:hideMark/>
          </w:tcPr>
          <w:p w14:paraId="6B59D543"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w:t>
            </w:r>
          </w:p>
        </w:tc>
      </w:tr>
      <w:tr w:rsidR="00A16FCD" w:rsidRPr="00A16FCD" w14:paraId="218CA02A" w14:textId="77777777" w:rsidTr="00C14B2F">
        <w:trPr>
          <w:trHeight w:val="283"/>
        </w:trPr>
        <w:tc>
          <w:tcPr>
            <w:tcW w:w="1156" w:type="pct"/>
            <w:tcBorders>
              <w:top w:val="nil"/>
              <w:left w:val="nil"/>
              <w:bottom w:val="single" w:sz="4" w:space="0" w:color="auto"/>
              <w:right w:val="nil"/>
            </w:tcBorders>
            <w:noWrap/>
            <w:vAlign w:val="bottom"/>
            <w:hideMark/>
          </w:tcPr>
          <w:p w14:paraId="5FD79DF1"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A x B</w:t>
            </w:r>
          </w:p>
        </w:tc>
        <w:tc>
          <w:tcPr>
            <w:tcW w:w="945" w:type="pct"/>
            <w:tcBorders>
              <w:top w:val="nil"/>
              <w:left w:val="nil"/>
              <w:bottom w:val="nil"/>
              <w:right w:val="nil"/>
            </w:tcBorders>
            <w:noWrap/>
            <w:vAlign w:val="bottom"/>
            <w:hideMark/>
          </w:tcPr>
          <w:p w14:paraId="6DD3061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77" w:type="pct"/>
            <w:tcBorders>
              <w:top w:val="nil"/>
              <w:left w:val="nil"/>
              <w:bottom w:val="single" w:sz="4" w:space="0" w:color="auto"/>
              <w:right w:val="nil"/>
            </w:tcBorders>
            <w:noWrap/>
            <w:vAlign w:val="bottom"/>
            <w:hideMark/>
          </w:tcPr>
          <w:p w14:paraId="539D442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53" w:type="pct"/>
            <w:tcBorders>
              <w:top w:val="nil"/>
              <w:left w:val="nil"/>
              <w:bottom w:val="nil"/>
              <w:right w:val="nil"/>
            </w:tcBorders>
            <w:noWrap/>
            <w:vAlign w:val="bottom"/>
            <w:hideMark/>
          </w:tcPr>
          <w:p w14:paraId="534D1F3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c>
          <w:tcPr>
            <w:tcW w:w="969" w:type="pct"/>
            <w:tcBorders>
              <w:top w:val="nil"/>
              <w:left w:val="nil"/>
              <w:bottom w:val="single" w:sz="4" w:space="0" w:color="auto"/>
              <w:right w:val="nil"/>
            </w:tcBorders>
            <w:noWrap/>
            <w:vAlign w:val="bottom"/>
            <w:hideMark/>
          </w:tcPr>
          <w:p w14:paraId="50B3ECB4"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ns</w:t>
            </w:r>
          </w:p>
        </w:tc>
      </w:tr>
      <w:tr w:rsidR="00A16FCD" w:rsidRPr="00A16FCD" w14:paraId="3CE597EA" w14:textId="77777777" w:rsidTr="00C14B2F">
        <w:trPr>
          <w:trHeight w:val="283"/>
        </w:trPr>
        <w:tc>
          <w:tcPr>
            <w:tcW w:w="1156" w:type="pct"/>
            <w:tcBorders>
              <w:top w:val="nil"/>
              <w:left w:val="nil"/>
              <w:bottom w:val="nil"/>
              <w:right w:val="nil"/>
            </w:tcBorders>
            <w:noWrap/>
            <w:vAlign w:val="bottom"/>
            <w:hideMark/>
          </w:tcPr>
          <w:p w14:paraId="2AE93EE1"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CV % (a)</w:t>
            </w:r>
          </w:p>
        </w:tc>
        <w:tc>
          <w:tcPr>
            <w:tcW w:w="945" w:type="pct"/>
            <w:tcBorders>
              <w:top w:val="single" w:sz="4" w:space="0" w:color="auto"/>
              <w:left w:val="nil"/>
              <w:bottom w:val="nil"/>
              <w:right w:val="nil"/>
            </w:tcBorders>
            <w:noWrap/>
            <w:vAlign w:val="bottom"/>
            <w:hideMark/>
          </w:tcPr>
          <w:p w14:paraId="511E0C7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5.18</w:t>
            </w:r>
          </w:p>
        </w:tc>
        <w:tc>
          <w:tcPr>
            <w:tcW w:w="977" w:type="pct"/>
            <w:tcBorders>
              <w:top w:val="nil"/>
              <w:left w:val="nil"/>
              <w:bottom w:val="nil"/>
              <w:right w:val="nil"/>
            </w:tcBorders>
            <w:noWrap/>
            <w:vAlign w:val="bottom"/>
            <w:hideMark/>
          </w:tcPr>
          <w:p w14:paraId="08D1ED9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6.91</w:t>
            </w:r>
          </w:p>
        </w:tc>
        <w:tc>
          <w:tcPr>
            <w:tcW w:w="953" w:type="pct"/>
            <w:tcBorders>
              <w:top w:val="single" w:sz="4" w:space="0" w:color="auto"/>
              <w:left w:val="nil"/>
              <w:bottom w:val="nil"/>
              <w:right w:val="nil"/>
            </w:tcBorders>
            <w:noWrap/>
            <w:vAlign w:val="bottom"/>
            <w:hideMark/>
          </w:tcPr>
          <w:p w14:paraId="78941C41"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6.17</w:t>
            </w:r>
          </w:p>
        </w:tc>
        <w:tc>
          <w:tcPr>
            <w:tcW w:w="969" w:type="pct"/>
            <w:tcBorders>
              <w:top w:val="nil"/>
              <w:left w:val="nil"/>
              <w:bottom w:val="nil"/>
              <w:right w:val="nil"/>
            </w:tcBorders>
            <w:noWrap/>
            <w:vAlign w:val="bottom"/>
            <w:hideMark/>
          </w:tcPr>
          <w:p w14:paraId="650CF37B"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10.46</w:t>
            </w:r>
          </w:p>
        </w:tc>
      </w:tr>
      <w:tr w:rsidR="00A16FCD" w:rsidRPr="00A16FCD" w14:paraId="548CFDA1" w14:textId="77777777" w:rsidTr="00C14B2F">
        <w:trPr>
          <w:trHeight w:val="283"/>
        </w:trPr>
        <w:tc>
          <w:tcPr>
            <w:tcW w:w="1156" w:type="pct"/>
            <w:tcBorders>
              <w:top w:val="nil"/>
              <w:left w:val="nil"/>
              <w:bottom w:val="single" w:sz="4" w:space="0" w:color="auto"/>
              <w:right w:val="nil"/>
            </w:tcBorders>
            <w:noWrap/>
            <w:vAlign w:val="bottom"/>
            <w:hideMark/>
          </w:tcPr>
          <w:p w14:paraId="4F01CADE" w14:textId="77777777" w:rsidR="00A16FCD" w:rsidRPr="00A16FCD" w:rsidRDefault="00A16FCD" w:rsidP="00C14B2F">
            <w:pPr>
              <w:rPr>
                <w:rFonts w:ascii="Arial" w:hAnsi="Arial" w:cs="Arial"/>
                <w:color w:val="000000"/>
                <w:lang w:eastAsia="ja-JP"/>
              </w:rPr>
            </w:pPr>
            <w:r w:rsidRPr="00A16FCD">
              <w:rPr>
                <w:rFonts w:ascii="Arial" w:hAnsi="Arial" w:cs="Arial"/>
                <w:color w:val="000000"/>
                <w:lang w:eastAsia="ja-JP"/>
              </w:rPr>
              <w:t>CV % (b)</w:t>
            </w:r>
          </w:p>
        </w:tc>
        <w:tc>
          <w:tcPr>
            <w:tcW w:w="945" w:type="pct"/>
            <w:tcBorders>
              <w:top w:val="nil"/>
              <w:left w:val="nil"/>
              <w:bottom w:val="single" w:sz="4" w:space="0" w:color="auto"/>
              <w:right w:val="nil"/>
            </w:tcBorders>
            <w:noWrap/>
            <w:vAlign w:val="bottom"/>
            <w:hideMark/>
          </w:tcPr>
          <w:p w14:paraId="12D07ED8"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2.10</w:t>
            </w:r>
          </w:p>
        </w:tc>
        <w:tc>
          <w:tcPr>
            <w:tcW w:w="977" w:type="pct"/>
            <w:tcBorders>
              <w:top w:val="nil"/>
              <w:left w:val="nil"/>
              <w:bottom w:val="single" w:sz="4" w:space="0" w:color="auto"/>
              <w:right w:val="nil"/>
            </w:tcBorders>
            <w:noWrap/>
            <w:vAlign w:val="bottom"/>
            <w:hideMark/>
          </w:tcPr>
          <w:p w14:paraId="639ECFED"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4.92</w:t>
            </w:r>
          </w:p>
        </w:tc>
        <w:tc>
          <w:tcPr>
            <w:tcW w:w="953" w:type="pct"/>
            <w:tcBorders>
              <w:top w:val="nil"/>
              <w:left w:val="nil"/>
              <w:bottom w:val="single" w:sz="4" w:space="0" w:color="auto"/>
              <w:right w:val="nil"/>
            </w:tcBorders>
            <w:noWrap/>
            <w:vAlign w:val="bottom"/>
            <w:hideMark/>
          </w:tcPr>
          <w:p w14:paraId="5E9B9E6C"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2.46</w:t>
            </w:r>
          </w:p>
        </w:tc>
        <w:tc>
          <w:tcPr>
            <w:tcW w:w="969" w:type="pct"/>
            <w:tcBorders>
              <w:top w:val="nil"/>
              <w:left w:val="nil"/>
              <w:bottom w:val="single" w:sz="4" w:space="0" w:color="auto"/>
              <w:right w:val="nil"/>
            </w:tcBorders>
            <w:noWrap/>
            <w:vAlign w:val="bottom"/>
            <w:hideMark/>
          </w:tcPr>
          <w:p w14:paraId="13198195" w14:textId="77777777" w:rsidR="00A16FCD" w:rsidRPr="00A16FCD" w:rsidRDefault="00A16FCD" w:rsidP="00C14B2F">
            <w:pPr>
              <w:jc w:val="center"/>
              <w:rPr>
                <w:rFonts w:ascii="Arial" w:hAnsi="Arial" w:cs="Arial"/>
                <w:color w:val="000000"/>
                <w:lang w:eastAsia="ja-JP"/>
              </w:rPr>
            </w:pPr>
            <w:r w:rsidRPr="00A16FCD">
              <w:rPr>
                <w:rFonts w:ascii="Arial" w:hAnsi="Arial" w:cs="Arial"/>
                <w:color w:val="000000"/>
                <w:lang w:eastAsia="ja-JP"/>
              </w:rPr>
              <w:t>5.61</w:t>
            </w:r>
          </w:p>
        </w:tc>
      </w:tr>
    </w:tbl>
    <w:p w14:paraId="1AA9E8D7" w14:textId="4E822D86" w:rsidR="00A16FCD" w:rsidRPr="00A16FCD" w:rsidRDefault="00A16FCD" w:rsidP="00AF7CB0">
      <w:pPr>
        <w:spacing w:line="360" w:lineRule="auto"/>
        <w:jc w:val="both"/>
        <w:rPr>
          <w:rFonts w:ascii="Arial" w:hAnsi="Arial" w:cs="Arial"/>
        </w:rPr>
      </w:pPr>
      <w:r w:rsidRPr="00A16FCD">
        <w:rPr>
          <w:rFonts w:ascii="Arial" w:hAnsi="Arial" w:cs="Arial"/>
        </w:rPr>
        <w:t xml:space="preserve">**= significant at 1 % level, </w:t>
      </w:r>
      <w:r w:rsidRPr="00A16FCD">
        <w:rPr>
          <w:rFonts w:ascii="Arial" w:hAnsi="Arial" w:cs="Arial"/>
          <w:color w:val="000000"/>
          <w:lang w:eastAsia="ja-JP"/>
        </w:rPr>
        <w:t xml:space="preserve">* = significant at 5% level, </w:t>
      </w:r>
      <w:r w:rsidRPr="00A16FCD">
        <w:rPr>
          <w:rFonts w:ascii="Arial" w:hAnsi="Arial" w:cs="Arial"/>
        </w:rPr>
        <w:t xml:space="preserve">ns = non </w:t>
      </w:r>
      <w:r w:rsidR="00B1064B">
        <w:rPr>
          <w:rFonts w:ascii="Arial" w:hAnsi="Arial" w:cs="Arial"/>
        </w:rPr>
        <w:t xml:space="preserve">- </w:t>
      </w:r>
      <w:r w:rsidRPr="00A16FCD">
        <w:rPr>
          <w:rFonts w:ascii="Arial" w:hAnsi="Arial" w:cs="Arial"/>
        </w:rPr>
        <w:t>significant</w:t>
      </w:r>
    </w:p>
    <w:p w14:paraId="2B513C48" w14:textId="77777777" w:rsidR="006F4732" w:rsidRPr="00A16FCD" w:rsidRDefault="006F4732" w:rsidP="006F4732">
      <w:pPr>
        <w:spacing w:line="360" w:lineRule="auto"/>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months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12 months age), H</w:t>
      </w:r>
      <w:r w:rsidRPr="006F4732">
        <w:rPr>
          <w:rFonts w:ascii="Arial" w:hAnsi="Arial" w:cs="Arial"/>
          <w:color w:val="000000"/>
          <w:spacing w:val="-4"/>
          <w:vertAlign w:val="subscript"/>
          <w:lang w:eastAsia="ja-JP"/>
        </w:rPr>
        <w:t xml:space="preserve">3 </w:t>
      </w:r>
      <w:r w:rsidRPr="006F4732">
        <w:rPr>
          <w:rFonts w:ascii="Arial" w:hAnsi="Arial" w:cs="Arial"/>
          <w:color w:val="000000"/>
          <w:spacing w:val="-4"/>
          <w:lang w:eastAsia="ja-JP"/>
        </w:rPr>
        <w:t>=</w:t>
      </w:r>
      <w:r>
        <w:rPr>
          <w:rFonts w:ascii="Arial" w:hAnsi="Arial" w:cs="Arial"/>
          <w:color w:val="000000"/>
          <w:lang w:eastAsia="ja-JP"/>
        </w:rPr>
        <w:t xml:space="preserve"> </w:t>
      </w:r>
      <w:r w:rsidRPr="00A16FCD">
        <w:rPr>
          <w:rFonts w:ascii="Arial" w:hAnsi="Arial" w:cs="Arial"/>
          <w:color w:val="000000"/>
          <w:lang w:eastAsia="ja-JP"/>
        </w:rPr>
        <w:t>Two month</w:t>
      </w:r>
      <w:r>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Pr>
          <w:rFonts w:ascii="Arial" w:hAnsi="Arial" w:cs="Arial"/>
          <w:color w:val="000000"/>
          <w:lang w:eastAsia="ja-JP"/>
        </w:rPr>
        <w:t>~</w:t>
      </w:r>
      <w:r w:rsidRPr="00A16FCD">
        <w:rPr>
          <w:rFonts w:ascii="Arial" w:hAnsi="Arial" w:cs="Arial"/>
          <w:color w:val="000000"/>
          <w:lang w:eastAsia="ja-JP"/>
        </w:rPr>
        <w:t xml:space="preserve"> 13 month</w:t>
      </w:r>
      <w:r>
        <w:rPr>
          <w:rFonts w:ascii="Arial" w:hAnsi="Arial" w:cs="Arial"/>
          <w:color w:val="000000"/>
          <w:lang w:eastAsia="ja-JP"/>
        </w:rPr>
        <w:t>s</w:t>
      </w:r>
      <w:r w:rsidRPr="00A16FCD">
        <w:rPr>
          <w:rFonts w:ascii="Arial" w:hAnsi="Arial" w:cs="Arial"/>
          <w:color w:val="000000"/>
          <w:lang w:eastAsia="ja-JP"/>
        </w:rPr>
        <w:t xml:space="preserve"> age)</w:t>
      </w:r>
    </w:p>
    <w:p w14:paraId="5728C306" w14:textId="77777777" w:rsidR="00EF087D" w:rsidRPr="00C00F9F" w:rsidRDefault="00EF087D" w:rsidP="00EF087D">
      <w:pPr>
        <w:pStyle w:val="Heading3"/>
        <w:spacing w:before="120" w:after="100" w:line="360" w:lineRule="auto"/>
        <w:jc w:val="both"/>
        <w:rPr>
          <w:rFonts w:ascii="Arial" w:hAnsi="Arial" w:cs="Arial"/>
          <w:b/>
          <w:bCs/>
          <w:color w:val="000000" w:themeColor="text1"/>
          <w:sz w:val="20"/>
          <w:szCs w:val="20"/>
          <w:u w:val="single"/>
        </w:rPr>
      </w:pPr>
      <w:r w:rsidRPr="00C00F9F">
        <w:rPr>
          <w:rFonts w:ascii="Arial" w:hAnsi="Arial" w:cs="Arial"/>
          <w:b/>
          <w:bCs/>
          <w:color w:val="000000" w:themeColor="text1"/>
          <w:sz w:val="20"/>
          <w:szCs w:val="20"/>
          <w:u w:val="single"/>
        </w:rPr>
        <w:t xml:space="preserve">3.2.4 Purity </w:t>
      </w:r>
      <w:r>
        <w:rPr>
          <w:rFonts w:ascii="Arial" w:hAnsi="Arial" w:cs="Arial"/>
          <w:b/>
          <w:bCs/>
          <w:color w:val="000000" w:themeColor="text1"/>
          <w:sz w:val="20"/>
          <w:szCs w:val="20"/>
          <w:u w:val="single"/>
        </w:rPr>
        <w:t>%</w:t>
      </w:r>
    </w:p>
    <w:p w14:paraId="7E4B605E" w14:textId="1208492A" w:rsidR="00AB148C" w:rsidRPr="00E66968" w:rsidRDefault="00AB148C" w:rsidP="00E66968">
      <w:pPr>
        <w:spacing w:line="360" w:lineRule="auto"/>
        <w:ind w:firstLine="720"/>
        <w:jc w:val="both"/>
        <w:rPr>
          <w:rFonts w:ascii="Arial" w:hAnsi="Arial" w:cs="Arial"/>
          <w:lang w:eastAsia="ja-JP"/>
        </w:rPr>
      </w:pPr>
      <w:r w:rsidRPr="00E66968">
        <w:rPr>
          <w:rFonts w:ascii="Arial" w:hAnsi="Arial" w:cs="Arial"/>
          <w:lang w:eastAsia="ja-JP"/>
        </w:rPr>
        <w:t>Both sugarcane varieties and harvesting ages did not show significant differences in purity percentages at the Pyinmana and Nyaungpintha (Table 3). The highest purity percentage, 84.55%, was observed with the PMA-7 variety at Pyinmana, while the PMA-9 variety recorded a purity percentage of 84.95% in Nyaungpintha. The variations in purity percentages can be attributed to the genetic composition of the varieties and their interaction with environmental conditions. Previous studies by El-Geddawy, Makhlouf, Bekheet (2015)</w:t>
      </w:r>
      <w:r w:rsidR="0084256E">
        <w:rPr>
          <w:rFonts w:ascii="Arial" w:hAnsi="Arial" w:cs="Arial"/>
          <w:lang w:eastAsia="ja-JP"/>
        </w:rPr>
        <w:t>,</w:t>
      </w:r>
      <w:r w:rsidRPr="00E66968">
        <w:rPr>
          <w:rFonts w:ascii="Arial" w:hAnsi="Arial" w:cs="Arial"/>
          <w:lang w:eastAsia="ja-JP"/>
        </w:rPr>
        <w:t xml:space="preserve"> Mehareb, Abou-Elwafa, and Galal (2016) have reported on the differences in juice purity among sugarcane varieties.</w:t>
      </w:r>
    </w:p>
    <w:p w14:paraId="523A41E4" w14:textId="41E099C8" w:rsidR="00AB148C" w:rsidRPr="00E66968" w:rsidRDefault="00AB148C" w:rsidP="00E66968">
      <w:pPr>
        <w:spacing w:line="360" w:lineRule="auto"/>
        <w:ind w:firstLine="720"/>
        <w:jc w:val="both"/>
        <w:rPr>
          <w:rFonts w:ascii="Arial" w:hAnsi="Arial" w:cs="Arial"/>
          <w:lang w:eastAsia="ja-JP"/>
        </w:rPr>
      </w:pPr>
      <w:r w:rsidRPr="00E66968">
        <w:rPr>
          <w:rFonts w:ascii="Arial" w:hAnsi="Arial" w:cs="Arial"/>
          <w:lang w:eastAsia="ja-JP"/>
        </w:rPr>
        <w:t xml:space="preserve">Regarding different harvesting ages, the highest purity percentage of 85.90% was obtained from the H3 harvesting age at Pyinmana. At Nyaungpintha, the maximum purity </w:t>
      </w:r>
      <w:r w:rsidRPr="00E66968">
        <w:rPr>
          <w:rFonts w:ascii="Arial" w:hAnsi="Arial" w:cs="Arial"/>
          <w:lang w:eastAsia="ja-JP"/>
        </w:rPr>
        <w:lastRenderedPageBreak/>
        <w:t>percentage of 84.99% was achieved at the H1 harvesting age, with similar values observed for H3. This indicates that sugarcane varieties reach their optimum maturity at this harvesting age. Throughout all harvesting periods, all varieties demonstrated a purity percentage above 80%, which is considered acceptable for the sugar industry (Rhein et al., 2016; Rodolfo Junior et al., 2016). This suggests that the effect of the varieties on sugarcane purity percentage was not influenced by the different harvesting ages.</w:t>
      </w:r>
    </w:p>
    <w:p w14:paraId="5F17E77D" w14:textId="1ACD54C8" w:rsidR="00023FC8" w:rsidRPr="00023FC8" w:rsidRDefault="00023FC8" w:rsidP="00AB148C">
      <w:pPr>
        <w:pStyle w:val="Heading3"/>
        <w:spacing w:before="120" w:after="100" w:line="360" w:lineRule="auto"/>
        <w:jc w:val="both"/>
        <w:rPr>
          <w:rFonts w:ascii="Arial" w:hAnsi="Arial" w:cs="Arial"/>
          <w:b/>
          <w:bCs/>
          <w:color w:val="000000" w:themeColor="text1"/>
          <w:sz w:val="20"/>
          <w:szCs w:val="20"/>
          <w:u w:val="single"/>
        </w:rPr>
      </w:pPr>
      <w:r w:rsidRPr="00023FC8">
        <w:rPr>
          <w:rFonts w:ascii="Arial" w:hAnsi="Arial" w:cs="Arial"/>
          <w:b/>
          <w:bCs/>
          <w:color w:val="000000" w:themeColor="text1"/>
          <w:sz w:val="20"/>
          <w:szCs w:val="20"/>
          <w:u w:val="single"/>
        </w:rPr>
        <w:t xml:space="preserve">3.2.5 </w:t>
      </w:r>
      <w:r w:rsidRPr="00023FC8">
        <w:rPr>
          <w:rFonts w:ascii="Arial" w:eastAsiaTheme="minorEastAsia" w:hAnsi="Arial" w:cs="Arial"/>
          <w:b/>
          <w:bCs/>
          <w:color w:val="000000" w:themeColor="text1"/>
          <w:sz w:val="20"/>
          <w:szCs w:val="20"/>
          <w:u w:val="single"/>
          <w:lang w:eastAsia="ja-JP"/>
        </w:rPr>
        <w:t xml:space="preserve">Fiber </w:t>
      </w:r>
      <w:r w:rsidR="009B3E81">
        <w:rPr>
          <w:rFonts w:ascii="Arial" w:hAnsi="Arial" w:cs="Arial"/>
          <w:b/>
          <w:bCs/>
          <w:color w:val="000000" w:themeColor="text1"/>
          <w:sz w:val="20"/>
          <w:szCs w:val="20"/>
          <w:u w:val="single"/>
        </w:rPr>
        <w:t>%</w:t>
      </w:r>
    </w:p>
    <w:p w14:paraId="1377B085" w14:textId="01D67105" w:rsidR="002D6B73" w:rsidRPr="002D6B73" w:rsidRDefault="002D6B73" w:rsidP="002D6B73">
      <w:pPr>
        <w:spacing w:line="360" w:lineRule="auto"/>
        <w:ind w:firstLine="720"/>
        <w:jc w:val="both"/>
        <w:rPr>
          <w:rFonts w:ascii="Arial" w:hAnsi="Arial" w:cs="Arial"/>
          <w:lang w:eastAsia="ja-JP"/>
        </w:rPr>
      </w:pPr>
      <w:r w:rsidRPr="002D6B73">
        <w:rPr>
          <w:rFonts w:ascii="Arial" w:hAnsi="Arial" w:cs="Arial"/>
          <w:lang w:eastAsia="ja-JP"/>
        </w:rPr>
        <w:t>At both locations, the impact of sugarcane varieties on the fiber percentage did not show significant differences (Table 3), while the effects of different harvesting ages were highly significant (Table 3). Among the varieties, the PMA-8 variety exhibited the highest fiber percentage, recording 13.49% at Pyinmana and 13.80% at Nyaungpintha</w:t>
      </w:r>
      <w:r w:rsidR="00966584">
        <w:rPr>
          <w:rFonts w:ascii="Arial" w:hAnsi="Arial" w:cs="Arial"/>
          <w:lang w:eastAsia="ja-JP"/>
        </w:rPr>
        <w:t xml:space="preserve">. </w:t>
      </w:r>
      <w:r w:rsidR="00310993" w:rsidRPr="002D6B73">
        <w:rPr>
          <w:rFonts w:ascii="Arial" w:hAnsi="Arial" w:cs="Arial"/>
          <w:lang w:eastAsia="ja-JP"/>
        </w:rPr>
        <w:t xml:space="preserve">Furthermore, the highest fiber percentage was observed at the harvesting age of H1, reaching 14.07% at both Pyinmana and Nyaungpintha. As the harvesting age increases, sucrose materials may continue to accumulate. The fiber percentage in the sugarcane varieties </w:t>
      </w:r>
      <w:r w:rsidR="00310993">
        <w:rPr>
          <w:rFonts w:ascii="Arial" w:hAnsi="Arial" w:cs="Arial"/>
          <w:lang w:eastAsia="ja-JP"/>
        </w:rPr>
        <w:t>decrea</w:t>
      </w:r>
      <w:r w:rsidR="00310993" w:rsidRPr="002D6B73">
        <w:rPr>
          <w:rFonts w:ascii="Arial" w:hAnsi="Arial" w:cs="Arial"/>
          <w:lang w:eastAsia="ja-JP"/>
        </w:rPr>
        <w:t xml:space="preserve">sed with a </w:t>
      </w:r>
      <w:r w:rsidR="00310993">
        <w:rPr>
          <w:rFonts w:ascii="Arial" w:hAnsi="Arial" w:cs="Arial"/>
          <w:lang w:eastAsia="ja-JP"/>
        </w:rPr>
        <w:t>delayed</w:t>
      </w:r>
      <w:r w:rsidR="00310993" w:rsidRPr="002D6B73">
        <w:rPr>
          <w:rFonts w:ascii="Arial" w:hAnsi="Arial" w:cs="Arial"/>
          <w:lang w:eastAsia="ja-JP"/>
        </w:rPr>
        <w:t xml:space="preserve"> harvest. </w:t>
      </w:r>
      <w:r w:rsidRPr="002D6B73">
        <w:rPr>
          <w:rFonts w:ascii="Arial" w:hAnsi="Arial" w:cs="Arial"/>
          <w:lang w:eastAsia="ja-JP"/>
        </w:rPr>
        <w:t xml:space="preserve">The differences observed in quality among the varieties could be attributed to their genetic makeup. </w:t>
      </w:r>
      <w:r w:rsidR="008328DE" w:rsidRPr="002D6B73">
        <w:rPr>
          <w:rFonts w:ascii="Arial" w:hAnsi="Arial" w:cs="Arial"/>
          <w:lang w:eastAsia="ja-JP"/>
        </w:rPr>
        <w:t xml:space="preserve">This finding aligns with the research by </w:t>
      </w:r>
      <w:r w:rsidR="008328DE" w:rsidRPr="00B96050">
        <w:rPr>
          <w:rFonts w:ascii="Arial" w:hAnsi="Arial" w:cs="Arial"/>
          <w:color w:val="000000" w:themeColor="text1"/>
          <w:lang w:eastAsia="ja-JP"/>
        </w:rPr>
        <w:t>(</w:t>
      </w:r>
      <w:r w:rsidR="00B96050" w:rsidRPr="00B96050">
        <w:rPr>
          <w:rFonts w:ascii="Arial" w:hAnsi="Arial" w:cs="Arial"/>
          <w:color w:val="000000" w:themeColor="text1"/>
          <w:lang w:eastAsia="ja-JP"/>
        </w:rPr>
        <w:t xml:space="preserve">Gadallah &amp; </w:t>
      </w:r>
      <w:r w:rsidR="008328DE" w:rsidRPr="00B96050">
        <w:rPr>
          <w:rFonts w:ascii="Arial" w:hAnsi="Arial" w:cs="Arial"/>
          <w:color w:val="000000" w:themeColor="text1"/>
          <w:lang w:eastAsia="ja-JP"/>
        </w:rPr>
        <w:t xml:space="preserve">Abd El-Aziz, 2019), </w:t>
      </w:r>
      <w:r w:rsidRPr="002D6B73">
        <w:rPr>
          <w:rFonts w:ascii="Arial" w:hAnsi="Arial" w:cs="Arial"/>
          <w:lang w:eastAsia="ja-JP"/>
        </w:rPr>
        <w:t>who noted that the fiber content in sugarcane is primarily influenced by the variety and the maturation stage. Notably, sugarcane with a high fiber content tends to have lower sugar recovery rates.</w:t>
      </w:r>
    </w:p>
    <w:p w14:paraId="18E6A56C" w14:textId="3471DBC6" w:rsidR="0085181C" w:rsidRPr="0085181C" w:rsidRDefault="0085181C" w:rsidP="0085181C">
      <w:pPr>
        <w:spacing w:line="360" w:lineRule="auto"/>
        <w:ind w:left="1080" w:hanging="1170"/>
        <w:jc w:val="both"/>
        <w:rPr>
          <w:rFonts w:ascii="Arial" w:hAnsi="Arial" w:cs="Arial"/>
          <w:lang w:eastAsia="ja-JP"/>
        </w:rPr>
      </w:pPr>
      <w:r w:rsidRPr="0085181C">
        <w:rPr>
          <w:rFonts w:ascii="Arial" w:eastAsia="Calibri" w:hAnsi="Arial" w:cs="Arial"/>
          <w:b/>
          <w:bCs/>
          <w:color w:val="000000"/>
          <w:spacing w:val="-8"/>
        </w:rPr>
        <w:t>Table 3 Pol %, Purity % and Fiber % of sugarcane as affected by varieties and harvesting ages</w:t>
      </w:r>
    </w:p>
    <w:tbl>
      <w:tblPr>
        <w:tblW w:w="5000" w:type="pct"/>
        <w:tblLook w:val="04A0" w:firstRow="1" w:lastRow="0" w:firstColumn="1" w:lastColumn="0" w:noHBand="0" w:noVBand="1"/>
      </w:tblPr>
      <w:tblGrid>
        <w:gridCol w:w="1583"/>
        <w:gridCol w:w="1137"/>
        <w:gridCol w:w="1141"/>
        <w:gridCol w:w="1142"/>
        <w:gridCol w:w="1141"/>
        <w:gridCol w:w="1141"/>
        <w:gridCol w:w="1139"/>
      </w:tblGrid>
      <w:tr w:rsidR="00E367D3" w:rsidRPr="0085181C" w14:paraId="1ABBD652" w14:textId="77777777" w:rsidTr="002D6B73">
        <w:trPr>
          <w:trHeight w:val="319"/>
        </w:trPr>
        <w:tc>
          <w:tcPr>
            <w:tcW w:w="940" w:type="pct"/>
            <w:vMerge w:val="restart"/>
            <w:tcBorders>
              <w:top w:val="single" w:sz="4" w:space="0" w:color="auto"/>
              <w:left w:val="nil"/>
              <w:bottom w:val="single" w:sz="4" w:space="0" w:color="000000"/>
              <w:right w:val="nil"/>
            </w:tcBorders>
            <w:noWrap/>
            <w:vAlign w:val="center"/>
            <w:hideMark/>
          </w:tcPr>
          <w:p w14:paraId="3007CBA0" w14:textId="77777777" w:rsidR="00E367D3" w:rsidRPr="0085181C" w:rsidRDefault="00E367D3" w:rsidP="002D6B73">
            <w:pPr>
              <w:spacing w:after="120"/>
              <w:jc w:val="center"/>
              <w:rPr>
                <w:rFonts w:ascii="Arial" w:hAnsi="Arial" w:cs="Arial"/>
                <w:b/>
                <w:bCs/>
                <w:color w:val="000000"/>
                <w:lang w:eastAsia="ja-JP"/>
              </w:rPr>
            </w:pPr>
            <w:r w:rsidRPr="0085181C">
              <w:rPr>
                <w:rFonts w:ascii="Arial" w:hAnsi="Arial" w:cs="Arial"/>
                <w:b/>
                <w:bCs/>
                <w:color w:val="000000"/>
                <w:lang w:eastAsia="ja-JP"/>
              </w:rPr>
              <w:t>Treatment</w:t>
            </w:r>
          </w:p>
        </w:tc>
        <w:tc>
          <w:tcPr>
            <w:tcW w:w="2030" w:type="pct"/>
            <w:gridSpan w:val="3"/>
            <w:tcBorders>
              <w:top w:val="single" w:sz="4" w:space="0" w:color="auto"/>
              <w:left w:val="nil"/>
              <w:bottom w:val="single" w:sz="4" w:space="0" w:color="auto"/>
              <w:right w:val="nil"/>
            </w:tcBorders>
            <w:vAlign w:val="center"/>
            <w:hideMark/>
          </w:tcPr>
          <w:p w14:paraId="361B87A7" w14:textId="525FBA04" w:rsidR="00E367D3" w:rsidRPr="0085181C" w:rsidRDefault="00E367D3" w:rsidP="002D6B73">
            <w:pPr>
              <w:spacing w:after="120"/>
              <w:jc w:val="center"/>
              <w:rPr>
                <w:rFonts w:ascii="Arial" w:hAnsi="Arial" w:cs="Arial"/>
                <w:b/>
                <w:bCs/>
                <w:color w:val="000000"/>
                <w:lang w:eastAsia="ja-JP"/>
              </w:rPr>
            </w:pPr>
            <w:r w:rsidRPr="00A16FCD">
              <w:rPr>
                <w:rFonts w:ascii="Arial" w:hAnsi="Arial" w:cs="Arial"/>
                <w:b/>
                <w:bCs/>
                <w:color w:val="000000"/>
                <w:lang w:eastAsia="ja-JP"/>
              </w:rPr>
              <w:t>P</w:t>
            </w:r>
            <w:r>
              <w:rPr>
                <w:rFonts w:ascii="Arial" w:hAnsi="Arial" w:cs="Arial"/>
                <w:b/>
                <w:bCs/>
                <w:color w:val="000000"/>
                <w:lang w:eastAsia="ja-JP"/>
              </w:rPr>
              <w:t>yinmana</w:t>
            </w:r>
            <w:r w:rsidRPr="00A16FCD">
              <w:rPr>
                <w:rFonts w:ascii="Arial" w:hAnsi="Arial" w:cs="Arial"/>
                <w:b/>
                <w:bCs/>
                <w:color w:val="000000"/>
                <w:lang w:eastAsia="ja-JP"/>
              </w:rPr>
              <w:t xml:space="preserve"> </w:t>
            </w:r>
            <w:r>
              <w:rPr>
                <w:rFonts w:ascii="Arial" w:hAnsi="Arial" w:cs="Arial"/>
                <w:b/>
                <w:bCs/>
                <w:color w:val="000000"/>
                <w:lang w:eastAsia="ja-JP"/>
              </w:rPr>
              <w:t>Site</w:t>
            </w:r>
          </w:p>
        </w:tc>
        <w:tc>
          <w:tcPr>
            <w:tcW w:w="2031" w:type="pct"/>
            <w:gridSpan w:val="3"/>
            <w:tcBorders>
              <w:top w:val="single" w:sz="4" w:space="0" w:color="auto"/>
              <w:left w:val="nil"/>
              <w:bottom w:val="single" w:sz="4" w:space="0" w:color="auto"/>
              <w:right w:val="nil"/>
            </w:tcBorders>
            <w:noWrap/>
            <w:vAlign w:val="center"/>
            <w:hideMark/>
          </w:tcPr>
          <w:p w14:paraId="592FD2EE" w14:textId="1139955F" w:rsidR="00E367D3" w:rsidRPr="0085181C" w:rsidRDefault="00E367D3" w:rsidP="002D6B73">
            <w:pPr>
              <w:spacing w:after="120"/>
              <w:jc w:val="center"/>
              <w:rPr>
                <w:rFonts w:ascii="Arial" w:hAnsi="Arial" w:cs="Arial"/>
                <w:b/>
                <w:bCs/>
                <w:color w:val="000000"/>
                <w:lang w:eastAsia="ja-JP"/>
              </w:rPr>
            </w:pPr>
            <w:r w:rsidRPr="00A16FCD">
              <w:rPr>
                <w:rFonts w:ascii="Arial" w:hAnsi="Arial" w:cs="Arial"/>
                <w:b/>
                <w:bCs/>
                <w:color w:val="000000"/>
                <w:lang w:eastAsia="ja-JP"/>
              </w:rPr>
              <w:t>N</w:t>
            </w:r>
            <w:r>
              <w:rPr>
                <w:rFonts w:ascii="Arial" w:hAnsi="Arial" w:cs="Arial"/>
                <w:b/>
                <w:bCs/>
                <w:color w:val="000000"/>
                <w:lang w:eastAsia="ja-JP"/>
              </w:rPr>
              <w:t>yaungpintha</w:t>
            </w:r>
            <w:r w:rsidRPr="00A16FCD">
              <w:rPr>
                <w:rFonts w:ascii="Arial" w:hAnsi="Arial" w:cs="Arial"/>
                <w:b/>
                <w:bCs/>
                <w:color w:val="000000"/>
                <w:lang w:eastAsia="ja-JP"/>
              </w:rPr>
              <w:t xml:space="preserve"> </w:t>
            </w:r>
            <w:r>
              <w:rPr>
                <w:rFonts w:ascii="Arial" w:hAnsi="Arial" w:cs="Arial"/>
                <w:b/>
                <w:bCs/>
                <w:color w:val="000000"/>
                <w:lang w:eastAsia="ja-JP"/>
              </w:rPr>
              <w:t>Site</w:t>
            </w:r>
          </w:p>
        </w:tc>
      </w:tr>
      <w:tr w:rsidR="0085181C" w:rsidRPr="0085181C" w14:paraId="51FF325E" w14:textId="77777777" w:rsidTr="002D6B73">
        <w:trPr>
          <w:trHeight w:val="319"/>
        </w:trPr>
        <w:tc>
          <w:tcPr>
            <w:tcW w:w="940" w:type="pct"/>
            <w:vMerge/>
            <w:tcBorders>
              <w:top w:val="single" w:sz="4" w:space="0" w:color="auto"/>
              <w:left w:val="nil"/>
              <w:bottom w:val="single" w:sz="4" w:space="0" w:color="000000"/>
              <w:right w:val="nil"/>
            </w:tcBorders>
            <w:vAlign w:val="center"/>
            <w:hideMark/>
          </w:tcPr>
          <w:p w14:paraId="3319C3CF" w14:textId="77777777" w:rsidR="0085181C" w:rsidRPr="0085181C" w:rsidRDefault="0085181C" w:rsidP="002D6B73">
            <w:pPr>
              <w:spacing w:after="120"/>
              <w:rPr>
                <w:rFonts w:ascii="Arial" w:hAnsi="Arial" w:cs="Arial"/>
                <w:b/>
                <w:bCs/>
                <w:color w:val="000000"/>
                <w:lang w:eastAsia="ja-JP"/>
              </w:rPr>
            </w:pPr>
          </w:p>
        </w:tc>
        <w:tc>
          <w:tcPr>
            <w:tcW w:w="675" w:type="pct"/>
            <w:tcBorders>
              <w:top w:val="nil"/>
              <w:left w:val="nil"/>
              <w:bottom w:val="single" w:sz="4" w:space="0" w:color="auto"/>
              <w:right w:val="nil"/>
            </w:tcBorders>
            <w:vAlign w:val="center"/>
            <w:hideMark/>
          </w:tcPr>
          <w:p w14:paraId="7E79A2A1"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Pol %</w:t>
            </w:r>
          </w:p>
        </w:tc>
        <w:tc>
          <w:tcPr>
            <w:tcW w:w="677" w:type="pct"/>
            <w:tcBorders>
              <w:top w:val="nil"/>
              <w:left w:val="nil"/>
              <w:bottom w:val="single" w:sz="4" w:space="0" w:color="auto"/>
              <w:right w:val="nil"/>
            </w:tcBorders>
            <w:vAlign w:val="center"/>
            <w:hideMark/>
          </w:tcPr>
          <w:p w14:paraId="1B60F0CD"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Purity %</w:t>
            </w:r>
          </w:p>
        </w:tc>
        <w:tc>
          <w:tcPr>
            <w:tcW w:w="678" w:type="pct"/>
            <w:tcBorders>
              <w:top w:val="nil"/>
              <w:left w:val="nil"/>
              <w:bottom w:val="single" w:sz="4" w:space="0" w:color="auto"/>
              <w:right w:val="nil"/>
            </w:tcBorders>
            <w:vAlign w:val="center"/>
            <w:hideMark/>
          </w:tcPr>
          <w:p w14:paraId="7102BB1E"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Fiber %</w:t>
            </w:r>
          </w:p>
        </w:tc>
        <w:tc>
          <w:tcPr>
            <w:tcW w:w="677" w:type="pct"/>
            <w:tcBorders>
              <w:top w:val="nil"/>
              <w:left w:val="nil"/>
              <w:bottom w:val="single" w:sz="4" w:space="0" w:color="auto"/>
              <w:right w:val="nil"/>
            </w:tcBorders>
            <w:vAlign w:val="center"/>
            <w:hideMark/>
          </w:tcPr>
          <w:p w14:paraId="10D15527"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Pol %</w:t>
            </w:r>
          </w:p>
        </w:tc>
        <w:tc>
          <w:tcPr>
            <w:tcW w:w="677" w:type="pct"/>
            <w:tcBorders>
              <w:top w:val="nil"/>
              <w:left w:val="nil"/>
              <w:bottom w:val="single" w:sz="4" w:space="0" w:color="auto"/>
              <w:right w:val="nil"/>
            </w:tcBorders>
            <w:vAlign w:val="center"/>
            <w:hideMark/>
          </w:tcPr>
          <w:p w14:paraId="49BC7855"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Purity %</w:t>
            </w:r>
          </w:p>
        </w:tc>
        <w:tc>
          <w:tcPr>
            <w:tcW w:w="676" w:type="pct"/>
            <w:tcBorders>
              <w:top w:val="nil"/>
              <w:left w:val="nil"/>
              <w:bottom w:val="single" w:sz="4" w:space="0" w:color="auto"/>
              <w:right w:val="nil"/>
            </w:tcBorders>
            <w:vAlign w:val="center"/>
            <w:hideMark/>
          </w:tcPr>
          <w:p w14:paraId="5E613370"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Fiber %</w:t>
            </w:r>
          </w:p>
        </w:tc>
      </w:tr>
      <w:tr w:rsidR="0085181C" w:rsidRPr="0085181C" w14:paraId="4E4EB678" w14:textId="77777777" w:rsidTr="002D6B73">
        <w:trPr>
          <w:trHeight w:val="319"/>
        </w:trPr>
        <w:tc>
          <w:tcPr>
            <w:tcW w:w="940" w:type="pct"/>
            <w:tcBorders>
              <w:top w:val="nil"/>
              <w:left w:val="nil"/>
              <w:bottom w:val="nil"/>
              <w:right w:val="nil"/>
            </w:tcBorders>
            <w:noWrap/>
            <w:vAlign w:val="bottom"/>
            <w:hideMark/>
          </w:tcPr>
          <w:p w14:paraId="463C2274"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Variety (A)</w:t>
            </w:r>
          </w:p>
        </w:tc>
        <w:tc>
          <w:tcPr>
            <w:tcW w:w="675" w:type="pct"/>
            <w:tcBorders>
              <w:top w:val="nil"/>
              <w:left w:val="nil"/>
              <w:bottom w:val="nil"/>
              <w:right w:val="nil"/>
            </w:tcBorders>
            <w:noWrap/>
            <w:vAlign w:val="bottom"/>
            <w:hideMark/>
          </w:tcPr>
          <w:p w14:paraId="0C02A1F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nil"/>
              <w:left w:val="nil"/>
              <w:bottom w:val="nil"/>
              <w:right w:val="nil"/>
            </w:tcBorders>
            <w:noWrap/>
            <w:vAlign w:val="bottom"/>
            <w:hideMark/>
          </w:tcPr>
          <w:p w14:paraId="5C0C7B2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8" w:type="pct"/>
            <w:tcBorders>
              <w:top w:val="nil"/>
              <w:left w:val="nil"/>
              <w:bottom w:val="nil"/>
              <w:right w:val="nil"/>
            </w:tcBorders>
            <w:noWrap/>
            <w:vAlign w:val="bottom"/>
            <w:hideMark/>
          </w:tcPr>
          <w:p w14:paraId="65DDCC7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nil"/>
              <w:left w:val="nil"/>
              <w:bottom w:val="nil"/>
              <w:right w:val="nil"/>
            </w:tcBorders>
            <w:noWrap/>
            <w:vAlign w:val="bottom"/>
            <w:hideMark/>
          </w:tcPr>
          <w:p w14:paraId="08F961F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nil"/>
              <w:left w:val="nil"/>
              <w:bottom w:val="nil"/>
              <w:right w:val="nil"/>
            </w:tcBorders>
            <w:noWrap/>
            <w:vAlign w:val="bottom"/>
            <w:hideMark/>
          </w:tcPr>
          <w:p w14:paraId="622F58A7"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6" w:type="pct"/>
            <w:tcBorders>
              <w:top w:val="nil"/>
              <w:left w:val="nil"/>
              <w:bottom w:val="nil"/>
              <w:right w:val="nil"/>
            </w:tcBorders>
            <w:noWrap/>
            <w:vAlign w:val="bottom"/>
            <w:hideMark/>
          </w:tcPr>
          <w:p w14:paraId="4D68F36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r>
      <w:tr w:rsidR="005B316B" w:rsidRPr="0085181C" w14:paraId="3270A990" w14:textId="77777777" w:rsidTr="002D6B73">
        <w:trPr>
          <w:trHeight w:val="319"/>
        </w:trPr>
        <w:tc>
          <w:tcPr>
            <w:tcW w:w="940" w:type="pct"/>
            <w:tcBorders>
              <w:top w:val="nil"/>
              <w:left w:val="nil"/>
              <w:bottom w:val="nil"/>
              <w:right w:val="nil"/>
            </w:tcBorders>
            <w:noWrap/>
            <w:vAlign w:val="bottom"/>
            <w:hideMark/>
          </w:tcPr>
          <w:p w14:paraId="3CBB03B1" w14:textId="1D4D1921" w:rsidR="005B316B" w:rsidRPr="0085181C" w:rsidRDefault="005B316B" w:rsidP="002D6B73">
            <w:pPr>
              <w:spacing w:after="120"/>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1</w:t>
            </w:r>
            <w:r w:rsidRPr="005B316B">
              <w:rPr>
                <w:rFonts w:ascii="Arial" w:hAnsi="Arial" w:cs="Arial"/>
                <w:color w:val="000000"/>
                <w:lang w:eastAsia="ja-JP"/>
              </w:rPr>
              <w:t xml:space="preserve"> (PMA-7)</w:t>
            </w:r>
          </w:p>
        </w:tc>
        <w:tc>
          <w:tcPr>
            <w:tcW w:w="675" w:type="pct"/>
            <w:tcBorders>
              <w:top w:val="nil"/>
              <w:left w:val="nil"/>
              <w:bottom w:val="nil"/>
              <w:right w:val="nil"/>
            </w:tcBorders>
            <w:noWrap/>
            <w:vAlign w:val="bottom"/>
            <w:hideMark/>
          </w:tcPr>
          <w:p w14:paraId="6D897EEE" w14:textId="3547FEE2"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17.11 </w:t>
            </w:r>
          </w:p>
        </w:tc>
        <w:tc>
          <w:tcPr>
            <w:tcW w:w="677" w:type="pct"/>
            <w:tcBorders>
              <w:top w:val="nil"/>
              <w:left w:val="nil"/>
              <w:bottom w:val="nil"/>
              <w:right w:val="nil"/>
            </w:tcBorders>
            <w:noWrap/>
            <w:vAlign w:val="bottom"/>
            <w:hideMark/>
          </w:tcPr>
          <w:p w14:paraId="4ED7644D" w14:textId="08E335B5"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84.55 </w:t>
            </w:r>
          </w:p>
        </w:tc>
        <w:tc>
          <w:tcPr>
            <w:tcW w:w="678" w:type="pct"/>
            <w:tcBorders>
              <w:top w:val="nil"/>
              <w:left w:val="nil"/>
              <w:bottom w:val="nil"/>
              <w:right w:val="nil"/>
            </w:tcBorders>
            <w:noWrap/>
            <w:vAlign w:val="bottom"/>
            <w:hideMark/>
          </w:tcPr>
          <w:p w14:paraId="382FB0EB" w14:textId="2F608FF3"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13.09 </w:t>
            </w:r>
          </w:p>
        </w:tc>
        <w:tc>
          <w:tcPr>
            <w:tcW w:w="677" w:type="pct"/>
            <w:tcBorders>
              <w:top w:val="nil"/>
              <w:left w:val="nil"/>
              <w:bottom w:val="nil"/>
              <w:right w:val="nil"/>
            </w:tcBorders>
            <w:noWrap/>
            <w:vAlign w:val="bottom"/>
            <w:hideMark/>
          </w:tcPr>
          <w:p w14:paraId="18A30423" w14:textId="683AF724"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16.88 </w:t>
            </w:r>
          </w:p>
        </w:tc>
        <w:tc>
          <w:tcPr>
            <w:tcW w:w="677" w:type="pct"/>
            <w:tcBorders>
              <w:top w:val="nil"/>
              <w:left w:val="nil"/>
              <w:bottom w:val="nil"/>
              <w:right w:val="nil"/>
            </w:tcBorders>
            <w:noWrap/>
            <w:vAlign w:val="bottom"/>
            <w:hideMark/>
          </w:tcPr>
          <w:p w14:paraId="40E2613F" w14:textId="1F9016D4"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83.57 </w:t>
            </w:r>
          </w:p>
        </w:tc>
        <w:tc>
          <w:tcPr>
            <w:tcW w:w="676" w:type="pct"/>
            <w:tcBorders>
              <w:top w:val="nil"/>
              <w:left w:val="nil"/>
              <w:bottom w:val="nil"/>
              <w:right w:val="nil"/>
            </w:tcBorders>
            <w:noWrap/>
            <w:vAlign w:val="bottom"/>
            <w:hideMark/>
          </w:tcPr>
          <w:p w14:paraId="47B98002" w14:textId="2BD2654B"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13.08 </w:t>
            </w:r>
          </w:p>
        </w:tc>
      </w:tr>
      <w:tr w:rsidR="005B316B" w:rsidRPr="0085181C" w14:paraId="7CA715CE" w14:textId="77777777" w:rsidTr="002D6B73">
        <w:trPr>
          <w:trHeight w:val="319"/>
        </w:trPr>
        <w:tc>
          <w:tcPr>
            <w:tcW w:w="940" w:type="pct"/>
            <w:tcBorders>
              <w:top w:val="nil"/>
              <w:left w:val="nil"/>
              <w:bottom w:val="nil"/>
              <w:right w:val="nil"/>
            </w:tcBorders>
            <w:noWrap/>
            <w:vAlign w:val="bottom"/>
            <w:hideMark/>
          </w:tcPr>
          <w:p w14:paraId="2725D52D" w14:textId="248A2751" w:rsidR="005B316B" w:rsidRPr="0085181C" w:rsidRDefault="005B316B" w:rsidP="002D6B73">
            <w:pPr>
              <w:spacing w:after="120"/>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2 </w:t>
            </w:r>
            <w:r w:rsidRPr="005B316B">
              <w:rPr>
                <w:rFonts w:ascii="Arial" w:hAnsi="Arial" w:cs="Arial"/>
                <w:color w:val="000000"/>
                <w:lang w:eastAsia="ja-JP"/>
              </w:rPr>
              <w:t>(PMA-8)</w:t>
            </w:r>
          </w:p>
        </w:tc>
        <w:tc>
          <w:tcPr>
            <w:tcW w:w="675" w:type="pct"/>
            <w:tcBorders>
              <w:top w:val="nil"/>
              <w:left w:val="nil"/>
              <w:bottom w:val="nil"/>
              <w:right w:val="nil"/>
            </w:tcBorders>
            <w:noWrap/>
            <w:vAlign w:val="bottom"/>
            <w:hideMark/>
          </w:tcPr>
          <w:p w14:paraId="716FED58" w14:textId="2609FB78"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17.01 </w:t>
            </w:r>
          </w:p>
        </w:tc>
        <w:tc>
          <w:tcPr>
            <w:tcW w:w="677" w:type="pct"/>
            <w:tcBorders>
              <w:top w:val="nil"/>
              <w:left w:val="nil"/>
              <w:bottom w:val="nil"/>
              <w:right w:val="nil"/>
            </w:tcBorders>
            <w:noWrap/>
            <w:vAlign w:val="bottom"/>
            <w:hideMark/>
          </w:tcPr>
          <w:p w14:paraId="6DF14C8A" w14:textId="0F90229F"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84.17 </w:t>
            </w:r>
          </w:p>
        </w:tc>
        <w:tc>
          <w:tcPr>
            <w:tcW w:w="678" w:type="pct"/>
            <w:tcBorders>
              <w:top w:val="nil"/>
              <w:left w:val="nil"/>
              <w:bottom w:val="nil"/>
              <w:right w:val="nil"/>
            </w:tcBorders>
            <w:noWrap/>
            <w:vAlign w:val="bottom"/>
            <w:hideMark/>
          </w:tcPr>
          <w:p w14:paraId="5D1248D6" w14:textId="267F2AFB"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13.80 </w:t>
            </w:r>
          </w:p>
        </w:tc>
        <w:tc>
          <w:tcPr>
            <w:tcW w:w="677" w:type="pct"/>
            <w:tcBorders>
              <w:top w:val="nil"/>
              <w:left w:val="nil"/>
              <w:bottom w:val="nil"/>
              <w:right w:val="nil"/>
            </w:tcBorders>
            <w:noWrap/>
            <w:vAlign w:val="bottom"/>
            <w:hideMark/>
          </w:tcPr>
          <w:p w14:paraId="21811994" w14:textId="3927FE6A"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16.87 </w:t>
            </w:r>
          </w:p>
        </w:tc>
        <w:tc>
          <w:tcPr>
            <w:tcW w:w="677" w:type="pct"/>
            <w:tcBorders>
              <w:top w:val="nil"/>
              <w:left w:val="nil"/>
              <w:bottom w:val="nil"/>
              <w:right w:val="nil"/>
            </w:tcBorders>
            <w:noWrap/>
            <w:vAlign w:val="bottom"/>
            <w:hideMark/>
          </w:tcPr>
          <w:p w14:paraId="70BF0274" w14:textId="75C8815A"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 84.73 </w:t>
            </w:r>
          </w:p>
        </w:tc>
        <w:tc>
          <w:tcPr>
            <w:tcW w:w="676" w:type="pct"/>
            <w:tcBorders>
              <w:top w:val="nil"/>
              <w:left w:val="nil"/>
              <w:bottom w:val="nil"/>
              <w:right w:val="nil"/>
            </w:tcBorders>
            <w:noWrap/>
            <w:vAlign w:val="bottom"/>
            <w:hideMark/>
          </w:tcPr>
          <w:p w14:paraId="6ACE051D" w14:textId="4184A851"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13.80 </w:t>
            </w:r>
          </w:p>
        </w:tc>
      </w:tr>
      <w:tr w:rsidR="005B316B" w:rsidRPr="0085181C" w14:paraId="3D289B71" w14:textId="77777777" w:rsidTr="002D6B73">
        <w:trPr>
          <w:trHeight w:val="319"/>
        </w:trPr>
        <w:tc>
          <w:tcPr>
            <w:tcW w:w="940" w:type="pct"/>
            <w:tcBorders>
              <w:top w:val="nil"/>
              <w:left w:val="nil"/>
              <w:bottom w:val="nil"/>
              <w:right w:val="nil"/>
            </w:tcBorders>
            <w:noWrap/>
            <w:vAlign w:val="bottom"/>
            <w:hideMark/>
          </w:tcPr>
          <w:p w14:paraId="30FC6BCF" w14:textId="6D6A7380" w:rsidR="005B316B" w:rsidRPr="0085181C" w:rsidRDefault="005B316B" w:rsidP="002D6B73">
            <w:pPr>
              <w:spacing w:after="120"/>
              <w:jc w:val="center"/>
              <w:rPr>
                <w:rFonts w:ascii="Arial" w:hAnsi="Arial" w:cs="Arial"/>
                <w:color w:val="000000"/>
                <w:lang w:eastAsia="ja-JP"/>
              </w:rPr>
            </w:pPr>
            <w:r w:rsidRPr="005B316B">
              <w:rPr>
                <w:rFonts w:ascii="Arial" w:hAnsi="Arial" w:cs="Arial"/>
                <w:color w:val="000000"/>
                <w:lang w:eastAsia="ja-JP"/>
              </w:rPr>
              <w:t>V</w:t>
            </w:r>
            <w:r w:rsidRPr="005B316B">
              <w:rPr>
                <w:rFonts w:ascii="Arial" w:hAnsi="Arial" w:cs="Arial"/>
                <w:color w:val="000000"/>
                <w:vertAlign w:val="subscript"/>
                <w:lang w:eastAsia="ja-JP"/>
              </w:rPr>
              <w:t xml:space="preserve">3 </w:t>
            </w:r>
            <w:r w:rsidRPr="005B316B">
              <w:rPr>
                <w:rFonts w:ascii="Arial" w:hAnsi="Arial" w:cs="Arial"/>
                <w:color w:val="000000"/>
                <w:lang w:eastAsia="ja-JP"/>
              </w:rPr>
              <w:t>(PMA-9</w:t>
            </w:r>
          </w:p>
        </w:tc>
        <w:tc>
          <w:tcPr>
            <w:tcW w:w="675" w:type="pct"/>
            <w:tcBorders>
              <w:top w:val="nil"/>
              <w:left w:val="nil"/>
              <w:bottom w:val="single" w:sz="4" w:space="0" w:color="auto"/>
              <w:right w:val="nil"/>
            </w:tcBorders>
            <w:noWrap/>
            <w:vAlign w:val="bottom"/>
            <w:hideMark/>
          </w:tcPr>
          <w:p w14:paraId="5EC0B44C" w14:textId="6800FC7D"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16.88 </w:t>
            </w:r>
          </w:p>
        </w:tc>
        <w:tc>
          <w:tcPr>
            <w:tcW w:w="677" w:type="pct"/>
            <w:tcBorders>
              <w:top w:val="nil"/>
              <w:left w:val="nil"/>
              <w:bottom w:val="single" w:sz="4" w:space="0" w:color="auto"/>
              <w:right w:val="nil"/>
            </w:tcBorders>
            <w:noWrap/>
            <w:vAlign w:val="bottom"/>
            <w:hideMark/>
          </w:tcPr>
          <w:p w14:paraId="21D1A81F" w14:textId="278CD447"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84.36 </w:t>
            </w:r>
          </w:p>
        </w:tc>
        <w:tc>
          <w:tcPr>
            <w:tcW w:w="678" w:type="pct"/>
            <w:tcBorders>
              <w:top w:val="nil"/>
              <w:left w:val="nil"/>
              <w:bottom w:val="single" w:sz="4" w:space="0" w:color="auto"/>
              <w:right w:val="nil"/>
            </w:tcBorders>
            <w:noWrap/>
            <w:vAlign w:val="bottom"/>
            <w:hideMark/>
          </w:tcPr>
          <w:p w14:paraId="032B5EF1" w14:textId="77A0A085"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13.48 </w:t>
            </w:r>
          </w:p>
        </w:tc>
        <w:tc>
          <w:tcPr>
            <w:tcW w:w="677" w:type="pct"/>
            <w:tcBorders>
              <w:top w:val="nil"/>
              <w:left w:val="nil"/>
              <w:bottom w:val="single" w:sz="4" w:space="0" w:color="auto"/>
              <w:right w:val="nil"/>
            </w:tcBorders>
            <w:noWrap/>
            <w:vAlign w:val="bottom"/>
            <w:hideMark/>
          </w:tcPr>
          <w:p w14:paraId="31E60770" w14:textId="4E57F648"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17.24 </w:t>
            </w:r>
          </w:p>
        </w:tc>
        <w:tc>
          <w:tcPr>
            <w:tcW w:w="677" w:type="pct"/>
            <w:tcBorders>
              <w:top w:val="nil"/>
              <w:left w:val="nil"/>
              <w:bottom w:val="single" w:sz="4" w:space="0" w:color="auto"/>
              <w:right w:val="nil"/>
            </w:tcBorders>
            <w:noWrap/>
            <w:vAlign w:val="bottom"/>
            <w:hideMark/>
          </w:tcPr>
          <w:p w14:paraId="60B81CE5" w14:textId="28175EB2"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84.95 </w:t>
            </w:r>
          </w:p>
        </w:tc>
        <w:tc>
          <w:tcPr>
            <w:tcW w:w="676" w:type="pct"/>
            <w:tcBorders>
              <w:top w:val="nil"/>
              <w:left w:val="nil"/>
              <w:bottom w:val="single" w:sz="4" w:space="0" w:color="auto"/>
              <w:right w:val="nil"/>
            </w:tcBorders>
            <w:noWrap/>
            <w:vAlign w:val="bottom"/>
            <w:hideMark/>
          </w:tcPr>
          <w:p w14:paraId="1239596E" w14:textId="1939FC80" w:rsidR="005B316B" w:rsidRPr="0085181C" w:rsidRDefault="005B316B" w:rsidP="002D6B73">
            <w:pPr>
              <w:spacing w:after="120"/>
              <w:jc w:val="center"/>
              <w:rPr>
                <w:rFonts w:ascii="Arial" w:hAnsi="Arial" w:cs="Arial"/>
                <w:color w:val="000000"/>
                <w:lang w:eastAsia="ja-JP"/>
              </w:rPr>
            </w:pPr>
            <w:r w:rsidRPr="0085181C">
              <w:rPr>
                <w:rFonts w:ascii="Arial" w:hAnsi="Arial" w:cs="Arial"/>
                <w:color w:val="000000"/>
                <w:lang w:eastAsia="ja-JP"/>
              </w:rPr>
              <w:t xml:space="preserve">13.50 </w:t>
            </w:r>
          </w:p>
        </w:tc>
      </w:tr>
      <w:tr w:rsidR="0085181C" w:rsidRPr="0085181C" w14:paraId="187F944C" w14:textId="77777777" w:rsidTr="002D6B73">
        <w:trPr>
          <w:trHeight w:val="319"/>
        </w:trPr>
        <w:tc>
          <w:tcPr>
            <w:tcW w:w="940" w:type="pct"/>
            <w:tcBorders>
              <w:top w:val="single" w:sz="4" w:space="0" w:color="auto"/>
              <w:left w:val="nil"/>
              <w:bottom w:val="single" w:sz="4" w:space="0" w:color="auto"/>
              <w:right w:val="nil"/>
            </w:tcBorders>
            <w:noWrap/>
            <w:vAlign w:val="bottom"/>
            <w:hideMark/>
          </w:tcPr>
          <w:p w14:paraId="59E006A8"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 xml:space="preserve">LSD </w:t>
            </w:r>
            <w:r w:rsidRPr="0085181C">
              <w:rPr>
                <w:rFonts w:ascii="Arial" w:hAnsi="Arial" w:cs="Arial"/>
                <w:color w:val="000000"/>
                <w:vertAlign w:val="subscript"/>
                <w:lang w:eastAsia="ja-JP"/>
              </w:rPr>
              <w:t>0.05</w:t>
            </w:r>
          </w:p>
        </w:tc>
        <w:tc>
          <w:tcPr>
            <w:tcW w:w="675" w:type="pct"/>
            <w:tcBorders>
              <w:top w:val="single" w:sz="4" w:space="0" w:color="auto"/>
              <w:left w:val="nil"/>
              <w:bottom w:val="single" w:sz="4" w:space="0" w:color="auto"/>
              <w:right w:val="nil"/>
            </w:tcBorders>
            <w:noWrap/>
            <w:vAlign w:val="bottom"/>
            <w:hideMark/>
          </w:tcPr>
          <w:p w14:paraId="026C354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0.86</w:t>
            </w:r>
          </w:p>
        </w:tc>
        <w:tc>
          <w:tcPr>
            <w:tcW w:w="677" w:type="pct"/>
            <w:tcBorders>
              <w:top w:val="single" w:sz="4" w:space="0" w:color="auto"/>
              <w:left w:val="nil"/>
              <w:bottom w:val="single" w:sz="4" w:space="0" w:color="auto"/>
              <w:right w:val="nil"/>
            </w:tcBorders>
            <w:noWrap/>
            <w:vAlign w:val="bottom"/>
            <w:hideMark/>
          </w:tcPr>
          <w:p w14:paraId="0C43800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3.39</w:t>
            </w:r>
          </w:p>
        </w:tc>
        <w:tc>
          <w:tcPr>
            <w:tcW w:w="678" w:type="pct"/>
            <w:tcBorders>
              <w:top w:val="single" w:sz="4" w:space="0" w:color="auto"/>
              <w:left w:val="nil"/>
              <w:bottom w:val="single" w:sz="4" w:space="0" w:color="auto"/>
              <w:right w:val="nil"/>
            </w:tcBorders>
            <w:noWrap/>
            <w:vAlign w:val="bottom"/>
            <w:hideMark/>
          </w:tcPr>
          <w:p w14:paraId="1493C46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0.61</w:t>
            </w:r>
          </w:p>
        </w:tc>
        <w:tc>
          <w:tcPr>
            <w:tcW w:w="677" w:type="pct"/>
            <w:tcBorders>
              <w:top w:val="single" w:sz="4" w:space="0" w:color="auto"/>
              <w:left w:val="nil"/>
              <w:bottom w:val="single" w:sz="4" w:space="0" w:color="auto"/>
              <w:right w:val="nil"/>
            </w:tcBorders>
            <w:noWrap/>
            <w:vAlign w:val="bottom"/>
            <w:hideMark/>
          </w:tcPr>
          <w:p w14:paraId="03E323F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0.84</w:t>
            </w:r>
          </w:p>
        </w:tc>
        <w:tc>
          <w:tcPr>
            <w:tcW w:w="677" w:type="pct"/>
            <w:tcBorders>
              <w:top w:val="single" w:sz="4" w:space="0" w:color="auto"/>
              <w:left w:val="nil"/>
              <w:bottom w:val="single" w:sz="4" w:space="0" w:color="auto"/>
              <w:right w:val="nil"/>
            </w:tcBorders>
            <w:noWrap/>
            <w:vAlign w:val="bottom"/>
            <w:hideMark/>
          </w:tcPr>
          <w:p w14:paraId="3BE782E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7.47</w:t>
            </w:r>
          </w:p>
        </w:tc>
        <w:tc>
          <w:tcPr>
            <w:tcW w:w="676" w:type="pct"/>
            <w:tcBorders>
              <w:top w:val="single" w:sz="4" w:space="0" w:color="auto"/>
              <w:left w:val="nil"/>
              <w:bottom w:val="single" w:sz="4" w:space="0" w:color="auto"/>
              <w:right w:val="nil"/>
            </w:tcBorders>
            <w:noWrap/>
            <w:vAlign w:val="bottom"/>
            <w:hideMark/>
          </w:tcPr>
          <w:p w14:paraId="3B96852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0.59</w:t>
            </w:r>
          </w:p>
        </w:tc>
      </w:tr>
      <w:tr w:rsidR="0085181C" w:rsidRPr="0085181C" w14:paraId="400E4C90" w14:textId="77777777" w:rsidTr="002D6B73">
        <w:trPr>
          <w:trHeight w:val="319"/>
        </w:trPr>
        <w:tc>
          <w:tcPr>
            <w:tcW w:w="940" w:type="pct"/>
            <w:tcBorders>
              <w:top w:val="single" w:sz="4" w:space="0" w:color="auto"/>
              <w:left w:val="nil"/>
              <w:bottom w:val="nil"/>
              <w:right w:val="nil"/>
            </w:tcBorders>
            <w:noWrap/>
            <w:vAlign w:val="bottom"/>
            <w:hideMark/>
          </w:tcPr>
          <w:p w14:paraId="7168DAA2" w14:textId="77777777" w:rsidR="0085181C" w:rsidRPr="0085181C" w:rsidRDefault="0085181C" w:rsidP="002D6B73">
            <w:pPr>
              <w:spacing w:after="120"/>
              <w:jc w:val="center"/>
              <w:rPr>
                <w:rFonts w:ascii="Arial" w:hAnsi="Arial" w:cs="Arial"/>
                <w:b/>
                <w:bCs/>
                <w:color w:val="000000"/>
                <w:lang w:eastAsia="ja-JP"/>
              </w:rPr>
            </w:pPr>
            <w:r w:rsidRPr="0085181C">
              <w:rPr>
                <w:rFonts w:ascii="Arial" w:hAnsi="Arial" w:cs="Arial"/>
                <w:b/>
                <w:bCs/>
                <w:color w:val="000000"/>
                <w:lang w:eastAsia="ja-JP"/>
              </w:rPr>
              <w:t>Harvesting (B)</w:t>
            </w:r>
          </w:p>
        </w:tc>
        <w:tc>
          <w:tcPr>
            <w:tcW w:w="675" w:type="pct"/>
            <w:tcBorders>
              <w:top w:val="single" w:sz="4" w:space="0" w:color="auto"/>
              <w:left w:val="nil"/>
              <w:bottom w:val="nil"/>
              <w:right w:val="nil"/>
            </w:tcBorders>
            <w:noWrap/>
            <w:vAlign w:val="bottom"/>
            <w:hideMark/>
          </w:tcPr>
          <w:p w14:paraId="5E986D7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18AB53C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8" w:type="pct"/>
            <w:tcBorders>
              <w:top w:val="single" w:sz="4" w:space="0" w:color="auto"/>
              <w:left w:val="nil"/>
              <w:bottom w:val="nil"/>
              <w:right w:val="nil"/>
            </w:tcBorders>
            <w:noWrap/>
            <w:vAlign w:val="bottom"/>
            <w:hideMark/>
          </w:tcPr>
          <w:p w14:paraId="7FBAD1C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3D0FF97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28E15F0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6" w:type="pct"/>
            <w:tcBorders>
              <w:top w:val="single" w:sz="4" w:space="0" w:color="auto"/>
              <w:left w:val="nil"/>
              <w:bottom w:val="nil"/>
              <w:right w:val="nil"/>
            </w:tcBorders>
            <w:noWrap/>
            <w:vAlign w:val="bottom"/>
            <w:hideMark/>
          </w:tcPr>
          <w:p w14:paraId="6906AC56"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r>
      <w:tr w:rsidR="0085181C" w:rsidRPr="0085181C" w14:paraId="213308FA" w14:textId="77777777" w:rsidTr="002D6B73">
        <w:trPr>
          <w:trHeight w:val="319"/>
        </w:trPr>
        <w:tc>
          <w:tcPr>
            <w:tcW w:w="940" w:type="pct"/>
            <w:tcBorders>
              <w:top w:val="nil"/>
              <w:left w:val="nil"/>
              <w:bottom w:val="nil"/>
              <w:right w:val="nil"/>
            </w:tcBorders>
            <w:noWrap/>
            <w:vAlign w:val="bottom"/>
            <w:hideMark/>
          </w:tcPr>
          <w:p w14:paraId="7F9C0AA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H</w:t>
            </w:r>
            <w:r w:rsidRPr="0085181C">
              <w:rPr>
                <w:rFonts w:ascii="Arial" w:hAnsi="Arial" w:cs="Arial"/>
                <w:color w:val="000000"/>
                <w:vertAlign w:val="subscript"/>
                <w:lang w:eastAsia="ja-JP"/>
              </w:rPr>
              <w:t>1</w:t>
            </w:r>
          </w:p>
        </w:tc>
        <w:tc>
          <w:tcPr>
            <w:tcW w:w="675" w:type="pct"/>
            <w:tcBorders>
              <w:top w:val="nil"/>
              <w:left w:val="nil"/>
              <w:bottom w:val="nil"/>
              <w:right w:val="nil"/>
            </w:tcBorders>
            <w:noWrap/>
            <w:vAlign w:val="bottom"/>
            <w:hideMark/>
          </w:tcPr>
          <w:p w14:paraId="20526AF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16.28 c</w:t>
            </w:r>
          </w:p>
        </w:tc>
        <w:tc>
          <w:tcPr>
            <w:tcW w:w="677" w:type="pct"/>
            <w:tcBorders>
              <w:top w:val="nil"/>
              <w:left w:val="nil"/>
              <w:bottom w:val="nil"/>
              <w:right w:val="nil"/>
            </w:tcBorders>
            <w:noWrap/>
            <w:vAlign w:val="bottom"/>
            <w:hideMark/>
          </w:tcPr>
          <w:p w14:paraId="14DD35CF" w14:textId="6B770643"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83.19 </w:t>
            </w:r>
          </w:p>
        </w:tc>
        <w:tc>
          <w:tcPr>
            <w:tcW w:w="678" w:type="pct"/>
            <w:tcBorders>
              <w:top w:val="nil"/>
              <w:left w:val="nil"/>
              <w:bottom w:val="nil"/>
              <w:right w:val="nil"/>
            </w:tcBorders>
            <w:noWrap/>
            <w:vAlign w:val="bottom"/>
            <w:hideMark/>
          </w:tcPr>
          <w:p w14:paraId="0565F7A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14.07 a</w:t>
            </w:r>
          </w:p>
        </w:tc>
        <w:tc>
          <w:tcPr>
            <w:tcW w:w="677" w:type="pct"/>
            <w:tcBorders>
              <w:top w:val="nil"/>
              <w:left w:val="nil"/>
              <w:bottom w:val="nil"/>
              <w:right w:val="nil"/>
            </w:tcBorders>
            <w:noWrap/>
            <w:vAlign w:val="bottom"/>
            <w:hideMark/>
          </w:tcPr>
          <w:p w14:paraId="33DA970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16.42 b</w:t>
            </w:r>
          </w:p>
        </w:tc>
        <w:tc>
          <w:tcPr>
            <w:tcW w:w="677" w:type="pct"/>
            <w:tcBorders>
              <w:top w:val="nil"/>
              <w:left w:val="nil"/>
              <w:bottom w:val="nil"/>
              <w:right w:val="nil"/>
            </w:tcBorders>
            <w:noWrap/>
            <w:vAlign w:val="bottom"/>
            <w:hideMark/>
          </w:tcPr>
          <w:p w14:paraId="63E023A8" w14:textId="2398960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84.99 </w:t>
            </w:r>
          </w:p>
        </w:tc>
        <w:tc>
          <w:tcPr>
            <w:tcW w:w="676" w:type="pct"/>
            <w:tcBorders>
              <w:top w:val="nil"/>
              <w:left w:val="nil"/>
              <w:bottom w:val="nil"/>
              <w:right w:val="nil"/>
            </w:tcBorders>
            <w:noWrap/>
            <w:vAlign w:val="bottom"/>
            <w:hideMark/>
          </w:tcPr>
          <w:p w14:paraId="28C4CE8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14.07 a</w:t>
            </w:r>
          </w:p>
        </w:tc>
      </w:tr>
      <w:tr w:rsidR="0085181C" w:rsidRPr="0085181C" w14:paraId="365BC41B" w14:textId="77777777" w:rsidTr="002D6B73">
        <w:trPr>
          <w:trHeight w:val="319"/>
        </w:trPr>
        <w:tc>
          <w:tcPr>
            <w:tcW w:w="940" w:type="pct"/>
            <w:tcBorders>
              <w:top w:val="nil"/>
              <w:left w:val="nil"/>
              <w:right w:val="nil"/>
            </w:tcBorders>
            <w:noWrap/>
            <w:vAlign w:val="bottom"/>
            <w:hideMark/>
          </w:tcPr>
          <w:p w14:paraId="3DEC17B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H</w:t>
            </w:r>
            <w:r w:rsidRPr="0085181C">
              <w:rPr>
                <w:rFonts w:ascii="Arial" w:hAnsi="Arial" w:cs="Arial"/>
                <w:color w:val="000000"/>
                <w:vertAlign w:val="subscript"/>
                <w:lang w:eastAsia="ja-JP"/>
              </w:rPr>
              <w:t>2</w:t>
            </w:r>
          </w:p>
        </w:tc>
        <w:tc>
          <w:tcPr>
            <w:tcW w:w="675" w:type="pct"/>
            <w:tcBorders>
              <w:top w:val="nil"/>
              <w:left w:val="nil"/>
              <w:right w:val="nil"/>
            </w:tcBorders>
            <w:noWrap/>
            <w:vAlign w:val="bottom"/>
            <w:hideMark/>
          </w:tcPr>
          <w:p w14:paraId="2555B5F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16.84 b</w:t>
            </w:r>
          </w:p>
        </w:tc>
        <w:tc>
          <w:tcPr>
            <w:tcW w:w="677" w:type="pct"/>
            <w:tcBorders>
              <w:top w:val="nil"/>
              <w:left w:val="nil"/>
              <w:bottom w:val="nil"/>
              <w:right w:val="nil"/>
            </w:tcBorders>
            <w:noWrap/>
            <w:vAlign w:val="bottom"/>
            <w:hideMark/>
          </w:tcPr>
          <w:p w14:paraId="6432CEAC" w14:textId="503819BF"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83.98 </w:t>
            </w:r>
          </w:p>
        </w:tc>
        <w:tc>
          <w:tcPr>
            <w:tcW w:w="678" w:type="pct"/>
            <w:tcBorders>
              <w:top w:val="nil"/>
              <w:left w:val="nil"/>
              <w:bottom w:val="nil"/>
              <w:right w:val="nil"/>
            </w:tcBorders>
            <w:noWrap/>
            <w:vAlign w:val="bottom"/>
            <w:hideMark/>
          </w:tcPr>
          <w:p w14:paraId="0C2F85B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13.53 b</w:t>
            </w:r>
          </w:p>
        </w:tc>
        <w:tc>
          <w:tcPr>
            <w:tcW w:w="677" w:type="pct"/>
            <w:tcBorders>
              <w:top w:val="nil"/>
              <w:left w:val="nil"/>
              <w:bottom w:val="nil"/>
              <w:right w:val="nil"/>
            </w:tcBorders>
            <w:noWrap/>
            <w:vAlign w:val="bottom"/>
            <w:hideMark/>
          </w:tcPr>
          <w:p w14:paraId="1628655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16.65 b</w:t>
            </w:r>
          </w:p>
        </w:tc>
        <w:tc>
          <w:tcPr>
            <w:tcW w:w="677" w:type="pct"/>
            <w:tcBorders>
              <w:top w:val="nil"/>
              <w:left w:val="nil"/>
              <w:bottom w:val="nil"/>
              <w:right w:val="nil"/>
            </w:tcBorders>
            <w:noWrap/>
            <w:vAlign w:val="bottom"/>
            <w:hideMark/>
          </w:tcPr>
          <w:p w14:paraId="26C386A1" w14:textId="2FC04956"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83.33 </w:t>
            </w:r>
          </w:p>
        </w:tc>
        <w:tc>
          <w:tcPr>
            <w:tcW w:w="676" w:type="pct"/>
            <w:tcBorders>
              <w:top w:val="nil"/>
              <w:left w:val="nil"/>
              <w:bottom w:val="nil"/>
              <w:right w:val="nil"/>
            </w:tcBorders>
            <w:noWrap/>
            <w:vAlign w:val="bottom"/>
            <w:hideMark/>
          </w:tcPr>
          <w:p w14:paraId="36109CC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13.54 b</w:t>
            </w:r>
          </w:p>
        </w:tc>
      </w:tr>
      <w:tr w:rsidR="0085181C" w:rsidRPr="0085181C" w14:paraId="2561EA4B" w14:textId="77777777" w:rsidTr="002D6B73">
        <w:trPr>
          <w:trHeight w:val="319"/>
        </w:trPr>
        <w:tc>
          <w:tcPr>
            <w:tcW w:w="940" w:type="pct"/>
            <w:tcBorders>
              <w:top w:val="nil"/>
              <w:left w:val="nil"/>
              <w:bottom w:val="single" w:sz="4" w:space="0" w:color="auto"/>
              <w:right w:val="nil"/>
            </w:tcBorders>
            <w:noWrap/>
            <w:vAlign w:val="bottom"/>
            <w:hideMark/>
          </w:tcPr>
          <w:p w14:paraId="797F07A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H</w:t>
            </w:r>
            <w:r w:rsidRPr="0085181C">
              <w:rPr>
                <w:rFonts w:ascii="Arial" w:hAnsi="Arial" w:cs="Arial"/>
                <w:color w:val="000000"/>
                <w:vertAlign w:val="subscript"/>
                <w:lang w:eastAsia="ja-JP"/>
              </w:rPr>
              <w:t>3</w:t>
            </w:r>
          </w:p>
        </w:tc>
        <w:tc>
          <w:tcPr>
            <w:tcW w:w="675" w:type="pct"/>
            <w:tcBorders>
              <w:top w:val="nil"/>
              <w:left w:val="nil"/>
              <w:bottom w:val="single" w:sz="4" w:space="0" w:color="auto"/>
              <w:right w:val="nil"/>
            </w:tcBorders>
            <w:noWrap/>
            <w:vAlign w:val="bottom"/>
            <w:hideMark/>
          </w:tcPr>
          <w:p w14:paraId="1955E60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17.87 a</w:t>
            </w:r>
          </w:p>
        </w:tc>
        <w:tc>
          <w:tcPr>
            <w:tcW w:w="677" w:type="pct"/>
            <w:tcBorders>
              <w:top w:val="nil"/>
              <w:left w:val="nil"/>
              <w:bottom w:val="single" w:sz="4" w:space="0" w:color="auto"/>
              <w:right w:val="nil"/>
            </w:tcBorders>
            <w:noWrap/>
            <w:vAlign w:val="bottom"/>
            <w:hideMark/>
          </w:tcPr>
          <w:p w14:paraId="0F65F89B" w14:textId="13409353"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85.90 </w:t>
            </w:r>
          </w:p>
        </w:tc>
        <w:tc>
          <w:tcPr>
            <w:tcW w:w="678" w:type="pct"/>
            <w:tcBorders>
              <w:top w:val="nil"/>
              <w:left w:val="nil"/>
              <w:bottom w:val="single" w:sz="4" w:space="0" w:color="auto"/>
              <w:right w:val="nil"/>
            </w:tcBorders>
            <w:noWrap/>
            <w:vAlign w:val="bottom"/>
            <w:hideMark/>
          </w:tcPr>
          <w:p w14:paraId="55FEFAE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12.77 c</w:t>
            </w:r>
          </w:p>
        </w:tc>
        <w:tc>
          <w:tcPr>
            <w:tcW w:w="677" w:type="pct"/>
            <w:tcBorders>
              <w:top w:val="nil"/>
              <w:left w:val="nil"/>
              <w:bottom w:val="single" w:sz="4" w:space="0" w:color="auto"/>
              <w:right w:val="nil"/>
            </w:tcBorders>
            <w:noWrap/>
            <w:vAlign w:val="bottom"/>
            <w:hideMark/>
          </w:tcPr>
          <w:p w14:paraId="31ECF47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17.93 a</w:t>
            </w:r>
          </w:p>
        </w:tc>
        <w:tc>
          <w:tcPr>
            <w:tcW w:w="677" w:type="pct"/>
            <w:tcBorders>
              <w:top w:val="nil"/>
              <w:left w:val="nil"/>
              <w:bottom w:val="single" w:sz="4" w:space="0" w:color="auto"/>
              <w:right w:val="nil"/>
            </w:tcBorders>
            <w:noWrap/>
            <w:vAlign w:val="bottom"/>
            <w:hideMark/>
          </w:tcPr>
          <w:p w14:paraId="6A6A828B" w14:textId="7ECA23F5"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xml:space="preserve">84.95 </w:t>
            </w:r>
          </w:p>
        </w:tc>
        <w:tc>
          <w:tcPr>
            <w:tcW w:w="676" w:type="pct"/>
            <w:tcBorders>
              <w:top w:val="nil"/>
              <w:left w:val="nil"/>
              <w:bottom w:val="single" w:sz="4" w:space="0" w:color="auto"/>
              <w:right w:val="nil"/>
            </w:tcBorders>
            <w:noWrap/>
            <w:vAlign w:val="bottom"/>
            <w:hideMark/>
          </w:tcPr>
          <w:p w14:paraId="131EF32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12.78 c</w:t>
            </w:r>
          </w:p>
        </w:tc>
      </w:tr>
      <w:tr w:rsidR="0085181C" w:rsidRPr="0085181C" w14:paraId="6BFDDB20" w14:textId="77777777" w:rsidTr="002D6B73">
        <w:trPr>
          <w:trHeight w:val="319"/>
        </w:trPr>
        <w:tc>
          <w:tcPr>
            <w:tcW w:w="940" w:type="pct"/>
            <w:tcBorders>
              <w:top w:val="single" w:sz="4" w:space="0" w:color="auto"/>
              <w:left w:val="nil"/>
              <w:bottom w:val="single" w:sz="4" w:space="0" w:color="auto"/>
              <w:right w:val="nil"/>
            </w:tcBorders>
            <w:noWrap/>
            <w:vAlign w:val="bottom"/>
            <w:hideMark/>
          </w:tcPr>
          <w:p w14:paraId="386606A7"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LSD</w:t>
            </w:r>
            <w:r w:rsidRPr="0085181C">
              <w:rPr>
                <w:rFonts w:ascii="Arial" w:hAnsi="Arial" w:cs="Arial"/>
                <w:color w:val="000000"/>
                <w:vertAlign w:val="subscript"/>
                <w:lang w:eastAsia="ja-JP"/>
              </w:rPr>
              <w:t xml:space="preserve"> 0.05</w:t>
            </w:r>
          </w:p>
        </w:tc>
        <w:tc>
          <w:tcPr>
            <w:tcW w:w="675" w:type="pct"/>
            <w:tcBorders>
              <w:top w:val="single" w:sz="4" w:space="0" w:color="auto"/>
              <w:left w:val="nil"/>
              <w:bottom w:val="single" w:sz="4" w:space="0" w:color="auto"/>
              <w:right w:val="nil"/>
            </w:tcBorders>
            <w:noWrap/>
            <w:vAlign w:val="bottom"/>
            <w:hideMark/>
          </w:tcPr>
          <w:p w14:paraId="3D1A127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0.46</w:t>
            </w:r>
          </w:p>
        </w:tc>
        <w:tc>
          <w:tcPr>
            <w:tcW w:w="677" w:type="pct"/>
            <w:tcBorders>
              <w:top w:val="single" w:sz="4" w:space="0" w:color="auto"/>
              <w:left w:val="nil"/>
              <w:bottom w:val="single" w:sz="4" w:space="0" w:color="auto"/>
              <w:right w:val="nil"/>
            </w:tcBorders>
            <w:noWrap/>
            <w:vAlign w:val="bottom"/>
            <w:hideMark/>
          </w:tcPr>
          <w:p w14:paraId="2C43BC0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2.34</w:t>
            </w:r>
          </w:p>
        </w:tc>
        <w:tc>
          <w:tcPr>
            <w:tcW w:w="678" w:type="pct"/>
            <w:tcBorders>
              <w:top w:val="single" w:sz="4" w:space="0" w:color="auto"/>
              <w:left w:val="nil"/>
              <w:bottom w:val="single" w:sz="4" w:space="0" w:color="auto"/>
              <w:right w:val="nil"/>
            </w:tcBorders>
            <w:noWrap/>
            <w:vAlign w:val="bottom"/>
            <w:hideMark/>
          </w:tcPr>
          <w:p w14:paraId="3D91D726"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0.35</w:t>
            </w:r>
          </w:p>
        </w:tc>
        <w:tc>
          <w:tcPr>
            <w:tcW w:w="677" w:type="pct"/>
            <w:tcBorders>
              <w:top w:val="single" w:sz="4" w:space="0" w:color="auto"/>
              <w:left w:val="nil"/>
              <w:bottom w:val="single" w:sz="4" w:space="0" w:color="auto"/>
              <w:right w:val="nil"/>
            </w:tcBorders>
            <w:noWrap/>
            <w:vAlign w:val="bottom"/>
            <w:hideMark/>
          </w:tcPr>
          <w:p w14:paraId="1EF7AEE3"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0.46</w:t>
            </w:r>
          </w:p>
        </w:tc>
        <w:tc>
          <w:tcPr>
            <w:tcW w:w="677" w:type="pct"/>
            <w:tcBorders>
              <w:top w:val="single" w:sz="4" w:space="0" w:color="auto"/>
              <w:left w:val="nil"/>
              <w:bottom w:val="single" w:sz="4" w:space="0" w:color="auto"/>
              <w:right w:val="nil"/>
            </w:tcBorders>
            <w:noWrap/>
            <w:vAlign w:val="bottom"/>
            <w:hideMark/>
          </w:tcPr>
          <w:p w14:paraId="1EFD0B6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3.10</w:t>
            </w:r>
          </w:p>
        </w:tc>
        <w:tc>
          <w:tcPr>
            <w:tcW w:w="676" w:type="pct"/>
            <w:tcBorders>
              <w:top w:val="single" w:sz="4" w:space="0" w:color="auto"/>
              <w:left w:val="nil"/>
              <w:bottom w:val="single" w:sz="4" w:space="0" w:color="auto"/>
              <w:right w:val="nil"/>
            </w:tcBorders>
            <w:noWrap/>
            <w:vAlign w:val="bottom"/>
            <w:hideMark/>
          </w:tcPr>
          <w:p w14:paraId="6CAAB56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0.35</w:t>
            </w:r>
          </w:p>
        </w:tc>
      </w:tr>
      <w:tr w:rsidR="0085181C" w:rsidRPr="0085181C" w14:paraId="755C6318" w14:textId="77777777" w:rsidTr="002D6B73">
        <w:trPr>
          <w:trHeight w:val="319"/>
        </w:trPr>
        <w:tc>
          <w:tcPr>
            <w:tcW w:w="940" w:type="pct"/>
            <w:tcBorders>
              <w:top w:val="single" w:sz="4" w:space="0" w:color="auto"/>
              <w:left w:val="nil"/>
              <w:bottom w:val="nil"/>
              <w:right w:val="nil"/>
            </w:tcBorders>
            <w:noWrap/>
            <w:vAlign w:val="bottom"/>
            <w:hideMark/>
          </w:tcPr>
          <w:p w14:paraId="04CC4926" w14:textId="77777777" w:rsidR="0085181C" w:rsidRPr="0085181C" w:rsidRDefault="0085181C" w:rsidP="002D6B73">
            <w:pPr>
              <w:spacing w:after="120"/>
              <w:rPr>
                <w:rFonts w:ascii="Arial" w:hAnsi="Arial" w:cs="Arial"/>
                <w:b/>
                <w:bCs/>
                <w:color w:val="000000"/>
                <w:lang w:eastAsia="ja-JP"/>
              </w:rPr>
            </w:pPr>
            <w:r w:rsidRPr="0085181C">
              <w:rPr>
                <w:rFonts w:ascii="Arial" w:hAnsi="Arial" w:cs="Arial"/>
                <w:b/>
                <w:bCs/>
                <w:color w:val="000000"/>
                <w:lang w:eastAsia="ja-JP"/>
              </w:rPr>
              <w:t>Pr &gt; F</w:t>
            </w:r>
          </w:p>
        </w:tc>
        <w:tc>
          <w:tcPr>
            <w:tcW w:w="675" w:type="pct"/>
            <w:tcBorders>
              <w:top w:val="single" w:sz="4" w:space="0" w:color="auto"/>
              <w:left w:val="nil"/>
              <w:bottom w:val="nil"/>
              <w:right w:val="nil"/>
            </w:tcBorders>
            <w:noWrap/>
            <w:vAlign w:val="bottom"/>
            <w:hideMark/>
          </w:tcPr>
          <w:p w14:paraId="2C1EE74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389BA300"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8" w:type="pct"/>
            <w:tcBorders>
              <w:top w:val="single" w:sz="4" w:space="0" w:color="auto"/>
              <w:left w:val="nil"/>
              <w:bottom w:val="nil"/>
              <w:right w:val="nil"/>
            </w:tcBorders>
            <w:noWrap/>
            <w:vAlign w:val="bottom"/>
            <w:hideMark/>
          </w:tcPr>
          <w:p w14:paraId="45C91BC7"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4F3B86E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7" w:type="pct"/>
            <w:tcBorders>
              <w:top w:val="single" w:sz="4" w:space="0" w:color="auto"/>
              <w:left w:val="nil"/>
              <w:bottom w:val="nil"/>
              <w:right w:val="nil"/>
            </w:tcBorders>
            <w:noWrap/>
            <w:vAlign w:val="bottom"/>
            <w:hideMark/>
          </w:tcPr>
          <w:p w14:paraId="39B2E4B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c>
          <w:tcPr>
            <w:tcW w:w="676" w:type="pct"/>
            <w:tcBorders>
              <w:top w:val="single" w:sz="4" w:space="0" w:color="auto"/>
              <w:left w:val="nil"/>
              <w:bottom w:val="nil"/>
              <w:right w:val="nil"/>
            </w:tcBorders>
            <w:noWrap/>
            <w:vAlign w:val="bottom"/>
            <w:hideMark/>
          </w:tcPr>
          <w:p w14:paraId="1EFD456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 </w:t>
            </w:r>
          </w:p>
        </w:tc>
      </w:tr>
      <w:tr w:rsidR="0085181C" w:rsidRPr="0085181C" w14:paraId="0B7166FC" w14:textId="77777777" w:rsidTr="002D6B73">
        <w:trPr>
          <w:trHeight w:val="319"/>
        </w:trPr>
        <w:tc>
          <w:tcPr>
            <w:tcW w:w="940" w:type="pct"/>
            <w:tcBorders>
              <w:top w:val="nil"/>
              <w:left w:val="nil"/>
              <w:bottom w:val="nil"/>
              <w:right w:val="nil"/>
            </w:tcBorders>
            <w:noWrap/>
            <w:vAlign w:val="bottom"/>
            <w:hideMark/>
          </w:tcPr>
          <w:p w14:paraId="74529863"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Variety (A)</w:t>
            </w:r>
          </w:p>
        </w:tc>
        <w:tc>
          <w:tcPr>
            <w:tcW w:w="675" w:type="pct"/>
            <w:tcBorders>
              <w:top w:val="nil"/>
              <w:left w:val="nil"/>
              <w:bottom w:val="nil"/>
              <w:right w:val="nil"/>
            </w:tcBorders>
            <w:noWrap/>
            <w:vAlign w:val="bottom"/>
            <w:hideMark/>
          </w:tcPr>
          <w:p w14:paraId="1FACF3C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491186E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8" w:type="pct"/>
            <w:tcBorders>
              <w:top w:val="nil"/>
              <w:left w:val="nil"/>
              <w:bottom w:val="nil"/>
              <w:right w:val="nil"/>
            </w:tcBorders>
            <w:noWrap/>
            <w:vAlign w:val="bottom"/>
            <w:hideMark/>
          </w:tcPr>
          <w:p w14:paraId="4070B1F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3E693CF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66545B1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6" w:type="pct"/>
            <w:tcBorders>
              <w:top w:val="nil"/>
              <w:left w:val="nil"/>
              <w:bottom w:val="nil"/>
              <w:right w:val="nil"/>
            </w:tcBorders>
            <w:noWrap/>
            <w:vAlign w:val="bottom"/>
            <w:hideMark/>
          </w:tcPr>
          <w:p w14:paraId="4D387F1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r>
      <w:tr w:rsidR="0085181C" w:rsidRPr="0085181C" w14:paraId="760C24FA" w14:textId="77777777" w:rsidTr="002D6B73">
        <w:trPr>
          <w:trHeight w:val="319"/>
        </w:trPr>
        <w:tc>
          <w:tcPr>
            <w:tcW w:w="940" w:type="pct"/>
            <w:tcBorders>
              <w:top w:val="nil"/>
              <w:left w:val="nil"/>
              <w:bottom w:val="nil"/>
              <w:right w:val="nil"/>
            </w:tcBorders>
            <w:noWrap/>
            <w:vAlign w:val="bottom"/>
            <w:hideMark/>
          </w:tcPr>
          <w:p w14:paraId="18889728"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lastRenderedPageBreak/>
              <w:t>Harvesting (B)</w:t>
            </w:r>
          </w:p>
        </w:tc>
        <w:tc>
          <w:tcPr>
            <w:tcW w:w="675" w:type="pct"/>
            <w:tcBorders>
              <w:top w:val="nil"/>
              <w:left w:val="nil"/>
              <w:bottom w:val="nil"/>
              <w:right w:val="nil"/>
            </w:tcBorders>
            <w:noWrap/>
            <w:vAlign w:val="bottom"/>
            <w:hideMark/>
          </w:tcPr>
          <w:p w14:paraId="4B1BA98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c>
          <w:tcPr>
            <w:tcW w:w="677" w:type="pct"/>
            <w:tcBorders>
              <w:top w:val="nil"/>
              <w:left w:val="nil"/>
              <w:bottom w:val="nil"/>
              <w:right w:val="nil"/>
            </w:tcBorders>
            <w:noWrap/>
            <w:vAlign w:val="bottom"/>
            <w:hideMark/>
          </w:tcPr>
          <w:p w14:paraId="7F44861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8" w:type="pct"/>
            <w:tcBorders>
              <w:top w:val="nil"/>
              <w:left w:val="nil"/>
              <w:bottom w:val="nil"/>
              <w:right w:val="nil"/>
            </w:tcBorders>
            <w:noWrap/>
            <w:vAlign w:val="bottom"/>
            <w:hideMark/>
          </w:tcPr>
          <w:p w14:paraId="02DA55C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c>
          <w:tcPr>
            <w:tcW w:w="677" w:type="pct"/>
            <w:tcBorders>
              <w:top w:val="nil"/>
              <w:left w:val="nil"/>
              <w:bottom w:val="nil"/>
              <w:right w:val="nil"/>
            </w:tcBorders>
            <w:noWrap/>
            <w:vAlign w:val="bottom"/>
            <w:hideMark/>
          </w:tcPr>
          <w:p w14:paraId="0D19EA0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c>
          <w:tcPr>
            <w:tcW w:w="677" w:type="pct"/>
            <w:tcBorders>
              <w:top w:val="nil"/>
              <w:left w:val="nil"/>
              <w:bottom w:val="nil"/>
              <w:right w:val="nil"/>
            </w:tcBorders>
            <w:noWrap/>
            <w:vAlign w:val="bottom"/>
            <w:hideMark/>
          </w:tcPr>
          <w:p w14:paraId="363482AA"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6" w:type="pct"/>
            <w:tcBorders>
              <w:top w:val="nil"/>
              <w:left w:val="nil"/>
              <w:bottom w:val="nil"/>
              <w:right w:val="nil"/>
            </w:tcBorders>
            <w:noWrap/>
            <w:vAlign w:val="bottom"/>
            <w:hideMark/>
          </w:tcPr>
          <w:p w14:paraId="178575F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w:t>
            </w:r>
          </w:p>
        </w:tc>
      </w:tr>
      <w:tr w:rsidR="0085181C" w:rsidRPr="0085181C" w14:paraId="595EE638" w14:textId="77777777" w:rsidTr="002D6B73">
        <w:trPr>
          <w:trHeight w:val="319"/>
        </w:trPr>
        <w:tc>
          <w:tcPr>
            <w:tcW w:w="940" w:type="pct"/>
            <w:tcBorders>
              <w:top w:val="nil"/>
              <w:left w:val="nil"/>
              <w:bottom w:val="single" w:sz="4" w:space="0" w:color="auto"/>
              <w:right w:val="nil"/>
            </w:tcBorders>
            <w:noWrap/>
            <w:vAlign w:val="bottom"/>
            <w:hideMark/>
          </w:tcPr>
          <w:p w14:paraId="4AF38241"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A x B</w:t>
            </w:r>
          </w:p>
        </w:tc>
        <w:tc>
          <w:tcPr>
            <w:tcW w:w="675" w:type="pct"/>
            <w:tcBorders>
              <w:top w:val="nil"/>
              <w:left w:val="nil"/>
              <w:bottom w:val="nil"/>
              <w:right w:val="nil"/>
            </w:tcBorders>
            <w:noWrap/>
            <w:vAlign w:val="bottom"/>
            <w:hideMark/>
          </w:tcPr>
          <w:p w14:paraId="7AD8E621"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6E017D1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8" w:type="pct"/>
            <w:tcBorders>
              <w:top w:val="nil"/>
              <w:left w:val="nil"/>
              <w:bottom w:val="single" w:sz="4" w:space="0" w:color="auto"/>
              <w:right w:val="nil"/>
            </w:tcBorders>
            <w:noWrap/>
            <w:vAlign w:val="bottom"/>
            <w:hideMark/>
          </w:tcPr>
          <w:p w14:paraId="4A29CEE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40F42AA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7" w:type="pct"/>
            <w:tcBorders>
              <w:top w:val="nil"/>
              <w:left w:val="nil"/>
              <w:bottom w:val="nil"/>
              <w:right w:val="nil"/>
            </w:tcBorders>
            <w:noWrap/>
            <w:vAlign w:val="bottom"/>
            <w:hideMark/>
          </w:tcPr>
          <w:p w14:paraId="7214DFE5"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c>
          <w:tcPr>
            <w:tcW w:w="676" w:type="pct"/>
            <w:tcBorders>
              <w:top w:val="nil"/>
              <w:left w:val="nil"/>
              <w:bottom w:val="single" w:sz="4" w:space="0" w:color="auto"/>
              <w:right w:val="nil"/>
            </w:tcBorders>
            <w:noWrap/>
            <w:vAlign w:val="bottom"/>
            <w:hideMark/>
          </w:tcPr>
          <w:p w14:paraId="25DE39D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ns</w:t>
            </w:r>
          </w:p>
        </w:tc>
      </w:tr>
      <w:tr w:rsidR="0085181C" w:rsidRPr="0085181C" w14:paraId="2691362E" w14:textId="77777777" w:rsidTr="002D6B73">
        <w:trPr>
          <w:trHeight w:val="319"/>
        </w:trPr>
        <w:tc>
          <w:tcPr>
            <w:tcW w:w="940" w:type="pct"/>
            <w:tcBorders>
              <w:top w:val="nil"/>
              <w:left w:val="nil"/>
              <w:bottom w:val="nil"/>
              <w:right w:val="nil"/>
            </w:tcBorders>
            <w:noWrap/>
            <w:vAlign w:val="bottom"/>
            <w:hideMark/>
          </w:tcPr>
          <w:p w14:paraId="28B2D3C1"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CV % (a)</w:t>
            </w:r>
          </w:p>
        </w:tc>
        <w:tc>
          <w:tcPr>
            <w:tcW w:w="675" w:type="pct"/>
            <w:tcBorders>
              <w:top w:val="single" w:sz="4" w:space="0" w:color="auto"/>
              <w:left w:val="nil"/>
              <w:bottom w:val="nil"/>
              <w:right w:val="nil"/>
            </w:tcBorders>
            <w:noWrap/>
            <w:vAlign w:val="bottom"/>
            <w:hideMark/>
          </w:tcPr>
          <w:p w14:paraId="6F724BAE"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5.07</w:t>
            </w:r>
          </w:p>
        </w:tc>
        <w:tc>
          <w:tcPr>
            <w:tcW w:w="677" w:type="pct"/>
            <w:tcBorders>
              <w:top w:val="single" w:sz="4" w:space="0" w:color="auto"/>
              <w:left w:val="nil"/>
              <w:bottom w:val="nil"/>
              <w:right w:val="nil"/>
            </w:tcBorders>
            <w:noWrap/>
            <w:vAlign w:val="bottom"/>
            <w:hideMark/>
          </w:tcPr>
          <w:p w14:paraId="0ECE57BD"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4.02</w:t>
            </w:r>
          </w:p>
        </w:tc>
        <w:tc>
          <w:tcPr>
            <w:tcW w:w="678" w:type="pct"/>
            <w:tcBorders>
              <w:top w:val="nil"/>
              <w:left w:val="nil"/>
              <w:bottom w:val="nil"/>
              <w:right w:val="nil"/>
            </w:tcBorders>
            <w:noWrap/>
            <w:vAlign w:val="bottom"/>
            <w:hideMark/>
          </w:tcPr>
          <w:p w14:paraId="1D089526"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4.55</w:t>
            </w:r>
          </w:p>
        </w:tc>
        <w:tc>
          <w:tcPr>
            <w:tcW w:w="677" w:type="pct"/>
            <w:tcBorders>
              <w:top w:val="single" w:sz="4" w:space="0" w:color="auto"/>
              <w:left w:val="nil"/>
              <w:bottom w:val="nil"/>
              <w:right w:val="nil"/>
            </w:tcBorders>
            <w:noWrap/>
            <w:vAlign w:val="bottom"/>
            <w:hideMark/>
          </w:tcPr>
          <w:p w14:paraId="6D4EA214"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4.97</w:t>
            </w:r>
          </w:p>
        </w:tc>
        <w:tc>
          <w:tcPr>
            <w:tcW w:w="677" w:type="pct"/>
            <w:tcBorders>
              <w:top w:val="single" w:sz="4" w:space="0" w:color="auto"/>
              <w:left w:val="nil"/>
              <w:bottom w:val="nil"/>
              <w:right w:val="nil"/>
            </w:tcBorders>
            <w:noWrap/>
            <w:vAlign w:val="bottom"/>
            <w:hideMark/>
          </w:tcPr>
          <w:p w14:paraId="7CACB9D8"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8.86</w:t>
            </w:r>
          </w:p>
        </w:tc>
        <w:tc>
          <w:tcPr>
            <w:tcW w:w="676" w:type="pct"/>
            <w:tcBorders>
              <w:top w:val="nil"/>
              <w:left w:val="nil"/>
              <w:bottom w:val="nil"/>
              <w:right w:val="nil"/>
            </w:tcBorders>
            <w:noWrap/>
            <w:vAlign w:val="bottom"/>
            <w:hideMark/>
          </w:tcPr>
          <w:p w14:paraId="096298EB"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4.42</w:t>
            </w:r>
          </w:p>
        </w:tc>
      </w:tr>
      <w:tr w:rsidR="0085181C" w:rsidRPr="0085181C" w14:paraId="16C95EE4" w14:textId="77777777" w:rsidTr="002D6B73">
        <w:trPr>
          <w:trHeight w:val="319"/>
        </w:trPr>
        <w:tc>
          <w:tcPr>
            <w:tcW w:w="940" w:type="pct"/>
            <w:tcBorders>
              <w:top w:val="nil"/>
              <w:left w:val="nil"/>
              <w:bottom w:val="single" w:sz="4" w:space="0" w:color="auto"/>
              <w:right w:val="nil"/>
            </w:tcBorders>
            <w:noWrap/>
            <w:vAlign w:val="bottom"/>
            <w:hideMark/>
          </w:tcPr>
          <w:p w14:paraId="2BD84F24" w14:textId="77777777" w:rsidR="0085181C" w:rsidRPr="0085181C" w:rsidRDefault="0085181C" w:rsidP="002D6B73">
            <w:pPr>
              <w:spacing w:after="120"/>
              <w:rPr>
                <w:rFonts w:ascii="Arial" w:hAnsi="Arial" w:cs="Arial"/>
                <w:color w:val="000000"/>
                <w:lang w:eastAsia="ja-JP"/>
              </w:rPr>
            </w:pPr>
            <w:r w:rsidRPr="0085181C">
              <w:rPr>
                <w:rFonts w:ascii="Arial" w:hAnsi="Arial" w:cs="Arial"/>
                <w:color w:val="000000"/>
                <w:lang w:eastAsia="ja-JP"/>
              </w:rPr>
              <w:t>CV % (b)</w:t>
            </w:r>
          </w:p>
        </w:tc>
        <w:tc>
          <w:tcPr>
            <w:tcW w:w="675" w:type="pct"/>
            <w:tcBorders>
              <w:top w:val="nil"/>
              <w:left w:val="nil"/>
              <w:bottom w:val="single" w:sz="4" w:space="0" w:color="auto"/>
              <w:right w:val="nil"/>
            </w:tcBorders>
            <w:noWrap/>
            <w:vAlign w:val="bottom"/>
            <w:hideMark/>
          </w:tcPr>
          <w:p w14:paraId="2460D60C"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3.18</w:t>
            </w:r>
          </w:p>
        </w:tc>
        <w:tc>
          <w:tcPr>
            <w:tcW w:w="677" w:type="pct"/>
            <w:tcBorders>
              <w:top w:val="nil"/>
              <w:left w:val="nil"/>
              <w:bottom w:val="single" w:sz="4" w:space="0" w:color="auto"/>
              <w:right w:val="nil"/>
            </w:tcBorders>
            <w:noWrap/>
            <w:vAlign w:val="bottom"/>
            <w:hideMark/>
          </w:tcPr>
          <w:p w14:paraId="32004627"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3.22</w:t>
            </w:r>
          </w:p>
        </w:tc>
        <w:tc>
          <w:tcPr>
            <w:tcW w:w="678" w:type="pct"/>
            <w:tcBorders>
              <w:top w:val="nil"/>
              <w:left w:val="nil"/>
              <w:bottom w:val="single" w:sz="4" w:space="0" w:color="auto"/>
              <w:right w:val="nil"/>
            </w:tcBorders>
            <w:noWrap/>
            <w:vAlign w:val="bottom"/>
            <w:hideMark/>
          </w:tcPr>
          <w:p w14:paraId="4F901E0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3.04</w:t>
            </w:r>
          </w:p>
        </w:tc>
        <w:tc>
          <w:tcPr>
            <w:tcW w:w="677" w:type="pct"/>
            <w:tcBorders>
              <w:top w:val="nil"/>
              <w:left w:val="nil"/>
              <w:bottom w:val="single" w:sz="4" w:space="0" w:color="auto"/>
              <w:right w:val="nil"/>
            </w:tcBorders>
            <w:noWrap/>
            <w:vAlign w:val="bottom"/>
            <w:hideMark/>
          </w:tcPr>
          <w:p w14:paraId="66DE01C2"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3.14</w:t>
            </w:r>
          </w:p>
        </w:tc>
        <w:tc>
          <w:tcPr>
            <w:tcW w:w="677" w:type="pct"/>
            <w:tcBorders>
              <w:top w:val="nil"/>
              <w:left w:val="nil"/>
              <w:bottom w:val="single" w:sz="4" w:space="0" w:color="auto"/>
              <w:right w:val="nil"/>
            </w:tcBorders>
            <w:noWrap/>
            <w:vAlign w:val="bottom"/>
            <w:hideMark/>
          </w:tcPr>
          <w:p w14:paraId="6DF66749"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4.28</w:t>
            </w:r>
          </w:p>
        </w:tc>
        <w:tc>
          <w:tcPr>
            <w:tcW w:w="676" w:type="pct"/>
            <w:tcBorders>
              <w:top w:val="nil"/>
              <w:left w:val="nil"/>
              <w:bottom w:val="single" w:sz="4" w:space="0" w:color="auto"/>
              <w:right w:val="nil"/>
            </w:tcBorders>
            <w:noWrap/>
            <w:vAlign w:val="bottom"/>
            <w:hideMark/>
          </w:tcPr>
          <w:p w14:paraId="20E5465F" w14:textId="77777777" w:rsidR="0085181C" w:rsidRPr="0085181C" w:rsidRDefault="0085181C" w:rsidP="002D6B73">
            <w:pPr>
              <w:spacing w:after="120"/>
              <w:jc w:val="center"/>
              <w:rPr>
                <w:rFonts w:ascii="Arial" w:hAnsi="Arial" w:cs="Arial"/>
                <w:color w:val="000000"/>
                <w:lang w:eastAsia="ja-JP"/>
              </w:rPr>
            </w:pPr>
            <w:r w:rsidRPr="0085181C">
              <w:rPr>
                <w:rFonts w:ascii="Arial" w:hAnsi="Arial" w:cs="Arial"/>
                <w:color w:val="000000"/>
                <w:lang w:eastAsia="ja-JP"/>
              </w:rPr>
              <w:t>3.02</w:t>
            </w:r>
          </w:p>
        </w:tc>
      </w:tr>
    </w:tbl>
    <w:p w14:paraId="0D3F5B88" w14:textId="6A871454" w:rsidR="0085181C" w:rsidRPr="00BA7F80" w:rsidRDefault="0085181C" w:rsidP="00AF7CB0">
      <w:pPr>
        <w:spacing w:line="360" w:lineRule="auto"/>
        <w:jc w:val="both"/>
        <w:rPr>
          <w:rFonts w:ascii="Arial" w:hAnsi="Arial" w:cs="Arial"/>
        </w:rPr>
      </w:pPr>
      <w:r w:rsidRPr="00BA7F80">
        <w:rPr>
          <w:rFonts w:ascii="Arial" w:hAnsi="Arial" w:cs="Arial"/>
        </w:rPr>
        <w:t xml:space="preserve">**= significant at 1 % level, </w:t>
      </w:r>
      <w:r w:rsidRPr="00BA7F80">
        <w:rPr>
          <w:rFonts w:ascii="Arial" w:hAnsi="Arial" w:cs="Arial"/>
          <w:color w:val="000000"/>
          <w:lang w:eastAsia="ja-JP"/>
        </w:rPr>
        <w:t xml:space="preserve">* = significant at 5% level, </w:t>
      </w:r>
      <w:r w:rsidRPr="00BA7F80">
        <w:rPr>
          <w:rFonts w:ascii="Arial" w:hAnsi="Arial" w:cs="Arial"/>
        </w:rPr>
        <w:t xml:space="preserve">ns = non </w:t>
      </w:r>
      <w:r w:rsidR="00B1064B" w:rsidRPr="00BA7F80">
        <w:rPr>
          <w:rFonts w:ascii="Arial" w:hAnsi="Arial" w:cs="Arial"/>
        </w:rPr>
        <w:t xml:space="preserve">- </w:t>
      </w:r>
      <w:r w:rsidRPr="00BA7F80">
        <w:rPr>
          <w:rFonts w:ascii="Arial" w:hAnsi="Arial" w:cs="Arial"/>
        </w:rPr>
        <w:t>significant</w:t>
      </w:r>
    </w:p>
    <w:p w14:paraId="72BFBB83" w14:textId="77777777" w:rsidR="006F4732" w:rsidRPr="00A16FCD" w:rsidRDefault="006F4732" w:rsidP="006F4732">
      <w:pPr>
        <w:spacing w:line="360" w:lineRule="auto"/>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months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12 months age), H</w:t>
      </w:r>
      <w:r w:rsidRPr="006F4732">
        <w:rPr>
          <w:rFonts w:ascii="Arial" w:hAnsi="Arial" w:cs="Arial"/>
          <w:color w:val="000000"/>
          <w:spacing w:val="-4"/>
          <w:vertAlign w:val="subscript"/>
          <w:lang w:eastAsia="ja-JP"/>
        </w:rPr>
        <w:t xml:space="preserve">3 </w:t>
      </w:r>
      <w:r w:rsidRPr="006F4732">
        <w:rPr>
          <w:rFonts w:ascii="Arial" w:hAnsi="Arial" w:cs="Arial"/>
          <w:color w:val="000000"/>
          <w:spacing w:val="-4"/>
          <w:lang w:eastAsia="ja-JP"/>
        </w:rPr>
        <w:t>=</w:t>
      </w:r>
      <w:r>
        <w:rPr>
          <w:rFonts w:ascii="Arial" w:hAnsi="Arial" w:cs="Arial"/>
          <w:color w:val="000000"/>
          <w:lang w:eastAsia="ja-JP"/>
        </w:rPr>
        <w:t xml:space="preserve"> </w:t>
      </w:r>
      <w:r w:rsidRPr="00A16FCD">
        <w:rPr>
          <w:rFonts w:ascii="Arial" w:hAnsi="Arial" w:cs="Arial"/>
          <w:color w:val="000000"/>
          <w:lang w:eastAsia="ja-JP"/>
        </w:rPr>
        <w:t>Two month</w:t>
      </w:r>
      <w:r>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Pr>
          <w:rFonts w:ascii="Arial" w:hAnsi="Arial" w:cs="Arial"/>
          <w:color w:val="000000"/>
          <w:lang w:eastAsia="ja-JP"/>
        </w:rPr>
        <w:t>~</w:t>
      </w:r>
      <w:r w:rsidRPr="00A16FCD">
        <w:rPr>
          <w:rFonts w:ascii="Arial" w:hAnsi="Arial" w:cs="Arial"/>
          <w:color w:val="000000"/>
          <w:lang w:eastAsia="ja-JP"/>
        </w:rPr>
        <w:t xml:space="preserve"> 13 month</w:t>
      </w:r>
      <w:r>
        <w:rPr>
          <w:rFonts w:ascii="Arial" w:hAnsi="Arial" w:cs="Arial"/>
          <w:color w:val="000000"/>
          <w:lang w:eastAsia="ja-JP"/>
        </w:rPr>
        <w:t>s</w:t>
      </w:r>
      <w:r w:rsidRPr="00A16FCD">
        <w:rPr>
          <w:rFonts w:ascii="Arial" w:hAnsi="Arial" w:cs="Arial"/>
          <w:color w:val="000000"/>
          <w:lang w:eastAsia="ja-JP"/>
        </w:rPr>
        <w:t xml:space="preserve"> age)</w:t>
      </w:r>
    </w:p>
    <w:p w14:paraId="100C2A22" w14:textId="1CAD1684" w:rsidR="0085181C" w:rsidRPr="00023FC8" w:rsidRDefault="0085181C" w:rsidP="00AF7CB0">
      <w:pPr>
        <w:pStyle w:val="Heading3"/>
        <w:spacing w:before="120" w:after="100" w:line="360" w:lineRule="auto"/>
        <w:jc w:val="both"/>
        <w:rPr>
          <w:rFonts w:ascii="Arial" w:hAnsi="Arial" w:cs="Arial"/>
          <w:b/>
          <w:bCs/>
          <w:color w:val="000000" w:themeColor="text1"/>
          <w:sz w:val="20"/>
          <w:szCs w:val="20"/>
          <w:u w:val="single"/>
        </w:rPr>
      </w:pPr>
      <w:r w:rsidRPr="00023FC8">
        <w:rPr>
          <w:rFonts w:ascii="Arial" w:hAnsi="Arial" w:cs="Arial"/>
          <w:b/>
          <w:bCs/>
          <w:color w:val="000000" w:themeColor="text1"/>
          <w:sz w:val="20"/>
          <w:szCs w:val="20"/>
          <w:u w:val="single"/>
        </w:rPr>
        <w:t>3.2.</w:t>
      </w:r>
      <w:r>
        <w:rPr>
          <w:rFonts w:ascii="Arial" w:hAnsi="Arial" w:cs="Arial"/>
          <w:b/>
          <w:bCs/>
          <w:color w:val="000000" w:themeColor="text1"/>
          <w:sz w:val="20"/>
          <w:szCs w:val="20"/>
          <w:u w:val="single"/>
        </w:rPr>
        <w:t>6</w:t>
      </w:r>
      <w:r w:rsidRPr="00023FC8">
        <w:rPr>
          <w:rFonts w:ascii="Arial" w:hAnsi="Arial" w:cs="Arial"/>
          <w:b/>
          <w:bCs/>
          <w:color w:val="000000" w:themeColor="text1"/>
          <w:sz w:val="20"/>
          <w:szCs w:val="20"/>
          <w:u w:val="single"/>
        </w:rPr>
        <w:t xml:space="preserve"> </w:t>
      </w:r>
      <w:r>
        <w:rPr>
          <w:rFonts w:ascii="Arial" w:eastAsiaTheme="minorEastAsia" w:hAnsi="Arial" w:cs="Arial"/>
          <w:b/>
          <w:bCs/>
          <w:color w:val="000000" w:themeColor="text1"/>
          <w:sz w:val="20"/>
          <w:szCs w:val="20"/>
          <w:u w:val="single"/>
          <w:lang w:eastAsia="ja-JP"/>
        </w:rPr>
        <w:t>Sugar Yield</w:t>
      </w:r>
    </w:p>
    <w:p w14:paraId="502559AA" w14:textId="53142E62" w:rsidR="002D6B73" w:rsidRPr="002D6B73" w:rsidRDefault="002D6B73" w:rsidP="002D6B73">
      <w:pPr>
        <w:spacing w:line="360" w:lineRule="auto"/>
        <w:ind w:right="-342" w:firstLine="720"/>
        <w:jc w:val="both"/>
        <w:rPr>
          <w:rFonts w:ascii="Arial" w:hAnsi="Arial" w:cs="Arial"/>
          <w:lang w:eastAsia="ja-JP"/>
        </w:rPr>
      </w:pPr>
      <w:r w:rsidRPr="002D6B73">
        <w:rPr>
          <w:rFonts w:ascii="Arial" w:hAnsi="Arial" w:cs="Arial"/>
          <w:lang w:eastAsia="ja-JP"/>
        </w:rPr>
        <w:t>Significant differences in sugar yield were observed among various sugarcane varieties and harvesting ages at both sites (Figure 1). The highest sugar yield, recorded at 11.64 t ha</w:t>
      </w:r>
      <w:r w:rsidRPr="002D6B73">
        <w:rPr>
          <w:rFonts w:ascii="Arial" w:hAnsi="Arial" w:cs="Arial"/>
          <w:vertAlign w:val="superscript"/>
          <w:lang w:eastAsia="ja-JP"/>
        </w:rPr>
        <w:t>-1</w:t>
      </w:r>
      <w:r w:rsidRPr="002D6B73">
        <w:rPr>
          <w:rFonts w:ascii="Arial" w:hAnsi="Arial" w:cs="Arial"/>
          <w:lang w:eastAsia="ja-JP"/>
        </w:rPr>
        <w:t>, was for the PMA-7 variety in Pyinmana, while the PMA-9 variety yielded 11.35 t ha</w:t>
      </w:r>
      <w:r w:rsidRPr="002D6B73">
        <w:rPr>
          <w:rFonts w:ascii="Arial" w:hAnsi="Arial" w:cs="Arial"/>
          <w:vertAlign w:val="superscript"/>
          <w:lang w:eastAsia="ja-JP"/>
        </w:rPr>
        <w:t>-1</w:t>
      </w:r>
      <w:r w:rsidRPr="002D6B73">
        <w:rPr>
          <w:rFonts w:ascii="Arial" w:hAnsi="Arial" w:cs="Arial"/>
          <w:lang w:eastAsia="ja-JP"/>
        </w:rPr>
        <w:t xml:space="preserve"> in Nyaungpintha, followed by other varieties. The higher sugar yield of these varieties can be attributed to an increase in sugar recovery percentage and net cane yield.</w:t>
      </w:r>
      <w:r w:rsidR="006F6C9F">
        <w:rPr>
          <w:rFonts w:ascii="Arial" w:hAnsi="Arial" w:cs="Arial"/>
          <w:lang w:eastAsia="ja-JP"/>
        </w:rPr>
        <w:t xml:space="preserve"> </w:t>
      </w:r>
      <w:r w:rsidR="006F6C9F" w:rsidRPr="007317D2">
        <w:rPr>
          <w:rFonts w:ascii="Arial" w:hAnsi="Arial" w:cs="Arial"/>
          <w:lang w:eastAsia="ja-JP"/>
        </w:rPr>
        <w:t>Differences among cane varieties may be attributed to the genetic structure.</w:t>
      </w:r>
      <w:r w:rsidRPr="002D6B73">
        <w:rPr>
          <w:rFonts w:ascii="Arial" w:hAnsi="Arial" w:cs="Arial"/>
          <w:lang w:eastAsia="ja-JP"/>
        </w:rPr>
        <w:t xml:space="preserve"> Mehareb, Abou-Elwafa, and Galal (2016) also found significant differences among cane varieties for sugar yield.</w:t>
      </w:r>
    </w:p>
    <w:p w14:paraId="5D562B4C" w14:textId="5A83344C" w:rsidR="002D6B73" w:rsidRDefault="002D6B73" w:rsidP="002D6B73">
      <w:pPr>
        <w:spacing w:line="360" w:lineRule="auto"/>
        <w:ind w:right="-342" w:firstLine="720"/>
        <w:jc w:val="both"/>
        <w:rPr>
          <w:rFonts w:ascii="Arial" w:hAnsi="Arial" w:cs="Arial"/>
          <w:lang w:eastAsia="ja-JP"/>
        </w:rPr>
      </w:pPr>
      <w:r w:rsidRPr="002D6B73">
        <w:rPr>
          <w:rFonts w:ascii="Arial" w:hAnsi="Arial" w:cs="Arial"/>
          <w:lang w:eastAsia="ja-JP"/>
        </w:rPr>
        <w:t>In terms of harvesting ages, the maximum sugar yield was noted for H3, with yields of 11.74 t ha</w:t>
      </w:r>
      <w:r w:rsidRPr="0063137D">
        <w:rPr>
          <w:rFonts w:ascii="Arial" w:hAnsi="Arial" w:cs="Arial"/>
          <w:vertAlign w:val="superscript"/>
          <w:lang w:eastAsia="ja-JP"/>
        </w:rPr>
        <w:t>-1</w:t>
      </w:r>
      <w:r w:rsidRPr="002D6B73">
        <w:rPr>
          <w:rFonts w:ascii="Arial" w:hAnsi="Arial" w:cs="Arial"/>
          <w:lang w:eastAsia="ja-JP"/>
        </w:rPr>
        <w:t xml:space="preserve"> at Pyinmana and 11.33 t ha</w:t>
      </w:r>
      <w:r w:rsidRPr="0063137D">
        <w:rPr>
          <w:rFonts w:ascii="Arial" w:hAnsi="Arial" w:cs="Arial"/>
          <w:vertAlign w:val="superscript"/>
          <w:lang w:eastAsia="ja-JP"/>
        </w:rPr>
        <w:t>-1</w:t>
      </w:r>
      <w:r w:rsidRPr="002D6B73">
        <w:rPr>
          <w:rFonts w:ascii="Arial" w:hAnsi="Arial" w:cs="Arial"/>
          <w:lang w:eastAsia="ja-JP"/>
        </w:rPr>
        <w:t xml:space="preserve"> at Nyaungpintha. Sugar yield increased gradually with a delay in harvesting. </w:t>
      </w:r>
      <w:r w:rsidR="00CF3410">
        <w:rPr>
          <w:rFonts w:ascii="Arial" w:hAnsi="Arial" w:cs="Arial"/>
          <w:lang w:eastAsia="ja-JP"/>
        </w:rPr>
        <w:t xml:space="preserve">Several researchers </w:t>
      </w:r>
      <w:r w:rsidRPr="002D6B73">
        <w:rPr>
          <w:rFonts w:ascii="Arial" w:hAnsi="Arial" w:cs="Arial"/>
          <w:lang w:eastAsia="ja-JP"/>
        </w:rPr>
        <w:t>reported a significant increase in sugar yield associated with older harvesting ages</w:t>
      </w:r>
      <w:r w:rsidR="00772E2C">
        <w:rPr>
          <w:rFonts w:ascii="Arial" w:hAnsi="Arial" w:cs="Arial"/>
          <w:lang w:eastAsia="ja-JP"/>
        </w:rPr>
        <w:t xml:space="preserve"> (</w:t>
      </w:r>
      <w:r w:rsidR="00CF3410" w:rsidRPr="002D6B73">
        <w:rPr>
          <w:rFonts w:ascii="Arial" w:hAnsi="Arial" w:cs="Arial"/>
          <w:lang w:eastAsia="ja-JP"/>
        </w:rPr>
        <w:t xml:space="preserve">Mehareb </w:t>
      </w:r>
      <w:r w:rsidR="001312B6">
        <w:rPr>
          <w:rFonts w:ascii="Arial" w:hAnsi="Arial" w:cs="Arial"/>
          <w:lang w:eastAsia="ja-JP"/>
        </w:rPr>
        <w:t>&amp;</w:t>
      </w:r>
      <w:r w:rsidR="00CF3410" w:rsidRPr="002D6B73">
        <w:rPr>
          <w:rFonts w:ascii="Arial" w:hAnsi="Arial" w:cs="Arial"/>
          <w:lang w:eastAsia="ja-JP"/>
        </w:rPr>
        <w:t xml:space="preserve"> Abazied</w:t>
      </w:r>
      <w:r w:rsidR="00772E2C">
        <w:rPr>
          <w:rFonts w:ascii="Arial" w:hAnsi="Arial" w:cs="Arial"/>
          <w:lang w:eastAsia="ja-JP"/>
        </w:rPr>
        <w:t xml:space="preserve">, </w:t>
      </w:r>
      <w:r w:rsidR="00CF3410" w:rsidRPr="002D6B73">
        <w:rPr>
          <w:rFonts w:ascii="Arial" w:hAnsi="Arial" w:cs="Arial"/>
          <w:lang w:eastAsia="ja-JP"/>
        </w:rPr>
        <w:t>2017</w:t>
      </w:r>
      <w:r w:rsidR="001312B6">
        <w:rPr>
          <w:rFonts w:ascii="Arial" w:hAnsi="Arial" w:cs="Arial"/>
          <w:lang w:eastAsia="ja-JP"/>
        </w:rPr>
        <w:t xml:space="preserve">, </w:t>
      </w:r>
      <w:r w:rsidR="00CF3410" w:rsidRPr="002D6B73">
        <w:rPr>
          <w:rFonts w:ascii="Arial" w:hAnsi="Arial" w:cs="Arial"/>
          <w:lang w:eastAsia="ja-JP"/>
        </w:rPr>
        <w:t xml:space="preserve">Ali, Gadallah, </w:t>
      </w:r>
      <w:r w:rsidR="001312B6">
        <w:rPr>
          <w:rFonts w:ascii="Arial" w:hAnsi="Arial" w:cs="Arial"/>
          <w:lang w:eastAsia="ja-JP"/>
        </w:rPr>
        <w:t>&amp;</w:t>
      </w:r>
      <w:r w:rsidR="00CF3410" w:rsidRPr="002D6B73">
        <w:rPr>
          <w:rFonts w:ascii="Arial" w:hAnsi="Arial" w:cs="Arial"/>
          <w:lang w:eastAsia="ja-JP"/>
        </w:rPr>
        <w:t xml:space="preserve"> Hussien</w:t>
      </w:r>
      <w:r w:rsidR="00772E2C">
        <w:rPr>
          <w:rFonts w:ascii="Arial" w:hAnsi="Arial" w:cs="Arial"/>
          <w:lang w:eastAsia="ja-JP"/>
        </w:rPr>
        <w:t xml:space="preserve">, </w:t>
      </w:r>
      <w:r w:rsidR="00CF3410" w:rsidRPr="002D6B73">
        <w:rPr>
          <w:rFonts w:ascii="Arial" w:hAnsi="Arial" w:cs="Arial"/>
          <w:lang w:eastAsia="ja-JP"/>
        </w:rPr>
        <w:t>2022)</w:t>
      </w:r>
      <w:r w:rsidR="00772E2C">
        <w:rPr>
          <w:rFonts w:ascii="Arial" w:hAnsi="Arial" w:cs="Arial"/>
          <w:lang w:eastAsia="ja-JP"/>
        </w:rPr>
        <w:t>.</w:t>
      </w:r>
    </w:p>
    <w:p w14:paraId="7BB7A409" w14:textId="4E9C4D81" w:rsidR="008F57C9" w:rsidRPr="003412EF" w:rsidRDefault="00B2607C" w:rsidP="002D6B73">
      <w:pPr>
        <w:spacing w:line="360" w:lineRule="auto"/>
        <w:ind w:right="-342"/>
        <w:jc w:val="both"/>
        <w:rPr>
          <w:rFonts w:ascii="Arial" w:hAnsi="Arial" w:cs="Arial"/>
          <w:color w:val="000000"/>
        </w:rPr>
      </w:pPr>
      <w:r>
        <w:rPr>
          <w:rFonts w:ascii="Arial" w:hAnsi="Arial" w:cs="Arial"/>
          <w:color w:val="000000"/>
        </w:rPr>
        <w:t xml:space="preserve">  </w:t>
      </w:r>
      <w:r w:rsidR="000301B7" w:rsidRPr="000301B7">
        <w:rPr>
          <w:rFonts w:ascii="Arial" w:hAnsi="Arial" w:cs="Arial"/>
          <w:noProof/>
          <w:color w:val="000000"/>
        </w:rPr>
        <w:drawing>
          <wp:inline distT="0" distB="0" distL="0" distR="0" wp14:anchorId="632BE803" wp14:editId="5DD194D5">
            <wp:extent cx="2738887" cy="2194560"/>
            <wp:effectExtent l="0" t="0" r="4445" b="0"/>
            <wp:docPr id="9" name="Chart 9">
              <a:extLst xmlns:a="http://schemas.openxmlformats.org/drawingml/2006/main">
                <a:ext uri="{FF2B5EF4-FFF2-40B4-BE49-F238E27FC236}">
                  <a16:creationId xmlns:a16="http://schemas.microsoft.com/office/drawing/2014/main" id="{3535382A-F50E-40B3-93EF-F44A661AE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301B7">
        <w:rPr>
          <w:rFonts w:ascii="Arial" w:hAnsi="Arial" w:cs="Arial"/>
          <w:color w:val="000000"/>
        </w:rPr>
        <w:t xml:space="preserve">  </w:t>
      </w:r>
      <w:r w:rsidR="000301B7" w:rsidRPr="000301B7">
        <w:rPr>
          <w:rFonts w:ascii="Arial" w:hAnsi="Arial" w:cs="Arial"/>
          <w:noProof/>
          <w:color w:val="000000"/>
        </w:rPr>
        <w:drawing>
          <wp:inline distT="0" distB="0" distL="0" distR="0" wp14:anchorId="65334AE3" wp14:editId="3E83CB79">
            <wp:extent cx="2514600" cy="2194560"/>
            <wp:effectExtent l="0" t="0" r="0" b="0"/>
            <wp:docPr id="10" name="Chart 10">
              <a:extLst xmlns:a="http://schemas.openxmlformats.org/drawingml/2006/main">
                <a:ext uri="{FF2B5EF4-FFF2-40B4-BE49-F238E27FC236}">
                  <a16:creationId xmlns:a16="http://schemas.microsoft.com/office/drawing/2014/main" id="{346FAFEC-BC1F-4592-AA01-3E8C6B9B2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FD9EC0" w14:textId="30F2DDBF" w:rsidR="00404E47" w:rsidRPr="004A6BA8" w:rsidRDefault="00404E47" w:rsidP="00404E47">
      <w:pPr>
        <w:spacing w:line="360" w:lineRule="auto"/>
        <w:jc w:val="both"/>
        <w:rPr>
          <w:rFonts w:ascii="Arial" w:hAnsi="Arial" w:cs="Arial"/>
          <w:color w:val="000000"/>
          <w:lang w:eastAsia="ja-JP"/>
        </w:rPr>
      </w:pPr>
      <w:r w:rsidRPr="004A6BA8">
        <w:rPr>
          <w:rFonts w:ascii="Arial" w:hAnsi="Arial" w:cs="Arial"/>
          <w:color w:val="000000"/>
          <w:lang w:eastAsia="ja-JP"/>
        </w:rPr>
        <w:t>V</w:t>
      </w:r>
      <w:r w:rsidRPr="004A6BA8">
        <w:rPr>
          <w:rFonts w:ascii="Arial" w:hAnsi="Arial" w:cs="Arial"/>
          <w:color w:val="000000"/>
          <w:vertAlign w:val="subscript"/>
          <w:lang w:eastAsia="ja-JP"/>
        </w:rPr>
        <w:t>1</w:t>
      </w:r>
      <w:r w:rsidRPr="004A6BA8">
        <w:rPr>
          <w:rFonts w:ascii="Arial" w:hAnsi="Arial" w:cs="Arial"/>
          <w:color w:val="000000"/>
          <w:lang w:eastAsia="ja-JP"/>
        </w:rPr>
        <w:t xml:space="preserve"> = P</w:t>
      </w:r>
      <w:r w:rsidR="00285211" w:rsidRPr="004A6BA8">
        <w:rPr>
          <w:rFonts w:ascii="Arial" w:hAnsi="Arial" w:cs="Arial"/>
          <w:color w:val="000000"/>
          <w:lang w:eastAsia="ja-JP"/>
        </w:rPr>
        <w:t>MA</w:t>
      </w:r>
      <w:r w:rsidRPr="004A6BA8">
        <w:rPr>
          <w:rFonts w:ascii="Arial" w:hAnsi="Arial" w:cs="Arial"/>
          <w:color w:val="000000"/>
          <w:lang w:eastAsia="ja-JP"/>
        </w:rPr>
        <w:t xml:space="preserve"> - 7, V</w:t>
      </w:r>
      <w:r w:rsidRPr="004A6BA8">
        <w:rPr>
          <w:rFonts w:ascii="Arial" w:hAnsi="Arial" w:cs="Arial"/>
          <w:color w:val="000000"/>
          <w:vertAlign w:val="subscript"/>
          <w:lang w:eastAsia="ja-JP"/>
        </w:rPr>
        <w:t>2</w:t>
      </w:r>
      <w:r w:rsidRPr="004A6BA8">
        <w:rPr>
          <w:rFonts w:ascii="Arial" w:hAnsi="Arial" w:cs="Arial"/>
          <w:color w:val="000000"/>
          <w:lang w:eastAsia="ja-JP"/>
        </w:rPr>
        <w:t xml:space="preserve"> = P</w:t>
      </w:r>
      <w:r w:rsidR="00285211" w:rsidRPr="004A6BA8">
        <w:rPr>
          <w:rFonts w:ascii="Arial" w:hAnsi="Arial" w:cs="Arial"/>
          <w:color w:val="000000"/>
          <w:lang w:eastAsia="ja-JP"/>
        </w:rPr>
        <w:t>MA</w:t>
      </w:r>
      <w:r w:rsidRPr="004A6BA8">
        <w:rPr>
          <w:rFonts w:ascii="Arial" w:hAnsi="Arial" w:cs="Arial"/>
          <w:color w:val="000000"/>
          <w:lang w:eastAsia="ja-JP"/>
        </w:rPr>
        <w:t xml:space="preserve"> - 8, V</w:t>
      </w:r>
      <w:r w:rsidRPr="004A6BA8">
        <w:rPr>
          <w:rFonts w:ascii="Arial" w:hAnsi="Arial" w:cs="Arial"/>
          <w:color w:val="000000"/>
          <w:vertAlign w:val="subscript"/>
          <w:lang w:eastAsia="ja-JP"/>
        </w:rPr>
        <w:t xml:space="preserve">3 </w:t>
      </w:r>
      <w:r w:rsidRPr="004A6BA8">
        <w:rPr>
          <w:rFonts w:ascii="Arial" w:hAnsi="Arial" w:cs="Arial"/>
          <w:color w:val="000000"/>
          <w:lang w:eastAsia="ja-JP"/>
        </w:rPr>
        <w:t>= P</w:t>
      </w:r>
      <w:r w:rsidR="00285211" w:rsidRPr="004A6BA8">
        <w:rPr>
          <w:rFonts w:ascii="Arial" w:hAnsi="Arial" w:cs="Arial"/>
          <w:color w:val="000000"/>
          <w:lang w:eastAsia="ja-JP"/>
        </w:rPr>
        <w:t>MA</w:t>
      </w:r>
      <w:r w:rsidRPr="004A6BA8">
        <w:rPr>
          <w:rFonts w:ascii="Arial" w:hAnsi="Arial" w:cs="Arial"/>
          <w:color w:val="000000"/>
          <w:lang w:eastAsia="ja-JP"/>
        </w:rPr>
        <w:t xml:space="preserve"> - 9 </w:t>
      </w:r>
    </w:p>
    <w:p w14:paraId="0AF5A808" w14:textId="77777777" w:rsidR="00FB3598" w:rsidRPr="00A16FCD" w:rsidRDefault="00FB3598" w:rsidP="00FB3598">
      <w:pPr>
        <w:spacing w:line="360" w:lineRule="auto"/>
        <w:jc w:val="both"/>
        <w:rPr>
          <w:rFonts w:ascii="Arial" w:hAnsi="Arial" w:cs="Arial"/>
          <w:color w:val="000000"/>
          <w:lang w:eastAsia="ja-JP"/>
        </w:rPr>
      </w:pPr>
      <w:r w:rsidRPr="006F4732">
        <w:rPr>
          <w:rFonts w:ascii="Arial" w:hAnsi="Arial" w:cs="Arial"/>
          <w:color w:val="000000"/>
          <w:spacing w:val="-4"/>
          <w:lang w:eastAsia="ja-JP"/>
        </w:rPr>
        <w:t>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xml:space="preserve"> = Brix 16% - 20% (about 11 months age), H</w:t>
      </w:r>
      <w:r w:rsidRPr="006F4732">
        <w:rPr>
          <w:rFonts w:ascii="Arial" w:hAnsi="Arial" w:cs="Arial"/>
          <w:color w:val="000000"/>
          <w:spacing w:val="-4"/>
          <w:vertAlign w:val="subscript"/>
          <w:lang w:eastAsia="ja-JP"/>
        </w:rPr>
        <w:t>2</w:t>
      </w:r>
      <w:r w:rsidRPr="006F4732">
        <w:rPr>
          <w:rFonts w:ascii="Arial" w:hAnsi="Arial" w:cs="Arial"/>
          <w:color w:val="000000"/>
          <w:spacing w:val="-4"/>
          <w:lang w:eastAsia="ja-JP"/>
        </w:rPr>
        <w:t xml:space="preserve"> = One month after H</w:t>
      </w:r>
      <w:r w:rsidRPr="006F4732">
        <w:rPr>
          <w:rFonts w:ascii="Arial" w:hAnsi="Arial" w:cs="Arial"/>
          <w:color w:val="000000"/>
          <w:spacing w:val="-4"/>
          <w:vertAlign w:val="subscript"/>
          <w:lang w:eastAsia="ja-JP"/>
        </w:rPr>
        <w:t>1</w:t>
      </w:r>
      <w:r w:rsidRPr="006F4732">
        <w:rPr>
          <w:rFonts w:ascii="Arial" w:hAnsi="Arial" w:cs="Arial"/>
          <w:color w:val="000000"/>
          <w:spacing w:val="-4"/>
          <w:lang w:eastAsia="ja-JP"/>
        </w:rPr>
        <w:t>(~ 12 months age), H</w:t>
      </w:r>
      <w:r w:rsidRPr="006F4732">
        <w:rPr>
          <w:rFonts w:ascii="Arial" w:hAnsi="Arial" w:cs="Arial"/>
          <w:color w:val="000000"/>
          <w:spacing w:val="-4"/>
          <w:vertAlign w:val="subscript"/>
          <w:lang w:eastAsia="ja-JP"/>
        </w:rPr>
        <w:t xml:space="preserve">3 </w:t>
      </w:r>
      <w:r w:rsidRPr="006F4732">
        <w:rPr>
          <w:rFonts w:ascii="Arial" w:hAnsi="Arial" w:cs="Arial"/>
          <w:color w:val="000000"/>
          <w:spacing w:val="-4"/>
          <w:lang w:eastAsia="ja-JP"/>
        </w:rPr>
        <w:t>=</w:t>
      </w:r>
      <w:r>
        <w:rPr>
          <w:rFonts w:ascii="Arial" w:hAnsi="Arial" w:cs="Arial"/>
          <w:color w:val="000000"/>
          <w:lang w:eastAsia="ja-JP"/>
        </w:rPr>
        <w:t xml:space="preserve"> </w:t>
      </w:r>
      <w:r w:rsidRPr="00A16FCD">
        <w:rPr>
          <w:rFonts w:ascii="Arial" w:hAnsi="Arial" w:cs="Arial"/>
          <w:color w:val="000000"/>
          <w:lang w:eastAsia="ja-JP"/>
        </w:rPr>
        <w:t>Two month</w:t>
      </w:r>
      <w:r>
        <w:rPr>
          <w:rFonts w:ascii="Arial" w:hAnsi="Arial" w:cs="Arial"/>
          <w:color w:val="000000"/>
          <w:lang w:eastAsia="ja-JP"/>
        </w:rPr>
        <w:t>s</w:t>
      </w:r>
      <w:r w:rsidRPr="00A16FCD">
        <w:rPr>
          <w:rFonts w:ascii="Arial" w:hAnsi="Arial" w:cs="Arial"/>
          <w:color w:val="000000"/>
          <w:lang w:eastAsia="ja-JP"/>
        </w:rPr>
        <w:t xml:space="preserve"> after H</w:t>
      </w:r>
      <w:r w:rsidRPr="00D6605B">
        <w:rPr>
          <w:rFonts w:ascii="Arial" w:hAnsi="Arial" w:cs="Arial"/>
          <w:color w:val="000000"/>
          <w:vertAlign w:val="subscript"/>
          <w:lang w:eastAsia="ja-JP"/>
        </w:rPr>
        <w:t>1</w:t>
      </w:r>
      <w:r w:rsidRPr="00A16FCD">
        <w:rPr>
          <w:rFonts w:ascii="Arial" w:hAnsi="Arial" w:cs="Arial"/>
          <w:color w:val="000000"/>
          <w:lang w:eastAsia="ja-JP"/>
        </w:rPr>
        <w:t xml:space="preserve"> (</w:t>
      </w:r>
      <w:r>
        <w:rPr>
          <w:rFonts w:ascii="Arial" w:hAnsi="Arial" w:cs="Arial"/>
          <w:color w:val="000000"/>
          <w:lang w:eastAsia="ja-JP"/>
        </w:rPr>
        <w:t>~</w:t>
      </w:r>
      <w:r w:rsidRPr="00A16FCD">
        <w:rPr>
          <w:rFonts w:ascii="Arial" w:hAnsi="Arial" w:cs="Arial"/>
          <w:color w:val="000000"/>
          <w:lang w:eastAsia="ja-JP"/>
        </w:rPr>
        <w:t xml:space="preserve"> 13 month</w:t>
      </w:r>
      <w:r>
        <w:rPr>
          <w:rFonts w:ascii="Arial" w:hAnsi="Arial" w:cs="Arial"/>
          <w:color w:val="000000"/>
          <w:lang w:eastAsia="ja-JP"/>
        </w:rPr>
        <w:t>s</w:t>
      </w:r>
      <w:r w:rsidRPr="00A16FCD">
        <w:rPr>
          <w:rFonts w:ascii="Arial" w:hAnsi="Arial" w:cs="Arial"/>
          <w:color w:val="000000"/>
          <w:lang w:eastAsia="ja-JP"/>
        </w:rPr>
        <w:t xml:space="preserve"> age)</w:t>
      </w:r>
    </w:p>
    <w:p w14:paraId="4C63FB59" w14:textId="74437D91" w:rsidR="00404E47" w:rsidRPr="00404E47" w:rsidRDefault="00404E47" w:rsidP="00A0545F">
      <w:pPr>
        <w:pStyle w:val="NormalWeb"/>
        <w:spacing w:before="0" w:beforeAutospacing="0" w:after="0" w:afterAutospacing="0" w:line="360" w:lineRule="auto"/>
        <w:ind w:left="990" w:right="43" w:hanging="990"/>
        <w:jc w:val="both"/>
        <w:rPr>
          <w:rFonts w:ascii="Arial" w:hAnsi="Arial" w:cs="Arial"/>
          <w:b/>
          <w:bCs/>
          <w:color w:val="000000"/>
          <w:spacing w:val="-4"/>
          <w:kern w:val="24"/>
          <w:sz w:val="20"/>
          <w:szCs w:val="20"/>
        </w:rPr>
      </w:pPr>
      <w:r w:rsidRPr="00404E47">
        <w:rPr>
          <w:rFonts w:ascii="Arial" w:hAnsi="Arial" w:cs="Arial"/>
          <w:b/>
          <w:bCs/>
          <w:color w:val="000000"/>
          <w:spacing w:val="-4"/>
          <w:kern w:val="24"/>
          <w:sz w:val="20"/>
          <w:szCs w:val="20"/>
        </w:rPr>
        <w:t xml:space="preserve">Figure </w:t>
      </w:r>
      <w:r w:rsidR="00460DEF">
        <w:rPr>
          <w:rFonts w:ascii="Arial" w:hAnsi="Arial" w:cs="Arial"/>
          <w:b/>
          <w:bCs/>
          <w:color w:val="000000"/>
          <w:spacing w:val="-4"/>
          <w:kern w:val="24"/>
          <w:sz w:val="20"/>
          <w:szCs w:val="20"/>
        </w:rPr>
        <w:t>1</w:t>
      </w:r>
      <w:r w:rsidRPr="00404E47">
        <w:rPr>
          <w:rFonts w:ascii="Arial" w:hAnsi="Arial" w:cs="Arial"/>
          <w:b/>
          <w:bCs/>
          <w:color w:val="000000"/>
          <w:spacing w:val="-4"/>
          <w:kern w:val="24"/>
          <w:sz w:val="20"/>
          <w:szCs w:val="20"/>
        </w:rPr>
        <w:t>. Sugar yield (ton ha</w:t>
      </w:r>
      <w:r w:rsidRPr="00404E47">
        <w:rPr>
          <w:rFonts w:ascii="Arial" w:hAnsi="Arial" w:cs="Arial"/>
          <w:b/>
          <w:bCs/>
          <w:color w:val="000000"/>
          <w:spacing w:val="-4"/>
          <w:kern w:val="24"/>
          <w:sz w:val="20"/>
          <w:szCs w:val="20"/>
          <w:vertAlign w:val="superscript"/>
        </w:rPr>
        <w:t>-1</w:t>
      </w:r>
      <w:r w:rsidRPr="00404E47">
        <w:rPr>
          <w:rFonts w:ascii="Arial" w:hAnsi="Arial" w:cs="Arial"/>
          <w:b/>
          <w:bCs/>
          <w:color w:val="000000"/>
          <w:spacing w:val="-4"/>
          <w:kern w:val="24"/>
          <w:sz w:val="20"/>
          <w:szCs w:val="20"/>
        </w:rPr>
        <w:t>) as affected by varieties and harvesting ages in Pyinmana and Nyaungpintha sites</w:t>
      </w:r>
    </w:p>
    <w:p w14:paraId="1324674B" w14:textId="0C409A9A" w:rsidR="002757E0" w:rsidRPr="006601B3" w:rsidRDefault="002757E0" w:rsidP="00AF7CB0">
      <w:pPr>
        <w:pStyle w:val="Heading1"/>
        <w:spacing w:before="120" w:after="100" w:line="360" w:lineRule="auto"/>
        <w:rPr>
          <w:sz w:val="22"/>
          <w:szCs w:val="22"/>
        </w:rPr>
      </w:pPr>
      <w:r w:rsidRPr="006601B3">
        <w:rPr>
          <w:sz w:val="22"/>
          <w:szCs w:val="22"/>
        </w:rPr>
        <w:lastRenderedPageBreak/>
        <w:t xml:space="preserve">4. </w:t>
      </w:r>
      <w:r w:rsidR="006601B3">
        <w:rPr>
          <w:sz w:val="22"/>
          <w:szCs w:val="22"/>
        </w:rPr>
        <w:t>CONCLUSION</w:t>
      </w:r>
    </w:p>
    <w:p w14:paraId="34C75449" w14:textId="4B97C175" w:rsidR="00A0545F" w:rsidRDefault="00A0545F" w:rsidP="003163AF">
      <w:pPr>
        <w:autoSpaceDE w:val="0"/>
        <w:autoSpaceDN w:val="0"/>
        <w:adjustRightInd w:val="0"/>
        <w:spacing w:after="120" w:line="360" w:lineRule="auto"/>
        <w:ind w:firstLine="720"/>
        <w:jc w:val="both"/>
        <w:rPr>
          <w:rFonts w:ascii="Arial" w:hAnsi="Arial" w:cs="Arial"/>
          <w:color w:val="000000"/>
        </w:rPr>
      </w:pPr>
      <w:r w:rsidRPr="00A0545F">
        <w:rPr>
          <w:rFonts w:ascii="Arial" w:hAnsi="Arial" w:cs="Arial"/>
          <w:color w:val="000000"/>
        </w:rPr>
        <w:t>The results of this study indicate that the tested sugarcane varieties exhibited varying yield abilities</w:t>
      </w:r>
      <w:r>
        <w:rPr>
          <w:rFonts w:ascii="Arial" w:hAnsi="Arial" w:cs="Arial"/>
          <w:color w:val="000000"/>
        </w:rPr>
        <w:t>,</w:t>
      </w:r>
      <w:r w:rsidRPr="00A0545F">
        <w:rPr>
          <w:rFonts w:ascii="Arial" w:hAnsi="Arial" w:cs="Arial"/>
          <w:color w:val="000000"/>
        </w:rPr>
        <w:t xml:space="preserve"> and harvesting at different ages influenced various quality parameters</w:t>
      </w:r>
      <w:r>
        <w:rPr>
          <w:rFonts w:ascii="Arial" w:hAnsi="Arial" w:cs="Arial"/>
          <w:color w:val="000000"/>
        </w:rPr>
        <w:t xml:space="preserve"> of sugarcane</w:t>
      </w:r>
      <w:r w:rsidRPr="00A0545F">
        <w:rPr>
          <w:rFonts w:ascii="Arial" w:hAnsi="Arial" w:cs="Arial"/>
          <w:color w:val="000000"/>
        </w:rPr>
        <w:t xml:space="preserve">. The PMA-7 variety adapted well to the Pyinmana site, leading to higher cane yields, while the PMA-9 variety performed better at the Nyaungpintha site. Furthermore, extending the harvesting age </w:t>
      </w:r>
      <w:r w:rsidR="001312B6" w:rsidRPr="007317D2">
        <w:rPr>
          <w:rFonts w:ascii="Arial" w:hAnsi="Arial" w:cs="Arial"/>
          <w:color w:val="000000"/>
        </w:rPr>
        <w:t>resulted</w:t>
      </w:r>
      <w:r w:rsidRPr="00A0545F">
        <w:rPr>
          <w:rFonts w:ascii="Arial" w:hAnsi="Arial" w:cs="Arial"/>
          <w:color w:val="000000"/>
        </w:rPr>
        <w:t xml:space="preserve"> improved yield, yield components, and quality parameters, with optimal results observed at a harvesting age of 13 months.</w:t>
      </w:r>
      <w:r>
        <w:rPr>
          <w:rFonts w:ascii="Arial" w:hAnsi="Arial" w:cs="Arial"/>
          <w:color w:val="000000"/>
        </w:rPr>
        <w:t xml:space="preserve"> </w:t>
      </w:r>
      <w:r w:rsidRPr="00A0545F">
        <w:rPr>
          <w:rFonts w:ascii="Arial" w:hAnsi="Arial" w:cs="Arial"/>
          <w:color w:val="000000"/>
        </w:rPr>
        <w:t xml:space="preserve">Based on these findings, it is recommended that the PMA-7, PMA-8, and PMA-9 sugarcane varieties </w:t>
      </w:r>
      <w:r w:rsidR="001312B6" w:rsidRPr="007317D2">
        <w:rPr>
          <w:rFonts w:ascii="Arial" w:hAnsi="Arial" w:cs="Arial"/>
          <w:color w:val="000000"/>
        </w:rPr>
        <w:t>should</w:t>
      </w:r>
      <w:r w:rsidR="001312B6">
        <w:rPr>
          <w:rFonts w:ascii="Arial" w:hAnsi="Arial" w:cs="Arial"/>
          <w:color w:val="000000"/>
        </w:rPr>
        <w:t xml:space="preserve"> </w:t>
      </w:r>
      <w:r w:rsidRPr="00A0545F">
        <w:rPr>
          <w:rFonts w:ascii="Arial" w:hAnsi="Arial" w:cs="Arial"/>
          <w:color w:val="000000"/>
        </w:rPr>
        <w:t>be harvested at 13 months of age at both sites. Extending the harvesting age from 11 months to 13 months resulted in increased single cane weight, cane yield, sugar yield, and overall quality parameters of the sugarcane.</w:t>
      </w:r>
      <w:r>
        <w:rPr>
          <w:rFonts w:ascii="Arial" w:hAnsi="Arial" w:cs="Arial"/>
          <w:color w:val="000000"/>
        </w:rPr>
        <w:t xml:space="preserve"> </w:t>
      </w:r>
      <w:r w:rsidRPr="00A0545F">
        <w:rPr>
          <w:rFonts w:ascii="Arial" w:hAnsi="Arial" w:cs="Arial"/>
          <w:color w:val="000000"/>
        </w:rPr>
        <w:t>For future research, it would be beneficial to test different sugarcane varieties and various harvesting ages across different locations.</w:t>
      </w:r>
    </w:p>
    <w:p w14:paraId="622C689D" w14:textId="77777777" w:rsidR="003163AF" w:rsidRPr="003163AF" w:rsidRDefault="003163AF" w:rsidP="003163AF">
      <w:pPr>
        <w:autoSpaceDE w:val="0"/>
        <w:autoSpaceDN w:val="0"/>
        <w:adjustRightInd w:val="0"/>
        <w:spacing w:after="120" w:line="360" w:lineRule="auto"/>
        <w:rPr>
          <w:rFonts w:ascii="Arial" w:hAnsi="Arial" w:cs="Arial"/>
          <w:color w:val="000000"/>
          <w:sz w:val="21"/>
          <w:szCs w:val="21"/>
        </w:rPr>
      </w:pPr>
      <w:r w:rsidRPr="003163AF">
        <w:rPr>
          <w:rFonts w:ascii="Arial" w:hAnsi="Arial" w:cs="Arial"/>
          <w:b/>
          <w:bCs/>
          <w:color w:val="000000"/>
          <w:sz w:val="21"/>
          <w:szCs w:val="21"/>
        </w:rPr>
        <w:t xml:space="preserve">DISCLAIMER (ARTIFICIAL INTELLIGENCE) </w:t>
      </w:r>
    </w:p>
    <w:p w14:paraId="5CB63995" w14:textId="77777777" w:rsidR="003163AF" w:rsidRPr="003163AF" w:rsidRDefault="003163AF" w:rsidP="003163AF">
      <w:pPr>
        <w:autoSpaceDE w:val="0"/>
        <w:autoSpaceDN w:val="0"/>
        <w:adjustRightInd w:val="0"/>
        <w:spacing w:after="120" w:line="360" w:lineRule="auto"/>
        <w:ind w:firstLine="720"/>
        <w:jc w:val="both"/>
        <w:rPr>
          <w:rFonts w:ascii="Arial" w:hAnsi="Arial" w:cs="Arial"/>
          <w:color w:val="000000"/>
        </w:rPr>
      </w:pPr>
      <w:r w:rsidRPr="003163AF">
        <w:rPr>
          <w:rFonts w:ascii="Arial" w:hAnsi="Arial" w:cs="Arial"/>
          <w:color w:val="000000"/>
        </w:rPr>
        <w:t xml:space="preserve">Author(s) hereby declare that NO generative AI technologies such as Large Language Models (ChatGPT, COPILOT, etc.) and text-to-image generators have been used during the writing or editing of this manuscript. </w:t>
      </w:r>
    </w:p>
    <w:p w14:paraId="55CBEE35" w14:textId="77777777" w:rsidR="003163AF" w:rsidRPr="003163AF" w:rsidRDefault="003163AF" w:rsidP="003163AF">
      <w:pPr>
        <w:autoSpaceDE w:val="0"/>
        <w:autoSpaceDN w:val="0"/>
        <w:adjustRightInd w:val="0"/>
        <w:spacing w:line="360" w:lineRule="auto"/>
        <w:rPr>
          <w:rFonts w:ascii="Arial" w:hAnsi="Arial" w:cs="Arial"/>
          <w:color w:val="000000"/>
          <w:sz w:val="22"/>
          <w:szCs w:val="22"/>
        </w:rPr>
      </w:pPr>
      <w:r w:rsidRPr="003163AF">
        <w:rPr>
          <w:rFonts w:ascii="Arial" w:hAnsi="Arial" w:cs="Arial"/>
          <w:b/>
          <w:bCs/>
          <w:color w:val="000000"/>
          <w:sz w:val="22"/>
          <w:szCs w:val="22"/>
        </w:rPr>
        <w:t xml:space="preserve">COMPETING INTERESTS </w:t>
      </w:r>
    </w:p>
    <w:p w14:paraId="1F1CA47D" w14:textId="0B7E425F" w:rsidR="003163AF" w:rsidRDefault="003163AF" w:rsidP="003163AF">
      <w:pPr>
        <w:spacing w:line="360" w:lineRule="auto"/>
        <w:ind w:firstLine="720"/>
        <w:rPr>
          <w:rFonts w:ascii="Calibri" w:eastAsia="Calibri" w:hAnsi="Calibri"/>
          <w:kern w:val="2"/>
          <w:highlight w:val="yellow"/>
        </w:rPr>
      </w:pPr>
      <w:r w:rsidRPr="003163AF">
        <w:rPr>
          <w:rFonts w:ascii="Arial" w:hAnsi="Arial" w:cs="Arial"/>
          <w:color w:val="000000"/>
        </w:rPr>
        <w:t>Authors have declared that no competing interests exist.</w:t>
      </w:r>
    </w:p>
    <w:p w14:paraId="6E11A983" w14:textId="6EE38B81" w:rsidR="00B01FCD" w:rsidRPr="00FD0540" w:rsidRDefault="00FD0540" w:rsidP="005C0C85">
      <w:pPr>
        <w:pStyle w:val="Heading1"/>
        <w:spacing w:before="120" w:after="100" w:line="360" w:lineRule="auto"/>
        <w:rPr>
          <w:sz w:val="22"/>
          <w:szCs w:val="22"/>
        </w:rPr>
      </w:pPr>
      <w:r>
        <w:rPr>
          <w:sz w:val="22"/>
          <w:szCs w:val="22"/>
        </w:rPr>
        <w:t xml:space="preserve">REFERENCES </w:t>
      </w:r>
    </w:p>
    <w:p w14:paraId="34E72327" w14:textId="77777777" w:rsidR="00424272" w:rsidRPr="00092C92" w:rsidRDefault="00424272" w:rsidP="00424272">
      <w:pPr>
        <w:spacing w:line="360" w:lineRule="auto"/>
        <w:jc w:val="both"/>
        <w:rPr>
          <w:rFonts w:ascii="Arial" w:hAnsi="Arial" w:cs="Arial"/>
        </w:rPr>
      </w:pPr>
    </w:p>
    <w:p w14:paraId="223C6F4E" w14:textId="77777777" w:rsidR="00424272" w:rsidRPr="002A12A2" w:rsidRDefault="00424272" w:rsidP="00424272">
      <w:pPr>
        <w:spacing w:line="360" w:lineRule="auto"/>
        <w:ind w:left="720" w:hanging="720"/>
        <w:jc w:val="both"/>
        <w:rPr>
          <w:rFonts w:ascii="Arial" w:hAnsi="Arial" w:cs="Arial"/>
        </w:rPr>
      </w:pPr>
      <w:bookmarkStart w:id="5" w:name="_Hlk202729917"/>
      <w:r w:rsidRPr="002A12A2">
        <w:rPr>
          <w:rFonts w:ascii="Arial" w:hAnsi="Arial" w:cs="Arial"/>
        </w:rPr>
        <w:t xml:space="preserve">Abd El-Azez, Y. M., Nagib, S. R., &amp; Elwan, A. M. (2018). </w:t>
      </w:r>
      <w:bookmarkEnd w:id="5"/>
      <w:r w:rsidRPr="002A12A2">
        <w:rPr>
          <w:rFonts w:ascii="Arial" w:hAnsi="Arial" w:cs="Arial"/>
        </w:rPr>
        <w:t xml:space="preserve">Yield and yield components of some sugar cane varieties (Saccharum officinarum L.) as affected by different nitrogen fertilization levels. </w:t>
      </w:r>
      <w:r w:rsidRPr="002A12A2">
        <w:rPr>
          <w:rFonts w:ascii="Arial" w:hAnsi="Arial" w:cs="Arial"/>
          <w:i/>
          <w:iCs/>
        </w:rPr>
        <w:t>Journal of Plant Production</w:t>
      </w:r>
      <w:r w:rsidRPr="002A12A2">
        <w:rPr>
          <w:rFonts w:ascii="Arial" w:hAnsi="Arial" w:cs="Arial"/>
        </w:rPr>
        <w:t xml:space="preserve">, </w:t>
      </w:r>
      <w:r w:rsidRPr="002A12A2">
        <w:rPr>
          <w:rFonts w:ascii="Arial" w:hAnsi="Arial" w:cs="Arial"/>
          <w:i/>
          <w:iCs/>
        </w:rPr>
        <w:t>9</w:t>
      </w:r>
      <w:r w:rsidRPr="002A12A2">
        <w:rPr>
          <w:rFonts w:ascii="Arial" w:hAnsi="Arial" w:cs="Arial"/>
        </w:rPr>
        <w:t>(6), 553-557.</w:t>
      </w:r>
    </w:p>
    <w:p w14:paraId="0386B88A"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 xml:space="preserve">Abo El-Hamd, A. S., Ibrahim, M. M., Ahamed, A. Z., &amp; Kamel, A. E. (2019). Evaluation of some promising sugar cane varieties under different planting dates and seeding rates in upper Egypt. </w:t>
      </w:r>
      <w:r w:rsidRPr="002A12A2">
        <w:rPr>
          <w:rFonts w:ascii="Arial" w:hAnsi="Arial" w:cs="Arial"/>
          <w:bCs/>
          <w:i/>
          <w:iCs/>
        </w:rPr>
        <w:t>Journal of Biological Chemistry and Environmental Science,</w:t>
      </w:r>
      <w:r w:rsidRPr="002A12A2">
        <w:rPr>
          <w:rFonts w:ascii="Arial" w:hAnsi="Arial" w:cs="Arial"/>
          <w:bCs/>
        </w:rPr>
        <w:t xml:space="preserve"> </w:t>
      </w:r>
      <w:r w:rsidRPr="002A12A2">
        <w:rPr>
          <w:rFonts w:ascii="Arial" w:hAnsi="Arial" w:cs="Arial"/>
          <w:bCs/>
          <w:i/>
          <w:iCs/>
        </w:rPr>
        <w:t>14</w:t>
      </w:r>
      <w:r w:rsidRPr="002A12A2">
        <w:rPr>
          <w:rFonts w:ascii="Arial" w:hAnsi="Arial" w:cs="Arial"/>
          <w:bCs/>
        </w:rPr>
        <w:t>(4), 137-154.</w:t>
      </w:r>
    </w:p>
    <w:p w14:paraId="62623842" w14:textId="77777777" w:rsidR="00424272" w:rsidRPr="002A12A2" w:rsidRDefault="00424272" w:rsidP="00424272">
      <w:pPr>
        <w:spacing w:line="360" w:lineRule="auto"/>
        <w:ind w:left="720" w:hanging="720"/>
        <w:jc w:val="both"/>
        <w:rPr>
          <w:rFonts w:ascii="Arial" w:hAnsi="Arial" w:cs="Arial"/>
        </w:rPr>
      </w:pPr>
      <w:bookmarkStart w:id="6" w:name="_Hlk202730463"/>
      <w:r w:rsidRPr="002A12A2">
        <w:rPr>
          <w:rFonts w:ascii="Arial" w:hAnsi="Arial" w:cs="Arial"/>
        </w:rPr>
        <w:t xml:space="preserve">Abu-Ellail, F. F., Gadallah, A. F. I., &amp; El-Gamal, I. S. H. (2020). </w:t>
      </w:r>
      <w:bookmarkEnd w:id="6"/>
      <w:r w:rsidRPr="002A12A2">
        <w:rPr>
          <w:rFonts w:ascii="Arial" w:hAnsi="Arial" w:cs="Arial"/>
        </w:rPr>
        <w:t xml:space="preserve">Genetic variance and performance of five sugarcane varieties for physiological, yield and quality traits influenced by various harvest age. </w:t>
      </w:r>
      <w:r w:rsidRPr="002A12A2">
        <w:rPr>
          <w:rFonts w:ascii="Arial" w:hAnsi="Arial" w:cs="Arial"/>
          <w:i/>
          <w:iCs/>
        </w:rPr>
        <w:t>Journal of Plant Production</w:t>
      </w:r>
      <w:r w:rsidRPr="002A12A2">
        <w:rPr>
          <w:rFonts w:ascii="Arial" w:hAnsi="Arial" w:cs="Arial"/>
        </w:rPr>
        <w:t xml:space="preserve">, </w:t>
      </w:r>
      <w:r w:rsidRPr="002A12A2">
        <w:rPr>
          <w:rFonts w:ascii="Arial" w:hAnsi="Arial" w:cs="Arial"/>
          <w:i/>
          <w:iCs/>
        </w:rPr>
        <w:t>11</w:t>
      </w:r>
      <w:r w:rsidRPr="002A12A2">
        <w:rPr>
          <w:rFonts w:ascii="Arial" w:hAnsi="Arial" w:cs="Arial"/>
        </w:rPr>
        <w:t>(5), 429-438.</w:t>
      </w:r>
    </w:p>
    <w:p w14:paraId="6D1529AB" w14:textId="77777777" w:rsidR="00424272" w:rsidRPr="002A12A2" w:rsidRDefault="00424272" w:rsidP="00424272">
      <w:pPr>
        <w:spacing w:line="360" w:lineRule="auto"/>
        <w:ind w:left="720" w:hanging="720"/>
        <w:jc w:val="both"/>
        <w:rPr>
          <w:rFonts w:ascii="Arial" w:hAnsi="Arial" w:cs="Arial"/>
        </w:rPr>
      </w:pPr>
      <w:r w:rsidRPr="002A12A2">
        <w:rPr>
          <w:rFonts w:ascii="Arial" w:hAnsi="Arial" w:cs="Arial"/>
        </w:rPr>
        <w:t xml:space="preserve">Ahmed, A. Z., El-Bakry, A., &amp; Abazied, S. R. (2016). Assessment of the optimum age for harvesting some promising sugar cane varieties. </w:t>
      </w:r>
      <w:r w:rsidRPr="002A12A2">
        <w:rPr>
          <w:rFonts w:ascii="Arial" w:hAnsi="Arial" w:cs="Arial"/>
          <w:i/>
          <w:iCs/>
        </w:rPr>
        <w:t>Minia Journal of Agricultural Research and Development</w:t>
      </w:r>
      <w:r w:rsidRPr="002A12A2">
        <w:rPr>
          <w:rFonts w:ascii="Arial" w:hAnsi="Arial" w:cs="Arial"/>
        </w:rPr>
        <w:t xml:space="preserve">, </w:t>
      </w:r>
      <w:r w:rsidRPr="002A12A2">
        <w:rPr>
          <w:rFonts w:ascii="Arial" w:hAnsi="Arial" w:cs="Arial"/>
          <w:i/>
          <w:iCs/>
        </w:rPr>
        <w:t>36</w:t>
      </w:r>
      <w:r w:rsidRPr="002A12A2">
        <w:rPr>
          <w:rFonts w:ascii="Arial" w:hAnsi="Arial" w:cs="Arial"/>
        </w:rPr>
        <w:t>(4), 635-651.</w:t>
      </w:r>
    </w:p>
    <w:p w14:paraId="5FEC8253" w14:textId="77777777" w:rsidR="00424272" w:rsidRPr="002A12A2" w:rsidRDefault="00424272" w:rsidP="00424272">
      <w:pPr>
        <w:spacing w:line="360" w:lineRule="auto"/>
        <w:ind w:left="720" w:hanging="720"/>
        <w:jc w:val="both"/>
        <w:rPr>
          <w:rFonts w:ascii="Arial" w:hAnsi="Arial" w:cs="Arial"/>
        </w:rPr>
      </w:pPr>
      <w:r w:rsidRPr="002A12A2">
        <w:rPr>
          <w:rFonts w:ascii="Arial" w:hAnsi="Arial" w:cs="Arial"/>
        </w:rPr>
        <w:lastRenderedPageBreak/>
        <w:t xml:space="preserve">Ali, A. M., Gadallah, A. F., &amp; Hussien, O. A. K. (2022). Effect of harvest age and seed rate on yield and quality of some sugarcane varieties. </w:t>
      </w:r>
      <w:r w:rsidRPr="002A12A2">
        <w:rPr>
          <w:rFonts w:ascii="Arial" w:hAnsi="Arial" w:cs="Arial"/>
          <w:i/>
          <w:iCs/>
        </w:rPr>
        <w:t>Egyptian Journal of Agricultural Research</w:t>
      </w:r>
      <w:r w:rsidRPr="002A12A2">
        <w:rPr>
          <w:rFonts w:ascii="Arial" w:hAnsi="Arial" w:cs="Arial"/>
        </w:rPr>
        <w:t xml:space="preserve">, </w:t>
      </w:r>
      <w:r w:rsidRPr="002A12A2">
        <w:rPr>
          <w:rFonts w:ascii="Arial" w:hAnsi="Arial" w:cs="Arial"/>
          <w:i/>
          <w:iCs/>
        </w:rPr>
        <w:t>100</w:t>
      </w:r>
      <w:r w:rsidRPr="002A12A2">
        <w:rPr>
          <w:rFonts w:ascii="Arial" w:hAnsi="Arial" w:cs="Arial"/>
        </w:rPr>
        <w:t>(4), 540-554.</w:t>
      </w:r>
    </w:p>
    <w:p w14:paraId="0F509813"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 xml:space="preserve">El-Geddawy, I. H., El-Geddawy, D. I., Makhlouf, B. S. I., &amp; Bekheet, M. A. (2015). Performance of some sugar cane promising varieties under different seed setts rates and potassium fertilization. </w:t>
      </w:r>
      <w:r w:rsidRPr="002A12A2">
        <w:rPr>
          <w:rFonts w:ascii="Arial" w:hAnsi="Arial" w:cs="Arial"/>
          <w:bCs/>
          <w:i/>
          <w:iCs/>
        </w:rPr>
        <w:t>International Journal of Current Microbiology and Applied Sciences, 4</w:t>
      </w:r>
      <w:r w:rsidRPr="002A12A2">
        <w:rPr>
          <w:rFonts w:ascii="Arial" w:hAnsi="Arial" w:cs="Arial"/>
          <w:bCs/>
        </w:rPr>
        <w:t>(11), 92-110.</w:t>
      </w:r>
    </w:p>
    <w:p w14:paraId="21E6D64A"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 xml:space="preserve">Gadallah, A. F. I., &amp; Abd El-Aziz, R. M. (2019). Effect of row spacing and nitrogen fertilization on yield and quality of some sugarcane varieties. </w:t>
      </w:r>
      <w:r w:rsidRPr="002A12A2">
        <w:rPr>
          <w:rFonts w:ascii="Arial" w:hAnsi="Arial" w:cs="Arial"/>
          <w:bCs/>
          <w:i/>
          <w:iCs/>
        </w:rPr>
        <w:t>Journal of Biological Chemistry and Environmental Science, 14</w:t>
      </w:r>
      <w:r w:rsidRPr="002A12A2">
        <w:rPr>
          <w:rFonts w:ascii="Arial" w:hAnsi="Arial" w:cs="Arial"/>
          <w:bCs/>
        </w:rPr>
        <w:t>(1), 215-233.</w:t>
      </w:r>
    </w:p>
    <w:p w14:paraId="2FB79001" w14:textId="77777777" w:rsidR="00424272" w:rsidRPr="002A12A2" w:rsidRDefault="00424272" w:rsidP="00424272">
      <w:pPr>
        <w:spacing w:line="360" w:lineRule="auto"/>
        <w:ind w:left="720" w:hanging="720"/>
        <w:jc w:val="both"/>
        <w:rPr>
          <w:rFonts w:ascii="Arial" w:hAnsi="Arial" w:cs="Arial"/>
        </w:rPr>
      </w:pPr>
      <w:r w:rsidRPr="002A12A2">
        <w:rPr>
          <w:rFonts w:ascii="Arial" w:hAnsi="Arial" w:cs="Arial"/>
        </w:rPr>
        <w:t xml:space="preserve">Gemechis Dugasa and Ebisa Olika Keyata, 2021. Effect of Harvesting Ages on Yield and Yield Components of Sugar Cane Varieties Cultivated at Finchaa Sugar Factory, </w:t>
      </w:r>
      <w:r w:rsidRPr="002A12A2">
        <w:rPr>
          <w:rFonts w:ascii="Arial" w:hAnsi="Arial" w:cs="Arial"/>
          <w:i/>
          <w:iCs/>
        </w:rPr>
        <w:t>Oromia, Ethiopia</w:t>
      </w:r>
      <w:r w:rsidRPr="002A12A2">
        <w:rPr>
          <w:rFonts w:ascii="Arial" w:hAnsi="Arial" w:cs="Arial"/>
        </w:rPr>
        <w:t>.1-5.</w:t>
      </w:r>
    </w:p>
    <w:p w14:paraId="301C35E7" w14:textId="77777777" w:rsidR="00424272" w:rsidRPr="002A12A2" w:rsidRDefault="00424272" w:rsidP="00424272">
      <w:pPr>
        <w:spacing w:line="360" w:lineRule="auto"/>
        <w:ind w:left="720" w:hanging="720"/>
        <w:jc w:val="both"/>
        <w:rPr>
          <w:rFonts w:ascii="Arial" w:hAnsi="Arial" w:cs="Arial"/>
        </w:rPr>
      </w:pPr>
      <w:r w:rsidRPr="002A12A2">
        <w:rPr>
          <w:rFonts w:ascii="Arial" w:hAnsi="Arial" w:cs="Arial"/>
        </w:rPr>
        <w:t xml:space="preserve">Hagos, H., Mengistu, L., &amp; Mequanint, Y. (2014). Determining optimum harvest age of sugarcane varieties on the newly establishing sugar project in the tropical areas of Tendaho, Ethiopia. </w:t>
      </w:r>
      <w:r w:rsidRPr="002A12A2">
        <w:rPr>
          <w:rFonts w:ascii="Arial" w:hAnsi="Arial" w:cs="Arial"/>
          <w:i/>
          <w:iCs/>
        </w:rPr>
        <w:t>Advances in Crop Science and Technology</w:t>
      </w:r>
      <w:r w:rsidRPr="002A12A2">
        <w:rPr>
          <w:rFonts w:ascii="Arial" w:hAnsi="Arial" w:cs="Arial"/>
        </w:rPr>
        <w:t xml:space="preserve">, </w:t>
      </w:r>
      <w:r w:rsidRPr="002A12A2">
        <w:rPr>
          <w:rFonts w:ascii="Arial" w:hAnsi="Arial" w:cs="Arial"/>
          <w:i/>
          <w:iCs/>
        </w:rPr>
        <w:t>2</w:t>
      </w:r>
      <w:r w:rsidRPr="002A12A2">
        <w:rPr>
          <w:rFonts w:ascii="Arial" w:hAnsi="Arial" w:cs="Arial"/>
        </w:rPr>
        <w:t>(5), 156-159.</w:t>
      </w:r>
    </w:p>
    <w:p w14:paraId="454CB9F5" w14:textId="77777777" w:rsidR="00424272" w:rsidRPr="00D11ECC" w:rsidRDefault="00424272" w:rsidP="00424272">
      <w:pPr>
        <w:spacing w:line="360" w:lineRule="auto"/>
        <w:ind w:left="720" w:hanging="720"/>
        <w:jc w:val="both"/>
        <w:rPr>
          <w:rFonts w:ascii="Arial" w:hAnsi="Arial" w:cs="Arial"/>
          <w:bCs/>
        </w:rPr>
      </w:pPr>
      <w:r w:rsidRPr="00D11ECC">
        <w:rPr>
          <w:rFonts w:ascii="Arial" w:hAnsi="Arial" w:cs="Arial"/>
          <w:bCs/>
        </w:rPr>
        <w:t xml:space="preserve">Hoang, N. V. (2017). Analysis of genes controlling biomass traits in the genome of sugarcane (Saccharum spp. hybrids). Doctoral Dissertation. Queensland Alliance for Agriculture &amp; Food Innovation (QAAFI), The University of Queensland, Australia. </w:t>
      </w:r>
    </w:p>
    <w:p w14:paraId="2B86BA15"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 xml:space="preserve">Kamel, A. E. (2015). </w:t>
      </w:r>
      <w:r w:rsidRPr="002A12A2">
        <w:rPr>
          <w:rFonts w:ascii="Arial" w:hAnsi="Arial" w:cs="Arial"/>
          <w:bCs/>
          <w:i/>
          <w:iCs/>
        </w:rPr>
        <w:t>Performance of some new sugar cane varieties under different seeding rates and potassium fertilization</w:t>
      </w:r>
      <w:r w:rsidRPr="002A12A2">
        <w:rPr>
          <w:rFonts w:ascii="Arial" w:hAnsi="Arial" w:cs="Arial"/>
          <w:bCs/>
        </w:rPr>
        <w:t xml:space="preserve"> (Doctoral dissertation, M. Sc. Thesis), Faculty of Agriculture, Al-Azhar University Farm, Assiut, Egypt.</w:t>
      </w:r>
    </w:p>
    <w:p w14:paraId="6A9D7571" w14:textId="77777777" w:rsidR="00424272" w:rsidRPr="00D11ECC" w:rsidRDefault="00424272" w:rsidP="00424272">
      <w:pPr>
        <w:pStyle w:val="Default"/>
        <w:spacing w:line="360" w:lineRule="auto"/>
        <w:ind w:left="720" w:hanging="720"/>
        <w:jc w:val="both"/>
        <w:rPr>
          <w:rFonts w:ascii="Arial" w:hAnsi="Arial" w:cs="Arial"/>
          <w:bCs/>
        </w:rPr>
      </w:pPr>
      <w:r w:rsidRPr="00D11ECC">
        <w:rPr>
          <w:rFonts w:ascii="Arial" w:hAnsi="Arial" w:cs="Arial"/>
          <w:bCs/>
          <w:sz w:val="20"/>
          <w:szCs w:val="20"/>
        </w:rPr>
        <w:t>Khin Moh Moh Aung (2024).</w:t>
      </w:r>
      <w:r w:rsidRPr="00D11ECC">
        <w:rPr>
          <w:rFonts w:ascii="Arial" w:hAnsi="Arial" w:cs="Arial"/>
          <w:bCs/>
          <w:i/>
          <w:iCs/>
          <w:sz w:val="20"/>
          <w:szCs w:val="20"/>
        </w:rPr>
        <w:t xml:space="preserve"> Study of Sugarcane Cultivation and Sugar Production in Taikkyi Township </w:t>
      </w:r>
      <w:r w:rsidRPr="00D11ECC">
        <w:rPr>
          <w:rFonts w:ascii="Arial" w:hAnsi="Arial" w:cs="Arial"/>
          <w:bCs/>
          <w:sz w:val="20"/>
          <w:szCs w:val="20"/>
        </w:rPr>
        <w:t>(Doctoral dissertation, MERAL Portal), Department of Applied Economics, Yangon University of Economics, Myanmar.</w:t>
      </w:r>
      <w:r w:rsidRPr="00D11ECC">
        <w:rPr>
          <w:rFonts w:ascii="Arial" w:hAnsi="Arial" w:cs="Arial"/>
          <w:bCs/>
        </w:rPr>
        <w:t xml:space="preserve"> </w:t>
      </w:r>
    </w:p>
    <w:p w14:paraId="35AF6AA2" w14:textId="77777777" w:rsidR="00424272" w:rsidRPr="002A12A2" w:rsidRDefault="00424272" w:rsidP="00424272">
      <w:pPr>
        <w:spacing w:line="360" w:lineRule="auto"/>
        <w:ind w:left="720" w:hanging="720"/>
        <w:jc w:val="both"/>
        <w:rPr>
          <w:rFonts w:ascii="Arial" w:hAnsi="Arial" w:cs="Arial"/>
        </w:rPr>
      </w:pPr>
      <w:r w:rsidRPr="002A12A2">
        <w:rPr>
          <w:rFonts w:ascii="Arial" w:hAnsi="Arial" w:cs="Arial"/>
        </w:rPr>
        <w:t xml:space="preserve">Legesse, D., Legesse, H., &amp; Geleta, N. (2016). Effects of blended fertilizer rate and time of application on growth and yield of sugarcane ratoon crop at arjo-sugar factory, western Ethiopia. </w:t>
      </w:r>
      <w:r w:rsidRPr="002A12A2">
        <w:rPr>
          <w:rFonts w:ascii="Arial" w:hAnsi="Arial" w:cs="Arial"/>
          <w:i/>
          <w:iCs/>
        </w:rPr>
        <w:t>Science, Technology and Arts Research Journal</w:t>
      </w:r>
      <w:r w:rsidRPr="002A12A2">
        <w:rPr>
          <w:rFonts w:ascii="Arial" w:hAnsi="Arial" w:cs="Arial"/>
        </w:rPr>
        <w:t xml:space="preserve">, </w:t>
      </w:r>
      <w:r w:rsidRPr="002A12A2">
        <w:rPr>
          <w:rFonts w:ascii="Arial" w:hAnsi="Arial" w:cs="Arial"/>
          <w:i/>
          <w:iCs/>
        </w:rPr>
        <w:t>5</w:t>
      </w:r>
      <w:r w:rsidRPr="002A12A2">
        <w:rPr>
          <w:rFonts w:ascii="Arial" w:hAnsi="Arial" w:cs="Arial"/>
        </w:rPr>
        <w:t>(1), 1-8.</w:t>
      </w:r>
    </w:p>
    <w:p w14:paraId="259AA8FD"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Mathur, R. B. L. (1997). In: Handbook of Cane Technology, Sugar Manufacture and Refining Handbooks, Manuals, (</w:t>
      </w:r>
      <w:r w:rsidRPr="002A12A2">
        <w:rPr>
          <w:rStyle w:val="resultssummary"/>
          <w:rFonts w:ascii="Arial" w:hAnsi="Arial" w:cs="Arial"/>
          <w:bCs/>
        </w:rPr>
        <w:t>2</w:t>
      </w:r>
      <w:r w:rsidRPr="002A12A2">
        <w:rPr>
          <w:rStyle w:val="resultssummary"/>
          <w:rFonts w:ascii="Arial" w:hAnsi="Arial" w:cs="Arial"/>
          <w:bCs/>
          <w:vertAlign w:val="superscript"/>
        </w:rPr>
        <w:t>nd</w:t>
      </w:r>
      <w:r w:rsidRPr="002A12A2">
        <w:rPr>
          <w:rStyle w:val="resultssummary"/>
          <w:rFonts w:ascii="Arial" w:hAnsi="Arial" w:cs="Arial"/>
          <w:bCs/>
        </w:rPr>
        <w:t xml:space="preserve"> edition), </w:t>
      </w:r>
      <w:r w:rsidRPr="002A12A2">
        <w:rPr>
          <w:rFonts w:ascii="Arial" w:hAnsi="Arial" w:cs="Arial"/>
          <w:bCs/>
        </w:rPr>
        <w:t>New Delhi Publishing, India, 680.</w:t>
      </w:r>
      <w:r w:rsidRPr="002A12A2">
        <w:rPr>
          <w:rStyle w:val="resultssummary"/>
          <w:rFonts w:ascii="Arial" w:hAnsi="Arial" w:cs="Arial"/>
          <w:bCs/>
        </w:rPr>
        <w:t xml:space="preserve"> </w:t>
      </w:r>
    </w:p>
    <w:p w14:paraId="3951A71C"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Meade, G. P., &amp; Chen, J. C. (1977). Cane Sugar Handbook. A Wiley International Science Publication, New York, 947.</w:t>
      </w:r>
    </w:p>
    <w:p w14:paraId="0C84B5AA"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 xml:space="preserve">Mehareb, E. M., &amp; Abazied, S. R. (2017). Genetic variability of some promising sugarcane varieties (Saccharum spp) under harvesting ages for juice quality traits, cane and sugar yield. </w:t>
      </w:r>
      <w:r w:rsidRPr="002A12A2">
        <w:rPr>
          <w:rFonts w:ascii="Arial" w:hAnsi="Arial" w:cs="Arial"/>
          <w:bCs/>
          <w:i/>
          <w:iCs/>
        </w:rPr>
        <w:t>Open Access Journal of Agricultural Research</w:t>
      </w:r>
      <w:r w:rsidRPr="002A12A2">
        <w:rPr>
          <w:rFonts w:ascii="Arial" w:hAnsi="Arial" w:cs="Arial"/>
          <w:bCs/>
        </w:rPr>
        <w:t xml:space="preserve">, </w:t>
      </w:r>
      <w:r w:rsidRPr="002A12A2">
        <w:rPr>
          <w:rFonts w:ascii="Arial" w:hAnsi="Arial" w:cs="Arial"/>
          <w:bCs/>
          <w:i/>
          <w:iCs/>
        </w:rPr>
        <w:t>2</w:t>
      </w:r>
      <w:r w:rsidRPr="002A12A2">
        <w:rPr>
          <w:rFonts w:ascii="Arial" w:hAnsi="Arial" w:cs="Arial"/>
          <w:bCs/>
        </w:rPr>
        <w:t>(2), 1-14.</w:t>
      </w:r>
    </w:p>
    <w:p w14:paraId="5A3A0217"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lastRenderedPageBreak/>
        <w:t xml:space="preserve">Mehareb, E. M., Abou-Elwafa, S. F., &amp; Galal, M. O. (2016). Mean performance and Ratooning ability of sugarcane promising genotypes at early clonal selection. </w:t>
      </w:r>
      <w:r w:rsidRPr="002A12A2">
        <w:rPr>
          <w:rFonts w:ascii="Arial" w:hAnsi="Arial" w:cs="Arial"/>
          <w:bCs/>
          <w:i/>
          <w:iCs/>
        </w:rPr>
        <w:t>Am Eurasian Journal of Soil Science</w:t>
      </w:r>
      <w:r w:rsidRPr="002A12A2">
        <w:rPr>
          <w:rFonts w:ascii="Arial" w:hAnsi="Arial" w:cs="Arial"/>
          <w:bCs/>
        </w:rPr>
        <w:t>,</w:t>
      </w:r>
      <w:r w:rsidRPr="002A12A2">
        <w:rPr>
          <w:rFonts w:ascii="Arial" w:hAnsi="Arial" w:cs="Arial"/>
          <w:bCs/>
          <w:i/>
          <w:iCs/>
        </w:rPr>
        <w:t>16</w:t>
      </w:r>
      <w:r w:rsidRPr="002A12A2">
        <w:rPr>
          <w:rFonts w:ascii="Arial" w:hAnsi="Arial" w:cs="Arial"/>
          <w:bCs/>
        </w:rPr>
        <w:t>(1), 12850.</w:t>
      </w:r>
    </w:p>
    <w:p w14:paraId="7E6F0332" w14:textId="77777777" w:rsidR="00424272" w:rsidRPr="00092C92" w:rsidRDefault="00424272" w:rsidP="00424272">
      <w:pPr>
        <w:spacing w:line="360" w:lineRule="auto"/>
        <w:ind w:left="720" w:hanging="720"/>
        <w:jc w:val="both"/>
        <w:rPr>
          <w:rFonts w:ascii="Arial" w:hAnsi="Arial" w:cs="Arial"/>
        </w:rPr>
      </w:pPr>
      <w:r w:rsidRPr="00092C92">
        <w:rPr>
          <w:rFonts w:ascii="Arial" w:hAnsi="Arial" w:cs="Arial"/>
          <w:bCs/>
        </w:rPr>
        <w:t>Mequanent, Y., &amp; Ayele, N. (2014).</w:t>
      </w:r>
      <w:r w:rsidRPr="00092C92">
        <w:rPr>
          <w:rFonts w:ascii="Arial" w:hAnsi="Arial" w:cs="Arial"/>
        </w:rPr>
        <w:t xml:space="preserve"> Effect of harvesting age on the yield of exotic sugarcane Varieties at Metahara Sugar Estate. </w:t>
      </w:r>
      <w:r w:rsidRPr="00092C92">
        <w:rPr>
          <w:rFonts w:ascii="Arial" w:hAnsi="Arial" w:cs="Arial"/>
          <w:i/>
          <w:iCs/>
        </w:rPr>
        <w:t>Journal of Agriculture, Food and Natural Resources, 1</w:t>
      </w:r>
      <w:r w:rsidRPr="00092C92">
        <w:rPr>
          <w:rFonts w:ascii="Arial" w:hAnsi="Arial" w:cs="Arial"/>
        </w:rPr>
        <w:t>(4), 227-231.</w:t>
      </w:r>
    </w:p>
    <w:p w14:paraId="03DA8303" w14:textId="77777777" w:rsidR="00424272" w:rsidRPr="00D11ECC" w:rsidRDefault="00424272" w:rsidP="00424272">
      <w:pPr>
        <w:spacing w:line="360" w:lineRule="auto"/>
        <w:ind w:left="720" w:hanging="720"/>
        <w:jc w:val="both"/>
        <w:rPr>
          <w:rFonts w:ascii="Arial" w:eastAsia="Calibri" w:hAnsi="Arial" w:cs="Arial"/>
          <w:bCs/>
        </w:rPr>
      </w:pPr>
      <w:r w:rsidRPr="00D11ECC">
        <w:rPr>
          <w:rFonts w:ascii="Arial" w:eastAsia="Calibri" w:hAnsi="Arial" w:cs="Arial"/>
          <w:bCs/>
        </w:rPr>
        <w:t xml:space="preserve">Ministry of Agriculture, Livestock and Irrigation (MOALI). (2023). </w:t>
      </w:r>
      <w:r w:rsidRPr="00D11ECC">
        <w:rPr>
          <w:rFonts w:ascii="Arial" w:eastAsia="Calibri" w:hAnsi="Arial" w:cs="Arial"/>
          <w:bCs/>
          <w:i/>
        </w:rPr>
        <w:t>Myanmar Agriculture Sector in Brief</w:t>
      </w:r>
      <w:r w:rsidRPr="00D11ECC">
        <w:rPr>
          <w:rFonts w:ascii="Arial" w:eastAsia="Calibri" w:hAnsi="Arial" w:cs="Arial"/>
          <w:bCs/>
        </w:rPr>
        <w:t xml:space="preserve">, Naypyitaw, Myanmar. </w:t>
      </w:r>
    </w:p>
    <w:p w14:paraId="70E0C8A7"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 xml:space="preserve">Rhein, A. F., Pincelli, R. P., Arantes, M. T., Dellabiglia, W. J., Kölln, O. T., &amp; Silva, M. D. A. (2016). Technological quality and yield of sugarcane grown under nitrogen doses via subsurface drip fertigation. </w:t>
      </w:r>
      <w:r w:rsidRPr="002A12A2">
        <w:rPr>
          <w:rFonts w:ascii="Arial" w:hAnsi="Arial" w:cs="Arial"/>
          <w:bCs/>
          <w:i/>
          <w:iCs/>
        </w:rPr>
        <w:t>Revista Brasileira de Engenharia Agrícola e Ambiental</w:t>
      </w:r>
      <w:r w:rsidRPr="002A12A2">
        <w:rPr>
          <w:rFonts w:ascii="Arial" w:hAnsi="Arial" w:cs="Arial"/>
          <w:bCs/>
        </w:rPr>
        <w:t xml:space="preserve">, </w:t>
      </w:r>
      <w:r w:rsidRPr="002A12A2">
        <w:rPr>
          <w:rFonts w:ascii="Arial" w:hAnsi="Arial" w:cs="Arial"/>
          <w:bCs/>
          <w:i/>
          <w:iCs/>
        </w:rPr>
        <w:t>20</w:t>
      </w:r>
      <w:r w:rsidRPr="002A12A2">
        <w:rPr>
          <w:rFonts w:ascii="Arial" w:hAnsi="Arial" w:cs="Arial"/>
          <w:bCs/>
        </w:rPr>
        <w:t>, 209-214.</w:t>
      </w:r>
    </w:p>
    <w:p w14:paraId="7A7EA234"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 xml:space="preserve">Rodolfo Junior, F., Ribeiro Junior, W. Q., Ramos, M. L. G., Rocha, O. C., Batista, L. M. T., &amp; Silva, F. D. (2016). Productivity and quality of third ratoon sugarcane varieties under variable hydrological regime. </w:t>
      </w:r>
      <w:r w:rsidRPr="002A12A2">
        <w:rPr>
          <w:rFonts w:ascii="Arial" w:hAnsi="Arial" w:cs="Arial"/>
          <w:bCs/>
          <w:i/>
          <w:iCs/>
        </w:rPr>
        <w:t>Nativa Sinop</w:t>
      </w:r>
      <w:r w:rsidRPr="002A12A2">
        <w:rPr>
          <w:rFonts w:ascii="Arial" w:hAnsi="Arial" w:cs="Arial"/>
          <w:bCs/>
        </w:rPr>
        <w:t>, 4(1), 36-43.</w:t>
      </w:r>
    </w:p>
    <w:p w14:paraId="6721A8B0" w14:textId="77777777" w:rsidR="00424272" w:rsidRPr="002A12A2" w:rsidRDefault="00424272" w:rsidP="00424272">
      <w:pPr>
        <w:spacing w:line="360" w:lineRule="auto"/>
        <w:ind w:left="720" w:hanging="720"/>
        <w:jc w:val="both"/>
        <w:rPr>
          <w:rFonts w:ascii="Arial" w:hAnsi="Arial" w:cs="Arial"/>
        </w:rPr>
      </w:pPr>
      <w:r w:rsidRPr="002A12A2">
        <w:rPr>
          <w:rFonts w:ascii="Arial" w:hAnsi="Arial" w:cs="Arial"/>
        </w:rPr>
        <w:t xml:space="preserve">Shikanda, E., Jamoza, J., &amp; Kiplagat, O. (2017). Genotypic evaluation of sugarcane (Saccharum spp. Hybrids) clones for sucrose content in western Kenya. </w:t>
      </w:r>
      <w:r w:rsidRPr="002A12A2">
        <w:rPr>
          <w:rFonts w:ascii="Arial" w:hAnsi="Arial" w:cs="Arial"/>
          <w:i/>
          <w:iCs/>
        </w:rPr>
        <w:t>Journal of Plant Breeding and Crop Science</w:t>
      </w:r>
      <w:r w:rsidRPr="002A12A2">
        <w:rPr>
          <w:rFonts w:ascii="Arial" w:hAnsi="Arial" w:cs="Arial"/>
        </w:rPr>
        <w:t xml:space="preserve">, </w:t>
      </w:r>
      <w:r w:rsidRPr="002A12A2">
        <w:rPr>
          <w:rFonts w:ascii="Arial" w:hAnsi="Arial" w:cs="Arial"/>
          <w:i/>
          <w:iCs/>
        </w:rPr>
        <w:t>9</w:t>
      </w:r>
      <w:r w:rsidRPr="002A12A2">
        <w:rPr>
          <w:rFonts w:ascii="Arial" w:hAnsi="Arial" w:cs="Arial"/>
        </w:rPr>
        <w:t>(3), 30-36.</w:t>
      </w:r>
    </w:p>
    <w:p w14:paraId="11515543"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 xml:space="preserve">Terauchi, T., Irei, S., Terajima, Y., Sakaigaichi, T., Matsuoka, M., &amp; Sugimoto, A. (2012). Sugarcane breeding of early maturing clone with high sucrose content for earlier harvest in Japan. </w:t>
      </w:r>
      <w:r w:rsidRPr="002A12A2">
        <w:rPr>
          <w:rFonts w:ascii="Arial" w:hAnsi="Arial" w:cs="Arial"/>
          <w:bCs/>
          <w:i/>
          <w:iCs/>
        </w:rPr>
        <w:t>Japan Agricultural Research Quarterly (JARQ)</w:t>
      </w:r>
      <w:r w:rsidRPr="002A12A2">
        <w:rPr>
          <w:rFonts w:ascii="Arial" w:hAnsi="Arial" w:cs="Arial"/>
          <w:bCs/>
        </w:rPr>
        <w:t xml:space="preserve">, </w:t>
      </w:r>
      <w:r w:rsidRPr="002A12A2">
        <w:rPr>
          <w:rFonts w:ascii="Arial" w:hAnsi="Arial" w:cs="Arial"/>
          <w:bCs/>
          <w:i/>
          <w:iCs/>
        </w:rPr>
        <w:t>46</w:t>
      </w:r>
      <w:r w:rsidRPr="002A12A2">
        <w:rPr>
          <w:rFonts w:ascii="Arial" w:hAnsi="Arial" w:cs="Arial"/>
          <w:bCs/>
        </w:rPr>
        <w:t>(3), 227-235.</w:t>
      </w:r>
    </w:p>
    <w:p w14:paraId="78409F56" w14:textId="77777777" w:rsidR="00424272" w:rsidRPr="00D11ECC" w:rsidRDefault="00424272" w:rsidP="00424272">
      <w:pPr>
        <w:spacing w:line="360" w:lineRule="auto"/>
        <w:ind w:left="720" w:hanging="720"/>
        <w:jc w:val="both"/>
        <w:rPr>
          <w:rFonts w:ascii="Arial" w:hAnsi="Arial" w:cs="Arial"/>
          <w:bCs/>
        </w:rPr>
      </w:pPr>
      <w:r w:rsidRPr="00D11ECC">
        <w:rPr>
          <w:rFonts w:ascii="Arial" w:hAnsi="Arial" w:cs="Arial"/>
          <w:bCs/>
        </w:rPr>
        <w:t xml:space="preserve">Vajantha, B., Hemanth, M. K., Tagore, K. R., Sarala, N. V., &amp; Hemalatha, T. M. (2019). Effect of delayed harvesting and crushing on yield and juice quality of promising sugarcane clones. </w:t>
      </w:r>
      <w:r w:rsidRPr="00D11ECC">
        <w:rPr>
          <w:rFonts w:ascii="Arial" w:hAnsi="Arial" w:cs="Arial"/>
          <w:bCs/>
          <w:i/>
          <w:iCs/>
        </w:rPr>
        <w:t>International Journal of Current Microbiology and Applied Sciences,</w:t>
      </w:r>
      <w:r w:rsidRPr="00D11ECC">
        <w:rPr>
          <w:rFonts w:ascii="Arial" w:hAnsi="Arial" w:cs="Arial"/>
          <w:bCs/>
        </w:rPr>
        <w:t xml:space="preserve"> </w:t>
      </w:r>
      <w:r w:rsidRPr="00D11ECC">
        <w:rPr>
          <w:rFonts w:ascii="Arial" w:hAnsi="Arial" w:cs="Arial"/>
          <w:bCs/>
          <w:i/>
          <w:iCs/>
        </w:rPr>
        <w:t>l8 (11)</w:t>
      </w:r>
      <w:r w:rsidRPr="00D11ECC">
        <w:rPr>
          <w:rFonts w:ascii="Arial" w:hAnsi="Arial" w:cs="Arial"/>
          <w:bCs/>
        </w:rPr>
        <w:t>, 1745-1754.</w:t>
      </w:r>
    </w:p>
    <w:p w14:paraId="622DA8B1" w14:textId="77777777" w:rsidR="00424272" w:rsidRPr="002A12A2" w:rsidRDefault="00424272" w:rsidP="00424272">
      <w:pPr>
        <w:spacing w:line="360" w:lineRule="auto"/>
        <w:ind w:left="720" w:hanging="720"/>
        <w:jc w:val="both"/>
        <w:rPr>
          <w:rFonts w:ascii="Arial" w:eastAsia="Calibri" w:hAnsi="Arial" w:cs="Arial"/>
          <w:bCs/>
        </w:rPr>
      </w:pPr>
      <w:r w:rsidRPr="002A12A2">
        <w:rPr>
          <w:rFonts w:ascii="Arial" w:eastAsia="Calibri" w:hAnsi="Arial" w:cs="Arial"/>
          <w:bCs/>
        </w:rPr>
        <w:t xml:space="preserve">Yadav, R. L., &amp; Sharma, R. K., (1980). Effect of nitrogen level and harvesting date on quality characteristics and yield of four sugar cane genotypes. </w:t>
      </w:r>
      <w:r w:rsidRPr="002A12A2">
        <w:rPr>
          <w:rFonts w:ascii="Arial" w:eastAsia="Calibri" w:hAnsi="Arial" w:cs="Arial"/>
          <w:bCs/>
          <w:i/>
        </w:rPr>
        <w:t>Indian Journal Agricultural Science</w:t>
      </w:r>
      <w:r w:rsidRPr="002A12A2">
        <w:rPr>
          <w:rFonts w:ascii="Arial" w:eastAsia="Calibri" w:hAnsi="Arial" w:cs="Arial"/>
          <w:bCs/>
        </w:rPr>
        <w:t xml:space="preserve">, </w:t>
      </w:r>
      <w:r w:rsidRPr="002A12A2">
        <w:rPr>
          <w:rFonts w:ascii="Arial" w:eastAsia="Calibri" w:hAnsi="Arial" w:cs="Arial"/>
          <w:bCs/>
          <w:i/>
          <w:iCs/>
        </w:rPr>
        <w:t>50</w:t>
      </w:r>
      <w:r w:rsidRPr="002A12A2">
        <w:rPr>
          <w:rFonts w:ascii="Arial" w:eastAsia="Calibri" w:hAnsi="Arial" w:cs="Arial"/>
          <w:bCs/>
        </w:rPr>
        <w:t>, 581-589.</w:t>
      </w:r>
    </w:p>
    <w:p w14:paraId="0CAD7149" w14:textId="77777777" w:rsidR="00424272" w:rsidRPr="002A12A2" w:rsidRDefault="00424272" w:rsidP="00424272">
      <w:pPr>
        <w:spacing w:line="360" w:lineRule="auto"/>
        <w:ind w:left="720" w:hanging="720"/>
        <w:jc w:val="both"/>
        <w:rPr>
          <w:rFonts w:ascii="Arial" w:hAnsi="Arial" w:cs="Arial"/>
          <w:bCs/>
        </w:rPr>
      </w:pPr>
      <w:r w:rsidRPr="002A12A2">
        <w:rPr>
          <w:rFonts w:ascii="Arial" w:hAnsi="Arial" w:cs="Arial"/>
          <w:bCs/>
        </w:rPr>
        <w:t xml:space="preserve">Yousif, E. M. M., Ibrahim, M. M., Kh, A. E. A., &amp; Ahamed, A. Z. (2015). Management of nitrogen fertilization for sugar cane on a sandy Soil: yield and its components. </w:t>
      </w:r>
      <w:r w:rsidRPr="002A12A2">
        <w:rPr>
          <w:rFonts w:ascii="Arial" w:hAnsi="Arial" w:cs="Arial"/>
          <w:bCs/>
          <w:i/>
          <w:iCs/>
        </w:rPr>
        <w:t>Egyptian Journal of Applied Science, 30</w:t>
      </w:r>
      <w:r w:rsidRPr="002A12A2">
        <w:rPr>
          <w:rFonts w:ascii="Arial" w:hAnsi="Arial" w:cs="Arial"/>
          <w:bCs/>
        </w:rPr>
        <w:t>(11), 498-511.</w:t>
      </w:r>
    </w:p>
    <w:p w14:paraId="6F6CF18C" w14:textId="77777777" w:rsidR="008E29E8" w:rsidRPr="002556C5" w:rsidRDefault="008E29E8" w:rsidP="008E29E8">
      <w:pPr>
        <w:rPr>
          <w:rFonts w:ascii="Arial" w:hAnsi="Arial" w:cs="Arial"/>
        </w:rPr>
      </w:pPr>
    </w:p>
    <w:p w14:paraId="2F834C5A" w14:textId="77777777" w:rsidR="00441B6F" w:rsidRDefault="00441B6F" w:rsidP="00441B6F">
      <w:pPr>
        <w:pStyle w:val="Body"/>
        <w:spacing w:after="0"/>
        <w:jc w:val="left"/>
        <w:rPr>
          <w:rFonts w:ascii="Arial" w:hAnsi="Arial" w:cs="Arial"/>
        </w:rPr>
      </w:pPr>
    </w:p>
    <w:p w14:paraId="5B14DA68" w14:textId="77777777" w:rsidR="00B01FCD" w:rsidRPr="00FB3A86" w:rsidRDefault="00B01FCD" w:rsidP="00441B6F">
      <w:pPr>
        <w:pStyle w:val="Reference"/>
        <w:numPr>
          <w:ilvl w:val="0"/>
          <w:numId w:val="0"/>
        </w:numPr>
        <w:spacing w:line="240" w:lineRule="auto"/>
        <w:rPr>
          <w:rFonts w:ascii="Arial" w:hAnsi="Arial" w:cs="Arial"/>
        </w:rPr>
      </w:pPr>
    </w:p>
    <w:p w14:paraId="01548ABC" w14:textId="77777777" w:rsidR="00790ADA" w:rsidRPr="00FB3A86" w:rsidRDefault="00790ADA" w:rsidP="00441B6F">
      <w:pPr>
        <w:pStyle w:val="Body"/>
        <w:spacing w:after="0"/>
        <w:rPr>
          <w:rFonts w:ascii="Arial" w:hAnsi="Arial" w:cs="Arial"/>
        </w:rPr>
      </w:pPr>
    </w:p>
    <w:sectPr w:rsidR="00790ADA" w:rsidRPr="00FB3A86" w:rsidSect="000550D3">
      <w:type w:val="continuous"/>
      <w:pgSz w:w="12240" w:h="15840" w:code="1"/>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E4B99" w14:textId="77777777" w:rsidR="007D54CF" w:rsidRDefault="007D54CF" w:rsidP="00C37E61">
      <w:r>
        <w:separator/>
      </w:r>
    </w:p>
  </w:endnote>
  <w:endnote w:type="continuationSeparator" w:id="0">
    <w:p w14:paraId="2BCED0A5" w14:textId="77777777" w:rsidR="007D54CF" w:rsidRDefault="007D54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5138" w14:textId="77777777" w:rsidR="006D2320" w:rsidRDefault="006D2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DA78" w14:textId="77777777" w:rsidR="006D2320" w:rsidRDefault="006D2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6778" w14:textId="28320AC4" w:rsidR="006D2320" w:rsidRPr="00AD0C7A" w:rsidRDefault="006D2320" w:rsidP="00AD0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0D781" w14:textId="77777777" w:rsidR="007D54CF" w:rsidRDefault="007D54CF" w:rsidP="00C37E61">
      <w:r>
        <w:separator/>
      </w:r>
    </w:p>
  </w:footnote>
  <w:footnote w:type="continuationSeparator" w:id="0">
    <w:p w14:paraId="201DA61B" w14:textId="77777777" w:rsidR="007D54CF" w:rsidRDefault="007D54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E01" w14:textId="412FE479" w:rsidR="006D2320" w:rsidRDefault="007D54CF">
    <w:pPr>
      <w:pStyle w:val="Header"/>
    </w:pPr>
    <w:r>
      <w:rPr>
        <w:noProof/>
      </w:rPr>
      <w:pict w14:anchorId="4964F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76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A23E" w14:textId="6ECCEBEA" w:rsidR="006D2320" w:rsidRDefault="007D54CF">
    <w:pPr>
      <w:pStyle w:val="Header"/>
    </w:pPr>
    <w:r>
      <w:rPr>
        <w:noProof/>
      </w:rPr>
      <w:pict w14:anchorId="31C1B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76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F73F" w14:textId="1116700E" w:rsidR="006D2320" w:rsidRPr="00296529" w:rsidRDefault="007D54CF" w:rsidP="00296529">
    <w:pPr>
      <w:ind w:left="2160"/>
      <w:jc w:val="center"/>
      <w:rPr>
        <w:rFonts w:ascii="Times New Roman" w:eastAsia="Calibri" w:hAnsi="Times New Roman"/>
        <w:i/>
        <w:sz w:val="18"/>
        <w:szCs w:val="22"/>
      </w:rPr>
    </w:pPr>
    <w:r>
      <w:rPr>
        <w:noProof/>
      </w:rPr>
      <w:pict w14:anchorId="209BB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76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AA2A97" w14:textId="77777777" w:rsidR="006D2320" w:rsidRPr="00296529" w:rsidRDefault="006D232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30C2AF" w14:textId="77777777" w:rsidR="006D2320" w:rsidRPr="00296529" w:rsidRDefault="006D232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A9BFFE" w14:textId="77777777" w:rsidR="006D2320" w:rsidRPr="00296529" w:rsidRDefault="006D232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373609" w14:textId="77777777" w:rsidR="006D2320" w:rsidRDefault="006D232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0CB0A" w14:textId="77777777" w:rsidR="006D2320" w:rsidRDefault="006D232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D1A1B51" w14:textId="77777777" w:rsidR="006D2320" w:rsidRDefault="006D232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B11A6B"/>
    <w:multiLevelType w:val="hybridMultilevel"/>
    <w:tmpl w:val="289E87EC"/>
    <w:lvl w:ilvl="0" w:tplc="1FA45E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223E5C"/>
    <w:multiLevelType w:val="hybridMultilevel"/>
    <w:tmpl w:val="0498A2BE"/>
    <w:lvl w:ilvl="0" w:tplc="E1C6F334">
      <w:start w:val="1"/>
      <w:numFmt w:val="bullet"/>
      <w:lvlText w:val=""/>
      <w:lvlJc w:val="left"/>
      <w:pPr>
        <w:tabs>
          <w:tab w:val="num" w:pos="720"/>
        </w:tabs>
        <w:ind w:left="720" w:hanging="360"/>
      </w:pPr>
      <w:rPr>
        <w:rFonts w:ascii="Wingdings" w:hAnsi="Wingdings" w:hint="default"/>
      </w:rPr>
    </w:lvl>
    <w:lvl w:ilvl="1" w:tplc="A34E7860" w:tentative="1">
      <w:start w:val="1"/>
      <w:numFmt w:val="bullet"/>
      <w:lvlText w:val=""/>
      <w:lvlJc w:val="left"/>
      <w:pPr>
        <w:tabs>
          <w:tab w:val="num" w:pos="1440"/>
        </w:tabs>
        <w:ind w:left="1440" w:hanging="360"/>
      </w:pPr>
      <w:rPr>
        <w:rFonts w:ascii="Wingdings" w:hAnsi="Wingdings" w:hint="default"/>
      </w:rPr>
    </w:lvl>
    <w:lvl w:ilvl="2" w:tplc="87FC3062" w:tentative="1">
      <w:start w:val="1"/>
      <w:numFmt w:val="bullet"/>
      <w:lvlText w:val=""/>
      <w:lvlJc w:val="left"/>
      <w:pPr>
        <w:tabs>
          <w:tab w:val="num" w:pos="2160"/>
        </w:tabs>
        <w:ind w:left="2160" w:hanging="360"/>
      </w:pPr>
      <w:rPr>
        <w:rFonts w:ascii="Wingdings" w:hAnsi="Wingdings" w:hint="default"/>
      </w:rPr>
    </w:lvl>
    <w:lvl w:ilvl="3" w:tplc="701A238E" w:tentative="1">
      <w:start w:val="1"/>
      <w:numFmt w:val="bullet"/>
      <w:lvlText w:val=""/>
      <w:lvlJc w:val="left"/>
      <w:pPr>
        <w:tabs>
          <w:tab w:val="num" w:pos="2880"/>
        </w:tabs>
        <w:ind w:left="2880" w:hanging="360"/>
      </w:pPr>
      <w:rPr>
        <w:rFonts w:ascii="Wingdings" w:hAnsi="Wingdings" w:hint="default"/>
      </w:rPr>
    </w:lvl>
    <w:lvl w:ilvl="4" w:tplc="511039CE" w:tentative="1">
      <w:start w:val="1"/>
      <w:numFmt w:val="bullet"/>
      <w:lvlText w:val=""/>
      <w:lvlJc w:val="left"/>
      <w:pPr>
        <w:tabs>
          <w:tab w:val="num" w:pos="3600"/>
        </w:tabs>
        <w:ind w:left="3600" w:hanging="360"/>
      </w:pPr>
      <w:rPr>
        <w:rFonts w:ascii="Wingdings" w:hAnsi="Wingdings" w:hint="default"/>
      </w:rPr>
    </w:lvl>
    <w:lvl w:ilvl="5" w:tplc="E2B60B5A" w:tentative="1">
      <w:start w:val="1"/>
      <w:numFmt w:val="bullet"/>
      <w:lvlText w:val=""/>
      <w:lvlJc w:val="left"/>
      <w:pPr>
        <w:tabs>
          <w:tab w:val="num" w:pos="4320"/>
        </w:tabs>
        <w:ind w:left="4320" w:hanging="360"/>
      </w:pPr>
      <w:rPr>
        <w:rFonts w:ascii="Wingdings" w:hAnsi="Wingdings" w:hint="default"/>
      </w:rPr>
    </w:lvl>
    <w:lvl w:ilvl="6" w:tplc="C2CED2A6" w:tentative="1">
      <w:start w:val="1"/>
      <w:numFmt w:val="bullet"/>
      <w:lvlText w:val=""/>
      <w:lvlJc w:val="left"/>
      <w:pPr>
        <w:tabs>
          <w:tab w:val="num" w:pos="5040"/>
        </w:tabs>
        <w:ind w:left="5040" w:hanging="360"/>
      </w:pPr>
      <w:rPr>
        <w:rFonts w:ascii="Wingdings" w:hAnsi="Wingdings" w:hint="default"/>
      </w:rPr>
    </w:lvl>
    <w:lvl w:ilvl="7" w:tplc="DAFA410C" w:tentative="1">
      <w:start w:val="1"/>
      <w:numFmt w:val="bullet"/>
      <w:lvlText w:val=""/>
      <w:lvlJc w:val="left"/>
      <w:pPr>
        <w:tabs>
          <w:tab w:val="num" w:pos="5760"/>
        </w:tabs>
        <w:ind w:left="5760" w:hanging="360"/>
      </w:pPr>
      <w:rPr>
        <w:rFonts w:ascii="Wingdings" w:hAnsi="Wingdings" w:hint="default"/>
      </w:rPr>
    </w:lvl>
    <w:lvl w:ilvl="8" w:tplc="ED50D1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81A4FB6"/>
    <w:multiLevelType w:val="hybridMultilevel"/>
    <w:tmpl w:val="72244756"/>
    <w:lvl w:ilvl="0" w:tplc="1F8EFE3E">
      <w:start w:val="1"/>
      <w:numFmt w:val="bullet"/>
      <w:lvlText w:val="-"/>
      <w:lvlJc w:val="left"/>
      <w:pPr>
        <w:tabs>
          <w:tab w:val="num" w:pos="720"/>
        </w:tabs>
        <w:ind w:left="720" w:hanging="360"/>
      </w:pPr>
      <w:rPr>
        <w:rFonts w:ascii="Times New Roman" w:hAnsi="Times New Roman" w:hint="default"/>
      </w:rPr>
    </w:lvl>
    <w:lvl w:ilvl="1" w:tplc="4F886A6A" w:tentative="1">
      <w:start w:val="1"/>
      <w:numFmt w:val="bullet"/>
      <w:lvlText w:val="-"/>
      <w:lvlJc w:val="left"/>
      <w:pPr>
        <w:tabs>
          <w:tab w:val="num" w:pos="1440"/>
        </w:tabs>
        <w:ind w:left="1440" w:hanging="360"/>
      </w:pPr>
      <w:rPr>
        <w:rFonts w:ascii="Times New Roman" w:hAnsi="Times New Roman" w:hint="default"/>
      </w:rPr>
    </w:lvl>
    <w:lvl w:ilvl="2" w:tplc="F508BF74" w:tentative="1">
      <w:start w:val="1"/>
      <w:numFmt w:val="bullet"/>
      <w:lvlText w:val="-"/>
      <w:lvlJc w:val="left"/>
      <w:pPr>
        <w:tabs>
          <w:tab w:val="num" w:pos="2160"/>
        </w:tabs>
        <w:ind w:left="2160" w:hanging="360"/>
      </w:pPr>
      <w:rPr>
        <w:rFonts w:ascii="Times New Roman" w:hAnsi="Times New Roman" w:hint="default"/>
      </w:rPr>
    </w:lvl>
    <w:lvl w:ilvl="3" w:tplc="532642AE" w:tentative="1">
      <w:start w:val="1"/>
      <w:numFmt w:val="bullet"/>
      <w:lvlText w:val="-"/>
      <w:lvlJc w:val="left"/>
      <w:pPr>
        <w:tabs>
          <w:tab w:val="num" w:pos="2880"/>
        </w:tabs>
        <w:ind w:left="2880" w:hanging="360"/>
      </w:pPr>
      <w:rPr>
        <w:rFonts w:ascii="Times New Roman" w:hAnsi="Times New Roman" w:hint="default"/>
      </w:rPr>
    </w:lvl>
    <w:lvl w:ilvl="4" w:tplc="5A3C49B8">
      <w:start w:val="1"/>
      <w:numFmt w:val="bullet"/>
      <w:lvlText w:val="-"/>
      <w:lvlJc w:val="left"/>
      <w:pPr>
        <w:tabs>
          <w:tab w:val="num" w:pos="3600"/>
        </w:tabs>
        <w:ind w:left="3600" w:hanging="360"/>
      </w:pPr>
      <w:rPr>
        <w:rFonts w:ascii="Times New Roman" w:hAnsi="Times New Roman" w:hint="default"/>
      </w:rPr>
    </w:lvl>
    <w:lvl w:ilvl="5" w:tplc="8B166660" w:tentative="1">
      <w:start w:val="1"/>
      <w:numFmt w:val="bullet"/>
      <w:lvlText w:val="-"/>
      <w:lvlJc w:val="left"/>
      <w:pPr>
        <w:tabs>
          <w:tab w:val="num" w:pos="4320"/>
        </w:tabs>
        <w:ind w:left="4320" w:hanging="360"/>
      </w:pPr>
      <w:rPr>
        <w:rFonts w:ascii="Times New Roman" w:hAnsi="Times New Roman" w:hint="default"/>
      </w:rPr>
    </w:lvl>
    <w:lvl w:ilvl="6" w:tplc="EF7AA23E" w:tentative="1">
      <w:start w:val="1"/>
      <w:numFmt w:val="bullet"/>
      <w:lvlText w:val="-"/>
      <w:lvlJc w:val="left"/>
      <w:pPr>
        <w:tabs>
          <w:tab w:val="num" w:pos="5040"/>
        </w:tabs>
        <w:ind w:left="5040" w:hanging="360"/>
      </w:pPr>
      <w:rPr>
        <w:rFonts w:ascii="Times New Roman" w:hAnsi="Times New Roman" w:hint="default"/>
      </w:rPr>
    </w:lvl>
    <w:lvl w:ilvl="7" w:tplc="D228D528" w:tentative="1">
      <w:start w:val="1"/>
      <w:numFmt w:val="bullet"/>
      <w:lvlText w:val="-"/>
      <w:lvlJc w:val="left"/>
      <w:pPr>
        <w:tabs>
          <w:tab w:val="num" w:pos="5760"/>
        </w:tabs>
        <w:ind w:left="5760" w:hanging="360"/>
      </w:pPr>
      <w:rPr>
        <w:rFonts w:ascii="Times New Roman" w:hAnsi="Times New Roman" w:hint="default"/>
      </w:rPr>
    </w:lvl>
    <w:lvl w:ilvl="8" w:tplc="03F41F9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77044"/>
    <w:multiLevelType w:val="hybridMultilevel"/>
    <w:tmpl w:val="7316A19A"/>
    <w:lvl w:ilvl="0" w:tplc="B4686BB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0130B7D"/>
    <w:multiLevelType w:val="hybridMultilevel"/>
    <w:tmpl w:val="DBF27EBC"/>
    <w:lvl w:ilvl="0" w:tplc="9918B2E0">
      <w:start w:val="1"/>
      <w:numFmt w:val="bullet"/>
      <w:lvlText w:val=""/>
      <w:lvlJc w:val="left"/>
      <w:pPr>
        <w:tabs>
          <w:tab w:val="num" w:pos="720"/>
        </w:tabs>
        <w:ind w:left="720" w:hanging="360"/>
      </w:pPr>
      <w:rPr>
        <w:rFonts w:ascii="Wingdings" w:hAnsi="Wingdings" w:hint="default"/>
      </w:rPr>
    </w:lvl>
    <w:lvl w:ilvl="1" w:tplc="C602F646" w:tentative="1">
      <w:start w:val="1"/>
      <w:numFmt w:val="bullet"/>
      <w:lvlText w:val=""/>
      <w:lvlJc w:val="left"/>
      <w:pPr>
        <w:tabs>
          <w:tab w:val="num" w:pos="1440"/>
        </w:tabs>
        <w:ind w:left="1440" w:hanging="360"/>
      </w:pPr>
      <w:rPr>
        <w:rFonts w:ascii="Wingdings" w:hAnsi="Wingdings" w:hint="default"/>
      </w:rPr>
    </w:lvl>
    <w:lvl w:ilvl="2" w:tplc="9ECEBAE6" w:tentative="1">
      <w:start w:val="1"/>
      <w:numFmt w:val="bullet"/>
      <w:lvlText w:val=""/>
      <w:lvlJc w:val="left"/>
      <w:pPr>
        <w:tabs>
          <w:tab w:val="num" w:pos="2160"/>
        </w:tabs>
        <w:ind w:left="2160" w:hanging="360"/>
      </w:pPr>
      <w:rPr>
        <w:rFonts w:ascii="Wingdings" w:hAnsi="Wingdings" w:hint="default"/>
      </w:rPr>
    </w:lvl>
    <w:lvl w:ilvl="3" w:tplc="9F9E1812" w:tentative="1">
      <w:start w:val="1"/>
      <w:numFmt w:val="bullet"/>
      <w:lvlText w:val=""/>
      <w:lvlJc w:val="left"/>
      <w:pPr>
        <w:tabs>
          <w:tab w:val="num" w:pos="2880"/>
        </w:tabs>
        <w:ind w:left="2880" w:hanging="360"/>
      </w:pPr>
      <w:rPr>
        <w:rFonts w:ascii="Wingdings" w:hAnsi="Wingdings" w:hint="default"/>
      </w:rPr>
    </w:lvl>
    <w:lvl w:ilvl="4" w:tplc="EFD8DD7E" w:tentative="1">
      <w:start w:val="1"/>
      <w:numFmt w:val="bullet"/>
      <w:lvlText w:val=""/>
      <w:lvlJc w:val="left"/>
      <w:pPr>
        <w:tabs>
          <w:tab w:val="num" w:pos="3600"/>
        </w:tabs>
        <w:ind w:left="3600" w:hanging="360"/>
      </w:pPr>
      <w:rPr>
        <w:rFonts w:ascii="Wingdings" w:hAnsi="Wingdings" w:hint="default"/>
      </w:rPr>
    </w:lvl>
    <w:lvl w:ilvl="5" w:tplc="A956CFA4" w:tentative="1">
      <w:start w:val="1"/>
      <w:numFmt w:val="bullet"/>
      <w:lvlText w:val=""/>
      <w:lvlJc w:val="left"/>
      <w:pPr>
        <w:tabs>
          <w:tab w:val="num" w:pos="4320"/>
        </w:tabs>
        <w:ind w:left="4320" w:hanging="360"/>
      </w:pPr>
      <w:rPr>
        <w:rFonts w:ascii="Wingdings" w:hAnsi="Wingdings" w:hint="default"/>
      </w:rPr>
    </w:lvl>
    <w:lvl w:ilvl="6" w:tplc="43DA62D6" w:tentative="1">
      <w:start w:val="1"/>
      <w:numFmt w:val="bullet"/>
      <w:lvlText w:val=""/>
      <w:lvlJc w:val="left"/>
      <w:pPr>
        <w:tabs>
          <w:tab w:val="num" w:pos="5040"/>
        </w:tabs>
        <w:ind w:left="5040" w:hanging="360"/>
      </w:pPr>
      <w:rPr>
        <w:rFonts w:ascii="Wingdings" w:hAnsi="Wingdings" w:hint="default"/>
      </w:rPr>
    </w:lvl>
    <w:lvl w:ilvl="7" w:tplc="18968270" w:tentative="1">
      <w:start w:val="1"/>
      <w:numFmt w:val="bullet"/>
      <w:lvlText w:val=""/>
      <w:lvlJc w:val="left"/>
      <w:pPr>
        <w:tabs>
          <w:tab w:val="num" w:pos="5760"/>
        </w:tabs>
        <w:ind w:left="5760" w:hanging="360"/>
      </w:pPr>
      <w:rPr>
        <w:rFonts w:ascii="Wingdings" w:hAnsi="Wingdings" w:hint="default"/>
      </w:rPr>
    </w:lvl>
    <w:lvl w:ilvl="8" w:tplc="67603B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FC33F9"/>
    <w:multiLevelType w:val="hybridMultilevel"/>
    <w:tmpl w:val="06EE18A8"/>
    <w:lvl w:ilvl="0" w:tplc="2BA255EC">
      <w:start w:val="1"/>
      <w:numFmt w:val="bullet"/>
      <w:lvlText w:val="v"/>
      <w:lvlJc w:val="left"/>
      <w:pPr>
        <w:tabs>
          <w:tab w:val="num" w:pos="720"/>
        </w:tabs>
        <w:ind w:left="720" w:hanging="360"/>
      </w:pPr>
      <w:rPr>
        <w:rFonts w:ascii="Wingdings" w:hAnsi="Wingdings" w:hint="default"/>
      </w:rPr>
    </w:lvl>
    <w:lvl w:ilvl="1" w:tplc="CBA62404" w:tentative="1">
      <w:start w:val="1"/>
      <w:numFmt w:val="bullet"/>
      <w:lvlText w:val="v"/>
      <w:lvlJc w:val="left"/>
      <w:pPr>
        <w:tabs>
          <w:tab w:val="num" w:pos="1440"/>
        </w:tabs>
        <w:ind w:left="1440" w:hanging="360"/>
      </w:pPr>
      <w:rPr>
        <w:rFonts w:ascii="Wingdings" w:hAnsi="Wingdings" w:hint="default"/>
      </w:rPr>
    </w:lvl>
    <w:lvl w:ilvl="2" w:tplc="06CE8486" w:tentative="1">
      <w:start w:val="1"/>
      <w:numFmt w:val="bullet"/>
      <w:lvlText w:val="v"/>
      <w:lvlJc w:val="left"/>
      <w:pPr>
        <w:tabs>
          <w:tab w:val="num" w:pos="2160"/>
        </w:tabs>
        <w:ind w:left="2160" w:hanging="360"/>
      </w:pPr>
      <w:rPr>
        <w:rFonts w:ascii="Wingdings" w:hAnsi="Wingdings" w:hint="default"/>
      </w:rPr>
    </w:lvl>
    <w:lvl w:ilvl="3" w:tplc="90FC85B6" w:tentative="1">
      <w:start w:val="1"/>
      <w:numFmt w:val="bullet"/>
      <w:lvlText w:val="v"/>
      <w:lvlJc w:val="left"/>
      <w:pPr>
        <w:tabs>
          <w:tab w:val="num" w:pos="2880"/>
        </w:tabs>
        <w:ind w:left="2880" w:hanging="360"/>
      </w:pPr>
      <w:rPr>
        <w:rFonts w:ascii="Wingdings" w:hAnsi="Wingdings" w:hint="default"/>
      </w:rPr>
    </w:lvl>
    <w:lvl w:ilvl="4" w:tplc="03FE7E42" w:tentative="1">
      <w:start w:val="1"/>
      <w:numFmt w:val="bullet"/>
      <w:lvlText w:val="v"/>
      <w:lvlJc w:val="left"/>
      <w:pPr>
        <w:tabs>
          <w:tab w:val="num" w:pos="3600"/>
        </w:tabs>
        <w:ind w:left="3600" w:hanging="360"/>
      </w:pPr>
      <w:rPr>
        <w:rFonts w:ascii="Wingdings" w:hAnsi="Wingdings" w:hint="default"/>
      </w:rPr>
    </w:lvl>
    <w:lvl w:ilvl="5" w:tplc="303E0B1C" w:tentative="1">
      <w:start w:val="1"/>
      <w:numFmt w:val="bullet"/>
      <w:lvlText w:val="v"/>
      <w:lvlJc w:val="left"/>
      <w:pPr>
        <w:tabs>
          <w:tab w:val="num" w:pos="4320"/>
        </w:tabs>
        <w:ind w:left="4320" w:hanging="360"/>
      </w:pPr>
      <w:rPr>
        <w:rFonts w:ascii="Wingdings" w:hAnsi="Wingdings" w:hint="default"/>
      </w:rPr>
    </w:lvl>
    <w:lvl w:ilvl="6" w:tplc="91003D3E" w:tentative="1">
      <w:start w:val="1"/>
      <w:numFmt w:val="bullet"/>
      <w:lvlText w:val="v"/>
      <w:lvlJc w:val="left"/>
      <w:pPr>
        <w:tabs>
          <w:tab w:val="num" w:pos="5040"/>
        </w:tabs>
        <w:ind w:left="5040" w:hanging="360"/>
      </w:pPr>
      <w:rPr>
        <w:rFonts w:ascii="Wingdings" w:hAnsi="Wingdings" w:hint="default"/>
      </w:rPr>
    </w:lvl>
    <w:lvl w:ilvl="7" w:tplc="E68AC55A" w:tentative="1">
      <w:start w:val="1"/>
      <w:numFmt w:val="bullet"/>
      <w:lvlText w:val="v"/>
      <w:lvlJc w:val="left"/>
      <w:pPr>
        <w:tabs>
          <w:tab w:val="num" w:pos="5760"/>
        </w:tabs>
        <w:ind w:left="5760" w:hanging="360"/>
      </w:pPr>
      <w:rPr>
        <w:rFonts w:ascii="Wingdings" w:hAnsi="Wingdings" w:hint="default"/>
      </w:rPr>
    </w:lvl>
    <w:lvl w:ilvl="8" w:tplc="C2F48E84" w:tentative="1">
      <w:start w:val="1"/>
      <w:numFmt w:val="bullet"/>
      <w:lvlText w:val="v"/>
      <w:lvlJc w:val="left"/>
      <w:pPr>
        <w:tabs>
          <w:tab w:val="num" w:pos="6480"/>
        </w:tabs>
        <w:ind w:left="6480" w:hanging="360"/>
      </w:pPr>
      <w:rPr>
        <w:rFonts w:ascii="Wingdings" w:hAnsi="Wingdings" w:hint="default"/>
      </w:rPr>
    </w:lvl>
  </w:abstractNum>
  <w:abstractNum w:abstractNumId="24" w15:restartNumberingAfterBreak="0">
    <w:nsid w:val="670458FA"/>
    <w:multiLevelType w:val="hybridMultilevel"/>
    <w:tmpl w:val="80942E50"/>
    <w:lvl w:ilvl="0" w:tplc="16FE79E2">
      <w:start w:val="1"/>
      <w:numFmt w:val="bullet"/>
      <w:lvlText w:val="v"/>
      <w:lvlJc w:val="left"/>
      <w:pPr>
        <w:tabs>
          <w:tab w:val="num" w:pos="720"/>
        </w:tabs>
        <w:ind w:left="720" w:hanging="360"/>
      </w:pPr>
      <w:rPr>
        <w:rFonts w:ascii="Wingdings" w:hAnsi="Wingdings" w:hint="default"/>
      </w:rPr>
    </w:lvl>
    <w:lvl w:ilvl="1" w:tplc="53AAFAFA" w:tentative="1">
      <w:start w:val="1"/>
      <w:numFmt w:val="bullet"/>
      <w:lvlText w:val="v"/>
      <w:lvlJc w:val="left"/>
      <w:pPr>
        <w:tabs>
          <w:tab w:val="num" w:pos="1440"/>
        </w:tabs>
        <w:ind w:left="1440" w:hanging="360"/>
      </w:pPr>
      <w:rPr>
        <w:rFonts w:ascii="Wingdings" w:hAnsi="Wingdings" w:hint="default"/>
      </w:rPr>
    </w:lvl>
    <w:lvl w:ilvl="2" w:tplc="E5A22C9A" w:tentative="1">
      <w:start w:val="1"/>
      <w:numFmt w:val="bullet"/>
      <w:lvlText w:val="v"/>
      <w:lvlJc w:val="left"/>
      <w:pPr>
        <w:tabs>
          <w:tab w:val="num" w:pos="2160"/>
        </w:tabs>
        <w:ind w:left="2160" w:hanging="360"/>
      </w:pPr>
      <w:rPr>
        <w:rFonts w:ascii="Wingdings" w:hAnsi="Wingdings" w:hint="default"/>
      </w:rPr>
    </w:lvl>
    <w:lvl w:ilvl="3" w:tplc="878804B2" w:tentative="1">
      <w:start w:val="1"/>
      <w:numFmt w:val="bullet"/>
      <w:lvlText w:val="v"/>
      <w:lvlJc w:val="left"/>
      <w:pPr>
        <w:tabs>
          <w:tab w:val="num" w:pos="2880"/>
        </w:tabs>
        <w:ind w:left="2880" w:hanging="360"/>
      </w:pPr>
      <w:rPr>
        <w:rFonts w:ascii="Wingdings" w:hAnsi="Wingdings" w:hint="default"/>
      </w:rPr>
    </w:lvl>
    <w:lvl w:ilvl="4" w:tplc="98D6DB50" w:tentative="1">
      <w:start w:val="1"/>
      <w:numFmt w:val="bullet"/>
      <w:lvlText w:val="v"/>
      <w:lvlJc w:val="left"/>
      <w:pPr>
        <w:tabs>
          <w:tab w:val="num" w:pos="3600"/>
        </w:tabs>
        <w:ind w:left="3600" w:hanging="360"/>
      </w:pPr>
      <w:rPr>
        <w:rFonts w:ascii="Wingdings" w:hAnsi="Wingdings" w:hint="default"/>
      </w:rPr>
    </w:lvl>
    <w:lvl w:ilvl="5" w:tplc="26E0C430" w:tentative="1">
      <w:start w:val="1"/>
      <w:numFmt w:val="bullet"/>
      <w:lvlText w:val="v"/>
      <w:lvlJc w:val="left"/>
      <w:pPr>
        <w:tabs>
          <w:tab w:val="num" w:pos="4320"/>
        </w:tabs>
        <w:ind w:left="4320" w:hanging="360"/>
      </w:pPr>
      <w:rPr>
        <w:rFonts w:ascii="Wingdings" w:hAnsi="Wingdings" w:hint="default"/>
      </w:rPr>
    </w:lvl>
    <w:lvl w:ilvl="6" w:tplc="18B0A03E" w:tentative="1">
      <w:start w:val="1"/>
      <w:numFmt w:val="bullet"/>
      <w:lvlText w:val="v"/>
      <w:lvlJc w:val="left"/>
      <w:pPr>
        <w:tabs>
          <w:tab w:val="num" w:pos="5040"/>
        </w:tabs>
        <w:ind w:left="5040" w:hanging="360"/>
      </w:pPr>
      <w:rPr>
        <w:rFonts w:ascii="Wingdings" w:hAnsi="Wingdings" w:hint="default"/>
      </w:rPr>
    </w:lvl>
    <w:lvl w:ilvl="7" w:tplc="D3FE4FEC" w:tentative="1">
      <w:start w:val="1"/>
      <w:numFmt w:val="bullet"/>
      <w:lvlText w:val="v"/>
      <w:lvlJc w:val="left"/>
      <w:pPr>
        <w:tabs>
          <w:tab w:val="num" w:pos="5760"/>
        </w:tabs>
        <w:ind w:left="5760" w:hanging="360"/>
      </w:pPr>
      <w:rPr>
        <w:rFonts w:ascii="Wingdings" w:hAnsi="Wingdings" w:hint="default"/>
      </w:rPr>
    </w:lvl>
    <w:lvl w:ilvl="8" w:tplc="61D228D4" w:tentative="1">
      <w:start w:val="1"/>
      <w:numFmt w:val="bullet"/>
      <w:lvlText w:val="v"/>
      <w:lvlJc w:val="left"/>
      <w:pPr>
        <w:tabs>
          <w:tab w:val="num" w:pos="6480"/>
        </w:tabs>
        <w:ind w:left="6480" w:hanging="360"/>
      </w:pPr>
      <w:rPr>
        <w:rFonts w:ascii="Wingdings" w:hAnsi="Wingdings" w:hint="default"/>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5"/>
  </w:num>
  <w:num w:numId="9">
    <w:abstractNumId w:val="32"/>
  </w:num>
  <w:num w:numId="10">
    <w:abstractNumId w:val="2"/>
  </w:num>
  <w:num w:numId="11">
    <w:abstractNumId w:val="25"/>
  </w:num>
  <w:num w:numId="12">
    <w:abstractNumId w:val="3"/>
  </w:num>
  <w:num w:numId="13">
    <w:abstractNumId w:val="21"/>
  </w:num>
  <w:num w:numId="14">
    <w:abstractNumId w:val="11"/>
  </w:num>
  <w:num w:numId="15">
    <w:abstractNumId w:val="28"/>
  </w:num>
  <w:num w:numId="16">
    <w:abstractNumId w:val="5"/>
  </w:num>
  <w:num w:numId="17">
    <w:abstractNumId w:val="29"/>
  </w:num>
  <w:num w:numId="18">
    <w:abstractNumId w:val="17"/>
  </w:num>
  <w:num w:numId="19">
    <w:abstractNumId w:val="35"/>
  </w:num>
  <w:num w:numId="20">
    <w:abstractNumId w:val="14"/>
  </w:num>
  <w:num w:numId="21">
    <w:abstractNumId w:val="12"/>
  </w:num>
  <w:num w:numId="22">
    <w:abstractNumId w:val="16"/>
  </w:num>
  <w:num w:numId="23">
    <w:abstractNumId w:val="26"/>
  </w:num>
  <w:num w:numId="24">
    <w:abstractNumId w:val="33"/>
  </w:num>
  <w:num w:numId="25">
    <w:abstractNumId w:val="4"/>
  </w:num>
  <w:num w:numId="26">
    <w:abstractNumId w:val="19"/>
  </w:num>
  <w:num w:numId="27">
    <w:abstractNumId w:val="27"/>
  </w:num>
  <w:num w:numId="28">
    <w:abstractNumId w:val="34"/>
  </w:num>
  <w:num w:numId="29">
    <w:abstractNumId w:val="31"/>
  </w:num>
  <w:num w:numId="30">
    <w:abstractNumId w:val="13"/>
  </w:num>
  <w:num w:numId="31">
    <w:abstractNumId w:val="6"/>
  </w:num>
  <w:num w:numId="32">
    <w:abstractNumId w:val="9"/>
  </w:num>
  <w:num w:numId="33">
    <w:abstractNumId w:val="24"/>
  </w:num>
  <w:num w:numId="34">
    <w:abstractNumId w:val="23"/>
  </w:num>
  <w:num w:numId="35">
    <w:abstractNumId w:val="7"/>
  </w:num>
  <w:num w:numId="36">
    <w:abstractNumId w:val="2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0E7"/>
    <w:rsid w:val="00000F8F"/>
    <w:rsid w:val="000011C6"/>
    <w:rsid w:val="00011557"/>
    <w:rsid w:val="00023FC8"/>
    <w:rsid w:val="00024F4E"/>
    <w:rsid w:val="00030174"/>
    <w:rsid w:val="000301B7"/>
    <w:rsid w:val="00030795"/>
    <w:rsid w:val="00030F2D"/>
    <w:rsid w:val="000335BC"/>
    <w:rsid w:val="00033FB2"/>
    <w:rsid w:val="00043770"/>
    <w:rsid w:val="0004579C"/>
    <w:rsid w:val="000464EB"/>
    <w:rsid w:val="000508A5"/>
    <w:rsid w:val="00051133"/>
    <w:rsid w:val="0005176D"/>
    <w:rsid w:val="000533C7"/>
    <w:rsid w:val="000550D3"/>
    <w:rsid w:val="000578BD"/>
    <w:rsid w:val="0006178C"/>
    <w:rsid w:val="0006479F"/>
    <w:rsid w:val="000656BB"/>
    <w:rsid w:val="000700EF"/>
    <w:rsid w:val="00076A57"/>
    <w:rsid w:val="00081177"/>
    <w:rsid w:val="0008464C"/>
    <w:rsid w:val="00091439"/>
    <w:rsid w:val="000937B4"/>
    <w:rsid w:val="000A47FA"/>
    <w:rsid w:val="000A52DE"/>
    <w:rsid w:val="000A5D35"/>
    <w:rsid w:val="000A65D3"/>
    <w:rsid w:val="000A6F37"/>
    <w:rsid w:val="000A7053"/>
    <w:rsid w:val="000B0582"/>
    <w:rsid w:val="000B1E33"/>
    <w:rsid w:val="000B1F88"/>
    <w:rsid w:val="000C265D"/>
    <w:rsid w:val="000C7A36"/>
    <w:rsid w:val="000D2497"/>
    <w:rsid w:val="000D689F"/>
    <w:rsid w:val="000D6E47"/>
    <w:rsid w:val="000E7B7B"/>
    <w:rsid w:val="000E7D62"/>
    <w:rsid w:val="00101533"/>
    <w:rsid w:val="0010158B"/>
    <w:rsid w:val="00101AFB"/>
    <w:rsid w:val="00103357"/>
    <w:rsid w:val="00110EE5"/>
    <w:rsid w:val="001119EB"/>
    <w:rsid w:val="0011359B"/>
    <w:rsid w:val="00123C9F"/>
    <w:rsid w:val="00126190"/>
    <w:rsid w:val="001275E3"/>
    <w:rsid w:val="00130F17"/>
    <w:rsid w:val="001312B6"/>
    <w:rsid w:val="001315A8"/>
    <w:rsid w:val="00131B5D"/>
    <w:rsid w:val="001320BF"/>
    <w:rsid w:val="00132F39"/>
    <w:rsid w:val="001338EB"/>
    <w:rsid w:val="0014353A"/>
    <w:rsid w:val="00153E82"/>
    <w:rsid w:val="00156AE1"/>
    <w:rsid w:val="00160A2F"/>
    <w:rsid w:val="00163BC4"/>
    <w:rsid w:val="00167AAF"/>
    <w:rsid w:val="00172010"/>
    <w:rsid w:val="0017398D"/>
    <w:rsid w:val="00191062"/>
    <w:rsid w:val="00191D2E"/>
    <w:rsid w:val="00192B72"/>
    <w:rsid w:val="001A29D8"/>
    <w:rsid w:val="001A388C"/>
    <w:rsid w:val="001A5B85"/>
    <w:rsid w:val="001A5CAA"/>
    <w:rsid w:val="001A71B7"/>
    <w:rsid w:val="001A7251"/>
    <w:rsid w:val="001B0427"/>
    <w:rsid w:val="001B04C1"/>
    <w:rsid w:val="001B05AB"/>
    <w:rsid w:val="001B5EA8"/>
    <w:rsid w:val="001C2FB1"/>
    <w:rsid w:val="001C500F"/>
    <w:rsid w:val="001C5D6D"/>
    <w:rsid w:val="001D0AF8"/>
    <w:rsid w:val="001D3A51"/>
    <w:rsid w:val="001D7984"/>
    <w:rsid w:val="001E10D2"/>
    <w:rsid w:val="001E23CA"/>
    <w:rsid w:val="001E25B4"/>
    <w:rsid w:val="001E32E4"/>
    <w:rsid w:val="001E44FE"/>
    <w:rsid w:val="001E7ADC"/>
    <w:rsid w:val="001F1111"/>
    <w:rsid w:val="001F4542"/>
    <w:rsid w:val="00200595"/>
    <w:rsid w:val="00204835"/>
    <w:rsid w:val="00213FB3"/>
    <w:rsid w:val="00217F14"/>
    <w:rsid w:val="00222DA9"/>
    <w:rsid w:val="00223BCB"/>
    <w:rsid w:val="002275C1"/>
    <w:rsid w:val="00231920"/>
    <w:rsid w:val="0023195C"/>
    <w:rsid w:val="002324DC"/>
    <w:rsid w:val="002331F8"/>
    <w:rsid w:val="0024282C"/>
    <w:rsid w:val="0024435D"/>
    <w:rsid w:val="002460DC"/>
    <w:rsid w:val="00250985"/>
    <w:rsid w:val="00254829"/>
    <w:rsid w:val="002550EC"/>
    <w:rsid w:val="002556F6"/>
    <w:rsid w:val="0026218C"/>
    <w:rsid w:val="00275504"/>
    <w:rsid w:val="002757E0"/>
    <w:rsid w:val="00276221"/>
    <w:rsid w:val="00277EAF"/>
    <w:rsid w:val="00283105"/>
    <w:rsid w:val="00284C4C"/>
    <w:rsid w:val="00285211"/>
    <w:rsid w:val="00287E68"/>
    <w:rsid w:val="00292B15"/>
    <w:rsid w:val="002946CE"/>
    <w:rsid w:val="00295C36"/>
    <w:rsid w:val="00296529"/>
    <w:rsid w:val="002A7812"/>
    <w:rsid w:val="002B23F8"/>
    <w:rsid w:val="002B27FB"/>
    <w:rsid w:val="002B685A"/>
    <w:rsid w:val="002C05FD"/>
    <w:rsid w:val="002C0E2B"/>
    <w:rsid w:val="002C57D2"/>
    <w:rsid w:val="002C7107"/>
    <w:rsid w:val="002D1F91"/>
    <w:rsid w:val="002D28F8"/>
    <w:rsid w:val="002D6B73"/>
    <w:rsid w:val="002E0D56"/>
    <w:rsid w:val="002E0DEA"/>
    <w:rsid w:val="002E6B17"/>
    <w:rsid w:val="002F6AF6"/>
    <w:rsid w:val="00305319"/>
    <w:rsid w:val="00306281"/>
    <w:rsid w:val="00307333"/>
    <w:rsid w:val="00310993"/>
    <w:rsid w:val="00315186"/>
    <w:rsid w:val="003163AF"/>
    <w:rsid w:val="00323787"/>
    <w:rsid w:val="00326CF5"/>
    <w:rsid w:val="0032792B"/>
    <w:rsid w:val="00327C91"/>
    <w:rsid w:val="0033343E"/>
    <w:rsid w:val="00334B9A"/>
    <w:rsid w:val="00340967"/>
    <w:rsid w:val="003412EF"/>
    <w:rsid w:val="00347C8D"/>
    <w:rsid w:val="0035007E"/>
    <w:rsid w:val="003512C2"/>
    <w:rsid w:val="0035351E"/>
    <w:rsid w:val="0035418E"/>
    <w:rsid w:val="00355DBA"/>
    <w:rsid w:val="003568EE"/>
    <w:rsid w:val="0035722F"/>
    <w:rsid w:val="00371FB6"/>
    <w:rsid w:val="003722E1"/>
    <w:rsid w:val="003749F5"/>
    <w:rsid w:val="003763C1"/>
    <w:rsid w:val="00376BBE"/>
    <w:rsid w:val="0038260C"/>
    <w:rsid w:val="00385AA2"/>
    <w:rsid w:val="0039224F"/>
    <w:rsid w:val="0039482A"/>
    <w:rsid w:val="003966C6"/>
    <w:rsid w:val="00397269"/>
    <w:rsid w:val="003A0A11"/>
    <w:rsid w:val="003A0FA0"/>
    <w:rsid w:val="003A2C66"/>
    <w:rsid w:val="003A43A4"/>
    <w:rsid w:val="003A7E18"/>
    <w:rsid w:val="003B149C"/>
    <w:rsid w:val="003C1EE2"/>
    <w:rsid w:val="003C4C86"/>
    <w:rsid w:val="003C5700"/>
    <w:rsid w:val="003C6258"/>
    <w:rsid w:val="003D619E"/>
    <w:rsid w:val="003D631B"/>
    <w:rsid w:val="003D72CB"/>
    <w:rsid w:val="003E26E6"/>
    <w:rsid w:val="003E2904"/>
    <w:rsid w:val="003E32C8"/>
    <w:rsid w:val="003E5427"/>
    <w:rsid w:val="003E5DEE"/>
    <w:rsid w:val="003E7A0D"/>
    <w:rsid w:val="003F084F"/>
    <w:rsid w:val="003F0BDE"/>
    <w:rsid w:val="003F1E77"/>
    <w:rsid w:val="003F27E1"/>
    <w:rsid w:val="004015AA"/>
    <w:rsid w:val="00401927"/>
    <w:rsid w:val="00401D45"/>
    <w:rsid w:val="004041DB"/>
    <w:rsid w:val="00404E47"/>
    <w:rsid w:val="0040622F"/>
    <w:rsid w:val="0041027F"/>
    <w:rsid w:val="00412475"/>
    <w:rsid w:val="00413E13"/>
    <w:rsid w:val="004152B2"/>
    <w:rsid w:val="00415751"/>
    <w:rsid w:val="004161AC"/>
    <w:rsid w:val="004167E4"/>
    <w:rsid w:val="00420646"/>
    <w:rsid w:val="00423789"/>
    <w:rsid w:val="00424272"/>
    <w:rsid w:val="004246DF"/>
    <w:rsid w:val="004334DC"/>
    <w:rsid w:val="0043736B"/>
    <w:rsid w:val="00437933"/>
    <w:rsid w:val="00440F43"/>
    <w:rsid w:val="00441B6F"/>
    <w:rsid w:val="00444110"/>
    <w:rsid w:val="00446221"/>
    <w:rsid w:val="00450E62"/>
    <w:rsid w:val="004519F2"/>
    <w:rsid w:val="004539DB"/>
    <w:rsid w:val="00453B82"/>
    <w:rsid w:val="004564F4"/>
    <w:rsid w:val="004606F1"/>
    <w:rsid w:val="00460DEF"/>
    <w:rsid w:val="00471A80"/>
    <w:rsid w:val="00474BC9"/>
    <w:rsid w:val="00474E66"/>
    <w:rsid w:val="00487861"/>
    <w:rsid w:val="004962CD"/>
    <w:rsid w:val="004A6BA8"/>
    <w:rsid w:val="004A7BA6"/>
    <w:rsid w:val="004B14C8"/>
    <w:rsid w:val="004B4D51"/>
    <w:rsid w:val="004D1ACA"/>
    <w:rsid w:val="004D1AFB"/>
    <w:rsid w:val="004D262C"/>
    <w:rsid w:val="004D305E"/>
    <w:rsid w:val="004D4277"/>
    <w:rsid w:val="004E1C30"/>
    <w:rsid w:val="004F0A20"/>
    <w:rsid w:val="004F4F02"/>
    <w:rsid w:val="00502516"/>
    <w:rsid w:val="0050277F"/>
    <w:rsid w:val="0050402D"/>
    <w:rsid w:val="005057A4"/>
    <w:rsid w:val="00505F06"/>
    <w:rsid w:val="00506828"/>
    <w:rsid w:val="005202AA"/>
    <w:rsid w:val="005247E7"/>
    <w:rsid w:val="00526131"/>
    <w:rsid w:val="00527820"/>
    <w:rsid w:val="0053056E"/>
    <w:rsid w:val="00554FDA"/>
    <w:rsid w:val="00555C0B"/>
    <w:rsid w:val="0056233B"/>
    <w:rsid w:val="00563D85"/>
    <w:rsid w:val="005740E2"/>
    <w:rsid w:val="0058407A"/>
    <w:rsid w:val="00584D38"/>
    <w:rsid w:val="005864B5"/>
    <w:rsid w:val="005A6A0A"/>
    <w:rsid w:val="005A7068"/>
    <w:rsid w:val="005A7BAB"/>
    <w:rsid w:val="005B316B"/>
    <w:rsid w:val="005C0C85"/>
    <w:rsid w:val="005C3CF5"/>
    <w:rsid w:val="005C5624"/>
    <w:rsid w:val="005C56A5"/>
    <w:rsid w:val="005C73D1"/>
    <w:rsid w:val="005C784C"/>
    <w:rsid w:val="005D17F6"/>
    <w:rsid w:val="005D1EB6"/>
    <w:rsid w:val="005D3769"/>
    <w:rsid w:val="005D5552"/>
    <w:rsid w:val="005E128B"/>
    <w:rsid w:val="005E5539"/>
    <w:rsid w:val="005E706B"/>
    <w:rsid w:val="005F31D6"/>
    <w:rsid w:val="005F6953"/>
    <w:rsid w:val="005F7F32"/>
    <w:rsid w:val="00600BBF"/>
    <w:rsid w:val="00602BF5"/>
    <w:rsid w:val="00605816"/>
    <w:rsid w:val="00611FA4"/>
    <w:rsid w:val="006146A9"/>
    <w:rsid w:val="00616C5E"/>
    <w:rsid w:val="00617FDD"/>
    <w:rsid w:val="00623AC4"/>
    <w:rsid w:val="0063137D"/>
    <w:rsid w:val="00633614"/>
    <w:rsid w:val="00633F68"/>
    <w:rsid w:val="00634224"/>
    <w:rsid w:val="006361BB"/>
    <w:rsid w:val="00636EB2"/>
    <w:rsid w:val="006375B8"/>
    <w:rsid w:val="00645C45"/>
    <w:rsid w:val="00647A05"/>
    <w:rsid w:val="00650C4C"/>
    <w:rsid w:val="00655920"/>
    <w:rsid w:val="006601B3"/>
    <w:rsid w:val="00660599"/>
    <w:rsid w:val="00662C27"/>
    <w:rsid w:val="006638A7"/>
    <w:rsid w:val="00664751"/>
    <w:rsid w:val="00664A17"/>
    <w:rsid w:val="00665075"/>
    <w:rsid w:val="0066510A"/>
    <w:rsid w:val="00666F5C"/>
    <w:rsid w:val="00673F9F"/>
    <w:rsid w:val="0067707E"/>
    <w:rsid w:val="00682EC1"/>
    <w:rsid w:val="0068650F"/>
    <w:rsid w:val="00686953"/>
    <w:rsid w:val="00687DEA"/>
    <w:rsid w:val="00687E67"/>
    <w:rsid w:val="00690625"/>
    <w:rsid w:val="006967F7"/>
    <w:rsid w:val="006A250C"/>
    <w:rsid w:val="006B0A16"/>
    <w:rsid w:val="006B13E2"/>
    <w:rsid w:val="006B21D3"/>
    <w:rsid w:val="006B23D4"/>
    <w:rsid w:val="006B57D0"/>
    <w:rsid w:val="006B7CEE"/>
    <w:rsid w:val="006D2320"/>
    <w:rsid w:val="006D30FF"/>
    <w:rsid w:val="006D3F60"/>
    <w:rsid w:val="006D6940"/>
    <w:rsid w:val="006E092B"/>
    <w:rsid w:val="006E204D"/>
    <w:rsid w:val="006E34F4"/>
    <w:rsid w:val="006E70C3"/>
    <w:rsid w:val="006F11EC"/>
    <w:rsid w:val="006F1D57"/>
    <w:rsid w:val="006F4732"/>
    <w:rsid w:val="006F6C9F"/>
    <w:rsid w:val="0070082C"/>
    <w:rsid w:val="007019F4"/>
    <w:rsid w:val="00703388"/>
    <w:rsid w:val="00706543"/>
    <w:rsid w:val="00706B93"/>
    <w:rsid w:val="007147BE"/>
    <w:rsid w:val="00716C16"/>
    <w:rsid w:val="00720E06"/>
    <w:rsid w:val="007236FA"/>
    <w:rsid w:val="007247BE"/>
    <w:rsid w:val="007317D2"/>
    <w:rsid w:val="007369E6"/>
    <w:rsid w:val="00742136"/>
    <w:rsid w:val="00746E59"/>
    <w:rsid w:val="00754C9A"/>
    <w:rsid w:val="0075569D"/>
    <w:rsid w:val="0075599A"/>
    <w:rsid w:val="00755F07"/>
    <w:rsid w:val="00757176"/>
    <w:rsid w:val="007615E4"/>
    <w:rsid w:val="00761D52"/>
    <w:rsid w:val="00764881"/>
    <w:rsid w:val="00765BC7"/>
    <w:rsid w:val="00772E2C"/>
    <w:rsid w:val="0077749E"/>
    <w:rsid w:val="00790ADA"/>
    <w:rsid w:val="007960DB"/>
    <w:rsid w:val="007977C3"/>
    <w:rsid w:val="007A4711"/>
    <w:rsid w:val="007A54F4"/>
    <w:rsid w:val="007B35B3"/>
    <w:rsid w:val="007C10E4"/>
    <w:rsid w:val="007C6568"/>
    <w:rsid w:val="007D0EF2"/>
    <w:rsid w:val="007D2288"/>
    <w:rsid w:val="007D54CF"/>
    <w:rsid w:val="007D65EE"/>
    <w:rsid w:val="007E088F"/>
    <w:rsid w:val="007E5E5E"/>
    <w:rsid w:val="007F0595"/>
    <w:rsid w:val="007F366E"/>
    <w:rsid w:val="007F55A1"/>
    <w:rsid w:val="007F7B32"/>
    <w:rsid w:val="00801466"/>
    <w:rsid w:val="00802B10"/>
    <w:rsid w:val="00804BC2"/>
    <w:rsid w:val="00806C56"/>
    <w:rsid w:val="0081048D"/>
    <w:rsid w:val="0081431A"/>
    <w:rsid w:val="00823586"/>
    <w:rsid w:val="00825ACB"/>
    <w:rsid w:val="00827D91"/>
    <w:rsid w:val="00830B0B"/>
    <w:rsid w:val="0083216F"/>
    <w:rsid w:val="008328DE"/>
    <w:rsid w:val="00837B25"/>
    <w:rsid w:val="0084256E"/>
    <w:rsid w:val="00842D8B"/>
    <w:rsid w:val="0085181C"/>
    <w:rsid w:val="0085542C"/>
    <w:rsid w:val="00860000"/>
    <w:rsid w:val="00862756"/>
    <w:rsid w:val="00863BD3"/>
    <w:rsid w:val="008641ED"/>
    <w:rsid w:val="00866D66"/>
    <w:rsid w:val="008671C6"/>
    <w:rsid w:val="00871649"/>
    <w:rsid w:val="00872BD0"/>
    <w:rsid w:val="00874095"/>
    <w:rsid w:val="00875803"/>
    <w:rsid w:val="008836C9"/>
    <w:rsid w:val="00895C15"/>
    <w:rsid w:val="008972D6"/>
    <w:rsid w:val="008A0859"/>
    <w:rsid w:val="008A4EE9"/>
    <w:rsid w:val="008A5329"/>
    <w:rsid w:val="008B3F57"/>
    <w:rsid w:val="008B459E"/>
    <w:rsid w:val="008C7127"/>
    <w:rsid w:val="008D2A7B"/>
    <w:rsid w:val="008D38FD"/>
    <w:rsid w:val="008D4641"/>
    <w:rsid w:val="008D5E1A"/>
    <w:rsid w:val="008E13AE"/>
    <w:rsid w:val="008E1506"/>
    <w:rsid w:val="008E29E8"/>
    <w:rsid w:val="008E61BA"/>
    <w:rsid w:val="008E710C"/>
    <w:rsid w:val="008F57C9"/>
    <w:rsid w:val="008F69D6"/>
    <w:rsid w:val="00902823"/>
    <w:rsid w:val="00907112"/>
    <w:rsid w:val="00915CA6"/>
    <w:rsid w:val="009166C6"/>
    <w:rsid w:val="009216E4"/>
    <w:rsid w:val="009239A6"/>
    <w:rsid w:val="00927834"/>
    <w:rsid w:val="0093693F"/>
    <w:rsid w:val="00940700"/>
    <w:rsid w:val="009500A6"/>
    <w:rsid w:val="00950595"/>
    <w:rsid w:val="00952EC0"/>
    <w:rsid w:val="009550FC"/>
    <w:rsid w:val="00957C18"/>
    <w:rsid w:val="009646B8"/>
    <w:rsid w:val="009659BA"/>
    <w:rsid w:val="00965D9E"/>
    <w:rsid w:val="00966584"/>
    <w:rsid w:val="00970975"/>
    <w:rsid w:val="00975BF8"/>
    <w:rsid w:val="00983040"/>
    <w:rsid w:val="00983E13"/>
    <w:rsid w:val="00986A78"/>
    <w:rsid w:val="009901FE"/>
    <w:rsid w:val="009951D0"/>
    <w:rsid w:val="009A2DC1"/>
    <w:rsid w:val="009A6E76"/>
    <w:rsid w:val="009A7A04"/>
    <w:rsid w:val="009A7AF9"/>
    <w:rsid w:val="009B3E81"/>
    <w:rsid w:val="009B3FB9"/>
    <w:rsid w:val="009B48BD"/>
    <w:rsid w:val="009B7308"/>
    <w:rsid w:val="009B79D6"/>
    <w:rsid w:val="009C13D9"/>
    <w:rsid w:val="009C2465"/>
    <w:rsid w:val="009C24EE"/>
    <w:rsid w:val="009D0442"/>
    <w:rsid w:val="009D1C40"/>
    <w:rsid w:val="009D35A0"/>
    <w:rsid w:val="009D7EB7"/>
    <w:rsid w:val="009E048A"/>
    <w:rsid w:val="009E08E9"/>
    <w:rsid w:val="009E3DB9"/>
    <w:rsid w:val="009E6E35"/>
    <w:rsid w:val="009F0EDA"/>
    <w:rsid w:val="009F4E0C"/>
    <w:rsid w:val="009F588E"/>
    <w:rsid w:val="00A02DC6"/>
    <w:rsid w:val="00A03B96"/>
    <w:rsid w:val="00A0545F"/>
    <w:rsid w:val="00A05B19"/>
    <w:rsid w:val="00A1091D"/>
    <w:rsid w:val="00A1134E"/>
    <w:rsid w:val="00A15C75"/>
    <w:rsid w:val="00A16FCD"/>
    <w:rsid w:val="00A23442"/>
    <w:rsid w:val="00A24E7E"/>
    <w:rsid w:val="00A258C3"/>
    <w:rsid w:val="00A261B8"/>
    <w:rsid w:val="00A346CE"/>
    <w:rsid w:val="00A347C0"/>
    <w:rsid w:val="00A414DC"/>
    <w:rsid w:val="00A43306"/>
    <w:rsid w:val="00A43876"/>
    <w:rsid w:val="00A51431"/>
    <w:rsid w:val="00A539AD"/>
    <w:rsid w:val="00A60378"/>
    <w:rsid w:val="00A70C89"/>
    <w:rsid w:val="00A74456"/>
    <w:rsid w:val="00A84C3F"/>
    <w:rsid w:val="00A91092"/>
    <w:rsid w:val="00A94063"/>
    <w:rsid w:val="00AA6219"/>
    <w:rsid w:val="00AA74E0"/>
    <w:rsid w:val="00AB148C"/>
    <w:rsid w:val="00AB19A7"/>
    <w:rsid w:val="00AB1F94"/>
    <w:rsid w:val="00AB2D75"/>
    <w:rsid w:val="00AB42C1"/>
    <w:rsid w:val="00AB703F"/>
    <w:rsid w:val="00AC6BB8"/>
    <w:rsid w:val="00AD0C7A"/>
    <w:rsid w:val="00AD7CC8"/>
    <w:rsid w:val="00AE008F"/>
    <w:rsid w:val="00AE1F27"/>
    <w:rsid w:val="00AE20AB"/>
    <w:rsid w:val="00AE20FD"/>
    <w:rsid w:val="00AE269E"/>
    <w:rsid w:val="00AF0C14"/>
    <w:rsid w:val="00AF6976"/>
    <w:rsid w:val="00AF7CB0"/>
    <w:rsid w:val="00B00D27"/>
    <w:rsid w:val="00B01FCD"/>
    <w:rsid w:val="00B02018"/>
    <w:rsid w:val="00B0380D"/>
    <w:rsid w:val="00B062FE"/>
    <w:rsid w:val="00B1064B"/>
    <w:rsid w:val="00B16CEA"/>
    <w:rsid w:val="00B1776C"/>
    <w:rsid w:val="00B17A88"/>
    <w:rsid w:val="00B212B5"/>
    <w:rsid w:val="00B2331D"/>
    <w:rsid w:val="00B25426"/>
    <w:rsid w:val="00B2607C"/>
    <w:rsid w:val="00B323F4"/>
    <w:rsid w:val="00B324F6"/>
    <w:rsid w:val="00B410D6"/>
    <w:rsid w:val="00B478BA"/>
    <w:rsid w:val="00B52583"/>
    <w:rsid w:val="00B52896"/>
    <w:rsid w:val="00B53B34"/>
    <w:rsid w:val="00B55936"/>
    <w:rsid w:val="00B559BD"/>
    <w:rsid w:val="00B60370"/>
    <w:rsid w:val="00B606F3"/>
    <w:rsid w:val="00B627DF"/>
    <w:rsid w:val="00B63C15"/>
    <w:rsid w:val="00B642F5"/>
    <w:rsid w:val="00B70A36"/>
    <w:rsid w:val="00B747BE"/>
    <w:rsid w:val="00B80F4C"/>
    <w:rsid w:val="00B86A58"/>
    <w:rsid w:val="00B95236"/>
    <w:rsid w:val="00B96050"/>
    <w:rsid w:val="00B96796"/>
    <w:rsid w:val="00B96BD9"/>
    <w:rsid w:val="00B97087"/>
    <w:rsid w:val="00BA12C8"/>
    <w:rsid w:val="00BA1B01"/>
    <w:rsid w:val="00BA2641"/>
    <w:rsid w:val="00BA26B7"/>
    <w:rsid w:val="00BA60D3"/>
    <w:rsid w:val="00BA7F80"/>
    <w:rsid w:val="00BB37AA"/>
    <w:rsid w:val="00BB67C7"/>
    <w:rsid w:val="00BC4D1D"/>
    <w:rsid w:val="00BC53A0"/>
    <w:rsid w:val="00BC5911"/>
    <w:rsid w:val="00BD1C58"/>
    <w:rsid w:val="00BE0CBE"/>
    <w:rsid w:val="00BE62AD"/>
    <w:rsid w:val="00BF1184"/>
    <w:rsid w:val="00BF121F"/>
    <w:rsid w:val="00BF1474"/>
    <w:rsid w:val="00BF14C8"/>
    <w:rsid w:val="00BF1F80"/>
    <w:rsid w:val="00BF4BA4"/>
    <w:rsid w:val="00C00F9F"/>
    <w:rsid w:val="00C0334B"/>
    <w:rsid w:val="00C050F9"/>
    <w:rsid w:val="00C07881"/>
    <w:rsid w:val="00C13D61"/>
    <w:rsid w:val="00C143AD"/>
    <w:rsid w:val="00C14B2F"/>
    <w:rsid w:val="00C166EF"/>
    <w:rsid w:val="00C17EB0"/>
    <w:rsid w:val="00C2110B"/>
    <w:rsid w:val="00C27520"/>
    <w:rsid w:val="00C27F5F"/>
    <w:rsid w:val="00C30A0F"/>
    <w:rsid w:val="00C354A0"/>
    <w:rsid w:val="00C37E61"/>
    <w:rsid w:val="00C407D8"/>
    <w:rsid w:val="00C42FBF"/>
    <w:rsid w:val="00C4470E"/>
    <w:rsid w:val="00C45B82"/>
    <w:rsid w:val="00C56B97"/>
    <w:rsid w:val="00C56D61"/>
    <w:rsid w:val="00C5770C"/>
    <w:rsid w:val="00C63FD5"/>
    <w:rsid w:val="00C65CD3"/>
    <w:rsid w:val="00C67B37"/>
    <w:rsid w:val="00C70F1B"/>
    <w:rsid w:val="00C71A47"/>
    <w:rsid w:val="00C739DD"/>
    <w:rsid w:val="00C7464C"/>
    <w:rsid w:val="00C81B68"/>
    <w:rsid w:val="00C83FFB"/>
    <w:rsid w:val="00C85588"/>
    <w:rsid w:val="00C90121"/>
    <w:rsid w:val="00C93AA9"/>
    <w:rsid w:val="00C95745"/>
    <w:rsid w:val="00C97A7C"/>
    <w:rsid w:val="00CA2063"/>
    <w:rsid w:val="00CA5F88"/>
    <w:rsid w:val="00CB2B92"/>
    <w:rsid w:val="00CC1B09"/>
    <w:rsid w:val="00CC22B7"/>
    <w:rsid w:val="00CC6154"/>
    <w:rsid w:val="00CC6CFC"/>
    <w:rsid w:val="00CD035A"/>
    <w:rsid w:val="00CD5794"/>
    <w:rsid w:val="00CD6755"/>
    <w:rsid w:val="00CD6856"/>
    <w:rsid w:val="00CE0089"/>
    <w:rsid w:val="00CE420A"/>
    <w:rsid w:val="00CE793C"/>
    <w:rsid w:val="00CF193C"/>
    <w:rsid w:val="00CF3410"/>
    <w:rsid w:val="00CF786A"/>
    <w:rsid w:val="00D00D1D"/>
    <w:rsid w:val="00D029DB"/>
    <w:rsid w:val="00D117F5"/>
    <w:rsid w:val="00D1252D"/>
    <w:rsid w:val="00D13EBF"/>
    <w:rsid w:val="00D15906"/>
    <w:rsid w:val="00D173F1"/>
    <w:rsid w:val="00D336C1"/>
    <w:rsid w:val="00D364AF"/>
    <w:rsid w:val="00D42FE2"/>
    <w:rsid w:val="00D47223"/>
    <w:rsid w:val="00D476E3"/>
    <w:rsid w:val="00D57A61"/>
    <w:rsid w:val="00D60913"/>
    <w:rsid w:val="00D61181"/>
    <w:rsid w:val="00D61C22"/>
    <w:rsid w:val="00D6605B"/>
    <w:rsid w:val="00D74CB0"/>
    <w:rsid w:val="00D826A3"/>
    <w:rsid w:val="00D8295D"/>
    <w:rsid w:val="00D83512"/>
    <w:rsid w:val="00D91E91"/>
    <w:rsid w:val="00D93464"/>
    <w:rsid w:val="00D966FA"/>
    <w:rsid w:val="00DA02FF"/>
    <w:rsid w:val="00DA2F1B"/>
    <w:rsid w:val="00DA46D1"/>
    <w:rsid w:val="00DA6363"/>
    <w:rsid w:val="00DB615A"/>
    <w:rsid w:val="00DC02F3"/>
    <w:rsid w:val="00DC0F78"/>
    <w:rsid w:val="00DC2A65"/>
    <w:rsid w:val="00DE15F0"/>
    <w:rsid w:val="00DE18BD"/>
    <w:rsid w:val="00DE3F56"/>
    <w:rsid w:val="00DE4DEA"/>
    <w:rsid w:val="00DE5663"/>
    <w:rsid w:val="00DE5A4A"/>
    <w:rsid w:val="00DE7551"/>
    <w:rsid w:val="00DE78AA"/>
    <w:rsid w:val="00E0445F"/>
    <w:rsid w:val="00E053D0"/>
    <w:rsid w:val="00E14F2A"/>
    <w:rsid w:val="00E14F43"/>
    <w:rsid w:val="00E15980"/>
    <w:rsid w:val="00E15994"/>
    <w:rsid w:val="00E3114E"/>
    <w:rsid w:val="00E31A70"/>
    <w:rsid w:val="00E340E9"/>
    <w:rsid w:val="00E35B02"/>
    <w:rsid w:val="00E367D3"/>
    <w:rsid w:val="00E41781"/>
    <w:rsid w:val="00E41A46"/>
    <w:rsid w:val="00E4273A"/>
    <w:rsid w:val="00E42E5E"/>
    <w:rsid w:val="00E56D28"/>
    <w:rsid w:val="00E608FE"/>
    <w:rsid w:val="00E612BA"/>
    <w:rsid w:val="00E6578F"/>
    <w:rsid w:val="00E66496"/>
    <w:rsid w:val="00E66968"/>
    <w:rsid w:val="00E66B35"/>
    <w:rsid w:val="00E66E10"/>
    <w:rsid w:val="00E70631"/>
    <w:rsid w:val="00E769F6"/>
    <w:rsid w:val="00E777A2"/>
    <w:rsid w:val="00E80F15"/>
    <w:rsid w:val="00E81A17"/>
    <w:rsid w:val="00E82C67"/>
    <w:rsid w:val="00E8407C"/>
    <w:rsid w:val="00E84F3C"/>
    <w:rsid w:val="00E94D65"/>
    <w:rsid w:val="00E95331"/>
    <w:rsid w:val="00EA012C"/>
    <w:rsid w:val="00EA058F"/>
    <w:rsid w:val="00EA227A"/>
    <w:rsid w:val="00EA39EB"/>
    <w:rsid w:val="00EA78F3"/>
    <w:rsid w:val="00EB2C30"/>
    <w:rsid w:val="00EB7AF4"/>
    <w:rsid w:val="00EC06C4"/>
    <w:rsid w:val="00EC0EFC"/>
    <w:rsid w:val="00EC401D"/>
    <w:rsid w:val="00EC6A55"/>
    <w:rsid w:val="00ED0288"/>
    <w:rsid w:val="00ED1CC1"/>
    <w:rsid w:val="00ED4965"/>
    <w:rsid w:val="00EE1718"/>
    <w:rsid w:val="00EE2A1F"/>
    <w:rsid w:val="00EE4475"/>
    <w:rsid w:val="00EE52CB"/>
    <w:rsid w:val="00EE7D39"/>
    <w:rsid w:val="00EF07A9"/>
    <w:rsid w:val="00EF087D"/>
    <w:rsid w:val="00EF3FB8"/>
    <w:rsid w:val="00EF4135"/>
    <w:rsid w:val="00EF4496"/>
    <w:rsid w:val="00EF581D"/>
    <w:rsid w:val="00EF7FD8"/>
    <w:rsid w:val="00F00371"/>
    <w:rsid w:val="00F03D0B"/>
    <w:rsid w:val="00F04894"/>
    <w:rsid w:val="00F06F59"/>
    <w:rsid w:val="00F07EE8"/>
    <w:rsid w:val="00F1038C"/>
    <w:rsid w:val="00F1405B"/>
    <w:rsid w:val="00F177E6"/>
    <w:rsid w:val="00F17988"/>
    <w:rsid w:val="00F22450"/>
    <w:rsid w:val="00F30E7B"/>
    <w:rsid w:val="00F32F84"/>
    <w:rsid w:val="00F3327F"/>
    <w:rsid w:val="00F351BD"/>
    <w:rsid w:val="00F36C94"/>
    <w:rsid w:val="00F45B8E"/>
    <w:rsid w:val="00F469F0"/>
    <w:rsid w:val="00F52DC9"/>
    <w:rsid w:val="00F53273"/>
    <w:rsid w:val="00F53578"/>
    <w:rsid w:val="00F60235"/>
    <w:rsid w:val="00F6573B"/>
    <w:rsid w:val="00F65A93"/>
    <w:rsid w:val="00F70DD8"/>
    <w:rsid w:val="00F72DA4"/>
    <w:rsid w:val="00F755E4"/>
    <w:rsid w:val="00F77D02"/>
    <w:rsid w:val="00F80FF5"/>
    <w:rsid w:val="00F8347B"/>
    <w:rsid w:val="00F83859"/>
    <w:rsid w:val="00F841B6"/>
    <w:rsid w:val="00F9190D"/>
    <w:rsid w:val="00FA334D"/>
    <w:rsid w:val="00FA583D"/>
    <w:rsid w:val="00FB20F5"/>
    <w:rsid w:val="00FB3598"/>
    <w:rsid w:val="00FB3A86"/>
    <w:rsid w:val="00FC4BDF"/>
    <w:rsid w:val="00FD0540"/>
    <w:rsid w:val="00FD3000"/>
    <w:rsid w:val="00FD36C8"/>
    <w:rsid w:val="00FE5013"/>
    <w:rsid w:val="00FE7067"/>
    <w:rsid w:val="00FF0D11"/>
    <w:rsid w:val="00FF1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8F59E5"/>
  <w15:docId w15:val="{A0D7B681-B1C2-493E-8CAA-413460D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5E70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716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5E706B"/>
    <w:pPr>
      <w:autoSpaceDE w:val="0"/>
      <w:autoSpaceDN w:val="0"/>
      <w:adjustRightInd w:val="0"/>
    </w:pPr>
    <w:rPr>
      <w:rFonts w:eastAsiaTheme="minorEastAsia"/>
      <w:color w:val="000000"/>
      <w:sz w:val="24"/>
      <w:szCs w:val="24"/>
      <w:lang w:eastAsia="ja-JP"/>
    </w:rPr>
  </w:style>
  <w:style w:type="character" w:customStyle="1" w:styleId="Heading2Char">
    <w:name w:val="Heading 2 Char"/>
    <w:basedOn w:val="DefaultParagraphFont"/>
    <w:link w:val="Heading2"/>
    <w:rsid w:val="005E70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7164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F0C14"/>
    <w:rPr>
      <w:b/>
      <w:bCs/>
    </w:rPr>
  </w:style>
  <w:style w:type="paragraph" w:styleId="NormalWeb">
    <w:name w:val="Normal (Web)"/>
    <w:basedOn w:val="Normal"/>
    <w:uiPriority w:val="99"/>
    <w:unhideWhenUsed/>
    <w:rsid w:val="00AF0C14"/>
    <w:pPr>
      <w:spacing w:before="100" w:beforeAutospacing="1" w:after="100" w:afterAutospacing="1"/>
    </w:pPr>
    <w:rPr>
      <w:rFonts w:ascii="Times New Roman" w:hAnsi="Times New Roman"/>
      <w:sz w:val="24"/>
      <w:szCs w:val="24"/>
      <w:lang w:eastAsia="ja-JP"/>
    </w:rPr>
  </w:style>
  <w:style w:type="paragraph" w:styleId="ListParagraph">
    <w:name w:val="List Paragraph"/>
    <w:basedOn w:val="Normal"/>
    <w:uiPriority w:val="34"/>
    <w:qFormat/>
    <w:rsid w:val="004F4F02"/>
    <w:pPr>
      <w:ind w:left="720"/>
      <w:contextualSpacing/>
    </w:pPr>
  </w:style>
  <w:style w:type="character" w:customStyle="1" w:styleId="text">
    <w:name w:val="text"/>
    <w:basedOn w:val="DefaultParagraphFont"/>
    <w:rsid w:val="00305319"/>
  </w:style>
  <w:style w:type="character" w:customStyle="1" w:styleId="resultssummary">
    <w:name w:val="results_summary"/>
    <w:basedOn w:val="DefaultParagraphFont"/>
    <w:rsid w:val="00305319"/>
  </w:style>
  <w:style w:type="character" w:customStyle="1" w:styleId="oxzekf">
    <w:name w:val="oxzekf"/>
    <w:basedOn w:val="DefaultParagraphFont"/>
    <w:rsid w:val="0010158B"/>
  </w:style>
  <w:style w:type="character" w:customStyle="1" w:styleId="Heading1Char">
    <w:name w:val="Heading 1 Char"/>
    <w:basedOn w:val="DefaultParagraphFont"/>
    <w:link w:val="Heading1"/>
    <w:rsid w:val="007019F4"/>
    <w:rPr>
      <w:rFonts w:ascii="Arial" w:hAnsi="Arial"/>
      <w:b/>
      <w:kern w:val="28"/>
      <w:sz w:val="28"/>
    </w:rPr>
  </w:style>
  <w:style w:type="character" w:styleId="UnresolvedMention">
    <w:name w:val="Unresolved Mention"/>
    <w:basedOn w:val="DefaultParagraphFont"/>
    <w:uiPriority w:val="99"/>
    <w:semiHidden/>
    <w:unhideWhenUsed/>
    <w:rsid w:val="00327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855256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8336002">
      <w:bodyDiv w:val="1"/>
      <w:marLeft w:val="0"/>
      <w:marRight w:val="0"/>
      <w:marTop w:val="0"/>
      <w:marBottom w:val="0"/>
      <w:divBdr>
        <w:top w:val="none" w:sz="0" w:space="0" w:color="auto"/>
        <w:left w:val="none" w:sz="0" w:space="0" w:color="auto"/>
        <w:bottom w:val="none" w:sz="0" w:space="0" w:color="auto"/>
        <w:right w:val="none" w:sz="0" w:space="0" w:color="auto"/>
      </w:divBdr>
      <w:divsChild>
        <w:div w:id="547768819">
          <w:marLeft w:val="547"/>
          <w:marRight w:val="0"/>
          <w:marTop w:val="0"/>
          <w:marBottom w:val="120"/>
          <w:divBdr>
            <w:top w:val="none" w:sz="0" w:space="0" w:color="auto"/>
            <w:left w:val="none" w:sz="0" w:space="0" w:color="auto"/>
            <w:bottom w:val="none" w:sz="0" w:space="0" w:color="auto"/>
            <w:right w:val="none" w:sz="0" w:space="0" w:color="auto"/>
          </w:divBdr>
        </w:div>
      </w:divsChild>
    </w:div>
    <w:div w:id="328482001">
      <w:bodyDiv w:val="1"/>
      <w:marLeft w:val="0"/>
      <w:marRight w:val="0"/>
      <w:marTop w:val="0"/>
      <w:marBottom w:val="0"/>
      <w:divBdr>
        <w:top w:val="none" w:sz="0" w:space="0" w:color="auto"/>
        <w:left w:val="none" w:sz="0" w:space="0" w:color="auto"/>
        <w:bottom w:val="none" w:sz="0" w:space="0" w:color="auto"/>
        <w:right w:val="none" w:sz="0" w:space="0" w:color="auto"/>
      </w:divBdr>
      <w:divsChild>
        <w:div w:id="346561595">
          <w:marLeft w:val="0"/>
          <w:marRight w:val="0"/>
          <w:marTop w:val="0"/>
          <w:marBottom w:val="0"/>
          <w:divBdr>
            <w:top w:val="none" w:sz="0" w:space="0" w:color="auto"/>
            <w:left w:val="none" w:sz="0" w:space="0" w:color="auto"/>
            <w:bottom w:val="none" w:sz="0" w:space="0" w:color="auto"/>
            <w:right w:val="none" w:sz="0" w:space="0" w:color="auto"/>
          </w:divBdr>
        </w:div>
      </w:divsChild>
    </w:div>
    <w:div w:id="518592552">
      <w:bodyDiv w:val="1"/>
      <w:marLeft w:val="0"/>
      <w:marRight w:val="0"/>
      <w:marTop w:val="0"/>
      <w:marBottom w:val="0"/>
      <w:divBdr>
        <w:top w:val="none" w:sz="0" w:space="0" w:color="auto"/>
        <w:left w:val="none" w:sz="0" w:space="0" w:color="auto"/>
        <w:bottom w:val="none" w:sz="0" w:space="0" w:color="auto"/>
        <w:right w:val="none" w:sz="0" w:space="0" w:color="auto"/>
      </w:divBdr>
      <w:divsChild>
        <w:div w:id="1899125073">
          <w:marLeft w:val="3427"/>
          <w:marRight w:val="0"/>
          <w:marTop w:val="0"/>
          <w:marBottom w:val="120"/>
          <w:divBdr>
            <w:top w:val="none" w:sz="0" w:space="0" w:color="auto"/>
            <w:left w:val="none" w:sz="0" w:space="0" w:color="auto"/>
            <w:bottom w:val="none" w:sz="0" w:space="0" w:color="auto"/>
            <w:right w:val="none" w:sz="0" w:space="0" w:color="auto"/>
          </w:divBdr>
        </w:div>
      </w:divsChild>
    </w:div>
    <w:div w:id="5944829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5973307">
      <w:bodyDiv w:val="1"/>
      <w:marLeft w:val="0"/>
      <w:marRight w:val="0"/>
      <w:marTop w:val="0"/>
      <w:marBottom w:val="0"/>
      <w:divBdr>
        <w:top w:val="none" w:sz="0" w:space="0" w:color="auto"/>
        <w:left w:val="none" w:sz="0" w:space="0" w:color="auto"/>
        <w:bottom w:val="none" w:sz="0" w:space="0" w:color="auto"/>
        <w:right w:val="none" w:sz="0" w:space="0" w:color="auto"/>
      </w:divBdr>
    </w:div>
    <w:div w:id="756947492">
      <w:bodyDiv w:val="1"/>
      <w:marLeft w:val="0"/>
      <w:marRight w:val="0"/>
      <w:marTop w:val="0"/>
      <w:marBottom w:val="0"/>
      <w:divBdr>
        <w:top w:val="none" w:sz="0" w:space="0" w:color="auto"/>
        <w:left w:val="none" w:sz="0" w:space="0" w:color="auto"/>
        <w:bottom w:val="none" w:sz="0" w:space="0" w:color="auto"/>
        <w:right w:val="none" w:sz="0" w:space="0" w:color="auto"/>
      </w:divBdr>
      <w:divsChild>
        <w:div w:id="512577346">
          <w:marLeft w:val="3427"/>
          <w:marRight w:val="0"/>
          <w:marTop w:val="0"/>
          <w:marBottom w:val="120"/>
          <w:divBdr>
            <w:top w:val="none" w:sz="0" w:space="0" w:color="auto"/>
            <w:left w:val="none" w:sz="0" w:space="0" w:color="auto"/>
            <w:bottom w:val="none" w:sz="0" w:space="0" w:color="auto"/>
            <w:right w:val="none" w:sz="0" w:space="0" w:color="auto"/>
          </w:divBdr>
        </w:div>
      </w:divsChild>
    </w:div>
    <w:div w:id="757022751">
      <w:bodyDiv w:val="1"/>
      <w:marLeft w:val="0"/>
      <w:marRight w:val="0"/>
      <w:marTop w:val="0"/>
      <w:marBottom w:val="0"/>
      <w:divBdr>
        <w:top w:val="none" w:sz="0" w:space="0" w:color="auto"/>
        <w:left w:val="none" w:sz="0" w:space="0" w:color="auto"/>
        <w:bottom w:val="none" w:sz="0" w:space="0" w:color="auto"/>
        <w:right w:val="none" w:sz="0" w:space="0" w:color="auto"/>
      </w:divBdr>
    </w:div>
    <w:div w:id="95672063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5500869">
      <w:bodyDiv w:val="1"/>
      <w:marLeft w:val="0"/>
      <w:marRight w:val="0"/>
      <w:marTop w:val="0"/>
      <w:marBottom w:val="0"/>
      <w:divBdr>
        <w:top w:val="none" w:sz="0" w:space="0" w:color="auto"/>
        <w:left w:val="none" w:sz="0" w:space="0" w:color="auto"/>
        <w:bottom w:val="none" w:sz="0" w:space="0" w:color="auto"/>
        <w:right w:val="none" w:sz="0" w:space="0" w:color="auto"/>
      </w:divBdr>
      <w:divsChild>
        <w:div w:id="6686773">
          <w:marLeft w:val="547"/>
          <w:marRight w:val="0"/>
          <w:marTop w:val="0"/>
          <w:marBottom w:val="120"/>
          <w:divBdr>
            <w:top w:val="none" w:sz="0" w:space="0" w:color="auto"/>
            <w:left w:val="none" w:sz="0" w:space="0" w:color="auto"/>
            <w:bottom w:val="none" w:sz="0" w:space="0" w:color="auto"/>
            <w:right w:val="none" w:sz="0" w:space="0" w:color="auto"/>
          </w:divBdr>
        </w:div>
        <w:div w:id="968584679">
          <w:marLeft w:val="547"/>
          <w:marRight w:val="0"/>
          <w:marTop w:val="0"/>
          <w:marBottom w:val="120"/>
          <w:divBdr>
            <w:top w:val="none" w:sz="0" w:space="0" w:color="auto"/>
            <w:left w:val="none" w:sz="0" w:space="0" w:color="auto"/>
            <w:bottom w:val="none" w:sz="0" w:space="0" w:color="auto"/>
            <w:right w:val="none" w:sz="0" w:space="0" w:color="auto"/>
          </w:divBdr>
        </w:div>
        <w:div w:id="1770081879">
          <w:marLeft w:val="547"/>
          <w:marRight w:val="0"/>
          <w:marTop w:val="0"/>
          <w:marBottom w:val="120"/>
          <w:divBdr>
            <w:top w:val="none" w:sz="0" w:space="0" w:color="auto"/>
            <w:left w:val="none" w:sz="0" w:space="0" w:color="auto"/>
            <w:bottom w:val="none" w:sz="0" w:space="0" w:color="auto"/>
            <w:right w:val="none" w:sz="0" w:space="0" w:color="auto"/>
          </w:divBdr>
        </w:div>
        <w:div w:id="1226836161">
          <w:marLeft w:val="547"/>
          <w:marRight w:val="0"/>
          <w:marTop w:val="0"/>
          <w:marBottom w:val="120"/>
          <w:divBdr>
            <w:top w:val="none" w:sz="0" w:space="0" w:color="auto"/>
            <w:left w:val="none" w:sz="0" w:space="0" w:color="auto"/>
            <w:bottom w:val="none" w:sz="0" w:space="0" w:color="auto"/>
            <w:right w:val="none" w:sz="0" w:space="0" w:color="auto"/>
          </w:divBdr>
        </w:div>
      </w:divsChild>
    </w:div>
    <w:div w:id="1516848394">
      <w:bodyDiv w:val="1"/>
      <w:marLeft w:val="0"/>
      <w:marRight w:val="0"/>
      <w:marTop w:val="0"/>
      <w:marBottom w:val="0"/>
      <w:divBdr>
        <w:top w:val="none" w:sz="0" w:space="0" w:color="auto"/>
        <w:left w:val="none" w:sz="0" w:space="0" w:color="auto"/>
        <w:bottom w:val="none" w:sz="0" w:space="0" w:color="auto"/>
        <w:right w:val="none" w:sz="0" w:space="0" w:color="auto"/>
      </w:divBdr>
    </w:div>
    <w:div w:id="165105657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27">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06294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3917918">
      <w:bodyDiv w:val="1"/>
      <w:marLeft w:val="0"/>
      <w:marRight w:val="0"/>
      <w:marTop w:val="0"/>
      <w:marBottom w:val="0"/>
      <w:divBdr>
        <w:top w:val="none" w:sz="0" w:space="0" w:color="auto"/>
        <w:left w:val="none" w:sz="0" w:space="0" w:color="auto"/>
        <w:bottom w:val="none" w:sz="0" w:space="0" w:color="auto"/>
        <w:right w:val="none" w:sz="0" w:space="0" w:color="auto"/>
      </w:divBdr>
      <w:divsChild>
        <w:div w:id="1202472808">
          <w:marLeft w:val="547"/>
          <w:marRight w:val="0"/>
          <w:marTop w:val="0"/>
          <w:marBottom w:val="120"/>
          <w:divBdr>
            <w:top w:val="none" w:sz="0" w:space="0" w:color="auto"/>
            <w:left w:val="none" w:sz="0" w:space="0" w:color="auto"/>
            <w:bottom w:val="none" w:sz="0" w:space="0" w:color="auto"/>
            <w:right w:val="none" w:sz="0" w:space="0" w:color="auto"/>
          </w:divBdr>
        </w:div>
        <w:div w:id="115872618">
          <w:marLeft w:val="547"/>
          <w:marRight w:val="0"/>
          <w:marTop w:val="0"/>
          <w:marBottom w:val="120"/>
          <w:divBdr>
            <w:top w:val="none" w:sz="0" w:space="0" w:color="auto"/>
            <w:left w:val="none" w:sz="0" w:space="0" w:color="auto"/>
            <w:bottom w:val="none" w:sz="0" w:space="0" w:color="auto"/>
            <w:right w:val="none" w:sz="0" w:space="0" w:color="auto"/>
          </w:divBdr>
        </w:div>
        <w:div w:id="256056965">
          <w:marLeft w:val="547"/>
          <w:marRight w:val="0"/>
          <w:marTop w:val="0"/>
          <w:marBottom w:val="120"/>
          <w:divBdr>
            <w:top w:val="none" w:sz="0" w:space="0" w:color="auto"/>
            <w:left w:val="none" w:sz="0" w:space="0" w:color="auto"/>
            <w:bottom w:val="none" w:sz="0" w:space="0" w:color="auto"/>
            <w:right w:val="none" w:sz="0" w:space="0" w:color="auto"/>
          </w:divBdr>
        </w:div>
        <w:div w:id="298803757">
          <w:marLeft w:val="547"/>
          <w:marRight w:val="0"/>
          <w:marTop w:val="0"/>
          <w:marBottom w:val="120"/>
          <w:divBdr>
            <w:top w:val="none" w:sz="0" w:space="0" w:color="auto"/>
            <w:left w:val="none" w:sz="0" w:space="0" w:color="auto"/>
            <w:bottom w:val="none" w:sz="0" w:space="0" w:color="auto"/>
            <w:right w:val="none" w:sz="0" w:space="0" w:color="auto"/>
          </w:divBdr>
        </w:div>
        <w:div w:id="1964185628">
          <w:marLeft w:val="547"/>
          <w:marRight w:val="0"/>
          <w:marTop w:val="0"/>
          <w:marBottom w:val="120"/>
          <w:divBdr>
            <w:top w:val="none" w:sz="0" w:space="0" w:color="auto"/>
            <w:left w:val="none" w:sz="0" w:space="0" w:color="auto"/>
            <w:bottom w:val="none" w:sz="0" w:space="0" w:color="auto"/>
            <w:right w:val="none" w:sz="0" w:space="0" w:color="auto"/>
          </w:divBdr>
        </w:div>
      </w:divsChild>
    </w:div>
    <w:div w:id="2090347512">
      <w:bodyDiv w:val="1"/>
      <w:marLeft w:val="0"/>
      <w:marRight w:val="0"/>
      <w:marTop w:val="0"/>
      <w:marBottom w:val="0"/>
      <w:divBdr>
        <w:top w:val="none" w:sz="0" w:space="0" w:color="auto"/>
        <w:left w:val="none" w:sz="0" w:space="0" w:color="auto"/>
        <w:bottom w:val="none" w:sz="0" w:space="0" w:color="auto"/>
        <w:right w:val="none" w:sz="0" w:space="0" w:color="auto"/>
      </w:divBdr>
    </w:div>
    <w:div w:id="2136437265">
      <w:bodyDiv w:val="1"/>
      <w:marLeft w:val="0"/>
      <w:marRight w:val="0"/>
      <w:marTop w:val="0"/>
      <w:marBottom w:val="0"/>
      <w:divBdr>
        <w:top w:val="none" w:sz="0" w:space="0" w:color="auto"/>
        <w:left w:val="none" w:sz="0" w:space="0" w:color="auto"/>
        <w:bottom w:val="none" w:sz="0" w:space="0" w:color="auto"/>
        <w:right w:val="none" w:sz="0" w:space="0" w:color="auto"/>
      </w:divBdr>
      <w:divsChild>
        <w:div w:id="181745102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6743648117484"/>
          <c:y val="6.3657407407407413E-2"/>
          <c:w val="0.73231705647274037"/>
          <c:h val="0.69495525298920968"/>
        </c:manualLayout>
      </c:layout>
      <c:barChart>
        <c:barDir val="col"/>
        <c:grouping val="clustered"/>
        <c:varyColors val="0"/>
        <c:ser>
          <c:idx val="0"/>
          <c:order val="0"/>
          <c:tx>
            <c:strRef>
              <c:f>'Sugar 2'!$C$42</c:f>
              <c:strCache>
                <c:ptCount val="1"/>
                <c:pt idx="0">
                  <c:v>Pyinmana</c:v>
                </c:pt>
              </c:strCache>
            </c:strRef>
          </c:tx>
          <c:spPr>
            <a:solidFill>
              <a:schemeClr val="accent2">
                <a:lumMod val="60000"/>
                <a:lumOff val="40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9F-456E-BF00-209B6FDE26CF}"/>
                </c:ext>
              </c:extLst>
            </c:dLbl>
            <c:dLbl>
              <c:idx val="1"/>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9F-456E-BF00-209B6FDE26CF}"/>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9F-456E-BF00-209B6FDE26C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2'!$B$43:$B$45</c:f>
              <c:strCache>
                <c:ptCount val="3"/>
                <c:pt idx="0">
                  <c:v>V1</c:v>
                </c:pt>
                <c:pt idx="1">
                  <c:v>V2</c:v>
                </c:pt>
                <c:pt idx="2">
                  <c:v>V3</c:v>
                </c:pt>
              </c:strCache>
            </c:strRef>
          </c:cat>
          <c:val>
            <c:numRef>
              <c:f>'Sugar 2'!$C$43:$C$45</c:f>
              <c:numCache>
                <c:formatCode>0</c:formatCode>
                <c:ptCount val="3"/>
                <c:pt idx="0">
                  <c:v>11.64</c:v>
                </c:pt>
                <c:pt idx="1">
                  <c:v>10.41</c:v>
                </c:pt>
                <c:pt idx="2">
                  <c:v>9.7100000000000009</c:v>
                </c:pt>
              </c:numCache>
            </c:numRef>
          </c:val>
          <c:extLst>
            <c:ext xmlns:c16="http://schemas.microsoft.com/office/drawing/2014/chart" uri="{C3380CC4-5D6E-409C-BE32-E72D297353CC}">
              <c16:uniqueId val="{00000003-779F-456E-BF00-209B6FDE26CF}"/>
            </c:ext>
          </c:extLst>
        </c:ser>
        <c:ser>
          <c:idx val="1"/>
          <c:order val="1"/>
          <c:tx>
            <c:strRef>
              <c:f>'Sugar 2'!$D$42</c:f>
              <c:strCache>
                <c:ptCount val="1"/>
                <c:pt idx="0">
                  <c:v>Nyaungpintha</c:v>
                </c:pt>
              </c:strCache>
            </c:strRef>
          </c:tx>
          <c:spPr>
            <a:solidFill>
              <a:srgbClr val="92D050"/>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9F-456E-BF00-209B6FDE26CF}"/>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9F-456E-BF00-209B6FDE26CF}"/>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9F-456E-BF00-209B6FDE26C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2'!$B$43:$B$45</c:f>
              <c:strCache>
                <c:ptCount val="3"/>
                <c:pt idx="0">
                  <c:v>V1</c:v>
                </c:pt>
                <c:pt idx="1">
                  <c:v>V2</c:v>
                </c:pt>
                <c:pt idx="2">
                  <c:v>V3</c:v>
                </c:pt>
              </c:strCache>
            </c:strRef>
          </c:cat>
          <c:val>
            <c:numRef>
              <c:f>'Sugar 2'!$D$43:$D$45</c:f>
              <c:numCache>
                <c:formatCode>0</c:formatCode>
                <c:ptCount val="3"/>
                <c:pt idx="0">
                  <c:v>9.7200000000000006</c:v>
                </c:pt>
                <c:pt idx="1">
                  <c:v>9.08</c:v>
                </c:pt>
                <c:pt idx="2">
                  <c:v>11.35</c:v>
                </c:pt>
              </c:numCache>
            </c:numRef>
          </c:val>
          <c:extLst>
            <c:ext xmlns:c16="http://schemas.microsoft.com/office/drawing/2014/chart" uri="{C3380CC4-5D6E-409C-BE32-E72D297353CC}">
              <c16:uniqueId val="{00000007-779F-456E-BF00-209B6FDE26CF}"/>
            </c:ext>
          </c:extLst>
        </c:ser>
        <c:dLbls>
          <c:dLblPos val="outEnd"/>
          <c:showLegendKey val="0"/>
          <c:showVal val="1"/>
          <c:showCatName val="0"/>
          <c:showSerName val="0"/>
          <c:showPercent val="0"/>
          <c:showBubbleSize val="0"/>
        </c:dLbls>
        <c:gapWidth val="90"/>
        <c:overlap val="-27"/>
        <c:axId val="1054042800"/>
        <c:axId val="961848688"/>
      </c:barChart>
      <c:catAx>
        <c:axId val="10540428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61848688"/>
        <c:crosses val="autoZero"/>
        <c:auto val="1"/>
        <c:lblAlgn val="ctr"/>
        <c:lblOffset val="100"/>
        <c:noMultiLvlLbl val="0"/>
      </c:catAx>
      <c:valAx>
        <c:axId val="961848688"/>
        <c:scaling>
          <c:orientation val="minMax"/>
          <c:max val="12"/>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1" i="0" baseline="0" dirty="0">
                    <a:solidFill>
                      <a:schemeClr val="tx1"/>
                    </a:solidFill>
                    <a:effectLst/>
                    <a:latin typeface="Arial" panose="020B0604020202020204" pitchFamily="34" charset="0"/>
                    <a:cs typeface="Arial" panose="020B0604020202020204" pitchFamily="34" charset="0"/>
                  </a:rPr>
                  <a:t>Sugar yield (</a:t>
                </a:r>
                <a:r>
                  <a:rPr lang="en-US" sz="1000" b="1" i="0" baseline="0" dirty="0" err="1">
                    <a:solidFill>
                      <a:schemeClr val="tx1"/>
                    </a:solidFill>
                    <a:effectLst/>
                    <a:latin typeface="Arial" panose="020B0604020202020204" pitchFamily="34" charset="0"/>
                    <a:cs typeface="Arial" panose="020B0604020202020204" pitchFamily="34" charset="0"/>
                  </a:rPr>
                  <a:t>t ha</a:t>
                </a:r>
                <a:r>
                  <a:rPr lang="en-US" sz="1000" b="1" i="0" baseline="0" dirty="0">
                    <a:solidFill>
                      <a:schemeClr val="tx1"/>
                    </a:solidFill>
                    <a:effectLst/>
                    <a:latin typeface="Arial" panose="020B0604020202020204" pitchFamily="34" charset="0"/>
                    <a:cs typeface="Arial" panose="020B0604020202020204" pitchFamily="34" charset="0"/>
                  </a:rPr>
                  <a:t> </a:t>
                </a:r>
                <a:r>
                  <a:rPr lang="en-US" sz="1000" b="1" i="0" baseline="30000" dirty="0">
                    <a:solidFill>
                      <a:schemeClr val="tx1"/>
                    </a:solidFill>
                    <a:effectLst/>
                    <a:latin typeface="Arial" panose="020B0604020202020204" pitchFamily="34" charset="0"/>
                    <a:cs typeface="Arial" panose="020B0604020202020204" pitchFamily="34" charset="0"/>
                  </a:rPr>
                  <a:t>-1</a:t>
                </a:r>
                <a:r>
                  <a:rPr lang="en-US" sz="1000" b="1" i="0" baseline="0" dirty="0">
                    <a:solidFill>
                      <a:schemeClr val="tx1"/>
                    </a:solidFill>
                    <a:effectLst/>
                    <a:latin typeface="Arial" panose="020B0604020202020204" pitchFamily="34" charset="0"/>
                    <a:cs typeface="Arial" panose="020B0604020202020204" pitchFamily="34" charset="0"/>
                  </a:rPr>
                  <a:t>)</a:t>
                </a:r>
                <a:endParaRPr lang="en-US" sz="1000" dirty="0">
                  <a:solidFill>
                    <a:schemeClr val="tx1"/>
                  </a:solidFill>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5404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75670086693708"/>
          <c:y val="7.4424486001749793E-2"/>
          <c:w val="0.83724329913306295"/>
          <c:h val="0.69092300962379716"/>
        </c:manualLayout>
      </c:layout>
      <c:barChart>
        <c:barDir val="col"/>
        <c:grouping val="clustered"/>
        <c:varyColors val="0"/>
        <c:ser>
          <c:idx val="0"/>
          <c:order val="0"/>
          <c:tx>
            <c:strRef>
              <c:f>'Sugar 2'!$C$37</c:f>
              <c:strCache>
                <c:ptCount val="1"/>
                <c:pt idx="0">
                  <c:v>Pyinmana</c:v>
                </c:pt>
              </c:strCache>
            </c:strRef>
          </c:tx>
          <c:spPr>
            <a:solidFill>
              <a:schemeClr val="accent2">
                <a:lumMod val="60000"/>
                <a:lumOff val="40000"/>
              </a:schemeClr>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86-470F-8055-19E57403480D}"/>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86-470F-8055-19E57403480D}"/>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86-470F-8055-19E57403480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2'!$B$38:$B$40</c:f>
              <c:strCache>
                <c:ptCount val="3"/>
                <c:pt idx="0">
                  <c:v>H1</c:v>
                </c:pt>
                <c:pt idx="1">
                  <c:v>H2</c:v>
                </c:pt>
                <c:pt idx="2">
                  <c:v>H3</c:v>
                </c:pt>
              </c:strCache>
            </c:strRef>
          </c:cat>
          <c:val>
            <c:numRef>
              <c:f>'Sugar 2'!$C$38:$C$40</c:f>
              <c:numCache>
                <c:formatCode>0</c:formatCode>
                <c:ptCount val="3"/>
                <c:pt idx="0">
                  <c:v>9.86</c:v>
                </c:pt>
                <c:pt idx="1">
                  <c:v>10.14</c:v>
                </c:pt>
                <c:pt idx="2">
                  <c:v>11.74</c:v>
                </c:pt>
              </c:numCache>
            </c:numRef>
          </c:val>
          <c:extLst>
            <c:ext xmlns:c16="http://schemas.microsoft.com/office/drawing/2014/chart" uri="{C3380CC4-5D6E-409C-BE32-E72D297353CC}">
              <c16:uniqueId val="{00000003-7186-470F-8055-19E57403480D}"/>
            </c:ext>
          </c:extLst>
        </c:ser>
        <c:ser>
          <c:idx val="1"/>
          <c:order val="1"/>
          <c:tx>
            <c:strRef>
              <c:f>'Sugar 2'!$D$37</c:f>
              <c:strCache>
                <c:ptCount val="1"/>
                <c:pt idx="0">
                  <c:v>Nyaungpintha</c:v>
                </c:pt>
              </c:strCache>
            </c:strRef>
          </c:tx>
          <c:spPr>
            <a:solidFill>
              <a:srgbClr val="92D050"/>
            </a:solidFill>
            <a:ln>
              <a:noFill/>
            </a:ln>
            <a:effectLst/>
          </c:spPr>
          <c:invertIfNegative val="0"/>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86-470F-8055-19E57403480D}"/>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86-470F-8055-19E57403480D}"/>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86-470F-8055-19E57403480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'Sugar 2'!$B$38:$B$40</c:f>
              <c:strCache>
                <c:ptCount val="3"/>
                <c:pt idx="0">
                  <c:v>H1</c:v>
                </c:pt>
                <c:pt idx="1">
                  <c:v>H2</c:v>
                </c:pt>
                <c:pt idx="2">
                  <c:v>H3</c:v>
                </c:pt>
              </c:strCache>
            </c:strRef>
          </c:cat>
          <c:val>
            <c:numRef>
              <c:f>'Sugar 2'!$D$38:$D$40</c:f>
              <c:numCache>
                <c:formatCode>0</c:formatCode>
                <c:ptCount val="3"/>
                <c:pt idx="0">
                  <c:v>9.09</c:v>
                </c:pt>
                <c:pt idx="1">
                  <c:v>9.73</c:v>
                </c:pt>
                <c:pt idx="2">
                  <c:v>11.33</c:v>
                </c:pt>
              </c:numCache>
            </c:numRef>
          </c:val>
          <c:extLst>
            <c:ext xmlns:c16="http://schemas.microsoft.com/office/drawing/2014/chart" uri="{C3380CC4-5D6E-409C-BE32-E72D297353CC}">
              <c16:uniqueId val="{00000007-7186-470F-8055-19E57403480D}"/>
            </c:ext>
          </c:extLst>
        </c:ser>
        <c:dLbls>
          <c:dLblPos val="outEnd"/>
          <c:showLegendKey val="0"/>
          <c:showVal val="1"/>
          <c:showCatName val="0"/>
          <c:showSerName val="0"/>
          <c:showPercent val="0"/>
          <c:showBubbleSize val="0"/>
        </c:dLbls>
        <c:gapWidth val="90"/>
        <c:overlap val="-27"/>
        <c:axId val="1054047200"/>
        <c:axId val="1028698848"/>
      </c:barChart>
      <c:catAx>
        <c:axId val="10540472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28698848"/>
        <c:crosses val="autoZero"/>
        <c:auto val="1"/>
        <c:lblAlgn val="ctr"/>
        <c:lblOffset val="100"/>
        <c:noMultiLvlLbl val="0"/>
      </c:catAx>
      <c:valAx>
        <c:axId val="1028698848"/>
        <c:scaling>
          <c:orientation val="minMax"/>
          <c:max val="12"/>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5404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A19C-0722-4B41-9A56-B2F1FA6D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2369</TotalTime>
  <Pages>14</Pages>
  <Words>4846</Words>
  <Characters>27624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32406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cp:lastModifiedBy>
  <cp:revision>419</cp:revision>
  <cp:lastPrinted>1999-07-06T11:00:00Z</cp:lastPrinted>
  <dcterms:created xsi:type="dcterms:W3CDTF">2024-10-22T07:57:00Z</dcterms:created>
  <dcterms:modified xsi:type="dcterms:W3CDTF">2025-08-20T09:25:00Z</dcterms:modified>
</cp:coreProperties>
</file>