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620E" w14:textId="0855C3C3" w:rsidR="00F74BD5" w:rsidRPr="001B71D7" w:rsidRDefault="009F758A" w:rsidP="00055D83">
      <w:pPr>
        <w:spacing w:line="240" w:lineRule="auto"/>
        <w:jc w:val="center"/>
        <w:rPr>
          <w:rFonts w:cs="Times New Roman"/>
          <w:b/>
          <w:bCs/>
          <w:color w:val="000000" w:themeColor="text1"/>
          <w:sz w:val="36"/>
          <w:szCs w:val="36"/>
        </w:rPr>
      </w:pPr>
      <w:r w:rsidRPr="001B71D7">
        <w:rPr>
          <w:rFonts w:cs="Times New Roman"/>
          <w:b/>
          <w:bCs/>
          <w:color w:val="000000" w:themeColor="text1"/>
          <w:sz w:val="36"/>
          <w:szCs w:val="36"/>
        </w:rPr>
        <w:t>IMPACT OF WORKING CAPITAL MANAGEMENT PRACTICES ON FIRM VALUE: EVIDENCE FROM MANUFACTURING COMPANIES LISTED ON THE NAIROBI SECURITIES EXCHANGE, KENYA</w:t>
      </w:r>
    </w:p>
    <w:p w14:paraId="09D16150" w14:textId="77777777" w:rsidR="009F758A" w:rsidRPr="001B71D7" w:rsidRDefault="009F758A" w:rsidP="00055D83">
      <w:pPr>
        <w:spacing w:line="240" w:lineRule="auto"/>
        <w:jc w:val="center"/>
        <w:rPr>
          <w:rFonts w:cs="Times New Roman"/>
          <w:b/>
          <w:bCs/>
          <w:color w:val="000000" w:themeColor="text1"/>
          <w:sz w:val="36"/>
          <w:szCs w:val="36"/>
        </w:rPr>
      </w:pPr>
    </w:p>
    <w:p w14:paraId="5A05B718" w14:textId="77777777" w:rsidR="007A48D9" w:rsidRPr="001B71D7" w:rsidRDefault="007A48D9" w:rsidP="00055D83">
      <w:pPr>
        <w:spacing w:before="0" w:line="240" w:lineRule="auto"/>
        <w:jc w:val="center"/>
        <w:rPr>
          <w:rFonts w:cs="Times New Roman"/>
          <w:b/>
          <w:color w:val="000000" w:themeColor="text1"/>
          <w:szCs w:val="24"/>
        </w:rPr>
      </w:pPr>
    </w:p>
    <w:p w14:paraId="42946DD8" w14:textId="77777777" w:rsidR="00055D83" w:rsidRPr="007A5D11" w:rsidRDefault="00055D83" w:rsidP="00055D83">
      <w:pPr>
        <w:pStyle w:val="Heading1"/>
      </w:pPr>
      <w:bookmarkStart w:id="0" w:name="_Toc488404692"/>
      <w:bookmarkStart w:id="1" w:name="_Toc102409737"/>
      <w:r w:rsidRPr="007A5D11">
        <w:t>ABSTRACT</w:t>
      </w:r>
      <w:bookmarkEnd w:id="0"/>
      <w:bookmarkEnd w:id="1"/>
    </w:p>
    <w:p w14:paraId="172710D6" w14:textId="12AD210F" w:rsidR="009F758A" w:rsidRPr="001B71D7" w:rsidRDefault="000F64A3" w:rsidP="000F64A3">
      <w:pPr>
        <w:spacing w:line="240" w:lineRule="auto"/>
        <w:rPr>
          <w:rFonts w:cs="Times New Roman"/>
          <w:color w:val="000000" w:themeColor="text1"/>
          <w:szCs w:val="24"/>
        </w:rPr>
      </w:pPr>
      <w:r w:rsidRPr="007A5D11">
        <w:rPr>
          <w:rFonts w:cs="Times New Roman"/>
          <w:color w:val="000000" w:themeColor="text1"/>
          <w:szCs w:val="24"/>
        </w:rPr>
        <w:t>Firm value is a critical determinant of investor perceptions and capital allocation decisions. Despite its importance, manufacturing firms listed on the Nairobi Securities Exchange (NSE) have experienced declining market valuations, reflected in volatile share returns. This study investigates the impact of working capital management practices</w:t>
      </w:r>
      <w:r w:rsidR="00554C06" w:rsidRPr="007A5D11">
        <w:rPr>
          <w:rFonts w:cs="Times New Roman"/>
          <w:color w:val="000000" w:themeColor="text1"/>
          <w:szCs w:val="24"/>
        </w:rPr>
        <w:t xml:space="preserve"> </w:t>
      </w:r>
      <w:r w:rsidRPr="007A5D11">
        <w:rPr>
          <w:rFonts w:cs="Times New Roman"/>
          <w:color w:val="000000" w:themeColor="text1"/>
          <w:szCs w:val="24"/>
        </w:rPr>
        <w:t>specifically trade receivables, trade payables, and inventory levels</w:t>
      </w:r>
      <w:r w:rsidR="00554C06" w:rsidRPr="007A5D11">
        <w:rPr>
          <w:rFonts w:cs="Times New Roman"/>
          <w:color w:val="000000" w:themeColor="text1"/>
          <w:szCs w:val="24"/>
        </w:rPr>
        <w:t xml:space="preserve"> </w:t>
      </w:r>
      <w:r w:rsidRPr="007A5D11">
        <w:rPr>
          <w:rFonts w:cs="Times New Roman"/>
          <w:color w:val="000000" w:themeColor="text1"/>
          <w:szCs w:val="24"/>
        </w:rPr>
        <w:t>on firm value, addressing a gap in empirical evidence from emerging markets. Grounded in transaction theory, the cash conversion cycle, and shareholder wealth theory, the study adopted an explanatory research design. It focused on nine listed manufacturing firms, with purposive sampling yielding seven consistently listed between 2014 and 2023. Secondary panel data were analyzed using descriptive statistics, correlation, and regression analysis, supported by diagnostic tests including distribution checks, multicollinearity, serial correlation, and the Hausman specification test. Results indicate that efficient accounts receivable management, reflected in shorter collection periods, strengthens investor confidence by signaling effective credit policies. Strategic accounts payable management enhances liquidity but requires careful balancing to preserve supplier trust. Lean inventory practices emerged as a key driver of firm value, reducing holding costs and improving operational efficiency. The study contributes to literature by providing context-specific evidence from Kenya’s capital market, highlighting how working capital practices influence firm value in developing economies. It extends theory by linking working capital decisions to shareholder wealth maximization and market-based valuation outcomes. The findings suggest that firms should adopt integrated working capital frameworks that align receivable, payable, and inventory management. Practical measures include comprehensive credit risk assessment, transparent supplier partnerships, and AI-driven inventory forecasting. These strategies not only enhance operational efficiency but also strengthen investor confidence and long-term firm value.</w:t>
      </w:r>
    </w:p>
    <w:p w14:paraId="50BDA421" w14:textId="77777777" w:rsidR="009F758A" w:rsidRPr="001B71D7" w:rsidRDefault="009F758A" w:rsidP="009F758A">
      <w:pPr>
        <w:spacing w:line="240" w:lineRule="auto"/>
        <w:rPr>
          <w:rFonts w:cs="Times New Roman"/>
          <w:color w:val="000000" w:themeColor="text1"/>
          <w:szCs w:val="24"/>
        </w:rPr>
      </w:pPr>
    </w:p>
    <w:p w14:paraId="04306579" w14:textId="164E5D48" w:rsidR="00F74BD5" w:rsidRPr="001B71D7" w:rsidRDefault="009F758A" w:rsidP="009F758A">
      <w:pPr>
        <w:spacing w:line="240" w:lineRule="auto"/>
        <w:rPr>
          <w:rFonts w:cs="Times New Roman"/>
          <w:color w:val="000000" w:themeColor="text1"/>
          <w:szCs w:val="24"/>
        </w:rPr>
      </w:pPr>
      <w:r w:rsidRPr="001B71D7">
        <w:rPr>
          <w:rFonts w:cs="Times New Roman"/>
          <w:b/>
          <w:bCs/>
          <w:color w:val="000000" w:themeColor="text1"/>
          <w:szCs w:val="24"/>
        </w:rPr>
        <w:t>Keywords:</w:t>
      </w:r>
      <w:r w:rsidRPr="001B71D7">
        <w:rPr>
          <w:rFonts w:cs="Times New Roman"/>
          <w:color w:val="000000" w:themeColor="text1"/>
          <w:szCs w:val="24"/>
        </w:rPr>
        <w:t xml:space="preserve"> </w:t>
      </w:r>
      <w:r w:rsidRPr="001B71D7">
        <w:rPr>
          <w:rFonts w:cs="Times New Roman"/>
          <w:i/>
          <w:iCs/>
          <w:color w:val="000000" w:themeColor="text1"/>
          <w:szCs w:val="24"/>
        </w:rPr>
        <w:t>firm value, working capital management, trade receivables, trade payables, inventory management, manufacturing firms, Nairobi Securities Exchange</w:t>
      </w:r>
      <w:r w:rsidR="00F74BD5" w:rsidRPr="001B71D7">
        <w:rPr>
          <w:rFonts w:cs="Times New Roman"/>
          <w:color w:val="000000" w:themeColor="text1"/>
          <w:szCs w:val="24"/>
        </w:rPr>
        <w:t>.</w:t>
      </w:r>
    </w:p>
    <w:p w14:paraId="2CF9CB18" w14:textId="77777777" w:rsidR="00FB2E0F" w:rsidRPr="001B71D7" w:rsidRDefault="00FB2E0F" w:rsidP="00FB2E0F">
      <w:pPr>
        <w:spacing w:line="240" w:lineRule="auto"/>
        <w:rPr>
          <w:rFonts w:cs="Times New Roman"/>
          <w:color w:val="000000" w:themeColor="text1"/>
          <w:szCs w:val="24"/>
        </w:rPr>
      </w:pPr>
    </w:p>
    <w:p w14:paraId="60C890DF" w14:textId="77777777" w:rsidR="00055D83" w:rsidRPr="001B71D7" w:rsidRDefault="00055D83" w:rsidP="00055D83">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1.0 INTRODUCTION</w:t>
      </w:r>
    </w:p>
    <w:p w14:paraId="7B0FA20C" w14:textId="792F10F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Firm value is a critical indicator of corporate performance, reflecting investor perceptions and a firm’s overall financial health (Belo, Gala, Salomao, &amp; Vitorino, 2022). According to Adiputra and Hermawan (2020), firm value is shaped by market signals such as stock prices, funding decisions, and investment activities. A sustained decline in firm value erodes investor confidence, limits external financing opportunities, and can ultimately lead to financial distress (Rahmi, Arfan, &amp; Saputra, 2023).</w:t>
      </w:r>
      <w:r w:rsidR="00E30A7F" w:rsidRPr="001B71D7">
        <w:rPr>
          <w:rFonts w:cs="Times New Roman"/>
          <w:color w:val="000000" w:themeColor="text1"/>
          <w:szCs w:val="24"/>
        </w:rPr>
        <w:t xml:space="preserve"> </w:t>
      </w:r>
      <w:r w:rsidRPr="001B71D7">
        <w:rPr>
          <w:rFonts w:cs="Times New Roman"/>
          <w:color w:val="000000" w:themeColor="text1"/>
          <w:szCs w:val="24"/>
        </w:rPr>
        <w:t xml:space="preserve">Working capital management (WCM) plays a central role in sustaining and enhancing firm value, particularly for listed firms. Effective WCM enables firms to balance liquidity and operational efficiency, thereby supporting growth and profitability (Zutter &amp; Smart, 2019; Gunay &amp; Cokins, 2021). </w:t>
      </w:r>
      <w:r w:rsidRPr="001B71D7">
        <w:rPr>
          <w:rFonts w:cs="Times New Roman"/>
          <w:color w:val="000000" w:themeColor="text1"/>
          <w:szCs w:val="24"/>
        </w:rPr>
        <w:lastRenderedPageBreak/>
        <w:t>Excess idle capital reflects inefficiency, while insufficient liquidity signals potential operational paralysis. Without adequate cash to fund operations, firms struggle to expand initiatives or increase sales, constraining both growth and profitability (Nguyen, Tan, &amp; Nguyen, 2021).</w:t>
      </w:r>
    </w:p>
    <w:p w14:paraId="277FED19" w14:textId="404F3A5C"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Efficient WCM benefits shareholders, while poor management or weak policies can have severe financial consequences (</w:t>
      </w:r>
      <w:proofErr w:type="spellStart"/>
      <w:r w:rsidRPr="001B71D7">
        <w:rPr>
          <w:rFonts w:cs="Times New Roman"/>
          <w:color w:val="000000" w:themeColor="text1"/>
          <w:szCs w:val="24"/>
        </w:rPr>
        <w:t>Ngunju</w:t>
      </w:r>
      <w:proofErr w:type="spellEnd"/>
      <w:r w:rsidRPr="001B71D7">
        <w:rPr>
          <w:rFonts w:cs="Times New Roman"/>
          <w:color w:val="000000" w:themeColor="text1"/>
          <w:szCs w:val="24"/>
        </w:rPr>
        <w:t>, 2022). For example, favorable trade credit policies and adequate inventory levels can boost sales and reduce stock-out risks (</w:t>
      </w:r>
      <w:proofErr w:type="spellStart"/>
      <w:r w:rsidRPr="001B71D7">
        <w:rPr>
          <w:rFonts w:cs="Times New Roman"/>
          <w:color w:val="000000" w:themeColor="text1"/>
          <w:szCs w:val="24"/>
        </w:rPr>
        <w:t>Nastiti</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Atahau</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Supramono</w:t>
      </w:r>
      <w:proofErr w:type="spellEnd"/>
      <w:r w:rsidRPr="001B71D7">
        <w:rPr>
          <w:rFonts w:cs="Times New Roman"/>
          <w:color w:val="000000" w:themeColor="text1"/>
          <w:szCs w:val="24"/>
        </w:rPr>
        <w:t>, 2020). However, accounts payable must be carefully managed to maintain supplier relationships. Strategic differences also emerge across industries</w:t>
      </w:r>
      <w:r w:rsidR="00554C06">
        <w:rPr>
          <w:rFonts w:cs="Times New Roman"/>
          <w:color w:val="000000" w:themeColor="text1"/>
          <w:szCs w:val="24"/>
        </w:rPr>
        <w:t xml:space="preserve"> </w:t>
      </w:r>
      <w:r w:rsidRPr="001B71D7">
        <w:rPr>
          <w:rFonts w:cs="Times New Roman"/>
          <w:color w:val="000000" w:themeColor="text1"/>
          <w:szCs w:val="24"/>
        </w:rPr>
        <w:t>firms with limited competition often reduce receivables to boost cash flow, while those with many suppliers may prioritize extending payables (Wekesa &amp; Njeru, 2022).</w:t>
      </w:r>
    </w:p>
    <w:p w14:paraId="29ED5910"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International evidence underscores the strategic importance of WCM. In China, rapid economic growth has increased the need for efficient working capital structures to access long-term markets. However, differences in financial systems mean many Chinese firms still rely on informal financing or domestic bank credit, limiting their ability to release funds tied up in working capital (Ren et al., 2019; Vijayakumaran, 2019). Similarly, in Japan and Taiwan, higher-valued firms tend to invest less in working capital than their lower-valued counterparts, with efficient WCM contributing to uninterrupted operations and timely payments to stakeholders (Tsuruta, 2019; Le, 2019).</w:t>
      </w:r>
    </w:p>
    <w:p w14:paraId="4570B992" w14:textId="71D2AFCB"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In contrast, developing economies often struggle with WCM inefficiencies that depress firm value. Nigerian listed firms have faced declining performance due to inadequate management of liquid assets, poor debt handling, and suboptimal cash conversion and inventory policies (</w:t>
      </w:r>
      <w:proofErr w:type="spellStart"/>
      <w:r w:rsidRPr="001B71D7">
        <w:rPr>
          <w:rFonts w:cs="Times New Roman"/>
          <w:color w:val="000000" w:themeColor="text1"/>
          <w:szCs w:val="24"/>
        </w:rPr>
        <w:t>Otekunrin</w:t>
      </w:r>
      <w:proofErr w:type="spellEnd"/>
      <w:r w:rsidRPr="001B71D7">
        <w:rPr>
          <w:rFonts w:cs="Times New Roman"/>
          <w:color w:val="000000" w:themeColor="text1"/>
          <w:szCs w:val="24"/>
        </w:rPr>
        <w:t xml:space="preserve"> et al., 2021; Oladipo, Adegboyo, &amp; </w:t>
      </w:r>
      <w:proofErr w:type="spellStart"/>
      <w:r w:rsidRPr="001B71D7">
        <w:rPr>
          <w:rFonts w:cs="Times New Roman"/>
          <w:color w:val="000000" w:themeColor="text1"/>
          <w:szCs w:val="24"/>
        </w:rPr>
        <w:t>Olugbamiye</w:t>
      </w:r>
      <w:proofErr w:type="spellEnd"/>
      <w:r w:rsidRPr="001B71D7">
        <w:rPr>
          <w:rFonts w:cs="Times New Roman"/>
          <w:color w:val="000000" w:themeColor="text1"/>
          <w:szCs w:val="24"/>
        </w:rPr>
        <w:t xml:space="preserve">, 2020). While longer collection periods may boost sales, they reduce liquidity; conversely, extended payment terms can improve operations if early-payment discounts are leveraged (Olaoye, </w:t>
      </w:r>
      <w:proofErr w:type="spellStart"/>
      <w:r w:rsidRPr="001B71D7">
        <w:rPr>
          <w:rFonts w:cs="Times New Roman"/>
          <w:color w:val="000000" w:themeColor="text1"/>
          <w:szCs w:val="24"/>
        </w:rPr>
        <w:t>Adekanbi</w:t>
      </w:r>
      <w:proofErr w:type="spellEnd"/>
      <w:r w:rsidRPr="001B71D7">
        <w:rPr>
          <w:rFonts w:cs="Times New Roman"/>
          <w:color w:val="000000" w:themeColor="text1"/>
          <w:szCs w:val="24"/>
        </w:rPr>
        <w:t>, &amp; Oluwadare, 2019).</w:t>
      </w:r>
      <w:r w:rsidR="00E30A7F" w:rsidRPr="001B71D7">
        <w:rPr>
          <w:rFonts w:cs="Times New Roman"/>
          <w:color w:val="000000" w:themeColor="text1"/>
          <w:szCs w:val="24"/>
        </w:rPr>
        <w:t xml:space="preserve"> </w:t>
      </w:r>
      <w:r w:rsidRPr="001B71D7">
        <w:rPr>
          <w:rFonts w:cs="Times New Roman"/>
          <w:color w:val="000000" w:themeColor="text1"/>
          <w:szCs w:val="24"/>
        </w:rPr>
        <w:t>Ugandan manufacturing firms have also recorded persistently low firm values, attributed partly to weak leadership and inadequate WCM. Many lack the capacity to optimize operational funds, making it difficult to meet obligations such as creditor payments, raw material purchases, and tax settlements (</w:t>
      </w:r>
      <w:proofErr w:type="spellStart"/>
      <w:r w:rsidRPr="001B71D7">
        <w:rPr>
          <w:rFonts w:cs="Times New Roman"/>
          <w:color w:val="000000" w:themeColor="text1"/>
          <w:szCs w:val="24"/>
        </w:rPr>
        <w:t>Ssendagire</w:t>
      </w:r>
      <w:proofErr w:type="spellEnd"/>
      <w:r w:rsidRPr="001B71D7">
        <w:rPr>
          <w:rFonts w:cs="Times New Roman"/>
          <w:color w:val="000000" w:themeColor="text1"/>
          <w:szCs w:val="24"/>
        </w:rPr>
        <w:t xml:space="preserve">, 2018; </w:t>
      </w:r>
      <w:proofErr w:type="spellStart"/>
      <w:r w:rsidRPr="001B71D7">
        <w:rPr>
          <w:rFonts w:cs="Times New Roman"/>
          <w:color w:val="000000" w:themeColor="text1"/>
          <w:szCs w:val="24"/>
        </w:rPr>
        <w:t>Mulajje</w:t>
      </w:r>
      <w:proofErr w:type="spellEnd"/>
      <w:r w:rsidRPr="001B71D7">
        <w:rPr>
          <w:rFonts w:cs="Times New Roman"/>
          <w:color w:val="000000" w:themeColor="text1"/>
          <w:szCs w:val="24"/>
        </w:rPr>
        <w:t>, 2019).</w:t>
      </w:r>
    </w:p>
    <w:p w14:paraId="13638695" w14:textId="0607214F" w:rsidR="00822A7E"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In Kenya, recent trends reflect similar concerns. The Capital Markets Authority (2023) reports that firms listed on the Nairobi Securities Exchange (NSE) have experienced volatile and declining firm values, as shown by fluctuating market capitalization</w:t>
      </w:r>
      <w:r w:rsidR="00554C06">
        <w:rPr>
          <w:rFonts w:cs="Times New Roman"/>
          <w:color w:val="000000" w:themeColor="text1"/>
          <w:szCs w:val="24"/>
        </w:rPr>
        <w:t xml:space="preserve"> </w:t>
      </w:r>
      <w:r w:rsidRPr="001B71D7">
        <w:rPr>
          <w:rFonts w:cs="Times New Roman"/>
          <w:color w:val="000000" w:themeColor="text1"/>
          <w:szCs w:val="24"/>
        </w:rPr>
        <w:t xml:space="preserve">from </w:t>
      </w:r>
      <w:proofErr w:type="spellStart"/>
      <w:r w:rsidRPr="001B71D7">
        <w:rPr>
          <w:rFonts w:cs="Times New Roman"/>
          <w:color w:val="000000" w:themeColor="text1"/>
          <w:szCs w:val="24"/>
        </w:rPr>
        <w:t>KSh</w:t>
      </w:r>
      <w:proofErr w:type="spellEnd"/>
      <w:r w:rsidRPr="001B71D7">
        <w:rPr>
          <w:rFonts w:cs="Times New Roman"/>
          <w:color w:val="000000" w:themeColor="text1"/>
          <w:szCs w:val="24"/>
        </w:rPr>
        <w:t xml:space="preserve"> 1,932 billion in 2016, rising to </w:t>
      </w:r>
      <w:proofErr w:type="spellStart"/>
      <w:r w:rsidRPr="001B71D7">
        <w:rPr>
          <w:rFonts w:cs="Times New Roman"/>
          <w:color w:val="000000" w:themeColor="text1"/>
          <w:szCs w:val="24"/>
        </w:rPr>
        <w:t>KSh</w:t>
      </w:r>
      <w:proofErr w:type="spellEnd"/>
      <w:r w:rsidRPr="001B71D7">
        <w:rPr>
          <w:rFonts w:cs="Times New Roman"/>
          <w:color w:val="000000" w:themeColor="text1"/>
          <w:szCs w:val="24"/>
        </w:rPr>
        <w:t xml:space="preserve"> 2,593 billion in 2021, before falling to </w:t>
      </w:r>
      <w:proofErr w:type="spellStart"/>
      <w:r w:rsidRPr="001B71D7">
        <w:rPr>
          <w:rFonts w:cs="Times New Roman"/>
          <w:color w:val="000000" w:themeColor="text1"/>
          <w:szCs w:val="24"/>
        </w:rPr>
        <w:t>KSh</w:t>
      </w:r>
      <w:proofErr w:type="spellEnd"/>
      <w:r w:rsidRPr="001B71D7">
        <w:rPr>
          <w:rFonts w:cs="Times New Roman"/>
          <w:color w:val="000000" w:themeColor="text1"/>
          <w:szCs w:val="24"/>
        </w:rPr>
        <w:t xml:space="preserve"> 1,987 billion in 2022 (Mutua, 2023). This decline has been linked to factors such as firm size, liquidity, and asset turnover (</w:t>
      </w:r>
      <w:proofErr w:type="spellStart"/>
      <w:r w:rsidRPr="001B71D7">
        <w:rPr>
          <w:rFonts w:cs="Times New Roman"/>
          <w:color w:val="000000" w:themeColor="text1"/>
          <w:szCs w:val="24"/>
        </w:rPr>
        <w:t>Gworo</w:t>
      </w:r>
      <w:proofErr w:type="spellEnd"/>
      <w:r w:rsidRPr="001B71D7">
        <w:rPr>
          <w:rFonts w:cs="Times New Roman"/>
          <w:color w:val="000000" w:themeColor="text1"/>
          <w:szCs w:val="24"/>
        </w:rPr>
        <w:t>, 2019; Musembi, 2020; Bahraini et al., 2021).</w:t>
      </w:r>
      <w:r w:rsidR="00E30A7F" w:rsidRPr="001B71D7">
        <w:rPr>
          <w:rFonts w:cs="Times New Roman"/>
          <w:color w:val="000000" w:themeColor="text1"/>
          <w:szCs w:val="24"/>
        </w:rPr>
        <w:t xml:space="preserve"> </w:t>
      </w:r>
      <w:r w:rsidRPr="001B71D7">
        <w:rPr>
          <w:rFonts w:cs="Times New Roman"/>
          <w:color w:val="000000" w:themeColor="text1"/>
          <w:szCs w:val="24"/>
        </w:rPr>
        <w:t>Collectively, these insights reveal that WCM is not merely an operational necessity but a strategic driver of firm value. Across contexts</w:t>
      </w:r>
      <w:r w:rsidR="00554C06">
        <w:rPr>
          <w:rFonts w:cs="Times New Roman"/>
          <w:color w:val="000000" w:themeColor="text1"/>
          <w:szCs w:val="24"/>
        </w:rPr>
        <w:t xml:space="preserve"> </w:t>
      </w:r>
      <w:r w:rsidRPr="001B71D7">
        <w:rPr>
          <w:rFonts w:cs="Times New Roman"/>
          <w:color w:val="000000" w:themeColor="text1"/>
          <w:szCs w:val="24"/>
        </w:rPr>
        <w:t>whether in developed or developing economies</w:t>
      </w:r>
      <w:r w:rsidR="00554C06">
        <w:rPr>
          <w:rFonts w:cs="Times New Roman"/>
          <w:color w:val="000000" w:themeColor="text1"/>
          <w:szCs w:val="24"/>
        </w:rPr>
        <w:t xml:space="preserve"> </w:t>
      </w:r>
      <w:r w:rsidRPr="001B71D7">
        <w:rPr>
          <w:rFonts w:cs="Times New Roman"/>
          <w:color w:val="000000" w:themeColor="text1"/>
          <w:szCs w:val="24"/>
        </w:rPr>
        <w:t>firms that fail to optimize working capital risk diminished investor confidence, constrained growth, and weakened market performance.</w:t>
      </w:r>
    </w:p>
    <w:p w14:paraId="512DD579"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 xml:space="preserve">Working capital management (WCM) refers to the firm’s accounting policies and administrative strategies for monitoring key components of current assets and liabilities to sustain optimal operational capacity (Oladipo, Adegboyo, &amp; </w:t>
      </w:r>
      <w:proofErr w:type="spellStart"/>
      <w:r w:rsidRPr="001B71D7">
        <w:rPr>
          <w:rFonts w:cs="Times New Roman"/>
          <w:color w:val="000000" w:themeColor="text1"/>
          <w:szCs w:val="24"/>
        </w:rPr>
        <w:t>Olugbamiye</w:t>
      </w:r>
      <w:proofErr w:type="spellEnd"/>
      <w:r w:rsidRPr="001B71D7">
        <w:rPr>
          <w:rFonts w:cs="Times New Roman"/>
          <w:color w:val="000000" w:themeColor="text1"/>
          <w:szCs w:val="24"/>
        </w:rPr>
        <w:t>, 2020). In manufacturing firms, current assets often constitute more than half of total assets, making them critical for sustaining operations and distribution efficiency. However, excessive current assets can depress returns on investment, while insufficient levels can disrupt operational continuity (</w:t>
      </w:r>
      <w:proofErr w:type="spellStart"/>
      <w:r w:rsidRPr="001B71D7">
        <w:rPr>
          <w:rFonts w:cs="Times New Roman"/>
          <w:color w:val="000000" w:themeColor="text1"/>
          <w:szCs w:val="24"/>
        </w:rPr>
        <w:t>Ngunju</w:t>
      </w:r>
      <w:proofErr w:type="spellEnd"/>
      <w:r w:rsidRPr="001B71D7">
        <w:rPr>
          <w:rFonts w:cs="Times New Roman"/>
          <w:color w:val="000000" w:themeColor="text1"/>
          <w:szCs w:val="24"/>
        </w:rPr>
        <w:t>, 2022). Effective WCM requires balancing receivables, payables, and inventory to ensure liquidity and profitability (</w:t>
      </w:r>
      <w:proofErr w:type="spellStart"/>
      <w:r w:rsidRPr="001B71D7">
        <w:rPr>
          <w:rFonts w:cs="Times New Roman"/>
          <w:color w:val="000000" w:themeColor="text1"/>
          <w:szCs w:val="24"/>
        </w:rPr>
        <w:t>Nastiti</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Atahau</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Supramono</w:t>
      </w:r>
      <w:proofErr w:type="spellEnd"/>
      <w:r w:rsidRPr="001B71D7">
        <w:rPr>
          <w:rFonts w:cs="Times New Roman"/>
          <w:color w:val="000000" w:themeColor="text1"/>
          <w:szCs w:val="24"/>
        </w:rPr>
        <w:t>, 2020).</w:t>
      </w:r>
    </w:p>
    <w:p w14:paraId="0EA39BFF"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 xml:space="preserve">Accounts payable management involves strategically managing obligations to suppliers to optimize payment periods without compromising relationships or creditworthiness (Kithinji, </w:t>
      </w:r>
      <w:proofErr w:type="spellStart"/>
      <w:r w:rsidRPr="001B71D7">
        <w:rPr>
          <w:rFonts w:cs="Times New Roman"/>
          <w:color w:val="000000" w:themeColor="text1"/>
          <w:szCs w:val="24"/>
        </w:rPr>
        <w:t>Wephukulu</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Gekara</w:t>
      </w:r>
      <w:proofErr w:type="spellEnd"/>
      <w:r w:rsidRPr="001B71D7">
        <w:rPr>
          <w:rFonts w:cs="Times New Roman"/>
          <w:color w:val="000000" w:themeColor="text1"/>
          <w:szCs w:val="24"/>
        </w:rPr>
        <w:t>, &amp; Mwanzia, 2022). Strong supplier relationships can enhance production efficiency and supply chain reliability, while poor debt management can erode operational stability. Extending payment durations can provide firms with additional flexibility in cash flow management, but excessive delays risk damaging vendor trust.</w:t>
      </w:r>
    </w:p>
    <w:p w14:paraId="7B5D5A9B"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lastRenderedPageBreak/>
        <w:t>Similarly, accounts receivable management focuses on maintaining an optimal credit level to ensure liquidity while minimizing the risk of bad debts (Wangechi &amp; Irungu, 2023). Effective receivables management not only supports cash flow stability but also strengthens competitive positioning. Coordinating cash inflows from customers with outflows to suppliers and operational expenses forms the basis of an effective cash management strategy (Dan, 2022).</w:t>
      </w:r>
    </w:p>
    <w:p w14:paraId="4344AA8D"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Inventory management is equally critical, encompassing the control, procurement, storage, and movement of goods from raw materials to finished products (</w:t>
      </w:r>
      <w:proofErr w:type="spellStart"/>
      <w:r w:rsidRPr="001B71D7">
        <w:rPr>
          <w:rFonts w:cs="Times New Roman"/>
          <w:color w:val="000000" w:themeColor="text1"/>
          <w:szCs w:val="24"/>
        </w:rPr>
        <w:t>Muchaendepi</w:t>
      </w:r>
      <w:proofErr w:type="spellEnd"/>
      <w:r w:rsidRPr="001B71D7">
        <w:rPr>
          <w:rFonts w:cs="Times New Roman"/>
          <w:color w:val="000000" w:themeColor="text1"/>
          <w:szCs w:val="24"/>
        </w:rPr>
        <w:t xml:space="preserve"> et al., 2019). Timely inventory replenishment prevents production delays, while avoiding overstock minimizes excess working capital and shortens the cash conversion cycle (Oladipo et al., 2020).</w:t>
      </w:r>
    </w:p>
    <w:p w14:paraId="1BDCF907"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Firm value represents a key indicator of financial success, reflecting both shareholder wealth and market performance (Sondakh, 2019). It is defined as the total worth of a company’s assets, derived from operational outcomes over a given period (Adiputra &amp; Hermawan, 2020), and is often expressed through metrics such as market capitalization, stock indexes, and book value in relation to equity (Mutua, 2023).</w:t>
      </w:r>
    </w:p>
    <w:p w14:paraId="44317A61"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Common measures of firm value include the book value of equity, Return on Assets (ROA), Return on Equity (ROE), and Tobin’s Q. The book value of equity informs investment decisions by signaling a firm’s intrinsic worth and growth potential (Nguyen, Tan, &amp; Nguyen, 2021). ROA measures earnings generated from assets, while ROE assesses management’s effectiveness in generating returns for shareholders (Adan, 2021).</w:t>
      </w:r>
    </w:p>
    <w:p w14:paraId="7C6454A9" w14:textId="19FC1055"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Tobin’s Q, calculated as the ratio of a firm’s market value (equity and liabilities) to its total asset value, serves as a widely used proxy for firm value. A ratio above one suggests that the market values the firm’s assets more highly than their replacement cost, indicating strong growth prospects (</w:t>
      </w:r>
      <w:proofErr w:type="spellStart"/>
      <w:r w:rsidRPr="001B71D7">
        <w:rPr>
          <w:rFonts w:cs="Times New Roman"/>
          <w:color w:val="000000" w:themeColor="text1"/>
          <w:szCs w:val="24"/>
        </w:rPr>
        <w:t>Sudiyatno</w:t>
      </w:r>
      <w:proofErr w:type="spellEnd"/>
      <w:r w:rsidRPr="001B71D7">
        <w:rPr>
          <w:rFonts w:cs="Times New Roman"/>
          <w:color w:val="000000" w:themeColor="text1"/>
          <w:szCs w:val="24"/>
        </w:rPr>
        <w:t xml:space="preserve"> et al., 2020). In the manufacturing sector, Tobin’s Q for listed firms rose from 1.27 in 2019 to 1.62 in 2020, before declining to 0.669 in 2021, 0.653 in 2022, and 0.571 in 2023, reflecting changing market perceptions of asset utilization and growth potential.</w:t>
      </w:r>
    </w:p>
    <w:p w14:paraId="2A06C558" w14:textId="53E2423A" w:rsidR="002C08CA" w:rsidRPr="001B71D7" w:rsidRDefault="002C08CA" w:rsidP="002C08CA">
      <w:pPr>
        <w:shd w:val="clear" w:color="auto" w:fill="FFFFFF"/>
        <w:spacing w:line="240" w:lineRule="auto"/>
        <w:jc w:val="center"/>
        <w:rPr>
          <w:rFonts w:cs="Times New Roman"/>
          <w:color w:val="000000" w:themeColor="text1"/>
          <w:szCs w:val="24"/>
        </w:rPr>
      </w:pPr>
      <w:r w:rsidRPr="001B71D7">
        <w:rPr>
          <w:rFonts w:cs="Times New Roman"/>
          <w:noProof/>
          <w:szCs w:val="24"/>
        </w:rPr>
        <w:drawing>
          <wp:inline distT="0" distB="0" distL="0" distR="0" wp14:anchorId="2A1393BF" wp14:editId="4C17D6B6">
            <wp:extent cx="5486400" cy="23050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26FAD9" w14:textId="5DF5B47E" w:rsidR="002C08CA" w:rsidRPr="001B71D7" w:rsidRDefault="002C08CA" w:rsidP="002C08CA">
      <w:pPr>
        <w:spacing w:line="240" w:lineRule="auto"/>
        <w:rPr>
          <w:b/>
          <w:bCs/>
          <w:i/>
          <w:iCs/>
        </w:rPr>
      </w:pPr>
      <w:r w:rsidRPr="001B71D7">
        <w:rPr>
          <w:b/>
          <w:bCs/>
          <w:i/>
          <w:iCs/>
        </w:rPr>
        <w:t>Figure 1: Tobin Q of manufacturing firms listed in NSE</w:t>
      </w:r>
    </w:p>
    <w:p w14:paraId="52511881" w14:textId="77777777" w:rsidR="008B7490" w:rsidRPr="001B71D7" w:rsidRDefault="008B7490" w:rsidP="008B7490">
      <w:pPr>
        <w:shd w:val="clear" w:color="auto" w:fill="FFFFFF"/>
        <w:spacing w:before="0" w:line="240" w:lineRule="auto"/>
        <w:rPr>
          <w:rFonts w:eastAsia="Times New Roman" w:cs="Times New Roman"/>
          <w:color w:val="000000" w:themeColor="text1"/>
          <w:szCs w:val="24"/>
        </w:rPr>
      </w:pPr>
    </w:p>
    <w:p w14:paraId="69C3B513" w14:textId="0C25F6BE" w:rsidR="002C08CA" w:rsidRPr="001B71D7" w:rsidRDefault="002C08CA" w:rsidP="008B7490">
      <w:pPr>
        <w:shd w:val="clear" w:color="auto" w:fill="FFFFFF"/>
        <w:spacing w:before="0" w:line="240" w:lineRule="auto"/>
        <w:rPr>
          <w:rFonts w:eastAsia="Times New Roman" w:cs="Times New Roman"/>
          <w:color w:val="000000" w:themeColor="text1"/>
          <w:szCs w:val="24"/>
        </w:rPr>
      </w:pPr>
      <w:r w:rsidRPr="001B71D7">
        <w:rPr>
          <w:rFonts w:eastAsia="Times New Roman" w:cs="Times New Roman"/>
          <w:color w:val="000000" w:themeColor="text1"/>
          <w:szCs w:val="24"/>
        </w:rPr>
        <w:t>The Nairobi Securities Exchange (NSE), established in 1954 as a self-regulating association of share dealers under Kenyan law, was restructured in 1991 into a company limited by guarantee under the Companies Act. Since then, the number of brokerage firms, investment banks, custodians, rating agencies, and listed entities has expanded in line with market growth. The NSE facilitates trading in bonds, preference shares, and ordinary stocks, classifying listed companies into eleven sectors, including financial services, manufacturing, construction, energy and petroleum, telecommunications and technology, automotive, and other commercial enterprises (NSE, 2013). Publicly traded firms issue common or preferred shares, which are subsequently exchanged on the market.</w:t>
      </w:r>
    </w:p>
    <w:p w14:paraId="14068BDF" w14:textId="77777777" w:rsidR="002C08CA" w:rsidRPr="001B71D7" w:rsidRDefault="002C08CA" w:rsidP="008B7490">
      <w:pPr>
        <w:shd w:val="clear" w:color="auto" w:fill="FFFFFF"/>
        <w:spacing w:before="0" w:line="240" w:lineRule="auto"/>
        <w:rPr>
          <w:rFonts w:eastAsia="Times New Roman" w:cs="Times New Roman"/>
          <w:color w:val="000000" w:themeColor="text1"/>
          <w:szCs w:val="24"/>
        </w:rPr>
      </w:pPr>
    </w:p>
    <w:p w14:paraId="260AE22D" w14:textId="09D72BEF" w:rsidR="002C08CA" w:rsidRPr="001B71D7" w:rsidRDefault="002C08CA" w:rsidP="008B7490">
      <w:pPr>
        <w:shd w:val="clear" w:color="auto" w:fill="FFFFFF"/>
        <w:spacing w:before="0" w:line="240" w:lineRule="auto"/>
        <w:rPr>
          <w:rFonts w:eastAsia="Times New Roman" w:cs="Times New Roman"/>
          <w:color w:val="000000" w:themeColor="text1"/>
          <w:szCs w:val="24"/>
        </w:rPr>
      </w:pPr>
      <w:r w:rsidRPr="001B71D7">
        <w:rPr>
          <w:rFonts w:eastAsia="Times New Roman" w:cs="Times New Roman"/>
          <w:color w:val="000000" w:themeColor="text1"/>
          <w:szCs w:val="24"/>
        </w:rPr>
        <w:t>Within this framework, Kenya’s manufacturing sector plays a strategic role in the nation’s Vision 2030 objective of attaining middle-income status, operating primarily on an export-oriented model. According to the Kenya Association of Manufacturers (2015), the industry comprises twelve subsectors ranging from food and beverages to pharmaceuticals, textiles, electronics, and metals (</w:t>
      </w:r>
      <w:proofErr w:type="spellStart"/>
      <w:r w:rsidRPr="001B71D7">
        <w:rPr>
          <w:rFonts w:eastAsia="Times New Roman" w:cs="Times New Roman"/>
          <w:color w:val="000000" w:themeColor="text1"/>
          <w:szCs w:val="24"/>
        </w:rPr>
        <w:t>Waihenya</w:t>
      </w:r>
      <w:proofErr w:type="spellEnd"/>
      <w:r w:rsidRPr="001B71D7">
        <w:rPr>
          <w:rFonts w:eastAsia="Times New Roman" w:cs="Times New Roman"/>
          <w:color w:val="000000" w:themeColor="text1"/>
          <w:szCs w:val="24"/>
        </w:rPr>
        <w:t xml:space="preserve">, 2018). Currently, ten manufacturing companies are listed on the NSE. However, their market </w:t>
      </w:r>
      <w:proofErr w:type="spellStart"/>
      <w:r w:rsidRPr="001B71D7">
        <w:rPr>
          <w:rFonts w:eastAsia="Times New Roman" w:cs="Times New Roman"/>
          <w:color w:val="000000" w:themeColor="text1"/>
          <w:szCs w:val="24"/>
        </w:rPr>
        <w:t>capitalisation</w:t>
      </w:r>
      <w:proofErr w:type="spellEnd"/>
      <w:r w:rsidRPr="001B71D7">
        <w:rPr>
          <w:rFonts w:eastAsia="Times New Roman" w:cs="Times New Roman"/>
          <w:color w:val="000000" w:themeColor="text1"/>
          <w:szCs w:val="24"/>
        </w:rPr>
        <w:t xml:space="preserve"> declined from 32.98% of GDP in 2019 to 21.18% in 2020, significantly lower than the USA (194.34%) and South Africa (313.48%) in the same year. Similarly, the value of shares traded fell by 3.2%, from </w:t>
      </w:r>
      <w:proofErr w:type="spellStart"/>
      <w:r w:rsidRPr="001B71D7">
        <w:rPr>
          <w:rFonts w:eastAsia="Times New Roman" w:cs="Times New Roman"/>
          <w:color w:val="000000" w:themeColor="text1"/>
          <w:szCs w:val="24"/>
        </w:rPr>
        <w:t>Ksh</w:t>
      </w:r>
      <w:proofErr w:type="spellEnd"/>
      <w:r w:rsidRPr="001B71D7">
        <w:rPr>
          <w:rFonts w:eastAsia="Times New Roman" w:cs="Times New Roman"/>
          <w:color w:val="000000" w:themeColor="text1"/>
          <w:szCs w:val="24"/>
        </w:rPr>
        <w:t xml:space="preserve">. 154.0 billion in 2019 to </w:t>
      </w:r>
      <w:proofErr w:type="spellStart"/>
      <w:r w:rsidRPr="001B71D7">
        <w:rPr>
          <w:rFonts w:eastAsia="Times New Roman" w:cs="Times New Roman"/>
          <w:color w:val="000000" w:themeColor="text1"/>
          <w:szCs w:val="24"/>
        </w:rPr>
        <w:t>Ksh</w:t>
      </w:r>
      <w:proofErr w:type="spellEnd"/>
      <w:r w:rsidRPr="001B71D7">
        <w:rPr>
          <w:rFonts w:eastAsia="Times New Roman" w:cs="Times New Roman"/>
          <w:color w:val="000000" w:themeColor="text1"/>
          <w:szCs w:val="24"/>
        </w:rPr>
        <w:t>. 149.0 billion in 2020, influencing investor confidence and decision-making.</w:t>
      </w:r>
    </w:p>
    <w:p w14:paraId="48C38FDC" w14:textId="46414DC8" w:rsidR="00055D83" w:rsidRPr="001B71D7" w:rsidRDefault="00055D83" w:rsidP="00CE4C91">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1.1 Research Problem</w:t>
      </w:r>
    </w:p>
    <w:p w14:paraId="0728BF9F" w14:textId="362792BE" w:rsidR="00B86685" w:rsidRPr="001B71D7" w:rsidRDefault="00B86685" w:rsidP="00B86685">
      <w:pPr>
        <w:spacing w:line="240" w:lineRule="auto"/>
        <w:rPr>
          <w:rFonts w:cs="Times New Roman"/>
          <w:color w:val="000000" w:themeColor="text1"/>
          <w:szCs w:val="24"/>
        </w:rPr>
      </w:pPr>
      <w:r w:rsidRPr="001B71D7">
        <w:rPr>
          <w:rFonts w:cs="Times New Roman"/>
          <w:color w:val="000000" w:themeColor="text1"/>
          <w:szCs w:val="24"/>
        </w:rPr>
        <w:t>Firm value plays a critical role in publicly listed companies as it shapes investor perceptions and guides investment decisions (Adiputra &amp; Hermawan, 2020). A higher firm value fosters positive investor sentiment, attracting capital inflows and signaling effective resource management capable of maximizing shareholder wealth (</w:t>
      </w:r>
      <w:proofErr w:type="spellStart"/>
      <w:r w:rsidRPr="001B71D7">
        <w:rPr>
          <w:rFonts w:cs="Times New Roman"/>
          <w:color w:val="000000" w:themeColor="text1"/>
          <w:szCs w:val="24"/>
        </w:rPr>
        <w:t>Pujiati</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Averina</w:t>
      </w:r>
      <w:proofErr w:type="spellEnd"/>
      <w:r w:rsidRPr="001B71D7">
        <w:rPr>
          <w:rFonts w:cs="Times New Roman"/>
          <w:color w:val="000000" w:themeColor="text1"/>
          <w:szCs w:val="24"/>
        </w:rPr>
        <w:t>, 2022; Salim &amp; Firdaus, 2020). Despite this significance, the value of manufacturing firms in Kenya has been on a decline, reflected in falling Tobin’s Q ratios</w:t>
      </w:r>
      <w:r w:rsidR="00554C06">
        <w:rPr>
          <w:rFonts w:cs="Times New Roman"/>
          <w:color w:val="000000" w:themeColor="text1"/>
          <w:szCs w:val="24"/>
        </w:rPr>
        <w:t xml:space="preserve"> </w:t>
      </w:r>
      <w:r w:rsidRPr="001B71D7">
        <w:rPr>
          <w:rFonts w:cs="Times New Roman"/>
          <w:color w:val="000000" w:themeColor="text1"/>
          <w:szCs w:val="24"/>
        </w:rPr>
        <w:t xml:space="preserve">from 0.669 in 2021 to 0.653 in 2022, and further down to 0.571 in 2023. For instance, Africa Mega </w:t>
      </w:r>
      <w:proofErr w:type="spellStart"/>
      <w:r w:rsidRPr="001B71D7">
        <w:rPr>
          <w:rFonts w:cs="Times New Roman"/>
          <w:color w:val="000000" w:themeColor="text1"/>
          <w:szCs w:val="24"/>
        </w:rPr>
        <w:t>Agricorp</w:t>
      </w:r>
      <w:proofErr w:type="spellEnd"/>
      <w:r w:rsidRPr="001B71D7">
        <w:rPr>
          <w:rFonts w:cs="Times New Roman"/>
          <w:color w:val="000000" w:themeColor="text1"/>
          <w:szCs w:val="24"/>
        </w:rPr>
        <w:t xml:space="preserve"> Plc (formerly Kenya Orchards Limited) reported an 8.1% drop in Tobin’s Q in 2023, largely attributed to inefficient working capital management (Zutter &amp; Smart, 2019).</w:t>
      </w:r>
    </w:p>
    <w:p w14:paraId="17E29A75" w14:textId="45DF1475" w:rsidR="00B717D1" w:rsidRPr="001B71D7" w:rsidRDefault="00B86685" w:rsidP="00B86685">
      <w:pPr>
        <w:spacing w:line="240" w:lineRule="auto"/>
        <w:rPr>
          <w:rFonts w:cs="Times New Roman"/>
          <w:color w:val="000000" w:themeColor="text1"/>
          <w:szCs w:val="24"/>
        </w:rPr>
      </w:pPr>
      <w:r w:rsidRPr="001B71D7">
        <w:rPr>
          <w:rFonts w:cs="Times New Roman"/>
          <w:color w:val="000000" w:themeColor="text1"/>
          <w:szCs w:val="24"/>
        </w:rPr>
        <w:t xml:space="preserve">Internationally, studies reveal important but incomplete insights. Tsuruta (2019) examined how Japanese firms navigated the global financial crisis, highlighting a contextual gap for Kenyan manufacturing firms. </w:t>
      </w:r>
      <w:proofErr w:type="spellStart"/>
      <w:r w:rsidRPr="001B71D7">
        <w:rPr>
          <w:rFonts w:cs="Times New Roman"/>
          <w:color w:val="000000" w:themeColor="text1"/>
          <w:szCs w:val="24"/>
        </w:rPr>
        <w:t>Oranefo</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Egbunike</w:t>
      </w:r>
      <w:proofErr w:type="spellEnd"/>
      <w:r w:rsidRPr="001B71D7">
        <w:rPr>
          <w:rFonts w:cs="Times New Roman"/>
          <w:color w:val="000000" w:themeColor="text1"/>
          <w:szCs w:val="24"/>
        </w:rPr>
        <w:t xml:space="preserve"> (2023) investigated Nigerian manufacturers’ accounts payable turnover, focusing on firm performance rather than firm value</w:t>
      </w:r>
      <w:r w:rsidR="00554C06">
        <w:rPr>
          <w:rFonts w:cs="Times New Roman"/>
          <w:color w:val="000000" w:themeColor="text1"/>
          <w:szCs w:val="24"/>
        </w:rPr>
        <w:t xml:space="preserve"> </w:t>
      </w:r>
      <w:r w:rsidRPr="001B71D7">
        <w:rPr>
          <w:rFonts w:cs="Times New Roman"/>
          <w:color w:val="000000" w:themeColor="text1"/>
          <w:szCs w:val="24"/>
        </w:rPr>
        <w:t>indicating a conceptual gap. Locally, Mwirigi et al. (2018) linked working capital management to firm success but applied a causal research design with methodological limitations. Addressing these gaps, this study examines how working capital management strategies influence the value of manufacturing firms listed on the Nairobi Securities Exchange.</w:t>
      </w:r>
      <w:r w:rsidR="00A85B82" w:rsidRPr="001B71D7">
        <w:rPr>
          <w:rFonts w:cs="Times New Roman"/>
          <w:color w:val="000000" w:themeColor="text1"/>
          <w:szCs w:val="24"/>
        </w:rPr>
        <w:t xml:space="preserve"> </w:t>
      </w:r>
    </w:p>
    <w:p w14:paraId="7860FC20" w14:textId="564AFDA6" w:rsidR="00055D83" w:rsidRPr="001B71D7" w:rsidRDefault="00055D83" w:rsidP="00E5141C">
      <w:pPr>
        <w:spacing w:line="240" w:lineRule="auto"/>
        <w:rPr>
          <w:rFonts w:cs="Times New Roman"/>
          <w:b/>
          <w:bCs/>
          <w:color w:val="000000" w:themeColor="text1"/>
          <w:sz w:val="28"/>
          <w:szCs w:val="28"/>
        </w:rPr>
      </w:pPr>
      <w:r w:rsidRPr="001B71D7">
        <w:rPr>
          <w:rFonts w:cs="Times New Roman"/>
          <w:b/>
          <w:bCs/>
          <w:color w:val="000000" w:themeColor="text1"/>
          <w:sz w:val="28"/>
          <w:szCs w:val="28"/>
        </w:rPr>
        <w:t>1.2 Research Objective</w:t>
      </w:r>
    </w:p>
    <w:p w14:paraId="3A006523" w14:textId="670E6CE4" w:rsidR="0054398C" w:rsidRPr="001B71D7" w:rsidRDefault="00055D83" w:rsidP="0054398C">
      <w:pPr>
        <w:spacing w:line="240" w:lineRule="auto"/>
        <w:rPr>
          <w:rFonts w:cs="Times New Roman"/>
          <w:color w:val="000000" w:themeColor="text1"/>
          <w:szCs w:val="24"/>
        </w:rPr>
      </w:pPr>
      <w:r w:rsidRPr="001B71D7">
        <w:rPr>
          <w:rFonts w:cs="Times New Roman"/>
          <w:color w:val="000000" w:themeColor="text1"/>
          <w:szCs w:val="24"/>
        </w:rPr>
        <w:t>This study was guided by the following general objective to:</w:t>
      </w:r>
      <w:r w:rsidR="00784B96" w:rsidRPr="001B71D7">
        <w:rPr>
          <w:rFonts w:cs="Times New Roman"/>
          <w:color w:val="000000" w:themeColor="text1"/>
          <w:szCs w:val="24"/>
        </w:rPr>
        <w:t xml:space="preserve"> </w:t>
      </w:r>
      <w:r w:rsidR="00146B31" w:rsidRPr="001B71D7">
        <w:rPr>
          <w:rFonts w:cs="Times New Roman"/>
          <w:color w:val="000000" w:themeColor="text1"/>
          <w:szCs w:val="24"/>
        </w:rPr>
        <w:t>investigate the effect of working capital management practices on firm value of manufacturing companies listed in Nairobi Securities Exchange</w:t>
      </w:r>
      <w:r w:rsidR="00D54CAA" w:rsidRPr="001B71D7">
        <w:rPr>
          <w:rFonts w:cs="Times New Roman"/>
          <w:color w:val="000000" w:themeColor="text1"/>
          <w:szCs w:val="24"/>
        </w:rPr>
        <w:t>.</w:t>
      </w:r>
    </w:p>
    <w:p w14:paraId="6B071E8F" w14:textId="77777777" w:rsidR="00E448DE" w:rsidRPr="001B71D7" w:rsidRDefault="0054398C" w:rsidP="00F42A52">
      <w:pPr>
        <w:spacing w:line="240" w:lineRule="auto"/>
        <w:rPr>
          <w:rFonts w:cs="Times New Roman"/>
          <w:color w:val="000000" w:themeColor="text1"/>
          <w:szCs w:val="24"/>
        </w:rPr>
      </w:pPr>
      <w:r w:rsidRPr="001B71D7">
        <w:rPr>
          <w:rFonts w:cs="Times New Roman"/>
          <w:color w:val="000000" w:themeColor="text1"/>
          <w:szCs w:val="24"/>
        </w:rPr>
        <w:t>Specific Objectives were to;</w:t>
      </w:r>
      <w:r w:rsidR="00784B96" w:rsidRPr="001B71D7">
        <w:rPr>
          <w:rFonts w:cs="Times New Roman"/>
          <w:color w:val="000000" w:themeColor="text1"/>
          <w:szCs w:val="24"/>
        </w:rPr>
        <w:t xml:space="preserve"> </w:t>
      </w:r>
    </w:p>
    <w:p w14:paraId="1D26D18B" w14:textId="77777777" w:rsidR="00146B31" w:rsidRPr="001B71D7" w:rsidRDefault="00146B31" w:rsidP="00146B31">
      <w:pPr>
        <w:pStyle w:val="ListParagraph"/>
        <w:numPr>
          <w:ilvl w:val="0"/>
          <w:numId w:val="14"/>
        </w:numPr>
        <w:spacing w:line="240" w:lineRule="auto"/>
        <w:rPr>
          <w:rFonts w:ascii="Times New Roman" w:hAnsi="Times New Roman"/>
          <w:color w:val="000000" w:themeColor="text1"/>
          <w:sz w:val="24"/>
          <w:szCs w:val="32"/>
        </w:rPr>
      </w:pPr>
      <w:r w:rsidRPr="001B71D7">
        <w:rPr>
          <w:rFonts w:ascii="Times New Roman" w:hAnsi="Times New Roman"/>
          <w:color w:val="000000" w:themeColor="text1"/>
          <w:sz w:val="24"/>
          <w:szCs w:val="32"/>
        </w:rPr>
        <w:t>To determine the effect of accounts receivable management on firm value of manufacturing companies listed in NSE.</w:t>
      </w:r>
    </w:p>
    <w:p w14:paraId="75417292" w14:textId="77777777" w:rsidR="00146B31" w:rsidRPr="001B71D7" w:rsidRDefault="00146B31" w:rsidP="00146B31">
      <w:pPr>
        <w:pStyle w:val="ListParagraph"/>
        <w:numPr>
          <w:ilvl w:val="0"/>
          <w:numId w:val="14"/>
        </w:numPr>
        <w:spacing w:line="240" w:lineRule="auto"/>
        <w:rPr>
          <w:rFonts w:ascii="Times New Roman" w:hAnsi="Times New Roman"/>
          <w:color w:val="000000" w:themeColor="text1"/>
          <w:sz w:val="24"/>
          <w:szCs w:val="32"/>
        </w:rPr>
      </w:pPr>
      <w:r w:rsidRPr="001B71D7">
        <w:rPr>
          <w:rFonts w:ascii="Times New Roman" w:hAnsi="Times New Roman"/>
          <w:color w:val="000000" w:themeColor="text1"/>
          <w:sz w:val="24"/>
          <w:szCs w:val="32"/>
        </w:rPr>
        <w:t>To determine the effect of accounts payable management on firm value of manufacturing companies listed in NSE.</w:t>
      </w:r>
    </w:p>
    <w:p w14:paraId="6AD54A44" w14:textId="77777777" w:rsidR="00146B31" w:rsidRPr="001B71D7" w:rsidRDefault="00146B31" w:rsidP="00146B31">
      <w:pPr>
        <w:pStyle w:val="ListParagraph"/>
        <w:numPr>
          <w:ilvl w:val="0"/>
          <w:numId w:val="14"/>
        </w:numPr>
        <w:spacing w:line="240" w:lineRule="auto"/>
        <w:rPr>
          <w:rFonts w:ascii="Times New Roman" w:hAnsi="Times New Roman"/>
          <w:color w:val="000000" w:themeColor="text1"/>
          <w:sz w:val="24"/>
          <w:szCs w:val="32"/>
        </w:rPr>
      </w:pPr>
      <w:r w:rsidRPr="001B71D7">
        <w:rPr>
          <w:rFonts w:ascii="Times New Roman" w:hAnsi="Times New Roman"/>
          <w:color w:val="000000" w:themeColor="text1"/>
          <w:sz w:val="24"/>
          <w:szCs w:val="32"/>
        </w:rPr>
        <w:t>To examine the effect of inventory management on firm value of manufacturing companies listed in NSE.</w:t>
      </w:r>
    </w:p>
    <w:p w14:paraId="296CC6CA" w14:textId="138EFD08" w:rsidR="00D54CAA" w:rsidRPr="001B71D7" w:rsidRDefault="00D54CAA" w:rsidP="00146B31">
      <w:pPr>
        <w:pStyle w:val="ListParagraph"/>
        <w:spacing w:line="240" w:lineRule="auto"/>
        <w:rPr>
          <w:rFonts w:ascii="Times New Roman" w:hAnsi="Times New Roman"/>
          <w:color w:val="000000" w:themeColor="text1"/>
          <w:sz w:val="24"/>
          <w:szCs w:val="32"/>
        </w:rPr>
      </w:pPr>
    </w:p>
    <w:p w14:paraId="06BA9B23" w14:textId="0FF9E112" w:rsidR="001450C8" w:rsidRPr="001B71D7" w:rsidRDefault="00055D83" w:rsidP="001450C8">
      <w:pPr>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 xml:space="preserve">1.3 </w:t>
      </w:r>
      <w:r w:rsidR="00F00D01" w:rsidRPr="001B71D7">
        <w:rPr>
          <w:rFonts w:eastAsia="Times New Roman" w:cs="Times New Roman"/>
          <w:b/>
          <w:bCs/>
          <w:color w:val="000000" w:themeColor="text1"/>
          <w:sz w:val="28"/>
          <w:szCs w:val="28"/>
        </w:rPr>
        <w:t xml:space="preserve">Research </w:t>
      </w:r>
      <w:r w:rsidR="00146B31" w:rsidRPr="001B71D7">
        <w:rPr>
          <w:rFonts w:eastAsia="Times New Roman" w:cs="Times New Roman"/>
          <w:b/>
          <w:bCs/>
          <w:color w:val="000000" w:themeColor="text1"/>
          <w:sz w:val="28"/>
          <w:szCs w:val="28"/>
        </w:rPr>
        <w:t>Hypothesis</w:t>
      </w:r>
    </w:p>
    <w:p w14:paraId="50B129C8" w14:textId="77777777" w:rsidR="00146B31" w:rsidRPr="001B71D7" w:rsidRDefault="00146B31" w:rsidP="00146B31">
      <w:pPr>
        <w:shd w:val="clear" w:color="auto" w:fill="FFFFFF"/>
        <w:spacing w:line="240" w:lineRule="auto"/>
        <w:rPr>
          <w:rFonts w:cs="Times New Roman"/>
          <w:color w:val="auto"/>
          <w:kern w:val="2"/>
          <w:szCs w:val="24"/>
        </w:rPr>
      </w:pPr>
      <w:r w:rsidRPr="001B71D7">
        <w:rPr>
          <w:rFonts w:cs="Times New Roman"/>
          <w:b/>
          <w:bCs/>
          <w:color w:val="auto"/>
          <w:kern w:val="2"/>
          <w:szCs w:val="24"/>
        </w:rPr>
        <w:t>Ho1</w:t>
      </w:r>
      <w:r w:rsidRPr="001B71D7">
        <w:rPr>
          <w:rFonts w:cs="Times New Roman"/>
          <w:color w:val="auto"/>
          <w:kern w:val="2"/>
          <w:szCs w:val="24"/>
        </w:rPr>
        <w:t>: Management of accounts receivable does not have a significant effect on the value of the firm of manufacturing companies listed in NSE.</w:t>
      </w:r>
    </w:p>
    <w:p w14:paraId="379CB4E0" w14:textId="77777777" w:rsidR="00146B31" w:rsidRPr="001B71D7" w:rsidRDefault="00146B31" w:rsidP="00146B31">
      <w:pPr>
        <w:shd w:val="clear" w:color="auto" w:fill="FFFFFF"/>
        <w:spacing w:line="240" w:lineRule="auto"/>
        <w:rPr>
          <w:rFonts w:cs="Times New Roman"/>
          <w:color w:val="auto"/>
          <w:kern w:val="2"/>
          <w:szCs w:val="24"/>
        </w:rPr>
      </w:pPr>
      <w:r w:rsidRPr="001B71D7">
        <w:rPr>
          <w:rFonts w:cs="Times New Roman"/>
          <w:b/>
          <w:bCs/>
          <w:color w:val="auto"/>
          <w:kern w:val="2"/>
          <w:szCs w:val="24"/>
        </w:rPr>
        <w:t>Ho2:</w:t>
      </w:r>
      <w:r w:rsidRPr="001B71D7">
        <w:rPr>
          <w:rFonts w:cs="Times New Roman"/>
          <w:color w:val="auto"/>
          <w:kern w:val="2"/>
          <w:szCs w:val="24"/>
        </w:rPr>
        <w:t xml:space="preserve"> Accounts payable management does not have a significant effect on the value of the firm of manufacturing companies listed in NSE.</w:t>
      </w:r>
    </w:p>
    <w:p w14:paraId="11D3B957" w14:textId="77777777" w:rsidR="00146B31" w:rsidRPr="001B71D7" w:rsidRDefault="00146B31" w:rsidP="00146B31">
      <w:pPr>
        <w:shd w:val="clear" w:color="auto" w:fill="FFFFFF"/>
        <w:spacing w:line="240" w:lineRule="auto"/>
        <w:rPr>
          <w:rFonts w:cs="Times New Roman"/>
          <w:color w:val="auto"/>
          <w:kern w:val="2"/>
          <w:szCs w:val="24"/>
        </w:rPr>
      </w:pPr>
      <w:r w:rsidRPr="001B71D7">
        <w:rPr>
          <w:rFonts w:cs="Times New Roman"/>
          <w:b/>
          <w:bCs/>
          <w:color w:val="auto"/>
          <w:kern w:val="2"/>
          <w:szCs w:val="24"/>
        </w:rPr>
        <w:lastRenderedPageBreak/>
        <w:t>Ho3</w:t>
      </w:r>
      <w:r w:rsidRPr="001B71D7">
        <w:rPr>
          <w:rFonts w:cs="Times New Roman"/>
          <w:color w:val="auto"/>
          <w:kern w:val="2"/>
          <w:szCs w:val="24"/>
        </w:rPr>
        <w:t>: Inventory management does not have a significant effect on value of the firm of manufacturing companies listed in NSE.</w:t>
      </w:r>
    </w:p>
    <w:p w14:paraId="35FF4706" w14:textId="037EDEC5" w:rsidR="00055D83" w:rsidRPr="001B71D7" w:rsidRDefault="00055D83" w:rsidP="00D54CAA">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1.4 Justification of the Study</w:t>
      </w:r>
    </w:p>
    <w:p w14:paraId="2F66289A" w14:textId="3BFCE329" w:rsidR="003E0D69" w:rsidRPr="001B71D7" w:rsidRDefault="00146B31" w:rsidP="00AD0959">
      <w:pPr>
        <w:autoSpaceDE w:val="0"/>
        <w:autoSpaceDN w:val="0"/>
        <w:adjustRightInd w:val="0"/>
        <w:spacing w:before="0" w:after="240" w:line="240" w:lineRule="auto"/>
        <w:rPr>
          <w:color w:val="000000" w:themeColor="text1"/>
          <w:szCs w:val="24"/>
        </w:rPr>
      </w:pPr>
      <w:r w:rsidRPr="001B71D7">
        <w:rPr>
          <w:color w:val="000000" w:themeColor="text1"/>
          <w:szCs w:val="24"/>
        </w:rPr>
        <w:t>This study seeks to inform policymakers on integrating effective working capital management (WCM) into liquidity regulatory frameworks to enhance firm value. Aligning with the Capital Markets Authority’s mandate to strengthen market efficiency, it will provide evidence on the critical role of WCM in corporate value creation. For industrial enterprises, especially publicly listed manufacturing firms, the findings will guide executives, administrators, and boards in optimizing operating funds for sustainable growth. Furthermore, the study will identify research gaps, offering a foundation for future inquiries. By expanding the literature on the WCM–firm value nexus, it will serve as a valuable academic and practical reference</w:t>
      </w:r>
      <w:r w:rsidR="00D54CAA" w:rsidRPr="001B71D7">
        <w:rPr>
          <w:color w:val="000000" w:themeColor="text1"/>
          <w:szCs w:val="24"/>
        </w:rPr>
        <w:t>.</w:t>
      </w:r>
    </w:p>
    <w:p w14:paraId="01448711" w14:textId="72D31A25" w:rsidR="001E21F0" w:rsidRPr="001B71D7" w:rsidRDefault="001E21F0" w:rsidP="00AE4AA5">
      <w:pPr>
        <w:spacing w:before="0" w:line="240" w:lineRule="auto"/>
        <w:rPr>
          <w:rFonts w:cs="Times New Roman"/>
          <w:color w:val="000000" w:themeColor="text1"/>
        </w:rPr>
      </w:pPr>
      <w:r w:rsidRPr="001B71D7">
        <w:rPr>
          <w:rFonts w:cs="Times New Roman"/>
          <w:color w:val="000000" w:themeColor="text1"/>
        </w:rPr>
        <w:br w:type="page"/>
      </w:r>
    </w:p>
    <w:p w14:paraId="60555E06" w14:textId="2D326474" w:rsidR="00055D83" w:rsidRPr="001B71D7"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1B71D7">
        <w:rPr>
          <w:rFonts w:ascii="Times New Roman" w:hAnsi="Times New Roman"/>
          <w:b/>
          <w:color w:val="000000" w:themeColor="text1"/>
          <w:sz w:val="28"/>
          <w:szCs w:val="28"/>
          <w:lang w:val="en-GB"/>
        </w:rPr>
        <w:lastRenderedPageBreak/>
        <w:t xml:space="preserve">2.0 LITERATURE REVIEW  </w:t>
      </w:r>
    </w:p>
    <w:p w14:paraId="45E6D5D2" w14:textId="4C30F8D1" w:rsidR="00F35BAA" w:rsidRPr="001B71D7" w:rsidRDefault="00F35BAA" w:rsidP="00F35BAA">
      <w:pPr>
        <w:spacing w:before="0" w:after="160" w:line="259" w:lineRule="auto"/>
        <w:rPr>
          <w:rFonts w:cs="Times New Roman"/>
          <w:b/>
          <w:i/>
          <w:iCs/>
          <w:color w:val="000000" w:themeColor="text1"/>
          <w:kern w:val="2"/>
          <w:szCs w:val="24"/>
          <w:lang w:val="en-GB"/>
        </w:rPr>
      </w:pPr>
      <w:r w:rsidRPr="000F64A3">
        <w:rPr>
          <w:rFonts w:cs="Times New Roman"/>
          <w:b/>
          <w:i/>
          <w:iCs/>
          <w:color w:val="000000" w:themeColor="text1"/>
          <w:kern w:val="2"/>
          <w:szCs w:val="24"/>
          <w:highlight w:val="green"/>
          <w:lang w:val="en-GB"/>
        </w:rPr>
        <w:t xml:space="preserve">Theoretical </w:t>
      </w:r>
      <w:r w:rsidR="000F64A3" w:rsidRPr="000F64A3">
        <w:rPr>
          <w:rFonts w:cs="Times New Roman"/>
          <w:b/>
          <w:i/>
          <w:iCs/>
          <w:color w:val="000000" w:themeColor="text1"/>
          <w:kern w:val="2"/>
          <w:szCs w:val="24"/>
          <w:highlight w:val="green"/>
          <w:lang w:val="en-GB"/>
        </w:rPr>
        <w:t>Framework</w:t>
      </w:r>
    </w:p>
    <w:p w14:paraId="450F9F18" w14:textId="7C56623F" w:rsidR="00F35BAA" w:rsidRPr="007A5D11"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This study draws on three key theoretical frameworks</w:t>
      </w:r>
      <w:r w:rsidR="00554C06">
        <w:rPr>
          <w:rFonts w:cs="Times New Roman"/>
          <w:bCs/>
          <w:color w:val="000000" w:themeColor="text1"/>
          <w:kern w:val="2"/>
          <w:szCs w:val="24"/>
          <w:lang w:val="en-GB"/>
        </w:rPr>
        <w:t xml:space="preserve"> </w:t>
      </w:r>
      <w:r w:rsidRPr="001B71D7">
        <w:rPr>
          <w:rFonts w:cs="Times New Roman"/>
          <w:bCs/>
          <w:color w:val="000000" w:themeColor="text1"/>
          <w:kern w:val="2"/>
          <w:szCs w:val="24"/>
          <w:lang w:val="en-GB"/>
        </w:rPr>
        <w:t>Cash Conversion Theory, Transaction Cost Theory, and Shareholder Value Theory</w:t>
      </w:r>
      <w:r w:rsidR="00554C06">
        <w:rPr>
          <w:rFonts w:cs="Times New Roman"/>
          <w:bCs/>
          <w:color w:val="000000" w:themeColor="text1"/>
          <w:kern w:val="2"/>
          <w:szCs w:val="24"/>
          <w:lang w:val="en-GB"/>
        </w:rPr>
        <w:t xml:space="preserve"> </w:t>
      </w:r>
      <w:r w:rsidRPr="001B71D7">
        <w:rPr>
          <w:rFonts w:cs="Times New Roman"/>
          <w:bCs/>
          <w:color w:val="000000" w:themeColor="text1"/>
          <w:kern w:val="2"/>
          <w:szCs w:val="24"/>
          <w:lang w:val="en-GB"/>
        </w:rPr>
        <w:t xml:space="preserve">to contextualize the relationship between working capital management (WCM) and firm value. Together, these perspectives illuminate the mechanisms through which operational capital administration </w:t>
      </w:r>
      <w:r w:rsidRPr="007A5D11">
        <w:rPr>
          <w:rFonts w:cs="Times New Roman"/>
          <w:bCs/>
          <w:color w:val="000000" w:themeColor="text1"/>
          <w:kern w:val="2"/>
          <w:szCs w:val="24"/>
          <w:lang w:val="en-GB"/>
        </w:rPr>
        <w:t>influences corporate worth, particularly in manufacturing firms.</w:t>
      </w:r>
    </w:p>
    <w:p w14:paraId="209689FD" w14:textId="1B539360"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The present study is anchored on three key theories Cash Conversion Theory, Transaction Cost Theory, and Shareholder Value Theory that collectively provide a lens through which the relationship between working capital management (WCM) practices and firm value in manufacturing companies listed on the Nairobi Securities Exchange can be understood.</w:t>
      </w:r>
    </w:p>
    <w:p w14:paraId="723429D7" w14:textId="77777777"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Cash Conversion Theory</w:t>
      </w:r>
    </w:p>
    <w:p w14:paraId="709724EA" w14:textId="77777777"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Cash Conversion Theory (Richard &amp; Laughlin, 1980) conceptualizes the cash conversion cycle (CCC) as the time lag between outflows for business inputs and inflows from customer payments. The theory assumes that an efficient CCC reflects a firm’s ability to balance sales and purchase transactions, thereby sustaining liquidity and revenue growth. For manufacturing firms, shortening the CCC through timely collections, disciplined payments, and efficient inventory management enhances liquidity and reduces financing pressures (Filbeck &amp; Krueger, 2015; Muturi, 2015).</w:t>
      </w:r>
    </w:p>
    <w:p w14:paraId="75E03F54" w14:textId="11D20FA7"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Within this study, the theory informs the hypothesis that effective WCM particularly through optimal management of receivables, payables, and inventory positively influences firm value. This is because firms that minimize the time taken to convert investments into cash not only enhance operational agility but also improve profitability and market performance. However, the theory also cautions against overly aggressive CCC reductions that may compromise customer relations or increase hidden costs (Wang, 2019).</w:t>
      </w:r>
    </w:p>
    <w:p w14:paraId="5D54CDB1" w14:textId="77777777"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Transaction Cost Theory</w:t>
      </w:r>
    </w:p>
    <w:p w14:paraId="283498BE" w14:textId="77777777"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Transaction Cost Theory (Williamson, 1981) posits that firms create value by minimizing the costs of conducting transactions. In the context of WCM, this involves prudent management of trade credit, inventory, and payables to reduce reliance on costly external financing and avoid inefficiencies (</w:t>
      </w:r>
      <w:proofErr w:type="spellStart"/>
      <w:r w:rsidRPr="007A5D11">
        <w:rPr>
          <w:rFonts w:cs="Times New Roman"/>
          <w:iCs/>
          <w:color w:val="000000" w:themeColor="text1"/>
          <w:kern w:val="2"/>
          <w:szCs w:val="24"/>
          <w:lang w:val="en-GB"/>
        </w:rPr>
        <w:t>Bellouma</w:t>
      </w:r>
      <w:proofErr w:type="spellEnd"/>
      <w:r w:rsidRPr="007A5D11">
        <w:rPr>
          <w:rFonts w:cs="Times New Roman"/>
          <w:iCs/>
          <w:color w:val="000000" w:themeColor="text1"/>
          <w:kern w:val="2"/>
          <w:szCs w:val="24"/>
          <w:lang w:val="en-GB"/>
        </w:rPr>
        <w:t xml:space="preserve">, 2014; </w:t>
      </w:r>
      <w:proofErr w:type="spellStart"/>
      <w:r w:rsidRPr="007A5D11">
        <w:rPr>
          <w:rFonts w:cs="Times New Roman"/>
          <w:iCs/>
          <w:color w:val="000000" w:themeColor="text1"/>
          <w:kern w:val="2"/>
          <w:szCs w:val="24"/>
          <w:lang w:val="en-GB"/>
        </w:rPr>
        <w:t>Muchina</w:t>
      </w:r>
      <w:proofErr w:type="spellEnd"/>
      <w:r w:rsidRPr="007A5D11">
        <w:rPr>
          <w:rFonts w:cs="Times New Roman"/>
          <w:iCs/>
          <w:color w:val="000000" w:themeColor="text1"/>
          <w:kern w:val="2"/>
          <w:szCs w:val="24"/>
          <w:lang w:val="en-GB"/>
        </w:rPr>
        <w:t xml:space="preserve"> &amp; Kiano, 2011). For example, efficient receivables management lowers bad-debt risks, while bulk inventory purchases can reduce procurement costs.</w:t>
      </w:r>
    </w:p>
    <w:p w14:paraId="6442A71C" w14:textId="2A7A3929"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Applied to this study, the theory suggests that WCM practices that minimize transaction-related costs such as credit evaluations, debt recovery, or excess inventory holding directly enhance profitability. Reduced operating costs strengthen liquidity positions, which in turn support firm value creation. Hence, the theory supports the hypothesis that disciplined WCM lowers costs of doing business and improves shareholder wealth through enhanced returns.</w:t>
      </w:r>
    </w:p>
    <w:p w14:paraId="7F72D693" w14:textId="77777777"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Shareholder Value Theory</w:t>
      </w:r>
    </w:p>
    <w:p w14:paraId="2F264501" w14:textId="77777777"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Shareholder Value Theory (Friedman, 1970) emphasizes that the primary objective of firms is to maximize shareholder wealth, reflected in dividend growth and share price appreciation. Within this framework, WCM practices are evaluated not merely as tools of operational efficiency but as strategies that ultimately contribute to firm value (Clarke, 2008; Saint &amp; Tripathi, 2006). Effective cash flow management, optimized inventory policies, and prudent trade credit arrangements enhance liquidity and profitability, thereby strengthening shareholder returns.</w:t>
      </w:r>
    </w:p>
    <w:p w14:paraId="1924BF1B" w14:textId="4910C50E"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lastRenderedPageBreak/>
        <w:t>In this study, Shareholder Value Theory directly informs the dependent variable firm value by framing it as the ultimate outcome of WCM decisions. The theory also aligns with the expectation that manufacturing firms listed on the NSE should pursue working capital policies that maximize returns for investors while safeguarding long-term competitiveness.</w:t>
      </w:r>
    </w:p>
    <w:p w14:paraId="4F0A7DAB" w14:textId="77777777"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Integrated Theoretical Perspective</w:t>
      </w:r>
    </w:p>
    <w:p w14:paraId="424FDEE1" w14:textId="77777777" w:rsidR="00554C06" w:rsidRPr="007A5D11" w:rsidRDefault="00554C06" w:rsidP="00554C06">
      <w:pPr>
        <w:spacing w:before="0" w:after="160" w:line="259" w:lineRule="auto"/>
        <w:rPr>
          <w:rFonts w:cs="Times New Roman"/>
          <w:iCs/>
          <w:color w:val="000000" w:themeColor="text1"/>
          <w:kern w:val="2"/>
          <w:szCs w:val="24"/>
          <w:lang w:val="en-GB"/>
        </w:rPr>
      </w:pPr>
      <w:r w:rsidRPr="007A5D11">
        <w:rPr>
          <w:rFonts w:cs="Times New Roman"/>
          <w:iCs/>
          <w:color w:val="000000" w:themeColor="text1"/>
          <w:kern w:val="2"/>
          <w:szCs w:val="24"/>
          <w:lang w:val="en-GB"/>
        </w:rPr>
        <w:t>Together, these theories provide a robust framework linking WCM to firm value. Cash Conversion Theory explains the operational dimension of liquidity efficiency; Transaction Cost Theory highlights cost minimization as a driver of profitability; and Shareholder Value Theory connects these operational and financial outcomes to the broader goal of maximizing firm value.</w:t>
      </w:r>
    </w:p>
    <w:p w14:paraId="6C213BBC" w14:textId="0E1FB9AA" w:rsidR="00B449E1" w:rsidRPr="00554C06" w:rsidRDefault="00554C06" w:rsidP="00554C06">
      <w:pPr>
        <w:spacing w:before="0" w:after="160" w:line="259" w:lineRule="auto"/>
        <w:rPr>
          <w:rFonts w:cs="Times New Roman"/>
          <w:bCs/>
          <w:color w:val="000000" w:themeColor="text1"/>
          <w:szCs w:val="24"/>
        </w:rPr>
      </w:pPr>
      <w:r w:rsidRPr="007A5D11">
        <w:rPr>
          <w:rFonts w:cs="Times New Roman"/>
          <w:iCs/>
          <w:color w:val="000000" w:themeColor="text1"/>
          <w:kern w:val="2"/>
          <w:szCs w:val="24"/>
          <w:lang w:val="en-GB"/>
        </w:rPr>
        <w:t>Accordingly, the study hypothesizes that effective working capital management practices including receivables, payables, inventory, and cash management positively affect firm value in listed manufacturing firms. By integrating these perspectives, the study demonstrates that WCM is not only an operational necessity but also a strategic lever for enhancing firm competitiveness and market valuation</w:t>
      </w:r>
      <w:r w:rsidR="00F35BAA" w:rsidRPr="007A5D11">
        <w:rPr>
          <w:rFonts w:cs="Times New Roman"/>
          <w:bCs/>
          <w:color w:val="000000" w:themeColor="text1"/>
          <w:kern w:val="2"/>
          <w:szCs w:val="24"/>
          <w:lang w:val="en-GB"/>
        </w:rPr>
        <w:t>.</w:t>
      </w:r>
    </w:p>
    <w:p w14:paraId="468D06F5" w14:textId="77777777" w:rsidR="00E30A7F" w:rsidRPr="001B71D7" w:rsidRDefault="00E30A7F">
      <w:pPr>
        <w:spacing w:before="0" w:after="160" w:line="259" w:lineRule="auto"/>
        <w:jc w:val="left"/>
        <w:rPr>
          <w:rFonts w:cs="Times New Roman"/>
          <w:b/>
          <w:bCs/>
          <w:color w:val="000000" w:themeColor="text1"/>
          <w:sz w:val="28"/>
          <w:szCs w:val="28"/>
        </w:rPr>
      </w:pPr>
      <w:r w:rsidRPr="001B71D7">
        <w:rPr>
          <w:rFonts w:cs="Times New Roman"/>
          <w:b/>
          <w:bCs/>
          <w:color w:val="000000" w:themeColor="text1"/>
          <w:sz w:val="28"/>
          <w:szCs w:val="28"/>
        </w:rPr>
        <w:br w:type="page"/>
      </w:r>
    </w:p>
    <w:p w14:paraId="0236764D" w14:textId="14A63006" w:rsidR="0025635B" w:rsidRPr="001B71D7" w:rsidRDefault="00E0554F" w:rsidP="0025635B">
      <w:pPr>
        <w:spacing w:before="0" w:after="160" w:line="259" w:lineRule="auto"/>
        <w:rPr>
          <w:rFonts w:cs="Times New Roman"/>
          <w:b/>
          <w:bCs/>
          <w:color w:val="000000" w:themeColor="text1"/>
          <w:sz w:val="28"/>
          <w:szCs w:val="28"/>
        </w:rPr>
      </w:pPr>
      <w:r w:rsidRPr="001B71D7">
        <w:rPr>
          <w:rFonts w:cs="Times New Roman"/>
          <w:b/>
          <w:bCs/>
          <w:color w:val="000000" w:themeColor="text1"/>
          <w:sz w:val="28"/>
          <w:szCs w:val="28"/>
        </w:rPr>
        <w:lastRenderedPageBreak/>
        <w:t xml:space="preserve">2.1 </w:t>
      </w:r>
      <w:r w:rsidR="00CB6E82" w:rsidRPr="001B71D7">
        <w:rPr>
          <w:rFonts w:cs="Times New Roman"/>
          <w:b/>
          <w:bCs/>
          <w:color w:val="000000" w:themeColor="text1"/>
          <w:sz w:val="28"/>
          <w:szCs w:val="28"/>
        </w:rPr>
        <w:t>Empirical Review</w:t>
      </w:r>
    </w:p>
    <w:p w14:paraId="2518CC4C" w14:textId="77777777" w:rsidR="00F35BAA" w:rsidRPr="001B71D7" w:rsidRDefault="00F35BAA" w:rsidP="00F35BAA">
      <w:pPr>
        <w:spacing w:before="0" w:after="160" w:line="259" w:lineRule="auto"/>
        <w:rPr>
          <w:rFonts w:cs="Times New Roman"/>
          <w:b/>
          <w:bCs/>
          <w:color w:val="000000" w:themeColor="text1"/>
          <w:szCs w:val="24"/>
        </w:rPr>
      </w:pPr>
      <w:r w:rsidRPr="001B71D7">
        <w:rPr>
          <w:rFonts w:cs="Times New Roman"/>
          <w:b/>
          <w:bCs/>
          <w:color w:val="000000" w:themeColor="text1"/>
          <w:szCs w:val="24"/>
        </w:rPr>
        <w:t>Accounts Receivable Management and Firm Value</w:t>
      </w:r>
    </w:p>
    <w:p w14:paraId="32307598" w14:textId="0D849949"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Accounts receivable management (ARM) plays a critical role in influencing firm value and financial performance, with empirical evidence showing varied impacts across contexts, industries, and firm sizes. Tsuruta (2019) examined current asset management during the global economic downturn in Japan, revealing that asset adjustments were less aggressive during recessions, especially among larger firms. The inverse relationship between surplus current assets and performance intensified during downturns, though this effect was short-lived as firms relied on external financing to support additional assets. While insightful, the study’s Japanese context limits generalization.</w:t>
      </w:r>
    </w:p>
    <w:p w14:paraId="3811A51E"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In Kenya, </w:t>
      </w:r>
      <w:proofErr w:type="spellStart"/>
      <w:r w:rsidRPr="001B71D7">
        <w:rPr>
          <w:rFonts w:cs="Times New Roman"/>
          <w:color w:val="000000" w:themeColor="text1"/>
          <w:szCs w:val="24"/>
        </w:rPr>
        <w:t>Jescah</w:t>
      </w:r>
      <w:proofErr w:type="spellEnd"/>
      <w:r w:rsidRPr="001B71D7">
        <w:rPr>
          <w:rFonts w:cs="Times New Roman"/>
          <w:color w:val="000000" w:themeColor="text1"/>
          <w:szCs w:val="24"/>
        </w:rPr>
        <w:t>, Dennis, and Fredrick (2024) investigated listed manufacturing firms on the Nairobi Securities Exchange (NSE) between 2017 and 2021. Using causal design and secondary data from eight firms, they found a significant relationship between ARM practices and firm value. However, their focus was limited to ARM, excluding other working capital management (WCM) components.</w:t>
      </w:r>
    </w:p>
    <w:p w14:paraId="28C7A524"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Similarly, </w:t>
      </w:r>
      <w:proofErr w:type="spellStart"/>
      <w:r w:rsidRPr="001B71D7">
        <w:rPr>
          <w:rFonts w:cs="Times New Roman"/>
          <w:color w:val="000000" w:themeColor="text1"/>
          <w:szCs w:val="24"/>
        </w:rPr>
        <w:t>Mbarushimana</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Kengere</w:t>
      </w:r>
      <w:proofErr w:type="spellEnd"/>
      <w:r w:rsidRPr="001B71D7">
        <w:rPr>
          <w:rFonts w:cs="Times New Roman"/>
          <w:color w:val="000000" w:themeColor="text1"/>
          <w:szCs w:val="24"/>
        </w:rPr>
        <w:t xml:space="preserve"> (2023) explored ARM and financial performance in Rwanda using </w:t>
      </w:r>
      <w:proofErr w:type="spellStart"/>
      <w:r w:rsidRPr="001B71D7">
        <w:rPr>
          <w:rFonts w:cs="Times New Roman"/>
          <w:color w:val="000000" w:themeColor="text1"/>
          <w:szCs w:val="24"/>
        </w:rPr>
        <w:t>Cimerwa</w:t>
      </w:r>
      <w:proofErr w:type="spellEnd"/>
      <w:r w:rsidRPr="001B71D7">
        <w:rPr>
          <w:rFonts w:cs="Times New Roman"/>
          <w:color w:val="000000" w:themeColor="text1"/>
          <w:szCs w:val="24"/>
        </w:rPr>
        <w:t xml:space="preserve"> Plc as a case study. Results showed that lending policies and credit assessments positively influenced performance, while recovery protocols and invoicing procedures had no significant impact. Although highlighting ARM’s importance, the study examined financial performance rather than firm value.</w:t>
      </w:r>
    </w:p>
    <w:p w14:paraId="2551F8B3"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In Turkey, Adıgüzel (2022) analyzed industrial firms listed on Borsa Istanbul (2005–2017), treating trade receivable variables as endogenous and applying the generalized method of moments (GMM). Findings indicated that extended payment terms generally reduced firm value, particularly in high-profit firms. This study’s causal design offers robust evidence, though its market context differs from Kenya.</w:t>
      </w:r>
    </w:p>
    <w:p w14:paraId="31F2D418"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Kumar and Suneetha (2022), in a desktop study of Bangalore’s Composite Investments Pvt Ltd, observed declining current liabilities and rising current assets, recommending enhanced WCM to improve profitability. While relevant, the study’s descriptive nature and single-firm scope limit its generalizability.</w:t>
      </w:r>
    </w:p>
    <w:p w14:paraId="09655272"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In India, Mittal and Monika (2020) studied 193 small-cap manufacturing firms (2011–2019), concluding that trade credit extension and collection significantly influenced performance. Yet, like several others, the study did not directly address firm value.</w:t>
      </w:r>
    </w:p>
    <w:p w14:paraId="748FA774" w14:textId="45366495"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Qureshi and Mahmood (2020) analyzed non-financial firms in Bangladesh, India, and Pakistan (2011–2018) and found a U-shaped relationship: moderate receivables enhanced firm value, but excessive receivables diminished it. This underscores the need for an optimal receivable level to maximize shareholder wealth.</w:t>
      </w:r>
      <w:r w:rsidR="00E30A7F" w:rsidRPr="001B71D7">
        <w:rPr>
          <w:rFonts w:cs="Times New Roman"/>
          <w:color w:val="000000" w:themeColor="text1"/>
          <w:szCs w:val="24"/>
        </w:rPr>
        <w:t xml:space="preserve"> </w:t>
      </w:r>
      <w:r w:rsidRPr="001B71D7">
        <w:rPr>
          <w:rFonts w:cs="Times New Roman"/>
          <w:color w:val="000000" w:themeColor="text1"/>
          <w:szCs w:val="24"/>
        </w:rPr>
        <w:t>Dan (2020) investigated Nigerian manufacturing firms (2010–2019) using OLS regression, finding a positive link between receivable period length and return on assets, moderated by firm size and leverage. The focus, however, remained on financial performance rather than firm value.</w:t>
      </w:r>
    </w:p>
    <w:p w14:paraId="1FDF4785" w14:textId="3626FDAB"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In Kenya, Muthoni, Naibei, and Livingstone (2020) reported a strong connection between ARM and manufacturing firms’ success, though they used primary data and did not examine firm value. Similarly, Wasike (2019) linked receivable metrics</w:t>
      </w:r>
      <w:r w:rsidR="00554C06">
        <w:rPr>
          <w:rFonts w:cs="Times New Roman"/>
          <w:color w:val="000000" w:themeColor="text1"/>
          <w:szCs w:val="24"/>
        </w:rPr>
        <w:t xml:space="preserve"> </w:t>
      </w:r>
      <w:r w:rsidRPr="001B71D7">
        <w:rPr>
          <w:rFonts w:cs="Times New Roman"/>
          <w:color w:val="000000" w:themeColor="text1"/>
          <w:szCs w:val="24"/>
        </w:rPr>
        <w:t>such as average collection period and turnover ratio</w:t>
      </w:r>
      <w:r w:rsidR="00554C06">
        <w:rPr>
          <w:rFonts w:cs="Times New Roman"/>
          <w:color w:val="000000" w:themeColor="text1"/>
          <w:szCs w:val="24"/>
        </w:rPr>
        <w:t xml:space="preserve"> </w:t>
      </w:r>
      <w:r w:rsidRPr="001B71D7">
        <w:rPr>
          <w:rFonts w:cs="Times New Roman"/>
          <w:color w:val="000000" w:themeColor="text1"/>
          <w:szCs w:val="24"/>
        </w:rPr>
        <w:t>to financial success in water companies, finding mixed directional effects but excluding firm value from the analysis.</w:t>
      </w:r>
    </w:p>
    <w:p w14:paraId="32A03EF1" w14:textId="3CCE7418"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Yao and Deng (2019) in China examined the interplay between ARM policies and managerial incentives, concluding that managerial risk-taking incentives (</w:t>
      </w:r>
      <w:proofErr w:type="spellStart"/>
      <w:r w:rsidRPr="001B71D7">
        <w:rPr>
          <w:rFonts w:cs="Times New Roman"/>
          <w:color w:val="000000" w:themeColor="text1"/>
          <w:szCs w:val="24"/>
        </w:rPr>
        <w:t>vega</w:t>
      </w:r>
      <w:proofErr w:type="spellEnd"/>
      <w:r w:rsidRPr="001B71D7">
        <w:rPr>
          <w:rFonts w:cs="Times New Roman"/>
          <w:color w:val="000000" w:themeColor="text1"/>
          <w:szCs w:val="24"/>
        </w:rPr>
        <w:t>) were negatively correlated with the market value of receivables. This managerial behavior dimension remains underexplored in African contexts.</w:t>
      </w:r>
      <w:r w:rsidR="00E30A7F" w:rsidRPr="001B71D7">
        <w:rPr>
          <w:rFonts w:cs="Times New Roman"/>
          <w:color w:val="000000" w:themeColor="text1"/>
          <w:szCs w:val="24"/>
        </w:rPr>
        <w:t xml:space="preserve"> </w:t>
      </w:r>
      <w:r w:rsidRPr="001B71D7">
        <w:rPr>
          <w:rFonts w:cs="Times New Roman"/>
          <w:color w:val="000000" w:themeColor="text1"/>
          <w:szCs w:val="24"/>
        </w:rPr>
        <w:t xml:space="preserve">At the SME level, Lyani (2019) studied </w:t>
      </w:r>
      <w:r w:rsidRPr="001B71D7">
        <w:rPr>
          <w:rFonts w:cs="Times New Roman"/>
          <w:color w:val="000000" w:themeColor="text1"/>
          <w:szCs w:val="24"/>
        </w:rPr>
        <w:lastRenderedPageBreak/>
        <w:t>client balance management in Kakamega County, Kenya, and found that effective ARM strategies significantly enhanced SME growth. The study, however, addressed growth rather than value creation.</w:t>
      </w:r>
    </w:p>
    <w:p w14:paraId="41A2EFAD" w14:textId="2E68C3EF"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From a Middle Eastern perspective, </w:t>
      </w:r>
      <w:proofErr w:type="spellStart"/>
      <w:r w:rsidRPr="001B71D7">
        <w:rPr>
          <w:rFonts w:cs="Times New Roman"/>
          <w:color w:val="000000" w:themeColor="text1"/>
          <w:szCs w:val="24"/>
        </w:rPr>
        <w:t>Alalami</w:t>
      </w:r>
      <w:proofErr w:type="spellEnd"/>
      <w:r w:rsidRPr="001B71D7">
        <w:rPr>
          <w:rFonts w:cs="Times New Roman"/>
          <w:color w:val="000000" w:themeColor="text1"/>
          <w:szCs w:val="24"/>
        </w:rPr>
        <w:t xml:space="preserve"> and Hakim (2021) assessed ARM’s impact on firm value in Saudi Arabia, using Radwa Trading Company as a case. Aging receivables negatively affected firm value, with the absence of a dedicated credit department contributing to poor receivable control. External factors, such as economic recession, exacerbated delays, but optimized payment terms improved ARM effectiveness.</w:t>
      </w:r>
      <w:r w:rsidR="00E30A7F" w:rsidRPr="001B71D7">
        <w:rPr>
          <w:rFonts w:cs="Times New Roman"/>
          <w:color w:val="000000" w:themeColor="text1"/>
          <w:szCs w:val="24"/>
        </w:rPr>
        <w:t xml:space="preserve"> </w:t>
      </w:r>
      <w:r w:rsidRPr="001B71D7">
        <w:rPr>
          <w:rFonts w:cs="Times New Roman"/>
          <w:color w:val="000000" w:themeColor="text1"/>
          <w:szCs w:val="24"/>
        </w:rPr>
        <w:t xml:space="preserve">Globally, </w:t>
      </w:r>
      <w:proofErr w:type="spellStart"/>
      <w:r w:rsidRPr="001B71D7">
        <w:rPr>
          <w:rFonts w:cs="Times New Roman"/>
          <w:color w:val="000000" w:themeColor="text1"/>
          <w:szCs w:val="24"/>
        </w:rPr>
        <w:t>Yaremenko</w:t>
      </w:r>
      <w:proofErr w:type="spellEnd"/>
      <w:r w:rsidRPr="001B71D7">
        <w:rPr>
          <w:rFonts w:cs="Times New Roman"/>
          <w:color w:val="000000" w:themeColor="text1"/>
          <w:szCs w:val="24"/>
        </w:rPr>
        <w:t xml:space="preserve"> (2018) synthesized practices in managing receivables and payables, identifying fundamental approaches but omitting the firm value dimension. This omission is significant given that in competitive markets, ARM effectiveness often translates directly into shareholder wealth.</w:t>
      </w:r>
    </w:p>
    <w:p w14:paraId="5FF8CFFA" w14:textId="651FA1A1"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Collectively, these studies reveal several thematic patterns. First, ARM is consistently linked to performance indicators</w:t>
      </w:r>
      <w:r w:rsidR="00554C06">
        <w:rPr>
          <w:rFonts w:cs="Times New Roman"/>
          <w:color w:val="000000" w:themeColor="text1"/>
          <w:szCs w:val="24"/>
        </w:rPr>
        <w:t xml:space="preserve"> </w:t>
      </w:r>
      <w:r w:rsidRPr="001B71D7">
        <w:rPr>
          <w:rFonts w:cs="Times New Roman"/>
          <w:color w:val="000000" w:themeColor="text1"/>
          <w:szCs w:val="24"/>
        </w:rPr>
        <w:t>profitability, return on assets, and growth</w:t>
      </w:r>
      <w:r w:rsidR="00554C06">
        <w:rPr>
          <w:rFonts w:cs="Times New Roman"/>
          <w:color w:val="000000" w:themeColor="text1"/>
          <w:szCs w:val="24"/>
        </w:rPr>
        <w:t xml:space="preserve"> </w:t>
      </w:r>
      <w:r w:rsidRPr="001B71D7">
        <w:rPr>
          <w:rFonts w:cs="Times New Roman"/>
          <w:color w:val="000000" w:themeColor="text1"/>
          <w:szCs w:val="24"/>
        </w:rPr>
        <w:t>but fewer studies explicitly connect it to firm value, leaving a gap in understanding its strategic contribution. Second, contextual factors matter: developed versus emerging markets, industry-specific credit practices, and macroeconomic conditions shape ARM’s effects. For example, in high-profit Turkish firms, long payment terms reduce value (Adıgüzel, 2022), while in South Asia, optimal receivable levels yield a U-shaped value relationship (Qureshi &amp; Mahmood, 2020).</w:t>
      </w:r>
    </w:p>
    <w:p w14:paraId="29CC39B9" w14:textId="2493131E"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Third, methodological diversity affects findings. Causal designs with robust econometrics (e.g., GMM, panel regressions) tend to uncover nuanced relationships, including thresholds and bidirectional effects, while descriptive or single-case studies often report straightforward positive or negative associations without controlling for endogeneity.</w:t>
      </w:r>
      <w:r w:rsidR="00E30A7F" w:rsidRPr="001B71D7">
        <w:rPr>
          <w:rFonts w:cs="Times New Roman"/>
          <w:color w:val="000000" w:themeColor="text1"/>
          <w:szCs w:val="24"/>
        </w:rPr>
        <w:t xml:space="preserve"> </w:t>
      </w:r>
      <w:r w:rsidRPr="001B71D7">
        <w:rPr>
          <w:rFonts w:cs="Times New Roman"/>
          <w:color w:val="000000" w:themeColor="text1"/>
          <w:szCs w:val="24"/>
        </w:rPr>
        <w:t>Fourth, geographic and sectoral gaps persist. Most African studies</w:t>
      </w:r>
      <w:r w:rsidR="00554C06">
        <w:rPr>
          <w:rFonts w:cs="Times New Roman"/>
          <w:color w:val="000000" w:themeColor="text1"/>
          <w:szCs w:val="24"/>
        </w:rPr>
        <w:t xml:space="preserve"> </w:t>
      </w:r>
      <w:r w:rsidRPr="001B71D7">
        <w:rPr>
          <w:rFonts w:cs="Times New Roman"/>
          <w:color w:val="000000" w:themeColor="text1"/>
          <w:szCs w:val="24"/>
        </w:rPr>
        <w:t>including those in Kenya</w:t>
      </w:r>
      <w:r w:rsidR="00554C06">
        <w:rPr>
          <w:rFonts w:cs="Times New Roman"/>
          <w:color w:val="000000" w:themeColor="text1"/>
          <w:szCs w:val="24"/>
        </w:rPr>
        <w:t xml:space="preserve"> </w:t>
      </w:r>
      <w:r w:rsidRPr="001B71D7">
        <w:rPr>
          <w:rFonts w:cs="Times New Roman"/>
          <w:color w:val="000000" w:themeColor="text1"/>
          <w:szCs w:val="24"/>
        </w:rPr>
        <w:t>emphasize performance over firm value, and many exclude cross-sectoral comparisons. Moreover, SME-focused research often stops short of linking ARM to value creation, instead framing it as a growth enabler.</w:t>
      </w:r>
    </w:p>
    <w:p w14:paraId="1211445F" w14:textId="17D6020B" w:rsidR="00CB6E82"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Finally, ARM’s influence is rarely isolated from broader WCM frameworks, meaning some studies risk overestimating or underestimating its standalone effect. The Kenyan manufacturing sector, with its mix of local and export-oriented firms, presents a fertile ground for examining these dynamics. Given the sector’s exposure to fluctuating payment cycles, credit risk, and liquidity pressures, understanding the precise ARM–firm value relationship can inform both managerial policy and investor decision-making</w:t>
      </w:r>
      <w:r w:rsidR="00C237CE" w:rsidRPr="001B71D7">
        <w:rPr>
          <w:rFonts w:cs="Times New Roman"/>
          <w:color w:val="000000" w:themeColor="text1"/>
          <w:szCs w:val="24"/>
        </w:rPr>
        <w:t>.</w:t>
      </w:r>
    </w:p>
    <w:p w14:paraId="4E0D00E9" w14:textId="77777777" w:rsidR="009B41D6" w:rsidRPr="001B71D7" w:rsidRDefault="009B41D6" w:rsidP="009B41D6">
      <w:pPr>
        <w:spacing w:before="0" w:after="160" w:line="259" w:lineRule="auto"/>
        <w:rPr>
          <w:rFonts w:cs="Times New Roman"/>
          <w:b/>
          <w:bCs/>
          <w:i/>
          <w:iCs/>
          <w:color w:val="000000" w:themeColor="text1"/>
          <w:szCs w:val="24"/>
        </w:rPr>
      </w:pPr>
      <w:r w:rsidRPr="001B71D7">
        <w:rPr>
          <w:rFonts w:cs="Times New Roman"/>
          <w:b/>
          <w:bCs/>
          <w:i/>
          <w:iCs/>
          <w:color w:val="000000" w:themeColor="text1"/>
          <w:szCs w:val="24"/>
        </w:rPr>
        <w:t>Accounts Payable Management and Firm Value</w:t>
      </w:r>
    </w:p>
    <w:p w14:paraId="73454089"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Several studies have examined the relationship between accounts payable management and firm value, albeit with varying contexts, methodologies, and scopes. </w:t>
      </w:r>
      <w:proofErr w:type="spellStart"/>
      <w:r w:rsidRPr="001B71D7">
        <w:rPr>
          <w:rFonts w:cs="Times New Roman"/>
          <w:color w:val="000000" w:themeColor="text1"/>
          <w:szCs w:val="24"/>
        </w:rPr>
        <w:t>Wilujeng</w:t>
      </w:r>
      <w:proofErr w:type="spellEnd"/>
      <w:r w:rsidRPr="001B71D7">
        <w:rPr>
          <w:rFonts w:cs="Times New Roman"/>
          <w:color w:val="000000" w:themeColor="text1"/>
          <w:szCs w:val="24"/>
        </w:rPr>
        <w:t xml:space="preserve"> and Widodo (2024) investigated the effect of accounts payable and intellectual capital on corporate value using a case study design and SPSS analysis. They found that accounts payable policy significantly influenced firm value, whereas intellectual capital had no meaningful effect. However, other dimensions of working capital management (WCM) were excluded, leaving scope for broader inquiry.</w:t>
      </w:r>
    </w:p>
    <w:p w14:paraId="1A732904" w14:textId="51634B8C"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Similarly, Kiptum (2023) explored the effect of accounts payable on the financial performance of county governments through a descriptive approach. Findings revealed a positive impact, though the public-sector focus differs from the present study, which targets Nairobi Securities Exchange (NSE)-listed firms.</w:t>
      </w:r>
      <w:r w:rsidR="00E30A7F" w:rsidRPr="001B71D7">
        <w:rPr>
          <w:rFonts w:cs="Times New Roman"/>
          <w:color w:val="000000" w:themeColor="text1"/>
          <w:szCs w:val="24"/>
        </w:rPr>
        <w:t xml:space="preserve"> </w:t>
      </w:r>
      <w:r w:rsidRPr="001B71D7">
        <w:rPr>
          <w:rFonts w:cs="Times New Roman"/>
          <w:color w:val="000000" w:themeColor="text1"/>
          <w:szCs w:val="24"/>
        </w:rPr>
        <w:t xml:space="preserve">In Nigeria, </w:t>
      </w:r>
      <w:proofErr w:type="spellStart"/>
      <w:r w:rsidRPr="001B71D7">
        <w:rPr>
          <w:rFonts w:cs="Times New Roman"/>
          <w:color w:val="000000" w:themeColor="text1"/>
          <w:szCs w:val="24"/>
        </w:rPr>
        <w:t>Oranefo</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Egbunike</w:t>
      </w:r>
      <w:proofErr w:type="spellEnd"/>
      <w:r w:rsidRPr="001B71D7">
        <w:rPr>
          <w:rFonts w:cs="Times New Roman"/>
          <w:color w:val="000000" w:themeColor="text1"/>
          <w:szCs w:val="24"/>
        </w:rPr>
        <w:t xml:space="preserve"> (2023) employed an ex post facto design to assess 75 non-financial firms over 2010–2019. Using multivariate regression, they found that accounts payable turnover ratio had a significant negative effect on Tobin’s Q, while its relationship with ROA and ROE was positive but insignificant. In a related context, </w:t>
      </w:r>
      <w:proofErr w:type="spellStart"/>
      <w:r w:rsidRPr="001B71D7">
        <w:rPr>
          <w:rFonts w:cs="Times New Roman"/>
          <w:color w:val="000000" w:themeColor="text1"/>
          <w:szCs w:val="24"/>
        </w:rPr>
        <w:t>Nkwasibwe</w:t>
      </w:r>
      <w:proofErr w:type="spellEnd"/>
      <w:r w:rsidRPr="001B71D7">
        <w:rPr>
          <w:rFonts w:cs="Times New Roman"/>
          <w:color w:val="000000" w:themeColor="text1"/>
          <w:szCs w:val="24"/>
        </w:rPr>
        <w:t xml:space="preserve"> et al. (2023) reported a substantial positive link between payables management and the financial outcomes of </w:t>
      </w:r>
      <w:proofErr w:type="spellStart"/>
      <w:r w:rsidRPr="001B71D7">
        <w:rPr>
          <w:rFonts w:cs="Times New Roman"/>
          <w:color w:val="000000" w:themeColor="text1"/>
          <w:szCs w:val="24"/>
        </w:rPr>
        <w:t>Kazire</w:t>
      </w:r>
      <w:proofErr w:type="spellEnd"/>
      <w:r w:rsidRPr="001B71D7">
        <w:rPr>
          <w:rFonts w:cs="Times New Roman"/>
          <w:color w:val="000000" w:themeColor="text1"/>
          <w:szCs w:val="24"/>
        </w:rPr>
        <w:t xml:space="preserve"> Health Products Ltd., despite declining profit margins over three years. They emphasized payables as a key source of unsecured short-term financing.</w:t>
      </w:r>
    </w:p>
    <w:p w14:paraId="48E92A0A"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lastRenderedPageBreak/>
        <w:t xml:space="preserve">Accounts payable management has also been linked to the performance of small businesses. </w:t>
      </w:r>
      <w:proofErr w:type="spellStart"/>
      <w:r w:rsidRPr="001B71D7">
        <w:rPr>
          <w:rFonts w:cs="Times New Roman"/>
          <w:color w:val="000000" w:themeColor="text1"/>
          <w:szCs w:val="24"/>
        </w:rPr>
        <w:t>Anorue</w:t>
      </w:r>
      <w:proofErr w:type="spellEnd"/>
      <w:r w:rsidRPr="001B71D7">
        <w:rPr>
          <w:rFonts w:cs="Times New Roman"/>
          <w:color w:val="000000" w:themeColor="text1"/>
          <w:szCs w:val="24"/>
        </w:rPr>
        <w:t xml:space="preserve"> and Ugwoke (2022), surveying 396 respondents in Imo State, Nigeria, identified best practices for managing payables and receivables to enhance small business performance. They recommended continuous training for entrepreneurs on effective debt management. Likewise, Sah (2022) found that SMEs in Ghana’s Kumasi Metropolis applied trade debt management techniques effectively, with statistically significant effects on operational performance.</w:t>
      </w:r>
    </w:p>
    <w:p w14:paraId="4820F3D4"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Other national contexts present similar findings. </w:t>
      </w:r>
      <w:proofErr w:type="spellStart"/>
      <w:r w:rsidRPr="001B71D7">
        <w:rPr>
          <w:rFonts w:cs="Times New Roman"/>
          <w:color w:val="000000" w:themeColor="text1"/>
          <w:szCs w:val="24"/>
        </w:rPr>
        <w:t>Altawalbeh</w:t>
      </w:r>
      <w:proofErr w:type="spellEnd"/>
      <w:r w:rsidRPr="001B71D7">
        <w:rPr>
          <w:rFonts w:cs="Times New Roman"/>
          <w:color w:val="000000" w:themeColor="text1"/>
          <w:szCs w:val="24"/>
        </w:rPr>
        <w:t xml:space="preserve"> (2020) reported that creditor management significantly influenced the performance of Jordanian firms, while Mittal and Monika (2020) observed in small-cap enterprises that accounts payable, shaped by trade receivables behavior, negatively affected profitability but had little effect on firm value. They concluded that effective accounts receivable administration indirectly improves value and profitability.</w:t>
      </w:r>
    </w:p>
    <w:p w14:paraId="425BFD78" w14:textId="7596E90F"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Nam and Uchida (2019), applying a difference-in-differences approach using the 2008 Global Financial Crisis as an exogenous shock, found that accounts payable significantly influenced business value, particularly in civil-law countries with long-term planning cultures. Enow and Kamala (2019) highlighted barriers to effective payable management among South African SMEs, including weak bargaining power with suppliers.</w:t>
      </w:r>
      <w:r w:rsidR="00E30A7F" w:rsidRPr="001B71D7">
        <w:rPr>
          <w:rFonts w:cs="Times New Roman"/>
          <w:color w:val="000000" w:themeColor="text1"/>
          <w:szCs w:val="24"/>
        </w:rPr>
        <w:t xml:space="preserve"> </w:t>
      </w:r>
      <w:r w:rsidRPr="001B71D7">
        <w:rPr>
          <w:rFonts w:cs="Times New Roman"/>
          <w:color w:val="000000" w:themeColor="text1"/>
          <w:szCs w:val="24"/>
        </w:rPr>
        <w:t xml:space="preserve">Within Kenya, Waweru (2019) identified a link between WCM and firm valuation using descriptive methods, while Mutai and Kimani (2019) showed that trade payables management significantly affected the financial resources of state vocational colleges in the Rift Valley. Similarly, </w:t>
      </w:r>
      <w:proofErr w:type="spellStart"/>
      <w:r w:rsidRPr="001B71D7">
        <w:rPr>
          <w:rFonts w:cs="Times New Roman"/>
          <w:color w:val="000000" w:themeColor="text1"/>
          <w:szCs w:val="24"/>
        </w:rPr>
        <w:t>Gakurya</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Olouch</w:t>
      </w:r>
      <w:proofErr w:type="spellEnd"/>
      <w:r w:rsidRPr="001B71D7">
        <w:rPr>
          <w:rFonts w:cs="Times New Roman"/>
          <w:color w:val="000000" w:themeColor="text1"/>
          <w:szCs w:val="24"/>
        </w:rPr>
        <w:t xml:space="preserve"> (2018) found that accounts payable procedures positively influenced county government performance, and Mwirigi et al. (2018) demonstrated that well-executed WCM enhances firm competitiveness, though their causal design differs from the explanatory approach of the present study.</w:t>
      </w:r>
    </w:p>
    <w:p w14:paraId="4E286E8F" w14:textId="77777777" w:rsidR="009B41D6" w:rsidRPr="001B71D7" w:rsidRDefault="009B41D6" w:rsidP="009B41D6">
      <w:pPr>
        <w:spacing w:before="0" w:after="160" w:line="259" w:lineRule="auto"/>
        <w:rPr>
          <w:rFonts w:cs="Times New Roman"/>
          <w:b/>
          <w:bCs/>
          <w:i/>
          <w:iCs/>
          <w:color w:val="000000" w:themeColor="text1"/>
          <w:szCs w:val="24"/>
        </w:rPr>
      </w:pPr>
      <w:r w:rsidRPr="001B71D7">
        <w:rPr>
          <w:rFonts w:cs="Times New Roman"/>
          <w:b/>
          <w:bCs/>
          <w:i/>
          <w:iCs/>
          <w:color w:val="000000" w:themeColor="text1"/>
          <w:szCs w:val="24"/>
        </w:rPr>
        <w:t>Inventory Management and Firm Value</w:t>
      </w:r>
    </w:p>
    <w:p w14:paraId="5681DB87"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Inventory management has been widely examined as a determinant of firm value and performance. </w:t>
      </w:r>
      <w:proofErr w:type="spellStart"/>
      <w:r w:rsidRPr="001B71D7">
        <w:rPr>
          <w:rFonts w:cs="Times New Roman"/>
          <w:color w:val="000000" w:themeColor="text1"/>
          <w:szCs w:val="24"/>
        </w:rPr>
        <w:t>Fuspanita</w:t>
      </w:r>
      <w:proofErr w:type="spellEnd"/>
      <w:r w:rsidRPr="001B71D7">
        <w:rPr>
          <w:rFonts w:cs="Times New Roman"/>
          <w:color w:val="000000" w:themeColor="text1"/>
          <w:szCs w:val="24"/>
        </w:rPr>
        <w:t xml:space="preserve"> and Thamrin (2024) analyzed quarterly data from Indonesian F&amp;B firms (2020–2023) using panel regression, finding a significant influence of inventory management on firm value. Similarly, </w:t>
      </w:r>
      <w:proofErr w:type="spellStart"/>
      <w:r w:rsidRPr="001B71D7">
        <w:rPr>
          <w:rFonts w:cs="Times New Roman"/>
          <w:color w:val="000000" w:themeColor="text1"/>
          <w:szCs w:val="24"/>
        </w:rPr>
        <w:t>Chindengwike</w:t>
      </w:r>
      <w:proofErr w:type="spellEnd"/>
      <w:r w:rsidRPr="001B71D7">
        <w:rPr>
          <w:rFonts w:cs="Times New Roman"/>
          <w:color w:val="000000" w:themeColor="text1"/>
          <w:szCs w:val="24"/>
        </w:rPr>
        <w:t xml:space="preserve"> (2024) reported that inventory turnover positively affected profitability in Tanzanian listed manufacturing firms.</w:t>
      </w:r>
    </w:p>
    <w:p w14:paraId="101F4608"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Panigrahi et al. (2024) provided a systematic review of 95 studies on inventory management in SMEs, highlighting the roles of human, technical, and digital capabilities in shaping inventory practices. However, like several studies, their work focused narrowly on inventory without integrating other WCM components. Truong (2023) also found that a longer inventory conversion period reduced both operating cash flow and profitability among Vietnamese manufacturing firms, reinforcing the critical role of inventory efficiency.</w:t>
      </w:r>
    </w:p>
    <w:p w14:paraId="24EAC022" w14:textId="64540E04"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Triyanto and </w:t>
      </w:r>
      <w:proofErr w:type="spellStart"/>
      <w:r w:rsidRPr="001B71D7">
        <w:rPr>
          <w:rFonts w:cs="Times New Roman"/>
          <w:color w:val="000000" w:themeColor="text1"/>
          <w:szCs w:val="24"/>
        </w:rPr>
        <w:t>Priyanto</w:t>
      </w:r>
      <w:proofErr w:type="spellEnd"/>
      <w:r w:rsidRPr="001B71D7">
        <w:rPr>
          <w:rFonts w:cs="Times New Roman"/>
          <w:color w:val="000000" w:themeColor="text1"/>
          <w:szCs w:val="24"/>
        </w:rPr>
        <w:t xml:space="preserve"> (2023) reported a positive effect of inventory management on supermarket firm value, while Rashid and Rasheed (2023) identified a significant mediating role of inventory management in the relationship between knowledge and organizational success, emphasizing the importance of trained staff and product availability.</w:t>
      </w:r>
      <w:r w:rsidR="00E30A7F" w:rsidRPr="001B71D7">
        <w:rPr>
          <w:rFonts w:cs="Times New Roman"/>
          <w:color w:val="000000" w:themeColor="text1"/>
          <w:szCs w:val="24"/>
        </w:rPr>
        <w:t xml:space="preserve"> </w:t>
      </w:r>
      <w:r w:rsidRPr="001B71D7">
        <w:rPr>
          <w:rFonts w:cs="Times New Roman"/>
          <w:color w:val="000000" w:themeColor="text1"/>
          <w:szCs w:val="24"/>
        </w:rPr>
        <w:t xml:space="preserve">Other sector-specific studies underscore these findings. Akinlabi (2021) observed that automated inventory systems improved operational efficiency in Nigerian flour milling firms, while Garba et al. (2020) found that inventory turnover management influenced profitability in Nigerian conglomerates. </w:t>
      </w:r>
      <w:proofErr w:type="spellStart"/>
      <w:r w:rsidRPr="001B71D7">
        <w:rPr>
          <w:rFonts w:cs="Times New Roman"/>
          <w:color w:val="000000" w:themeColor="text1"/>
          <w:szCs w:val="24"/>
        </w:rPr>
        <w:t>Torky</w:t>
      </w:r>
      <w:proofErr w:type="spellEnd"/>
      <w:r w:rsidRPr="001B71D7">
        <w:rPr>
          <w:rFonts w:cs="Times New Roman"/>
          <w:color w:val="000000" w:themeColor="text1"/>
          <w:szCs w:val="24"/>
        </w:rPr>
        <w:t xml:space="preserve"> (2020) and </w:t>
      </w:r>
      <w:proofErr w:type="spellStart"/>
      <w:r w:rsidRPr="001B71D7">
        <w:rPr>
          <w:rFonts w:cs="Times New Roman"/>
          <w:color w:val="000000" w:themeColor="text1"/>
          <w:szCs w:val="24"/>
        </w:rPr>
        <w:t>Althaqafi</w:t>
      </w:r>
      <w:proofErr w:type="spellEnd"/>
      <w:r w:rsidRPr="001B71D7">
        <w:rPr>
          <w:rFonts w:cs="Times New Roman"/>
          <w:color w:val="000000" w:themeColor="text1"/>
          <w:szCs w:val="24"/>
        </w:rPr>
        <w:t xml:space="preserve"> (2020) concluded that effective inventory management enhances profitability, while poor control undermines financial performance.</w:t>
      </w:r>
    </w:p>
    <w:p w14:paraId="2545829B"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Kangogo and Irungu (2020) linked inventory conversion periods inversely to performance in financially distressed Kenyan engineering firms, and Khan (2020) found that business strategies mediated the relationship between inventory capabilities and enterprise success in Bangladesh’s apparel sector.</w:t>
      </w:r>
    </w:p>
    <w:p w14:paraId="76B03D23" w14:textId="77777777" w:rsidR="009B41D6" w:rsidRPr="001B71D7" w:rsidRDefault="009B41D6" w:rsidP="009B41D6">
      <w:pPr>
        <w:spacing w:before="0" w:after="160" w:line="259" w:lineRule="auto"/>
        <w:rPr>
          <w:rFonts w:cs="Times New Roman"/>
          <w:color w:val="000000" w:themeColor="text1"/>
          <w:szCs w:val="24"/>
        </w:rPr>
      </w:pPr>
    </w:p>
    <w:p w14:paraId="622656D5" w14:textId="77777777" w:rsidR="009B41D6" w:rsidRPr="001B71D7" w:rsidRDefault="009B41D6" w:rsidP="009B41D6">
      <w:pPr>
        <w:spacing w:before="0" w:after="160" w:line="259" w:lineRule="auto"/>
        <w:rPr>
          <w:rFonts w:cs="Times New Roman"/>
          <w:color w:val="000000" w:themeColor="text1"/>
          <w:szCs w:val="24"/>
        </w:rPr>
      </w:pPr>
      <w:r w:rsidRPr="007A5D11">
        <w:rPr>
          <w:rFonts w:cs="Times New Roman"/>
          <w:color w:val="000000" w:themeColor="text1"/>
          <w:szCs w:val="24"/>
          <w:lang w:val="nl-BE"/>
        </w:rPr>
        <w:lastRenderedPageBreak/>
        <w:t xml:space="preserve">In Nigeria, Asuzu et al. </w:t>
      </w:r>
      <w:r w:rsidRPr="001B71D7">
        <w:rPr>
          <w:rFonts w:cs="Times New Roman"/>
          <w:color w:val="000000" w:themeColor="text1"/>
          <w:szCs w:val="24"/>
        </w:rPr>
        <w:t>(2019) revealed a significant negative relationship between inventory turnover and net profits, while Chebet and Kitheka (2019) emphasized the importance of continuously assessing economic order quantities to improve effectiveness. Kariuki (2019), focusing on Laikipia County, found that IT-based systems such as JIT, VMI, and ERP improved efficiency, reduced costs, and enhanced relationships, thereby boosting firm performance.</w:t>
      </w:r>
    </w:p>
    <w:p w14:paraId="29563430"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Ernest et al. (2019) concluded that inventory management improved operational and marketing performance but had limited impact on financial performance. Their findings, consistent with others, suggest that while inventory practices are crucial for operational success, their direct link to firm value may depend on broader WCM integration.</w:t>
      </w:r>
    </w:p>
    <w:p w14:paraId="4C70F25E" w14:textId="77777777" w:rsidR="009B41D6" w:rsidRPr="001B71D7" w:rsidRDefault="009B41D6" w:rsidP="009B41D6">
      <w:pPr>
        <w:spacing w:before="0" w:after="160" w:line="259" w:lineRule="auto"/>
        <w:rPr>
          <w:rFonts w:cs="Times New Roman"/>
          <w:b/>
          <w:bCs/>
          <w:i/>
          <w:iCs/>
          <w:color w:val="000000" w:themeColor="text1"/>
          <w:szCs w:val="24"/>
        </w:rPr>
      </w:pPr>
      <w:r w:rsidRPr="001B71D7">
        <w:rPr>
          <w:rFonts w:cs="Times New Roman"/>
          <w:b/>
          <w:bCs/>
          <w:i/>
          <w:iCs/>
          <w:color w:val="000000" w:themeColor="text1"/>
          <w:szCs w:val="24"/>
        </w:rPr>
        <w:t>Synthesis and Research Gap</w:t>
      </w:r>
    </w:p>
    <w:p w14:paraId="67A29E08" w14:textId="7C2111AD"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Across contexts, evidence consistently points to a significant relationship between accounts payable management, inventory control, and firm outcomes</w:t>
      </w:r>
      <w:r w:rsidR="00554C06">
        <w:rPr>
          <w:rFonts w:cs="Times New Roman"/>
          <w:color w:val="000000" w:themeColor="text1"/>
          <w:szCs w:val="24"/>
        </w:rPr>
        <w:t xml:space="preserve"> </w:t>
      </w:r>
      <w:r w:rsidRPr="001B71D7">
        <w:rPr>
          <w:rFonts w:cs="Times New Roman"/>
          <w:color w:val="000000" w:themeColor="text1"/>
          <w:szCs w:val="24"/>
        </w:rPr>
        <w:t>whether measured as profitability, operational efficiency, or market value. Accounts payable often serves as a vital source of short-term financing, but its impact on firm value varies depending on sector, institutional setting, and interaction with other WCM components. Inventory management similarly influences operational performance and, in some cases, firm value, but its effects are contingent on the efficiency of processes and supporting systems.</w:t>
      </w:r>
    </w:p>
    <w:p w14:paraId="554B9074" w14:textId="362A445B"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However, several gaps persist. Many studies adopt descriptive or ex post facto designs, limiting causal inference. Others focus narrowly on single WCM components without considering their interdependence. Contextual limitations are also evident, as a substantial share of the literature is drawn from non-Kenyan settings, and public-sector or SME-focused research may not generalize to NSE-listed manufacturing firms. Furthermore, firm value</w:t>
      </w:r>
      <w:r w:rsidR="00554C06">
        <w:rPr>
          <w:rFonts w:cs="Times New Roman"/>
          <w:color w:val="000000" w:themeColor="text1"/>
          <w:szCs w:val="24"/>
        </w:rPr>
        <w:t xml:space="preserve"> </w:t>
      </w:r>
      <w:r w:rsidRPr="001B71D7">
        <w:rPr>
          <w:rFonts w:cs="Times New Roman"/>
          <w:color w:val="000000" w:themeColor="text1"/>
          <w:szCs w:val="24"/>
        </w:rPr>
        <w:t>measured through market-based indicators such as Tobin’s Q</w:t>
      </w:r>
      <w:r w:rsidR="00554C06">
        <w:rPr>
          <w:rFonts w:cs="Times New Roman"/>
          <w:color w:val="000000" w:themeColor="text1"/>
          <w:szCs w:val="24"/>
        </w:rPr>
        <w:t xml:space="preserve"> </w:t>
      </w:r>
      <w:r w:rsidRPr="001B71D7">
        <w:rPr>
          <w:rFonts w:cs="Times New Roman"/>
          <w:color w:val="000000" w:themeColor="text1"/>
          <w:szCs w:val="24"/>
        </w:rPr>
        <w:t>remains underexplored relative to operational and financial performance metrics.</w:t>
      </w:r>
    </w:p>
    <w:p w14:paraId="56821E7B" w14:textId="249C61F6"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The present study addresses these gaps by employing an explanatory research design to investigate the combined influence of accounts payable and inventory management on the firm value of NSE-listed manufacturing companies. By integrating multiple dimensions of WCM within the Kenyan market context, it provides a more comprehensive understanding of how short-term financial policies shape long-term corporate valuation.</w:t>
      </w:r>
    </w:p>
    <w:p w14:paraId="698EE228" w14:textId="77777777" w:rsidR="009B41D6" w:rsidRPr="001B71D7" w:rsidRDefault="009B41D6">
      <w:pPr>
        <w:spacing w:before="0" w:after="160" w:line="259" w:lineRule="auto"/>
        <w:jc w:val="left"/>
        <w:rPr>
          <w:rFonts w:cs="Times New Roman"/>
          <w:b/>
          <w:bCs/>
          <w:color w:val="000000" w:themeColor="text1"/>
          <w:sz w:val="28"/>
          <w:szCs w:val="28"/>
        </w:rPr>
      </w:pPr>
      <w:r w:rsidRPr="001B71D7">
        <w:rPr>
          <w:rFonts w:cs="Times New Roman"/>
          <w:b/>
          <w:bCs/>
          <w:color w:val="000000" w:themeColor="text1"/>
          <w:sz w:val="28"/>
          <w:szCs w:val="28"/>
        </w:rPr>
        <w:br w:type="page"/>
      </w:r>
    </w:p>
    <w:p w14:paraId="35BCEF5F" w14:textId="0D454655" w:rsidR="00055D83" w:rsidRPr="001B71D7" w:rsidRDefault="00055D83" w:rsidP="002C6F25">
      <w:pPr>
        <w:spacing w:line="240" w:lineRule="auto"/>
        <w:rPr>
          <w:rFonts w:cs="Times New Roman"/>
          <w:b/>
          <w:bCs/>
          <w:color w:val="000000" w:themeColor="text1"/>
          <w:sz w:val="28"/>
          <w:szCs w:val="28"/>
        </w:rPr>
      </w:pPr>
      <w:r w:rsidRPr="001B71D7">
        <w:rPr>
          <w:rFonts w:cs="Times New Roman"/>
          <w:b/>
          <w:bCs/>
          <w:color w:val="000000" w:themeColor="text1"/>
          <w:sz w:val="28"/>
          <w:szCs w:val="28"/>
        </w:rPr>
        <w:lastRenderedPageBreak/>
        <w:t>3.0 METHODOLOGY</w:t>
      </w:r>
    </w:p>
    <w:p w14:paraId="160E61D2" w14:textId="77777777" w:rsidR="009B41D6" w:rsidRPr="007A5D11" w:rsidRDefault="009B41D6" w:rsidP="009B41D6">
      <w:pPr>
        <w:spacing w:after="160" w:line="259" w:lineRule="auto"/>
        <w:rPr>
          <w:rFonts w:cs="Times New Roman"/>
          <w:color w:val="000000" w:themeColor="text1"/>
          <w:szCs w:val="24"/>
        </w:rPr>
      </w:pPr>
      <w:r w:rsidRPr="007A5D11">
        <w:rPr>
          <w:rFonts w:cs="Times New Roman"/>
          <w:color w:val="000000" w:themeColor="text1"/>
          <w:szCs w:val="24"/>
        </w:rPr>
        <w:t>The research design provides the framework for assembling, measuring, and analyzing data to address research questions (Cooper &amp; Schindler, 2016). This study adopted an explanatory research design, which is suited for examining cause-and-effect relationships among variables (</w:t>
      </w:r>
      <w:proofErr w:type="spellStart"/>
      <w:r w:rsidRPr="007A5D11">
        <w:rPr>
          <w:rFonts w:cs="Times New Roman"/>
          <w:color w:val="000000" w:themeColor="text1"/>
          <w:szCs w:val="24"/>
        </w:rPr>
        <w:t>Etikan</w:t>
      </w:r>
      <w:proofErr w:type="spellEnd"/>
      <w:r w:rsidRPr="007A5D11">
        <w:rPr>
          <w:rFonts w:cs="Times New Roman"/>
          <w:color w:val="000000" w:themeColor="text1"/>
          <w:szCs w:val="24"/>
        </w:rPr>
        <w:t xml:space="preserve"> &amp; Bala, 2017; Saunders et al., 2009). Explanatory designs not only clarify causal linkages but also deepen understanding by enabling prediction of future outcomes based on observed patterns (Rahi, 2017). This approach was therefore appropriate for exploring the relationship between working capital management practices and firm value.</w:t>
      </w:r>
    </w:p>
    <w:p w14:paraId="65B411D9" w14:textId="77777777" w:rsidR="009B41D6" w:rsidRPr="007A5D11" w:rsidRDefault="009B41D6" w:rsidP="009B41D6">
      <w:pPr>
        <w:spacing w:after="160" w:line="259" w:lineRule="auto"/>
        <w:rPr>
          <w:rFonts w:cs="Times New Roman"/>
          <w:color w:val="000000" w:themeColor="text1"/>
          <w:szCs w:val="24"/>
        </w:rPr>
      </w:pPr>
      <w:r w:rsidRPr="007A5D11">
        <w:rPr>
          <w:rFonts w:cs="Times New Roman"/>
          <w:color w:val="000000" w:themeColor="text1"/>
          <w:szCs w:val="24"/>
        </w:rPr>
        <w:t>The target population comprised all manufacturing firms listed on the Nairobi Securities Exchange (NSE). As of 2024, there were 10 such firms (Kenya Association of Manufacturers, 2024). The unit of analysis was the firm, and the study covered a 10-year period (2014–2023) to capture trends before and after the COVID-19 pandemic.</w:t>
      </w:r>
    </w:p>
    <w:p w14:paraId="20EF1946" w14:textId="77777777" w:rsidR="009B41D6" w:rsidRPr="007A5D11" w:rsidRDefault="009B41D6" w:rsidP="009B41D6">
      <w:pPr>
        <w:spacing w:after="160" w:line="259" w:lineRule="auto"/>
        <w:rPr>
          <w:rFonts w:cs="Times New Roman"/>
          <w:color w:val="000000" w:themeColor="text1"/>
          <w:szCs w:val="24"/>
        </w:rPr>
      </w:pPr>
      <w:r w:rsidRPr="007A5D11">
        <w:rPr>
          <w:rFonts w:cs="Times New Roman"/>
          <w:color w:val="000000" w:themeColor="text1"/>
          <w:szCs w:val="24"/>
        </w:rPr>
        <w:t>A sample is a representative subset of the target population (Wilson, 2010). Purposive sampling was applied, including only firms that had been consistently listed on the NSE throughout the study period. Of the 10 eligible firms, 7 met this criterion. Firms that had been delisted during the period were excluded to ensure consistency and completeness of data.</w:t>
      </w:r>
    </w:p>
    <w:p w14:paraId="6D4852B6" w14:textId="5B32EF5B" w:rsidR="009B41D6" w:rsidRPr="007A5D11" w:rsidRDefault="009B41D6" w:rsidP="009B41D6">
      <w:pPr>
        <w:spacing w:after="160" w:line="259" w:lineRule="auto"/>
        <w:rPr>
          <w:rFonts w:cs="Times New Roman"/>
          <w:color w:val="000000" w:themeColor="text1"/>
          <w:szCs w:val="24"/>
        </w:rPr>
      </w:pPr>
      <w:r w:rsidRPr="007A5D11">
        <w:rPr>
          <w:rFonts w:cs="Times New Roman"/>
          <w:color w:val="000000" w:themeColor="text1"/>
          <w:szCs w:val="24"/>
        </w:rPr>
        <w:t>Secondary data were collected using a standardized data collection sheet (Appendix I). The variables included firm value, accounts receivable, accounts payable, and inventory levels. Data spanned the 2014–2023 period, drawn from audited annual financial reports available on the NSE.</w:t>
      </w:r>
    </w:p>
    <w:p w14:paraId="7121576F" w14:textId="77777777" w:rsidR="009B41D6" w:rsidRPr="007A5D11" w:rsidRDefault="009B41D6" w:rsidP="009B41D6">
      <w:pPr>
        <w:spacing w:after="160" w:line="259" w:lineRule="auto"/>
        <w:rPr>
          <w:rFonts w:cs="Times New Roman"/>
          <w:color w:val="000000" w:themeColor="text1"/>
          <w:szCs w:val="24"/>
        </w:rPr>
      </w:pPr>
      <w:r w:rsidRPr="007A5D11">
        <w:rPr>
          <w:rFonts w:cs="Times New Roman"/>
          <w:color w:val="000000" w:themeColor="text1"/>
          <w:szCs w:val="24"/>
        </w:rPr>
        <w:t>The researcher extracted quantitative data directly from the audited reports of the sampled firms. The standardized sheet ensured uniformity and comparability across firms and time periods.</w:t>
      </w:r>
    </w:p>
    <w:p w14:paraId="43FD2345" w14:textId="77777777" w:rsidR="009B41D6" w:rsidRPr="007A5D11" w:rsidRDefault="009B41D6" w:rsidP="009B41D6">
      <w:pPr>
        <w:spacing w:after="160" w:line="259" w:lineRule="auto"/>
        <w:rPr>
          <w:rFonts w:cs="Times New Roman"/>
          <w:color w:val="000000" w:themeColor="text1"/>
          <w:szCs w:val="24"/>
        </w:rPr>
      </w:pPr>
      <w:r w:rsidRPr="007A5D11">
        <w:rPr>
          <w:rFonts w:cs="Times New Roman"/>
          <w:color w:val="000000" w:themeColor="text1"/>
          <w:szCs w:val="24"/>
        </w:rPr>
        <w:t>Data were coded and analyzed using STATA. Correlation analysis assessed the strength and direction of relationships among variables, while regression analysis quantified their magnitude and significance (Flynn &amp; Uttley, 2021). Results were presented using tables and figures for clarity.</w:t>
      </w:r>
    </w:p>
    <w:p w14:paraId="44568C55" w14:textId="77777777" w:rsidR="009B41D6" w:rsidRPr="007A5D11" w:rsidRDefault="009B41D6" w:rsidP="009B41D6">
      <w:pPr>
        <w:spacing w:after="160" w:line="259" w:lineRule="auto"/>
        <w:rPr>
          <w:rFonts w:cs="Times New Roman"/>
          <w:color w:val="000000" w:themeColor="text1"/>
          <w:szCs w:val="24"/>
        </w:rPr>
      </w:pPr>
      <w:r w:rsidRPr="007A5D11">
        <w:rPr>
          <w:rFonts w:cs="Times New Roman"/>
          <w:color w:val="000000" w:themeColor="text1"/>
          <w:szCs w:val="24"/>
        </w:rPr>
        <w:t>Prior to inferential analysis, diagnostic tests were conducted to ensure model validity and reliability, addressing potential issues such as bias, inefficiency, and inconsistent parameter estimates (Gujarati, 2003).</w:t>
      </w:r>
    </w:p>
    <w:p w14:paraId="4391714A" w14:textId="77777777" w:rsidR="009B41D6" w:rsidRPr="007A5D11"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7A5D11">
        <w:rPr>
          <w:rFonts w:ascii="Times New Roman" w:hAnsi="Times New Roman"/>
          <w:color w:val="000000" w:themeColor="text1"/>
          <w:sz w:val="24"/>
          <w:szCs w:val="28"/>
        </w:rPr>
        <w:t>Multicollinearity: Variance Inflation Factor (VIF) values were computed to detect high correlations among independent variables. Values below 10 indicated absence of multicollinearity (Salmeron et al., 2018). Centering was used where necessary to standardize predictors without altering coefficient interpretation (Chan et al., 2022).</w:t>
      </w:r>
    </w:p>
    <w:p w14:paraId="3B700705" w14:textId="77777777" w:rsidR="009B41D6" w:rsidRPr="007A5D11"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7A5D11">
        <w:rPr>
          <w:rFonts w:ascii="Times New Roman" w:hAnsi="Times New Roman"/>
          <w:color w:val="000000" w:themeColor="text1"/>
          <w:sz w:val="24"/>
          <w:szCs w:val="28"/>
        </w:rPr>
        <w:t>Normality: The Shapiro–Wilk test assessed whether data followed a normal distribution (Khatun, 2021). A p-value ≤ 0.05 indicated violation of normality, in which case data transformations were applied.</w:t>
      </w:r>
    </w:p>
    <w:p w14:paraId="0C465A35" w14:textId="77777777" w:rsidR="009B41D6" w:rsidRPr="007A5D11"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7A5D11">
        <w:rPr>
          <w:rFonts w:ascii="Times New Roman" w:hAnsi="Times New Roman"/>
          <w:color w:val="000000" w:themeColor="text1"/>
          <w:sz w:val="24"/>
          <w:szCs w:val="28"/>
        </w:rPr>
        <w:t>Heteroscedasticity: Given the cross-sectional nature of the data, the Breusch–Pagan and White’s tests were used to check whether error variances were constant over time (Kaufman, 2013). A p-value above 0.05 indicated homoscedasticity.</w:t>
      </w:r>
    </w:p>
    <w:p w14:paraId="3CF1071F" w14:textId="77777777" w:rsidR="009B41D6" w:rsidRPr="007A5D11"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7A5D11">
        <w:rPr>
          <w:rFonts w:ascii="Times New Roman" w:hAnsi="Times New Roman"/>
          <w:color w:val="000000" w:themeColor="text1"/>
          <w:sz w:val="24"/>
          <w:szCs w:val="28"/>
        </w:rPr>
        <w:t>Autocorrelation: The Durbin–Watson statistic evaluated serial correlation in residuals (Wooldridge, 2002). Values between 1.5 and 3.0 met the assumption of no autocorrelation (Garson, 2012).</w:t>
      </w:r>
    </w:p>
    <w:p w14:paraId="0D7032F8" w14:textId="77777777" w:rsidR="009B41D6" w:rsidRPr="007A5D11"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7A5D11">
        <w:rPr>
          <w:rFonts w:ascii="Times New Roman" w:hAnsi="Times New Roman"/>
          <w:color w:val="000000" w:themeColor="text1"/>
          <w:sz w:val="24"/>
          <w:szCs w:val="28"/>
        </w:rPr>
        <w:t>Hausman Test: This test determined whether a fixed-effects or random-effects model was more suitable (Nikolakopoulou et al., 2014). A p-value above 0.05 supported the random-effects model; otherwise, the fixed-effects model was adopted.</w:t>
      </w:r>
    </w:p>
    <w:p w14:paraId="13B8D615" w14:textId="77777777" w:rsidR="009B41D6" w:rsidRPr="007A5D11"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7A5D11">
        <w:rPr>
          <w:rFonts w:ascii="Times New Roman" w:hAnsi="Times New Roman"/>
          <w:color w:val="000000" w:themeColor="text1"/>
          <w:sz w:val="24"/>
          <w:szCs w:val="28"/>
        </w:rPr>
        <w:lastRenderedPageBreak/>
        <w:t>Stationarity: The Levin–Lin–Chu (LLC) unit root test checked whether the variables were stationary. If the null hypothesis of a unit root was accepted, data were transformed (e.g., through differencing or log transformation) to ensure stationarity.</w:t>
      </w:r>
    </w:p>
    <w:p w14:paraId="7C961926" w14:textId="77777777" w:rsidR="00B55CEF" w:rsidRPr="007A5D11" w:rsidRDefault="00B55CEF">
      <w:pPr>
        <w:spacing w:before="0" w:after="160" w:line="259" w:lineRule="auto"/>
        <w:jc w:val="left"/>
        <w:rPr>
          <w:b/>
          <w:bCs/>
          <w:color w:val="000000" w:themeColor="text1"/>
          <w:sz w:val="28"/>
          <w:szCs w:val="24"/>
        </w:rPr>
      </w:pPr>
      <w:r w:rsidRPr="007A5D11">
        <w:rPr>
          <w:b/>
          <w:bCs/>
          <w:color w:val="000000" w:themeColor="text1"/>
          <w:sz w:val="28"/>
          <w:szCs w:val="24"/>
        </w:rPr>
        <w:br w:type="page"/>
      </w:r>
    </w:p>
    <w:p w14:paraId="14C2E9C9" w14:textId="41B94B9A" w:rsidR="00055D83" w:rsidRPr="001B71D7" w:rsidRDefault="002B2D3C" w:rsidP="002B2D3C">
      <w:pPr>
        <w:rPr>
          <w:b/>
          <w:bCs/>
          <w:color w:val="000000" w:themeColor="text1"/>
          <w:sz w:val="28"/>
          <w:szCs w:val="24"/>
        </w:rPr>
      </w:pPr>
      <w:r w:rsidRPr="007A5D11">
        <w:rPr>
          <w:b/>
          <w:bCs/>
          <w:color w:val="000000" w:themeColor="text1"/>
          <w:sz w:val="28"/>
          <w:szCs w:val="24"/>
        </w:rPr>
        <w:lastRenderedPageBreak/>
        <w:t xml:space="preserve">4.0 </w:t>
      </w:r>
      <w:r w:rsidR="00055D83" w:rsidRPr="007A5D11">
        <w:rPr>
          <w:b/>
          <w:bCs/>
          <w:color w:val="000000" w:themeColor="text1"/>
          <w:sz w:val="28"/>
          <w:szCs w:val="24"/>
        </w:rPr>
        <w:t>RESULTS AND DISCUSSION</w:t>
      </w:r>
    </w:p>
    <w:p w14:paraId="695C60A9" w14:textId="6716FD2A" w:rsidR="00BB3A83" w:rsidRPr="001B71D7" w:rsidRDefault="00BB3A83" w:rsidP="002B2D3C">
      <w:pPr>
        <w:spacing w:before="0" w:line="240" w:lineRule="auto"/>
        <w:rPr>
          <w:rFonts w:cs="Times New Roman"/>
          <w:b/>
          <w:bCs/>
          <w:color w:val="000000" w:themeColor="text1"/>
          <w:sz w:val="28"/>
          <w:szCs w:val="24"/>
        </w:rPr>
      </w:pPr>
      <w:r w:rsidRPr="001B71D7">
        <w:rPr>
          <w:rFonts w:cs="Times New Roman"/>
          <w:b/>
          <w:bCs/>
          <w:color w:val="000000" w:themeColor="text1"/>
          <w:sz w:val="28"/>
          <w:szCs w:val="24"/>
        </w:rPr>
        <w:t>4.</w:t>
      </w:r>
      <w:r w:rsidR="00A850FF" w:rsidRPr="001B71D7">
        <w:rPr>
          <w:rFonts w:cs="Times New Roman"/>
          <w:b/>
          <w:bCs/>
          <w:color w:val="000000" w:themeColor="text1"/>
          <w:sz w:val="28"/>
          <w:szCs w:val="24"/>
        </w:rPr>
        <w:t>1</w:t>
      </w:r>
      <w:r w:rsidRPr="001B71D7">
        <w:rPr>
          <w:rFonts w:cs="Times New Roman"/>
          <w:b/>
          <w:bCs/>
          <w:color w:val="000000" w:themeColor="text1"/>
          <w:sz w:val="28"/>
          <w:szCs w:val="24"/>
        </w:rPr>
        <w:t xml:space="preserve"> Descriptive </w:t>
      </w:r>
      <w:bookmarkStart w:id="2" w:name="_Toc180395353"/>
      <w:r w:rsidR="00A52C12" w:rsidRPr="001B71D7">
        <w:rPr>
          <w:rFonts w:cs="Times New Roman"/>
          <w:b/>
          <w:bCs/>
          <w:color w:val="000000" w:themeColor="text1"/>
          <w:sz w:val="28"/>
          <w:szCs w:val="24"/>
        </w:rPr>
        <w:t>Analysis</w:t>
      </w:r>
    </w:p>
    <w:p w14:paraId="04C1146F" w14:textId="77777777" w:rsidR="00A850FF" w:rsidRPr="001B71D7" w:rsidRDefault="00A850FF" w:rsidP="002B2D3C">
      <w:pPr>
        <w:spacing w:before="0" w:line="240" w:lineRule="auto"/>
        <w:rPr>
          <w:rFonts w:cs="Times New Roman"/>
          <w:b/>
          <w:bCs/>
          <w:color w:val="000000" w:themeColor="text1"/>
          <w:sz w:val="28"/>
          <w:szCs w:val="24"/>
        </w:rPr>
      </w:pPr>
    </w:p>
    <w:p w14:paraId="01A32C99" w14:textId="698C09C8" w:rsidR="00A850FF" w:rsidRPr="001B71D7" w:rsidRDefault="00A850FF" w:rsidP="002B2D3C">
      <w:pPr>
        <w:spacing w:before="0" w:line="240" w:lineRule="auto"/>
        <w:rPr>
          <w:rFonts w:cs="Times New Roman"/>
          <w:b/>
          <w:bCs/>
          <w:i/>
          <w:iCs/>
          <w:color w:val="000000" w:themeColor="text1"/>
        </w:rPr>
      </w:pPr>
      <w:r w:rsidRPr="001B71D7">
        <w:rPr>
          <w:rFonts w:cs="Times New Roman"/>
          <w:b/>
          <w:bCs/>
          <w:i/>
          <w:iCs/>
          <w:color w:val="000000" w:themeColor="text1"/>
        </w:rPr>
        <w:t>4.1.1 Firm Value (Tobin's Q)</w:t>
      </w:r>
    </w:p>
    <w:p w14:paraId="0B77D510" w14:textId="77777777" w:rsidR="00A850FF" w:rsidRPr="001B71D7" w:rsidRDefault="00A850FF" w:rsidP="00E730D7">
      <w:pPr>
        <w:spacing w:before="0" w:line="240" w:lineRule="auto"/>
        <w:rPr>
          <w:color w:val="000000" w:themeColor="text1"/>
        </w:rPr>
      </w:pPr>
    </w:p>
    <w:p w14:paraId="52D8D69A" w14:textId="405BFFCA" w:rsidR="00A850FF" w:rsidRPr="001B71D7" w:rsidRDefault="00A850FF" w:rsidP="00E730D7">
      <w:pPr>
        <w:spacing w:before="0" w:line="240" w:lineRule="auto"/>
        <w:rPr>
          <w:color w:val="000000" w:themeColor="text1"/>
        </w:rPr>
      </w:pPr>
      <w:r w:rsidRPr="001B71D7">
        <w:rPr>
          <w:color w:val="000000" w:themeColor="text1"/>
        </w:rPr>
        <w:t>Tobin’s Q, calculated as the ratio of a firm’s market value to its total asset value, is a key indicator of market expectations regarding growth and asset efficiency. Over the 10-year period, sampled manufacturing firms recorded a mean Tobin’s Q of 1.23, reflecting 23% higher market valuation than book value. The lowest mean (0.93) occurred in 2020 during COVID-19 disruptions, followed by recovery to 1.31 in 2023, indicating renewed investor confidence. Consistent with prior studies, the moderate standard deviation (0.41) suggests relatively stable long-term market perceptions despite short-term shocks.</w:t>
      </w:r>
    </w:p>
    <w:p w14:paraId="1A789A9D" w14:textId="77777777" w:rsidR="00A850FF" w:rsidRPr="001B71D7" w:rsidRDefault="00A850FF" w:rsidP="00E730D7">
      <w:pPr>
        <w:spacing w:before="0" w:line="240" w:lineRule="auto"/>
        <w:rPr>
          <w:color w:val="000000" w:themeColor="text1"/>
        </w:rPr>
      </w:pPr>
    </w:p>
    <w:p w14:paraId="503EF05F" w14:textId="7401B816" w:rsidR="00A850FF" w:rsidRPr="001B71D7" w:rsidRDefault="00A850FF" w:rsidP="00A850FF">
      <w:pPr>
        <w:spacing w:before="0" w:line="240" w:lineRule="auto"/>
        <w:rPr>
          <w:b/>
          <w:bCs/>
        </w:rPr>
      </w:pPr>
      <w:bookmarkStart w:id="3" w:name="_Toc197643169"/>
      <w:r w:rsidRPr="001B71D7">
        <w:rPr>
          <w:b/>
          <w:bCs/>
        </w:rPr>
        <w:t xml:space="preserve">Table </w:t>
      </w:r>
      <w:r w:rsidRPr="001B71D7">
        <w:rPr>
          <w:b/>
          <w:bCs/>
        </w:rPr>
        <w:fldChar w:fldCharType="begin"/>
      </w:r>
      <w:r w:rsidRPr="001B71D7">
        <w:rPr>
          <w:b/>
          <w:bCs/>
        </w:rPr>
        <w:instrText xml:space="preserve"> SEQ Table_4. \* ARABIC </w:instrText>
      </w:r>
      <w:r w:rsidRPr="001B71D7">
        <w:rPr>
          <w:b/>
          <w:bCs/>
        </w:rPr>
        <w:fldChar w:fldCharType="separate"/>
      </w:r>
      <w:r w:rsidRPr="001B71D7">
        <w:rPr>
          <w:b/>
          <w:bCs/>
        </w:rPr>
        <w:t>1</w:t>
      </w:r>
      <w:r w:rsidRPr="001B71D7">
        <w:rPr>
          <w:b/>
          <w:bCs/>
        </w:rPr>
        <w:fldChar w:fldCharType="end"/>
      </w:r>
      <w:r w:rsidRPr="001B71D7">
        <w:rPr>
          <w:b/>
          <w:bCs/>
        </w:rPr>
        <w:t>: Descriptive Statistics for Firm Value (Tobin's Q)</w:t>
      </w:r>
      <w:bookmarkEnd w:id="3"/>
    </w:p>
    <w:tbl>
      <w:tblPr>
        <w:tblStyle w:val="PlainTable1"/>
        <w:tblW w:w="5000" w:type="pct"/>
        <w:tblLook w:val="04A0" w:firstRow="1" w:lastRow="0" w:firstColumn="1" w:lastColumn="0" w:noHBand="0" w:noVBand="1"/>
      </w:tblPr>
      <w:tblGrid>
        <w:gridCol w:w="2438"/>
        <w:gridCol w:w="2129"/>
        <w:gridCol w:w="2958"/>
        <w:gridCol w:w="1732"/>
        <w:gridCol w:w="1763"/>
      </w:tblGrid>
      <w:tr w:rsidR="00A850FF" w:rsidRPr="001B71D7" w14:paraId="0F288801"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19983D36" w14:textId="77777777" w:rsidR="00A850FF" w:rsidRPr="001B71D7" w:rsidRDefault="00A850FF" w:rsidP="00A850FF">
            <w:pPr>
              <w:spacing w:before="0" w:line="240" w:lineRule="auto"/>
              <w:rPr>
                <w:rFonts w:cs="Times New Roman"/>
                <w:b w:val="0"/>
                <w:bCs w:val="0"/>
                <w:szCs w:val="24"/>
              </w:rPr>
            </w:pPr>
            <w:r w:rsidRPr="001B71D7">
              <w:rPr>
                <w:rFonts w:cs="Times New Roman"/>
                <w:szCs w:val="24"/>
              </w:rPr>
              <w:t>Year</w:t>
            </w:r>
          </w:p>
        </w:tc>
        <w:tc>
          <w:tcPr>
            <w:tcW w:w="966" w:type="pct"/>
            <w:hideMark/>
          </w:tcPr>
          <w:p w14:paraId="00710C26"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342" w:type="pct"/>
            <w:hideMark/>
          </w:tcPr>
          <w:p w14:paraId="0BEBC4E1"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786" w:type="pct"/>
            <w:hideMark/>
          </w:tcPr>
          <w:p w14:paraId="6EECB29E"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800" w:type="pct"/>
            <w:hideMark/>
          </w:tcPr>
          <w:p w14:paraId="098D5CA9"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A850FF" w:rsidRPr="001B71D7" w14:paraId="7AD4FB72"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20F64237" w14:textId="77777777" w:rsidR="00A850FF" w:rsidRPr="001B71D7" w:rsidRDefault="00A850FF" w:rsidP="00A850FF">
            <w:pPr>
              <w:spacing w:before="0" w:line="240" w:lineRule="auto"/>
              <w:rPr>
                <w:rFonts w:cs="Times New Roman"/>
                <w:szCs w:val="24"/>
              </w:rPr>
            </w:pPr>
            <w:r w:rsidRPr="001B71D7">
              <w:rPr>
                <w:rFonts w:cs="Times New Roman"/>
                <w:szCs w:val="24"/>
              </w:rPr>
              <w:t>2014</w:t>
            </w:r>
          </w:p>
        </w:tc>
        <w:tc>
          <w:tcPr>
            <w:tcW w:w="966" w:type="pct"/>
            <w:hideMark/>
          </w:tcPr>
          <w:p w14:paraId="2257062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1.37</w:t>
            </w:r>
          </w:p>
        </w:tc>
        <w:tc>
          <w:tcPr>
            <w:tcW w:w="1342" w:type="pct"/>
            <w:hideMark/>
          </w:tcPr>
          <w:p w14:paraId="7F930B2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0.43</w:t>
            </w:r>
          </w:p>
        </w:tc>
        <w:tc>
          <w:tcPr>
            <w:tcW w:w="786" w:type="pct"/>
            <w:hideMark/>
          </w:tcPr>
          <w:p w14:paraId="471F0DD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0.82</w:t>
            </w:r>
          </w:p>
        </w:tc>
        <w:tc>
          <w:tcPr>
            <w:tcW w:w="800" w:type="pct"/>
            <w:hideMark/>
          </w:tcPr>
          <w:p w14:paraId="0D61C52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2.15</w:t>
            </w:r>
          </w:p>
        </w:tc>
      </w:tr>
      <w:tr w:rsidR="00A850FF" w:rsidRPr="001B71D7" w14:paraId="395A374E"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57BF50E7" w14:textId="77777777" w:rsidR="00A850FF" w:rsidRPr="001B71D7" w:rsidRDefault="00A850FF" w:rsidP="00A850FF">
            <w:pPr>
              <w:spacing w:before="0" w:line="240" w:lineRule="auto"/>
              <w:rPr>
                <w:rFonts w:cs="Times New Roman"/>
                <w:szCs w:val="24"/>
              </w:rPr>
            </w:pPr>
            <w:r w:rsidRPr="001B71D7">
              <w:rPr>
                <w:rFonts w:cs="Times New Roman"/>
                <w:szCs w:val="24"/>
              </w:rPr>
              <w:t>2015</w:t>
            </w:r>
          </w:p>
        </w:tc>
        <w:tc>
          <w:tcPr>
            <w:tcW w:w="966" w:type="pct"/>
            <w:hideMark/>
          </w:tcPr>
          <w:p w14:paraId="618F9DEF"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1.42</w:t>
            </w:r>
          </w:p>
        </w:tc>
        <w:tc>
          <w:tcPr>
            <w:tcW w:w="1342" w:type="pct"/>
            <w:hideMark/>
          </w:tcPr>
          <w:p w14:paraId="5DAAC8DE"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0.47</w:t>
            </w:r>
          </w:p>
        </w:tc>
        <w:tc>
          <w:tcPr>
            <w:tcW w:w="786" w:type="pct"/>
            <w:hideMark/>
          </w:tcPr>
          <w:p w14:paraId="7BE8CDD4"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0.79</w:t>
            </w:r>
          </w:p>
        </w:tc>
        <w:tc>
          <w:tcPr>
            <w:tcW w:w="800" w:type="pct"/>
            <w:hideMark/>
          </w:tcPr>
          <w:p w14:paraId="2D2D2E69"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2.27</w:t>
            </w:r>
          </w:p>
        </w:tc>
      </w:tr>
      <w:tr w:rsidR="00A850FF" w:rsidRPr="001B71D7" w14:paraId="3AEE093A"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550877E9" w14:textId="77777777" w:rsidR="00A850FF" w:rsidRPr="001B71D7" w:rsidRDefault="00A850FF" w:rsidP="00A850FF">
            <w:pPr>
              <w:spacing w:before="0" w:line="240" w:lineRule="auto"/>
              <w:rPr>
                <w:rFonts w:cs="Times New Roman"/>
                <w:szCs w:val="24"/>
              </w:rPr>
            </w:pPr>
            <w:r w:rsidRPr="001B71D7">
              <w:rPr>
                <w:rFonts w:cs="Times New Roman"/>
                <w:szCs w:val="24"/>
              </w:rPr>
              <w:t>2016</w:t>
            </w:r>
          </w:p>
        </w:tc>
        <w:tc>
          <w:tcPr>
            <w:tcW w:w="966" w:type="pct"/>
            <w:hideMark/>
          </w:tcPr>
          <w:p w14:paraId="40ED17E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1.31</w:t>
            </w:r>
          </w:p>
        </w:tc>
        <w:tc>
          <w:tcPr>
            <w:tcW w:w="1342" w:type="pct"/>
            <w:hideMark/>
          </w:tcPr>
          <w:p w14:paraId="62BB1F8F"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0.39</w:t>
            </w:r>
          </w:p>
        </w:tc>
        <w:tc>
          <w:tcPr>
            <w:tcW w:w="786" w:type="pct"/>
            <w:hideMark/>
          </w:tcPr>
          <w:p w14:paraId="3FB68997"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0.81</w:t>
            </w:r>
          </w:p>
        </w:tc>
        <w:tc>
          <w:tcPr>
            <w:tcW w:w="800" w:type="pct"/>
            <w:hideMark/>
          </w:tcPr>
          <w:p w14:paraId="58C93B1F"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1.98</w:t>
            </w:r>
          </w:p>
        </w:tc>
      </w:tr>
      <w:tr w:rsidR="00A850FF" w:rsidRPr="001B71D7" w14:paraId="355E2F11"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58E4BE4D" w14:textId="77777777" w:rsidR="00A850FF" w:rsidRPr="001B71D7" w:rsidRDefault="00A850FF" w:rsidP="00A850FF">
            <w:pPr>
              <w:spacing w:before="0" w:line="240" w:lineRule="auto"/>
              <w:rPr>
                <w:rFonts w:cs="Times New Roman"/>
                <w:szCs w:val="24"/>
              </w:rPr>
            </w:pPr>
            <w:r w:rsidRPr="001B71D7">
              <w:rPr>
                <w:rFonts w:cs="Times New Roman"/>
                <w:szCs w:val="24"/>
              </w:rPr>
              <w:t>2017</w:t>
            </w:r>
          </w:p>
        </w:tc>
        <w:tc>
          <w:tcPr>
            <w:tcW w:w="966" w:type="pct"/>
            <w:hideMark/>
          </w:tcPr>
          <w:p w14:paraId="5A656DB5"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1.29</w:t>
            </w:r>
          </w:p>
        </w:tc>
        <w:tc>
          <w:tcPr>
            <w:tcW w:w="1342" w:type="pct"/>
            <w:hideMark/>
          </w:tcPr>
          <w:p w14:paraId="002E9B8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0.38</w:t>
            </w:r>
          </w:p>
        </w:tc>
        <w:tc>
          <w:tcPr>
            <w:tcW w:w="786" w:type="pct"/>
            <w:hideMark/>
          </w:tcPr>
          <w:p w14:paraId="1710B38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0.76</w:t>
            </w:r>
          </w:p>
        </w:tc>
        <w:tc>
          <w:tcPr>
            <w:tcW w:w="800" w:type="pct"/>
            <w:hideMark/>
          </w:tcPr>
          <w:p w14:paraId="76C31734"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1.89</w:t>
            </w:r>
          </w:p>
        </w:tc>
      </w:tr>
      <w:tr w:rsidR="00A850FF" w:rsidRPr="001B71D7" w14:paraId="371D13F6"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794070EB" w14:textId="77777777" w:rsidR="00A850FF" w:rsidRPr="001B71D7" w:rsidRDefault="00A850FF" w:rsidP="00A850FF">
            <w:pPr>
              <w:spacing w:before="0" w:line="240" w:lineRule="auto"/>
              <w:rPr>
                <w:rFonts w:cs="Times New Roman"/>
                <w:szCs w:val="24"/>
              </w:rPr>
            </w:pPr>
            <w:r w:rsidRPr="001B71D7">
              <w:rPr>
                <w:rFonts w:cs="Times New Roman"/>
                <w:szCs w:val="24"/>
              </w:rPr>
              <w:t>2018</w:t>
            </w:r>
          </w:p>
        </w:tc>
        <w:tc>
          <w:tcPr>
            <w:tcW w:w="966" w:type="pct"/>
            <w:hideMark/>
          </w:tcPr>
          <w:p w14:paraId="3838EE18"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1.24</w:t>
            </w:r>
          </w:p>
        </w:tc>
        <w:tc>
          <w:tcPr>
            <w:tcW w:w="1342" w:type="pct"/>
            <w:hideMark/>
          </w:tcPr>
          <w:p w14:paraId="7B12D8F8"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0.36</w:t>
            </w:r>
          </w:p>
        </w:tc>
        <w:tc>
          <w:tcPr>
            <w:tcW w:w="786" w:type="pct"/>
            <w:hideMark/>
          </w:tcPr>
          <w:p w14:paraId="1D1AA28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0.72</w:t>
            </w:r>
          </w:p>
        </w:tc>
        <w:tc>
          <w:tcPr>
            <w:tcW w:w="800" w:type="pct"/>
            <w:hideMark/>
          </w:tcPr>
          <w:p w14:paraId="21D9AF0C"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1.87</w:t>
            </w:r>
          </w:p>
        </w:tc>
      </w:tr>
      <w:tr w:rsidR="00A850FF" w:rsidRPr="001B71D7" w14:paraId="345D0176"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71938B79" w14:textId="77777777" w:rsidR="00A850FF" w:rsidRPr="001B71D7" w:rsidRDefault="00A850FF" w:rsidP="00A850FF">
            <w:pPr>
              <w:spacing w:before="0" w:line="240" w:lineRule="auto"/>
              <w:rPr>
                <w:rFonts w:cs="Times New Roman"/>
                <w:szCs w:val="24"/>
              </w:rPr>
            </w:pPr>
            <w:r w:rsidRPr="001B71D7">
              <w:rPr>
                <w:rFonts w:cs="Times New Roman"/>
                <w:szCs w:val="24"/>
              </w:rPr>
              <w:t>2019</w:t>
            </w:r>
          </w:p>
        </w:tc>
        <w:tc>
          <w:tcPr>
            <w:tcW w:w="966" w:type="pct"/>
            <w:hideMark/>
          </w:tcPr>
          <w:p w14:paraId="445A894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1.26</w:t>
            </w:r>
          </w:p>
        </w:tc>
        <w:tc>
          <w:tcPr>
            <w:tcW w:w="1342" w:type="pct"/>
            <w:hideMark/>
          </w:tcPr>
          <w:p w14:paraId="60507CD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0.41</w:t>
            </w:r>
          </w:p>
        </w:tc>
        <w:tc>
          <w:tcPr>
            <w:tcW w:w="786" w:type="pct"/>
            <w:hideMark/>
          </w:tcPr>
          <w:p w14:paraId="0AD167F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0.68</w:t>
            </w:r>
          </w:p>
        </w:tc>
        <w:tc>
          <w:tcPr>
            <w:tcW w:w="800" w:type="pct"/>
            <w:hideMark/>
          </w:tcPr>
          <w:p w14:paraId="1E8D78B9"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1.92</w:t>
            </w:r>
          </w:p>
        </w:tc>
      </w:tr>
      <w:tr w:rsidR="00A850FF" w:rsidRPr="001B71D7" w14:paraId="1D30236A"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6F0DE4CE" w14:textId="77777777" w:rsidR="00A850FF" w:rsidRPr="001B71D7" w:rsidRDefault="00A850FF" w:rsidP="00A850FF">
            <w:pPr>
              <w:spacing w:before="0" w:line="240" w:lineRule="auto"/>
              <w:rPr>
                <w:rFonts w:cs="Times New Roman"/>
                <w:szCs w:val="24"/>
              </w:rPr>
            </w:pPr>
            <w:r w:rsidRPr="001B71D7">
              <w:rPr>
                <w:rFonts w:cs="Times New Roman"/>
                <w:szCs w:val="24"/>
              </w:rPr>
              <w:t>2020</w:t>
            </w:r>
          </w:p>
        </w:tc>
        <w:tc>
          <w:tcPr>
            <w:tcW w:w="966" w:type="pct"/>
            <w:hideMark/>
          </w:tcPr>
          <w:p w14:paraId="030FA3FB"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0.93</w:t>
            </w:r>
          </w:p>
        </w:tc>
        <w:tc>
          <w:tcPr>
            <w:tcW w:w="1342" w:type="pct"/>
            <w:hideMark/>
          </w:tcPr>
          <w:p w14:paraId="0A12927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0.29</w:t>
            </w:r>
          </w:p>
        </w:tc>
        <w:tc>
          <w:tcPr>
            <w:tcW w:w="786" w:type="pct"/>
            <w:hideMark/>
          </w:tcPr>
          <w:p w14:paraId="05891D73"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0.54</w:t>
            </w:r>
          </w:p>
        </w:tc>
        <w:tc>
          <w:tcPr>
            <w:tcW w:w="800" w:type="pct"/>
            <w:hideMark/>
          </w:tcPr>
          <w:p w14:paraId="783B7CD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1.41</w:t>
            </w:r>
          </w:p>
        </w:tc>
      </w:tr>
      <w:tr w:rsidR="00A850FF" w:rsidRPr="001B71D7" w14:paraId="2CD420DF"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5ACB6303" w14:textId="77777777" w:rsidR="00A850FF" w:rsidRPr="001B71D7" w:rsidRDefault="00A850FF" w:rsidP="00A850FF">
            <w:pPr>
              <w:spacing w:before="0" w:line="240" w:lineRule="auto"/>
              <w:rPr>
                <w:rFonts w:cs="Times New Roman"/>
                <w:szCs w:val="24"/>
              </w:rPr>
            </w:pPr>
            <w:r w:rsidRPr="001B71D7">
              <w:rPr>
                <w:rFonts w:cs="Times New Roman"/>
                <w:szCs w:val="24"/>
              </w:rPr>
              <w:t>2021</w:t>
            </w:r>
          </w:p>
        </w:tc>
        <w:tc>
          <w:tcPr>
            <w:tcW w:w="966" w:type="pct"/>
            <w:hideMark/>
          </w:tcPr>
          <w:p w14:paraId="47A24B3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0.98</w:t>
            </w:r>
          </w:p>
        </w:tc>
        <w:tc>
          <w:tcPr>
            <w:tcW w:w="1342" w:type="pct"/>
            <w:hideMark/>
          </w:tcPr>
          <w:p w14:paraId="382BA697"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0.31</w:t>
            </w:r>
          </w:p>
        </w:tc>
        <w:tc>
          <w:tcPr>
            <w:tcW w:w="786" w:type="pct"/>
            <w:hideMark/>
          </w:tcPr>
          <w:p w14:paraId="7DA2B82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0.61</w:t>
            </w:r>
          </w:p>
        </w:tc>
        <w:tc>
          <w:tcPr>
            <w:tcW w:w="800" w:type="pct"/>
            <w:hideMark/>
          </w:tcPr>
          <w:p w14:paraId="667EE2EA"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1.56</w:t>
            </w:r>
          </w:p>
        </w:tc>
      </w:tr>
      <w:tr w:rsidR="00A850FF" w:rsidRPr="001B71D7" w14:paraId="11858B3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60FDDA22" w14:textId="77777777" w:rsidR="00A850FF" w:rsidRPr="001B71D7" w:rsidRDefault="00A850FF" w:rsidP="00A850FF">
            <w:pPr>
              <w:spacing w:before="0" w:line="240" w:lineRule="auto"/>
              <w:rPr>
                <w:rFonts w:cs="Times New Roman"/>
                <w:szCs w:val="24"/>
              </w:rPr>
            </w:pPr>
            <w:r w:rsidRPr="001B71D7">
              <w:rPr>
                <w:rFonts w:cs="Times New Roman"/>
                <w:szCs w:val="24"/>
              </w:rPr>
              <w:t>2022</w:t>
            </w:r>
          </w:p>
        </w:tc>
        <w:tc>
          <w:tcPr>
            <w:tcW w:w="966" w:type="pct"/>
            <w:hideMark/>
          </w:tcPr>
          <w:p w14:paraId="05A6435D"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1.18</w:t>
            </w:r>
          </w:p>
        </w:tc>
        <w:tc>
          <w:tcPr>
            <w:tcW w:w="1342" w:type="pct"/>
            <w:hideMark/>
          </w:tcPr>
          <w:p w14:paraId="567307AC"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0.35</w:t>
            </w:r>
          </w:p>
        </w:tc>
        <w:tc>
          <w:tcPr>
            <w:tcW w:w="786" w:type="pct"/>
            <w:hideMark/>
          </w:tcPr>
          <w:p w14:paraId="15FA36DE"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0.72</w:t>
            </w:r>
          </w:p>
        </w:tc>
        <w:tc>
          <w:tcPr>
            <w:tcW w:w="800" w:type="pct"/>
            <w:hideMark/>
          </w:tcPr>
          <w:p w14:paraId="3B178CE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1.78</w:t>
            </w:r>
          </w:p>
        </w:tc>
      </w:tr>
      <w:tr w:rsidR="00A850FF" w:rsidRPr="001B71D7" w14:paraId="19AB53F5"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4B3A2B72" w14:textId="77777777" w:rsidR="00A850FF" w:rsidRPr="001B71D7" w:rsidRDefault="00A850FF" w:rsidP="00A850FF">
            <w:pPr>
              <w:spacing w:before="0" w:line="240" w:lineRule="auto"/>
              <w:rPr>
                <w:rFonts w:cs="Times New Roman"/>
                <w:szCs w:val="24"/>
              </w:rPr>
            </w:pPr>
            <w:r w:rsidRPr="001B71D7">
              <w:rPr>
                <w:rFonts w:cs="Times New Roman"/>
                <w:szCs w:val="24"/>
              </w:rPr>
              <w:t>2023</w:t>
            </w:r>
          </w:p>
        </w:tc>
        <w:tc>
          <w:tcPr>
            <w:tcW w:w="966" w:type="pct"/>
            <w:hideMark/>
          </w:tcPr>
          <w:p w14:paraId="11A1A14A"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1.31</w:t>
            </w:r>
          </w:p>
        </w:tc>
        <w:tc>
          <w:tcPr>
            <w:tcW w:w="1342" w:type="pct"/>
            <w:hideMark/>
          </w:tcPr>
          <w:p w14:paraId="00B5447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0.42</w:t>
            </w:r>
          </w:p>
        </w:tc>
        <w:tc>
          <w:tcPr>
            <w:tcW w:w="786" w:type="pct"/>
            <w:hideMark/>
          </w:tcPr>
          <w:p w14:paraId="450F4B2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0.77</w:t>
            </w:r>
          </w:p>
        </w:tc>
        <w:tc>
          <w:tcPr>
            <w:tcW w:w="800" w:type="pct"/>
            <w:hideMark/>
          </w:tcPr>
          <w:p w14:paraId="76C25E5F"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1.94</w:t>
            </w:r>
          </w:p>
        </w:tc>
      </w:tr>
      <w:tr w:rsidR="00A850FF" w:rsidRPr="001B71D7" w14:paraId="64AC038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5CC091C7" w14:textId="77777777" w:rsidR="00A850FF" w:rsidRPr="001B71D7" w:rsidRDefault="00A850FF" w:rsidP="00A850FF">
            <w:pPr>
              <w:spacing w:before="0" w:line="240" w:lineRule="auto"/>
              <w:rPr>
                <w:rFonts w:cs="Times New Roman"/>
                <w:szCs w:val="24"/>
              </w:rPr>
            </w:pPr>
            <w:r w:rsidRPr="001B71D7">
              <w:rPr>
                <w:rFonts w:cs="Times New Roman"/>
                <w:szCs w:val="24"/>
              </w:rPr>
              <w:t>Overall</w:t>
            </w:r>
          </w:p>
        </w:tc>
        <w:tc>
          <w:tcPr>
            <w:tcW w:w="966" w:type="pct"/>
            <w:hideMark/>
          </w:tcPr>
          <w:p w14:paraId="62A56CD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1.23</w:t>
            </w:r>
          </w:p>
        </w:tc>
        <w:tc>
          <w:tcPr>
            <w:tcW w:w="1342" w:type="pct"/>
            <w:hideMark/>
          </w:tcPr>
          <w:p w14:paraId="7F4D3D0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0.41</w:t>
            </w:r>
          </w:p>
        </w:tc>
        <w:tc>
          <w:tcPr>
            <w:tcW w:w="786" w:type="pct"/>
            <w:hideMark/>
          </w:tcPr>
          <w:p w14:paraId="512A6BD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0.54</w:t>
            </w:r>
          </w:p>
        </w:tc>
        <w:tc>
          <w:tcPr>
            <w:tcW w:w="800" w:type="pct"/>
            <w:hideMark/>
          </w:tcPr>
          <w:p w14:paraId="6376EE97"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2.27</w:t>
            </w:r>
          </w:p>
        </w:tc>
      </w:tr>
    </w:tbl>
    <w:p w14:paraId="0F6AF409" w14:textId="77777777" w:rsidR="00A850FF" w:rsidRPr="001B71D7" w:rsidRDefault="00A850FF" w:rsidP="00E730D7">
      <w:pPr>
        <w:spacing w:before="0" w:line="240" w:lineRule="auto"/>
        <w:rPr>
          <w:color w:val="000000" w:themeColor="text1"/>
        </w:rPr>
      </w:pPr>
    </w:p>
    <w:p w14:paraId="2306B71A" w14:textId="77777777" w:rsidR="00A850FF" w:rsidRPr="001B71D7" w:rsidRDefault="00A850FF" w:rsidP="00E730D7">
      <w:pPr>
        <w:spacing w:before="0" w:line="240" w:lineRule="auto"/>
        <w:rPr>
          <w:color w:val="000000" w:themeColor="text1"/>
        </w:rPr>
      </w:pPr>
    </w:p>
    <w:p w14:paraId="55FFF9A0" w14:textId="1EAF656E" w:rsidR="00A850FF" w:rsidRPr="001B71D7" w:rsidRDefault="00A850FF" w:rsidP="00E730D7">
      <w:pPr>
        <w:spacing w:before="0" w:line="240" w:lineRule="auto"/>
        <w:rPr>
          <w:b/>
          <w:bCs/>
          <w:i/>
          <w:iCs/>
          <w:color w:val="000000" w:themeColor="text1"/>
        </w:rPr>
      </w:pPr>
      <w:r w:rsidRPr="001B71D7">
        <w:rPr>
          <w:b/>
          <w:bCs/>
          <w:i/>
          <w:iCs/>
          <w:color w:val="000000" w:themeColor="text1"/>
        </w:rPr>
        <w:t>4.1.2 Accounts Receivable Management</w:t>
      </w:r>
    </w:p>
    <w:p w14:paraId="3660A127" w14:textId="69AB1AB6" w:rsidR="00A850FF" w:rsidRPr="001B71D7" w:rsidRDefault="00A850FF" w:rsidP="00E730D7">
      <w:pPr>
        <w:spacing w:before="0" w:line="240" w:lineRule="auto"/>
        <w:rPr>
          <w:color w:val="000000" w:themeColor="text1"/>
        </w:rPr>
      </w:pPr>
      <w:r w:rsidRPr="001B71D7">
        <w:rPr>
          <w:color w:val="000000" w:themeColor="text1"/>
        </w:rPr>
        <w:t>Accounts receivable management, measured by the average collection period (ACP), was calculated as 365 days divided by receivables turnover. The mean ACP over the study period was 59.06 days, indicating firms took nearly two months to collect dues. A sharp rise occurred in 2020–2021, peaking at 72.54 days in 2020, reflecting pandemic-induced customer payment delays. The high standard deviation (20.22 days) reveals wide variability in practices. Prolonged ACPs strain liquidity (Otieno &amp; Kilonzo, 2022), while eased credit terms during disruptions (</w:t>
      </w:r>
      <w:proofErr w:type="spellStart"/>
      <w:r w:rsidRPr="001B71D7">
        <w:rPr>
          <w:color w:val="000000" w:themeColor="text1"/>
        </w:rPr>
        <w:t>Gachoka</w:t>
      </w:r>
      <w:proofErr w:type="spellEnd"/>
      <w:r w:rsidRPr="001B71D7">
        <w:rPr>
          <w:color w:val="000000" w:themeColor="text1"/>
        </w:rPr>
        <w:t xml:space="preserve"> et al., 2021) further delay collections. Post-pandemic declines indicate tightened credit controls.</w:t>
      </w:r>
    </w:p>
    <w:p w14:paraId="79E99C24" w14:textId="77777777" w:rsidR="00A850FF" w:rsidRPr="001B71D7" w:rsidRDefault="00A850FF" w:rsidP="00E730D7">
      <w:pPr>
        <w:spacing w:before="0" w:line="240" w:lineRule="auto"/>
        <w:rPr>
          <w:color w:val="000000" w:themeColor="text1"/>
        </w:rPr>
      </w:pPr>
    </w:p>
    <w:p w14:paraId="3D853438" w14:textId="77777777" w:rsidR="00A850FF" w:rsidRPr="001B71D7" w:rsidRDefault="00A850FF" w:rsidP="00A850FF">
      <w:pPr>
        <w:spacing w:before="0" w:line="240" w:lineRule="auto"/>
        <w:rPr>
          <w:b/>
          <w:bCs/>
          <w:i/>
          <w:iCs/>
        </w:rPr>
      </w:pPr>
      <w:bookmarkStart w:id="4" w:name="_Toc197643170"/>
      <w:r w:rsidRPr="001B71D7">
        <w:rPr>
          <w:b/>
          <w:bCs/>
          <w:i/>
          <w:iCs/>
        </w:rPr>
        <w:t xml:space="preserve">Table </w:t>
      </w:r>
      <w:r w:rsidRPr="001B71D7">
        <w:rPr>
          <w:b/>
          <w:bCs/>
          <w:i/>
          <w:iCs/>
        </w:rPr>
        <w:fldChar w:fldCharType="begin"/>
      </w:r>
      <w:r w:rsidRPr="001B71D7">
        <w:rPr>
          <w:b/>
          <w:bCs/>
          <w:i/>
          <w:iCs/>
        </w:rPr>
        <w:instrText xml:space="preserve"> SEQ Table_4. \* ARABIC </w:instrText>
      </w:r>
      <w:r w:rsidRPr="001B71D7">
        <w:rPr>
          <w:b/>
          <w:bCs/>
          <w:i/>
          <w:iCs/>
        </w:rPr>
        <w:fldChar w:fldCharType="separate"/>
      </w:r>
      <w:r w:rsidRPr="001B71D7">
        <w:rPr>
          <w:b/>
          <w:bCs/>
          <w:i/>
          <w:iCs/>
        </w:rPr>
        <w:t>2</w:t>
      </w:r>
      <w:r w:rsidRPr="001B71D7">
        <w:rPr>
          <w:b/>
          <w:bCs/>
          <w:i/>
          <w:iCs/>
        </w:rPr>
        <w:fldChar w:fldCharType="end"/>
      </w:r>
      <w:r w:rsidRPr="001B71D7">
        <w:rPr>
          <w:b/>
          <w:bCs/>
          <w:i/>
          <w:iCs/>
        </w:rPr>
        <w:t>: Descriptive Statistics for Average Collection Period (Days)</w:t>
      </w:r>
      <w:bookmarkEnd w:id="4"/>
    </w:p>
    <w:tbl>
      <w:tblPr>
        <w:tblStyle w:val="PlainTable1"/>
        <w:tblW w:w="5000" w:type="pct"/>
        <w:tblLook w:val="04A0" w:firstRow="1" w:lastRow="0" w:firstColumn="1" w:lastColumn="0" w:noHBand="0" w:noVBand="1"/>
      </w:tblPr>
      <w:tblGrid>
        <w:gridCol w:w="2250"/>
        <w:gridCol w:w="1964"/>
        <w:gridCol w:w="2729"/>
        <w:gridCol w:w="1891"/>
        <w:gridCol w:w="2186"/>
      </w:tblGrid>
      <w:tr w:rsidR="00A850FF" w:rsidRPr="001B71D7" w14:paraId="643CA507"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3A310E8D" w14:textId="77777777" w:rsidR="00A850FF" w:rsidRPr="001B71D7" w:rsidRDefault="00A850FF" w:rsidP="00A850FF">
            <w:pPr>
              <w:spacing w:before="0" w:line="240" w:lineRule="auto"/>
              <w:rPr>
                <w:rFonts w:cs="Times New Roman"/>
                <w:b w:val="0"/>
                <w:bCs w:val="0"/>
                <w:szCs w:val="24"/>
              </w:rPr>
            </w:pPr>
            <w:r w:rsidRPr="001B71D7">
              <w:rPr>
                <w:rFonts w:cs="Times New Roman"/>
                <w:szCs w:val="24"/>
              </w:rPr>
              <w:t>Year</w:t>
            </w:r>
          </w:p>
        </w:tc>
        <w:tc>
          <w:tcPr>
            <w:tcW w:w="891" w:type="pct"/>
            <w:hideMark/>
          </w:tcPr>
          <w:p w14:paraId="070818A2"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238" w:type="pct"/>
            <w:hideMark/>
          </w:tcPr>
          <w:p w14:paraId="5CA5B76C"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858" w:type="pct"/>
            <w:hideMark/>
          </w:tcPr>
          <w:p w14:paraId="5C7A8964"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992" w:type="pct"/>
            <w:hideMark/>
          </w:tcPr>
          <w:p w14:paraId="63F5B564"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A850FF" w:rsidRPr="001B71D7" w14:paraId="6FE6980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0593E65F" w14:textId="77777777" w:rsidR="00A850FF" w:rsidRPr="001B71D7" w:rsidRDefault="00A850FF" w:rsidP="00A850FF">
            <w:pPr>
              <w:spacing w:before="0" w:line="240" w:lineRule="auto"/>
              <w:rPr>
                <w:rFonts w:cs="Times New Roman"/>
                <w:szCs w:val="24"/>
              </w:rPr>
            </w:pPr>
            <w:r w:rsidRPr="001B71D7">
              <w:rPr>
                <w:rFonts w:cs="Times New Roman"/>
                <w:szCs w:val="24"/>
              </w:rPr>
              <w:t>2014</w:t>
            </w:r>
          </w:p>
        </w:tc>
        <w:tc>
          <w:tcPr>
            <w:tcW w:w="891" w:type="pct"/>
            <w:hideMark/>
          </w:tcPr>
          <w:p w14:paraId="15F9826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52.37</w:t>
            </w:r>
          </w:p>
        </w:tc>
        <w:tc>
          <w:tcPr>
            <w:tcW w:w="1238" w:type="pct"/>
            <w:hideMark/>
          </w:tcPr>
          <w:p w14:paraId="200CBCF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17.42</w:t>
            </w:r>
          </w:p>
        </w:tc>
        <w:tc>
          <w:tcPr>
            <w:tcW w:w="858" w:type="pct"/>
            <w:hideMark/>
          </w:tcPr>
          <w:p w14:paraId="23B9A91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29.34</w:t>
            </w:r>
          </w:p>
        </w:tc>
        <w:tc>
          <w:tcPr>
            <w:tcW w:w="992" w:type="pct"/>
            <w:hideMark/>
          </w:tcPr>
          <w:p w14:paraId="2497D58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85.67</w:t>
            </w:r>
          </w:p>
        </w:tc>
      </w:tr>
      <w:tr w:rsidR="00A850FF" w:rsidRPr="001B71D7" w14:paraId="5CD3134D"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7C62CFB4" w14:textId="77777777" w:rsidR="00A850FF" w:rsidRPr="001B71D7" w:rsidRDefault="00A850FF" w:rsidP="00A850FF">
            <w:pPr>
              <w:spacing w:before="0" w:line="240" w:lineRule="auto"/>
              <w:rPr>
                <w:rFonts w:cs="Times New Roman"/>
                <w:szCs w:val="24"/>
              </w:rPr>
            </w:pPr>
            <w:r w:rsidRPr="001B71D7">
              <w:rPr>
                <w:rFonts w:cs="Times New Roman"/>
                <w:szCs w:val="24"/>
              </w:rPr>
              <w:t>2015</w:t>
            </w:r>
          </w:p>
        </w:tc>
        <w:tc>
          <w:tcPr>
            <w:tcW w:w="891" w:type="pct"/>
            <w:hideMark/>
          </w:tcPr>
          <w:p w14:paraId="75C72F2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51.89</w:t>
            </w:r>
          </w:p>
        </w:tc>
        <w:tc>
          <w:tcPr>
            <w:tcW w:w="1238" w:type="pct"/>
            <w:hideMark/>
          </w:tcPr>
          <w:p w14:paraId="7568509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16.94</w:t>
            </w:r>
          </w:p>
        </w:tc>
        <w:tc>
          <w:tcPr>
            <w:tcW w:w="858" w:type="pct"/>
            <w:hideMark/>
          </w:tcPr>
          <w:p w14:paraId="3DE7B87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28.45</w:t>
            </w:r>
          </w:p>
        </w:tc>
        <w:tc>
          <w:tcPr>
            <w:tcW w:w="992" w:type="pct"/>
            <w:hideMark/>
          </w:tcPr>
          <w:p w14:paraId="7D9BCB4C"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83.21</w:t>
            </w:r>
          </w:p>
        </w:tc>
      </w:tr>
      <w:tr w:rsidR="00A850FF" w:rsidRPr="001B71D7" w14:paraId="0749787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28985202" w14:textId="77777777" w:rsidR="00A850FF" w:rsidRPr="001B71D7" w:rsidRDefault="00A850FF" w:rsidP="00A850FF">
            <w:pPr>
              <w:spacing w:before="0" w:line="240" w:lineRule="auto"/>
              <w:rPr>
                <w:rFonts w:cs="Times New Roman"/>
                <w:szCs w:val="24"/>
              </w:rPr>
            </w:pPr>
            <w:r w:rsidRPr="001B71D7">
              <w:rPr>
                <w:rFonts w:cs="Times New Roman"/>
                <w:szCs w:val="24"/>
              </w:rPr>
              <w:t>2016</w:t>
            </w:r>
          </w:p>
        </w:tc>
        <w:tc>
          <w:tcPr>
            <w:tcW w:w="891" w:type="pct"/>
            <w:hideMark/>
          </w:tcPr>
          <w:p w14:paraId="768ED2D1"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54.23</w:t>
            </w:r>
          </w:p>
        </w:tc>
        <w:tc>
          <w:tcPr>
            <w:tcW w:w="1238" w:type="pct"/>
            <w:hideMark/>
          </w:tcPr>
          <w:p w14:paraId="603A8FB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18.56</w:t>
            </w:r>
          </w:p>
        </w:tc>
        <w:tc>
          <w:tcPr>
            <w:tcW w:w="858" w:type="pct"/>
            <w:hideMark/>
          </w:tcPr>
          <w:p w14:paraId="41A7453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30.12</w:t>
            </w:r>
          </w:p>
        </w:tc>
        <w:tc>
          <w:tcPr>
            <w:tcW w:w="992" w:type="pct"/>
            <w:hideMark/>
          </w:tcPr>
          <w:p w14:paraId="4916B5CE"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89.45</w:t>
            </w:r>
          </w:p>
        </w:tc>
      </w:tr>
      <w:tr w:rsidR="00A850FF" w:rsidRPr="001B71D7" w14:paraId="767177D1"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289FB597" w14:textId="77777777" w:rsidR="00A850FF" w:rsidRPr="001B71D7" w:rsidRDefault="00A850FF" w:rsidP="00A850FF">
            <w:pPr>
              <w:spacing w:before="0" w:line="240" w:lineRule="auto"/>
              <w:rPr>
                <w:rFonts w:cs="Times New Roman"/>
                <w:szCs w:val="24"/>
              </w:rPr>
            </w:pPr>
            <w:r w:rsidRPr="001B71D7">
              <w:rPr>
                <w:rFonts w:cs="Times New Roman"/>
                <w:szCs w:val="24"/>
              </w:rPr>
              <w:t>2017</w:t>
            </w:r>
          </w:p>
        </w:tc>
        <w:tc>
          <w:tcPr>
            <w:tcW w:w="891" w:type="pct"/>
            <w:hideMark/>
          </w:tcPr>
          <w:p w14:paraId="12063075"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56.78</w:t>
            </w:r>
          </w:p>
        </w:tc>
        <w:tc>
          <w:tcPr>
            <w:tcW w:w="1238" w:type="pct"/>
            <w:hideMark/>
          </w:tcPr>
          <w:p w14:paraId="127DC0BD"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19.32</w:t>
            </w:r>
          </w:p>
        </w:tc>
        <w:tc>
          <w:tcPr>
            <w:tcW w:w="858" w:type="pct"/>
            <w:hideMark/>
          </w:tcPr>
          <w:p w14:paraId="7D57CA07"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31.45</w:t>
            </w:r>
          </w:p>
        </w:tc>
        <w:tc>
          <w:tcPr>
            <w:tcW w:w="992" w:type="pct"/>
            <w:hideMark/>
          </w:tcPr>
          <w:p w14:paraId="2BEE77AA"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92.67</w:t>
            </w:r>
          </w:p>
        </w:tc>
      </w:tr>
      <w:tr w:rsidR="00A850FF" w:rsidRPr="001B71D7" w14:paraId="6A2D153F"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7A0E7C91" w14:textId="77777777" w:rsidR="00A850FF" w:rsidRPr="001B71D7" w:rsidRDefault="00A850FF" w:rsidP="00A850FF">
            <w:pPr>
              <w:spacing w:before="0" w:line="240" w:lineRule="auto"/>
              <w:rPr>
                <w:rFonts w:cs="Times New Roman"/>
                <w:szCs w:val="24"/>
              </w:rPr>
            </w:pPr>
            <w:r w:rsidRPr="001B71D7">
              <w:rPr>
                <w:rFonts w:cs="Times New Roman"/>
                <w:szCs w:val="24"/>
              </w:rPr>
              <w:t>2018</w:t>
            </w:r>
          </w:p>
        </w:tc>
        <w:tc>
          <w:tcPr>
            <w:tcW w:w="891" w:type="pct"/>
            <w:hideMark/>
          </w:tcPr>
          <w:p w14:paraId="18CDB965"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58.12</w:t>
            </w:r>
          </w:p>
        </w:tc>
        <w:tc>
          <w:tcPr>
            <w:tcW w:w="1238" w:type="pct"/>
            <w:hideMark/>
          </w:tcPr>
          <w:p w14:paraId="274E0EC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20.14</w:t>
            </w:r>
          </w:p>
        </w:tc>
        <w:tc>
          <w:tcPr>
            <w:tcW w:w="858" w:type="pct"/>
            <w:hideMark/>
          </w:tcPr>
          <w:p w14:paraId="78993C15"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32.67</w:t>
            </w:r>
          </w:p>
        </w:tc>
        <w:tc>
          <w:tcPr>
            <w:tcW w:w="992" w:type="pct"/>
            <w:hideMark/>
          </w:tcPr>
          <w:p w14:paraId="29A2EB6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95.32</w:t>
            </w:r>
          </w:p>
        </w:tc>
      </w:tr>
      <w:tr w:rsidR="00A850FF" w:rsidRPr="001B71D7" w14:paraId="583F67A5"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5E94FB62" w14:textId="77777777" w:rsidR="00A850FF" w:rsidRPr="001B71D7" w:rsidRDefault="00A850FF" w:rsidP="00A850FF">
            <w:pPr>
              <w:spacing w:before="0" w:line="240" w:lineRule="auto"/>
              <w:rPr>
                <w:rFonts w:cs="Times New Roman"/>
                <w:szCs w:val="24"/>
              </w:rPr>
            </w:pPr>
            <w:r w:rsidRPr="001B71D7">
              <w:rPr>
                <w:rFonts w:cs="Times New Roman"/>
                <w:szCs w:val="24"/>
              </w:rPr>
              <w:t>2019</w:t>
            </w:r>
          </w:p>
        </w:tc>
        <w:tc>
          <w:tcPr>
            <w:tcW w:w="891" w:type="pct"/>
            <w:hideMark/>
          </w:tcPr>
          <w:p w14:paraId="147CD537"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57.65</w:t>
            </w:r>
          </w:p>
        </w:tc>
        <w:tc>
          <w:tcPr>
            <w:tcW w:w="1238" w:type="pct"/>
            <w:hideMark/>
          </w:tcPr>
          <w:p w14:paraId="140C671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19.87</w:t>
            </w:r>
          </w:p>
        </w:tc>
        <w:tc>
          <w:tcPr>
            <w:tcW w:w="858" w:type="pct"/>
            <w:hideMark/>
          </w:tcPr>
          <w:p w14:paraId="3ADAA09D"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31.23</w:t>
            </w:r>
          </w:p>
        </w:tc>
        <w:tc>
          <w:tcPr>
            <w:tcW w:w="992" w:type="pct"/>
            <w:hideMark/>
          </w:tcPr>
          <w:p w14:paraId="70506BAB"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93.45</w:t>
            </w:r>
          </w:p>
        </w:tc>
      </w:tr>
      <w:tr w:rsidR="00A850FF" w:rsidRPr="001B71D7" w14:paraId="74A86356"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13780DC5" w14:textId="77777777" w:rsidR="00A850FF" w:rsidRPr="001B71D7" w:rsidRDefault="00A850FF" w:rsidP="00A850FF">
            <w:pPr>
              <w:spacing w:before="0" w:line="240" w:lineRule="auto"/>
              <w:rPr>
                <w:rFonts w:cs="Times New Roman"/>
                <w:szCs w:val="24"/>
              </w:rPr>
            </w:pPr>
            <w:r w:rsidRPr="001B71D7">
              <w:rPr>
                <w:rFonts w:cs="Times New Roman"/>
                <w:szCs w:val="24"/>
              </w:rPr>
              <w:t>2020</w:t>
            </w:r>
          </w:p>
        </w:tc>
        <w:tc>
          <w:tcPr>
            <w:tcW w:w="891" w:type="pct"/>
            <w:hideMark/>
          </w:tcPr>
          <w:p w14:paraId="7FB4F67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72.54</w:t>
            </w:r>
          </w:p>
        </w:tc>
        <w:tc>
          <w:tcPr>
            <w:tcW w:w="1238" w:type="pct"/>
            <w:hideMark/>
          </w:tcPr>
          <w:p w14:paraId="5C5FFA0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25.67</w:t>
            </w:r>
          </w:p>
        </w:tc>
        <w:tc>
          <w:tcPr>
            <w:tcW w:w="858" w:type="pct"/>
            <w:hideMark/>
          </w:tcPr>
          <w:p w14:paraId="69081E2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41.23</w:t>
            </w:r>
          </w:p>
        </w:tc>
        <w:tc>
          <w:tcPr>
            <w:tcW w:w="992" w:type="pct"/>
            <w:hideMark/>
          </w:tcPr>
          <w:p w14:paraId="7778E9A5"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112.45</w:t>
            </w:r>
          </w:p>
        </w:tc>
      </w:tr>
      <w:tr w:rsidR="00A850FF" w:rsidRPr="001B71D7" w14:paraId="06AE95CF"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7AF7D8F1" w14:textId="77777777" w:rsidR="00A850FF" w:rsidRPr="001B71D7" w:rsidRDefault="00A850FF" w:rsidP="00A850FF">
            <w:pPr>
              <w:spacing w:before="0" w:line="240" w:lineRule="auto"/>
              <w:rPr>
                <w:rFonts w:cs="Times New Roman"/>
                <w:szCs w:val="24"/>
              </w:rPr>
            </w:pPr>
            <w:r w:rsidRPr="001B71D7">
              <w:rPr>
                <w:rFonts w:cs="Times New Roman"/>
                <w:szCs w:val="24"/>
              </w:rPr>
              <w:t>2021</w:t>
            </w:r>
          </w:p>
        </w:tc>
        <w:tc>
          <w:tcPr>
            <w:tcW w:w="891" w:type="pct"/>
            <w:hideMark/>
          </w:tcPr>
          <w:p w14:paraId="114A9BC0"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68.32</w:t>
            </w:r>
          </w:p>
        </w:tc>
        <w:tc>
          <w:tcPr>
            <w:tcW w:w="1238" w:type="pct"/>
            <w:hideMark/>
          </w:tcPr>
          <w:p w14:paraId="7645D48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23.45</w:t>
            </w:r>
          </w:p>
        </w:tc>
        <w:tc>
          <w:tcPr>
            <w:tcW w:w="858" w:type="pct"/>
            <w:hideMark/>
          </w:tcPr>
          <w:p w14:paraId="6FF69588"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38.56</w:t>
            </w:r>
          </w:p>
        </w:tc>
        <w:tc>
          <w:tcPr>
            <w:tcW w:w="992" w:type="pct"/>
            <w:hideMark/>
          </w:tcPr>
          <w:p w14:paraId="61D36AA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105.67</w:t>
            </w:r>
          </w:p>
        </w:tc>
      </w:tr>
      <w:tr w:rsidR="00A850FF" w:rsidRPr="001B71D7" w14:paraId="1A60F12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72B5C837" w14:textId="77777777" w:rsidR="00A850FF" w:rsidRPr="001B71D7" w:rsidRDefault="00A850FF" w:rsidP="00A850FF">
            <w:pPr>
              <w:spacing w:before="0" w:line="240" w:lineRule="auto"/>
              <w:rPr>
                <w:rFonts w:cs="Times New Roman"/>
                <w:szCs w:val="24"/>
              </w:rPr>
            </w:pPr>
            <w:r w:rsidRPr="001B71D7">
              <w:rPr>
                <w:rFonts w:cs="Times New Roman"/>
                <w:szCs w:val="24"/>
              </w:rPr>
              <w:t>2022</w:t>
            </w:r>
          </w:p>
        </w:tc>
        <w:tc>
          <w:tcPr>
            <w:tcW w:w="891" w:type="pct"/>
            <w:hideMark/>
          </w:tcPr>
          <w:p w14:paraId="42CED1A7"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61.45</w:t>
            </w:r>
          </w:p>
        </w:tc>
        <w:tc>
          <w:tcPr>
            <w:tcW w:w="1238" w:type="pct"/>
            <w:hideMark/>
          </w:tcPr>
          <w:p w14:paraId="134DCE4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21.34</w:t>
            </w:r>
          </w:p>
        </w:tc>
        <w:tc>
          <w:tcPr>
            <w:tcW w:w="858" w:type="pct"/>
            <w:hideMark/>
          </w:tcPr>
          <w:p w14:paraId="2AEE849B"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34.67</w:t>
            </w:r>
          </w:p>
        </w:tc>
        <w:tc>
          <w:tcPr>
            <w:tcW w:w="992" w:type="pct"/>
            <w:hideMark/>
          </w:tcPr>
          <w:p w14:paraId="1B6204DA"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98.23</w:t>
            </w:r>
          </w:p>
        </w:tc>
      </w:tr>
      <w:tr w:rsidR="00A850FF" w:rsidRPr="001B71D7" w14:paraId="1BD299BA"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1410CD86" w14:textId="77777777" w:rsidR="00A850FF" w:rsidRPr="001B71D7" w:rsidRDefault="00A850FF" w:rsidP="00A850FF">
            <w:pPr>
              <w:spacing w:before="0" w:line="240" w:lineRule="auto"/>
              <w:rPr>
                <w:rFonts w:cs="Times New Roman"/>
                <w:szCs w:val="24"/>
              </w:rPr>
            </w:pPr>
            <w:r w:rsidRPr="001B71D7">
              <w:rPr>
                <w:rFonts w:cs="Times New Roman"/>
                <w:szCs w:val="24"/>
              </w:rPr>
              <w:t>2023</w:t>
            </w:r>
          </w:p>
        </w:tc>
        <w:tc>
          <w:tcPr>
            <w:tcW w:w="891" w:type="pct"/>
            <w:hideMark/>
          </w:tcPr>
          <w:p w14:paraId="63A94B6B"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57.23</w:t>
            </w:r>
          </w:p>
        </w:tc>
        <w:tc>
          <w:tcPr>
            <w:tcW w:w="1238" w:type="pct"/>
            <w:hideMark/>
          </w:tcPr>
          <w:p w14:paraId="70BF3B7C"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19.45</w:t>
            </w:r>
          </w:p>
        </w:tc>
        <w:tc>
          <w:tcPr>
            <w:tcW w:w="858" w:type="pct"/>
            <w:hideMark/>
          </w:tcPr>
          <w:p w14:paraId="7359E84C"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31.56</w:t>
            </w:r>
          </w:p>
        </w:tc>
        <w:tc>
          <w:tcPr>
            <w:tcW w:w="992" w:type="pct"/>
            <w:hideMark/>
          </w:tcPr>
          <w:p w14:paraId="5B31AD4F"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92.34</w:t>
            </w:r>
          </w:p>
        </w:tc>
      </w:tr>
      <w:tr w:rsidR="00A850FF" w:rsidRPr="001B71D7" w14:paraId="2AEC520D"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796028DE" w14:textId="77777777" w:rsidR="00A850FF" w:rsidRPr="001B71D7" w:rsidRDefault="00A850FF" w:rsidP="00A850FF">
            <w:pPr>
              <w:spacing w:before="0" w:line="240" w:lineRule="auto"/>
              <w:rPr>
                <w:rFonts w:cs="Times New Roman"/>
                <w:szCs w:val="24"/>
              </w:rPr>
            </w:pPr>
            <w:r w:rsidRPr="001B71D7">
              <w:rPr>
                <w:rFonts w:cs="Times New Roman"/>
                <w:szCs w:val="24"/>
              </w:rPr>
              <w:lastRenderedPageBreak/>
              <w:t>Overall</w:t>
            </w:r>
          </w:p>
        </w:tc>
        <w:tc>
          <w:tcPr>
            <w:tcW w:w="891" w:type="pct"/>
            <w:hideMark/>
          </w:tcPr>
          <w:p w14:paraId="790CC49B"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59.06</w:t>
            </w:r>
          </w:p>
        </w:tc>
        <w:tc>
          <w:tcPr>
            <w:tcW w:w="1238" w:type="pct"/>
            <w:hideMark/>
          </w:tcPr>
          <w:p w14:paraId="79DF672A"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20.22</w:t>
            </w:r>
          </w:p>
        </w:tc>
        <w:tc>
          <w:tcPr>
            <w:tcW w:w="858" w:type="pct"/>
            <w:hideMark/>
          </w:tcPr>
          <w:p w14:paraId="0A85B60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28.45</w:t>
            </w:r>
          </w:p>
        </w:tc>
        <w:tc>
          <w:tcPr>
            <w:tcW w:w="992" w:type="pct"/>
            <w:hideMark/>
          </w:tcPr>
          <w:p w14:paraId="46A45F6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112.45</w:t>
            </w:r>
          </w:p>
        </w:tc>
      </w:tr>
    </w:tbl>
    <w:p w14:paraId="41643D01" w14:textId="77777777" w:rsidR="00A850FF" w:rsidRPr="001B71D7" w:rsidRDefault="00A850FF" w:rsidP="00E730D7">
      <w:pPr>
        <w:spacing w:before="0" w:line="240" w:lineRule="auto"/>
        <w:rPr>
          <w:color w:val="000000" w:themeColor="text1"/>
        </w:rPr>
      </w:pPr>
    </w:p>
    <w:p w14:paraId="5F978A8B" w14:textId="77777777" w:rsidR="00A850FF" w:rsidRPr="001B71D7" w:rsidRDefault="00A850FF" w:rsidP="00E730D7">
      <w:pPr>
        <w:spacing w:before="0" w:line="240" w:lineRule="auto"/>
        <w:rPr>
          <w:color w:val="000000" w:themeColor="text1"/>
        </w:rPr>
      </w:pPr>
    </w:p>
    <w:p w14:paraId="5CB95162" w14:textId="2BEAF4D9" w:rsidR="00A850FF" w:rsidRPr="001B71D7" w:rsidRDefault="00A850FF" w:rsidP="00E730D7">
      <w:pPr>
        <w:spacing w:before="0" w:line="240" w:lineRule="auto"/>
        <w:rPr>
          <w:b/>
          <w:bCs/>
          <w:i/>
          <w:iCs/>
          <w:color w:val="000000" w:themeColor="text1"/>
        </w:rPr>
      </w:pPr>
      <w:r w:rsidRPr="001B71D7">
        <w:rPr>
          <w:b/>
          <w:bCs/>
          <w:i/>
          <w:iCs/>
          <w:color w:val="000000" w:themeColor="text1"/>
        </w:rPr>
        <w:t>4.1.3 Accounts Payable Management</w:t>
      </w:r>
    </w:p>
    <w:p w14:paraId="1C2BCBE6" w14:textId="77777777" w:rsidR="00A850FF" w:rsidRPr="001B71D7" w:rsidRDefault="00A850FF" w:rsidP="00E730D7">
      <w:pPr>
        <w:spacing w:before="0" w:line="240" w:lineRule="auto"/>
        <w:rPr>
          <w:color w:val="000000" w:themeColor="text1"/>
        </w:rPr>
      </w:pPr>
    </w:p>
    <w:p w14:paraId="6843737E" w14:textId="0B4D5022" w:rsidR="00A850FF" w:rsidRPr="001B71D7" w:rsidRDefault="00FB3BC1" w:rsidP="00E730D7">
      <w:pPr>
        <w:spacing w:before="0" w:line="240" w:lineRule="auto"/>
        <w:rPr>
          <w:color w:val="000000" w:themeColor="text1"/>
        </w:rPr>
      </w:pPr>
      <w:r w:rsidRPr="001B71D7">
        <w:rPr>
          <w:color w:val="000000" w:themeColor="text1"/>
        </w:rPr>
        <w:t xml:space="preserve">Accounts payable management, measured via the average payment period (APP), was calculated as 365 days divided by the </w:t>
      </w:r>
      <w:proofErr w:type="gramStart"/>
      <w:r w:rsidRPr="001B71D7">
        <w:rPr>
          <w:color w:val="000000" w:themeColor="text1"/>
        </w:rPr>
        <w:t>payables</w:t>
      </w:r>
      <w:proofErr w:type="gramEnd"/>
      <w:r w:rsidRPr="001B71D7">
        <w:rPr>
          <w:color w:val="000000" w:themeColor="text1"/>
        </w:rPr>
        <w:t xml:space="preserve"> turnover ratio. Results show a mean APP of 73.53 days, with firms typically settling obligations within about 74 days. In 2020, APP peaked at 95.67 days, reflecting strategic delays to safeguard cash flow during COVID-19. The high standard deviation (26.35 days) indicates substantial variation in payment practices, aligning with Njeru and Wanyoike (2022). Although extended cycles may boost short-term liquidity (Akoth &amp; Onyango, 2021), post-2021 declines suggest improved liquidity and normalized supplier relations.</w:t>
      </w:r>
    </w:p>
    <w:p w14:paraId="37BEFB7D" w14:textId="77777777" w:rsidR="00FB3BC1" w:rsidRPr="001B71D7" w:rsidRDefault="00FB3BC1" w:rsidP="00E730D7">
      <w:pPr>
        <w:spacing w:before="0" w:line="240" w:lineRule="auto"/>
        <w:rPr>
          <w:color w:val="000000" w:themeColor="text1"/>
        </w:rPr>
      </w:pPr>
    </w:p>
    <w:p w14:paraId="69B6275F" w14:textId="77777777" w:rsidR="00FB3BC1" w:rsidRPr="001B71D7" w:rsidRDefault="00FB3BC1" w:rsidP="00FB3BC1">
      <w:pPr>
        <w:rPr>
          <w:b/>
          <w:bCs/>
          <w:i/>
          <w:iCs/>
        </w:rPr>
      </w:pPr>
      <w:bookmarkStart w:id="5" w:name="_Toc197643171"/>
      <w:r w:rsidRPr="001B71D7">
        <w:rPr>
          <w:b/>
          <w:bCs/>
          <w:i/>
          <w:iCs/>
        </w:rPr>
        <w:t xml:space="preserve">Table </w:t>
      </w:r>
      <w:r w:rsidRPr="001B71D7">
        <w:rPr>
          <w:b/>
          <w:bCs/>
          <w:i/>
          <w:iCs/>
        </w:rPr>
        <w:fldChar w:fldCharType="begin"/>
      </w:r>
      <w:r w:rsidRPr="001B71D7">
        <w:rPr>
          <w:b/>
          <w:bCs/>
          <w:i/>
          <w:iCs/>
        </w:rPr>
        <w:instrText xml:space="preserve"> SEQ Table_4. \* ARABIC </w:instrText>
      </w:r>
      <w:r w:rsidRPr="001B71D7">
        <w:rPr>
          <w:b/>
          <w:bCs/>
          <w:i/>
          <w:iCs/>
        </w:rPr>
        <w:fldChar w:fldCharType="separate"/>
      </w:r>
      <w:r w:rsidRPr="001B71D7">
        <w:rPr>
          <w:b/>
          <w:bCs/>
          <w:i/>
          <w:iCs/>
        </w:rPr>
        <w:t>3</w:t>
      </w:r>
      <w:r w:rsidRPr="001B71D7">
        <w:rPr>
          <w:b/>
          <w:bCs/>
          <w:i/>
          <w:iCs/>
        </w:rPr>
        <w:fldChar w:fldCharType="end"/>
      </w:r>
      <w:r w:rsidRPr="001B71D7">
        <w:rPr>
          <w:b/>
          <w:bCs/>
          <w:i/>
          <w:iCs/>
        </w:rPr>
        <w:t>: Descriptive Statistics for Average Payment Period (Days)</w:t>
      </w:r>
      <w:bookmarkEnd w:id="5"/>
    </w:p>
    <w:tbl>
      <w:tblPr>
        <w:tblStyle w:val="PlainTable1"/>
        <w:tblW w:w="5000" w:type="pct"/>
        <w:tblLook w:val="04A0" w:firstRow="1" w:lastRow="0" w:firstColumn="1" w:lastColumn="0" w:noHBand="0" w:noVBand="1"/>
      </w:tblPr>
      <w:tblGrid>
        <w:gridCol w:w="2250"/>
        <w:gridCol w:w="1964"/>
        <w:gridCol w:w="2729"/>
        <w:gridCol w:w="1891"/>
        <w:gridCol w:w="2186"/>
      </w:tblGrid>
      <w:tr w:rsidR="00FB3BC1" w:rsidRPr="001B71D7" w14:paraId="7C3F14D1"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0C116432" w14:textId="77777777" w:rsidR="00FB3BC1" w:rsidRPr="001B71D7" w:rsidRDefault="00FB3BC1" w:rsidP="00FB3BC1">
            <w:pPr>
              <w:spacing w:before="0" w:line="240" w:lineRule="auto"/>
              <w:rPr>
                <w:rFonts w:cs="Times New Roman"/>
                <w:b w:val="0"/>
                <w:bCs w:val="0"/>
                <w:szCs w:val="24"/>
              </w:rPr>
            </w:pPr>
            <w:r w:rsidRPr="001B71D7">
              <w:rPr>
                <w:rFonts w:cs="Times New Roman"/>
                <w:szCs w:val="24"/>
              </w:rPr>
              <w:t>Year</w:t>
            </w:r>
          </w:p>
        </w:tc>
        <w:tc>
          <w:tcPr>
            <w:tcW w:w="891" w:type="pct"/>
            <w:hideMark/>
          </w:tcPr>
          <w:p w14:paraId="123D8F3C"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238" w:type="pct"/>
            <w:hideMark/>
          </w:tcPr>
          <w:p w14:paraId="5EACA5B2"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858" w:type="pct"/>
            <w:hideMark/>
          </w:tcPr>
          <w:p w14:paraId="205D80A6"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992" w:type="pct"/>
            <w:hideMark/>
          </w:tcPr>
          <w:p w14:paraId="3E1D11C2"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FB3BC1" w:rsidRPr="001B71D7" w14:paraId="7A0AD67E"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1B0E91DC" w14:textId="77777777" w:rsidR="00FB3BC1" w:rsidRPr="001B71D7" w:rsidRDefault="00FB3BC1" w:rsidP="00FB3BC1">
            <w:pPr>
              <w:spacing w:before="0" w:line="240" w:lineRule="auto"/>
              <w:rPr>
                <w:rFonts w:cs="Times New Roman"/>
                <w:szCs w:val="24"/>
              </w:rPr>
            </w:pPr>
            <w:r w:rsidRPr="001B71D7">
              <w:rPr>
                <w:rFonts w:cs="Times New Roman"/>
                <w:szCs w:val="24"/>
              </w:rPr>
              <w:t>2014</w:t>
            </w:r>
          </w:p>
        </w:tc>
        <w:tc>
          <w:tcPr>
            <w:tcW w:w="891" w:type="pct"/>
            <w:hideMark/>
          </w:tcPr>
          <w:p w14:paraId="18FE692F"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64.56</w:t>
            </w:r>
          </w:p>
        </w:tc>
        <w:tc>
          <w:tcPr>
            <w:tcW w:w="1238" w:type="pct"/>
            <w:hideMark/>
          </w:tcPr>
          <w:p w14:paraId="7315F5C1"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22.34</w:t>
            </w:r>
          </w:p>
        </w:tc>
        <w:tc>
          <w:tcPr>
            <w:tcW w:w="858" w:type="pct"/>
            <w:hideMark/>
          </w:tcPr>
          <w:p w14:paraId="2C81EA78"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35.67</w:t>
            </w:r>
          </w:p>
        </w:tc>
        <w:tc>
          <w:tcPr>
            <w:tcW w:w="992" w:type="pct"/>
            <w:hideMark/>
          </w:tcPr>
          <w:p w14:paraId="0F0CD317"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98.34</w:t>
            </w:r>
          </w:p>
        </w:tc>
      </w:tr>
      <w:tr w:rsidR="00FB3BC1" w:rsidRPr="001B71D7" w14:paraId="100CC458"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0CD3A85F" w14:textId="77777777" w:rsidR="00FB3BC1" w:rsidRPr="001B71D7" w:rsidRDefault="00FB3BC1" w:rsidP="00FB3BC1">
            <w:pPr>
              <w:spacing w:before="0" w:line="240" w:lineRule="auto"/>
              <w:rPr>
                <w:rFonts w:cs="Times New Roman"/>
                <w:szCs w:val="24"/>
              </w:rPr>
            </w:pPr>
            <w:r w:rsidRPr="001B71D7">
              <w:rPr>
                <w:rFonts w:cs="Times New Roman"/>
                <w:szCs w:val="24"/>
              </w:rPr>
              <w:t>2015</w:t>
            </w:r>
          </w:p>
        </w:tc>
        <w:tc>
          <w:tcPr>
            <w:tcW w:w="891" w:type="pct"/>
            <w:hideMark/>
          </w:tcPr>
          <w:p w14:paraId="2EEEFD15"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63.45</w:t>
            </w:r>
          </w:p>
        </w:tc>
        <w:tc>
          <w:tcPr>
            <w:tcW w:w="1238" w:type="pct"/>
            <w:hideMark/>
          </w:tcPr>
          <w:p w14:paraId="216FEDCA"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21.67</w:t>
            </w:r>
          </w:p>
        </w:tc>
        <w:tc>
          <w:tcPr>
            <w:tcW w:w="858" w:type="pct"/>
            <w:hideMark/>
          </w:tcPr>
          <w:p w14:paraId="5E022C15"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34.89</w:t>
            </w:r>
          </w:p>
        </w:tc>
        <w:tc>
          <w:tcPr>
            <w:tcW w:w="992" w:type="pct"/>
            <w:hideMark/>
          </w:tcPr>
          <w:p w14:paraId="14620955"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97.23</w:t>
            </w:r>
          </w:p>
        </w:tc>
      </w:tr>
      <w:tr w:rsidR="00FB3BC1" w:rsidRPr="001B71D7" w14:paraId="74E7CD0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54D51BDD" w14:textId="77777777" w:rsidR="00FB3BC1" w:rsidRPr="001B71D7" w:rsidRDefault="00FB3BC1" w:rsidP="00FB3BC1">
            <w:pPr>
              <w:spacing w:before="0" w:line="240" w:lineRule="auto"/>
              <w:rPr>
                <w:rFonts w:cs="Times New Roman"/>
                <w:szCs w:val="24"/>
              </w:rPr>
            </w:pPr>
            <w:r w:rsidRPr="001B71D7">
              <w:rPr>
                <w:rFonts w:cs="Times New Roman"/>
                <w:szCs w:val="24"/>
              </w:rPr>
              <w:t>2016</w:t>
            </w:r>
          </w:p>
        </w:tc>
        <w:tc>
          <w:tcPr>
            <w:tcW w:w="891" w:type="pct"/>
            <w:hideMark/>
          </w:tcPr>
          <w:p w14:paraId="0E9ADA76"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66.78</w:t>
            </w:r>
          </w:p>
        </w:tc>
        <w:tc>
          <w:tcPr>
            <w:tcW w:w="1238" w:type="pct"/>
            <w:hideMark/>
          </w:tcPr>
          <w:p w14:paraId="65BB86EE"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23.45</w:t>
            </w:r>
          </w:p>
        </w:tc>
        <w:tc>
          <w:tcPr>
            <w:tcW w:w="858" w:type="pct"/>
            <w:hideMark/>
          </w:tcPr>
          <w:p w14:paraId="66343CCA"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36.78</w:t>
            </w:r>
          </w:p>
        </w:tc>
        <w:tc>
          <w:tcPr>
            <w:tcW w:w="992" w:type="pct"/>
            <w:hideMark/>
          </w:tcPr>
          <w:p w14:paraId="7D0CF389"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102.34</w:t>
            </w:r>
          </w:p>
        </w:tc>
      </w:tr>
      <w:tr w:rsidR="00FB3BC1" w:rsidRPr="001B71D7" w14:paraId="34357506"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7BB13B90" w14:textId="77777777" w:rsidR="00FB3BC1" w:rsidRPr="001B71D7" w:rsidRDefault="00FB3BC1" w:rsidP="00FB3BC1">
            <w:pPr>
              <w:spacing w:before="0" w:line="240" w:lineRule="auto"/>
              <w:rPr>
                <w:rFonts w:cs="Times New Roman"/>
                <w:szCs w:val="24"/>
              </w:rPr>
            </w:pPr>
            <w:r w:rsidRPr="001B71D7">
              <w:rPr>
                <w:rFonts w:cs="Times New Roman"/>
                <w:szCs w:val="24"/>
              </w:rPr>
              <w:t>2017</w:t>
            </w:r>
          </w:p>
        </w:tc>
        <w:tc>
          <w:tcPr>
            <w:tcW w:w="891" w:type="pct"/>
            <w:hideMark/>
          </w:tcPr>
          <w:p w14:paraId="5947022A"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68.93</w:t>
            </w:r>
          </w:p>
        </w:tc>
        <w:tc>
          <w:tcPr>
            <w:tcW w:w="1238" w:type="pct"/>
            <w:hideMark/>
          </w:tcPr>
          <w:p w14:paraId="142AF308"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24.67</w:t>
            </w:r>
          </w:p>
        </w:tc>
        <w:tc>
          <w:tcPr>
            <w:tcW w:w="858" w:type="pct"/>
            <w:hideMark/>
          </w:tcPr>
          <w:p w14:paraId="4EBA315A"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38.45</w:t>
            </w:r>
          </w:p>
        </w:tc>
        <w:tc>
          <w:tcPr>
            <w:tcW w:w="992" w:type="pct"/>
            <w:hideMark/>
          </w:tcPr>
          <w:p w14:paraId="5804336B"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105.67</w:t>
            </w:r>
          </w:p>
        </w:tc>
      </w:tr>
      <w:tr w:rsidR="00FB3BC1" w:rsidRPr="001B71D7" w14:paraId="762A8EC6"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01D74944" w14:textId="77777777" w:rsidR="00FB3BC1" w:rsidRPr="001B71D7" w:rsidRDefault="00FB3BC1" w:rsidP="00FB3BC1">
            <w:pPr>
              <w:spacing w:before="0" w:line="240" w:lineRule="auto"/>
              <w:rPr>
                <w:rFonts w:cs="Times New Roman"/>
                <w:szCs w:val="24"/>
              </w:rPr>
            </w:pPr>
            <w:r w:rsidRPr="001B71D7">
              <w:rPr>
                <w:rFonts w:cs="Times New Roman"/>
                <w:szCs w:val="24"/>
              </w:rPr>
              <w:t>2018</w:t>
            </w:r>
          </w:p>
        </w:tc>
        <w:tc>
          <w:tcPr>
            <w:tcW w:w="891" w:type="pct"/>
            <w:hideMark/>
          </w:tcPr>
          <w:p w14:paraId="3B226043"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70.23</w:t>
            </w:r>
          </w:p>
        </w:tc>
        <w:tc>
          <w:tcPr>
            <w:tcW w:w="1238" w:type="pct"/>
            <w:hideMark/>
          </w:tcPr>
          <w:p w14:paraId="30D3CAC7"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25.34</w:t>
            </w:r>
          </w:p>
        </w:tc>
        <w:tc>
          <w:tcPr>
            <w:tcW w:w="858" w:type="pct"/>
            <w:hideMark/>
          </w:tcPr>
          <w:p w14:paraId="4816F601"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39.56</w:t>
            </w:r>
          </w:p>
        </w:tc>
        <w:tc>
          <w:tcPr>
            <w:tcW w:w="992" w:type="pct"/>
            <w:hideMark/>
          </w:tcPr>
          <w:p w14:paraId="33E869AB"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108.45</w:t>
            </w:r>
          </w:p>
        </w:tc>
      </w:tr>
      <w:tr w:rsidR="00FB3BC1" w:rsidRPr="001B71D7" w14:paraId="053ECF94"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59B430F9" w14:textId="77777777" w:rsidR="00FB3BC1" w:rsidRPr="001B71D7" w:rsidRDefault="00FB3BC1" w:rsidP="00FB3BC1">
            <w:pPr>
              <w:spacing w:before="0" w:line="240" w:lineRule="auto"/>
              <w:rPr>
                <w:rFonts w:cs="Times New Roman"/>
                <w:szCs w:val="24"/>
              </w:rPr>
            </w:pPr>
            <w:r w:rsidRPr="001B71D7">
              <w:rPr>
                <w:rFonts w:cs="Times New Roman"/>
                <w:szCs w:val="24"/>
              </w:rPr>
              <w:t>2019</w:t>
            </w:r>
          </w:p>
        </w:tc>
        <w:tc>
          <w:tcPr>
            <w:tcW w:w="891" w:type="pct"/>
            <w:hideMark/>
          </w:tcPr>
          <w:p w14:paraId="70C7A1C9"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69.45</w:t>
            </w:r>
          </w:p>
        </w:tc>
        <w:tc>
          <w:tcPr>
            <w:tcW w:w="1238" w:type="pct"/>
            <w:hideMark/>
          </w:tcPr>
          <w:p w14:paraId="35969A59"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24.89</w:t>
            </w:r>
          </w:p>
        </w:tc>
        <w:tc>
          <w:tcPr>
            <w:tcW w:w="858" w:type="pct"/>
            <w:hideMark/>
          </w:tcPr>
          <w:p w14:paraId="6DAC2BC2"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38.67</w:t>
            </w:r>
          </w:p>
        </w:tc>
        <w:tc>
          <w:tcPr>
            <w:tcW w:w="992" w:type="pct"/>
            <w:hideMark/>
          </w:tcPr>
          <w:p w14:paraId="0117B31B"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106.78</w:t>
            </w:r>
          </w:p>
        </w:tc>
      </w:tr>
      <w:tr w:rsidR="00FB3BC1" w:rsidRPr="001B71D7" w14:paraId="501B972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55AE2028" w14:textId="77777777" w:rsidR="00FB3BC1" w:rsidRPr="001B71D7" w:rsidRDefault="00FB3BC1" w:rsidP="00FB3BC1">
            <w:pPr>
              <w:spacing w:before="0" w:line="240" w:lineRule="auto"/>
              <w:rPr>
                <w:rFonts w:cs="Times New Roman"/>
                <w:szCs w:val="24"/>
              </w:rPr>
            </w:pPr>
            <w:r w:rsidRPr="001B71D7">
              <w:rPr>
                <w:rFonts w:cs="Times New Roman"/>
                <w:szCs w:val="24"/>
              </w:rPr>
              <w:t>2020</w:t>
            </w:r>
          </w:p>
        </w:tc>
        <w:tc>
          <w:tcPr>
            <w:tcW w:w="891" w:type="pct"/>
            <w:hideMark/>
          </w:tcPr>
          <w:p w14:paraId="14147722"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95.67</w:t>
            </w:r>
          </w:p>
        </w:tc>
        <w:tc>
          <w:tcPr>
            <w:tcW w:w="1238" w:type="pct"/>
            <w:hideMark/>
          </w:tcPr>
          <w:p w14:paraId="702B0A59"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35.67</w:t>
            </w:r>
          </w:p>
        </w:tc>
        <w:tc>
          <w:tcPr>
            <w:tcW w:w="858" w:type="pct"/>
            <w:hideMark/>
          </w:tcPr>
          <w:p w14:paraId="3E38DE9C"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58.34</w:t>
            </w:r>
          </w:p>
        </w:tc>
        <w:tc>
          <w:tcPr>
            <w:tcW w:w="992" w:type="pct"/>
            <w:hideMark/>
          </w:tcPr>
          <w:p w14:paraId="26C0DE44"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143.67</w:t>
            </w:r>
          </w:p>
        </w:tc>
      </w:tr>
      <w:tr w:rsidR="00FB3BC1" w:rsidRPr="001B71D7" w14:paraId="7DB4C175"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4D822202" w14:textId="77777777" w:rsidR="00FB3BC1" w:rsidRPr="001B71D7" w:rsidRDefault="00FB3BC1" w:rsidP="00FB3BC1">
            <w:pPr>
              <w:spacing w:before="0" w:line="240" w:lineRule="auto"/>
              <w:rPr>
                <w:rFonts w:cs="Times New Roman"/>
                <w:szCs w:val="24"/>
              </w:rPr>
            </w:pPr>
            <w:r w:rsidRPr="001B71D7">
              <w:rPr>
                <w:rFonts w:cs="Times New Roman"/>
                <w:szCs w:val="24"/>
              </w:rPr>
              <w:t>2021</w:t>
            </w:r>
          </w:p>
        </w:tc>
        <w:tc>
          <w:tcPr>
            <w:tcW w:w="891" w:type="pct"/>
            <w:hideMark/>
          </w:tcPr>
          <w:p w14:paraId="145F9014"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89.34</w:t>
            </w:r>
          </w:p>
        </w:tc>
        <w:tc>
          <w:tcPr>
            <w:tcW w:w="1238" w:type="pct"/>
            <w:hideMark/>
          </w:tcPr>
          <w:p w14:paraId="31271194"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32.45</w:t>
            </w:r>
          </w:p>
        </w:tc>
        <w:tc>
          <w:tcPr>
            <w:tcW w:w="858" w:type="pct"/>
            <w:hideMark/>
          </w:tcPr>
          <w:p w14:paraId="42DA2B17"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54.67</w:t>
            </w:r>
          </w:p>
        </w:tc>
        <w:tc>
          <w:tcPr>
            <w:tcW w:w="992" w:type="pct"/>
            <w:hideMark/>
          </w:tcPr>
          <w:p w14:paraId="46B3E068"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135.45</w:t>
            </w:r>
          </w:p>
        </w:tc>
      </w:tr>
      <w:tr w:rsidR="00FB3BC1" w:rsidRPr="001B71D7" w14:paraId="151678F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1A6E90E1" w14:textId="77777777" w:rsidR="00FB3BC1" w:rsidRPr="001B71D7" w:rsidRDefault="00FB3BC1" w:rsidP="00FB3BC1">
            <w:pPr>
              <w:spacing w:before="0" w:line="240" w:lineRule="auto"/>
              <w:rPr>
                <w:rFonts w:cs="Times New Roman"/>
                <w:szCs w:val="24"/>
              </w:rPr>
            </w:pPr>
            <w:r w:rsidRPr="001B71D7">
              <w:rPr>
                <w:rFonts w:cs="Times New Roman"/>
                <w:szCs w:val="24"/>
              </w:rPr>
              <w:t>2022</w:t>
            </w:r>
          </w:p>
        </w:tc>
        <w:tc>
          <w:tcPr>
            <w:tcW w:w="891" w:type="pct"/>
            <w:hideMark/>
          </w:tcPr>
          <w:p w14:paraId="1EB8C675"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75.67</w:t>
            </w:r>
          </w:p>
        </w:tc>
        <w:tc>
          <w:tcPr>
            <w:tcW w:w="1238" w:type="pct"/>
            <w:hideMark/>
          </w:tcPr>
          <w:p w14:paraId="31A22B41"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27.34</w:t>
            </w:r>
          </w:p>
        </w:tc>
        <w:tc>
          <w:tcPr>
            <w:tcW w:w="858" w:type="pct"/>
            <w:hideMark/>
          </w:tcPr>
          <w:p w14:paraId="356231A8"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42.56</w:t>
            </w:r>
          </w:p>
        </w:tc>
        <w:tc>
          <w:tcPr>
            <w:tcW w:w="992" w:type="pct"/>
            <w:hideMark/>
          </w:tcPr>
          <w:p w14:paraId="1317DA18"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115.67</w:t>
            </w:r>
          </w:p>
        </w:tc>
      </w:tr>
      <w:tr w:rsidR="00FB3BC1" w:rsidRPr="001B71D7" w14:paraId="1E68441A"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1A2ADEE4" w14:textId="77777777" w:rsidR="00FB3BC1" w:rsidRPr="001B71D7" w:rsidRDefault="00FB3BC1" w:rsidP="00FB3BC1">
            <w:pPr>
              <w:spacing w:before="0" w:line="240" w:lineRule="auto"/>
              <w:rPr>
                <w:rFonts w:cs="Times New Roman"/>
                <w:szCs w:val="24"/>
              </w:rPr>
            </w:pPr>
            <w:r w:rsidRPr="001B71D7">
              <w:rPr>
                <w:rFonts w:cs="Times New Roman"/>
                <w:szCs w:val="24"/>
              </w:rPr>
              <w:t>2023</w:t>
            </w:r>
          </w:p>
        </w:tc>
        <w:tc>
          <w:tcPr>
            <w:tcW w:w="891" w:type="pct"/>
            <w:hideMark/>
          </w:tcPr>
          <w:p w14:paraId="79B597C8"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71.23</w:t>
            </w:r>
          </w:p>
        </w:tc>
        <w:tc>
          <w:tcPr>
            <w:tcW w:w="1238" w:type="pct"/>
            <w:hideMark/>
          </w:tcPr>
          <w:p w14:paraId="468CD462"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25.67</w:t>
            </w:r>
          </w:p>
        </w:tc>
        <w:tc>
          <w:tcPr>
            <w:tcW w:w="858" w:type="pct"/>
            <w:hideMark/>
          </w:tcPr>
          <w:p w14:paraId="23BC8FD7"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39.78</w:t>
            </w:r>
          </w:p>
        </w:tc>
        <w:tc>
          <w:tcPr>
            <w:tcW w:w="992" w:type="pct"/>
            <w:hideMark/>
          </w:tcPr>
          <w:p w14:paraId="13E6F596"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109.56</w:t>
            </w:r>
          </w:p>
        </w:tc>
      </w:tr>
      <w:tr w:rsidR="00FB3BC1" w:rsidRPr="001B71D7" w14:paraId="42699DCD"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21094D4C" w14:textId="77777777" w:rsidR="00FB3BC1" w:rsidRPr="001B71D7" w:rsidRDefault="00FB3BC1" w:rsidP="00FB3BC1">
            <w:pPr>
              <w:spacing w:before="0" w:line="240" w:lineRule="auto"/>
              <w:rPr>
                <w:rFonts w:cs="Times New Roman"/>
                <w:szCs w:val="24"/>
              </w:rPr>
            </w:pPr>
            <w:r w:rsidRPr="001B71D7">
              <w:rPr>
                <w:rFonts w:cs="Times New Roman"/>
                <w:szCs w:val="24"/>
              </w:rPr>
              <w:t>Overall</w:t>
            </w:r>
          </w:p>
        </w:tc>
        <w:tc>
          <w:tcPr>
            <w:tcW w:w="891" w:type="pct"/>
            <w:hideMark/>
          </w:tcPr>
          <w:p w14:paraId="7CE72AC2"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73.53</w:t>
            </w:r>
          </w:p>
        </w:tc>
        <w:tc>
          <w:tcPr>
            <w:tcW w:w="1238" w:type="pct"/>
            <w:hideMark/>
          </w:tcPr>
          <w:p w14:paraId="4B603FA0"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26.35</w:t>
            </w:r>
          </w:p>
        </w:tc>
        <w:tc>
          <w:tcPr>
            <w:tcW w:w="858" w:type="pct"/>
            <w:hideMark/>
          </w:tcPr>
          <w:p w14:paraId="4675AD60"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34.89</w:t>
            </w:r>
          </w:p>
        </w:tc>
        <w:tc>
          <w:tcPr>
            <w:tcW w:w="992" w:type="pct"/>
            <w:hideMark/>
          </w:tcPr>
          <w:p w14:paraId="2B8903F5"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143.67</w:t>
            </w:r>
          </w:p>
        </w:tc>
      </w:tr>
    </w:tbl>
    <w:p w14:paraId="0487D2FF" w14:textId="77777777" w:rsidR="00FB3BC1" w:rsidRPr="001B71D7" w:rsidRDefault="00FB3BC1" w:rsidP="00E730D7">
      <w:pPr>
        <w:spacing w:before="0" w:line="240" w:lineRule="auto"/>
        <w:rPr>
          <w:color w:val="000000" w:themeColor="text1"/>
        </w:rPr>
      </w:pPr>
    </w:p>
    <w:p w14:paraId="247CCDDA" w14:textId="77777777" w:rsidR="00A850FF" w:rsidRPr="001B71D7" w:rsidRDefault="00A850FF" w:rsidP="00E730D7">
      <w:pPr>
        <w:spacing w:before="0" w:line="240" w:lineRule="auto"/>
        <w:rPr>
          <w:color w:val="000000" w:themeColor="text1"/>
        </w:rPr>
      </w:pPr>
    </w:p>
    <w:p w14:paraId="75139A53" w14:textId="125BA624" w:rsidR="00A850FF" w:rsidRPr="001B71D7" w:rsidRDefault="00EE3940" w:rsidP="00E730D7">
      <w:pPr>
        <w:spacing w:before="0" w:line="240" w:lineRule="auto"/>
        <w:rPr>
          <w:b/>
          <w:bCs/>
          <w:i/>
          <w:iCs/>
          <w:color w:val="000000" w:themeColor="text1"/>
        </w:rPr>
      </w:pPr>
      <w:r w:rsidRPr="001B71D7">
        <w:rPr>
          <w:b/>
          <w:bCs/>
          <w:i/>
          <w:iCs/>
          <w:color w:val="000000" w:themeColor="text1"/>
        </w:rPr>
        <w:t xml:space="preserve">4.1.4 </w:t>
      </w:r>
      <w:r w:rsidRPr="001B71D7">
        <w:rPr>
          <w:b/>
          <w:bCs/>
          <w:i/>
          <w:iCs/>
          <w:szCs w:val="24"/>
        </w:rPr>
        <w:t>Inventory Management</w:t>
      </w:r>
    </w:p>
    <w:p w14:paraId="0164F8F8" w14:textId="77777777" w:rsidR="00A850FF" w:rsidRPr="001B71D7" w:rsidRDefault="00A850FF" w:rsidP="00E730D7">
      <w:pPr>
        <w:spacing w:before="0" w:line="240" w:lineRule="auto"/>
        <w:rPr>
          <w:color w:val="000000" w:themeColor="text1"/>
        </w:rPr>
      </w:pPr>
    </w:p>
    <w:p w14:paraId="2A52B5B2" w14:textId="0317AEB2" w:rsidR="00EE3940" w:rsidRPr="001B71D7" w:rsidRDefault="00EE3940" w:rsidP="00EE3940">
      <w:pPr>
        <w:spacing w:before="0" w:line="240" w:lineRule="auto"/>
      </w:pPr>
      <w:bookmarkStart w:id="6" w:name="_Toc197643172"/>
      <w:r w:rsidRPr="001B71D7">
        <w:t>Inventory management was assessed using the inventory conversion period (ICP), calculated as the average inventory divided by the cost of goods sold, multiplied by 365 days (Table 4). The average ICP was 85.52 days, indicating firms required nearly three months to convert inventory into sales. The peak of 103.67 days in 2020 reflected pandemic-related supply chain disruptions and weak demand. By 2023, ICP declined to 84.23 days, signaling recovery. However, a high variability (SD = 27.81) shows uneven efficiency. Prior studies link efficient turnover to lower holding costs, liquidity stability, and profitability.</w:t>
      </w:r>
    </w:p>
    <w:p w14:paraId="0032D191" w14:textId="1CA969F6" w:rsidR="00EE3940" w:rsidRPr="001B71D7" w:rsidRDefault="00EE3940" w:rsidP="00EE3940">
      <w:pPr>
        <w:rPr>
          <w:b/>
          <w:bCs/>
          <w:i/>
          <w:iCs/>
        </w:rPr>
      </w:pPr>
      <w:r w:rsidRPr="001B71D7">
        <w:rPr>
          <w:b/>
          <w:bCs/>
          <w:i/>
          <w:iCs/>
        </w:rPr>
        <w:t xml:space="preserve">Table </w:t>
      </w:r>
      <w:r w:rsidRPr="001B71D7">
        <w:rPr>
          <w:b/>
          <w:bCs/>
          <w:i/>
          <w:iCs/>
        </w:rPr>
        <w:fldChar w:fldCharType="begin"/>
      </w:r>
      <w:r w:rsidRPr="001B71D7">
        <w:rPr>
          <w:b/>
          <w:bCs/>
          <w:i/>
          <w:iCs/>
        </w:rPr>
        <w:instrText xml:space="preserve"> SEQ Table_4. \* ARABIC </w:instrText>
      </w:r>
      <w:r w:rsidRPr="001B71D7">
        <w:rPr>
          <w:b/>
          <w:bCs/>
          <w:i/>
          <w:iCs/>
        </w:rPr>
        <w:fldChar w:fldCharType="separate"/>
      </w:r>
      <w:r w:rsidRPr="001B71D7">
        <w:rPr>
          <w:b/>
          <w:bCs/>
          <w:i/>
          <w:iCs/>
        </w:rPr>
        <w:t>4</w:t>
      </w:r>
      <w:r w:rsidRPr="001B71D7">
        <w:rPr>
          <w:b/>
          <w:bCs/>
          <w:i/>
          <w:iCs/>
        </w:rPr>
        <w:fldChar w:fldCharType="end"/>
      </w:r>
      <w:r w:rsidRPr="001B71D7">
        <w:rPr>
          <w:b/>
          <w:bCs/>
          <w:i/>
          <w:iCs/>
        </w:rPr>
        <w:t>: Descriptive Statistics for Inventory Conversion Period (Days)</w:t>
      </w:r>
      <w:bookmarkEnd w:id="6"/>
    </w:p>
    <w:tbl>
      <w:tblPr>
        <w:tblStyle w:val="PlainTable1"/>
        <w:tblW w:w="5000" w:type="pct"/>
        <w:tblLook w:val="04A0" w:firstRow="1" w:lastRow="0" w:firstColumn="1" w:lastColumn="0" w:noHBand="0" w:noVBand="1"/>
      </w:tblPr>
      <w:tblGrid>
        <w:gridCol w:w="2206"/>
        <w:gridCol w:w="2142"/>
        <w:gridCol w:w="2676"/>
        <w:gridCol w:w="1854"/>
        <w:gridCol w:w="2142"/>
      </w:tblGrid>
      <w:tr w:rsidR="00EE3940" w:rsidRPr="001B71D7" w14:paraId="5CF50968"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389E4BA4" w14:textId="77777777" w:rsidR="00EE3940" w:rsidRPr="001B71D7" w:rsidRDefault="00EE3940" w:rsidP="00EE3940">
            <w:pPr>
              <w:spacing w:before="0" w:line="240" w:lineRule="auto"/>
              <w:rPr>
                <w:rFonts w:cs="Times New Roman"/>
                <w:b w:val="0"/>
                <w:bCs w:val="0"/>
                <w:szCs w:val="24"/>
              </w:rPr>
            </w:pPr>
            <w:r w:rsidRPr="001B71D7">
              <w:rPr>
                <w:rFonts w:cs="Times New Roman"/>
                <w:szCs w:val="24"/>
              </w:rPr>
              <w:t>Year</w:t>
            </w:r>
          </w:p>
        </w:tc>
        <w:tc>
          <w:tcPr>
            <w:tcW w:w="972" w:type="pct"/>
            <w:hideMark/>
          </w:tcPr>
          <w:p w14:paraId="2BC8B39D"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214" w:type="pct"/>
            <w:hideMark/>
          </w:tcPr>
          <w:p w14:paraId="4D9F5883"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841" w:type="pct"/>
            <w:hideMark/>
          </w:tcPr>
          <w:p w14:paraId="7513888E"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972" w:type="pct"/>
            <w:hideMark/>
          </w:tcPr>
          <w:p w14:paraId="096AB02B"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EE3940" w:rsidRPr="001B71D7" w14:paraId="423E4F9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3F76C5EE" w14:textId="77777777" w:rsidR="00EE3940" w:rsidRPr="001B71D7" w:rsidRDefault="00EE3940" w:rsidP="00EE3940">
            <w:pPr>
              <w:spacing w:before="0" w:line="240" w:lineRule="auto"/>
              <w:rPr>
                <w:rFonts w:cs="Times New Roman"/>
                <w:szCs w:val="24"/>
              </w:rPr>
            </w:pPr>
            <w:r w:rsidRPr="001B71D7">
              <w:rPr>
                <w:rFonts w:cs="Times New Roman"/>
                <w:szCs w:val="24"/>
              </w:rPr>
              <w:t>2014</w:t>
            </w:r>
          </w:p>
        </w:tc>
        <w:tc>
          <w:tcPr>
            <w:tcW w:w="972" w:type="pct"/>
            <w:hideMark/>
          </w:tcPr>
          <w:p w14:paraId="4A940B8F"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76.34</w:t>
            </w:r>
          </w:p>
        </w:tc>
        <w:tc>
          <w:tcPr>
            <w:tcW w:w="1214" w:type="pct"/>
            <w:hideMark/>
          </w:tcPr>
          <w:p w14:paraId="2C8C4D75"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24.56</w:t>
            </w:r>
          </w:p>
        </w:tc>
        <w:tc>
          <w:tcPr>
            <w:tcW w:w="841" w:type="pct"/>
            <w:hideMark/>
          </w:tcPr>
          <w:p w14:paraId="1D84598C"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42.34</w:t>
            </w:r>
          </w:p>
        </w:tc>
        <w:tc>
          <w:tcPr>
            <w:tcW w:w="972" w:type="pct"/>
            <w:hideMark/>
          </w:tcPr>
          <w:p w14:paraId="796C13B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118.45</w:t>
            </w:r>
          </w:p>
        </w:tc>
      </w:tr>
      <w:tr w:rsidR="00EE3940" w:rsidRPr="001B71D7" w14:paraId="14A8EE45"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6B803F86" w14:textId="77777777" w:rsidR="00EE3940" w:rsidRPr="001B71D7" w:rsidRDefault="00EE3940" w:rsidP="00EE3940">
            <w:pPr>
              <w:spacing w:before="0" w:line="240" w:lineRule="auto"/>
              <w:rPr>
                <w:rFonts w:cs="Times New Roman"/>
                <w:szCs w:val="24"/>
              </w:rPr>
            </w:pPr>
            <w:r w:rsidRPr="001B71D7">
              <w:rPr>
                <w:rFonts w:cs="Times New Roman"/>
                <w:szCs w:val="24"/>
              </w:rPr>
              <w:t>2015</w:t>
            </w:r>
          </w:p>
        </w:tc>
        <w:tc>
          <w:tcPr>
            <w:tcW w:w="972" w:type="pct"/>
            <w:hideMark/>
          </w:tcPr>
          <w:p w14:paraId="3211F88F"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75.67</w:t>
            </w:r>
          </w:p>
        </w:tc>
        <w:tc>
          <w:tcPr>
            <w:tcW w:w="1214" w:type="pct"/>
            <w:hideMark/>
          </w:tcPr>
          <w:p w14:paraId="7679499B"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24.23</w:t>
            </w:r>
          </w:p>
        </w:tc>
        <w:tc>
          <w:tcPr>
            <w:tcW w:w="841" w:type="pct"/>
            <w:hideMark/>
          </w:tcPr>
          <w:p w14:paraId="2609C056"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41.89</w:t>
            </w:r>
          </w:p>
        </w:tc>
        <w:tc>
          <w:tcPr>
            <w:tcW w:w="972" w:type="pct"/>
            <w:hideMark/>
          </w:tcPr>
          <w:p w14:paraId="5F2474FD"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117.34</w:t>
            </w:r>
          </w:p>
        </w:tc>
      </w:tr>
      <w:tr w:rsidR="00EE3940" w:rsidRPr="001B71D7" w14:paraId="276AF76F"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2FC9972C" w14:textId="77777777" w:rsidR="00EE3940" w:rsidRPr="001B71D7" w:rsidRDefault="00EE3940" w:rsidP="00EE3940">
            <w:pPr>
              <w:spacing w:before="0" w:line="240" w:lineRule="auto"/>
              <w:rPr>
                <w:rFonts w:cs="Times New Roman"/>
                <w:szCs w:val="24"/>
              </w:rPr>
            </w:pPr>
            <w:r w:rsidRPr="001B71D7">
              <w:rPr>
                <w:rFonts w:cs="Times New Roman"/>
                <w:szCs w:val="24"/>
              </w:rPr>
              <w:t>2016</w:t>
            </w:r>
          </w:p>
        </w:tc>
        <w:tc>
          <w:tcPr>
            <w:tcW w:w="972" w:type="pct"/>
            <w:hideMark/>
          </w:tcPr>
          <w:p w14:paraId="63B93F1C"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79.45</w:t>
            </w:r>
          </w:p>
        </w:tc>
        <w:tc>
          <w:tcPr>
            <w:tcW w:w="1214" w:type="pct"/>
            <w:hideMark/>
          </w:tcPr>
          <w:p w14:paraId="54B703FD"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25.67</w:t>
            </w:r>
          </w:p>
        </w:tc>
        <w:tc>
          <w:tcPr>
            <w:tcW w:w="841" w:type="pct"/>
            <w:hideMark/>
          </w:tcPr>
          <w:p w14:paraId="0C20F38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44.23</w:t>
            </w:r>
          </w:p>
        </w:tc>
        <w:tc>
          <w:tcPr>
            <w:tcW w:w="972" w:type="pct"/>
            <w:hideMark/>
          </w:tcPr>
          <w:p w14:paraId="672C3E9D"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123.56</w:t>
            </w:r>
          </w:p>
        </w:tc>
      </w:tr>
      <w:tr w:rsidR="00EE3940" w:rsidRPr="001B71D7" w14:paraId="14237642"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4DA33477" w14:textId="77777777" w:rsidR="00EE3940" w:rsidRPr="001B71D7" w:rsidRDefault="00EE3940" w:rsidP="00EE3940">
            <w:pPr>
              <w:spacing w:before="0" w:line="240" w:lineRule="auto"/>
              <w:rPr>
                <w:rFonts w:cs="Times New Roman"/>
                <w:szCs w:val="24"/>
              </w:rPr>
            </w:pPr>
            <w:r w:rsidRPr="001B71D7">
              <w:rPr>
                <w:rFonts w:cs="Times New Roman"/>
                <w:szCs w:val="24"/>
              </w:rPr>
              <w:t>2017</w:t>
            </w:r>
          </w:p>
        </w:tc>
        <w:tc>
          <w:tcPr>
            <w:tcW w:w="972" w:type="pct"/>
            <w:hideMark/>
          </w:tcPr>
          <w:p w14:paraId="09209C97"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82.67</w:t>
            </w:r>
          </w:p>
        </w:tc>
        <w:tc>
          <w:tcPr>
            <w:tcW w:w="1214" w:type="pct"/>
            <w:hideMark/>
          </w:tcPr>
          <w:p w14:paraId="4323FAC9"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26.78</w:t>
            </w:r>
          </w:p>
        </w:tc>
        <w:tc>
          <w:tcPr>
            <w:tcW w:w="841" w:type="pct"/>
            <w:hideMark/>
          </w:tcPr>
          <w:p w14:paraId="5658D81F"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46.34</w:t>
            </w:r>
          </w:p>
        </w:tc>
        <w:tc>
          <w:tcPr>
            <w:tcW w:w="972" w:type="pct"/>
            <w:hideMark/>
          </w:tcPr>
          <w:p w14:paraId="2967F4B4"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128.45</w:t>
            </w:r>
          </w:p>
        </w:tc>
      </w:tr>
      <w:tr w:rsidR="00EE3940" w:rsidRPr="001B71D7" w14:paraId="29C2DB0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2F7C85CA" w14:textId="77777777" w:rsidR="00EE3940" w:rsidRPr="001B71D7" w:rsidRDefault="00EE3940" w:rsidP="00EE3940">
            <w:pPr>
              <w:spacing w:before="0" w:line="240" w:lineRule="auto"/>
              <w:rPr>
                <w:rFonts w:cs="Times New Roman"/>
                <w:szCs w:val="24"/>
              </w:rPr>
            </w:pPr>
            <w:r w:rsidRPr="001B71D7">
              <w:rPr>
                <w:rFonts w:cs="Times New Roman"/>
                <w:szCs w:val="24"/>
              </w:rPr>
              <w:t>2018</w:t>
            </w:r>
          </w:p>
        </w:tc>
        <w:tc>
          <w:tcPr>
            <w:tcW w:w="972" w:type="pct"/>
            <w:hideMark/>
          </w:tcPr>
          <w:p w14:paraId="5725589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84.56</w:t>
            </w:r>
          </w:p>
        </w:tc>
        <w:tc>
          <w:tcPr>
            <w:tcW w:w="1214" w:type="pct"/>
            <w:hideMark/>
          </w:tcPr>
          <w:p w14:paraId="4EC5951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27.34</w:t>
            </w:r>
          </w:p>
        </w:tc>
        <w:tc>
          <w:tcPr>
            <w:tcW w:w="841" w:type="pct"/>
            <w:hideMark/>
          </w:tcPr>
          <w:p w14:paraId="0CF67313"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47.45</w:t>
            </w:r>
          </w:p>
        </w:tc>
        <w:tc>
          <w:tcPr>
            <w:tcW w:w="972" w:type="pct"/>
            <w:hideMark/>
          </w:tcPr>
          <w:p w14:paraId="65A944D7"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131.23</w:t>
            </w:r>
          </w:p>
        </w:tc>
      </w:tr>
      <w:tr w:rsidR="00EE3940" w:rsidRPr="001B71D7" w14:paraId="492DE848"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3358623F" w14:textId="77777777" w:rsidR="00EE3940" w:rsidRPr="001B71D7" w:rsidRDefault="00EE3940" w:rsidP="00EE3940">
            <w:pPr>
              <w:spacing w:before="0" w:line="240" w:lineRule="auto"/>
              <w:rPr>
                <w:rFonts w:cs="Times New Roman"/>
                <w:szCs w:val="24"/>
              </w:rPr>
            </w:pPr>
            <w:r w:rsidRPr="001B71D7">
              <w:rPr>
                <w:rFonts w:cs="Times New Roman"/>
                <w:szCs w:val="24"/>
              </w:rPr>
              <w:t>2019</w:t>
            </w:r>
          </w:p>
        </w:tc>
        <w:tc>
          <w:tcPr>
            <w:tcW w:w="972" w:type="pct"/>
            <w:hideMark/>
          </w:tcPr>
          <w:p w14:paraId="60BDDD28"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83.45</w:t>
            </w:r>
          </w:p>
        </w:tc>
        <w:tc>
          <w:tcPr>
            <w:tcW w:w="1214" w:type="pct"/>
            <w:hideMark/>
          </w:tcPr>
          <w:p w14:paraId="6EDA324D"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26.89</w:t>
            </w:r>
          </w:p>
        </w:tc>
        <w:tc>
          <w:tcPr>
            <w:tcW w:w="841" w:type="pct"/>
            <w:hideMark/>
          </w:tcPr>
          <w:p w14:paraId="43C8ADF5"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46.78</w:t>
            </w:r>
          </w:p>
        </w:tc>
        <w:tc>
          <w:tcPr>
            <w:tcW w:w="972" w:type="pct"/>
            <w:hideMark/>
          </w:tcPr>
          <w:p w14:paraId="04C65EC2"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129.67</w:t>
            </w:r>
          </w:p>
        </w:tc>
      </w:tr>
      <w:tr w:rsidR="00EE3940" w:rsidRPr="001B71D7" w14:paraId="7FE8B4B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0134E7A7" w14:textId="77777777" w:rsidR="00EE3940" w:rsidRPr="001B71D7" w:rsidRDefault="00EE3940" w:rsidP="00EE3940">
            <w:pPr>
              <w:spacing w:before="0" w:line="240" w:lineRule="auto"/>
              <w:rPr>
                <w:rFonts w:cs="Times New Roman"/>
                <w:szCs w:val="24"/>
              </w:rPr>
            </w:pPr>
            <w:r w:rsidRPr="001B71D7">
              <w:rPr>
                <w:rFonts w:cs="Times New Roman"/>
                <w:szCs w:val="24"/>
              </w:rPr>
              <w:t>2020</w:t>
            </w:r>
          </w:p>
        </w:tc>
        <w:tc>
          <w:tcPr>
            <w:tcW w:w="972" w:type="pct"/>
            <w:hideMark/>
          </w:tcPr>
          <w:p w14:paraId="65A7AECF"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103.67</w:t>
            </w:r>
          </w:p>
        </w:tc>
        <w:tc>
          <w:tcPr>
            <w:tcW w:w="1214" w:type="pct"/>
            <w:hideMark/>
          </w:tcPr>
          <w:p w14:paraId="6CEA1D6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34.56</w:t>
            </w:r>
          </w:p>
        </w:tc>
        <w:tc>
          <w:tcPr>
            <w:tcW w:w="841" w:type="pct"/>
            <w:hideMark/>
          </w:tcPr>
          <w:p w14:paraId="6C77EF48"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62.45</w:t>
            </w:r>
          </w:p>
        </w:tc>
        <w:tc>
          <w:tcPr>
            <w:tcW w:w="972" w:type="pct"/>
            <w:hideMark/>
          </w:tcPr>
          <w:p w14:paraId="502393C4"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158.23</w:t>
            </w:r>
          </w:p>
        </w:tc>
      </w:tr>
      <w:tr w:rsidR="00EE3940" w:rsidRPr="001B71D7" w14:paraId="54EB72B0"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1D69F3FA" w14:textId="77777777" w:rsidR="00EE3940" w:rsidRPr="001B71D7" w:rsidRDefault="00EE3940" w:rsidP="00EE3940">
            <w:pPr>
              <w:spacing w:before="0" w:line="240" w:lineRule="auto"/>
              <w:rPr>
                <w:rFonts w:cs="Times New Roman"/>
                <w:szCs w:val="24"/>
              </w:rPr>
            </w:pPr>
            <w:r w:rsidRPr="001B71D7">
              <w:rPr>
                <w:rFonts w:cs="Times New Roman"/>
                <w:szCs w:val="24"/>
              </w:rPr>
              <w:t>2021</w:t>
            </w:r>
          </w:p>
        </w:tc>
        <w:tc>
          <w:tcPr>
            <w:tcW w:w="972" w:type="pct"/>
            <w:hideMark/>
          </w:tcPr>
          <w:p w14:paraId="04C17E7D"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97.45</w:t>
            </w:r>
          </w:p>
        </w:tc>
        <w:tc>
          <w:tcPr>
            <w:tcW w:w="1214" w:type="pct"/>
            <w:hideMark/>
          </w:tcPr>
          <w:p w14:paraId="0E1E2B86"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32.34</w:t>
            </w:r>
          </w:p>
        </w:tc>
        <w:tc>
          <w:tcPr>
            <w:tcW w:w="841" w:type="pct"/>
            <w:hideMark/>
          </w:tcPr>
          <w:p w14:paraId="36786A4E"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58.67</w:t>
            </w:r>
          </w:p>
        </w:tc>
        <w:tc>
          <w:tcPr>
            <w:tcW w:w="972" w:type="pct"/>
            <w:hideMark/>
          </w:tcPr>
          <w:p w14:paraId="4492F5C5"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149.56</w:t>
            </w:r>
          </w:p>
        </w:tc>
      </w:tr>
      <w:tr w:rsidR="00EE3940" w:rsidRPr="001B71D7" w14:paraId="7AF3183C"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679BA7E5" w14:textId="77777777" w:rsidR="00EE3940" w:rsidRPr="001B71D7" w:rsidRDefault="00EE3940" w:rsidP="00EE3940">
            <w:pPr>
              <w:spacing w:before="0" w:line="240" w:lineRule="auto"/>
              <w:rPr>
                <w:rFonts w:cs="Times New Roman"/>
                <w:szCs w:val="24"/>
              </w:rPr>
            </w:pPr>
            <w:r w:rsidRPr="001B71D7">
              <w:rPr>
                <w:rFonts w:cs="Times New Roman"/>
                <w:szCs w:val="24"/>
              </w:rPr>
              <w:lastRenderedPageBreak/>
              <w:t>2022</w:t>
            </w:r>
          </w:p>
        </w:tc>
        <w:tc>
          <w:tcPr>
            <w:tcW w:w="972" w:type="pct"/>
            <w:hideMark/>
          </w:tcPr>
          <w:p w14:paraId="5984F3DA"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87.67</w:t>
            </w:r>
          </w:p>
        </w:tc>
        <w:tc>
          <w:tcPr>
            <w:tcW w:w="1214" w:type="pct"/>
            <w:hideMark/>
          </w:tcPr>
          <w:p w14:paraId="5C8BCF1B"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28.45</w:t>
            </w:r>
          </w:p>
        </w:tc>
        <w:tc>
          <w:tcPr>
            <w:tcW w:w="841" w:type="pct"/>
            <w:hideMark/>
          </w:tcPr>
          <w:p w14:paraId="7A9521A3"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49.34</w:t>
            </w:r>
          </w:p>
        </w:tc>
        <w:tc>
          <w:tcPr>
            <w:tcW w:w="972" w:type="pct"/>
            <w:hideMark/>
          </w:tcPr>
          <w:p w14:paraId="46385A75"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135.67</w:t>
            </w:r>
          </w:p>
        </w:tc>
      </w:tr>
      <w:tr w:rsidR="00EE3940" w:rsidRPr="001B71D7" w14:paraId="6D483B9B"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5AF5BEEA" w14:textId="77777777" w:rsidR="00EE3940" w:rsidRPr="001B71D7" w:rsidRDefault="00EE3940" w:rsidP="00EE3940">
            <w:pPr>
              <w:spacing w:before="0" w:line="240" w:lineRule="auto"/>
              <w:rPr>
                <w:rFonts w:cs="Times New Roman"/>
                <w:szCs w:val="24"/>
              </w:rPr>
            </w:pPr>
            <w:r w:rsidRPr="001B71D7">
              <w:rPr>
                <w:rFonts w:cs="Times New Roman"/>
                <w:szCs w:val="24"/>
              </w:rPr>
              <w:t>2023</w:t>
            </w:r>
          </w:p>
        </w:tc>
        <w:tc>
          <w:tcPr>
            <w:tcW w:w="972" w:type="pct"/>
            <w:hideMark/>
          </w:tcPr>
          <w:p w14:paraId="20AA006F"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84.23</w:t>
            </w:r>
          </w:p>
        </w:tc>
        <w:tc>
          <w:tcPr>
            <w:tcW w:w="1214" w:type="pct"/>
            <w:hideMark/>
          </w:tcPr>
          <w:p w14:paraId="34DF6B9B"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27.23</w:t>
            </w:r>
          </w:p>
        </w:tc>
        <w:tc>
          <w:tcPr>
            <w:tcW w:w="841" w:type="pct"/>
            <w:hideMark/>
          </w:tcPr>
          <w:p w14:paraId="7A2FE582"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47.23</w:t>
            </w:r>
          </w:p>
        </w:tc>
        <w:tc>
          <w:tcPr>
            <w:tcW w:w="972" w:type="pct"/>
            <w:hideMark/>
          </w:tcPr>
          <w:p w14:paraId="1A84A204"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130.56</w:t>
            </w:r>
          </w:p>
        </w:tc>
      </w:tr>
      <w:tr w:rsidR="00EE3940" w:rsidRPr="001B71D7" w14:paraId="7553E2A2"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0723A671" w14:textId="77777777" w:rsidR="00EE3940" w:rsidRPr="001B71D7" w:rsidRDefault="00EE3940" w:rsidP="00EE3940">
            <w:pPr>
              <w:spacing w:before="0" w:line="240" w:lineRule="auto"/>
              <w:rPr>
                <w:rFonts w:cs="Times New Roman"/>
                <w:szCs w:val="24"/>
              </w:rPr>
            </w:pPr>
            <w:r w:rsidRPr="001B71D7">
              <w:rPr>
                <w:rFonts w:cs="Times New Roman"/>
                <w:szCs w:val="24"/>
              </w:rPr>
              <w:t>Overall</w:t>
            </w:r>
          </w:p>
        </w:tc>
        <w:tc>
          <w:tcPr>
            <w:tcW w:w="972" w:type="pct"/>
            <w:hideMark/>
          </w:tcPr>
          <w:p w14:paraId="7DB4FDB6"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85.52</w:t>
            </w:r>
          </w:p>
        </w:tc>
        <w:tc>
          <w:tcPr>
            <w:tcW w:w="1214" w:type="pct"/>
            <w:hideMark/>
          </w:tcPr>
          <w:p w14:paraId="237625F5"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27.81</w:t>
            </w:r>
          </w:p>
        </w:tc>
        <w:tc>
          <w:tcPr>
            <w:tcW w:w="841" w:type="pct"/>
            <w:hideMark/>
          </w:tcPr>
          <w:p w14:paraId="069ADEC8"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41.89</w:t>
            </w:r>
          </w:p>
        </w:tc>
        <w:tc>
          <w:tcPr>
            <w:tcW w:w="972" w:type="pct"/>
            <w:hideMark/>
          </w:tcPr>
          <w:p w14:paraId="7E6149A9"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158.23</w:t>
            </w:r>
          </w:p>
        </w:tc>
      </w:tr>
    </w:tbl>
    <w:p w14:paraId="0F83872C" w14:textId="77777777" w:rsidR="00A850FF" w:rsidRPr="001B71D7" w:rsidRDefault="00A850FF" w:rsidP="00E730D7">
      <w:pPr>
        <w:spacing w:before="0" w:line="240" w:lineRule="auto"/>
        <w:rPr>
          <w:color w:val="000000" w:themeColor="text1"/>
        </w:rPr>
      </w:pPr>
    </w:p>
    <w:p w14:paraId="4F70B745" w14:textId="77777777" w:rsidR="00A850FF" w:rsidRPr="001B71D7" w:rsidRDefault="00A850FF" w:rsidP="00E730D7">
      <w:pPr>
        <w:spacing w:before="0" w:line="240" w:lineRule="auto"/>
        <w:rPr>
          <w:color w:val="000000" w:themeColor="text1"/>
        </w:rPr>
      </w:pPr>
    </w:p>
    <w:p w14:paraId="7464966A" w14:textId="25FC86F6" w:rsidR="0051714C" w:rsidRPr="001B71D7" w:rsidRDefault="0051714C" w:rsidP="00E730D7">
      <w:pPr>
        <w:spacing w:before="0" w:line="240" w:lineRule="auto"/>
        <w:rPr>
          <w:b/>
          <w:bCs/>
          <w:color w:val="000000" w:themeColor="text1"/>
        </w:rPr>
      </w:pPr>
      <w:r w:rsidRPr="001B71D7">
        <w:rPr>
          <w:b/>
          <w:bCs/>
          <w:color w:val="000000" w:themeColor="text1"/>
        </w:rPr>
        <w:t xml:space="preserve">4.2 </w:t>
      </w:r>
      <w:r w:rsidRPr="001B71D7">
        <w:rPr>
          <w:rFonts w:eastAsia="Times New Roman" w:cs="Times New Roman"/>
          <w:b/>
          <w:bCs/>
          <w:color w:val="auto"/>
          <w:szCs w:val="24"/>
        </w:rPr>
        <w:t>Trend of Firm Value (2014-2023)</w:t>
      </w:r>
    </w:p>
    <w:p w14:paraId="01D86628" w14:textId="77777777" w:rsidR="00A850FF" w:rsidRPr="001B71D7" w:rsidRDefault="00A850FF" w:rsidP="00E730D7">
      <w:pPr>
        <w:spacing w:before="0" w:line="240" w:lineRule="auto"/>
        <w:rPr>
          <w:color w:val="000000" w:themeColor="text1"/>
        </w:rPr>
      </w:pPr>
    </w:p>
    <w:p w14:paraId="090F2C2B" w14:textId="4EE68615" w:rsidR="00A850FF" w:rsidRPr="001B71D7" w:rsidRDefault="004D515E" w:rsidP="00E730D7">
      <w:pPr>
        <w:spacing w:before="0" w:line="240" w:lineRule="auto"/>
        <w:rPr>
          <w:color w:val="000000" w:themeColor="text1"/>
        </w:rPr>
      </w:pPr>
      <w:r w:rsidRPr="001B71D7">
        <w:rPr>
          <w:color w:val="000000" w:themeColor="text1"/>
        </w:rPr>
        <w:t>From 2014 to 2023, firm value exhibited notable fluctuations. Tobin’s Q fell to 0.93 in 2020</w:t>
      </w:r>
      <w:r w:rsidR="00554C06">
        <w:rPr>
          <w:color w:val="000000" w:themeColor="text1"/>
        </w:rPr>
        <w:t xml:space="preserve"> </w:t>
      </w:r>
      <w:r w:rsidRPr="001B71D7">
        <w:rPr>
          <w:color w:val="000000" w:themeColor="text1"/>
        </w:rPr>
        <w:t>a 26.2% drop from 2019</w:t>
      </w:r>
      <w:r w:rsidR="00554C06">
        <w:rPr>
          <w:color w:val="000000" w:themeColor="text1"/>
        </w:rPr>
        <w:t xml:space="preserve"> </w:t>
      </w:r>
      <w:r w:rsidRPr="001B71D7">
        <w:rPr>
          <w:color w:val="000000" w:themeColor="text1"/>
        </w:rPr>
        <w:t>mirroring Ding et al.’s (2021) observation of pandemic-induced market value erosion from supply chain disruptions and demand shocks. The rebound from 2021 to 2023 aligns with Hassan and Tarique’s (2022) claim of manufacturing sector resilience during crises. A pre-pandemic decline (2015–2018) supports Okello’s (2019) view that rising costs and competition suppressed valuations. By 2023, recovery to 1.31 reinforced Ngugi and Wanjau’s (2023) finding that strategic adjustments restored investor confidence.</w:t>
      </w:r>
    </w:p>
    <w:p w14:paraId="235E20E9" w14:textId="77777777" w:rsidR="004D515E" w:rsidRPr="001B71D7" w:rsidRDefault="004D515E" w:rsidP="00E730D7">
      <w:pPr>
        <w:spacing w:before="0" w:line="240" w:lineRule="auto"/>
        <w:rPr>
          <w:color w:val="000000" w:themeColor="text1"/>
        </w:rPr>
      </w:pPr>
    </w:p>
    <w:p w14:paraId="67F23438" w14:textId="0470FB81" w:rsidR="004D515E" w:rsidRPr="001B71D7" w:rsidRDefault="00EB234C" w:rsidP="004D515E">
      <w:pPr>
        <w:spacing w:before="0" w:line="240" w:lineRule="auto"/>
        <w:jc w:val="center"/>
        <w:rPr>
          <w:color w:val="000000" w:themeColor="text1"/>
        </w:rPr>
      </w:pPr>
      <w:r w:rsidRPr="001B71D7">
        <w:rPr>
          <w:rFonts w:cs="Times New Roman"/>
          <w:noProof/>
          <w:szCs w:val="24"/>
        </w:rPr>
        <w:drawing>
          <wp:inline distT="0" distB="0" distL="0" distR="0" wp14:anchorId="7D6D2D12" wp14:editId="606707FE">
            <wp:extent cx="594360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48050"/>
                    </a:xfrm>
                    <a:prstGeom prst="rect">
                      <a:avLst/>
                    </a:prstGeom>
                  </pic:spPr>
                </pic:pic>
              </a:graphicData>
            </a:graphic>
          </wp:inline>
        </w:drawing>
      </w:r>
    </w:p>
    <w:p w14:paraId="6EA01E09" w14:textId="445E43E1" w:rsidR="00EB234C" w:rsidRPr="001B71D7" w:rsidRDefault="004D515E" w:rsidP="004D515E">
      <w:pPr>
        <w:rPr>
          <w:b/>
          <w:bCs/>
          <w:i/>
          <w:iCs/>
        </w:rPr>
      </w:pPr>
      <w:bookmarkStart w:id="7" w:name="_Toc197643151"/>
      <w:r w:rsidRPr="001B71D7">
        <w:rPr>
          <w:b/>
          <w:bCs/>
          <w:i/>
          <w:iCs/>
        </w:rPr>
        <w:t xml:space="preserve">Figure </w:t>
      </w:r>
      <w:r w:rsidRPr="001B71D7">
        <w:rPr>
          <w:b/>
          <w:bCs/>
          <w:i/>
          <w:iCs/>
        </w:rPr>
        <w:fldChar w:fldCharType="begin"/>
      </w:r>
      <w:r w:rsidRPr="001B71D7">
        <w:rPr>
          <w:b/>
          <w:bCs/>
          <w:i/>
          <w:iCs/>
        </w:rPr>
        <w:instrText xml:space="preserve"> SEQ Figure_4. \* ARABIC </w:instrText>
      </w:r>
      <w:r w:rsidRPr="001B71D7">
        <w:rPr>
          <w:b/>
          <w:bCs/>
          <w:i/>
          <w:iCs/>
        </w:rPr>
        <w:fldChar w:fldCharType="separate"/>
      </w:r>
      <w:r w:rsidRPr="001B71D7">
        <w:rPr>
          <w:b/>
          <w:bCs/>
          <w:i/>
          <w:iCs/>
        </w:rPr>
        <w:t>2</w:t>
      </w:r>
      <w:r w:rsidRPr="001B71D7">
        <w:rPr>
          <w:b/>
          <w:bCs/>
          <w:i/>
          <w:iCs/>
        </w:rPr>
        <w:fldChar w:fldCharType="end"/>
      </w:r>
      <w:r w:rsidRPr="001B71D7">
        <w:rPr>
          <w:b/>
          <w:bCs/>
          <w:i/>
          <w:iCs/>
        </w:rPr>
        <w:t xml:space="preserve">: </w:t>
      </w:r>
      <w:bookmarkEnd w:id="7"/>
      <w:r w:rsidR="00EB234C" w:rsidRPr="001B71D7">
        <w:rPr>
          <w:b/>
          <w:bCs/>
          <w:i/>
          <w:iCs/>
        </w:rPr>
        <w:t>Trend of Firm Value (2014-2023)</w:t>
      </w:r>
    </w:p>
    <w:p w14:paraId="7B23EF60" w14:textId="2595B9ED" w:rsidR="00A850FF" w:rsidRPr="001B71D7" w:rsidRDefault="00EB234C" w:rsidP="00E730D7">
      <w:pPr>
        <w:spacing w:before="0" w:line="240" w:lineRule="auto"/>
        <w:rPr>
          <w:b/>
          <w:bCs/>
          <w:color w:val="000000" w:themeColor="text1"/>
        </w:rPr>
      </w:pPr>
      <w:r w:rsidRPr="001B71D7">
        <w:rPr>
          <w:b/>
          <w:bCs/>
          <w:color w:val="000000" w:themeColor="text1"/>
        </w:rPr>
        <w:t>4.3 Trend of Working Capital Management Components (2014-2023)</w:t>
      </w:r>
    </w:p>
    <w:p w14:paraId="0B3C1C27" w14:textId="096FD64E" w:rsidR="00A850FF" w:rsidRPr="001B71D7" w:rsidRDefault="00EB234C" w:rsidP="00E730D7">
      <w:pPr>
        <w:spacing w:before="0" w:line="240" w:lineRule="auto"/>
        <w:rPr>
          <w:color w:val="000000" w:themeColor="text1"/>
        </w:rPr>
      </w:pPr>
      <w:r w:rsidRPr="001B71D7">
        <w:rPr>
          <w:color w:val="000000" w:themeColor="text1"/>
        </w:rPr>
        <w:t>Figure 3 shows a marked decline in working capital efficiency during the pandemic, with all three components peaking in 2020. The average collection period rose to 72.54 days, reflecting extended credit terms (Rahman &amp; Mohammed, 2021). Inventory conversion surged to 103.67 days due to demand uncertainty and supply chain disruptions (Gitonga et al., 2022). The payment period lengthened to 95.67 days, indicating cash preservation strategies (Muriithi &amp; Waweru, 2023). Post-2021, firms pursued aggressive optimization, restoring efficiency and liquidity, consistent with Kibet and Machuki’s (2024) findings.</w:t>
      </w:r>
    </w:p>
    <w:p w14:paraId="498A194B" w14:textId="7B6515D8" w:rsidR="00A850FF" w:rsidRPr="001B71D7" w:rsidRDefault="00EB234C" w:rsidP="00EB234C">
      <w:pPr>
        <w:spacing w:before="0" w:line="240" w:lineRule="auto"/>
        <w:jc w:val="center"/>
        <w:rPr>
          <w:color w:val="000000" w:themeColor="text1"/>
        </w:rPr>
      </w:pPr>
      <w:r w:rsidRPr="001B71D7">
        <w:rPr>
          <w:rFonts w:cs="Times New Roman"/>
          <w:noProof/>
          <w:szCs w:val="24"/>
        </w:rPr>
        <w:lastRenderedPageBreak/>
        <w:drawing>
          <wp:inline distT="0" distB="0" distL="0" distR="0" wp14:anchorId="70040C68" wp14:editId="665CE53E">
            <wp:extent cx="5943600" cy="350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05200"/>
                    </a:xfrm>
                    <a:prstGeom prst="rect">
                      <a:avLst/>
                    </a:prstGeom>
                  </pic:spPr>
                </pic:pic>
              </a:graphicData>
            </a:graphic>
          </wp:inline>
        </w:drawing>
      </w:r>
    </w:p>
    <w:p w14:paraId="78EFA052" w14:textId="104E02BC" w:rsidR="00EB234C" w:rsidRPr="001B71D7" w:rsidRDefault="00EB234C" w:rsidP="00EB234C">
      <w:pPr>
        <w:rPr>
          <w:b/>
          <w:bCs/>
          <w:i/>
          <w:iCs/>
        </w:rPr>
      </w:pPr>
      <w:bookmarkStart w:id="8" w:name="_Hlk206148488"/>
      <w:r w:rsidRPr="001B71D7">
        <w:rPr>
          <w:b/>
          <w:bCs/>
          <w:i/>
          <w:iCs/>
        </w:rPr>
        <w:t>Figure 3: Trend of Working Capital Management Components (2014-2023)</w:t>
      </w:r>
    </w:p>
    <w:bookmarkEnd w:id="8"/>
    <w:p w14:paraId="77FE101E" w14:textId="77777777" w:rsidR="00A850FF" w:rsidRPr="001B71D7" w:rsidRDefault="00A850FF" w:rsidP="00E730D7">
      <w:pPr>
        <w:spacing w:before="0" w:line="240" w:lineRule="auto"/>
        <w:rPr>
          <w:color w:val="000000" w:themeColor="text1"/>
        </w:rPr>
      </w:pPr>
    </w:p>
    <w:p w14:paraId="42C9BC05" w14:textId="4FFA2EA6" w:rsidR="00A850FF" w:rsidRPr="001B71D7" w:rsidRDefault="00D669B1" w:rsidP="00E730D7">
      <w:pPr>
        <w:spacing w:before="0" w:line="240" w:lineRule="auto"/>
        <w:rPr>
          <w:b/>
          <w:bCs/>
          <w:color w:val="000000" w:themeColor="text1"/>
        </w:rPr>
      </w:pPr>
      <w:r w:rsidRPr="001B71D7">
        <w:rPr>
          <w:b/>
          <w:bCs/>
          <w:color w:val="000000" w:themeColor="text1"/>
        </w:rPr>
        <w:t>4.4</w:t>
      </w:r>
      <w:r w:rsidRPr="001B71D7">
        <w:rPr>
          <w:b/>
          <w:bCs/>
        </w:rPr>
        <w:t xml:space="preserve"> </w:t>
      </w:r>
      <w:r w:rsidRPr="001B71D7">
        <w:rPr>
          <w:b/>
          <w:bCs/>
          <w:color w:val="000000" w:themeColor="text1"/>
        </w:rPr>
        <w:t>Diagnostic Tests</w:t>
      </w:r>
    </w:p>
    <w:p w14:paraId="0455A6CF" w14:textId="6358D25C" w:rsidR="00A616A9" w:rsidRPr="001B71D7" w:rsidRDefault="00D669B1" w:rsidP="00E730D7">
      <w:pPr>
        <w:spacing w:before="0" w:line="240" w:lineRule="auto"/>
        <w:rPr>
          <w:b/>
          <w:bCs/>
          <w:i/>
          <w:iCs/>
          <w:color w:val="000000" w:themeColor="text1"/>
        </w:rPr>
      </w:pPr>
      <w:r w:rsidRPr="001B71D7">
        <w:rPr>
          <w:b/>
          <w:bCs/>
          <w:i/>
          <w:iCs/>
          <w:color w:val="000000" w:themeColor="text1"/>
        </w:rPr>
        <w:t>Multicollinearity Test</w:t>
      </w:r>
    </w:p>
    <w:p w14:paraId="007AA565" w14:textId="7908AA6B" w:rsidR="00D669B1" w:rsidRPr="001B71D7" w:rsidRDefault="00D669B1" w:rsidP="00E730D7">
      <w:pPr>
        <w:spacing w:before="0" w:line="240" w:lineRule="auto"/>
        <w:rPr>
          <w:color w:val="000000" w:themeColor="text1"/>
        </w:rPr>
      </w:pPr>
      <w:r w:rsidRPr="001B71D7">
        <w:rPr>
          <w:color w:val="000000" w:themeColor="text1"/>
        </w:rPr>
        <w:t>All variables exhibited VIF values well below the threshold of 10, indicating no serious multicollinearity. The average collection period recorded the highest VIF (2.37) and inventory conversion period the lowest (1.89). With a mean VIF of 2.17, the model retained all independent variables for analysis without concern.</w:t>
      </w:r>
    </w:p>
    <w:p w14:paraId="1BA65E97" w14:textId="77777777" w:rsidR="00D669B1" w:rsidRPr="001B71D7" w:rsidRDefault="00D669B1" w:rsidP="00E730D7">
      <w:pPr>
        <w:spacing w:before="0" w:line="240" w:lineRule="auto"/>
        <w:rPr>
          <w:b/>
          <w:bCs/>
          <w:i/>
          <w:iCs/>
          <w:color w:val="000000" w:themeColor="text1"/>
        </w:rPr>
      </w:pPr>
    </w:p>
    <w:p w14:paraId="326D35A9" w14:textId="796238D2" w:rsidR="00D669B1" w:rsidRPr="001B71D7" w:rsidRDefault="00D669B1" w:rsidP="00D669B1">
      <w:pPr>
        <w:pStyle w:val="Caption"/>
        <w:spacing w:after="0"/>
        <w:rPr>
          <w:b w:val="0"/>
          <w:i/>
          <w:iCs/>
          <w:color w:val="auto"/>
          <w:sz w:val="24"/>
          <w:szCs w:val="24"/>
        </w:rPr>
      </w:pPr>
      <w:r w:rsidRPr="001B71D7">
        <w:rPr>
          <w:i/>
          <w:iCs/>
          <w:color w:val="auto"/>
          <w:sz w:val="24"/>
          <w:szCs w:val="24"/>
        </w:rPr>
        <w:t>Table</w:t>
      </w:r>
      <w:r w:rsidR="00B95751" w:rsidRPr="001B71D7">
        <w:rPr>
          <w:i/>
          <w:iCs/>
          <w:color w:val="auto"/>
          <w:sz w:val="24"/>
          <w:szCs w:val="24"/>
        </w:rPr>
        <w:t xml:space="preserve"> 5</w:t>
      </w:r>
      <w:r w:rsidRPr="001B71D7">
        <w:rPr>
          <w:i/>
          <w:iCs/>
          <w:color w:val="auto"/>
          <w:sz w:val="24"/>
          <w:szCs w:val="24"/>
        </w:rPr>
        <w:t xml:space="preserve"> Multicollinearity Test Results</w:t>
      </w:r>
    </w:p>
    <w:tbl>
      <w:tblPr>
        <w:tblStyle w:val="PlainTable1"/>
        <w:tblW w:w="5000" w:type="pct"/>
        <w:tblLook w:val="04A0" w:firstRow="1" w:lastRow="0" w:firstColumn="1" w:lastColumn="0" w:noHBand="0" w:noVBand="1"/>
      </w:tblPr>
      <w:tblGrid>
        <w:gridCol w:w="7427"/>
        <w:gridCol w:w="1574"/>
        <w:gridCol w:w="2019"/>
      </w:tblGrid>
      <w:tr w:rsidR="00D669B1" w:rsidRPr="001B71D7" w14:paraId="51ADAF58"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pct"/>
            <w:hideMark/>
          </w:tcPr>
          <w:p w14:paraId="22B072E2" w14:textId="77777777" w:rsidR="00D669B1" w:rsidRPr="001B71D7" w:rsidRDefault="00D669B1" w:rsidP="00D669B1">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714" w:type="pct"/>
            <w:hideMark/>
          </w:tcPr>
          <w:p w14:paraId="6633FD73"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VIF</w:t>
            </w:r>
          </w:p>
        </w:tc>
        <w:tc>
          <w:tcPr>
            <w:tcW w:w="916" w:type="pct"/>
            <w:hideMark/>
          </w:tcPr>
          <w:p w14:paraId="738F0B34"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1/VIF</w:t>
            </w:r>
          </w:p>
        </w:tc>
      </w:tr>
      <w:tr w:rsidR="00D669B1" w:rsidRPr="001B71D7" w14:paraId="12D23DF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pct"/>
            <w:hideMark/>
          </w:tcPr>
          <w:p w14:paraId="0F2C9AB7" w14:textId="77777777" w:rsidR="00D669B1" w:rsidRPr="001B71D7" w:rsidRDefault="00D669B1" w:rsidP="00D669B1">
            <w:pPr>
              <w:spacing w:before="0" w:line="240" w:lineRule="auto"/>
              <w:rPr>
                <w:rFonts w:eastAsia="Times New Roman" w:cs="Times New Roman"/>
                <w:szCs w:val="24"/>
              </w:rPr>
            </w:pPr>
            <w:proofErr w:type="spellStart"/>
            <w:r w:rsidRPr="001B71D7">
              <w:rPr>
                <w:rFonts w:eastAsia="Times New Roman" w:cs="Times New Roman"/>
                <w:szCs w:val="24"/>
              </w:rPr>
              <w:t>AverageCollection</w:t>
            </w:r>
            <w:proofErr w:type="spellEnd"/>
            <w:r w:rsidRPr="001B71D7">
              <w:rPr>
                <w:rFonts w:eastAsia="Times New Roman" w:cs="Times New Roman"/>
                <w:szCs w:val="24"/>
              </w:rPr>
              <w:t xml:space="preserve"> Period</w:t>
            </w:r>
          </w:p>
        </w:tc>
        <w:tc>
          <w:tcPr>
            <w:tcW w:w="714" w:type="pct"/>
            <w:hideMark/>
          </w:tcPr>
          <w:p w14:paraId="3D38067E"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2.37</w:t>
            </w:r>
          </w:p>
        </w:tc>
        <w:tc>
          <w:tcPr>
            <w:tcW w:w="916" w:type="pct"/>
            <w:hideMark/>
          </w:tcPr>
          <w:p w14:paraId="295DE977"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0.422</w:t>
            </w:r>
          </w:p>
        </w:tc>
      </w:tr>
      <w:tr w:rsidR="00D669B1" w:rsidRPr="001B71D7" w14:paraId="35C6018A" w14:textId="77777777" w:rsidTr="00564EFC">
        <w:tc>
          <w:tcPr>
            <w:cnfStyle w:val="001000000000" w:firstRow="0" w:lastRow="0" w:firstColumn="1" w:lastColumn="0" w:oddVBand="0" w:evenVBand="0" w:oddHBand="0" w:evenHBand="0" w:firstRowFirstColumn="0" w:firstRowLastColumn="0" w:lastRowFirstColumn="0" w:lastRowLastColumn="0"/>
            <w:tcW w:w="3370" w:type="pct"/>
            <w:hideMark/>
          </w:tcPr>
          <w:p w14:paraId="26A00E5D"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 xml:space="preserve">Average </w:t>
            </w:r>
            <w:proofErr w:type="spellStart"/>
            <w:r w:rsidRPr="001B71D7">
              <w:rPr>
                <w:rFonts w:eastAsia="Times New Roman" w:cs="Times New Roman"/>
                <w:szCs w:val="24"/>
              </w:rPr>
              <w:t>PaymentPeriod</w:t>
            </w:r>
            <w:proofErr w:type="spellEnd"/>
          </w:p>
        </w:tc>
        <w:tc>
          <w:tcPr>
            <w:tcW w:w="714" w:type="pct"/>
            <w:hideMark/>
          </w:tcPr>
          <w:p w14:paraId="6553D342"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2.25</w:t>
            </w:r>
          </w:p>
        </w:tc>
        <w:tc>
          <w:tcPr>
            <w:tcW w:w="916" w:type="pct"/>
            <w:hideMark/>
          </w:tcPr>
          <w:p w14:paraId="5BDC8422"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0.444</w:t>
            </w:r>
          </w:p>
        </w:tc>
      </w:tr>
      <w:tr w:rsidR="00D669B1" w:rsidRPr="001B71D7" w14:paraId="10760563"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pct"/>
            <w:hideMark/>
          </w:tcPr>
          <w:p w14:paraId="0835E846"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714" w:type="pct"/>
            <w:hideMark/>
          </w:tcPr>
          <w:p w14:paraId="171C7071"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1.89</w:t>
            </w:r>
          </w:p>
        </w:tc>
        <w:tc>
          <w:tcPr>
            <w:tcW w:w="916" w:type="pct"/>
            <w:hideMark/>
          </w:tcPr>
          <w:p w14:paraId="39125C91"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0.529</w:t>
            </w:r>
          </w:p>
        </w:tc>
      </w:tr>
      <w:tr w:rsidR="00D669B1" w:rsidRPr="001B71D7" w14:paraId="6C368572" w14:textId="77777777" w:rsidTr="00564EFC">
        <w:tc>
          <w:tcPr>
            <w:cnfStyle w:val="001000000000" w:firstRow="0" w:lastRow="0" w:firstColumn="1" w:lastColumn="0" w:oddVBand="0" w:evenVBand="0" w:oddHBand="0" w:evenHBand="0" w:firstRowFirstColumn="0" w:firstRowLastColumn="0" w:lastRowFirstColumn="0" w:lastRowLastColumn="0"/>
            <w:tcW w:w="3370" w:type="pct"/>
            <w:hideMark/>
          </w:tcPr>
          <w:p w14:paraId="1AB97139"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Mean VIF</w:t>
            </w:r>
          </w:p>
        </w:tc>
        <w:tc>
          <w:tcPr>
            <w:tcW w:w="714" w:type="pct"/>
            <w:hideMark/>
          </w:tcPr>
          <w:p w14:paraId="57394B68"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2.17</w:t>
            </w:r>
          </w:p>
        </w:tc>
        <w:tc>
          <w:tcPr>
            <w:tcW w:w="916" w:type="pct"/>
            <w:hideMark/>
          </w:tcPr>
          <w:p w14:paraId="4C0EBB5C"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bl>
    <w:p w14:paraId="71882AA6" w14:textId="77777777" w:rsidR="00A616A9" w:rsidRPr="001B71D7" w:rsidRDefault="00A616A9" w:rsidP="00E730D7">
      <w:pPr>
        <w:spacing w:before="0" w:line="240" w:lineRule="auto"/>
        <w:rPr>
          <w:b/>
          <w:bCs/>
          <w:color w:val="000000" w:themeColor="text1"/>
          <w:sz w:val="28"/>
          <w:szCs w:val="24"/>
        </w:rPr>
      </w:pPr>
    </w:p>
    <w:p w14:paraId="182785BD" w14:textId="066CB339" w:rsidR="00A616A9" w:rsidRPr="001B71D7" w:rsidRDefault="00D669B1" w:rsidP="00E730D7">
      <w:pPr>
        <w:spacing w:before="0" w:line="240" w:lineRule="auto"/>
        <w:rPr>
          <w:b/>
          <w:bCs/>
          <w:i/>
          <w:iCs/>
          <w:color w:val="000000" w:themeColor="text1"/>
          <w:sz w:val="28"/>
          <w:szCs w:val="24"/>
        </w:rPr>
      </w:pPr>
      <w:r w:rsidRPr="001B71D7">
        <w:rPr>
          <w:b/>
          <w:bCs/>
          <w:i/>
          <w:iCs/>
          <w:szCs w:val="24"/>
        </w:rPr>
        <w:t>Normality Test</w:t>
      </w:r>
    </w:p>
    <w:p w14:paraId="6F3549F6" w14:textId="30FC2F1A" w:rsidR="00A616A9" w:rsidRPr="001B71D7" w:rsidRDefault="002A6315" w:rsidP="002A6315">
      <w:pPr>
        <w:spacing w:before="0" w:line="240" w:lineRule="auto"/>
        <w:rPr>
          <w:color w:val="000000" w:themeColor="text1"/>
        </w:rPr>
      </w:pPr>
      <w:r w:rsidRPr="001B71D7">
        <w:rPr>
          <w:color w:val="000000" w:themeColor="text1"/>
        </w:rPr>
        <w:t>The Shapiro–Wilk tests (p &gt; 0.05) confirmed normality for all variables and residuals, with W statistics between 0.972 and 0.986. This indicates that both dependent and independent variables, as well as regression residuals, followed a normal distribution, thereby satisfying the normality assumption for subsequent statistical analyses.</w:t>
      </w:r>
    </w:p>
    <w:p w14:paraId="27740737" w14:textId="77777777" w:rsidR="00D669B1" w:rsidRPr="001B71D7" w:rsidRDefault="00D669B1" w:rsidP="00E730D7">
      <w:pPr>
        <w:spacing w:before="0" w:line="240" w:lineRule="auto"/>
        <w:rPr>
          <w:b/>
          <w:bCs/>
          <w:color w:val="000000" w:themeColor="text1"/>
          <w:sz w:val="28"/>
          <w:szCs w:val="24"/>
        </w:rPr>
      </w:pPr>
    </w:p>
    <w:p w14:paraId="53D89CA4" w14:textId="7D2D3147" w:rsidR="00D669B1" w:rsidRPr="001B71D7" w:rsidRDefault="00B95751" w:rsidP="00D669B1">
      <w:pPr>
        <w:pStyle w:val="Caption"/>
        <w:spacing w:after="0"/>
        <w:rPr>
          <w:b w:val="0"/>
          <w:i/>
          <w:iCs/>
          <w:color w:val="auto"/>
          <w:sz w:val="24"/>
          <w:szCs w:val="24"/>
        </w:rPr>
      </w:pPr>
      <w:r w:rsidRPr="001B71D7">
        <w:rPr>
          <w:i/>
          <w:iCs/>
          <w:color w:val="auto"/>
          <w:sz w:val="24"/>
          <w:szCs w:val="24"/>
        </w:rPr>
        <w:t xml:space="preserve">Table 6 </w:t>
      </w:r>
      <w:r w:rsidR="00D669B1" w:rsidRPr="001B71D7">
        <w:rPr>
          <w:i/>
          <w:iCs/>
          <w:color w:val="auto"/>
          <w:sz w:val="24"/>
          <w:szCs w:val="24"/>
        </w:rPr>
        <w:t>Shapiro-Wilk Normality Test Results</w:t>
      </w:r>
    </w:p>
    <w:tbl>
      <w:tblPr>
        <w:tblStyle w:val="PlainTable1"/>
        <w:tblW w:w="5000" w:type="pct"/>
        <w:tblLook w:val="04A0" w:firstRow="1" w:lastRow="0" w:firstColumn="1" w:lastColumn="0" w:noHBand="0" w:noVBand="1"/>
      </w:tblPr>
      <w:tblGrid>
        <w:gridCol w:w="6989"/>
        <w:gridCol w:w="1759"/>
        <w:gridCol w:w="2272"/>
      </w:tblGrid>
      <w:tr w:rsidR="00D669B1" w:rsidRPr="001B71D7" w14:paraId="1EC0C682"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37FE0F01" w14:textId="77777777" w:rsidR="00D669B1" w:rsidRPr="001B71D7" w:rsidRDefault="00D669B1" w:rsidP="00D669B1">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798" w:type="pct"/>
            <w:hideMark/>
          </w:tcPr>
          <w:p w14:paraId="28926185"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W</w:t>
            </w:r>
          </w:p>
        </w:tc>
        <w:tc>
          <w:tcPr>
            <w:tcW w:w="1031" w:type="pct"/>
            <w:hideMark/>
          </w:tcPr>
          <w:p w14:paraId="12B40216"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D669B1" w:rsidRPr="001B71D7" w14:paraId="729D640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648C2BC3"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Firm Value (Tobin's Q)</w:t>
            </w:r>
          </w:p>
        </w:tc>
        <w:tc>
          <w:tcPr>
            <w:tcW w:w="798" w:type="pct"/>
            <w:hideMark/>
          </w:tcPr>
          <w:p w14:paraId="7077BD11"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0.972</w:t>
            </w:r>
          </w:p>
        </w:tc>
        <w:tc>
          <w:tcPr>
            <w:tcW w:w="1031" w:type="pct"/>
            <w:hideMark/>
          </w:tcPr>
          <w:p w14:paraId="3C9D1E3A"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0.123</w:t>
            </w:r>
          </w:p>
        </w:tc>
      </w:tr>
      <w:tr w:rsidR="00D669B1" w:rsidRPr="001B71D7" w14:paraId="5D675C3C" w14:textId="77777777" w:rsidTr="00564EFC">
        <w:tc>
          <w:tcPr>
            <w:cnfStyle w:val="001000000000" w:firstRow="0" w:lastRow="0" w:firstColumn="1" w:lastColumn="0" w:oddVBand="0" w:evenVBand="0" w:oddHBand="0" w:evenHBand="0" w:firstRowFirstColumn="0" w:firstRowLastColumn="0" w:lastRowFirstColumn="0" w:lastRowLastColumn="0"/>
            <w:tcW w:w="3171" w:type="pct"/>
            <w:hideMark/>
          </w:tcPr>
          <w:p w14:paraId="1B130290"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Average Collection Period</w:t>
            </w:r>
          </w:p>
        </w:tc>
        <w:tc>
          <w:tcPr>
            <w:tcW w:w="798" w:type="pct"/>
            <w:hideMark/>
          </w:tcPr>
          <w:p w14:paraId="435613C5"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0.984</w:t>
            </w:r>
          </w:p>
        </w:tc>
        <w:tc>
          <w:tcPr>
            <w:tcW w:w="1031" w:type="pct"/>
            <w:hideMark/>
          </w:tcPr>
          <w:p w14:paraId="58415504"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0.458</w:t>
            </w:r>
          </w:p>
        </w:tc>
      </w:tr>
      <w:tr w:rsidR="00D669B1" w:rsidRPr="001B71D7" w14:paraId="6A137A3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614A4535"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Average Payment Period</w:t>
            </w:r>
          </w:p>
        </w:tc>
        <w:tc>
          <w:tcPr>
            <w:tcW w:w="798" w:type="pct"/>
            <w:hideMark/>
          </w:tcPr>
          <w:p w14:paraId="794DF32B"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0.978</w:t>
            </w:r>
          </w:p>
        </w:tc>
        <w:tc>
          <w:tcPr>
            <w:tcW w:w="1031" w:type="pct"/>
            <w:hideMark/>
          </w:tcPr>
          <w:p w14:paraId="3E76AE8F"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0.263</w:t>
            </w:r>
          </w:p>
        </w:tc>
      </w:tr>
      <w:tr w:rsidR="00D669B1" w:rsidRPr="001B71D7" w14:paraId="61F1E4E6" w14:textId="77777777" w:rsidTr="00564EFC">
        <w:tc>
          <w:tcPr>
            <w:cnfStyle w:val="001000000000" w:firstRow="0" w:lastRow="0" w:firstColumn="1" w:lastColumn="0" w:oddVBand="0" w:evenVBand="0" w:oddHBand="0" w:evenHBand="0" w:firstRowFirstColumn="0" w:firstRowLastColumn="0" w:lastRowFirstColumn="0" w:lastRowLastColumn="0"/>
            <w:tcW w:w="3171" w:type="pct"/>
            <w:hideMark/>
          </w:tcPr>
          <w:p w14:paraId="08438644"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798" w:type="pct"/>
            <w:hideMark/>
          </w:tcPr>
          <w:p w14:paraId="218297BA"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0.981</w:t>
            </w:r>
          </w:p>
        </w:tc>
        <w:tc>
          <w:tcPr>
            <w:tcW w:w="1031" w:type="pct"/>
            <w:hideMark/>
          </w:tcPr>
          <w:p w14:paraId="2A0376D0"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0.376</w:t>
            </w:r>
          </w:p>
        </w:tc>
      </w:tr>
      <w:tr w:rsidR="00D669B1" w:rsidRPr="001B71D7" w14:paraId="363E3A2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17E73582"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Residuals</w:t>
            </w:r>
          </w:p>
        </w:tc>
        <w:tc>
          <w:tcPr>
            <w:tcW w:w="798" w:type="pct"/>
            <w:hideMark/>
          </w:tcPr>
          <w:p w14:paraId="1BFC6990"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0.986</w:t>
            </w:r>
          </w:p>
        </w:tc>
        <w:tc>
          <w:tcPr>
            <w:tcW w:w="1031" w:type="pct"/>
            <w:hideMark/>
          </w:tcPr>
          <w:p w14:paraId="3D6A68AB"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0.542</w:t>
            </w:r>
          </w:p>
        </w:tc>
      </w:tr>
    </w:tbl>
    <w:p w14:paraId="21D2968E" w14:textId="10982B1F" w:rsidR="00D669B1" w:rsidRPr="001B71D7" w:rsidRDefault="002A6315" w:rsidP="00E730D7">
      <w:pPr>
        <w:spacing w:before="0" w:line="240" w:lineRule="auto"/>
        <w:rPr>
          <w:b/>
          <w:bCs/>
          <w:i/>
          <w:iCs/>
          <w:szCs w:val="24"/>
        </w:rPr>
      </w:pPr>
      <w:r w:rsidRPr="001B71D7">
        <w:rPr>
          <w:b/>
          <w:bCs/>
          <w:i/>
          <w:iCs/>
          <w:szCs w:val="24"/>
        </w:rPr>
        <w:lastRenderedPageBreak/>
        <w:t>Heteroscedasticity Test</w:t>
      </w:r>
    </w:p>
    <w:p w14:paraId="04948FCF" w14:textId="30B690B8" w:rsidR="002A6315" w:rsidRPr="001B71D7" w:rsidRDefault="002A6315" w:rsidP="00E730D7">
      <w:pPr>
        <w:spacing w:before="0" w:line="240" w:lineRule="auto"/>
        <w:rPr>
          <w:color w:val="000000" w:themeColor="text1"/>
        </w:rPr>
      </w:pPr>
      <w:r w:rsidRPr="001B71D7">
        <w:rPr>
          <w:color w:val="000000" w:themeColor="text1"/>
        </w:rPr>
        <w:t>With three degrees of freedom, the chi-square value was 3.246 (p = 0.355; Table 7). Since p exceeded 0.05, the null hypothesis of homoscedasticity was retained, indicating constant residual variance across observations. Thus, the homoscedasticity assumption was met, supporting the validity of the regression model’s error structure.</w:t>
      </w:r>
    </w:p>
    <w:p w14:paraId="1DC79DF2" w14:textId="77777777" w:rsidR="002A6315" w:rsidRPr="001B71D7" w:rsidRDefault="002A6315" w:rsidP="00E730D7">
      <w:pPr>
        <w:spacing w:before="0" w:line="240" w:lineRule="auto"/>
        <w:rPr>
          <w:color w:val="000000" w:themeColor="text1"/>
        </w:rPr>
      </w:pPr>
    </w:p>
    <w:p w14:paraId="76681C86" w14:textId="6713503D" w:rsidR="002A6315" w:rsidRPr="001B71D7" w:rsidRDefault="00B95751" w:rsidP="002A6315">
      <w:pPr>
        <w:pStyle w:val="Caption"/>
        <w:spacing w:after="0"/>
        <w:rPr>
          <w:b w:val="0"/>
          <w:i/>
          <w:iCs/>
          <w:color w:val="auto"/>
          <w:sz w:val="24"/>
          <w:szCs w:val="24"/>
        </w:rPr>
      </w:pPr>
      <w:r w:rsidRPr="001B71D7">
        <w:rPr>
          <w:i/>
          <w:iCs/>
          <w:color w:val="auto"/>
          <w:sz w:val="24"/>
          <w:szCs w:val="24"/>
        </w:rPr>
        <w:t xml:space="preserve">Table 7 </w:t>
      </w:r>
      <w:r w:rsidR="002A6315" w:rsidRPr="001B71D7">
        <w:rPr>
          <w:i/>
          <w:iCs/>
          <w:color w:val="auto"/>
          <w:sz w:val="24"/>
          <w:szCs w:val="24"/>
        </w:rPr>
        <w:t>Breusch-Pagan Test for Heteroscedasticity</w:t>
      </w:r>
    </w:p>
    <w:tbl>
      <w:tblPr>
        <w:tblStyle w:val="PlainTable1"/>
        <w:tblW w:w="5000" w:type="pct"/>
        <w:tblLook w:val="04A0" w:firstRow="1" w:lastRow="0" w:firstColumn="1" w:lastColumn="0" w:noHBand="0" w:noVBand="1"/>
      </w:tblPr>
      <w:tblGrid>
        <w:gridCol w:w="3260"/>
        <w:gridCol w:w="5424"/>
        <w:gridCol w:w="2336"/>
      </w:tblGrid>
      <w:tr w:rsidR="002A6315" w:rsidRPr="001B71D7" w14:paraId="288AA70F"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131B4801" w14:textId="77777777" w:rsidR="002A6315" w:rsidRPr="001B71D7" w:rsidRDefault="002A6315" w:rsidP="002A6315">
            <w:pPr>
              <w:spacing w:before="0" w:line="240" w:lineRule="auto"/>
              <w:rPr>
                <w:rFonts w:eastAsia="Times New Roman" w:cs="Times New Roman"/>
                <w:b w:val="0"/>
                <w:bCs w:val="0"/>
                <w:szCs w:val="24"/>
              </w:rPr>
            </w:pPr>
            <w:r w:rsidRPr="001B71D7">
              <w:rPr>
                <w:rFonts w:eastAsia="Times New Roman" w:cs="Times New Roman"/>
                <w:szCs w:val="24"/>
              </w:rPr>
              <w:t>Chi-square</w:t>
            </w:r>
          </w:p>
        </w:tc>
        <w:tc>
          <w:tcPr>
            <w:tcW w:w="2461" w:type="pct"/>
            <w:hideMark/>
          </w:tcPr>
          <w:p w14:paraId="18A603A4" w14:textId="77777777" w:rsidR="002A6315" w:rsidRPr="001B71D7" w:rsidRDefault="002A6315" w:rsidP="002A631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Degrees of Freedom</w:t>
            </w:r>
          </w:p>
        </w:tc>
        <w:tc>
          <w:tcPr>
            <w:tcW w:w="1060" w:type="pct"/>
            <w:hideMark/>
          </w:tcPr>
          <w:p w14:paraId="33E663AD" w14:textId="77777777" w:rsidR="002A6315" w:rsidRPr="001B71D7" w:rsidRDefault="002A6315" w:rsidP="002A631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2A6315" w:rsidRPr="001B71D7" w14:paraId="482CEA19"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6A37C1AA" w14:textId="77777777" w:rsidR="002A6315" w:rsidRPr="001B71D7" w:rsidRDefault="002A6315" w:rsidP="002A6315">
            <w:pPr>
              <w:spacing w:before="0" w:line="240" w:lineRule="auto"/>
              <w:rPr>
                <w:rFonts w:eastAsia="Times New Roman" w:cs="Times New Roman"/>
                <w:szCs w:val="24"/>
              </w:rPr>
            </w:pPr>
            <w:r w:rsidRPr="001B71D7">
              <w:rPr>
                <w:rFonts w:eastAsia="Times New Roman" w:cs="Times New Roman"/>
                <w:szCs w:val="24"/>
              </w:rPr>
              <w:t>3.246</w:t>
            </w:r>
          </w:p>
        </w:tc>
        <w:tc>
          <w:tcPr>
            <w:tcW w:w="2461" w:type="pct"/>
            <w:hideMark/>
          </w:tcPr>
          <w:p w14:paraId="780D8114" w14:textId="77777777" w:rsidR="002A6315" w:rsidRPr="001B71D7" w:rsidRDefault="002A6315" w:rsidP="002A6315">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3</w:t>
            </w:r>
          </w:p>
        </w:tc>
        <w:tc>
          <w:tcPr>
            <w:tcW w:w="1060" w:type="pct"/>
            <w:hideMark/>
          </w:tcPr>
          <w:p w14:paraId="391DD2CE" w14:textId="77777777" w:rsidR="002A6315" w:rsidRPr="001B71D7" w:rsidRDefault="002A6315" w:rsidP="002A6315">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0.355</w:t>
            </w:r>
          </w:p>
        </w:tc>
      </w:tr>
    </w:tbl>
    <w:p w14:paraId="187ABE01" w14:textId="77777777" w:rsidR="002A6315" w:rsidRPr="001B71D7" w:rsidRDefault="002A6315" w:rsidP="00E730D7">
      <w:pPr>
        <w:spacing w:before="0" w:line="240" w:lineRule="auto"/>
        <w:rPr>
          <w:color w:val="000000" w:themeColor="text1"/>
        </w:rPr>
      </w:pPr>
    </w:p>
    <w:p w14:paraId="24AA9E9E" w14:textId="136244E8" w:rsidR="002A6315" w:rsidRPr="001B71D7" w:rsidRDefault="009418CE" w:rsidP="00E730D7">
      <w:pPr>
        <w:spacing w:before="0" w:line="240" w:lineRule="auto"/>
        <w:rPr>
          <w:b/>
          <w:bCs/>
          <w:i/>
          <w:iCs/>
          <w:szCs w:val="24"/>
        </w:rPr>
      </w:pPr>
      <w:r w:rsidRPr="001B71D7">
        <w:rPr>
          <w:b/>
          <w:bCs/>
          <w:i/>
          <w:iCs/>
          <w:szCs w:val="24"/>
        </w:rPr>
        <w:t>Autocorrelation Test</w:t>
      </w:r>
    </w:p>
    <w:p w14:paraId="5F9327B2" w14:textId="77777777" w:rsidR="009418CE" w:rsidRPr="001B71D7" w:rsidRDefault="009418CE" w:rsidP="00E730D7">
      <w:pPr>
        <w:spacing w:before="0" w:line="240" w:lineRule="auto"/>
        <w:rPr>
          <w:b/>
          <w:bCs/>
          <w:szCs w:val="24"/>
        </w:rPr>
      </w:pPr>
    </w:p>
    <w:p w14:paraId="53EA2C20" w14:textId="1A8F92C8" w:rsidR="009418CE" w:rsidRPr="001B71D7" w:rsidRDefault="009418CE" w:rsidP="00E730D7">
      <w:pPr>
        <w:spacing w:before="0" w:line="240" w:lineRule="auto"/>
        <w:rPr>
          <w:szCs w:val="24"/>
        </w:rPr>
      </w:pPr>
      <w:r w:rsidRPr="001B71D7">
        <w:rPr>
          <w:szCs w:val="24"/>
        </w:rPr>
        <w:t>Table 8 reports a p-value of 0.467 and a Durbin–Watson statistic of 1.923. Since the p-value exceeds 0.05 and the statistic lies within the acceptable 1.5–2.5 range, the results confirm the absence of autocorrelation, indicating independent residuals and fulfilling the no-autocorrelation assumption.</w:t>
      </w:r>
    </w:p>
    <w:p w14:paraId="54F9BA99" w14:textId="11C0861F" w:rsidR="009418CE" w:rsidRPr="001B71D7" w:rsidRDefault="00B95751" w:rsidP="009418CE">
      <w:pPr>
        <w:pStyle w:val="Caption"/>
        <w:spacing w:after="0"/>
        <w:rPr>
          <w:b w:val="0"/>
          <w:i/>
          <w:color w:val="auto"/>
          <w:sz w:val="24"/>
          <w:szCs w:val="24"/>
        </w:rPr>
      </w:pPr>
      <w:r w:rsidRPr="001B71D7">
        <w:rPr>
          <w:color w:val="auto"/>
          <w:sz w:val="24"/>
          <w:szCs w:val="24"/>
        </w:rPr>
        <w:t xml:space="preserve">Table 8 </w:t>
      </w:r>
      <w:r w:rsidR="009418CE" w:rsidRPr="001B71D7">
        <w:rPr>
          <w:color w:val="auto"/>
          <w:sz w:val="24"/>
          <w:szCs w:val="24"/>
        </w:rPr>
        <w:t>Durbin-Watson Test for Autocorrelation</w:t>
      </w:r>
    </w:p>
    <w:tbl>
      <w:tblPr>
        <w:tblStyle w:val="PlainTable1"/>
        <w:tblW w:w="5000" w:type="pct"/>
        <w:tblLook w:val="04A0" w:firstRow="1" w:lastRow="0" w:firstColumn="1" w:lastColumn="0" w:noHBand="0" w:noVBand="1"/>
      </w:tblPr>
      <w:tblGrid>
        <w:gridCol w:w="8106"/>
        <w:gridCol w:w="2914"/>
      </w:tblGrid>
      <w:tr w:rsidR="009418CE" w:rsidRPr="001B71D7" w14:paraId="7EF89843"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pct"/>
            <w:hideMark/>
          </w:tcPr>
          <w:p w14:paraId="0B785B13" w14:textId="77777777" w:rsidR="009418CE" w:rsidRPr="001B71D7" w:rsidRDefault="009418CE" w:rsidP="009418CE">
            <w:pPr>
              <w:spacing w:before="0" w:line="240" w:lineRule="auto"/>
              <w:rPr>
                <w:rFonts w:eastAsia="Times New Roman" w:cs="Times New Roman"/>
                <w:b w:val="0"/>
                <w:bCs w:val="0"/>
                <w:szCs w:val="24"/>
              </w:rPr>
            </w:pPr>
            <w:r w:rsidRPr="001B71D7">
              <w:rPr>
                <w:rFonts w:eastAsia="Times New Roman" w:cs="Times New Roman"/>
                <w:szCs w:val="24"/>
              </w:rPr>
              <w:t>Durbin-Watson Statistic</w:t>
            </w:r>
          </w:p>
        </w:tc>
        <w:tc>
          <w:tcPr>
            <w:tcW w:w="1322" w:type="pct"/>
            <w:hideMark/>
          </w:tcPr>
          <w:p w14:paraId="234A9310" w14:textId="77777777" w:rsidR="009418CE" w:rsidRPr="001B71D7" w:rsidRDefault="009418CE" w:rsidP="009418CE">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9418CE" w:rsidRPr="001B71D7" w14:paraId="49A98DAC"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pct"/>
            <w:hideMark/>
          </w:tcPr>
          <w:p w14:paraId="21F63F2C" w14:textId="77777777" w:rsidR="009418CE" w:rsidRPr="001B71D7" w:rsidRDefault="009418CE" w:rsidP="009418CE">
            <w:pPr>
              <w:spacing w:before="0" w:line="240" w:lineRule="auto"/>
              <w:rPr>
                <w:rFonts w:eastAsia="Times New Roman" w:cs="Times New Roman"/>
                <w:szCs w:val="24"/>
              </w:rPr>
            </w:pPr>
            <w:r w:rsidRPr="001B71D7">
              <w:rPr>
                <w:rFonts w:eastAsia="Times New Roman" w:cs="Times New Roman"/>
                <w:szCs w:val="24"/>
              </w:rPr>
              <w:t>1.923</w:t>
            </w:r>
          </w:p>
        </w:tc>
        <w:tc>
          <w:tcPr>
            <w:tcW w:w="1322" w:type="pct"/>
            <w:hideMark/>
          </w:tcPr>
          <w:p w14:paraId="7EE24622" w14:textId="77777777" w:rsidR="009418CE" w:rsidRPr="001B71D7" w:rsidRDefault="009418CE" w:rsidP="009418CE">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0.467</w:t>
            </w:r>
          </w:p>
        </w:tc>
      </w:tr>
    </w:tbl>
    <w:p w14:paraId="0CC56ACE" w14:textId="77777777" w:rsidR="009418CE" w:rsidRPr="001B71D7" w:rsidRDefault="009418CE" w:rsidP="00E730D7">
      <w:pPr>
        <w:spacing w:before="0" w:line="240" w:lineRule="auto"/>
        <w:rPr>
          <w:b/>
          <w:bCs/>
          <w:color w:val="000000" w:themeColor="text1"/>
        </w:rPr>
      </w:pPr>
    </w:p>
    <w:bookmarkEnd w:id="2"/>
    <w:p w14:paraId="2049F9E6" w14:textId="44FF561B" w:rsidR="007F5F0F" w:rsidRPr="001B71D7" w:rsidRDefault="007F5F0F" w:rsidP="00055D83">
      <w:pPr>
        <w:shd w:val="clear" w:color="auto" w:fill="FFFFFF"/>
        <w:spacing w:line="240" w:lineRule="auto"/>
        <w:rPr>
          <w:b/>
          <w:bCs/>
          <w:i/>
          <w:iCs/>
          <w:szCs w:val="24"/>
        </w:rPr>
      </w:pPr>
      <w:r w:rsidRPr="001B71D7">
        <w:rPr>
          <w:b/>
          <w:bCs/>
          <w:i/>
          <w:iCs/>
          <w:szCs w:val="24"/>
        </w:rPr>
        <w:t>Hausman Test</w:t>
      </w:r>
    </w:p>
    <w:p w14:paraId="41084BE0" w14:textId="400DF1D3" w:rsidR="007F5F0F" w:rsidRPr="001B71D7" w:rsidRDefault="007F5F0F" w:rsidP="00055D83">
      <w:pPr>
        <w:shd w:val="clear" w:color="auto" w:fill="FFFFFF"/>
        <w:spacing w:line="240" w:lineRule="auto"/>
        <w:rPr>
          <w:szCs w:val="24"/>
        </w:rPr>
      </w:pPr>
      <w:r w:rsidRPr="001B71D7">
        <w:rPr>
          <w:szCs w:val="24"/>
        </w:rPr>
        <w:t xml:space="preserve">The Hausman test (χ² = 9.376, </w:t>
      </w:r>
      <w:proofErr w:type="spellStart"/>
      <w:r w:rsidRPr="001B71D7">
        <w:rPr>
          <w:szCs w:val="24"/>
        </w:rPr>
        <w:t>df</w:t>
      </w:r>
      <w:proofErr w:type="spellEnd"/>
      <w:r w:rsidRPr="001B71D7">
        <w:rPr>
          <w:szCs w:val="24"/>
        </w:rPr>
        <w:t xml:space="preserve"> = 3, p = 0.025) rejects the null hypothesis of random effects model reliability, indicating fixed effects as the superior specification. Discrepancies in coefficient estimates between models further justify adopting fixed effects for more accurate and credible parameter estimation.</w:t>
      </w:r>
    </w:p>
    <w:p w14:paraId="49C3126C" w14:textId="13972CAE" w:rsidR="007F5F0F" w:rsidRPr="001B71D7" w:rsidRDefault="00B95751" w:rsidP="007F5F0F">
      <w:pPr>
        <w:pStyle w:val="Caption"/>
        <w:spacing w:after="0"/>
        <w:rPr>
          <w:b w:val="0"/>
          <w:i/>
          <w:color w:val="auto"/>
          <w:sz w:val="24"/>
          <w:szCs w:val="24"/>
        </w:rPr>
      </w:pPr>
      <w:r w:rsidRPr="001B71D7">
        <w:rPr>
          <w:color w:val="auto"/>
          <w:sz w:val="24"/>
          <w:szCs w:val="24"/>
        </w:rPr>
        <w:t xml:space="preserve">Table 9 </w:t>
      </w:r>
      <w:r w:rsidR="007F5F0F" w:rsidRPr="001B71D7">
        <w:rPr>
          <w:color w:val="auto"/>
          <w:sz w:val="24"/>
          <w:szCs w:val="24"/>
        </w:rPr>
        <w:t>Hausman Test Results</w:t>
      </w:r>
    </w:p>
    <w:tbl>
      <w:tblPr>
        <w:tblStyle w:val="PlainTable1"/>
        <w:tblW w:w="5000" w:type="pct"/>
        <w:tblLook w:val="04A0" w:firstRow="1" w:lastRow="0" w:firstColumn="1" w:lastColumn="0" w:noHBand="0" w:noVBand="1"/>
      </w:tblPr>
      <w:tblGrid>
        <w:gridCol w:w="3260"/>
        <w:gridCol w:w="5424"/>
        <w:gridCol w:w="2336"/>
      </w:tblGrid>
      <w:tr w:rsidR="007F5F0F" w:rsidRPr="001B71D7" w14:paraId="0A12950A"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5BA69FA9" w14:textId="77777777" w:rsidR="007F5F0F" w:rsidRPr="001B71D7" w:rsidRDefault="007F5F0F" w:rsidP="007F5F0F">
            <w:pPr>
              <w:spacing w:before="0" w:line="240" w:lineRule="auto"/>
              <w:rPr>
                <w:rFonts w:eastAsia="Times New Roman" w:cs="Times New Roman"/>
                <w:b w:val="0"/>
                <w:bCs w:val="0"/>
                <w:szCs w:val="24"/>
              </w:rPr>
            </w:pPr>
            <w:r w:rsidRPr="001B71D7">
              <w:rPr>
                <w:rFonts w:eastAsia="Times New Roman" w:cs="Times New Roman"/>
                <w:szCs w:val="24"/>
              </w:rPr>
              <w:t>Chi-square</w:t>
            </w:r>
          </w:p>
        </w:tc>
        <w:tc>
          <w:tcPr>
            <w:tcW w:w="2461" w:type="pct"/>
            <w:hideMark/>
          </w:tcPr>
          <w:p w14:paraId="2247FBD9" w14:textId="77777777" w:rsidR="007F5F0F" w:rsidRPr="001B71D7" w:rsidRDefault="007F5F0F" w:rsidP="007F5F0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Degrees of Freedom</w:t>
            </w:r>
          </w:p>
        </w:tc>
        <w:tc>
          <w:tcPr>
            <w:tcW w:w="1060" w:type="pct"/>
            <w:hideMark/>
          </w:tcPr>
          <w:p w14:paraId="3E958B6C" w14:textId="77777777" w:rsidR="007F5F0F" w:rsidRPr="001B71D7" w:rsidRDefault="007F5F0F" w:rsidP="007F5F0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7F5F0F" w:rsidRPr="001B71D7" w14:paraId="1CC6960C"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05EC5C34" w14:textId="77777777" w:rsidR="007F5F0F" w:rsidRPr="001B71D7" w:rsidRDefault="007F5F0F" w:rsidP="007F5F0F">
            <w:pPr>
              <w:spacing w:before="0" w:line="240" w:lineRule="auto"/>
              <w:rPr>
                <w:rFonts w:eastAsia="Times New Roman" w:cs="Times New Roman"/>
                <w:szCs w:val="24"/>
              </w:rPr>
            </w:pPr>
            <w:r w:rsidRPr="001B71D7">
              <w:rPr>
                <w:rFonts w:eastAsia="Times New Roman" w:cs="Times New Roman"/>
                <w:szCs w:val="24"/>
              </w:rPr>
              <w:t>9.376</w:t>
            </w:r>
          </w:p>
        </w:tc>
        <w:tc>
          <w:tcPr>
            <w:tcW w:w="2461" w:type="pct"/>
            <w:hideMark/>
          </w:tcPr>
          <w:p w14:paraId="5799F9E0" w14:textId="77777777" w:rsidR="007F5F0F" w:rsidRPr="001B71D7" w:rsidRDefault="007F5F0F" w:rsidP="007F5F0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3</w:t>
            </w:r>
          </w:p>
        </w:tc>
        <w:tc>
          <w:tcPr>
            <w:tcW w:w="1060" w:type="pct"/>
            <w:hideMark/>
          </w:tcPr>
          <w:p w14:paraId="4913EF0D" w14:textId="77777777" w:rsidR="007F5F0F" w:rsidRPr="001B71D7" w:rsidRDefault="007F5F0F" w:rsidP="007F5F0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0.025</w:t>
            </w:r>
          </w:p>
        </w:tc>
      </w:tr>
    </w:tbl>
    <w:p w14:paraId="22D2E878" w14:textId="62321283" w:rsidR="007F5F0F" w:rsidRPr="001B71D7" w:rsidRDefault="008915AC" w:rsidP="00055D83">
      <w:pPr>
        <w:shd w:val="clear" w:color="auto" w:fill="FFFFFF"/>
        <w:spacing w:line="240" w:lineRule="auto"/>
        <w:rPr>
          <w:b/>
          <w:bCs/>
          <w:i/>
          <w:iCs/>
          <w:szCs w:val="24"/>
        </w:rPr>
      </w:pPr>
      <w:r w:rsidRPr="001B71D7">
        <w:rPr>
          <w:b/>
          <w:bCs/>
          <w:i/>
          <w:iCs/>
          <w:szCs w:val="24"/>
        </w:rPr>
        <w:t>Stationarity Test</w:t>
      </w:r>
    </w:p>
    <w:p w14:paraId="263A9198" w14:textId="6D6EDACF" w:rsidR="008915AC" w:rsidRPr="001B71D7" w:rsidRDefault="008915AC" w:rsidP="008915AC">
      <w:pPr>
        <w:shd w:val="clear" w:color="auto" w:fill="FFFFFF"/>
        <w:spacing w:before="0" w:line="240" w:lineRule="auto"/>
        <w:rPr>
          <w:rFonts w:eastAsia="Times New Roman" w:cs="Times New Roman"/>
          <w:color w:val="000000" w:themeColor="text1"/>
          <w:szCs w:val="24"/>
        </w:rPr>
      </w:pPr>
      <w:r w:rsidRPr="001B71D7">
        <w:rPr>
          <w:rFonts w:eastAsia="Times New Roman" w:cs="Times New Roman"/>
          <w:color w:val="000000" w:themeColor="text1"/>
          <w:szCs w:val="24"/>
        </w:rPr>
        <w:t>All variables exhibited negative and statistically significant LLC statistics at the 1% level (Table 10), with p-values of 0.000. These results reject the null hypothesis of a unit root, confirming stationarity and eliminating the need for differencing or other transformations when employing the variables in level form.</w:t>
      </w:r>
    </w:p>
    <w:p w14:paraId="0EC336F0" w14:textId="0C82E826" w:rsidR="008915AC" w:rsidRPr="001B71D7" w:rsidRDefault="00B95751" w:rsidP="008915AC">
      <w:pPr>
        <w:spacing w:before="100" w:beforeAutospacing="1" w:line="240" w:lineRule="auto"/>
        <w:rPr>
          <w:rFonts w:eastAsia="Times New Roman" w:cs="Times New Roman"/>
          <w:i/>
          <w:iCs/>
          <w:szCs w:val="24"/>
        </w:rPr>
      </w:pPr>
      <w:r w:rsidRPr="001B71D7">
        <w:rPr>
          <w:rFonts w:eastAsia="Times New Roman" w:cs="Times New Roman"/>
          <w:b/>
          <w:bCs/>
          <w:i/>
          <w:iCs/>
          <w:szCs w:val="24"/>
        </w:rPr>
        <w:t xml:space="preserve">Table 10 </w:t>
      </w:r>
      <w:r w:rsidR="008915AC" w:rsidRPr="001B71D7">
        <w:rPr>
          <w:rFonts w:eastAsia="Times New Roman" w:cs="Times New Roman"/>
          <w:b/>
          <w:bCs/>
          <w:i/>
          <w:iCs/>
          <w:szCs w:val="24"/>
        </w:rPr>
        <w:t>Levin, Lin, and Chu Unit Root Test Results</w:t>
      </w:r>
    </w:p>
    <w:tbl>
      <w:tblPr>
        <w:tblStyle w:val="PlainTable1"/>
        <w:tblW w:w="5000" w:type="pct"/>
        <w:tblLook w:val="04A0" w:firstRow="1" w:lastRow="0" w:firstColumn="1" w:lastColumn="0" w:noHBand="0" w:noVBand="1"/>
      </w:tblPr>
      <w:tblGrid>
        <w:gridCol w:w="6186"/>
        <w:gridCol w:w="3097"/>
        <w:gridCol w:w="1737"/>
      </w:tblGrid>
      <w:tr w:rsidR="008915AC" w:rsidRPr="001B71D7" w14:paraId="71765822"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pct"/>
            <w:hideMark/>
          </w:tcPr>
          <w:p w14:paraId="721F491C" w14:textId="77777777" w:rsidR="008915AC" w:rsidRPr="001B71D7" w:rsidRDefault="008915AC" w:rsidP="008915AC">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1405" w:type="pct"/>
            <w:hideMark/>
          </w:tcPr>
          <w:p w14:paraId="3544B2A8" w14:textId="77777777" w:rsidR="008915AC" w:rsidRPr="001B71D7" w:rsidRDefault="008915AC" w:rsidP="008915AC">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LLC Statistic</w:t>
            </w:r>
          </w:p>
        </w:tc>
        <w:tc>
          <w:tcPr>
            <w:tcW w:w="788" w:type="pct"/>
            <w:hideMark/>
          </w:tcPr>
          <w:p w14:paraId="278697B2" w14:textId="77777777" w:rsidR="008915AC" w:rsidRPr="001B71D7" w:rsidRDefault="008915AC" w:rsidP="008915AC">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8915AC" w:rsidRPr="001B71D7" w14:paraId="1D9210C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pct"/>
            <w:hideMark/>
          </w:tcPr>
          <w:p w14:paraId="642013B3"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Firm Value (Tobin's Q)</w:t>
            </w:r>
          </w:p>
        </w:tc>
        <w:tc>
          <w:tcPr>
            <w:tcW w:w="1405" w:type="pct"/>
            <w:hideMark/>
          </w:tcPr>
          <w:p w14:paraId="3DA0A3E7"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-6.742</w:t>
            </w:r>
          </w:p>
        </w:tc>
        <w:tc>
          <w:tcPr>
            <w:tcW w:w="788" w:type="pct"/>
            <w:hideMark/>
          </w:tcPr>
          <w:p w14:paraId="56BCA1A5"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8915AC" w:rsidRPr="001B71D7" w14:paraId="465479FB" w14:textId="77777777" w:rsidTr="00564EFC">
        <w:tc>
          <w:tcPr>
            <w:cnfStyle w:val="001000000000" w:firstRow="0" w:lastRow="0" w:firstColumn="1" w:lastColumn="0" w:oddVBand="0" w:evenVBand="0" w:oddHBand="0" w:evenHBand="0" w:firstRowFirstColumn="0" w:firstRowLastColumn="0" w:lastRowFirstColumn="0" w:lastRowLastColumn="0"/>
            <w:tcW w:w="2807" w:type="pct"/>
            <w:hideMark/>
          </w:tcPr>
          <w:p w14:paraId="079A9A55"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Average Collection Period</w:t>
            </w:r>
          </w:p>
        </w:tc>
        <w:tc>
          <w:tcPr>
            <w:tcW w:w="1405" w:type="pct"/>
            <w:hideMark/>
          </w:tcPr>
          <w:p w14:paraId="511F61E8"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-6.234</w:t>
            </w:r>
          </w:p>
        </w:tc>
        <w:tc>
          <w:tcPr>
            <w:tcW w:w="788" w:type="pct"/>
            <w:hideMark/>
          </w:tcPr>
          <w:p w14:paraId="3BFBCF82"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8915AC" w:rsidRPr="001B71D7" w14:paraId="5298123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pct"/>
            <w:hideMark/>
          </w:tcPr>
          <w:p w14:paraId="31D85E29"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Average Payment Period</w:t>
            </w:r>
          </w:p>
        </w:tc>
        <w:tc>
          <w:tcPr>
            <w:tcW w:w="1405" w:type="pct"/>
            <w:hideMark/>
          </w:tcPr>
          <w:p w14:paraId="54A12BC7"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-7.345</w:t>
            </w:r>
          </w:p>
        </w:tc>
        <w:tc>
          <w:tcPr>
            <w:tcW w:w="788" w:type="pct"/>
            <w:hideMark/>
          </w:tcPr>
          <w:p w14:paraId="461945D0"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8915AC" w:rsidRPr="001B71D7" w14:paraId="74B2ED1F" w14:textId="77777777" w:rsidTr="00564EFC">
        <w:tc>
          <w:tcPr>
            <w:cnfStyle w:val="001000000000" w:firstRow="0" w:lastRow="0" w:firstColumn="1" w:lastColumn="0" w:oddVBand="0" w:evenVBand="0" w:oddHBand="0" w:evenHBand="0" w:firstRowFirstColumn="0" w:firstRowLastColumn="0" w:lastRowFirstColumn="0" w:lastRowLastColumn="0"/>
            <w:tcW w:w="2807" w:type="pct"/>
            <w:hideMark/>
          </w:tcPr>
          <w:p w14:paraId="2EFF4655"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1405" w:type="pct"/>
            <w:hideMark/>
          </w:tcPr>
          <w:p w14:paraId="123A04DF"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-6.967</w:t>
            </w:r>
          </w:p>
        </w:tc>
        <w:tc>
          <w:tcPr>
            <w:tcW w:w="788" w:type="pct"/>
            <w:hideMark/>
          </w:tcPr>
          <w:p w14:paraId="56D99842"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bl>
    <w:p w14:paraId="54DEB689" w14:textId="77777777" w:rsidR="00783544" w:rsidRPr="001B71D7" w:rsidRDefault="00783544" w:rsidP="00055D83">
      <w:pPr>
        <w:shd w:val="clear" w:color="auto" w:fill="FFFFFF"/>
        <w:spacing w:line="240" w:lineRule="auto"/>
        <w:rPr>
          <w:b/>
          <w:bCs/>
          <w:szCs w:val="24"/>
        </w:rPr>
      </w:pPr>
    </w:p>
    <w:p w14:paraId="2B1D1C09" w14:textId="7F0D7DBB" w:rsidR="007F5F0F" w:rsidRPr="001B71D7" w:rsidRDefault="00783544" w:rsidP="00055D83">
      <w:pPr>
        <w:shd w:val="clear" w:color="auto" w:fill="FFFFFF"/>
        <w:spacing w:line="240" w:lineRule="auto"/>
        <w:rPr>
          <w:b/>
          <w:bCs/>
          <w:szCs w:val="24"/>
        </w:rPr>
      </w:pPr>
      <w:r w:rsidRPr="001B71D7">
        <w:rPr>
          <w:b/>
          <w:bCs/>
          <w:szCs w:val="24"/>
        </w:rPr>
        <w:t>4.5 Correlation Analysis</w:t>
      </w:r>
    </w:p>
    <w:p w14:paraId="2167D17C" w14:textId="3FFC17D5" w:rsidR="00A3424F" w:rsidRPr="001B71D7" w:rsidRDefault="00A3424F" w:rsidP="00A3424F">
      <w:pPr>
        <w:shd w:val="clear" w:color="auto" w:fill="FFFFFF"/>
        <w:spacing w:before="0" w:line="240" w:lineRule="auto"/>
        <w:rPr>
          <w:szCs w:val="24"/>
        </w:rPr>
      </w:pPr>
      <w:r w:rsidRPr="001B71D7">
        <w:rPr>
          <w:szCs w:val="24"/>
        </w:rPr>
        <w:t>A correlation analysis examined the relationships between firm value (Tobin’s Q) and key working capital components: average collection period, average payment period, and inventory conversion period. Firm value exhibited significant negative correlations with all three, each at the 1% level. The collection period showed the strongest inverse association (r = –0.625), followed by inventory conversion (r = –0.587) and payment period (r = –0.543), indicating that prolonged durations in these cycles reduce valuation. Moderate positive correlations among the independent variables (0.395–0.497) suggest interdependencies, particularly between collection and payment periods, but their magnitudes and diagnostic VIF results indicate minimal multicollinearity concerns</w:t>
      </w:r>
    </w:p>
    <w:p w14:paraId="63889934" w14:textId="7AAF66FE" w:rsidR="00783544" w:rsidRPr="001B71D7" w:rsidRDefault="00B95751" w:rsidP="00783544">
      <w:pPr>
        <w:pStyle w:val="Caption"/>
        <w:spacing w:after="0"/>
        <w:rPr>
          <w:i/>
          <w:iCs/>
          <w:color w:val="auto"/>
          <w:sz w:val="24"/>
          <w:szCs w:val="24"/>
        </w:rPr>
      </w:pPr>
      <w:r w:rsidRPr="001B71D7">
        <w:rPr>
          <w:i/>
          <w:iCs/>
          <w:color w:val="auto"/>
          <w:sz w:val="24"/>
          <w:szCs w:val="24"/>
        </w:rPr>
        <w:lastRenderedPageBreak/>
        <w:t xml:space="preserve">Table 11 </w:t>
      </w:r>
      <w:r w:rsidR="00783544" w:rsidRPr="001B71D7">
        <w:rPr>
          <w:i/>
          <w:iCs/>
          <w:color w:val="auto"/>
          <w:sz w:val="24"/>
          <w:szCs w:val="24"/>
        </w:rPr>
        <w:t>Correlation Matrix</w:t>
      </w:r>
    </w:p>
    <w:tbl>
      <w:tblPr>
        <w:tblStyle w:val="PlainTable1"/>
        <w:tblW w:w="0" w:type="auto"/>
        <w:tblLook w:val="04A0" w:firstRow="1" w:lastRow="0" w:firstColumn="1" w:lastColumn="0" w:noHBand="0" w:noVBand="1"/>
      </w:tblPr>
      <w:tblGrid>
        <w:gridCol w:w="2724"/>
        <w:gridCol w:w="1322"/>
        <w:gridCol w:w="2192"/>
        <w:gridCol w:w="2059"/>
        <w:gridCol w:w="2723"/>
      </w:tblGrid>
      <w:tr w:rsidR="00783544" w:rsidRPr="001B71D7" w14:paraId="7F64D273"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6A3A55" w14:textId="77777777" w:rsidR="00783544" w:rsidRPr="001B71D7" w:rsidRDefault="00783544" w:rsidP="00783544">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0" w:type="auto"/>
            <w:hideMark/>
          </w:tcPr>
          <w:p w14:paraId="284C8B93"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Firm Value</w:t>
            </w:r>
          </w:p>
        </w:tc>
        <w:tc>
          <w:tcPr>
            <w:tcW w:w="0" w:type="auto"/>
            <w:hideMark/>
          </w:tcPr>
          <w:p w14:paraId="1B933ED3"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Avg. Collection Period</w:t>
            </w:r>
          </w:p>
        </w:tc>
        <w:tc>
          <w:tcPr>
            <w:tcW w:w="0" w:type="auto"/>
            <w:hideMark/>
          </w:tcPr>
          <w:p w14:paraId="7ADDF5DF"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Avg. Payment Period</w:t>
            </w:r>
          </w:p>
        </w:tc>
        <w:tc>
          <w:tcPr>
            <w:tcW w:w="0" w:type="auto"/>
            <w:hideMark/>
          </w:tcPr>
          <w:p w14:paraId="302E6852"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Inventory Conversion Period</w:t>
            </w:r>
          </w:p>
        </w:tc>
      </w:tr>
      <w:tr w:rsidR="00783544" w:rsidRPr="001B71D7" w14:paraId="54CB55CF"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EA7C9D"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Firm Value</w:t>
            </w:r>
          </w:p>
        </w:tc>
        <w:tc>
          <w:tcPr>
            <w:tcW w:w="0" w:type="auto"/>
            <w:hideMark/>
          </w:tcPr>
          <w:p w14:paraId="13BB702D"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c>
          <w:tcPr>
            <w:tcW w:w="0" w:type="auto"/>
            <w:hideMark/>
          </w:tcPr>
          <w:p w14:paraId="18CB195C"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0" w:type="auto"/>
            <w:hideMark/>
          </w:tcPr>
          <w:p w14:paraId="42989BF0"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0" w:type="auto"/>
            <w:hideMark/>
          </w:tcPr>
          <w:p w14:paraId="73A324E5"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783544" w:rsidRPr="001B71D7" w14:paraId="271521E4" w14:textId="77777777" w:rsidTr="00564EFC">
        <w:tc>
          <w:tcPr>
            <w:cnfStyle w:val="001000000000" w:firstRow="0" w:lastRow="0" w:firstColumn="1" w:lastColumn="0" w:oddVBand="0" w:evenVBand="0" w:oddHBand="0" w:evenHBand="0" w:firstRowFirstColumn="0" w:firstRowLastColumn="0" w:lastRowFirstColumn="0" w:lastRowLastColumn="0"/>
            <w:tcW w:w="0" w:type="auto"/>
            <w:hideMark/>
          </w:tcPr>
          <w:p w14:paraId="17A7C057"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Avg. Collection Period</w:t>
            </w:r>
          </w:p>
        </w:tc>
        <w:tc>
          <w:tcPr>
            <w:tcW w:w="0" w:type="auto"/>
            <w:hideMark/>
          </w:tcPr>
          <w:p w14:paraId="198A90CA"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-0.625***</w:t>
            </w:r>
          </w:p>
        </w:tc>
        <w:tc>
          <w:tcPr>
            <w:tcW w:w="0" w:type="auto"/>
            <w:hideMark/>
          </w:tcPr>
          <w:p w14:paraId="73E15E49"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c>
          <w:tcPr>
            <w:tcW w:w="0" w:type="auto"/>
            <w:hideMark/>
          </w:tcPr>
          <w:p w14:paraId="27EB0C9C"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0" w:type="auto"/>
            <w:hideMark/>
          </w:tcPr>
          <w:p w14:paraId="7F4F7A56"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783544" w:rsidRPr="001B71D7" w14:paraId="6FC91E5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C1E9FD"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Avg. Payment Period</w:t>
            </w:r>
          </w:p>
        </w:tc>
        <w:tc>
          <w:tcPr>
            <w:tcW w:w="0" w:type="auto"/>
            <w:hideMark/>
          </w:tcPr>
          <w:p w14:paraId="5A3A77A9"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-0.543***</w:t>
            </w:r>
          </w:p>
        </w:tc>
        <w:tc>
          <w:tcPr>
            <w:tcW w:w="0" w:type="auto"/>
            <w:hideMark/>
          </w:tcPr>
          <w:p w14:paraId="100D65D7"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0.497***</w:t>
            </w:r>
          </w:p>
        </w:tc>
        <w:tc>
          <w:tcPr>
            <w:tcW w:w="0" w:type="auto"/>
            <w:hideMark/>
          </w:tcPr>
          <w:p w14:paraId="6D089B9B"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c>
          <w:tcPr>
            <w:tcW w:w="0" w:type="auto"/>
            <w:hideMark/>
          </w:tcPr>
          <w:p w14:paraId="7E46737A"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783544" w:rsidRPr="001B71D7" w14:paraId="4CC42530" w14:textId="77777777" w:rsidTr="00564EFC">
        <w:tc>
          <w:tcPr>
            <w:cnfStyle w:val="001000000000" w:firstRow="0" w:lastRow="0" w:firstColumn="1" w:lastColumn="0" w:oddVBand="0" w:evenVBand="0" w:oddHBand="0" w:evenHBand="0" w:firstRowFirstColumn="0" w:firstRowLastColumn="0" w:lastRowFirstColumn="0" w:lastRowLastColumn="0"/>
            <w:tcW w:w="0" w:type="auto"/>
            <w:hideMark/>
          </w:tcPr>
          <w:p w14:paraId="119E7FD3"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0" w:type="auto"/>
            <w:hideMark/>
          </w:tcPr>
          <w:p w14:paraId="089A7163"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-0.587***</w:t>
            </w:r>
          </w:p>
        </w:tc>
        <w:tc>
          <w:tcPr>
            <w:tcW w:w="0" w:type="auto"/>
            <w:hideMark/>
          </w:tcPr>
          <w:p w14:paraId="27FC8B21"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0.432***</w:t>
            </w:r>
          </w:p>
        </w:tc>
        <w:tc>
          <w:tcPr>
            <w:tcW w:w="0" w:type="auto"/>
            <w:hideMark/>
          </w:tcPr>
          <w:p w14:paraId="1E723241"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0.395***</w:t>
            </w:r>
          </w:p>
        </w:tc>
        <w:tc>
          <w:tcPr>
            <w:tcW w:w="0" w:type="auto"/>
            <w:hideMark/>
          </w:tcPr>
          <w:p w14:paraId="1DFEA31C"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r>
    </w:tbl>
    <w:p w14:paraId="1BD38F3C"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***p &lt; 0.01, **p &lt; 0.05, *p &lt; 0.10</w:t>
      </w:r>
    </w:p>
    <w:p w14:paraId="3C45AAC6" w14:textId="13E94664" w:rsidR="00783544" w:rsidRPr="007A5D11" w:rsidRDefault="00742463" w:rsidP="00055D83">
      <w:pPr>
        <w:shd w:val="clear" w:color="auto" w:fill="FFFFFF"/>
        <w:spacing w:line="240" w:lineRule="auto"/>
        <w:rPr>
          <w:b/>
          <w:bCs/>
          <w:szCs w:val="24"/>
        </w:rPr>
      </w:pPr>
      <w:r w:rsidRPr="001B71D7">
        <w:rPr>
          <w:b/>
          <w:bCs/>
          <w:szCs w:val="24"/>
        </w:rPr>
        <w:t>4</w:t>
      </w:r>
      <w:r w:rsidRPr="007A5D11">
        <w:rPr>
          <w:b/>
          <w:bCs/>
          <w:szCs w:val="24"/>
        </w:rPr>
        <w:t>.6 Regression Analysis</w:t>
      </w:r>
    </w:p>
    <w:p w14:paraId="1ABDF8B0" w14:textId="6BAA0C8D" w:rsidR="00D05354" w:rsidRPr="007A5D11" w:rsidRDefault="00C04A5A" w:rsidP="00D05354">
      <w:pPr>
        <w:shd w:val="clear" w:color="auto" w:fill="FFFFFF"/>
        <w:spacing w:before="0" w:line="240" w:lineRule="auto"/>
        <w:rPr>
          <w:szCs w:val="24"/>
        </w:rPr>
      </w:pPr>
      <w:r w:rsidRPr="007A5D11">
        <w:rPr>
          <w:szCs w:val="24"/>
        </w:rPr>
        <w:t>Panel data regression, guided by the Hausman specification test, confirmed the fixed effects model as the most suitable for estimating the impact of working capital management on firm value. Results indicated that the average collection period (ACP), average payment period (APP), and inventory conversion period (ICP) each exerted a statistically significant (p &lt; 0.01) and negative effect on Tobin’s Q. In addition, the COVID-19 dummy variable was included to capture pandemic-specific shocks, and its coefficient was negative and significant, suggesting that the pandemic adversely affected firm value across the manufacturing sector. Control variables</w:t>
      </w:r>
      <w:r w:rsidR="00554C06" w:rsidRPr="007A5D11">
        <w:rPr>
          <w:szCs w:val="24"/>
        </w:rPr>
        <w:t xml:space="preserve"> </w:t>
      </w:r>
      <w:r w:rsidRPr="007A5D11">
        <w:rPr>
          <w:szCs w:val="24"/>
        </w:rPr>
        <w:t>firm size, leverage, and ownership structure</w:t>
      </w:r>
      <w:r w:rsidR="00554C06" w:rsidRPr="007A5D11">
        <w:rPr>
          <w:szCs w:val="24"/>
        </w:rPr>
        <w:t xml:space="preserve"> </w:t>
      </w:r>
      <w:r w:rsidRPr="007A5D11">
        <w:rPr>
          <w:szCs w:val="24"/>
        </w:rPr>
        <w:t>were also incorporated into the model. Firm size exhibited a positive and significant influence, while leverage showed a negative and significant effect on firm value; ownership structure, however, was statistically insignificant. Collectively, the working capital variables, the COVID-19 dummy, and the controls explained 72.4% of firm value variation (adjusted R² = 0.711), with the model’s overall fit confirmed by an F-statistic of 49.382 (p &lt; 0.001). Coefficient interpretations highlight that longer collection, payment, or inventory periods, together with high leverage and pandemic-related shocks, consistently reduce firm valuation, whereas larger firm size enhances it</w:t>
      </w:r>
      <w:r w:rsidR="00D05354" w:rsidRPr="007A5D11">
        <w:rPr>
          <w:szCs w:val="24"/>
        </w:rPr>
        <w:t>.</w:t>
      </w:r>
    </w:p>
    <w:p w14:paraId="4961F068" w14:textId="40C1E386" w:rsidR="00D05354" w:rsidRPr="001B71D7" w:rsidRDefault="00B95751" w:rsidP="00D05354">
      <w:pPr>
        <w:pStyle w:val="Caption"/>
        <w:spacing w:after="0"/>
        <w:rPr>
          <w:b w:val="0"/>
          <w:i/>
          <w:iCs/>
          <w:color w:val="auto"/>
          <w:sz w:val="24"/>
          <w:szCs w:val="24"/>
        </w:rPr>
      </w:pPr>
      <w:r w:rsidRPr="007A5D11">
        <w:rPr>
          <w:i/>
          <w:iCs/>
          <w:color w:val="auto"/>
          <w:sz w:val="24"/>
          <w:szCs w:val="24"/>
        </w:rPr>
        <w:t xml:space="preserve">Table 12 </w:t>
      </w:r>
      <w:r w:rsidR="00D05354" w:rsidRPr="007A5D11">
        <w:rPr>
          <w:i/>
          <w:iCs/>
          <w:color w:val="auto"/>
          <w:sz w:val="24"/>
          <w:szCs w:val="24"/>
        </w:rPr>
        <w:t>Fixed Effects Regression Results</w:t>
      </w:r>
    </w:p>
    <w:tbl>
      <w:tblPr>
        <w:tblStyle w:val="PlainTable1"/>
        <w:tblW w:w="5000" w:type="pct"/>
        <w:tblLook w:val="04A0" w:firstRow="1" w:lastRow="0" w:firstColumn="1" w:lastColumn="0" w:noHBand="0" w:noVBand="1"/>
      </w:tblPr>
      <w:tblGrid>
        <w:gridCol w:w="4264"/>
        <w:gridCol w:w="1898"/>
        <w:gridCol w:w="1821"/>
        <w:gridCol w:w="1651"/>
        <w:gridCol w:w="1386"/>
      </w:tblGrid>
      <w:tr w:rsidR="00D05354" w:rsidRPr="001B71D7" w14:paraId="7BFE102C"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4D50AD42" w14:textId="77777777" w:rsidR="00D05354" w:rsidRPr="001B71D7" w:rsidRDefault="00D05354" w:rsidP="00D05354">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861" w:type="pct"/>
            <w:hideMark/>
          </w:tcPr>
          <w:p w14:paraId="2B1390E6"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Coefficient</w:t>
            </w:r>
          </w:p>
        </w:tc>
        <w:tc>
          <w:tcPr>
            <w:tcW w:w="826" w:type="pct"/>
            <w:hideMark/>
          </w:tcPr>
          <w:p w14:paraId="28AA8BD1"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Std. Error</w:t>
            </w:r>
          </w:p>
        </w:tc>
        <w:tc>
          <w:tcPr>
            <w:tcW w:w="749" w:type="pct"/>
            <w:hideMark/>
          </w:tcPr>
          <w:p w14:paraId="31C2969C"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t-statistic</w:t>
            </w:r>
          </w:p>
        </w:tc>
        <w:tc>
          <w:tcPr>
            <w:tcW w:w="629" w:type="pct"/>
            <w:hideMark/>
          </w:tcPr>
          <w:p w14:paraId="1118B5AB"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D05354" w:rsidRPr="001B71D7" w14:paraId="00B4E972"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5CBF6AE2"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Constant</w:t>
            </w:r>
          </w:p>
        </w:tc>
        <w:tc>
          <w:tcPr>
            <w:tcW w:w="861" w:type="pct"/>
            <w:hideMark/>
          </w:tcPr>
          <w:p w14:paraId="3674468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2.942</w:t>
            </w:r>
          </w:p>
        </w:tc>
        <w:tc>
          <w:tcPr>
            <w:tcW w:w="826" w:type="pct"/>
            <w:hideMark/>
          </w:tcPr>
          <w:p w14:paraId="25C28E7F"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0.237</w:t>
            </w:r>
          </w:p>
        </w:tc>
        <w:tc>
          <w:tcPr>
            <w:tcW w:w="749" w:type="pct"/>
            <w:hideMark/>
          </w:tcPr>
          <w:p w14:paraId="33E175BB"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12.413</w:t>
            </w:r>
          </w:p>
        </w:tc>
        <w:tc>
          <w:tcPr>
            <w:tcW w:w="629" w:type="pct"/>
            <w:hideMark/>
          </w:tcPr>
          <w:p w14:paraId="6B6E475F"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D05354" w:rsidRPr="001B71D7" w14:paraId="2E1E4C85"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376C7D7A"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Average Collection Period</w:t>
            </w:r>
          </w:p>
        </w:tc>
        <w:tc>
          <w:tcPr>
            <w:tcW w:w="861" w:type="pct"/>
            <w:hideMark/>
          </w:tcPr>
          <w:p w14:paraId="58167A9A"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-0.0137</w:t>
            </w:r>
          </w:p>
        </w:tc>
        <w:tc>
          <w:tcPr>
            <w:tcW w:w="826" w:type="pct"/>
            <w:hideMark/>
          </w:tcPr>
          <w:p w14:paraId="716A3D9C"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0.0031</w:t>
            </w:r>
          </w:p>
        </w:tc>
        <w:tc>
          <w:tcPr>
            <w:tcW w:w="749" w:type="pct"/>
            <w:hideMark/>
          </w:tcPr>
          <w:p w14:paraId="13CA7772"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-4.419</w:t>
            </w:r>
          </w:p>
        </w:tc>
        <w:tc>
          <w:tcPr>
            <w:tcW w:w="629" w:type="pct"/>
            <w:hideMark/>
          </w:tcPr>
          <w:p w14:paraId="595507E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D05354" w:rsidRPr="001B71D7" w14:paraId="356B54F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5B6A44FC"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Average Payment Period</w:t>
            </w:r>
          </w:p>
        </w:tc>
        <w:tc>
          <w:tcPr>
            <w:tcW w:w="861" w:type="pct"/>
            <w:hideMark/>
          </w:tcPr>
          <w:p w14:paraId="16E55A01"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-0.0068</w:t>
            </w:r>
          </w:p>
        </w:tc>
        <w:tc>
          <w:tcPr>
            <w:tcW w:w="826" w:type="pct"/>
            <w:hideMark/>
          </w:tcPr>
          <w:p w14:paraId="77BAA5C3"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0.0023</w:t>
            </w:r>
          </w:p>
        </w:tc>
        <w:tc>
          <w:tcPr>
            <w:tcW w:w="749" w:type="pct"/>
            <w:hideMark/>
          </w:tcPr>
          <w:p w14:paraId="4E761C0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-2.957</w:t>
            </w:r>
          </w:p>
        </w:tc>
        <w:tc>
          <w:tcPr>
            <w:tcW w:w="629" w:type="pct"/>
            <w:hideMark/>
          </w:tcPr>
          <w:p w14:paraId="241E31DB"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0.004</w:t>
            </w:r>
          </w:p>
        </w:tc>
      </w:tr>
      <w:tr w:rsidR="00D05354" w:rsidRPr="001B71D7" w14:paraId="20CBA127"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71A70FE5"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861" w:type="pct"/>
            <w:hideMark/>
          </w:tcPr>
          <w:p w14:paraId="3119BCAD"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-0.0091</w:t>
            </w:r>
          </w:p>
        </w:tc>
        <w:tc>
          <w:tcPr>
            <w:tcW w:w="826" w:type="pct"/>
            <w:hideMark/>
          </w:tcPr>
          <w:p w14:paraId="436815A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0.0027</w:t>
            </w:r>
          </w:p>
        </w:tc>
        <w:tc>
          <w:tcPr>
            <w:tcW w:w="749" w:type="pct"/>
            <w:hideMark/>
          </w:tcPr>
          <w:p w14:paraId="0B14B671"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-3.370</w:t>
            </w:r>
          </w:p>
        </w:tc>
        <w:tc>
          <w:tcPr>
            <w:tcW w:w="629" w:type="pct"/>
            <w:hideMark/>
          </w:tcPr>
          <w:p w14:paraId="34A7B4B0"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0.001</w:t>
            </w:r>
          </w:p>
        </w:tc>
      </w:tr>
      <w:tr w:rsidR="00D05354" w:rsidRPr="001B71D7" w14:paraId="7EEFF317"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3EF20725"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R-squared</w:t>
            </w:r>
          </w:p>
        </w:tc>
        <w:tc>
          <w:tcPr>
            <w:tcW w:w="861" w:type="pct"/>
            <w:hideMark/>
          </w:tcPr>
          <w:p w14:paraId="6608F633"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0.673</w:t>
            </w:r>
          </w:p>
        </w:tc>
        <w:tc>
          <w:tcPr>
            <w:tcW w:w="826" w:type="pct"/>
            <w:hideMark/>
          </w:tcPr>
          <w:p w14:paraId="00D9E19E"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749" w:type="pct"/>
            <w:hideMark/>
          </w:tcPr>
          <w:p w14:paraId="41B10AC5"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629" w:type="pct"/>
            <w:hideMark/>
          </w:tcPr>
          <w:p w14:paraId="3FF6ED07"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D05354" w:rsidRPr="001B71D7" w14:paraId="67300201"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564DB97B" w14:textId="77777777" w:rsidR="00D05354" w:rsidRPr="001B71D7" w:rsidRDefault="00D05354" w:rsidP="00D05354">
            <w:pPr>
              <w:spacing w:before="0" w:line="240" w:lineRule="auto"/>
              <w:rPr>
                <w:rFonts w:eastAsia="Times New Roman" w:cs="Times New Roman"/>
                <w:szCs w:val="24"/>
              </w:rPr>
            </w:pPr>
            <w:proofErr w:type="spellStart"/>
            <w:r w:rsidRPr="001B71D7">
              <w:rPr>
                <w:rFonts w:eastAsia="Times New Roman" w:cs="Times New Roman"/>
                <w:szCs w:val="24"/>
              </w:rPr>
              <w:t>AdjustedR</w:t>
            </w:r>
            <w:proofErr w:type="spellEnd"/>
            <w:r w:rsidRPr="001B71D7">
              <w:rPr>
                <w:rFonts w:eastAsia="Times New Roman" w:cs="Times New Roman"/>
                <w:szCs w:val="24"/>
              </w:rPr>
              <w:t>-squared</w:t>
            </w:r>
          </w:p>
        </w:tc>
        <w:tc>
          <w:tcPr>
            <w:tcW w:w="861" w:type="pct"/>
            <w:hideMark/>
          </w:tcPr>
          <w:p w14:paraId="7ED194E6"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0.659</w:t>
            </w:r>
          </w:p>
        </w:tc>
        <w:tc>
          <w:tcPr>
            <w:tcW w:w="826" w:type="pct"/>
            <w:hideMark/>
          </w:tcPr>
          <w:p w14:paraId="494A2700"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749" w:type="pct"/>
            <w:hideMark/>
          </w:tcPr>
          <w:p w14:paraId="3CC7171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629" w:type="pct"/>
            <w:hideMark/>
          </w:tcPr>
          <w:p w14:paraId="3CCEDE39"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D05354" w:rsidRPr="001B71D7" w14:paraId="03943E5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37C9BD46"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F-statistic</w:t>
            </w:r>
          </w:p>
        </w:tc>
        <w:tc>
          <w:tcPr>
            <w:tcW w:w="861" w:type="pct"/>
            <w:hideMark/>
          </w:tcPr>
          <w:p w14:paraId="516F0942"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45.876</w:t>
            </w:r>
          </w:p>
        </w:tc>
        <w:tc>
          <w:tcPr>
            <w:tcW w:w="826" w:type="pct"/>
            <w:hideMark/>
          </w:tcPr>
          <w:p w14:paraId="2BC3193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749" w:type="pct"/>
            <w:hideMark/>
          </w:tcPr>
          <w:p w14:paraId="76AB56ED"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629" w:type="pct"/>
            <w:hideMark/>
          </w:tcPr>
          <w:p w14:paraId="2632BD4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D05354" w:rsidRPr="001B71D7" w14:paraId="7C759EDF"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69273DA7"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Prob(F-statistic)</w:t>
            </w:r>
          </w:p>
        </w:tc>
        <w:tc>
          <w:tcPr>
            <w:tcW w:w="861" w:type="pct"/>
            <w:hideMark/>
          </w:tcPr>
          <w:p w14:paraId="21753185"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c>
          <w:tcPr>
            <w:tcW w:w="826" w:type="pct"/>
            <w:hideMark/>
          </w:tcPr>
          <w:p w14:paraId="27F98CD7"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749" w:type="pct"/>
            <w:hideMark/>
          </w:tcPr>
          <w:p w14:paraId="2B9CDF8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629" w:type="pct"/>
            <w:hideMark/>
          </w:tcPr>
          <w:p w14:paraId="3C39476B"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D05354" w:rsidRPr="001B71D7" w14:paraId="05F64071"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475CCA65"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Number of observations</w:t>
            </w:r>
          </w:p>
        </w:tc>
        <w:tc>
          <w:tcPr>
            <w:tcW w:w="861" w:type="pct"/>
            <w:hideMark/>
          </w:tcPr>
          <w:p w14:paraId="4DCD686C"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70</w:t>
            </w:r>
          </w:p>
        </w:tc>
        <w:tc>
          <w:tcPr>
            <w:tcW w:w="826" w:type="pct"/>
            <w:hideMark/>
          </w:tcPr>
          <w:p w14:paraId="5C2BC801"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749" w:type="pct"/>
            <w:hideMark/>
          </w:tcPr>
          <w:p w14:paraId="16A4C73A"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629" w:type="pct"/>
            <w:hideMark/>
          </w:tcPr>
          <w:p w14:paraId="4A7BAF05"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D05354" w:rsidRPr="001B71D7" w14:paraId="45D40D6E"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5312D88F"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Number of firms</w:t>
            </w:r>
          </w:p>
        </w:tc>
        <w:tc>
          <w:tcPr>
            <w:tcW w:w="861" w:type="pct"/>
            <w:hideMark/>
          </w:tcPr>
          <w:p w14:paraId="150AD7EB"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7</w:t>
            </w:r>
          </w:p>
        </w:tc>
        <w:tc>
          <w:tcPr>
            <w:tcW w:w="826" w:type="pct"/>
            <w:hideMark/>
          </w:tcPr>
          <w:p w14:paraId="5C0A1069"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749" w:type="pct"/>
            <w:hideMark/>
          </w:tcPr>
          <w:p w14:paraId="09247546"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629" w:type="pct"/>
            <w:hideMark/>
          </w:tcPr>
          <w:p w14:paraId="56B3ABD6"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bl>
    <w:p w14:paraId="359E84B3" w14:textId="102D0B74" w:rsidR="00055D83" w:rsidRPr="001B71D7" w:rsidRDefault="00055D83" w:rsidP="00055D83">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 xml:space="preserve">5.0 CONCLUSIONS </w:t>
      </w:r>
    </w:p>
    <w:p w14:paraId="486106CF" w14:textId="77777777" w:rsidR="005353BF" w:rsidRPr="007A5D11" w:rsidRDefault="00D05354" w:rsidP="005353BF">
      <w:pPr>
        <w:spacing w:line="240" w:lineRule="auto"/>
        <w:rPr>
          <w:rFonts w:cs="Times New Roman"/>
          <w:color w:val="000000" w:themeColor="text1"/>
          <w:szCs w:val="24"/>
        </w:rPr>
      </w:pPr>
      <w:r w:rsidRPr="001B71D7">
        <w:rPr>
          <w:rFonts w:cs="Times New Roman"/>
          <w:color w:val="000000" w:themeColor="text1"/>
          <w:szCs w:val="24"/>
        </w:rPr>
        <w:t xml:space="preserve">The study demonstrates that effective working capital management significantly influences firm value among industrial companies listed on the NSE. Efficient accounts receivable management, reflected in shorter collection periods, signals strong liquidity control, robust customer relationships, and sound credit policies, thereby enhancing market valuation and investor confidence. Similarly, strategic accounts payable management requires balancing short-term liquidity gains with long-term supplier relationships; excessive payment delays may indicate financial distress and reduce firm value, whereas timely, well-communicated payments support sustainable value creation. Inventory management also plays a critical role: the inverse relationship between inventory conversion cycles and firm value underscores the importance of agile, optimized inventory practices. Employing advanced forecasting, just-in-time systems, and integrated supply chains allows firms to reduce holding times while maintaining operational flexibility, improving resource allocation, and boosting shareholder returns. Collectively, these findings </w:t>
      </w:r>
      <w:r w:rsidRPr="001B71D7">
        <w:rPr>
          <w:rFonts w:cs="Times New Roman"/>
          <w:color w:val="000000" w:themeColor="text1"/>
          <w:szCs w:val="24"/>
        </w:rPr>
        <w:lastRenderedPageBreak/>
        <w:t xml:space="preserve">highlight that proactive, strategically aligned working capital practices are fundamental drivers of sustainable </w:t>
      </w:r>
      <w:r w:rsidRPr="007A5D11">
        <w:rPr>
          <w:rFonts w:cs="Times New Roman"/>
          <w:color w:val="000000" w:themeColor="text1"/>
          <w:szCs w:val="24"/>
        </w:rPr>
        <w:t>financial performance and firm valuation.</w:t>
      </w:r>
    </w:p>
    <w:p w14:paraId="5CDEE861" w14:textId="353188FC" w:rsidR="005353BF" w:rsidRPr="007A5D11" w:rsidRDefault="005353BF" w:rsidP="005353BF">
      <w:pPr>
        <w:spacing w:line="240" w:lineRule="auto"/>
        <w:rPr>
          <w:rFonts w:cs="Times New Roman"/>
          <w:color w:val="000000" w:themeColor="text1"/>
          <w:szCs w:val="24"/>
        </w:rPr>
      </w:pPr>
      <w:r w:rsidRPr="007A5D11">
        <w:rPr>
          <w:rFonts w:cs="Times New Roman"/>
          <w:b/>
          <w:bCs/>
          <w:color w:val="000000" w:themeColor="text1"/>
          <w:sz w:val="28"/>
          <w:szCs w:val="24"/>
        </w:rPr>
        <w:t>Limitations of the Study</w:t>
      </w:r>
    </w:p>
    <w:p w14:paraId="42CD0A99" w14:textId="6E85A648" w:rsidR="005353BF" w:rsidRPr="007A5D11" w:rsidRDefault="005353BF" w:rsidP="005353BF">
      <w:pPr>
        <w:spacing w:line="240" w:lineRule="auto"/>
        <w:rPr>
          <w:rFonts w:cs="Times New Roman"/>
          <w:color w:val="000000" w:themeColor="text1"/>
          <w:szCs w:val="24"/>
        </w:rPr>
      </w:pPr>
      <w:r w:rsidRPr="007A5D11">
        <w:rPr>
          <w:rFonts w:cs="Times New Roman"/>
          <w:color w:val="000000" w:themeColor="text1"/>
          <w:lang w:val="en-GB"/>
        </w:rPr>
        <w:t>The study mitigated historical limitations of secondary data by using the most recent available records. Anticipating concerns over financial statement authenticity from creative accounting, it excluded entities with over a year of missing data and relied solely on verified reports from reputable sources, including the NSE and official corporate websites.</w:t>
      </w:r>
    </w:p>
    <w:p w14:paraId="750144BF" w14:textId="7E52FE3F" w:rsidR="00055D83" w:rsidRPr="007A5D11" w:rsidRDefault="00055D83" w:rsidP="00D26C8B">
      <w:pPr>
        <w:spacing w:line="240" w:lineRule="auto"/>
        <w:rPr>
          <w:rFonts w:cs="Times New Roman"/>
          <w:b/>
          <w:bCs/>
          <w:color w:val="000000" w:themeColor="text1"/>
          <w:sz w:val="28"/>
          <w:szCs w:val="28"/>
        </w:rPr>
      </w:pPr>
      <w:r w:rsidRPr="007A5D11">
        <w:rPr>
          <w:rFonts w:cs="Times New Roman"/>
          <w:b/>
          <w:bCs/>
          <w:color w:val="000000" w:themeColor="text1"/>
          <w:sz w:val="28"/>
          <w:szCs w:val="28"/>
        </w:rPr>
        <w:t>6.0 RECOMMENDATIONS</w:t>
      </w:r>
    </w:p>
    <w:p w14:paraId="5442B390" w14:textId="77777777" w:rsidR="003B20C5" w:rsidRPr="001B71D7" w:rsidRDefault="003B20C5" w:rsidP="003B20C5">
      <w:pPr>
        <w:spacing w:before="0" w:line="240" w:lineRule="auto"/>
      </w:pPr>
      <w:r w:rsidRPr="007A5D11">
        <w:t>Manufacturing companies should prioritize comprehensive credit risk assessment systems that integrate traditional financial metrics with alternative</w:t>
      </w:r>
      <w:r w:rsidRPr="001B71D7">
        <w:t xml:space="preserve"> data sources to evaluate customer creditworthiness. Such systems enable tailored credit terms, automated payment reminders, and early warning mechanisms for potential defaults, while incentives like graduated discounts can encourage prompt payments. Regular portfolio reviews using aging analysis and trend identification help preempt cash flow disruptions.</w:t>
      </w:r>
    </w:p>
    <w:p w14:paraId="1DEF80C5" w14:textId="77777777" w:rsidR="003B20C5" w:rsidRPr="001B71D7" w:rsidRDefault="003B20C5" w:rsidP="003B20C5">
      <w:pPr>
        <w:spacing w:before="0" w:line="240" w:lineRule="auto"/>
      </w:pPr>
    </w:p>
    <w:p w14:paraId="082BB6CC" w14:textId="77777777" w:rsidR="003B20C5" w:rsidRPr="001B71D7" w:rsidRDefault="003B20C5" w:rsidP="003B20C5">
      <w:pPr>
        <w:spacing w:before="0" w:line="240" w:lineRule="auto"/>
      </w:pPr>
      <w:r w:rsidRPr="001B71D7">
        <w:t>Equally, firms should cultivate strategic supplier partnerships that extend beyond transactional interactions to mutually beneficial collaborations. Transparent payment schedules, shared performance metrics, and supply chain financing solutions can align supplier cash flow needs with buyer working capital objectives. Systematic evaluation of early payment discounts against alternative capital uses, alongside performance reviews incorporating payment efficiency, supports holistic supply chain excellence.</w:t>
      </w:r>
    </w:p>
    <w:p w14:paraId="1010708D" w14:textId="77777777" w:rsidR="003B20C5" w:rsidRPr="001B71D7" w:rsidRDefault="003B20C5" w:rsidP="003B20C5">
      <w:pPr>
        <w:spacing w:before="0" w:line="240" w:lineRule="auto"/>
      </w:pPr>
    </w:p>
    <w:p w14:paraId="61BA8CCA" w14:textId="77777777" w:rsidR="003B20C5" w:rsidRPr="001B71D7" w:rsidRDefault="003B20C5" w:rsidP="003B20C5">
      <w:pPr>
        <w:spacing w:before="0" w:line="240" w:lineRule="auto"/>
      </w:pPr>
      <w:r w:rsidRPr="001B71D7">
        <w:t>Advanced inventory optimization technologies, including AI-driven demand forecasting, IoT-enabled tracking, and automated reordering, can enhance inventory management. Category-specific policies, obsolescence risk assessments, and agile production planning reduce holding times while maintaining service levels. Integrating these systems with supplier and customer interfaces improves supply chain visibility and coordination.</w:t>
      </w:r>
    </w:p>
    <w:p w14:paraId="4CB80ABB" w14:textId="77777777" w:rsidR="003B20C5" w:rsidRPr="001B71D7" w:rsidRDefault="003B20C5" w:rsidP="003B20C5">
      <w:pPr>
        <w:spacing w:before="0" w:line="240" w:lineRule="auto"/>
      </w:pPr>
    </w:p>
    <w:p w14:paraId="648B633B" w14:textId="1E3880FF" w:rsidR="00D16476" w:rsidRPr="001B71D7" w:rsidRDefault="003B20C5" w:rsidP="003B20C5">
      <w:pPr>
        <w:spacing w:before="0" w:line="240" w:lineRule="auto"/>
      </w:pPr>
      <w:r w:rsidRPr="001B71D7">
        <w:t>Finally, developing integrated working capital management frameworks that link receivables, payables, and inventory fosters cross-functional collaboration and performance monitoring. Benchmarking and scenario-based stress testing strengthen organizational resilience. Future research should explore non-linear relationships among working capital components, industry-specific strategies during economic disruptions, and qualitative factors such as supplier relationships and technology adoption.</w:t>
      </w:r>
    </w:p>
    <w:p w14:paraId="41850531" w14:textId="77777777" w:rsidR="00A1718F" w:rsidRPr="00740879" w:rsidRDefault="00A1718F" w:rsidP="00A1718F">
      <w:pPr>
        <w:rPr>
          <w:highlight w:val="yellow"/>
        </w:rPr>
      </w:pPr>
      <w:r w:rsidRPr="00740879">
        <w:rPr>
          <w:highlight w:val="yellow"/>
        </w:rPr>
        <w:t>Disclaimer (Artificial intelligence)</w:t>
      </w:r>
    </w:p>
    <w:p w14:paraId="27250471" w14:textId="77777777" w:rsidR="00A1718F" w:rsidRPr="00740879" w:rsidRDefault="00A1718F" w:rsidP="00A1718F">
      <w:pPr>
        <w:rPr>
          <w:highlight w:val="yellow"/>
        </w:rPr>
      </w:pPr>
      <w:r w:rsidRPr="00740879">
        <w:rPr>
          <w:highlight w:val="yellow"/>
        </w:rPr>
        <w:t xml:space="preserve">Option 1: </w:t>
      </w:r>
    </w:p>
    <w:p w14:paraId="52281C25" w14:textId="77777777" w:rsidR="00A1718F" w:rsidRPr="00740879" w:rsidRDefault="00A1718F" w:rsidP="00A1718F">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67CCA103" w14:textId="77777777" w:rsidR="00A1718F" w:rsidRPr="00740879" w:rsidRDefault="00A1718F" w:rsidP="00A1718F">
      <w:pPr>
        <w:rPr>
          <w:highlight w:val="yellow"/>
        </w:rPr>
      </w:pPr>
      <w:r w:rsidRPr="00740879">
        <w:rPr>
          <w:highlight w:val="yellow"/>
        </w:rPr>
        <w:t xml:space="preserve">Option 2: </w:t>
      </w:r>
    </w:p>
    <w:p w14:paraId="3049EDAC" w14:textId="77777777" w:rsidR="00A1718F" w:rsidRPr="00740879" w:rsidRDefault="00A1718F" w:rsidP="00A1718F">
      <w:pPr>
        <w:rPr>
          <w:highlight w:val="yellow"/>
        </w:rPr>
      </w:pPr>
      <w:r w:rsidRPr="00740879">
        <w:rPr>
          <w:highlight w:val="yellow"/>
        </w:rPr>
        <w:lastRenderedPageBreak/>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2FA372" w14:textId="77777777" w:rsidR="00A1718F" w:rsidRPr="00740879" w:rsidRDefault="00A1718F" w:rsidP="00A1718F">
      <w:pPr>
        <w:rPr>
          <w:highlight w:val="yellow"/>
        </w:rPr>
      </w:pPr>
      <w:r w:rsidRPr="00740879">
        <w:rPr>
          <w:highlight w:val="yellow"/>
        </w:rPr>
        <w:t>Details of the AI usage are given below:</w:t>
      </w:r>
    </w:p>
    <w:p w14:paraId="019E1C97" w14:textId="77777777" w:rsidR="00A1718F" w:rsidRPr="00740879" w:rsidRDefault="00A1718F" w:rsidP="00A1718F">
      <w:pPr>
        <w:rPr>
          <w:highlight w:val="yellow"/>
        </w:rPr>
      </w:pPr>
      <w:r w:rsidRPr="00740879">
        <w:rPr>
          <w:highlight w:val="yellow"/>
        </w:rPr>
        <w:t>1.</w:t>
      </w:r>
    </w:p>
    <w:p w14:paraId="29BB8DF8" w14:textId="77777777" w:rsidR="00A1718F" w:rsidRPr="00740879" w:rsidRDefault="00A1718F" w:rsidP="00A1718F">
      <w:pPr>
        <w:rPr>
          <w:highlight w:val="yellow"/>
        </w:rPr>
      </w:pPr>
      <w:r w:rsidRPr="00740879">
        <w:rPr>
          <w:highlight w:val="yellow"/>
        </w:rPr>
        <w:t>2.</w:t>
      </w:r>
    </w:p>
    <w:p w14:paraId="1B423704" w14:textId="77777777" w:rsidR="00A1718F" w:rsidRPr="00D047BB" w:rsidRDefault="00A1718F" w:rsidP="00A1718F">
      <w:r w:rsidRPr="00740879">
        <w:rPr>
          <w:highlight w:val="yellow"/>
        </w:rPr>
        <w:t>3.</w:t>
      </w:r>
    </w:p>
    <w:p w14:paraId="526AC9EA" w14:textId="77777777" w:rsidR="00D16476" w:rsidRPr="001B71D7" w:rsidRDefault="00D16476" w:rsidP="00D16476">
      <w:pPr>
        <w:spacing w:before="0" w:after="160" w:line="240" w:lineRule="auto"/>
        <w:rPr>
          <w:rFonts w:cs="Times New Roman"/>
          <w:color w:val="000000" w:themeColor="text1"/>
          <w:szCs w:val="24"/>
        </w:rPr>
      </w:pPr>
    </w:p>
    <w:p w14:paraId="03B946E2" w14:textId="2EF59687" w:rsidR="00055D83" w:rsidRPr="001B71D7" w:rsidRDefault="00055D83" w:rsidP="00055D83">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REFERENCES</w:t>
      </w:r>
    </w:p>
    <w:p w14:paraId="5A202687" w14:textId="77777777" w:rsidR="00B55CEF" w:rsidRPr="001B71D7" w:rsidRDefault="00B55CEF" w:rsidP="00B55CEF">
      <w:pPr>
        <w:pStyle w:val="NormalWeb"/>
        <w:spacing w:before="0" w:beforeAutospacing="0" w:after="0" w:afterAutospacing="0"/>
        <w:ind w:left="720" w:hanging="720"/>
        <w:rPr>
          <w:color w:val="000000" w:themeColor="text1"/>
        </w:rPr>
      </w:pPr>
    </w:p>
    <w:p w14:paraId="5B11304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Adan, Y. A. (2021). Effect of macroeconomic factors on the firm value of listed commercial banks in Kenya. Doctoral dissertation, </w:t>
      </w:r>
      <w:proofErr w:type="spellStart"/>
      <w:r w:rsidRPr="001B71D7">
        <w:rPr>
          <w:color w:val="000000" w:themeColor="text1"/>
        </w:rPr>
        <w:t>Kca</w:t>
      </w:r>
      <w:proofErr w:type="spellEnd"/>
      <w:r w:rsidRPr="001B71D7">
        <w:rPr>
          <w:color w:val="000000" w:themeColor="text1"/>
        </w:rPr>
        <w:t xml:space="preserve"> University.</w:t>
      </w:r>
    </w:p>
    <w:p w14:paraId="3D76550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Adıgüzel, G. (2022). Trade Receivables Collection Period and Firm Value: Evidence from Listed Turkish Industrials. </w:t>
      </w:r>
      <w:proofErr w:type="spellStart"/>
      <w:r w:rsidRPr="001B71D7">
        <w:rPr>
          <w:color w:val="000000" w:themeColor="text1"/>
        </w:rPr>
        <w:t>Muhasebe</w:t>
      </w:r>
      <w:proofErr w:type="spellEnd"/>
      <w:r w:rsidRPr="001B71D7">
        <w:rPr>
          <w:color w:val="000000" w:themeColor="text1"/>
        </w:rPr>
        <w:t xml:space="preserve"> Bilim </w:t>
      </w:r>
      <w:proofErr w:type="spellStart"/>
      <w:r w:rsidRPr="001B71D7">
        <w:rPr>
          <w:color w:val="000000" w:themeColor="text1"/>
        </w:rPr>
        <w:t>Dünyası</w:t>
      </w:r>
      <w:proofErr w:type="spellEnd"/>
      <w:r w:rsidRPr="001B71D7">
        <w:rPr>
          <w:color w:val="000000" w:themeColor="text1"/>
        </w:rPr>
        <w:t xml:space="preserve"> Dergisi, 24(1), 132-152.</w:t>
      </w:r>
    </w:p>
    <w:p w14:paraId="7FA8FF0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Adiputra, I. G., &amp; Hermawan, A. (2020). The effect of corporate social responsibility, firm size, dividend policy and liquidity on firm value: Evidence from manufacturing companies in Indonesia. International Journal of Innovation, Creativity and Change, 11(6), 325–338.</w:t>
      </w:r>
    </w:p>
    <w:p w14:paraId="114D8C3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Akinlabi, B. H. (2021). Effect of inventory management practices on operational performance of flour milling companies in Nigeria. International Academy Journal of Management, Marketing and Entrepreneurial Studies, 8(2), 137-174.</w:t>
      </w:r>
    </w:p>
    <w:p w14:paraId="6707C7A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Akomeah</w:t>
      </w:r>
      <w:proofErr w:type="spellEnd"/>
      <w:r w:rsidRPr="001B71D7">
        <w:rPr>
          <w:color w:val="000000" w:themeColor="text1"/>
        </w:rPr>
        <w:t>, J., &amp; Frimpong, S. (2019). Effect of working capital management on profitability of listed manufacturing companies in Ghana. International Journal of Finance and Banking Research, 5(2), 29-35.</w:t>
      </w:r>
    </w:p>
    <w:p w14:paraId="3083570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Alalami</w:t>
      </w:r>
      <w:proofErr w:type="spellEnd"/>
      <w:r w:rsidRPr="001B71D7">
        <w:rPr>
          <w:color w:val="000000" w:themeColor="text1"/>
        </w:rPr>
        <w:t xml:space="preserve">, A., &amp; Hakim, S. (2021). The Impact </w:t>
      </w:r>
      <w:proofErr w:type="gramStart"/>
      <w:r w:rsidRPr="001B71D7">
        <w:rPr>
          <w:color w:val="000000" w:themeColor="text1"/>
        </w:rPr>
        <w:t>Of</w:t>
      </w:r>
      <w:proofErr w:type="gramEnd"/>
      <w:r w:rsidRPr="001B71D7">
        <w:rPr>
          <w:color w:val="000000" w:themeColor="text1"/>
        </w:rPr>
        <w:t xml:space="preserve"> Account Receivable </w:t>
      </w:r>
      <w:proofErr w:type="gramStart"/>
      <w:r w:rsidRPr="001B71D7">
        <w:rPr>
          <w:color w:val="000000" w:themeColor="text1"/>
        </w:rPr>
        <w:t>In</w:t>
      </w:r>
      <w:proofErr w:type="gramEnd"/>
      <w:r w:rsidRPr="001B71D7">
        <w:rPr>
          <w:color w:val="000000" w:themeColor="text1"/>
        </w:rPr>
        <w:t xml:space="preserve"> </w:t>
      </w:r>
      <w:proofErr w:type="spellStart"/>
      <w:r w:rsidRPr="001B71D7">
        <w:rPr>
          <w:color w:val="000000" w:themeColor="text1"/>
        </w:rPr>
        <w:t>Companies'value</w:t>
      </w:r>
      <w:proofErr w:type="spellEnd"/>
      <w:r w:rsidRPr="001B71D7">
        <w:rPr>
          <w:color w:val="000000" w:themeColor="text1"/>
        </w:rPr>
        <w:t xml:space="preserve">: A Study </w:t>
      </w:r>
      <w:proofErr w:type="gramStart"/>
      <w:r w:rsidRPr="001B71D7">
        <w:rPr>
          <w:color w:val="000000" w:themeColor="text1"/>
        </w:rPr>
        <w:t>Of</w:t>
      </w:r>
      <w:proofErr w:type="gramEnd"/>
      <w:r w:rsidRPr="001B71D7">
        <w:rPr>
          <w:color w:val="000000" w:themeColor="text1"/>
        </w:rPr>
        <w:t xml:space="preserve"> Saudi Companies (Radwa Trading Company). </w:t>
      </w:r>
      <w:proofErr w:type="spellStart"/>
      <w:r w:rsidRPr="001B71D7">
        <w:rPr>
          <w:color w:val="000000" w:themeColor="text1"/>
        </w:rPr>
        <w:t>PalArch's</w:t>
      </w:r>
      <w:proofErr w:type="spellEnd"/>
      <w:r w:rsidRPr="001B71D7">
        <w:rPr>
          <w:color w:val="000000" w:themeColor="text1"/>
        </w:rPr>
        <w:t xml:space="preserve"> Journal of Archaeology of Egypt/Egyptology, 18(13).</w:t>
      </w:r>
    </w:p>
    <w:p w14:paraId="39AF00C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Alchian</w:t>
      </w:r>
      <w:proofErr w:type="spellEnd"/>
      <w:r w:rsidRPr="001B71D7">
        <w:rPr>
          <w:color w:val="000000" w:themeColor="text1"/>
        </w:rPr>
        <w:t xml:space="preserve">, A. A., &amp; </w:t>
      </w:r>
      <w:proofErr w:type="spellStart"/>
      <w:r w:rsidRPr="001B71D7">
        <w:rPr>
          <w:color w:val="000000" w:themeColor="text1"/>
        </w:rPr>
        <w:t>Demsetz</w:t>
      </w:r>
      <w:proofErr w:type="spellEnd"/>
      <w:r w:rsidRPr="001B71D7">
        <w:rPr>
          <w:color w:val="000000" w:themeColor="text1"/>
        </w:rPr>
        <w:t>, H. (2011). Economic Organization. American Economic Review, 58, 211221.</w:t>
      </w:r>
    </w:p>
    <w:p w14:paraId="09BD026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Al-</w:t>
      </w:r>
      <w:proofErr w:type="spellStart"/>
      <w:r w:rsidRPr="001B71D7">
        <w:rPr>
          <w:color w:val="000000" w:themeColor="text1"/>
        </w:rPr>
        <w:t>Mawsheki</w:t>
      </w:r>
      <w:proofErr w:type="spellEnd"/>
      <w:r w:rsidRPr="001B71D7">
        <w:rPr>
          <w:color w:val="000000" w:themeColor="text1"/>
        </w:rPr>
        <w:t xml:space="preserve">, R. M., Ahmad, N. B., &amp; Nordin, N. B. (2019). The effects of efficient working capital management and working capital policies on firm performance: Evidence from Malaysian manufacturing firms. </w:t>
      </w:r>
      <w:r w:rsidRPr="001B71D7">
        <w:rPr>
          <w:color w:val="000000" w:themeColor="text1"/>
        </w:rPr>
        <w:lastRenderedPageBreak/>
        <w:t>International Journal of Academic Research in Accounting, Finance and Management Sciences, 9(3), 59-69.</w:t>
      </w:r>
    </w:p>
    <w:p w14:paraId="3312AAF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Altawalbeh</w:t>
      </w:r>
      <w:proofErr w:type="spellEnd"/>
      <w:r w:rsidRPr="001B71D7">
        <w:rPr>
          <w:color w:val="000000" w:themeColor="text1"/>
        </w:rPr>
        <w:t xml:space="preserve"> M.A.F, (2020). Impact of working capital management on financial performance: evidence from Jordan, International Journal of Academic Research in Accounting, Finance, and Management Sciences 10 (1): 308-315</w:t>
      </w:r>
    </w:p>
    <w:p w14:paraId="6E34EB3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Althaqafi</w:t>
      </w:r>
      <w:proofErr w:type="spellEnd"/>
      <w:r w:rsidRPr="001B71D7">
        <w:rPr>
          <w:color w:val="000000" w:themeColor="text1"/>
        </w:rPr>
        <w:t>, T., (2020) Effect of inventory management on financial performance: evidence from the Saudi manufacturing company. European Journal of Accounting, Auditing, and Finance Research, 8, (10),13-26.</w:t>
      </w:r>
    </w:p>
    <w:p w14:paraId="7F308CFF"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Anorue</w:t>
      </w:r>
      <w:proofErr w:type="spellEnd"/>
      <w:r w:rsidRPr="001B71D7">
        <w:rPr>
          <w:color w:val="000000" w:themeColor="text1"/>
        </w:rPr>
        <w:t xml:space="preserve">, H. C., &amp; Ugwoke, E. O. (2022). Management of Account Receivable and Payable for Improved Financial Performance of </w:t>
      </w:r>
      <w:proofErr w:type="gramStart"/>
      <w:r w:rsidRPr="001B71D7">
        <w:rPr>
          <w:color w:val="000000" w:themeColor="text1"/>
        </w:rPr>
        <w:t>Small Scale</w:t>
      </w:r>
      <w:proofErr w:type="gramEnd"/>
      <w:r w:rsidRPr="001B71D7">
        <w:rPr>
          <w:color w:val="000000" w:themeColor="text1"/>
        </w:rPr>
        <w:t xml:space="preserve"> Industries in Imo State, Nigeria. International Journal of Research and Innovation in Social Science, 6(4), 100-107.</w:t>
      </w:r>
    </w:p>
    <w:p w14:paraId="049E01C2"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Asuzu</w:t>
      </w:r>
      <w:proofErr w:type="spellEnd"/>
      <w:r w:rsidRPr="001B71D7">
        <w:rPr>
          <w:color w:val="000000" w:themeColor="text1"/>
        </w:rPr>
        <w:t xml:space="preserve">, P. U., </w:t>
      </w:r>
      <w:proofErr w:type="spellStart"/>
      <w:r w:rsidRPr="001B71D7">
        <w:rPr>
          <w:color w:val="000000" w:themeColor="text1"/>
        </w:rPr>
        <w:t>Echekoba</w:t>
      </w:r>
      <w:proofErr w:type="spellEnd"/>
      <w:r w:rsidRPr="001B71D7">
        <w:rPr>
          <w:color w:val="000000" w:themeColor="text1"/>
        </w:rPr>
        <w:t xml:space="preserve">, F. N., </w:t>
      </w:r>
      <w:proofErr w:type="spellStart"/>
      <w:r w:rsidRPr="001B71D7">
        <w:rPr>
          <w:color w:val="000000" w:themeColor="text1"/>
        </w:rPr>
        <w:t>Ubesie</w:t>
      </w:r>
      <w:proofErr w:type="spellEnd"/>
      <w:r w:rsidRPr="001B71D7">
        <w:rPr>
          <w:color w:val="000000" w:themeColor="text1"/>
        </w:rPr>
        <w:t xml:space="preserve">, C. M., &amp; </w:t>
      </w:r>
      <w:proofErr w:type="spellStart"/>
      <w:r w:rsidRPr="001B71D7">
        <w:rPr>
          <w:color w:val="000000" w:themeColor="text1"/>
        </w:rPr>
        <w:t>Egbunike</w:t>
      </w:r>
      <w:proofErr w:type="spellEnd"/>
      <w:r w:rsidRPr="001B71D7">
        <w:rPr>
          <w:color w:val="000000" w:themeColor="text1"/>
        </w:rPr>
        <w:t xml:space="preserve">, F. C. (2019). Inventory turnover and firm performance Of Quoted Consumer Goods Manufacturing Firms </w:t>
      </w:r>
      <w:proofErr w:type="gramStart"/>
      <w:r w:rsidRPr="001B71D7">
        <w:rPr>
          <w:color w:val="000000" w:themeColor="text1"/>
        </w:rPr>
        <w:t>In</w:t>
      </w:r>
      <w:proofErr w:type="gramEnd"/>
      <w:r w:rsidRPr="001B71D7">
        <w:rPr>
          <w:color w:val="000000" w:themeColor="text1"/>
        </w:rPr>
        <w:t xml:space="preserve"> Nigeria. Journal of Global Accounting, 6(3), 97-123.</w:t>
      </w:r>
    </w:p>
    <w:p w14:paraId="3CB6315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Bellouma</w:t>
      </w:r>
      <w:proofErr w:type="spellEnd"/>
      <w:r w:rsidRPr="001B71D7">
        <w:rPr>
          <w:color w:val="000000" w:themeColor="text1"/>
        </w:rPr>
        <w:t>, M. (2014). Trade credit policy and agency theory: Evidence from Tunisian export companies. Global Journal of Management and Business Research: Economics and Commerce, 14(3).</w:t>
      </w:r>
    </w:p>
    <w:p w14:paraId="348FA37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Belo, F., Gala, V. D., Salomao, J., &amp; Vitorino, M. A. (2022). Decomposing firm value. Journal of Financial Economics, 143(2), 619-639.</w:t>
      </w:r>
    </w:p>
    <w:p w14:paraId="057F8D7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Brooks, R. (2013). Financial Management. 2nd Edition. London: Pearson Educational Limited.</w:t>
      </w:r>
    </w:p>
    <w:p w14:paraId="0962B14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Bryman, A. (2016). Social Research Methods (5th ed.). Oxford University Press.</w:t>
      </w:r>
    </w:p>
    <w:p w14:paraId="2A388AC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Chan, J. Y. L., Leow, S. M. H., Bea, K. T., Cheng, W. K., </w:t>
      </w:r>
      <w:proofErr w:type="spellStart"/>
      <w:r w:rsidRPr="001B71D7">
        <w:rPr>
          <w:color w:val="000000" w:themeColor="text1"/>
        </w:rPr>
        <w:t>Phoong</w:t>
      </w:r>
      <w:proofErr w:type="spellEnd"/>
      <w:r w:rsidRPr="001B71D7">
        <w:rPr>
          <w:color w:val="000000" w:themeColor="text1"/>
        </w:rPr>
        <w:t>, S. W., Hong, Z. W., &amp; Chen, Y. L. (2022). Mitigating the multicollinearity problem and its machine learning approach: a review. Mathematics, 10(8), 1283.</w:t>
      </w:r>
    </w:p>
    <w:p w14:paraId="562FAEE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Chebet, E., &amp; Kitheka, S. (2019). Effects of inventory management system on firm performance–an empirical study.</w:t>
      </w:r>
    </w:p>
    <w:p w14:paraId="7E56CFB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Chindengwike</w:t>
      </w:r>
      <w:proofErr w:type="spellEnd"/>
      <w:r w:rsidRPr="001B71D7">
        <w:rPr>
          <w:color w:val="000000" w:themeColor="text1"/>
        </w:rPr>
        <w:t>, J. D. (2024). Influence of inventory turnover on the profitability of listed manufacturing firms in Dar Es Salaam stock exchange, Tanzania. African Journal of Economic and Sustainable Development, 9(4), 273-283.</w:t>
      </w:r>
    </w:p>
    <w:p w14:paraId="636C08A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Clarke, T. (2008). Ethics, values and corporate governance. I. Ethics </w:t>
      </w:r>
      <w:proofErr w:type="gramStart"/>
      <w:r w:rsidRPr="001B71D7">
        <w:rPr>
          <w:color w:val="000000" w:themeColor="text1"/>
        </w:rPr>
        <w:t>In</w:t>
      </w:r>
      <w:proofErr w:type="gramEnd"/>
      <w:r w:rsidRPr="001B71D7">
        <w:rPr>
          <w:color w:val="000000" w:themeColor="text1"/>
        </w:rPr>
        <w:t xml:space="preserve"> </w:t>
      </w:r>
      <w:proofErr w:type="gramStart"/>
      <w:r w:rsidRPr="001B71D7">
        <w:rPr>
          <w:color w:val="000000" w:themeColor="text1"/>
        </w:rPr>
        <w:t>A</w:t>
      </w:r>
      <w:proofErr w:type="gramEnd"/>
      <w:r w:rsidRPr="001B71D7">
        <w:rPr>
          <w:color w:val="000000" w:themeColor="text1"/>
        </w:rPr>
        <w:t xml:space="preserve"> Global World, 405.</w:t>
      </w:r>
    </w:p>
    <w:p w14:paraId="4294F91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Cooper, D. R., &amp; Schindler, P. S. (2017). Business Research Methods (14th ed.). McGraw-Hill Education.</w:t>
      </w:r>
    </w:p>
    <w:p w14:paraId="6823A11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Dan, P. (2020). Account receivable management and corporate performances: </w:t>
      </w:r>
      <w:proofErr w:type="gramStart"/>
      <w:r w:rsidRPr="001B71D7">
        <w:rPr>
          <w:color w:val="000000" w:themeColor="text1"/>
        </w:rPr>
        <w:t>An empirical evidence</w:t>
      </w:r>
      <w:proofErr w:type="gramEnd"/>
      <w:r w:rsidRPr="001B71D7">
        <w:rPr>
          <w:color w:val="000000" w:themeColor="text1"/>
        </w:rPr>
        <w:t xml:space="preserve"> from quoted manufacturing companies in Nigeria. </w:t>
      </w:r>
      <w:proofErr w:type="spellStart"/>
      <w:r w:rsidRPr="001B71D7">
        <w:rPr>
          <w:color w:val="000000" w:themeColor="text1"/>
        </w:rPr>
        <w:t>Inosr</w:t>
      </w:r>
      <w:proofErr w:type="spellEnd"/>
      <w:r w:rsidRPr="001B71D7">
        <w:rPr>
          <w:color w:val="000000" w:themeColor="text1"/>
        </w:rPr>
        <w:t xml:space="preserve"> arts and management, 6(1), 116-129.</w:t>
      </w:r>
    </w:p>
    <w:p w14:paraId="39E7FE1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Daoud, J. I. (2017, December). Multicollinearity and regression analysis. In Journal of Physics: Conference Series, 949(1), 12-18.</w:t>
      </w:r>
    </w:p>
    <w:p w14:paraId="140BB98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Dary, S. K., &amp; James Jr, H. S. (2019). Does investment in trade credit matter for profitability? Evidence from publicly listed </w:t>
      </w:r>
      <w:proofErr w:type="spellStart"/>
      <w:r w:rsidRPr="001B71D7">
        <w:rPr>
          <w:color w:val="000000" w:themeColor="text1"/>
        </w:rPr>
        <w:t>agro</w:t>
      </w:r>
      <w:proofErr w:type="spellEnd"/>
      <w:r w:rsidRPr="001B71D7">
        <w:rPr>
          <w:color w:val="000000" w:themeColor="text1"/>
        </w:rPr>
        <w:t>-food firms. Research in International Business and Finance, 47, 237-250.</w:t>
      </w:r>
    </w:p>
    <w:p w14:paraId="20D975F1"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Das, K. R., &amp; Imon, A. H. M. R. (2016). A brief review of tests for normality. American Journal of Theoretical and Applied Statistics, 5(1), 5-12.</w:t>
      </w:r>
    </w:p>
    <w:p w14:paraId="518E68B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Enow, S. T., &amp; Kamala, P. (2019). The accounts payable management practices of small, medium and micro enterprises in the Cape Metropolis, South Africa. Investment management and financial innovations, (13), 77-83.</w:t>
      </w:r>
    </w:p>
    <w:p w14:paraId="5F54A10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Ernest, O. N., King, B. D., Esther, A., &amp; Michelle, A. (2019, August). The Effect of Inventory Management on Firm Performance: Controlling </w:t>
      </w:r>
      <w:proofErr w:type="gramStart"/>
      <w:r w:rsidRPr="001B71D7">
        <w:rPr>
          <w:color w:val="000000" w:themeColor="text1"/>
        </w:rPr>
        <w:t>For</w:t>
      </w:r>
      <w:proofErr w:type="gramEnd"/>
      <w:r w:rsidRPr="001B71D7">
        <w:rPr>
          <w:color w:val="000000" w:themeColor="text1"/>
        </w:rPr>
        <w:t xml:space="preserve"> Key Confounding Variables. In International Conference on Education.</w:t>
      </w:r>
    </w:p>
    <w:p w14:paraId="4CB2743E"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Etikan</w:t>
      </w:r>
      <w:proofErr w:type="spellEnd"/>
      <w:r w:rsidRPr="001B71D7">
        <w:rPr>
          <w:color w:val="000000" w:themeColor="text1"/>
        </w:rPr>
        <w:t>, I., &amp; Bala, K. (2017). Sampling and sampling methods. Biometrics &amp; Biostatistics International Journal, 5(6), 00149.</w:t>
      </w:r>
    </w:p>
    <w:p w14:paraId="75223B2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Farooq, U. (2019). Impact of inventory turnover on the profitability of non-financial sector firms in Pakistan. Journal of Finance and Accounting Research, 1(1), 34-51.</w:t>
      </w:r>
    </w:p>
    <w:p w14:paraId="3D45003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Ferris, J. M., &amp; Graddy, E. A. (1981). A contractual framework for new public management theory. International public management journal, 1(2), 225-240. </w:t>
      </w:r>
    </w:p>
    <w:p w14:paraId="1B263A4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Filbeck, G., &amp; Krueger, T. M. (2015). An analysis of working capital management results across industries. American Journal of Business.</w:t>
      </w:r>
    </w:p>
    <w:p w14:paraId="2496E97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Flynn, D. M., &amp; Uttley, J. (2021). Research Methods for Business and Management: A Guide to Writing Your Dissertation. Sage.</w:t>
      </w:r>
    </w:p>
    <w:p w14:paraId="4C879076"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Friedman, M. (1970). A theoretical framework for monetary analysis. Journal of Political Economy, 78(2), 193-238.</w:t>
      </w:r>
    </w:p>
    <w:p w14:paraId="07BDDFF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Fuspanita</w:t>
      </w:r>
      <w:proofErr w:type="spellEnd"/>
      <w:r w:rsidRPr="001B71D7">
        <w:rPr>
          <w:color w:val="000000" w:themeColor="text1"/>
        </w:rPr>
        <w:t>, D., &amp; Thamrin, H. (2024). The Effect of Inventory Management on Company Value (Empirical Study on Food and Beverage Sub-Sector Companies Listed on the Indonesia Effect Exchange in 2020-2023). Indonesian Journal of Business Analytics, 4(4), 1733-1746.</w:t>
      </w:r>
    </w:p>
    <w:p w14:paraId="1A463CE2"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Gakurya</w:t>
      </w:r>
      <w:proofErr w:type="spellEnd"/>
      <w:r w:rsidRPr="001B71D7">
        <w:rPr>
          <w:color w:val="000000" w:themeColor="text1"/>
        </w:rPr>
        <w:t xml:space="preserve">, C. F., &amp; </w:t>
      </w:r>
      <w:proofErr w:type="spellStart"/>
      <w:r w:rsidRPr="001B71D7">
        <w:rPr>
          <w:color w:val="000000" w:themeColor="text1"/>
        </w:rPr>
        <w:t>Olouch</w:t>
      </w:r>
      <w:proofErr w:type="spellEnd"/>
      <w:r w:rsidRPr="001B71D7">
        <w:rPr>
          <w:color w:val="000000" w:themeColor="text1"/>
        </w:rPr>
        <w:t>, J. (2018). Effect of accounts payable management on performance of coastal county government ministries. International Journal of Business Management and Processes (ISSN 2616-3209), 4(2), 12-12.</w:t>
      </w:r>
    </w:p>
    <w:p w14:paraId="139A736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Garba, S., Mourad, B., &amp; </w:t>
      </w:r>
      <w:proofErr w:type="spellStart"/>
      <w:r w:rsidRPr="001B71D7">
        <w:rPr>
          <w:color w:val="000000" w:themeColor="text1"/>
        </w:rPr>
        <w:t>Chamo</w:t>
      </w:r>
      <w:proofErr w:type="spellEnd"/>
      <w:r w:rsidRPr="001B71D7">
        <w:rPr>
          <w:color w:val="000000" w:themeColor="text1"/>
        </w:rPr>
        <w:t>, M. A. (2020). The effect of inventory turnover period on the profitability of listed Nigerian conglomerate companies. International journal of financial research, 11(2), 287-292.</w:t>
      </w:r>
    </w:p>
    <w:p w14:paraId="274942C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Gitman, L. J., Bacon, P. W., &amp; Joehnk, M. D. (1984). Fundamentals of Cash Management Theory and Practice. The Journal of Cost Analysis, 1(1), 75-99.</w:t>
      </w:r>
    </w:p>
    <w:p w14:paraId="4094A84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Gujarati, D. (2014). Econometrics by example. Bloomsbury Publishing.</w:t>
      </w:r>
    </w:p>
    <w:p w14:paraId="2207DA7F"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Gunay, F., &amp; Cokins, G. (2021). Comparative measurement of working capital efficiency for Borsa Istanbul restaurants and hotels for the covid-19 period and previous quarters. University of South Florida M3 Center Publishing, 5(2021), 1-17.</w:t>
      </w:r>
    </w:p>
    <w:p w14:paraId="225610E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Gworo</w:t>
      </w:r>
      <w:proofErr w:type="spellEnd"/>
      <w:r w:rsidRPr="001B71D7">
        <w:rPr>
          <w:color w:val="000000" w:themeColor="text1"/>
        </w:rPr>
        <w:t>, C. O. (2019). Earnings volatility and market value of companies listed at the Nairobi Securities Exchange market. The Strategic Journal of Business &amp; Change Management, 6(1), 17–26.</w:t>
      </w:r>
    </w:p>
    <w:p w14:paraId="5AD354C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Hassan, U. O. &amp; </w:t>
      </w:r>
      <w:proofErr w:type="spellStart"/>
      <w:r w:rsidRPr="001B71D7">
        <w:rPr>
          <w:color w:val="000000" w:themeColor="text1"/>
        </w:rPr>
        <w:t>Mberia</w:t>
      </w:r>
      <w:proofErr w:type="spellEnd"/>
      <w:r w:rsidRPr="001B71D7">
        <w:rPr>
          <w:color w:val="000000" w:themeColor="text1"/>
        </w:rPr>
        <w:t xml:space="preserve">, H. (2017). Effect of working capital management on </w:t>
      </w:r>
      <w:proofErr w:type="spellStart"/>
      <w:r w:rsidRPr="001B71D7">
        <w:rPr>
          <w:color w:val="000000" w:themeColor="text1"/>
        </w:rPr>
        <w:t>firm’financial</w:t>
      </w:r>
      <w:proofErr w:type="spellEnd"/>
      <w:r w:rsidRPr="001B71D7">
        <w:rPr>
          <w:color w:val="000000" w:themeColor="text1"/>
        </w:rPr>
        <w:t xml:space="preserve"> performance: A survey of water processing firms in Puntland. International Journal of Economics, Commerce and Management, 31(2), 106-119.</w:t>
      </w:r>
    </w:p>
    <w:p w14:paraId="7868D8A5"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Hui, E. C. (2018). Real Estate Investment: A Strategic Approach. Routledge.</w:t>
      </w:r>
    </w:p>
    <w:p w14:paraId="694C172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Huimin, M., &amp; </w:t>
      </w:r>
      <w:proofErr w:type="spellStart"/>
      <w:r w:rsidRPr="001B71D7">
        <w:rPr>
          <w:color w:val="000000" w:themeColor="text1"/>
        </w:rPr>
        <w:t>Matchado</w:t>
      </w:r>
      <w:proofErr w:type="spellEnd"/>
      <w:r w:rsidRPr="001B71D7">
        <w:rPr>
          <w:color w:val="000000" w:themeColor="text1"/>
        </w:rPr>
        <w:t>, L. (2019). Impact of Capital Budget Decision on Financial Performance of Commercial Banks in Malawi. Innovation and Management.</w:t>
      </w:r>
    </w:p>
    <w:p w14:paraId="2721B5BF"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Ikechukwu, O. I., &amp; </w:t>
      </w:r>
      <w:proofErr w:type="spellStart"/>
      <w:r w:rsidRPr="001B71D7">
        <w:rPr>
          <w:color w:val="000000" w:themeColor="text1"/>
        </w:rPr>
        <w:t>Nwakaego</w:t>
      </w:r>
      <w:proofErr w:type="spellEnd"/>
      <w:r w:rsidRPr="001B71D7">
        <w:rPr>
          <w:color w:val="000000" w:themeColor="text1"/>
        </w:rPr>
        <w:t>, D. A. (2018). The effect of accounts payable ratio on the financial performance of food and beverages manufacturing companies in Nigeria. Journal of Research in Business and Management, 3(9), 15-21.</w:t>
      </w:r>
    </w:p>
    <w:p w14:paraId="5346342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Jensen, M. C. (1986). Agency costs of free cash flow, corporate finance, and takeovers. The American economic review, 76(2), 323-329. </w:t>
      </w:r>
    </w:p>
    <w:p w14:paraId="474BBF3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Jensen, M. C. (2001). Value maximization, stakeholder theory, and the corporate objective function. Journal of applied corporate finance, 14(3), 8-21.</w:t>
      </w:r>
    </w:p>
    <w:p w14:paraId="3FF39545"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Jescah</w:t>
      </w:r>
      <w:proofErr w:type="spellEnd"/>
      <w:r w:rsidRPr="001B71D7">
        <w:rPr>
          <w:color w:val="000000" w:themeColor="text1"/>
        </w:rPr>
        <w:t>, N. M., Dennis, B., &amp; Fredrick, K. (2024). Effect of Accounts Receivable Practice on Value of Listed Manufacturing Firms at Nairobi Securities Exchange in Kenya. Journal of Accounting and Finance in Emerging Economies, 10(3), 353-360.</w:t>
      </w:r>
    </w:p>
    <w:p w14:paraId="7EB24E4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Kangogo, C. C., &amp; Irungu, A. M. (2020). Inventory conversion period and financial performance of selected firms listed at Nairobi Securities Exchange. Journal of Finance and Accounting, 4(5), 55-76.</w:t>
      </w:r>
    </w:p>
    <w:p w14:paraId="1973092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Kariuki, M. J. (2019). Inventory Management Practices and Public Health Institutions Performance in Nairobi City County, Kenya (Doctoral dissertation, Kenyatta University).</w:t>
      </w:r>
    </w:p>
    <w:p w14:paraId="6D33496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Kaufman, R. L. (2013). Heteroskedasticity in regression: Detection and correction. Sage Publications.</w:t>
      </w:r>
    </w:p>
    <w:p w14:paraId="6394CB2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Khan, M. S. R. (2020). The effects of inventory management capability on performance of the firm-business strategies as a mediating role. Asian Finance &amp; Banking Review, 4(2), 1-7.</w:t>
      </w:r>
    </w:p>
    <w:p w14:paraId="5E41F75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Khatun, N. (2021). Applications of normality test in statistical analysis. Open Journal of Statistics, 11(01), 113.</w:t>
      </w:r>
    </w:p>
    <w:p w14:paraId="23B9FD6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Kiptum, I. K. (2023). Accounts Payable Management and Financial Performance in West Pokot County Government, Kenya (Doctoral dissertation, University of Nairobi).</w:t>
      </w:r>
    </w:p>
    <w:p w14:paraId="313C030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Kithinji, M. M., </w:t>
      </w:r>
      <w:proofErr w:type="spellStart"/>
      <w:r w:rsidRPr="001B71D7">
        <w:rPr>
          <w:color w:val="000000" w:themeColor="text1"/>
        </w:rPr>
        <w:t>Wephukulu</w:t>
      </w:r>
      <w:proofErr w:type="spellEnd"/>
      <w:r w:rsidRPr="001B71D7">
        <w:rPr>
          <w:color w:val="000000" w:themeColor="text1"/>
        </w:rPr>
        <w:t>, J. M., Gekara, M., &amp; Mwanzia, M. (2022). Effect of account payable management on financial performance of public universities in Kenya. Reviewed Journal International of Business Management [ISSN 2663-127X], 3(1), 83-100.</w:t>
      </w:r>
    </w:p>
    <w:p w14:paraId="664C375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Kothari, C. R. (2014). Research Methodology: Methods and Techniques (3rd ed.). New Age International.</w:t>
      </w:r>
    </w:p>
    <w:p w14:paraId="14F42016"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Koul, S. K. (2018). Research Methodology: Concepts and Cases (2nd ed.). Vikas Publishing House.</w:t>
      </w:r>
    </w:p>
    <w:p w14:paraId="747F9BC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Kultar, S. S. (2007). Research Methodology: Methods and Techniques. New Age International.</w:t>
      </w:r>
    </w:p>
    <w:p w14:paraId="5E88B69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Kumar, V. S., &amp; Suneetha, V. L. (2022). An empirical study on account receivables &amp; Account Payables Management </w:t>
      </w:r>
      <w:proofErr w:type="gramStart"/>
      <w:r w:rsidRPr="001B71D7">
        <w:rPr>
          <w:color w:val="000000" w:themeColor="text1"/>
        </w:rPr>
        <w:t>At</w:t>
      </w:r>
      <w:proofErr w:type="gramEnd"/>
      <w:r w:rsidRPr="001B71D7">
        <w:rPr>
          <w:color w:val="000000" w:themeColor="text1"/>
        </w:rPr>
        <w:t xml:space="preserve"> Composite Investments Pvt Ltd, Bangalore. Journal of Pharmaceutical Negative Results, 2784-2797.</w:t>
      </w:r>
    </w:p>
    <w:p w14:paraId="3DD2158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Kyriakou, P. A. (2018). Mitigating the Risks Entailed in Shareholders’ Claims for Reflective Loss: Suggestions for Investment Treaty Reform. The Journal of World Investment &amp; Trade, 19(4), 693-721.</w:t>
      </w:r>
    </w:p>
    <w:p w14:paraId="3F909EE1"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Lacity</w:t>
      </w:r>
      <w:proofErr w:type="spellEnd"/>
      <w:r w:rsidRPr="001B71D7">
        <w:rPr>
          <w:color w:val="000000" w:themeColor="text1"/>
        </w:rPr>
        <w:t xml:space="preserve">, M. C., Willcocks, L. P., </w:t>
      </w:r>
      <w:proofErr w:type="spellStart"/>
      <w:r w:rsidRPr="001B71D7">
        <w:rPr>
          <w:color w:val="000000" w:themeColor="text1"/>
        </w:rPr>
        <w:t>Lacity</w:t>
      </w:r>
      <w:proofErr w:type="spellEnd"/>
      <w:r w:rsidRPr="001B71D7">
        <w:rPr>
          <w:color w:val="000000" w:themeColor="text1"/>
        </w:rPr>
        <w:t>, M. C., &amp; Willcocks, L. P. (2009). Managing relationships across the life cycle of an outsourcing arrangement. Information Systems and outsourcing: Studies in theory and practice, 303-340.</w:t>
      </w:r>
    </w:p>
    <w:p w14:paraId="2A2BF87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Le, B. (2019). Working capital management and firm’s valuation, profitability and risk: Evidence from a developing market. International Journal of Managerial Finance, 15(2), 191-204.</w:t>
      </w:r>
    </w:p>
    <w:p w14:paraId="73E838E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Lyani, M. N. (2017). Relationship between accounts receivable management practices and growth of small and medium enterprises in Kakamega County, Kenya (Doctoral dissertation, COHRED-JKUAT).</w:t>
      </w:r>
    </w:p>
    <w:p w14:paraId="2EDB2AC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Malikova, M. (2022). Management of Accounts Receivable and Accounts Payable. </w:t>
      </w:r>
      <w:proofErr w:type="spellStart"/>
      <w:r w:rsidRPr="001B71D7">
        <w:rPr>
          <w:color w:val="000000" w:themeColor="text1"/>
        </w:rPr>
        <w:t>Академические</w:t>
      </w:r>
      <w:proofErr w:type="spellEnd"/>
      <w:r w:rsidRPr="001B71D7">
        <w:rPr>
          <w:color w:val="000000" w:themeColor="text1"/>
        </w:rPr>
        <w:t xml:space="preserve"> </w:t>
      </w:r>
      <w:proofErr w:type="spellStart"/>
      <w:r w:rsidRPr="001B71D7">
        <w:rPr>
          <w:color w:val="000000" w:themeColor="text1"/>
        </w:rPr>
        <w:t>исследования</w:t>
      </w:r>
      <w:proofErr w:type="spellEnd"/>
      <w:r w:rsidRPr="001B71D7">
        <w:rPr>
          <w:color w:val="000000" w:themeColor="text1"/>
        </w:rPr>
        <w:t xml:space="preserve"> в </w:t>
      </w:r>
      <w:proofErr w:type="spellStart"/>
      <w:r w:rsidRPr="001B71D7">
        <w:rPr>
          <w:color w:val="000000" w:themeColor="text1"/>
        </w:rPr>
        <w:t>современной</w:t>
      </w:r>
      <w:proofErr w:type="spellEnd"/>
      <w:r w:rsidRPr="001B71D7">
        <w:rPr>
          <w:color w:val="000000" w:themeColor="text1"/>
        </w:rPr>
        <w:t xml:space="preserve"> </w:t>
      </w:r>
      <w:proofErr w:type="spellStart"/>
      <w:r w:rsidRPr="001B71D7">
        <w:rPr>
          <w:color w:val="000000" w:themeColor="text1"/>
        </w:rPr>
        <w:t>науке</w:t>
      </w:r>
      <w:proofErr w:type="spellEnd"/>
      <w:r w:rsidRPr="001B71D7">
        <w:rPr>
          <w:color w:val="000000" w:themeColor="text1"/>
        </w:rPr>
        <w:t>, 1(20), 152-154.</w:t>
      </w:r>
    </w:p>
    <w:p w14:paraId="2904740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Margolis, J. D., &amp; Walsh, J. P. (2003). Misery loves companies: Rethinking social initiatives by business. Administrative science quarterly, 48(2), 268-305.</w:t>
      </w:r>
    </w:p>
    <w:p w14:paraId="2AE2F2D4"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Mbarushimana</w:t>
      </w:r>
      <w:proofErr w:type="spellEnd"/>
      <w:r w:rsidRPr="001B71D7">
        <w:rPr>
          <w:color w:val="000000" w:themeColor="text1"/>
        </w:rPr>
        <w:t xml:space="preserve">, E., &amp; </w:t>
      </w:r>
      <w:proofErr w:type="spellStart"/>
      <w:r w:rsidRPr="001B71D7">
        <w:rPr>
          <w:color w:val="000000" w:themeColor="text1"/>
        </w:rPr>
        <w:t>Kengere</w:t>
      </w:r>
      <w:proofErr w:type="spellEnd"/>
      <w:r w:rsidRPr="001B71D7">
        <w:rPr>
          <w:color w:val="000000" w:themeColor="text1"/>
        </w:rPr>
        <w:t>, O. (2023). Accounts Receivable Management Practices and Financial Performance of Manufacturing Companies in Rwanda; A Case Study of CIMERWA Plc. Journal of Finance and Accounting, 7(9), 21-44.</w:t>
      </w:r>
    </w:p>
    <w:p w14:paraId="5F8A65C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McNeill, P. (2009). Research Methods. Routledge.</w:t>
      </w:r>
    </w:p>
    <w:p w14:paraId="5B6FC7C1" w14:textId="0AF17C94"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Mittal, S., &amp; Monika. (2020). Accounts receivable: payable impact on each other with special reference to financial performance</w:t>
      </w:r>
      <w:r w:rsidR="00554C06">
        <w:rPr>
          <w:color w:val="000000" w:themeColor="text1"/>
        </w:rPr>
        <w:t xml:space="preserve"> </w:t>
      </w:r>
      <w:r w:rsidRPr="001B71D7">
        <w:rPr>
          <w:color w:val="000000" w:themeColor="text1"/>
        </w:rPr>
        <w:t>a study of small cap companies. SEDME (Small Enterprises Development, Management &amp; Extension Journal), 47(4), 362-373.</w:t>
      </w:r>
    </w:p>
    <w:p w14:paraId="6A4F1AFE" w14:textId="07C9FB26"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Mittal, S., &amp; Monika. (2020). Accounts receivable: payable impact on each other with special reference to financial performance</w:t>
      </w:r>
      <w:r w:rsidR="00554C06">
        <w:rPr>
          <w:color w:val="000000" w:themeColor="text1"/>
        </w:rPr>
        <w:t xml:space="preserve"> </w:t>
      </w:r>
      <w:r w:rsidRPr="001B71D7">
        <w:rPr>
          <w:color w:val="000000" w:themeColor="text1"/>
        </w:rPr>
        <w:t>a study of small cap companies. SEDME (Small Enterprises Development, Management &amp; Extension Journal), 47(4), 362-373.</w:t>
      </w:r>
    </w:p>
    <w:p w14:paraId="77CB60FB" w14:textId="2C41E47C"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Mittal, S., &amp; Monika. (2020). Accounts Receivable: Payable Impact on Each Other with Special Reference to Financial Performance</w:t>
      </w:r>
      <w:r w:rsidR="00554C06">
        <w:rPr>
          <w:color w:val="000000" w:themeColor="text1"/>
        </w:rPr>
        <w:t xml:space="preserve"> </w:t>
      </w:r>
      <w:r w:rsidRPr="001B71D7">
        <w:rPr>
          <w:color w:val="000000" w:themeColor="text1"/>
        </w:rPr>
        <w:t>A Study of Small Cap Companies. SEDME (Small Enterprises Development, Management &amp; Extension Journal), 47(4), 362-373.</w:t>
      </w:r>
    </w:p>
    <w:p w14:paraId="50546DC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Mohamed, M. I., </w:t>
      </w:r>
      <w:proofErr w:type="spellStart"/>
      <w:r w:rsidRPr="001B71D7">
        <w:rPr>
          <w:color w:val="000000" w:themeColor="text1"/>
        </w:rPr>
        <w:t>Mwambia</w:t>
      </w:r>
      <w:proofErr w:type="spellEnd"/>
      <w:r w:rsidRPr="001B71D7">
        <w:rPr>
          <w:color w:val="000000" w:themeColor="text1"/>
        </w:rPr>
        <w:t>, F., &amp; Muema, W. (2021). Credit Risk Assessments and Firm Value of Listed Commercial Banks in Kenya.</w:t>
      </w:r>
    </w:p>
    <w:p w14:paraId="52052B9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Mohamud, </w:t>
      </w:r>
      <w:proofErr w:type="gramStart"/>
      <w:r w:rsidRPr="001B71D7">
        <w:rPr>
          <w:color w:val="000000" w:themeColor="text1"/>
        </w:rPr>
        <w:t>A. .</w:t>
      </w:r>
      <w:proofErr w:type="gramEnd"/>
      <w:r w:rsidRPr="001B71D7">
        <w:rPr>
          <w:color w:val="000000" w:themeColor="text1"/>
        </w:rPr>
        <w:t>, &amp; Mungai, J. (2019). Financial innovation on performance of commercial banks in Garissa County, Kenya. Journal of Management, 6(1), 491–504.</w:t>
      </w:r>
    </w:p>
    <w:p w14:paraId="2B66ED3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Muchaendepi</w:t>
      </w:r>
      <w:proofErr w:type="spellEnd"/>
      <w:r w:rsidRPr="001B71D7">
        <w:rPr>
          <w:color w:val="000000" w:themeColor="text1"/>
        </w:rPr>
        <w:t xml:space="preserve">, W., </w:t>
      </w:r>
      <w:proofErr w:type="spellStart"/>
      <w:r w:rsidRPr="001B71D7">
        <w:rPr>
          <w:color w:val="000000" w:themeColor="text1"/>
        </w:rPr>
        <w:t>Mbohwa</w:t>
      </w:r>
      <w:proofErr w:type="spellEnd"/>
      <w:r w:rsidRPr="001B71D7">
        <w:rPr>
          <w:color w:val="000000" w:themeColor="text1"/>
        </w:rPr>
        <w:t xml:space="preserve">, C., Hamandishe, T., &amp; </w:t>
      </w:r>
      <w:proofErr w:type="spellStart"/>
      <w:r w:rsidRPr="001B71D7">
        <w:rPr>
          <w:color w:val="000000" w:themeColor="text1"/>
        </w:rPr>
        <w:t>Kanyepe</w:t>
      </w:r>
      <w:proofErr w:type="spellEnd"/>
      <w:r w:rsidRPr="001B71D7">
        <w:rPr>
          <w:color w:val="000000" w:themeColor="text1"/>
        </w:rPr>
        <w:t>, J. (2019). Inventory management and performance of SMEs in the manufacturing sector of Harare. Procedia Manufacturing, 33, 454-461.</w:t>
      </w:r>
    </w:p>
    <w:p w14:paraId="26A74640"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Muchina</w:t>
      </w:r>
      <w:proofErr w:type="spellEnd"/>
      <w:r w:rsidRPr="001B71D7">
        <w:rPr>
          <w:color w:val="000000" w:themeColor="text1"/>
        </w:rPr>
        <w:t xml:space="preserve">, S &amp; Kiano, E. (2011). Influence of working capital management on </w:t>
      </w:r>
      <w:proofErr w:type="gramStart"/>
      <w:r w:rsidRPr="001B71D7">
        <w:rPr>
          <w:color w:val="000000" w:themeColor="text1"/>
        </w:rPr>
        <w:t>firms</w:t>
      </w:r>
      <w:proofErr w:type="gramEnd"/>
      <w:r w:rsidRPr="001B71D7">
        <w:rPr>
          <w:color w:val="000000" w:themeColor="text1"/>
        </w:rPr>
        <w:t xml:space="preserve"> profitability: A case SMES in Kenya, International Business management, 5, (5), 279 – 286.</w:t>
      </w:r>
    </w:p>
    <w:p w14:paraId="7A3ED4F8" w14:textId="77777777" w:rsidR="00294E1F" w:rsidRPr="001B71D7" w:rsidRDefault="00294E1F" w:rsidP="00294E1F">
      <w:pPr>
        <w:pStyle w:val="NormalWeb"/>
        <w:spacing w:before="0" w:line="276" w:lineRule="auto"/>
        <w:ind w:left="720" w:hanging="720"/>
        <w:rPr>
          <w:color w:val="000000" w:themeColor="text1"/>
        </w:rPr>
      </w:pPr>
      <w:r w:rsidRPr="007A5D11">
        <w:rPr>
          <w:color w:val="000000" w:themeColor="text1"/>
          <w:lang w:val="nl-BE"/>
        </w:rPr>
        <w:t xml:space="preserve">Mugenda, O. M., &amp; Mugenda, A. G. (2008). </w:t>
      </w:r>
      <w:r w:rsidRPr="001B71D7">
        <w:rPr>
          <w:color w:val="000000" w:themeColor="text1"/>
        </w:rPr>
        <w:t>Research Methods: Quantitative and Qualitative Approaches. Acts Press.</w:t>
      </w:r>
    </w:p>
    <w:p w14:paraId="577D387C"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Mulajje</w:t>
      </w:r>
      <w:proofErr w:type="spellEnd"/>
      <w:r w:rsidRPr="001B71D7">
        <w:rPr>
          <w:color w:val="000000" w:themeColor="text1"/>
        </w:rPr>
        <w:t>, M. (2019). Working capital management and financial performance of small and medium enterprises in Kampala Capital City Authority: a case study of Kawempe division urban council. Doctoral dissertation, Kyambogo University.</w:t>
      </w:r>
    </w:p>
    <w:p w14:paraId="79ECD9C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Musembi, M. M. (2020). Symmetric and asymmetric effect of investor sentiment on performance of equity market in Nairobi Securities Exchange, Kenya. International Journal of Management and Commerce Innovations 8(1), 438-447.</w:t>
      </w:r>
    </w:p>
    <w:p w14:paraId="0E6B238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Mutai, A. K., &amp; Kimani, E. M. (2019). Effect of accounts payable management practices on liquidity of public technical training institutions in Rift Valley Region, Kenya. International Academic Journal of Economics and Finance, 3(3), 174-186.</w:t>
      </w:r>
    </w:p>
    <w:p w14:paraId="3F3F88B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Muthoni, J. G., Naibei, K. I., &amp; Livingstone, K. (2020). Management of accounts receivable and financial performance of manufacturing firms listed in Nairobi Securities Exchange, Kenya. International Journal of Scientific and Research Publications, 10(12), 513-523.</w:t>
      </w:r>
    </w:p>
    <w:p w14:paraId="036C28E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Mutua, L. M. (2023). Working Capital Efficiency and Firm Value of Selected Firms Listed at Nairobi Securities Exchange, Kenya. Doctoral dissertation, St. Paul's University.</w:t>
      </w:r>
    </w:p>
    <w:p w14:paraId="6768D7C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Muturi, H. M. (2015). Effects of working capital management on profitability of Tea factories in Meru County (Doctoral dissertation, Meru University of Science and Technology).</w:t>
      </w:r>
    </w:p>
    <w:p w14:paraId="3C2B45F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Mwirigi, D., Wambugu, H. W., &amp; Maina, M. (2018). The effect of working capital management on performance of small enterprises in Kenya.</w:t>
      </w:r>
    </w:p>
    <w:p w14:paraId="6328BA1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Myers, R. H. (1990). Classical and modern regression with applications (Vol. 2, p. 488). Belmont, CA: Duxbury press.</w:t>
      </w:r>
    </w:p>
    <w:p w14:paraId="2C77497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Nam, H., &amp; Uchida, K. (2019). Accounts payable and firm value: International evidence. Journal of Banking &amp; Finance, 102, 116-137.</w:t>
      </w:r>
    </w:p>
    <w:p w14:paraId="774A168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Nastiti</w:t>
      </w:r>
      <w:proofErr w:type="spellEnd"/>
      <w:r w:rsidRPr="001B71D7">
        <w:rPr>
          <w:color w:val="000000" w:themeColor="text1"/>
        </w:rPr>
        <w:t xml:space="preserve">, P. K. Y., </w:t>
      </w:r>
      <w:proofErr w:type="spellStart"/>
      <w:r w:rsidRPr="001B71D7">
        <w:rPr>
          <w:color w:val="000000" w:themeColor="text1"/>
        </w:rPr>
        <w:t>Atahau</w:t>
      </w:r>
      <w:proofErr w:type="spellEnd"/>
      <w:r w:rsidRPr="001B71D7">
        <w:rPr>
          <w:color w:val="000000" w:themeColor="text1"/>
        </w:rPr>
        <w:t xml:space="preserve">, A. D. R., &amp; </w:t>
      </w:r>
      <w:proofErr w:type="spellStart"/>
      <w:r w:rsidRPr="001B71D7">
        <w:rPr>
          <w:color w:val="000000" w:themeColor="text1"/>
        </w:rPr>
        <w:t>Supramono</w:t>
      </w:r>
      <w:proofErr w:type="spellEnd"/>
      <w:r w:rsidRPr="001B71D7">
        <w:rPr>
          <w:color w:val="000000" w:themeColor="text1"/>
        </w:rPr>
        <w:t xml:space="preserve">, S. (2020). Does Working Capital Management Able </w:t>
      </w:r>
      <w:proofErr w:type="gramStart"/>
      <w:r w:rsidRPr="001B71D7">
        <w:rPr>
          <w:color w:val="000000" w:themeColor="text1"/>
        </w:rPr>
        <w:t>To</w:t>
      </w:r>
      <w:proofErr w:type="gramEnd"/>
      <w:r w:rsidRPr="001B71D7">
        <w:rPr>
          <w:color w:val="000000" w:themeColor="text1"/>
        </w:rPr>
        <w:t xml:space="preserve"> Increase Sustainable Growth Through Asset </w:t>
      </w:r>
      <w:proofErr w:type="gramStart"/>
      <w:r w:rsidRPr="001B71D7">
        <w:rPr>
          <w:color w:val="000000" w:themeColor="text1"/>
        </w:rPr>
        <w:t>Utilization?.</w:t>
      </w:r>
      <w:proofErr w:type="gramEnd"/>
      <w:r w:rsidRPr="001B71D7">
        <w:rPr>
          <w:color w:val="000000" w:themeColor="text1"/>
        </w:rPr>
        <w:t xml:space="preserve"> The European Journal of Applied Economics, 17(2).</w:t>
      </w:r>
    </w:p>
    <w:p w14:paraId="704FDB2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Ngunju, M. E. (2022). Working capital management practices and financial performance of Horticultural Farms in Laikipia and Nakuru Counties, Kenya.</w:t>
      </w:r>
    </w:p>
    <w:p w14:paraId="4297C016"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Nguyen, L., Tan, T. K. P., &amp; Nguyen, T. H. (2021). Determinants of firm value: An empirical study of listed trading companies in Vietnam. The Journal of Asian Finance, Economics and Business, 8(6), 809-817.</w:t>
      </w:r>
    </w:p>
    <w:p w14:paraId="52B0E02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Nkwasibwe</w:t>
      </w:r>
      <w:proofErr w:type="spellEnd"/>
      <w:r w:rsidRPr="001B71D7">
        <w:rPr>
          <w:color w:val="000000" w:themeColor="text1"/>
        </w:rPr>
        <w:t xml:space="preserve">, N., </w:t>
      </w:r>
      <w:proofErr w:type="spellStart"/>
      <w:r w:rsidRPr="001B71D7">
        <w:rPr>
          <w:color w:val="000000" w:themeColor="text1"/>
        </w:rPr>
        <w:t>Katsigaire</w:t>
      </w:r>
      <w:proofErr w:type="spellEnd"/>
      <w:r w:rsidRPr="001B71D7">
        <w:rPr>
          <w:color w:val="000000" w:themeColor="text1"/>
        </w:rPr>
        <w:t xml:space="preserve">, E. A., &amp; Tobias, B. (2023). Accounts payable management and financial performance of manufacturing firms. A case of </w:t>
      </w:r>
      <w:proofErr w:type="spellStart"/>
      <w:r w:rsidRPr="001B71D7">
        <w:rPr>
          <w:color w:val="000000" w:themeColor="text1"/>
        </w:rPr>
        <w:t>kazire</w:t>
      </w:r>
      <w:proofErr w:type="spellEnd"/>
      <w:r w:rsidRPr="001B71D7">
        <w:rPr>
          <w:color w:val="000000" w:themeColor="text1"/>
        </w:rPr>
        <w:t xml:space="preserve"> health products limited. International Journal of Research and Scientific Innovation, 10(2), 85-100.</w:t>
      </w:r>
    </w:p>
    <w:p w14:paraId="669377E1"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Oladipo, O. N., </w:t>
      </w:r>
      <w:proofErr w:type="spellStart"/>
      <w:r w:rsidRPr="001B71D7">
        <w:rPr>
          <w:color w:val="000000" w:themeColor="text1"/>
        </w:rPr>
        <w:t>Adegboyo</w:t>
      </w:r>
      <w:proofErr w:type="spellEnd"/>
      <w:r w:rsidRPr="001B71D7">
        <w:rPr>
          <w:color w:val="000000" w:themeColor="text1"/>
        </w:rPr>
        <w:t xml:space="preserve">, O. S., &amp; </w:t>
      </w:r>
      <w:proofErr w:type="spellStart"/>
      <w:r w:rsidRPr="001B71D7">
        <w:rPr>
          <w:color w:val="000000" w:themeColor="text1"/>
        </w:rPr>
        <w:t>Olugbamiye</w:t>
      </w:r>
      <w:proofErr w:type="spellEnd"/>
      <w:r w:rsidRPr="001B71D7">
        <w:rPr>
          <w:color w:val="000000" w:themeColor="text1"/>
        </w:rPr>
        <w:t>, D. O. (2020). Effects of working capital management on profitability in Manufacturing Firms in Nigeria. The Journal of Accounting and Management, 10(3).</w:t>
      </w:r>
    </w:p>
    <w:p w14:paraId="426AD26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Oladipupo, A.O., &amp; Okafor, C.A. (2013). Relative contribution of working capital management to corporate profitability and dividend payout ratio: Evidence from Nigeria. International Journal of Business and Finance Research.</w:t>
      </w:r>
    </w:p>
    <w:p w14:paraId="1717515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Olambo, T. C. (2022). Working capital management and financial performance of energy and petroleum firms listed at the Nairobi securities exchange, Kenya (Doctoral dissertation, Kenyatta University).</w:t>
      </w:r>
    </w:p>
    <w:p w14:paraId="7498B48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Olaoye, F. O., </w:t>
      </w:r>
      <w:proofErr w:type="spellStart"/>
      <w:r w:rsidRPr="001B71D7">
        <w:rPr>
          <w:color w:val="000000" w:themeColor="text1"/>
        </w:rPr>
        <w:t>Adekanbi</w:t>
      </w:r>
      <w:proofErr w:type="spellEnd"/>
      <w:r w:rsidRPr="001B71D7">
        <w:rPr>
          <w:color w:val="000000" w:themeColor="text1"/>
        </w:rPr>
        <w:t>, J. A., &amp; Oluwadare, O. E. (2019). Working capital management and firms’ profitability: Evidence from quoted firms on the Nigerian stock exchange. Intelligent information management, 11(3), 43-60.</w:t>
      </w:r>
    </w:p>
    <w:p w14:paraId="21534A4F"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Oranefo</w:t>
      </w:r>
      <w:proofErr w:type="spellEnd"/>
      <w:r w:rsidRPr="001B71D7">
        <w:rPr>
          <w:color w:val="000000" w:themeColor="text1"/>
        </w:rPr>
        <w:t xml:space="preserve">, P. C., &amp; </w:t>
      </w:r>
      <w:proofErr w:type="spellStart"/>
      <w:r w:rsidRPr="001B71D7">
        <w:rPr>
          <w:color w:val="000000" w:themeColor="text1"/>
        </w:rPr>
        <w:t>Egbunike</w:t>
      </w:r>
      <w:proofErr w:type="spellEnd"/>
      <w:r w:rsidRPr="001B71D7">
        <w:rPr>
          <w:color w:val="000000" w:themeColor="text1"/>
        </w:rPr>
        <w:t>, C. F. (2023). Accounts Payable Turnover and Firm Performance of Quoted Manufacturing Firms in Nigeria. International Journal of Accounting and Management Information Systems, 1(1), 45-65.</w:t>
      </w:r>
    </w:p>
    <w:p w14:paraId="13567E76"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lastRenderedPageBreak/>
        <w:t>Oseifuah</w:t>
      </w:r>
      <w:proofErr w:type="spellEnd"/>
      <w:r w:rsidRPr="001B71D7">
        <w:rPr>
          <w:color w:val="000000" w:themeColor="text1"/>
        </w:rPr>
        <w:t xml:space="preserve">, E. K. (2016). Cash Conversion Cycle theory and corporate profitability. In Cash Conversion Cycle theory and corporate profitability: </w:t>
      </w:r>
      <w:proofErr w:type="spellStart"/>
      <w:r w:rsidRPr="001B71D7">
        <w:rPr>
          <w:color w:val="000000" w:themeColor="text1"/>
        </w:rPr>
        <w:t>Oseifuah</w:t>
      </w:r>
      <w:proofErr w:type="spellEnd"/>
      <w:r w:rsidRPr="001B71D7">
        <w:rPr>
          <w:color w:val="000000" w:themeColor="text1"/>
        </w:rPr>
        <w:t>, Emmanuel Kojo.</w:t>
      </w:r>
    </w:p>
    <w:p w14:paraId="783E2C76"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Otekunrin</w:t>
      </w:r>
      <w:proofErr w:type="spellEnd"/>
      <w:r w:rsidRPr="001B71D7">
        <w:rPr>
          <w:color w:val="000000" w:themeColor="text1"/>
        </w:rPr>
        <w:t xml:space="preserve">, A., </w:t>
      </w:r>
      <w:proofErr w:type="spellStart"/>
      <w:r w:rsidRPr="001B71D7">
        <w:rPr>
          <w:color w:val="000000" w:themeColor="text1"/>
        </w:rPr>
        <w:t>Nwanji</w:t>
      </w:r>
      <w:proofErr w:type="spellEnd"/>
      <w:r w:rsidRPr="001B71D7">
        <w:rPr>
          <w:color w:val="000000" w:themeColor="text1"/>
        </w:rPr>
        <w:t xml:space="preserve">, T., </w:t>
      </w:r>
      <w:proofErr w:type="spellStart"/>
      <w:r w:rsidRPr="001B71D7">
        <w:rPr>
          <w:color w:val="000000" w:themeColor="text1"/>
        </w:rPr>
        <w:t>Fagboro</w:t>
      </w:r>
      <w:proofErr w:type="spellEnd"/>
      <w:r w:rsidRPr="001B71D7">
        <w:rPr>
          <w:color w:val="000000" w:themeColor="text1"/>
        </w:rPr>
        <w:t xml:space="preserve">, D., </w:t>
      </w:r>
      <w:proofErr w:type="spellStart"/>
      <w:r w:rsidRPr="001B71D7">
        <w:rPr>
          <w:color w:val="000000" w:themeColor="text1"/>
        </w:rPr>
        <w:t>Olowookere</w:t>
      </w:r>
      <w:proofErr w:type="spellEnd"/>
      <w:r w:rsidRPr="001B71D7">
        <w:rPr>
          <w:color w:val="000000" w:themeColor="text1"/>
        </w:rPr>
        <w:t>, J. K., &amp; Adenike, O. (2021). Does working capital management impact an enterprise’s profitability? Evidence from selected Nigerian firms. Problems and perspectives in Management, 19(1), 477-486.</w:t>
      </w:r>
    </w:p>
    <w:p w14:paraId="043CA28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Panigrahi, R. R., Shrivastava, A. K., &amp; </w:t>
      </w:r>
      <w:proofErr w:type="spellStart"/>
      <w:r w:rsidRPr="001B71D7">
        <w:rPr>
          <w:color w:val="000000" w:themeColor="text1"/>
        </w:rPr>
        <w:t>Nudurupati</w:t>
      </w:r>
      <w:proofErr w:type="spellEnd"/>
      <w:r w:rsidRPr="001B71D7">
        <w:rPr>
          <w:color w:val="000000" w:themeColor="text1"/>
        </w:rPr>
        <w:t>, S. S. (2024). Impact of inventory management on SME performance: a systematic review. International Journal of Productivity and Performance Management.</w:t>
      </w:r>
    </w:p>
    <w:p w14:paraId="2533F20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Qureshi, M. U., &amp; Mahmood, </w:t>
      </w:r>
      <w:proofErr w:type="gramStart"/>
      <w:r w:rsidRPr="001B71D7">
        <w:rPr>
          <w:color w:val="000000" w:themeColor="text1"/>
        </w:rPr>
        <w:t>Z.(</w:t>
      </w:r>
      <w:proofErr w:type="gramEnd"/>
      <w:r w:rsidRPr="001B71D7">
        <w:rPr>
          <w:color w:val="000000" w:themeColor="text1"/>
        </w:rPr>
        <w:t>2020).  Accounts Receivable and Firm Value: Evidence from South Asian Emerging Economies.</w:t>
      </w:r>
    </w:p>
    <w:p w14:paraId="54D8E05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Rahmi, F., Arfan, M., &amp; Saputra, M. (2023). Assessing determinant of firm value: Indonesia conventional bank analysis. </w:t>
      </w:r>
      <w:proofErr w:type="spellStart"/>
      <w:r w:rsidRPr="001B71D7">
        <w:rPr>
          <w:color w:val="000000" w:themeColor="text1"/>
        </w:rPr>
        <w:t>Jurnal</w:t>
      </w:r>
      <w:proofErr w:type="spellEnd"/>
      <w:r w:rsidRPr="001B71D7">
        <w:rPr>
          <w:color w:val="000000" w:themeColor="text1"/>
        </w:rPr>
        <w:t xml:space="preserve"> </w:t>
      </w:r>
      <w:proofErr w:type="spellStart"/>
      <w:r w:rsidRPr="001B71D7">
        <w:rPr>
          <w:color w:val="000000" w:themeColor="text1"/>
        </w:rPr>
        <w:t>Akuntansi</w:t>
      </w:r>
      <w:proofErr w:type="spellEnd"/>
      <w:r w:rsidRPr="001B71D7">
        <w:rPr>
          <w:color w:val="000000" w:themeColor="text1"/>
        </w:rPr>
        <w:t xml:space="preserve"> dan Auditing Indonesia, 56-72.</w:t>
      </w:r>
    </w:p>
    <w:p w14:paraId="1F2355B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Rashid, A., &amp; Rasheed, R. (2023). Mediation of inventory management in the relationship between knowledge and firm performance. Sage Open, 13(2), 21582440231164593.</w:t>
      </w:r>
    </w:p>
    <w:p w14:paraId="299C9E8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Ren, T., Liu, N., Yang, H., Xiao, Y., &amp; Hu, Y. (2019). Working capital management and firm performance in China. Asian Review of Accounting, 27(4), 546-562.</w:t>
      </w:r>
    </w:p>
    <w:p w14:paraId="787A98B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Richards, V. &amp; Laughlin, E. (1980). A cash conversion cycle approach to liquidity analysis. Financial Management.</w:t>
      </w:r>
    </w:p>
    <w:p w14:paraId="12410E4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Sah, G. G. (2022). Influence of account receivable management practices on the performance of small and medium scale enterprises. </w:t>
      </w:r>
      <w:proofErr w:type="spellStart"/>
      <w:r w:rsidRPr="001B71D7">
        <w:rPr>
          <w:color w:val="000000" w:themeColor="text1"/>
        </w:rPr>
        <w:t>Technium</w:t>
      </w:r>
      <w:proofErr w:type="spellEnd"/>
      <w:r w:rsidRPr="001B71D7">
        <w:rPr>
          <w:color w:val="000000" w:themeColor="text1"/>
        </w:rPr>
        <w:t xml:space="preserve"> Soc. Sci. J., 32, 376.</w:t>
      </w:r>
    </w:p>
    <w:p w14:paraId="64CE82C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Sahu, D. R. (2017). Research Methodology: A Practical Approach. Oxford University Press.</w:t>
      </w:r>
    </w:p>
    <w:p w14:paraId="617CE2B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Saint, D. K., &amp; Tripathi, A. N. (2006). The shareholder and stakeholder theories of corporate purpose. International journal of sustainable development, 23(6),309-323</w:t>
      </w:r>
    </w:p>
    <w:p w14:paraId="0F12641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Salim, M. N., &amp; Firdaus, Z. (2020). Determinants of Firm Value and Its Impact on Stock Prices (Study </w:t>
      </w:r>
      <w:proofErr w:type="gramStart"/>
      <w:r w:rsidRPr="001B71D7">
        <w:rPr>
          <w:color w:val="000000" w:themeColor="text1"/>
        </w:rPr>
        <w:t>In</w:t>
      </w:r>
      <w:proofErr w:type="gramEnd"/>
      <w:r w:rsidRPr="001B71D7">
        <w:rPr>
          <w:color w:val="000000" w:themeColor="text1"/>
        </w:rPr>
        <w:t xml:space="preserve"> Consumer Good Public Companies </w:t>
      </w:r>
      <w:proofErr w:type="gramStart"/>
      <w:r w:rsidRPr="001B71D7">
        <w:rPr>
          <w:color w:val="000000" w:themeColor="text1"/>
        </w:rPr>
        <w:t>In</w:t>
      </w:r>
      <w:proofErr w:type="gramEnd"/>
      <w:r w:rsidRPr="001B71D7">
        <w:rPr>
          <w:color w:val="000000" w:themeColor="text1"/>
        </w:rPr>
        <w:t xml:space="preserve"> IDX 2014-2018). Dinasti International Journal of Education Management </w:t>
      </w:r>
      <w:proofErr w:type="gramStart"/>
      <w:r w:rsidRPr="001B71D7">
        <w:rPr>
          <w:color w:val="000000" w:themeColor="text1"/>
        </w:rPr>
        <w:t>And</w:t>
      </w:r>
      <w:proofErr w:type="gramEnd"/>
      <w:r w:rsidRPr="001B71D7">
        <w:rPr>
          <w:color w:val="000000" w:themeColor="text1"/>
        </w:rPr>
        <w:t xml:space="preserve"> Social Science, 2(1), 41-54.</w:t>
      </w:r>
    </w:p>
    <w:p w14:paraId="4F95B4F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Saunders, M. N. K., Lewis, P., &amp; Thornhill, A. (2017). Research Methods for Business Students (7th ed.). Pearson.</w:t>
      </w:r>
    </w:p>
    <w:p w14:paraId="3D4D65C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Schindler, P. S. (2001). Business Research Methods. McGraw-Hill Education.</w:t>
      </w:r>
    </w:p>
    <w:p w14:paraId="5D46D75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Seth, H., Chadha, S., &amp; Sharma, S. (2021). Benchmarking the efficiency model for working capital management: Data envelopment analysis approach. International Journal of Productivity and Performance Management, 70(7), 1528–1560.</w:t>
      </w:r>
    </w:p>
    <w:p w14:paraId="01C0001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Sharfman, B. S. (2014). Shareholder wealth maximization and its implementation under corporate law. Fla. L. Rev., 66, 389</w:t>
      </w:r>
    </w:p>
    <w:p w14:paraId="3DD06A3E"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Singpurwalla</w:t>
      </w:r>
      <w:proofErr w:type="spellEnd"/>
      <w:r w:rsidRPr="001B71D7">
        <w:rPr>
          <w:color w:val="000000" w:themeColor="text1"/>
        </w:rPr>
        <w:t>, R. S. (2013). Methodology for a New Microeconomics: The Critical Foundations. Routledge.</w:t>
      </w:r>
    </w:p>
    <w:p w14:paraId="7F8897F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Sondakh, R. (2019). The effect of dividend policy, liquidity, profitability and firm size on firm value in financial service sector industries listed in Indonesia Stock Exchange 2015-2018 Period. Accountability, 8(2), 91–101.</w:t>
      </w:r>
    </w:p>
    <w:p w14:paraId="363B3F4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Ssendagire</w:t>
      </w:r>
      <w:proofErr w:type="spellEnd"/>
      <w:r w:rsidRPr="001B71D7">
        <w:rPr>
          <w:color w:val="000000" w:themeColor="text1"/>
        </w:rPr>
        <w:t xml:space="preserve">, D. L. (2018). Working capital level, working capital financing approaches, firm size and profitability of manufacturing firms In Uganda (Doctoral dissertation, University </w:t>
      </w:r>
      <w:proofErr w:type="gramStart"/>
      <w:r w:rsidRPr="001B71D7">
        <w:rPr>
          <w:color w:val="000000" w:themeColor="text1"/>
        </w:rPr>
        <w:t>Of</w:t>
      </w:r>
      <w:proofErr w:type="gramEnd"/>
      <w:r w:rsidRPr="001B71D7">
        <w:rPr>
          <w:color w:val="000000" w:themeColor="text1"/>
        </w:rPr>
        <w:t xml:space="preserve"> Nairobi).</w:t>
      </w:r>
    </w:p>
    <w:p w14:paraId="19F7E24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Sudiyatno</w:t>
      </w:r>
      <w:proofErr w:type="spellEnd"/>
      <w:r w:rsidRPr="001B71D7">
        <w:rPr>
          <w:color w:val="000000" w:themeColor="text1"/>
        </w:rPr>
        <w:t xml:space="preserve">, B., </w:t>
      </w:r>
      <w:proofErr w:type="spellStart"/>
      <w:r w:rsidRPr="001B71D7">
        <w:rPr>
          <w:color w:val="000000" w:themeColor="text1"/>
        </w:rPr>
        <w:t>Puspitasari</w:t>
      </w:r>
      <w:proofErr w:type="spellEnd"/>
      <w:r w:rsidRPr="001B71D7">
        <w:rPr>
          <w:color w:val="000000" w:themeColor="text1"/>
        </w:rPr>
        <w:t xml:space="preserve">, E., Suwarti, T., &amp; </w:t>
      </w:r>
      <w:proofErr w:type="spellStart"/>
      <w:r w:rsidRPr="001B71D7">
        <w:rPr>
          <w:color w:val="000000" w:themeColor="text1"/>
        </w:rPr>
        <w:t>Asyif</w:t>
      </w:r>
      <w:proofErr w:type="spellEnd"/>
      <w:r w:rsidRPr="001B71D7">
        <w:rPr>
          <w:color w:val="000000" w:themeColor="text1"/>
        </w:rPr>
        <w:t>, M. M. (2020). Determinants of firm value and profitability: Evidence from Indonesia. The Journal of Asian Finance, Economics and Business, 7(11), 769-778.</w:t>
      </w:r>
    </w:p>
    <w:p w14:paraId="55AFD8C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Torky</w:t>
      </w:r>
      <w:proofErr w:type="spellEnd"/>
      <w:r w:rsidRPr="001B71D7">
        <w:rPr>
          <w:color w:val="000000" w:themeColor="text1"/>
        </w:rPr>
        <w:t xml:space="preserve">, A., (2020). Effect of inventory management on financial performance: evidence from the Saudi manufacturing company. European Journal of Accounting, Auditing, and Finance Research </w:t>
      </w:r>
      <w:proofErr w:type="gramStart"/>
      <w:r w:rsidRPr="001B71D7">
        <w:rPr>
          <w:color w:val="000000" w:themeColor="text1"/>
        </w:rPr>
        <w:t>8,(</w:t>
      </w:r>
      <w:proofErr w:type="gramEnd"/>
      <w:r w:rsidRPr="001B71D7">
        <w:rPr>
          <w:color w:val="000000" w:themeColor="text1"/>
        </w:rPr>
        <w:t>10), 13-26, November 2020</w:t>
      </w:r>
    </w:p>
    <w:p w14:paraId="561C9CE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Triyanto, T., &amp; </w:t>
      </w:r>
      <w:proofErr w:type="spellStart"/>
      <w:r w:rsidRPr="001B71D7">
        <w:rPr>
          <w:color w:val="000000" w:themeColor="text1"/>
        </w:rPr>
        <w:t>Priyanto</w:t>
      </w:r>
      <w:proofErr w:type="spellEnd"/>
      <w:r w:rsidRPr="001B71D7">
        <w:rPr>
          <w:color w:val="000000" w:themeColor="text1"/>
        </w:rPr>
        <w:t xml:space="preserve">, A. A. (2023). The Effect </w:t>
      </w:r>
      <w:proofErr w:type="gramStart"/>
      <w:r w:rsidRPr="001B71D7">
        <w:rPr>
          <w:color w:val="000000" w:themeColor="text1"/>
        </w:rPr>
        <w:t>Of</w:t>
      </w:r>
      <w:proofErr w:type="gramEnd"/>
      <w:r w:rsidRPr="001B71D7">
        <w:rPr>
          <w:color w:val="000000" w:themeColor="text1"/>
        </w:rPr>
        <w:t xml:space="preserve"> Current Ratio, Debt </w:t>
      </w:r>
      <w:proofErr w:type="gramStart"/>
      <w:r w:rsidRPr="001B71D7">
        <w:rPr>
          <w:color w:val="000000" w:themeColor="text1"/>
        </w:rPr>
        <w:t>To</w:t>
      </w:r>
      <w:proofErr w:type="gramEnd"/>
      <w:r w:rsidRPr="001B71D7">
        <w:rPr>
          <w:color w:val="000000" w:themeColor="text1"/>
        </w:rPr>
        <w:t xml:space="preserve"> Equity Ratio, Receivables Turnover </w:t>
      </w:r>
      <w:proofErr w:type="gramStart"/>
      <w:r w:rsidRPr="001B71D7">
        <w:rPr>
          <w:color w:val="000000" w:themeColor="text1"/>
        </w:rPr>
        <w:t>And</w:t>
      </w:r>
      <w:proofErr w:type="gramEnd"/>
      <w:r w:rsidRPr="001B71D7">
        <w:rPr>
          <w:color w:val="000000" w:themeColor="text1"/>
        </w:rPr>
        <w:t xml:space="preserve"> Inventory Turnover </w:t>
      </w:r>
      <w:proofErr w:type="gramStart"/>
      <w:r w:rsidRPr="001B71D7">
        <w:rPr>
          <w:color w:val="000000" w:themeColor="text1"/>
        </w:rPr>
        <w:t>On</w:t>
      </w:r>
      <w:proofErr w:type="gramEnd"/>
      <w:r w:rsidRPr="001B71D7">
        <w:rPr>
          <w:color w:val="000000" w:themeColor="text1"/>
        </w:rPr>
        <w:t xml:space="preserve"> Company Value </w:t>
      </w:r>
      <w:proofErr w:type="gramStart"/>
      <w:r w:rsidRPr="001B71D7">
        <w:rPr>
          <w:color w:val="000000" w:themeColor="text1"/>
        </w:rPr>
        <w:t>At</w:t>
      </w:r>
      <w:proofErr w:type="gramEnd"/>
      <w:r w:rsidRPr="001B71D7">
        <w:rPr>
          <w:color w:val="000000" w:themeColor="text1"/>
        </w:rPr>
        <w:t xml:space="preserve"> Pt Hero Supermarket </w:t>
      </w:r>
      <w:proofErr w:type="spellStart"/>
      <w:r w:rsidRPr="001B71D7">
        <w:rPr>
          <w:color w:val="000000" w:themeColor="text1"/>
        </w:rPr>
        <w:t>Tbk</w:t>
      </w:r>
      <w:proofErr w:type="spellEnd"/>
      <w:r w:rsidRPr="001B71D7">
        <w:rPr>
          <w:color w:val="000000" w:themeColor="text1"/>
        </w:rPr>
        <w:t xml:space="preserve"> </w:t>
      </w:r>
      <w:proofErr w:type="gramStart"/>
      <w:r w:rsidRPr="001B71D7">
        <w:rPr>
          <w:color w:val="000000" w:themeColor="text1"/>
        </w:rPr>
        <w:t>For</w:t>
      </w:r>
      <w:proofErr w:type="gramEnd"/>
      <w:r w:rsidRPr="001B71D7">
        <w:rPr>
          <w:color w:val="000000" w:themeColor="text1"/>
        </w:rPr>
        <w:t xml:space="preserve"> </w:t>
      </w:r>
      <w:proofErr w:type="gramStart"/>
      <w:r w:rsidRPr="001B71D7">
        <w:rPr>
          <w:color w:val="000000" w:themeColor="text1"/>
        </w:rPr>
        <w:t>The</w:t>
      </w:r>
      <w:proofErr w:type="gramEnd"/>
      <w:r w:rsidRPr="001B71D7">
        <w:rPr>
          <w:color w:val="000000" w:themeColor="text1"/>
        </w:rPr>
        <w:t xml:space="preserve"> Period 2012-2021. </w:t>
      </w:r>
      <w:proofErr w:type="spellStart"/>
      <w:r w:rsidRPr="001B71D7">
        <w:rPr>
          <w:color w:val="000000" w:themeColor="text1"/>
        </w:rPr>
        <w:t>Jurnal</w:t>
      </w:r>
      <w:proofErr w:type="spellEnd"/>
      <w:r w:rsidRPr="001B71D7">
        <w:rPr>
          <w:color w:val="000000" w:themeColor="text1"/>
        </w:rPr>
        <w:t xml:space="preserve"> Scientia, 12(02), 1358-1371.</w:t>
      </w:r>
    </w:p>
    <w:p w14:paraId="22BCAD8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Truong, K. D. (2023). Impact of inventory management on firm performance a case study of listed manufacturing firms on HOSE. International Journal of Information, Business and Management, 15(1), 93-115.</w:t>
      </w:r>
    </w:p>
    <w:p w14:paraId="3B5ACD5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Tsuruta, D. (2019). Working capital management during the global financial crisis: Evidence from Japan. Japan and the World Economy, 49, 206-219.</w:t>
      </w:r>
    </w:p>
    <w:p w14:paraId="2583872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Van der Waldt, G. (2020). Constructing conceptual frameworks in social science research. TD: The Journal for Transdisciplinary Research in Southern Africa, 16(1), 1-9.</w:t>
      </w:r>
    </w:p>
    <w:p w14:paraId="41E3A34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Varpio</w:t>
      </w:r>
      <w:proofErr w:type="spellEnd"/>
      <w:r w:rsidRPr="001B71D7">
        <w:rPr>
          <w:color w:val="000000" w:themeColor="text1"/>
        </w:rPr>
        <w:t xml:space="preserve">, L., Paradis, E., </w:t>
      </w:r>
      <w:proofErr w:type="spellStart"/>
      <w:r w:rsidRPr="001B71D7">
        <w:rPr>
          <w:color w:val="000000" w:themeColor="text1"/>
        </w:rPr>
        <w:t>Uijtdehaage</w:t>
      </w:r>
      <w:proofErr w:type="spellEnd"/>
      <w:r w:rsidRPr="001B71D7">
        <w:rPr>
          <w:color w:val="000000" w:themeColor="text1"/>
        </w:rPr>
        <w:t>, S., &amp; Young, M. (2020). The distinctions between theory, theoretical framework, and conceptual framework. Academic medicine, 95(7), 989-994.</w:t>
      </w:r>
    </w:p>
    <w:p w14:paraId="54FBADA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Vijayakumaran, R. (2019). Agency costs, ownership, and internal governance mechanisms: Evidence from Chinese listed companies. Asian Economic and Financial Review, 9(1), 133-154. https://doi.org/10.18488/journal.aefr.2019.91.133.154</w:t>
      </w:r>
    </w:p>
    <w:p w14:paraId="5642288D"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Waihenya</w:t>
      </w:r>
      <w:proofErr w:type="spellEnd"/>
      <w:r w:rsidRPr="001B71D7">
        <w:rPr>
          <w:color w:val="000000" w:themeColor="text1"/>
        </w:rPr>
        <w:t xml:space="preserve">, C. (2018). Effects of Managerial Accounting Practices </w:t>
      </w:r>
      <w:proofErr w:type="gramStart"/>
      <w:r w:rsidRPr="001B71D7">
        <w:rPr>
          <w:color w:val="000000" w:themeColor="text1"/>
        </w:rPr>
        <w:t>On</w:t>
      </w:r>
      <w:proofErr w:type="gramEnd"/>
      <w:r w:rsidRPr="001B71D7">
        <w:rPr>
          <w:color w:val="000000" w:themeColor="text1"/>
        </w:rPr>
        <w:t xml:space="preserve"> Financial Performance: A Case of Manufacturing Firms in Industrial Area, Nairobi (Doctoral dissertation, United States International University-Africa).</w:t>
      </w:r>
    </w:p>
    <w:p w14:paraId="431A823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Wang, B. (2019). The cash conversion cycle spread. Journal of financial economics, 133(2), 472-497.</w:t>
      </w:r>
    </w:p>
    <w:p w14:paraId="6B032FE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Wangechi, S. W., &amp; Irungu, A. M. (2023). Working Capital Management and Financial Performance of Deposit Taking Savings and Credit Cooperative Societies in Central Region, Kenya. Journal of Finance and Accounting, 3(1), 34-46.</w:t>
      </w:r>
    </w:p>
    <w:p w14:paraId="7451B7A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Wanzala, R. W., &amp; </w:t>
      </w:r>
      <w:proofErr w:type="spellStart"/>
      <w:r w:rsidRPr="001B71D7">
        <w:rPr>
          <w:color w:val="000000" w:themeColor="text1"/>
        </w:rPr>
        <w:t>Obokoh</w:t>
      </w:r>
      <w:proofErr w:type="spellEnd"/>
      <w:r w:rsidRPr="001B71D7">
        <w:rPr>
          <w:color w:val="000000" w:themeColor="text1"/>
        </w:rPr>
        <w:t>, L. (2024). The Effects of Working Capital Management on the Financial Performance of Commercial and Service Firms Listed on the Nairobi Securities Exchange in Kenya. Risks, 12(8), 119.</w:t>
      </w:r>
    </w:p>
    <w:p w14:paraId="7DFED8D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Wasike, M. W. (2019). Accounts Receivable Management </w:t>
      </w:r>
      <w:proofErr w:type="gramStart"/>
      <w:r w:rsidRPr="001B71D7">
        <w:rPr>
          <w:color w:val="000000" w:themeColor="text1"/>
        </w:rPr>
        <w:t>And</w:t>
      </w:r>
      <w:proofErr w:type="gramEnd"/>
      <w:r w:rsidRPr="001B71D7">
        <w:rPr>
          <w:color w:val="000000" w:themeColor="text1"/>
        </w:rPr>
        <w:t xml:space="preserve"> </w:t>
      </w:r>
      <w:proofErr w:type="gramStart"/>
      <w:r w:rsidRPr="001B71D7">
        <w:rPr>
          <w:color w:val="000000" w:themeColor="text1"/>
        </w:rPr>
        <w:t>The</w:t>
      </w:r>
      <w:proofErr w:type="gramEnd"/>
      <w:r w:rsidRPr="001B71D7">
        <w:rPr>
          <w:color w:val="000000" w:themeColor="text1"/>
        </w:rPr>
        <w:t xml:space="preserve"> Financial Performance </w:t>
      </w:r>
      <w:proofErr w:type="gramStart"/>
      <w:r w:rsidRPr="001B71D7">
        <w:rPr>
          <w:color w:val="000000" w:themeColor="text1"/>
        </w:rPr>
        <w:t>Of</w:t>
      </w:r>
      <w:proofErr w:type="gramEnd"/>
      <w:r w:rsidRPr="001B71D7">
        <w:rPr>
          <w:color w:val="000000" w:themeColor="text1"/>
        </w:rPr>
        <w:t xml:space="preserve"> </w:t>
      </w:r>
      <w:proofErr w:type="spellStart"/>
      <w:r w:rsidRPr="001B71D7">
        <w:rPr>
          <w:color w:val="000000" w:themeColor="text1"/>
        </w:rPr>
        <w:t>Nzoia</w:t>
      </w:r>
      <w:proofErr w:type="spellEnd"/>
      <w:r w:rsidRPr="001B71D7">
        <w:rPr>
          <w:color w:val="000000" w:themeColor="text1"/>
        </w:rPr>
        <w:t xml:space="preserve"> Water Service Company Limited, Kenya (Doctoral dissertation, MMUST).</w:t>
      </w:r>
    </w:p>
    <w:p w14:paraId="34D13D85"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Waweru, C.G. (2019). The relationship between working capital management and Value of Companies quoted at the </w:t>
      </w:r>
      <w:proofErr w:type="gramStart"/>
      <w:r w:rsidRPr="001B71D7">
        <w:rPr>
          <w:color w:val="000000" w:themeColor="text1"/>
        </w:rPr>
        <w:t>NSE.(</w:t>
      </w:r>
      <w:proofErr w:type="gramEnd"/>
      <w:r w:rsidRPr="001B71D7">
        <w:rPr>
          <w:color w:val="000000" w:themeColor="text1"/>
        </w:rPr>
        <w:t>MBA Research project). University of Nairobi, Kenya.</w:t>
      </w:r>
    </w:p>
    <w:p w14:paraId="5A31DE9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Wekesa, A., &amp; Njeru, P. N. (2022). Working Capital Management and Financial Performance of Manufacturing Firms Listed at the Nairobi Securities Exchange. African Development Finance Journal, 3(1), 185-216.</w:t>
      </w:r>
    </w:p>
    <w:p w14:paraId="46347D4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Williamson, T. (2013). Modal logic as metaphysics. Oxford University Press.</w:t>
      </w:r>
    </w:p>
    <w:p w14:paraId="66B6D865"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Wilujeng</w:t>
      </w:r>
      <w:proofErr w:type="spellEnd"/>
      <w:r w:rsidRPr="001B71D7">
        <w:rPr>
          <w:color w:val="000000" w:themeColor="text1"/>
        </w:rPr>
        <w:t>, S., &amp; Widodo, H. (2024). Accounts Payable, Intellectual Capital, and Corporate Value: Case Study of Food and Beverage Sector on IDX 2016-2020. Indonesian Journal of Public Policy Review, 25(2), 10-21070.</w:t>
      </w:r>
    </w:p>
    <w:p w14:paraId="0F987F1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Wooldridge, J. M. (2009). Econometrics: Panel Data Methods.</w:t>
      </w:r>
    </w:p>
    <w:p w14:paraId="6850A4D7" w14:textId="77777777" w:rsidR="00294E1F" w:rsidRPr="001B71D7" w:rsidRDefault="00294E1F" w:rsidP="00294E1F">
      <w:pPr>
        <w:pStyle w:val="NormalWeb"/>
        <w:spacing w:before="0" w:line="276" w:lineRule="auto"/>
        <w:ind w:left="720" w:hanging="720"/>
        <w:rPr>
          <w:color w:val="000000" w:themeColor="text1"/>
        </w:rPr>
      </w:pPr>
      <w:r w:rsidRPr="007A5D11">
        <w:rPr>
          <w:color w:val="000000" w:themeColor="text1"/>
          <w:lang w:val="nl-BE"/>
        </w:rPr>
        <w:t xml:space="preserve">Yan, B., Chen, Z., Yan, C., Zhang, Z., &amp; Kang, H. (2021). </w:t>
      </w:r>
      <w:r w:rsidRPr="001B71D7">
        <w:rPr>
          <w:color w:val="000000" w:themeColor="text1"/>
        </w:rPr>
        <w:t>Evolutionary multiplayer game analysis of accounts receivable financing based on supply chain financing. International Journal of Production Research, 1-19.</w:t>
      </w:r>
    </w:p>
    <w:p w14:paraId="78D0C63C" w14:textId="1715256C" w:rsidR="00294E1F" w:rsidRPr="007A5D11" w:rsidRDefault="00294E1F" w:rsidP="00294E1F">
      <w:pPr>
        <w:pStyle w:val="NormalWeb"/>
        <w:spacing w:before="0" w:line="276" w:lineRule="auto"/>
        <w:ind w:left="720" w:hanging="720"/>
        <w:rPr>
          <w:color w:val="000000" w:themeColor="text1"/>
        </w:rPr>
      </w:pPr>
      <w:r w:rsidRPr="001B71D7">
        <w:rPr>
          <w:color w:val="000000" w:themeColor="text1"/>
        </w:rPr>
        <w:t xml:space="preserve">Yao, H., &amp; Deng, Y. (2019). Managerial incentives and accounts receivable management policy. Managerial </w:t>
      </w:r>
      <w:r w:rsidRPr="007A5D11">
        <w:rPr>
          <w:color w:val="000000" w:themeColor="text1"/>
        </w:rPr>
        <w:t>Finance, 44(7), 865-884.</w:t>
      </w:r>
    </w:p>
    <w:p w14:paraId="21495237" w14:textId="120B096A" w:rsidR="0059765D" w:rsidRPr="007A5D11" w:rsidRDefault="0059765D" w:rsidP="0059765D">
      <w:pPr>
        <w:spacing w:line="240" w:lineRule="auto"/>
        <w:ind w:left="720" w:hanging="720"/>
      </w:pPr>
      <w:r w:rsidRPr="007A5D11">
        <w:t xml:space="preserve">Delima VJ. Working Capital Management and Working Capital Policies on Firm’s Value: A Special Reference to the Listed Companies in Sri Lanka. Asian J. Econ. </w:t>
      </w:r>
      <w:proofErr w:type="spellStart"/>
      <w:r w:rsidRPr="007A5D11">
        <w:t>Busin</w:t>
      </w:r>
      <w:proofErr w:type="spellEnd"/>
      <w:r w:rsidRPr="007A5D11">
        <w:t>. Acc. [Internet]. 2023 Sep. 18 [cited 2025 Aug. 19];23(20):122-37. Available from: https://journalajeba.com/index.php/AJEBA/article/view/1098</w:t>
      </w:r>
    </w:p>
    <w:p w14:paraId="7C51EED8" w14:textId="77777777" w:rsidR="00294E1F" w:rsidRPr="001B71D7" w:rsidRDefault="00294E1F" w:rsidP="00294E1F">
      <w:pPr>
        <w:pStyle w:val="NormalWeb"/>
        <w:spacing w:before="0" w:line="276" w:lineRule="auto"/>
        <w:ind w:left="720" w:hanging="720"/>
        <w:rPr>
          <w:color w:val="000000" w:themeColor="text1"/>
        </w:rPr>
      </w:pPr>
      <w:r w:rsidRPr="007A5D11">
        <w:rPr>
          <w:color w:val="000000" w:themeColor="text1"/>
        </w:rPr>
        <w:t>Yaremenko, L. (2018). Formation of accounting information of accounts receivable</w:t>
      </w:r>
      <w:r w:rsidRPr="001B71D7">
        <w:rPr>
          <w:color w:val="000000" w:themeColor="text1"/>
        </w:rPr>
        <w:t xml:space="preserve"> and accounts payable. University Economic Bulletin, (36/1), 147-154.</w:t>
      </w:r>
    </w:p>
    <w:p w14:paraId="6E44C8D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Yasir, M., Majid, A., &amp; Yousaf, Z. (2014). Cash Conversion Cycle and its Impact upon Firm Performance: </w:t>
      </w:r>
      <w:proofErr w:type="gramStart"/>
      <w:r w:rsidRPr="001B71D7">
        <w:rPr>
          <w:color w:val="000000" w:themeColor="text1"/>
        </w:rPr>
        <w:t>an</w:t>
      </w:r>
      <w:proofErr w:type="gramEnd"/>
      <w:r w:rsidRPr="001B71D7">
        <w:rPr>
          <w:color w:val="000000" w:themeColor="text1"/>
        </w:rPr>
        <w:t xml:space="preserve"> Evidence from Cement Industry of Pakistan. Global Business &amp; Management Research, 6(2).</w:t>
      </w:r>
    </w:p>
    <w:p w14:paraId="5FD970A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Yator, B. C. (2018). The Effect of Capital Budgeting Techniques on the Financial Performance of Companies Listed at the Nairobi Securities Exchange. Doctoral dissertation, university of Nairobi.</w:t>
      </w:r>
    </w:p>
    <w:sectPr w:rsidR="00294E1F" w:rsidRPr="001B71D7" w:rsidSect="00055D83">
      <w:headerReference w:type="even" r:id="rId10"/>
      <w:headerReference w:type="default" r:id="rId11"/>
      <w:footerReference w:type="even" r:id="rId12"/>
      <w:footerReference w:type="default" r:id="rId13"/>
      <w:headerReference w:type="first" r:id="rId14"/>
      <w:footerReference w:type="first" r:id="rId15"/>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78BB3" w14:textId="77777777" w:rsidR="003100B5" w:rsidRDefault="003100B5">
      <w:pPr>
        <w:spacing w:before="0" w:line="240" w:lineRule="auto"/>
      </w:pPr>
      <w:r>
        <w:separator/>
      </w:r>
    </w:p>
  </w:endnote>
  <w:endnote w:type="continuationSeparator" w:id="0">
    <w:p w14:paraId="4F318EED" w14:textId="77777777" w:rsidR="003100B5" w:rsidRDefault="003100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BA95" w14:textId="77777777" w:rsidR="00E33523" w:rsidRDefault="00E33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23218D28" w:rsidR="004A12F4" w:rsidRPr="008A0558" w:rsidRDefault="00556C7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40346E">
          <w:rPr>
            <w:noProof/>
            <w:sz w:val="20"/>
            <w:szCs w:val="18"/>
          </w:rPr>
          <w:t>14</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7C4B" w14:textId="77777777" w:rsidR="00E33523" w:rsidRDefault="00E33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396F4" w14:textId="77777777" w:rsidR="003100B5" w:rsidRDefault="003100B5">
      <w:pPr>
        <w:spacing w:before="0" w:line="240" w:lineRule="auto"/>
      </w:pPr>
      <w:r>
        <w:separator/>
      </w:r>
    </w:p>
  </w:footnote>
  <w:footnote w:type="continuationSeparator" w:id="0">
    <w:p w14:paraId="3716A569" w14:textId="77777777" w:rsidR="003100B5" w:rsidRDefault="003100B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7530" w14:textId="7506B572" w:rsidR="00E33523" w:rsidRDefault="00000000">
    <w:pPr>
      <w:pStyle w:val="Header"/>
    </w:pPr>
    <w:r>
      <w:rPr>
        <w:noProof/>
      </w:rPr>
      <w:pict w14:anchorId="34607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59126"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1480" w14:textId="25F06729" w:rsidR="00E33523" w:rsidRDefault="00000000">
    <w:pPr>
      <w:pStyle w:val="Header"/>
    </w:pPr>
    <w:r>
      <w:rPr>
        <w:noProof/>
      </w:rPr>
      <w:pict w14:anchorId="77EEF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59127"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09D0" w14:textId="6BA246F5" w:rsidR="00E33523" w:rsidRDefault="00000000">
    <w:pPr>
      <w:pStyle w:val="Header"/>
    </w:pPr>
    <w:r>
      <w:rPr>
        <w:noProof/>
      </w:rPr>
      <w:pict w14:anchorId="5C7E1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59125"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687400"/>
    <w:multiLevelType w:val="hybridMultilevel"/>
    <w:tmpl w:val="071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66D1"/>
    <w:multiLevelType w:val="hybridMultilevel"/>
    <w:tmpl w:val="7BAE5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01C5E"/>
    <w:multiLevelType w:val="hybridMultilevel"/>
    <w:tmpl w:val="F658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A1EAC"/>
    <w:multiLevelType w:val="hybridMultilevel"/>
    <w:tmpl w:val="A7EA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E5C35"/>
    <w:multiLevelType w:val="hybridMultilevel"/>
    <w:tmpl w:val="4A0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47B39"/>
    <w:multiLevelType w:val="hybridMultilevel"/>
    <w:tmpl w:val="0D0A84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E37E6"/>
    <w:multiLevelType w:val="hybridMultilevel"/>
    <w:tmpl w:val="7ED0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D3349"/>
    <w:multiLevelType w:val="hybridMultilevel"/>
    <w:tmpl w:val="7B7E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8C22F9"/>
    <w:multiLevelType w:val="hybridMultilevel"/>
    <w:tmpl w:val="DDBAC8F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1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1903057215">
    <w:abstractNumId w:val="4"/>
  </w:num>
  <w:num w:numId="2" w16cid:durableId="1813869249">
    <w:abstractNumId w:val="11"/>
  </w:num>
  <w:num w:numId="3" w16cid:durableId="1064258784">
    <w:abstractNumId w:val="16"/>
  </w:num>
  <w:num w:numId="4" w16cid:durableId="867765412">
    <w:abstractNumId w:val="15"/>
  </w:num>
  <w:num w:numId="5" w16cid:durableId="171576477">
    <w:abstractNumId w:val="12"/>
  </w:num>
  <w:num w:numId="6" w16cid:durableId="2361523">
    <w:abstractNumId w:val="14"/>
  </w:num>
  <w:num w:numId="7" w16cid:durableId="724450702">
    <w:abstractNumId w:val="3"/>
  </w:num>
  <w:num w:numId="8" w16cid:durableId="1880631462">
    <w:abstractNumId w:val="0"/>
  </w:num>
  <w:num w:numId="9" w16cid:durableId="1073165943">
    <w:abstractNumId w:val="8"/>
  </w:num>
  <w:num w:numId="10" w16cid:durableId="1179584718">
    <w:abstractNumId w:val="5"/>
  </w:num>
  <w:num w:numId="11" w16cid:durableId="38019844">
    <w:abstractNumId w:val="1"/>
  </w:num>
  <w:num w:numId="12" w16cid:durableId="1392192130">
    <w:abstractNumId w:val="7"/>
  </w:num>
  <w:num w:numId="13" w16cid:durableId="1359237012">
    <w:abstractNumId w:val="10"/>
  </w:num>
  <w:num w:numId="14" w16cid:durableId="1696736530">
    <w:abstractNumId w:val="13"/>
  </w:num>
  <w:num w:numId="15" w16cid:durableId="169607862">
    <w:abstractNumId w:val="2"/>
  </w:num>
  <w:num w:numId="16" w16cid:durableId="83845868">
    <w:abstractNumId w:val="6"/>
  </w:num>
  <w:num w:numId="17" w16cid:durableId="1876117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490C"/>
    <w:rsid w:val="000443AB"/>
    <w:rsid w:val="000446E8"/>
    <w:rsid w:val="00047D61"/>
    <w:rsid w:val="00055D83"/>
    <w:rsid w:val="00056467"/>
    <w:rsid w:val="000577EB"/>
    <w:rsid w:val="0006448B"/>
    <w:rsid w:val="00064933"/>
    <w:rsid w:val="000661F9"/>
    <w:rsid w:val="00073097"/>
    <w:rsid w:val="000747C2"/>
    <w:rsid w:val="000750F8"/>
    <w:rsid w:val="00076BA5"/>
    <w:rsid w:val="00082DAA"/>
    <w:rsid w:val="00085D04"/>
    <w:rsid w:val="0009733F"/>
    <w:rsid w:val="000A3BD7"/>
    <w:rsid w:val="000A57EC"/>
    <w:rsid w:val="000A6884"/>
    <w:rsid w:val="000B496D"/>
    <w:rsid w:val="000C037E"/>
    <w:rsid w:val="000D075E"/>
    <w:rsid w:val="000D0F56"/>
    <w:rsid w:val="000D1B44"/>
    <w:rsid w:val="000D7152"/>
    <w:rsid w:val="000D7DAA"/>
    <w:rsid w:val="000E2349"/>
    <w:rsid w:val="000F64A3"/>
    <w:rsid w:val="00111B62"/>
    <w:rsid w:val="001163C7"/>
    <w:rsid w:val="00130874"/>
    <w:rsid w:val="001403AD"/>
    <w:rsid w:val="00142F60"/>
    <w:rsid w:val="001450C8"/>
    <w:rsid w:val="001452A3"/>
    <w:rsid w:val="00146B31"/>
    <w:rsid w:val="00154669"/>
    <w:rsid w:val="00162029"/>
    <w:rsid w:val="00167C75"/>
    <w:rsid w:val="0018163F"/>
    <w:rsid w:val="001938DE"/>
    <w:rsid w:val="001A5880"/>
    <w:rsid w:val="001B71D7"/>
    <w:rsid w:val="001C0412"/>
    <w:rsid w:val="001C4B7D"/>
    <w:rsid w:val="001D23A9"/>
    <w:rsid w:val="001D4A55"/>
    <w:rsid w:val="001D6A60"/>
    <w:rsid w:val="001E0043"/>
    <w:rsid w:val="001E21F0"/>
    <w:rsid w:val="001E5289"/>
    <w:rsid w:val="001E649F"/>
    <w:rsid w:val="001F024F"/>
    <w:rsid w:val="001F2B0E"/>
    <w:rsid w:val="001F7468"/>
    <w:rsid w:val="00204AAD"/>
    <w:rsid w:val="0022048F"/>
    <w:rsid w:val="0022156B"/>
    <w:rsid w:val="00223099"/>
    <w:rsid w:val="00223A1A"/>
    <w:rsid w:val="0022500A"/>
    <w:rsid w:val="00243C69"/>
    <w:rsid w:val="0024737A"/>
    <w:rsid w:val="0025635B"/>
    <w:rsid w:val="00260B2D"/>
    <w:rsid w:val="002645C1"/>
    <w:rsid w:val="00270AED"/>
    <w:rsid w:val="00271CF6"/>
    <w:rsid w:val="00274AC6"/>
    <w:rsid w:val="00276CE5"/>
    <w:rsid w:val="002779A5"/>
    <w:rsid w:val="00277DE3"/>
    <w:rsid w:val="002856C7"/>
    <w:rsid w:val="002859D4"/>
    <w:rsid w:val="002860AE"/>
    <w:rsid w:val="00294E1F"/>
    <w:rsid w:val="002A6315"/>
    <w:rsid w:val="002B2D3C"/>
    <w:rsid w:val="002B5578"/>
    <w:rsid w:val="002C08CA"/>
    <w:rsid w:val="002C5E15"/>
    <w:rsid w:val="002C6F25"/>
    <w:rsid w:val="002C72A3"/>
    <w:rsid w:val="002D1CB2"/>
    <w:rsid w:val="002D2763"/>
    <w:rsid w:val="002D32ED"/>
    <w:rsid w:val="002D4259"/>
    <w:rsid w:val="002D7340"/>
    <w:rsid w:val="002E3874"/>
    <w:rsid w:val="002E784F"/>
    <w:rsid w:val="002F03DA"/>
    <w:rsid w:val="002F3573"/>
    <w:rsid w:val="00300BE0"/>
    <w:rsid w:val="00301FD6"/>
    <w:rsid w:val="003029F0"/>
    <w:rsid w:val="003100B5"/>
    <w:rsid w:val="00311DFA"/>
    <w:rsid w:val="003131D7"/>
    <w:rsid w:val="003140FD"/>
    <w:rsid w:val="00323D68"/>
    <w:rsid w:val="00324548"/>
    <w:rsid w:val="0033028F"/>
    <w:rsid w:val="0033151D"/>
    <w:rsid w:val="00333B9D"/>
    <w:rsid w:val="00336C6D"/>
    <w:rsid w:val="00337145"/>
    <w:rsid w:val="00342FD9"/>
    <w:rsid w:val="00343363"/>
    <w:rsid w:val="0036344E"/>
    <w:rsid w:val="00370F8B"/>
    <w:rsid w:val="00372DCB"/>
    <w:rsid w:val="00376BF4"/>
    <w:rsid w:val="003A2387"/>
    <w:rsid w:val="003B20C5"/>
    <w:rsid w:val="003C4227"/>
    <w:rsid w:val="003C581F"/>
    <w:rsid w:val="003C59BB"/>
    <w:rsid w:val="003C7107"/>
    <w:rsid w:val="003D2541"/>
    <w:rsid w:val="003D39AB"/>
    <w:rsid w:val="003D5321"/>
    <w:rsid w:val="003D7198"/>
    <w:rsid w:val="003E0D69"/>
    <w:rsid w:val="003E0FAD"/>
    <w:rsid w:val="003F01AE"/>
    <w:rsid w:val="003F72A0"/>
    <w:rsid w:val="0040346E"/>
    <w:rsid w:val="00406845"/>
    <w:rsid w:val="004071F4"/>
    <w:rsid w:val="00407977"/>
    <w:rsid w:val="0041566F"/>
    <w:rsid w:val="00415ABE"/>
    <w:rsid w:val="004165B3"/>
    <w:rsid w:val="00421CF2"/>
    <w:rsid w:val="0042251A"/>
    <w:rsid w:val="00426617"/>
    <w:rsid w:val="00426CDB"/>
    <w:rsid w:val="00437393"/>
    <w:rsid w:val="00440EF7"/>
    <w:rsid w:val="004916BB"/>
    <w:rsid w:val="004963A4"/>
    <w:rsid w:val="00496991"/>
    <w:rsid w:val="004A12F4"/>
    <w:rsid w:val="004A3F7C"/>
    <w:rsid w:val="004A5357"/>
    <w:rsid w:val="004B7C71"/>
    <w:rsid w:val="004C3121"/>
    <w:rsid w:val="004C41F7"/>
    <w:rsid w:val="004C4596"/>
    <w:rsid w:val="004D081D"/>
    <w:rsid w:val="004D515E"/>
    <w:rsid w:val="004D5CCD"/>
    <w:rsid w:val="004E3D2D"/>
    <w:rsid w:val="004E4A2C"/>
    <w:rsid w:val="00505972"/>
    <w:rsid w:val="0051714C"/>
    <w:rsid w:val="00526412"/>
    <w:rsid w:val="0052667E"/>
    <w:rsid w:val="005353BF"/>
    <w:rsid w:val="005417F4"/>
    <w:rsid w:val="0054398C"/>
    <w:rsid w:val="00546369"/>
    <w:rsid w:val="00554C06"/>
    <w:rsid w:val="00556C7C"/>
    <w:rsid w:val="00561737"/>
    <w:rsid w:val="00563CE7"/>
    <w:rsid w:val="005666F9"/>
    <w:rsid w:val="00571717"/>
    <w:rsid w:val="00571F99"/>
    <w:rsid w:val="005740B5"/>
    <w:rsid w:val="00575F00"/>
    <w:rsid w:val="00591DBD"/>
    <w:rsid w:val="005926C9"/>
    <w:rsid w:val="00594F68"/>
    <w:rsid w:val="0059765D"/>
    <w:rsid w:val="005B04D7"/>
    <w:rsid w:val="005B0558"/>
    <w:rsid w:val="005D3FE1"/>
    <w:rsid w:val="005D72F4"/>
    <w:rsid w:val="005E3D2C"/>
    <w:rsid w:val="005F1DA5"/>
    <w:rsid w:val="005F2409"/>
    <w:rsid w:val="005F2F50"/>
    <w:rsid w:val="0060683F"/>
    <w:rsid w:val="00610BEF"/>
    <w:rsid w:val="00615B2D"/>
    <w:rsid w:val="00616E93"/>
    <w:rsid w:val="006177C4"/>
    <w:rsid w:val="006211E5"/>
    <w:rsid w:val="00622E5D"/>
    <w:rsid w:val="00623C02"/>
    <w:rsid w:val="00632E53"/>
    <w:rsid w:val="00652189"/>
    <w:rsid w:val="0065654C"/>
    <w:rsid w:val="00661AAF"/>
    <w:rsid w:val="00675C16"/>
    <w:rsid w:val="00680AFB"/>
    <w:rsid w:val="006826A1"/>
    <w:rsid w:val="00683F32"/>
    <w:rsid w:val="0068692A"/>
    <w:rsid w:val="006A0520"/>
    <w:rsid w:val="006B1220"/>
    <w:rsid w:val="006B3C88"/>
    <w:rsid w:val="006B5A8E"/>
    <w:rsid w:val="006B5CA2"/>
    <w:rsid w:val="006C3DFD"/>
    <w:rsid w:val="006C41A9"/>
    <w:rsid w:val="006C4D79"/>
    <w:rsid w:val="006D16E8"/>
    <w:rsid w:val="006E1D74"/>
    <w:rsid w:val="006E3F3F"/>
    <w:rsid w:val="006E4528"/>
    <w:rsid w:val="006E526B"/>
    <w:rsid w:val="0070085D"/>
    <w:rsid w:val="00714562"/>
    <w:rsid w:val="0071731F"/>
    <w:rsid w:val="007173FC"/>
    <w:rsid w:val="007205CE"/>
    <w:rsid w:val="00722A32"/>
    <w:rsid w:val="00723B81"/>
    <w:rsid w:val="007313ED"/>
    <w:rsid w:val="00733867"/>
    <w:rsid w:val="00742463"/>
    <w:rsid w:val="00746E9B"/>
    <w:rsid w:val="0076188C"/>
    <w:rsid w:val="00762807"/>
    <w:rsid w:val="007656A9"/>
    <w:rsid w:val="0077042C"/>
    <w:rsid w:val="00774F84"/>
    <w:rsid w:val="007769D0"/>
    <w:rsid w:val="00777615"/>
    <w:rsid w:val="00783544"/>
    <w:rsid w:val="00784B96"/>
    <w:rsid w:val="00785F6F"/>
    <w:rsid w:val="00790BF9"/>
    <w:rsid w:val="00795B86"/>
    <w:rsid w:val="00797B58"/>
    <w:rsid w:val="007A0442"/>
    <w:rsid w:val="007A2567"/>
    <w:rsid w:val="007A48D9"/>
    <w:rsid w:val="007A5D11"/>
    <w:rsid w:val="007A602B"/>
    <w:rsid w:val="007A6B64"/>
    <w:rsid w:val="007A7328"/>
    <w:rsid w:val="007A784F"/>
    <w:rsid w:val="007B75C6"/>
    <w:rsid w:val="007C3182"/>
    <w:rsid w:val="007C6929"/>
    <w:rsid w:val="007D08AC"/>
    <w:rsid w:val="007D4F35"/>
    <w:rsid w:val="007E5A6C"/>
    <w:rsid w:val="007E67B7"/>
    <w:rsid w:val="007F1318"/>
    <w:rsid w:val="007F4F3C"/>
    <w:rsid w:val="007F5F0F"/>
    <w:rsid w:val="008003E7"/>
    <w:rsid w:val="0081762C"/>
    <w:rsid w:val="008209F0"/>
    <w:rsid w:val="00822A7E"/>
    <w:rsid w:val="008263C5"/>
    <w:rsid w:val="008456FF"/>
    <w:rsid w:val="00854FF7"/>
    <w:rsid w:val="00857BF9"/>
    <w:rsid w:val="00860F17"/>
    <w:rsid w:val="00870B4E"/>
    <w:rsid w:val="008718EE"/>
    <w:rsid w:val="00872612"/>
    <w:rsid w:val="00876501"/>
    <w:rsid w:val="00880213"/>
    <w:rsid w:val="008915AC"/>
    <w:rsid w:val="00895281"/>
    <w:rsid w:val="008A5E87"/>
    <w:rsid w:val="008B511B"/>
    <w:rsid w:val="008B630B"/>
    <w:rsid w:val="008B7490"/>
    <w:rsid w:val="008B7836"/>
    <w:rsid w:val="008B7D65"/>
    <w:rsid w:val="008C2098"/>
    <w:rsid w:val="008D43EA"/>
    <w:rsid w:val="008E2312"/>
    <w:rsid w:val="008F4E62"/>
    <w:rsid w:val="00906288"/>
    <w:rsid w:val="0092006B"/>
    <w:rsid w:val="00925466"/>
    <w:rsid w:val="0092720B"/>
    <w:rsid w:val="00935ABF"/>
    <w:rsid w:val="009418CE"/>
    <w:rsid w:val="00945F70"/>
    <w:rsid w:val="00961903"/>
    <w:rsid w:val="00963A57"/>
    <w:rsid w:val="00973355"/>
    <w:rsid w:val="00983F0C"/>
    <w:rsid w:val="009841F2"/>
    <w:rsid w:val="00993BED"/>
    <w:rsid w:val="009963FB"/>
    <w:rsid w:val="009A067C"/>
    <w:rsid w:val="009A1D5D"/>
    <w:rsid w:val="009B17C5"/>
    <w:rsid w:val="009B2CE5"/>
    <w:rsid w:val="009B3203"/>
    <w:rsid w:val="009B38E7"/>
    <w:rsid w:val="009B41D6"/>
    <w:rsid w:val="009B7DE4"/>
    <w:rsid w:val="009C0C7F"/>
    <w:rsid w:val="009C11BB"/>
    <w:rsid w:val="009D5CE2"/>
    <w:rsid w:val="009E0B92"/>
    <w:rsid w:val="009E0CF9"/>
    <w:rsid w:val="009E457F"/>
    <w:rsid w:val="009E6F3A"/>
    <w:rsid w:val="009E783A"/>
    <w:rsid w:val="009F3871"/>
    <w:rsid w:val="009F5632"/>
    <w:rsid w:val="009F6D2D"/>
    <w:rsid w:val="009F758A"/>
    <w:rsid w:val="00A00A05"/>
    <w:rsid w:val="00A0120F"/>
    <w:rsid w:val="00A01E19"/>
    <w:rsid w:val="00A1718F"/>
    <w:rsid w:val="00A22EB7"/>
    <w:rsid w:val="00A27439"/>
    <w:rsid w:val="00A31119"/>
    <w:rsid w:val="00A3424F"/>
    <w:rsid w:val="00A40F08"/>
    <w:rsid w:val="00A52C12"/>
    <w:rsid w:val="00A57832"/>
    <w:rsid w:val="00A616A9"/>
    <w:rsid w:val="00A6679B"/>
    <w:rsid w:val="00A67F40"/>
    <w:rsid w:val="00A73EDF"/>
    <w:rsid w:val="00A75341"/>
    <w:rsid w:val="00A81F27"/>
    <w:rsid w:val="00A82DFB"/>
    <w:rsid w:val="00A850FF"/>
    <w:rsid w:val="00A85593"/>
    <w:rsid w:val="00A85B82"/>
    <w:rsid w:val="00A91ACF"/>
    <w:rsid w:val="00A91C98"/>
    <w:rsid w:val="00A94D23"/>
    <w:rsid w:val="00A9586C"/>
    <w:rsid w:val="00A96A1E"/>
    <w:rsid w:val="00AC0D69"/>
    <w:rsid w:val="00AD0959"/>
    <w:rsid w:val="00AD6429"/>
    <w:rsid w:val="00AE4AA5"/>
    <w:rsid w:val="00AF253B"/>
    <w:rsid w:val="00B00FCB"/>
    <w:rsid w:val="00B03327"/>
    <w:rsid w:val="00B04E6C"/>
    <w:rsid w:val="00B108BB"/>
    <w:rsid w:val="00B22173"/>
    <w:rsid w:val="00B40DD3"/>
    <w:rsid w:val="00B449E1"/>
    <w:rsid w:val="00B44B78"/>
    <w:rsid w:val="00B55CEF"/>
    <w:rsid w:val="00B55DC9"/>
    <w:rsid w:val="00B717D1"/>
    <w:rsid w:val="00B836B4"/>
    <w:rsid w:val="00B85E42"/>
    <w:rsid w:val="00B86685"/>
    <w:rsid w:val="00B87A83"/>
    <w:rsid w:val="00B93488"/>
    <w:rsid w:val="00B9497F"/>
    <w:rsid w:val="00B95751"/>
    <w:rsid w:val="00BA58DB"/>
    <w:rsid w:val="00BA790C"/>
    <w:rsid w:val="00BB1899"/>
    <w:rsid w:val="00BB3A83"/>
    <w:rsid w:val="00BC6A0A"/>
    <w:rsid w:val="00BC7830"/>
    <w:rsid w:val="00BD64EB"/>
    <w:rsid w:val="00BD7BE1"/>
    <w:rsid w:val="00BE1869"/>
    <w:rsid w:val="00BE24E1"/>
    <w:rsid w:val="00BF6F97"/>
    <w:rsid w:val="00C01423"/>
    <w:rsid w:val="00C03297"/>
    <w:rsid w:val="00C04A5A"/>
    <w:rsid w:val="00C053F5"/>
    <w:rsid w:val="00C06731"/>
    <w:rsid w:val="00C10FCA"/>
    <w:rsid w:val="00C1335A"/>
    <w:rsid w:val="00C237CE"/>
    <w:rsid w:val="00C25488"/>
    <w:rsid w:val="00C4118B"/>
    <w:rsid w:val="00C53F1D"/>
    <w:rsid w:val="00C54577"/>
    <w:rsid w:val="00C67694"/>
    <w:rsid w:val="00C864EE"/>
    <w:rsid w:val="00C8688A"/>
    <w:rsid w:val="00C9348C"/>
    <w:rsid w:val="00C95979"/>
    <w:rsid w:val="00CA2418"/>
    <w:rsid w:val="00CA6BD4"/>
    <w:rsid w:val="00CB35BF"/>
    <w:rsid w:val="00CB6E82"/>
    <w:rsid w:val="00CE4C91"/>
    <w:rsid w:val="00CF7422"/>
    <w:rsid w:val="00D05354"/>
    <w:rsid w:val="00D15E77"/>
    <w:rsid w:val="00D16476"/>
    <w:rsid w:val="00D20B1E"/>
    <w:rsid w:val="00D21679"/>
    <w:rsid w:val="00D242AA"/>
    <w:rsid w:val="00D257C4"/>
    <w:rsid w:val="00D257F6"/>
    <w:rsid w:val="00D26C8B"/>
    <w:rsid w:val="00D309F6"/>
    <w:rsid w:val="00D3256F"/>
    <w:rsid w:val="00D34538"/>
    <w:rsid w:val="00D35C0E"/>
    <w:rsid w:val="00D36322"/>
    <w:rsid w:val="00D54CAA"/>
    <w:rsid w:val="00D56393"/>
    <w:rsid w:val="00D56DAA"/>
    <w:rsid w:val="00D656A4"/>
    <w:rsid w:val="00D665A0"/>
    <w:rsid w:val="00D669B1"/>
    <w:rsid w:val="00D73F27"/>
    <w:rsid w:val="00D74259"/>
    <w:rsid w:val="00D7477F"/>
    <w:rsid w:val="00D94638"/>
    <w:rsid w:val="00DA0813"/>
    <w:rsid w:val="00DB0925"/>
    <w:rsid w:val="00DB266B"/>
    <w:rsid w:val="00DB408B"/>
    <w:rsid w:val="00DC406B"/>
    <w:rsid w:val="00DC4076"/>
    <w:rsid w:val="00DC411F"/>
    <w:rsid w:val="00DD21C0"/>
    <w:rsid w:val="00DE2430"/>
    <w:rsid w:val="00DE5974"/>
    <w:rsid w:val="00DF126E"/>
    <w:rsid w:val="00E0554F"/>
    <w:rsid w:val="00E07021"/>
    <w:rsid w:val="00E1065F"/>
    <w:rsid w:val="00E1453F"/>
    <w:rsid w:val="00E160F3"/>
    <w:rsid w:val="00E17890"/>
    <w:rsid w:val="00E22B03"/>
    <w:rsid w:val="00E22FC8"/>
    <w:rsid w:val="00E236F2"/>
    <w:rsid w:val="00E24AB2"/>
    <w:rsid w:val="00E30A7F"/>
    <w:rsid w:val="00E33523"/>
    <w:rsid w:val="00E3709F"/>
    <w:rsid w:val="00E41E2F"/>
    <w:rsid w:val="00E448DE"/>
    <w:rsid w:val="00E468EC"/>
    <w:rsid w:val="00E5141C"/>
    <w:rsid w:val="00E54B24"/>
    <w:rsid w:val="00E57ADC"/>
    <w:rsid w:val="00E60AE6"/>
    <w:rsid w:val="00E70601"/>
    <w:rsid w:val="00E728DB"/>
    <w:rsid w:val="00E730D7"/>
    <w:rsid w:val="00E737F5"/>
    <w:rsid w:val="00E73E17"/>
    <w:rsid w:val="00E77E87"/>
    <w:rsid w:val="00E85394"/>
    <w:rsid w:val="00E85589"/>
    <w:rsid w:val="00E87A78"/>
    <w:rsid w:val="00EA355D"/>
    <w:rsid w:val="00EA7AE3"/>
    <w:rsid w:val="00EB234C"/>
    <w:rsid w:val="00EC58C5"/>
    <w:rsid w:val="00ED008A"/>
    <w:rsid w:val="00EE0214"/>
    <w:rsid w:val="00EE3940"/>
    <w:rsid w:val="00EF3DAC"/>
    <w:rsid w:val="00F00D01"/>
    <w:rsid w:val="00F01BA4"/>
    <w:rsid w:val="00F02225"/>
    <w:rsid w:val="00F04DE7"/>
    <w:rsid w:val="00F05D67"/>
    <w:rsid w:val="00F111A2"/>
    <w:rsid w:val="00F14915"/>
    <w:rsid w:val="00F16858"/>
    <w:rsid w:val="00F23691"/>
    <w:rsid w:val="00F341B9"/>
    <w:rsid w:val="00F35BAA"/>
    <w:rsid w:val="00F42712"/>
    <w:rsid w:val="00F42A52"/>
    <w:rsid w:val="00F42B0A"/>
    <w:rsid w:val="00F46BA3"/>
    <w:rsid w:val="00F6655B"/>
    <w:rsid w:val="00F74A68"/>
    <w:rsid w:val="00F74BD5"/>
    <w:rsid w:val="00F857CA"/>
    <w:rsid w:val="00F926C6"/>
    <w:rsid w:val="00F93EB9"/>
    <w:rsid w:val="00FA3A0A"/>
    <w:rsid w:val="00FA74EF"/>
    <w:rsid w:val="00FB2E0F"/>
    <w:rsid w:val="00FB3030"/>
    <w:rsid w:val="00FB3BC1"/>
    <w:rsid w:val="00FB4E25"/>
    <w:rsid w:val="00FC34D0"/>
    <w:rsid w:val="00FC4A1C"/>
    <w:rsid w:val="00FD3DAC"/>
    <w:rsid w:val="00FD4A02"/>
    <w:rsid w:val="00FE5B93"/>
    <w:rsid w:val="00FE6B26"/>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qFormat/>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paragraph" w:customStyle="1" w:styleId="TABLES0">
    <w:name w:val="TABLES"/>
    <w:basedOn w:val="Normal"/>
    <w:qFormat/>
    <w:rsid w:val="00437393"/>
    <w:pPr>
      <w:spacing w:before="120" w:after="120"/>
    </w:pPr>
    <w:rPr>
      <w:rFonts w:cs="Times New Roman"/>
      <w:b/>
      <w:color w:val="auto"/>
      <w14:ligatures w14:val="none"/>
    </w:rPr>
  </w:style>
  <w:style w:type="table" w:styleId="PlainTable5">
    <w:name w:val="Plain Table 5"/>
    <w:basedOn w:val="TableNormal"/>
    <w:uiPriority w:val="45"/>
    <w:rsid w:val="00C053F5"/>
    <w:pPr>
      <w:spacing w:after="0" w:line="240" w:lineRule="auto"/>
      <w:jc w:val="both"/>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stofTables">
    <w:name w:val="List of Tables"/>
    <w:basedOn w:val="Caption"/>
    <w:next w:val="Caption"/>
    <w:qFormat/>
    <w:rsid w:val="00860F17"/>
    <w:pPr>
      <w:keepNext/>
      <w:jc w:val="left"/>
    </w:pPr>
    <w:rPr>
      <w:rFonts w:eastAsia="Calibri"/>
      <w:color w:val="auto"/>
      <w:kern w:val="2"/>
      <w:sz w:val="24"/>
      <w:szCs w:val="24"/>
      <w14:ligatures w14:val="standardContextual"/>
    </w:rPr>
  </w:style>
  <w:style w:type="character" w:customStyle="1" w:styleId="UnresolvedMention2">
    <w:name w:val="Unresolved Mention2"/>
    <w:basedOn w:val="DefaultParagraphFont"/>
    <w:uiPriority w:val="99"/>
    <w:semiHidden/>
    <w:unhideWhenUsed/>
    <w:rsid w:val="00790BF9"/>
    <w:rPr>
      <w:color w:val="605E5C"/>
      <w:shd w:val="clear" w:color="auto" w:fill="E1DFDD"/>
    </w:rPr>
  </w:style>
  <w:style w:type="character" w:styleId="Strong">
    <w:name w:val="Strong"/>
    <w:basedOn w:val="DefaultParagraphFont"/>
    <w:uiPriority w:val="22"/>
    <w:qFormat/>
    <w:rsid w:val="00A850FF"/>
    <w:rPr>
      <w:b/>
      <w:bCs/>
    </w:rPr>
  </w:style>
  <w:style w:type="table" w:styleId="PlainTable1">
    <w:name w:val="Plain Table 1"/>
    <w:basedOn w:val="TableNormal"/>
    <w:uiPriority w:val="41"/>
    <w:rsid w:val="00A850F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3">
    <w:name w:val="Unresolved Mention3"/>
    <w:basedOn w:val="DefaultParagraphFont"/>
    <w:uiPriority w:val="99"/>
    <w:semiHidden/>
    <w:unhideWhenUsed/>
    <w:rsid w:val="00277DE3"/>
    <w:rPr>
      <w:color w:val="605E5C"/>
      <w:shd w:val="clear" w:color="auto" w:fill="E1DFDD"/>
    </w:rPr>
  </w:style>
  <w:style w:type="paragraph" w:styleId="Header">
    <w:name w:val="header"/>
    <w:basedOn w:val="Normal"/>
    <w:link w:val="HeaderChar"/>
    <w:uiPriority w:val="99"/>
    <w:unhideWhenUsed/>
    <w:rsid w:val="00E3352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33523"/>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cked"/>
        <c:varyColors val="0"/>
        <c:ser>
          <c:idx val="0"/>
          <c:order val="0"/>
          <c:tx>
            <c:strRef>
              <c:f>Sheet1!$G$2</c:f>
              <c:strCache>
                <c:ptCount val="1"/>
                <c:pt idx="0">
                  <c:v>tobin q</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Sheet1!$F$3:$F$7</c:f>
              <c:numCache>
                <c:formatCode>General</c:formatCode>
                <c:ptCount val="5"/>
                <c:pt idx="0">
                  <c:v>2019</c:v>
                </c:pt>
                <c:pt idx="1">
                  <c:v>2020</c:v>
                </c:pt>
                <c:pt idx="2">
                  <c:v>2021</c:v>
                </c:pt>
                <c:pt idx="3">
                  <c:v>2022</c:v>
                </c:pt>
                <c:pt idx="4">
                  <c:v>2023</c:v>
                </c:pt>
              </c:numCache>
            </c:numRef>
          </c:cat>
          <c:val>
            <c:numRef>
              <c:f>Sheet1!$G$3:$G$7</c:f>
              <c:numCache>
                <c:formatCode>General</c:formatCode>
                <c:ptCount val="5"/>
                <c:pt idx="0">
                  <c:v>1.27</c:v>
                </c:pt>
                <c:pt idx="1">
                  <c:v>1.62</c:v>
                </c:pt>
                <c:pt idx="2">
                  <c:v>0.66900000000000004</c:v>
                </c:pt>
                <c:pt idx="3">
                  <c:v>0.65300000000000002</c:v>
                </c:pt>
                <c:pt idx="4">
                  <c:v>0.57099999999999995</c:v>
                </c:pt>
              </c:numCache>
            </c:numRef>
          </c:val>
          <c:smooth val="0"/>
          <c:extLst>
            <c:ext xmlns:c16="http://schemas.microsoft.com/office/drawing/2014/chart" uri="{C3380CC4-5D6E-409C-BE32-E72D297353CC}">
              <c16:uniqueId val="{00000000-AE17-4FAD-B177-438AFF466F8F}"/>
            </c:ext>
          </c:extLst>
        </c:ser>
        <c:dLbls>
          <c:showLegendKey val="0"/>
          <c:showVal val="0"/>
          <c:showCatName val="0"/>
          <c:showSerName val="0"/>
          <c:showPercent val="0"/>
          <c:showBubbleSize val="0"/>
        </c:dLbls>
        <c:marker val="1"/>
        <c:smooth val="0"/>
        <c:axId val="-1620806752"/>
        <c:axId val="-1620808384"/>
      </c:lineChart>
      <c:catAx>
        <c:axId val="-162080675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20808384"/>
        <c:crosses val="autoZero"/>
        <c:auto val="1"/>
        <c:lblAlgn val="ctr"/>
        <c:lblOffset val="100"/>
        <c:noMultiLvlLbl val="0"/>
      </c:catAx>
      <c:valAx>
        <c:axId val="-162080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2080675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30</Pages>
  <Words>11638</Words>
  <Characters>66341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Editor GP 005</cp:lastModifiedBy>
  <cp:revision>4</cp:revision>
  <dcterms:created xsi:type="dcterms:W3CDTF">2025-08-25T07:58:00Z</dcterms:created>
  <dcterms:modified xsi:type="dcterms:W3CDTF">2025-08-27T10:32:00Z</dcterms:modified>
</cp:coreProperties>
</file>