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4BC42" w14:textId="3DF553CD" w:rsidR="007A48D9" w:rsidRDefault="00F74BD5" w:rsidP="00055D83">
      <w:pPr>
        <w:spacing w:line="240" w:lineRule="auto"/>
        <w:jc w:val="center"/>
        <w:rPr>
          <w:rFonts w:cs="Times New Roman"/>
          <w:b/>
          <w:bCs/>
          <w:color w:val="000000" w:themeColor="text1"/>
          <w:sz w:val="36"/>
          <w:szCs w:val="36"/>
        </w:rPr>
      </w:pPr>
      <w:bookmarkStart w:id="0" w:name="_GoBack"/>
      <w:bookmarkEnd w:id="0"/>
      <w:r w:rsidRPr="00F74BD5">
        <w:rPr>
          <w:rFonts w:cs="Times New Roman"/>
          <w:b/>
          <w:bCs/>
          <w:color w:val="000000" w:themeColor="text1"/>
          <w:sz w:val="36"/>
          <w:szCs w:val="36"/>
        </w:rPr>
        <w:t>OPERATIONAL INTERNAL CONTROLS AND FINANCIAL PERFORMANCE EFFICIENCY IN SELECTED NON-GOVERNMENTAL ORGANIZATIONS: EVIDENCE FROM NAIROBI CITY COUNTY, KENYA</w:t>
      </w:r>
    </w:p>
    <w:p w14:paraId="22A3620E" w14:textId="77777777" w:rsidR="00F74BD5" w:rsidRPr="00FB2E0F" w:rsidRDefault="00F74BD5" w:rsidP="00055D83">
      <w:pPr>
        <w:spacing w:line="240" w:lineRule="auto"/>
        <w:jc w:val="center"/>
        <w:rPr>
          <w:rFonts w:cs="Times New Roman"/>
          <w:b/>
          <w:bCs/>
          <w:color w:val="000000" w:themeColor="text1"/>
          <w:sz w:val="36"/>
          <w:szCs w:val="36"/>
        </w:rPr>
      </w:pPr>
    </w:p>
    <w:p w14:paraId="5A05B718" w14:textId="77777777" w:rsidR="007A48D9" w:rsidRPr="00FB2E0F" w:rsidRDefault="007A48D9" w:rsidP="00055D83">
      <w:pPr>
        <w:spacing w:before="0" w:line="240" w:lineRule="auto"/>
        <w:jc w:val="center"/>
        <w:rPr>
          <w:rFonts w:cs="Times New Roman"/>
          <w:b/>
          <w:color w:val="000000" w:themeColor="text1"/>
          <w:szCs w:val="24"/>
        </w:rPr>
      </w:pPr>
    </w:p>
    <w:p w14:paraId="420C5B92" w14:textId="77777777" w:rsidR="00DD21C0" w:rsidRDefault="00DD21C0" w:rsidP="00055D83">
      <w:pPr>
        <w:spacing w:before="0" w:line="240" w:lineRule="auto"/>
        <w:jc w:val="center"/>
        <w:rPr>
          <w:rFonts w:cs="Times New Roman"/>
          <w:color w:val="000000" w:themeColor="text1"/>
          <w:szCs w:val="24"/>
        </w:rPr>
      </w:pPr>
    </w:p>
    <w:p w14:paraId="26A1F76F" w14:textId="77777777" w:rsidR="00DD21C0" w:rsidRDefault="00DD21C0" w:rsidP="00055D83">
      <w:pPr>
        <w:spacing w:before="0" w:line="240" w:lineRule="auto"/>
        <w:jc w:val="center"/>
        <w:rPr>
          <w:rFonts w:cs="Times New Roman"/>
          <w:color w:val="000000" w:themeColor="text1"/>
          <w:szCs w:val="24"/>
        </w:rPr>
      </w:pPr>
    </w:p>
    <w:p w14:paraId="43D2AA90" w14:textId="77777777" w:rsidR="007C3182" w:rsidRPr="00FB2E0F" w:rsidRDefault="007C3182" w:rsidP="00055D83">
      <w:pPr>
        <w:spacing w:before="0" w:line="240" w:lineRule="auto"/>
        <w:jc w:val="center"/>
        <w:rPr>
          <w:rFonts w:cs="Times New Roman"/>
          <w:color w:val="000000" w:themeColor="text1"/>
          <w:szCs w:val="24"/>
        </w:rPr>
      </w:pPr>
    </w:p>
    <w:p w14:paraId="42946DD8" w14:textId="77777777" w:rsidR="00055D83" w:rsidRPr="00FB2E0F" w:rsidRDefault="00055D83" w:rsidP="00055D83">
      <w:pPr>
        <w:pStyle w:val="Heading1"/>
      </w:pPr>
      <w:bookmarkStart w:id="1" w:name="_Toc488404692"/>
      <w:bookmarkStart w:id="2" w:name="_Toc102409737"/>
      <w:r w:rsidRPr="00FB2E0F">
        <w:t>ABSTRACT</w:t>
      </w:r>
      <w:bookmarkEnd w:id="1"/>
      <w:bookmarkEnd w:id="2"/>
    </w:p>
    <w:p w14:paraId="04306579" w14:textId="6962538F" w:rsidR="00F74BD5" w:rsidRPr="00F74BD5" w:rsidRDefault="0005124C" w:rsidP="00F74BD5">
      <w:pPr>
        <w:spacing w:line="240" w:lineRule="auto"/>
        <w:rPr>
          <w:rFonts w:cs="Times New Roman"/>
          <w:color w:val="000000" w:themeColor="text1"/>
          <w:szCs w:val="24"/>
        </w:rPr>
      </w:pPr>
      <w:r w:rsidRPr="0005124C">
        <w:rPr>
          <w:rFonts w:cs="Times New Roman"/>
          <w:color w:val="000000" w:themeColor="text1"/>
          <w:szCs w:val="24"/>
        </w:rPr>
        <w:t xml:space="preserve">Operational internal control systems are vital in enhancing financial performance efficiency within the Non-Governmental Organization (NGO) sector, where accountability, transparency, and optimal resource utilization are paramount. In Kenya, NGOs continue to encounter persistent challenges, including financial mismanagement, weak budgetary control, delayed reporting, and inadequate donor fund accountability often stemming from deficient or poorly implemented oversight mechanisms. This study examined the influence of functional internal controls—preventive, detective, directive, and managerial—on financial performance efficiency in NGOs operating within Nairobi City County. The research investigated how mechanisms such as segregation of duties, authorization protocols, internal audits, financial guidelines, and budgetary procedures impact key performance measures, including program effectiveness, resource mobilization, overhead expenditure, budget deviation, and beneficiary expense efficiency. Guided by Agency Theory, Stewardship Theory, Contingency Theory, and the COSO Framework, the study adopted a descriptive survey design targeting fiscal administration staff in 263 NGOs. A stratified random sample of 157 respondents was selected. Data, collected through standardized questionnaires, were analyzed using descriptive statistics and multiple linear regression. Reliability was confirmed via Cronbach’s Alpha, and validity through expert review, factor analysis, KMO, and Bartlett’s tests. Multicollinearity was assessed using Variance Inflation Factors. Findings revealed that preventive controls exerted the strongest positive effect on financial performance efficiency (r = 0.691, B = 0.521, p &lt; 0.001), followed by managerial controls (r = 0.772, B = 0.374, p &lt; 0.001). Directive (r = 0.667, B = 0.439) and detective controls (r = 0.352, B = 0.423) also demonstrated significant positive impacts. The model explained 64.45% of the performance variation. </w:t>
      </w:r>
      <w:r w:rsidRPr="0005124C">
        <w:rPr>
          <w:rFonts w:cs="Times New Roman"/>
          <w:color w:val="000000" w:themeColor="text1"/>
          <w:szCs w:val="24"/>
          <w:highlight w:val="green"/>
        </w:rPr>
        <w:t>The study concludes that robust preventive controls, complemented by strengthened detective, directive, and managerial measures, are essential for fostering transparency, compliance, and strategic oversight. Practically, the findings provide actionable insights for NGO management and policymakers by underscoring the need to institutionalize preventive mechanisms, reinforce audit and training frameworks, and align financial oversight with donor accountability requirements to enhance governance and sustainability</w:t>
      </w:r>
      <w:r w:rsidR="00F74BD5" w:rsidRPr="00F74BD5">
        <w:rPr>
          <w:rFonts w:cs="Times New Roman"/>
          <w:color w:val="000000" w:themeColor="text1"/>
          <w:szCs w:val="24"/>
        </w:rPr>
        <w:t>.</w:t>
      </w:r>
    </w:p>
    <w:p w14:paraId="57387BFF" w14:textId="5675D960" w:rsidR="00FB2E0F" w:rsidRPr="00FB2E0F" w:rsidRDefault="00F74BD5" w:rsidP="00F74BD5">
      <w:pPr>
        <w:spacing w:line="240" w:lineRule="auto"/>
        <w:rPr>
          <w:rFonts w:cs="Times New Roman"/>
          <w:color w:val="000000" w:themeColor="text1"/>
          <w:szCs w:val="24"/>
        </w:rPr>
      </w:pPr>
      <w:r w:rsidRPr="00F74BD5">
        <w:rPr>
          <w:rFonts w:cs="Times New Roman"/>
          <w:b/>
          <w:bCs/>
          <w:color w:val="000000" w:themeColor="text1"/>
          <w:szCs w:val="24"/>
        </w:rPr>
        <w:t>Key Words</w:t>
      </w:r>
      <w:r>
        <w:rPr>
          <w:rFonts w:cs="Times New Roman"/>
          <w:b/>
          <w:bCs/>
          <w:color w:val="000000" w:themeColor="text1"/>
          <w:szCs w:val="24"/>
        </w:rPr>
        <w:t xml:space="preserve">: </w:t>
      </w:r>
      <w:r w:rsidRPr="00F74BD5">
        <w:rPr>
          <w:rFonts w:cs="Times New Roman"/>
          <w:i/>
          <w:iCs/>
          <w:color w:val="000000" w:themeColor="text1"/>
          <w:szCs w:val="24"/>
        </w:rPr>
        <w:t>Operational internal controls; financial performance efficiency; preventive controls; detective controls; directive controls; managerial controls; NGOs in Kenya</w:t>
      </w:r>
      <w:r w:rsidR="00FB2E0F" w:rsidRPr="00F74BD5">
        <w:rPr>
          <w:rFonts w:cs="Times New Roman"/>
          <w:i/>
          <w:iCs/>
          <w:color w:val="000000" w:themeColor="text1"/>
          <w:szCs w:val="24"/>
        </w:rPr>
        <w:t>.</w:t>
      </w:r>
    </w:p>
    <w:p w14:paraId="2CF9CB18" w14:textId="77777777" w:rsidR="00FB2E0F" w:rsidRPr="00FB2E0F" w:rsidRDefault="00FB2E0F" w:rsidP="00FB2E0F">
      <w:pPr>
        <w:spacing w:line="240" w:lineRule="auto"/>
        <w:rPr>
          <w:rFonts w:cs="Times New Roman"/>
          <w:color w:val="000000" w:themeColor="text1"/>
          <w:szCs w:val="24"/>
        </w:rPr>
      </w:pPr>
    </w:p>
    <w:p w14:paraId="60C890DF" w14:textId="77777777" w:rsidR="00055D83" w:rsidRPr="00FB2E0F" w:rsidRDefault="00055D83" w:rsidP="00055D83">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t>1.0 INTRODUCTION</w:t>
      </w:r>
    </w:p>
    <w:p w14:paraId="4DFB6375" w14:textId="183EFA8B"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 xml:space="preserve">Non-Governmental Organizations (NGOs) play a critical role in delivering essential services and promoting socio-economic development, particularly in developing countries such as Kenya (Wanyama, 2019). They often fill </w:t>
      </w:r>
      <w:r w:rsidRPr="00F74BD5">
        <w:rPr>
          <w:rFonts w:cs="Times New Roman"/>
          <w:color w:val="000000" w:themeColor="text1"/>
          <w:szCs w:val="24"/>
        </w:rPr>
        <w:lastRenderedPageBreak/>
        <w:t>service gaps left by the government in sectors including health, education, humanitarian relief, environmental protection, and human rights. In Nairobi City County, NGOs operate in a highly competitive environment characterized by scarce funding, donor scrutiny, and increasing demands for transparency and accountability (Otieno, 2020). Under these conditions, financial performance efficiency becomes central to their sustainability and credibility.</w:t>
      </w:r>
      <w:r>
        <w:rPr>
          <w:rFonts w:cs="Times New Roman"/>
          <w:color w:val="000000" w:themeColor="text1"/>
          <w:szCs w:val="24"/>
        </w:rPr>
        <w:t xml:space="preserve"> </w:t>
      </w:r>
      <w:r w:rsidRPr="00F74BD5">
        <w:rPr>
          <w:rFonts w:cs="Times New Roman"/>
          <w:color w:val="000000" w:themeColor="text1"/>
          <w:szCs w:val="24"/>
        </w:rPr>
        <w:t>Functional internal oversight is a cornerstone of sound financial management. It comprises policies and procedures designed to enhance operational efficiency, ensure reliable financial reporting, and promote compliance with laws and regulations (COSO, 2013). Key elements include segregation of duties, approval processes, reconciliations, and safeguarding of assets. When effectively implemented, internal oversight frameworks reduce risk, deter fraud, and strengthen the integrity of financial reports (Kinyua, 2016).</w:t>
      </w:r>
    </w:p>
    <w:p w14:paraId="12C0749B" w14:textId="0C5D4C32"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Despite the recognized importance of such mechanisms, many NGOs in Nairobi face persistent challenges, including financial misconduct, resource mismanagement, and inadequate accountability (Mwangi, 2021). These shortcomings raise concerns about the adequacy and effectiveness of existing oversight systems. In this study, financial performance efficiency is assessed using indicators such as program efficiency ratio, fundraising efficiency ratio, administrative cost ratio, budget variance analysis, and beneficiary cost efficiency (Young, 2020).</w:t>
      </w:r>
      <w:r>
        <w:rPr>
          <w:rFonts w:cs="Times New Roman"/>
          <w:color w:val="000000" w:themeColor="text1"/>
          <w:szCs w:val="24"/>
        </w:rPr>
        <w:t xml:space="preserve"> </w:t>
      </w:r>
      <w:r w:rsidRPr="00F74BD5">
        <w:rPr>
          <w:rFonts w:cs="Times New Roman"/>
          <w:color w:val="000000" w:themeColor="text1"/>
          <w:szCs w:val="24"/>
        </w:rPr>
        <w:t>Globally, internal oversight is a widely accepted practice in the non-profit sector. In the United States, about one-third of leaders in established Non-Profit Organizations (NPOs) integrate internal control measures to ensure sound fiscal outcomes, streamline audits, and enhance cross-departmental coordination (Wang &amp; Ruan, 2016). Advances in technology have further facilitated real-time monitoring and assessment of operations, making the role of internal audit divisions increasingly crucial (Barber &amp; Bowie, 2018).</w:t>
      </w:r>
    </w:p>
    <w:p w14:paraId="400505ED" w14:textId="4109C08B"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In Japan, NGOs have embedded internal oversight into all organizational segments, incorporating measures such as duty segregation, delegated authority, operational manuals, reconciliations, asset valuations, and restricted access controls (Petrovits et al., 2011). For example, finance departments link to electronic check monitoring systems to detect past defaulters, thereby preventing losses and recovery delays. Such comprehensive frameworks contribute to the high operational efficiency observed among global NGOs (Barber &amp; Bowie, 2018).</w:t>
      </w:r>
      <w:r>
        <w:rPr>
          <w:rFonts w:cs="Times New Roman"/>
          <w:color w:val="000000" w:themeColor="text1"/>
          <w:szCs w:val="24"/>
        </w:rPr>
        <w:t xml:space="preserve"> </w:t>
      </w:r>
      <w:r w:rsidRPr="00F74BD5">
        <w:rPr>
          <w:rFonts w:cs="Times New Roman"/>
          <w:color w:val="000000" w:themeColor="text1"/>
          <w:szCs w:val="24"/>
        </w:rPr>
        <w:t>The importance of internal oversight is equally evident in Africa. According to Oppong, Owiredu, and Abedana (2016), donor agencies have intensified scrutiny of NGOs following financial and administrative scandals in Sub-Saharan Africa. Their study on Faith-based NGOs in Ghana found that internal control systems significantly enhanced frugality and productivity, although they did not guarantee overall effectiveness. Notably, risk assessment processes were identified as a persistent weakness. The authors recommend routine evaluations of internal control systems and the establishment of robust risk management frameworks to address inherent vulnerabilities.</w:t>
      </w:r>
    </w:p>
    <w:p w14:paraId="5F82A437" w14:textId="77777777"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Contrasts in oversight practices are visible across African contexts. In Somalia, many NGOs underperform due to the absence of structured internal controls, often citing the high costs of implementation or a lack of innovative approaches (Wambugu, 2014). Conversely, Nigerian NGOs generally adopt oversight frameworks that improve operational effectiveness and service delivery. Where oversight is weak or absent, organizations face risks such as revenue losses, inaccurate reporting, audit failures, and inability to deliver services efficiently (Chimiak, 2014).</w:t>
      </w:r>
    </w:p>
    <w:p w14:paraId="31E2CCCA" w14:textId="77777777" w:rsidR="00F74BD5" w:rsidRPr="00F74BD5" w:rsidRDefault="00F74BD5" w:rsidP="00F74BD5">
      <w:pPr>
        <w:shd w:val="clear" w:color="auto" w:fill="FFFFFF"/>
        <w:spacing w:line="240" w:lineRule="auto"/>
        <w:rPr>
          <w:rFonts w:cs="Times New Roman"/>
          <w:color w:val="000000" w:themeColor="text1"/>
          <w:szCs w:val="24"/>
        </w:rPr>
      </w:pPr>
    </w:p>
    <w:p w14:paraId="64D7300E" w14:textId="77777777" w:rsidR="00F74BD5" w:rsidRPr="00F74BD5"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t>In Kenya, many NGOs have instituted internal control structures to safeguard the accuracy of financial reporting and bolster stakeholder confidence (Wambugu, 2014). These frameworks are considered essential governance tools, ensuring accountability to donors and protecting organizational assets. However, internal controls are not infallible; their effectiveness can be compromised by management pressures, opportunities for misconduct, and rationalization of unethical behavior (Collins, 2014). As Ngari (2017) notes, effective internal control over financial reporting is expected to provide reasonable assurance of the reliability of financial statements and the integrity of their preparation.</w:t>
      </w:r>
    </w:p>
    <w:p w14:paraId="5F06B01D" w14:textId="26BCA904" w:rsidR="00E85589" w:rsidRDefault="00F74BD5" w:rsidP="00F74BD5">
      <w:pPr>
        <w:shd w:val="clear" w:color="auto" w:fill="FFFFFF"/>
        <w:spacing w:line="240" w:lineRule="auto"/>
        <w:rPr>
          <w:rFonts w:cs="Times New Roman"/>
          <w:color w:val="000000" w:themeColor="text1"/>
          <w:szCs w:val="24"/>
        </w:rPr>
      </w:pPr>
      <w:r w:rsidRPr="00F74BD5">
        <w:rPr>
          <w:rFonts w:cs="Times New Roman"/>
          <w:color w:val="000000" w:themeColor="text1"/>
          <w:szCs w:val="24"/>
        </w:rPr>
        <w:lastRenderedPageBreak/>
        <w:t>Despite these measures, the Kenyan NGO sector faces significant structural and operational weaknesses. Munene (2013) identifies key issues including limited scope and impact, weak accountability to beneficiaries, excessive donor influence, ineffective strategies for building institutional capacity among target communities, insufficient emphasis on monitoring and evaluation, and inadequate technical and managerial skills. Large NGOs, in particular, are criticized for high operational costs</w:t>
      </w:r>
      <w:r w:rsidR="003E0FAD">
        <w:rPr>
          <w:rFonts w:cs="Times New Roman"/>
          <w:color w:val="000000" w:themeColor="text1"/>
          <w:szCs w:val="24"/>
        </w:rPr>
        <w:t xml:space="preserve"> </w:t>
      </w:r>
      <w:r w:rsidRPr="00F74BD5">
        <w:rPr>
          <w:rFonts w:cs="Times New Roman"/>
          <w:color w:val="000000" w:themeColor="text1"/>
          <w:szCs w:val="24"/>
        </w:rPr>
        <w:t>often exceeding 50% of total revenue</w:t>
      </w:r>
      <w:r w:rsidR="003E0FAD">
        <w:rPr>
          <w:rFonts w:cs="Times New Roman"/>
          <w:color w:val="000000" w:themeColor="text1"/>
          <w:szCs w:val="24"/>
        </w:rPr>
        <w:t xml:space="preserve"> </w:t>
      </w:r>
      <w:r w:rsidRPr="00F74BD5">
        <w:rPr>
          <w:rFonts w:cs="Times New Roman"/>
          <w:color w:val="000000" w:themeColor="text1"/>
          <w:szCs w:val="24"/>
        </w:rPr>
        <w:t>alongside bureaucratic inefficiencies and overreliance on donor funding.</w:t>
      </w:r>
      <w:r>
        <w:rPr>
          <w:rFonts w:cs="Times New Roman"/>
          <w:color w:val="000000" w:themeColor="text1"/>
          <w:szCs w:val="24"/>
        </w:rPr>
        <w:t xml:space="preserve"> </w:t>
      </w:r>
      <w:r w:rsidRPr="00F74BD5">
        <w:rPr>
          <w:rFonts w:cs="Times New Roman"/>
          <w:color w:val="000000" w:themeColor="text1"/>
          <w:szCs w:val="24"/>
        </w:rPr>
        <w:t>In sum, while internal oversight is universally acknowledged as vital to NGO performance, its application and effectiveness vary widely across contexts. For Nairobi City County NGOs, the challenge lies not only in adopting these mechanisms but also in ensuring they function optimally to enhance financial performance efficiency. This study therefore seeks to examine the relationship between functional internal oversight and the financial performance efficiency of NGOs in Nairobi, with the goal of identifying gaps and opportunities for strengthening governance and accountability structures.</w:t>
      </w:r>
    </w:p>
    <w:p w14:paraId="406125FC" w14:textId="77777777" w:rsidR="00324548" w:rsidRPr="00324548" w:rsidRDefault="00324548" w:rsidP="00324548">
      <w:pPr>
        <w:shd w:val="clear" w:color="auto" w:fill="FFFFFF"/>
        <w:spacing w:line="240" w:lineRule="auto"/>
        <w:rPr>
          <w:rFonts w:cs="Times New Roman"/>
          <w:b/>
          <w:bCs/>
          <w:i/>
          <w:iCs/>
          <w:color w:val="000000" w:themeColor="text1"/>
          <w:szCs w:val="24"/>
        </w:rPr>
      </w:pPr>
      <w:r w:rsidRPr="00324548">
        <w:rPr>
          <w:rFonts w:cs="Times New Roman"/>
          <w:b/>
          <w:bCs/>
          <w:i/>
          <w:iCs/>
          <w:color w:val="000000" w:themeColor="text1"/>
          <w:szCs w:val="24"/>
        </w:rPr>
        <w:t>Operational Internal Controls</w:t>
      </w:r>
    </w:p>
    <w:p w14:paraId="5FEDB76D" w14:textId="02D4AF53"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Internal control encompasses the entire framework of oversight</w:t>
      </w:r>
      <w:r w:rsidR="003E0FAD">
        <w:rPr>
          <w:rFonts w:cs="Times New Roman"/>
          <w:color w:val="000000" w:themeColor="text1"/>
          <w:szCs w:val="24"/>
        </w:rPr>
        <w:t xml:space="preserve"> </w:t>
      </w:r>
      <w:r w:rsidRPr="00324548">
        <w:rPr>
          <w:rFonts w:cs="Times New Roman"/>
          <w:color w:val="000000" w:themeColor="text1"/>
          <w:szCs w:val="24"/>
        </w:rPr>
        <w:t>both financial and non-financial</w:t>
      </w:r>
      <w:r w:rsidR="003E0FAD">
        <w:rPr>
          <w:rFonts w:cs="Times New Roman"/>
          <w:color w:val="000000" w:themeColor="text1"/>
          <w:szCs w:val="24"/>
        </w:rPr>
        <w:t xml:space="preserve"> </w:t>
      </w:r>
      <w:r w:rsidRPr="00324548">
        <w:rPr>
          <w:rFonts w:cs="Times New Roman"/>
          <w:color w:val="000000" w:themeColor="text1"/>
          <w:szCs w:val="24"/>
        </w:rPr>
        <w:t>implemented by an organization’s leadership to ensure operations are conducted systematically, resources are safeguarded, and documentation is accurate and reliable (Atu, Adeghe, &amp; Atu, 2014). For internal control systems to achieve their objectives, their constituent elements must be well-designed and effectively executed. The Committee of Sponsoring Organizations of the Treadway Commission (COSO, 2015) identifies five core components: the control environment, risk assessment, control activities, information and communication, and monitoring. Hongming and Yanan (2012) liken internal controls to a neural network within the organization</w:t>
      </w:r>
      <w:r w:rsidR="003E0FAD">
        <w:rPr>
          <w:rFonts w:cs="Times New Roman"/>
          <w:color w:val="000000" w:themeColor="text1"/>
          <w:szCs w:val="24"/>
        </w:rPr>
        <w:t xml:space="preserve"> </w:t>
      </w:r>
      <w:r w:rsidRPr="00324548">
        <w:rPr>
          <w:rFonts w:cs="Times New Roman"/>
          <w:color w:val="000000" w:themeColor="text1"/>
          <w:szCs w:val="24"/>
        </w:rPr>
        <w:t>integrated into every operational layer and transmitting critical information to management</w:t>
      </w:r>
      <w:r w:rsidR="003E0FAD">
        <w:rPr>
          <w:rFonts w:cs="Times New Roman"/>
          <w:color w:val="000000" w:themeColor="text1"/>
          <w:szCs w:val="24"/>
        </w:rPr>
        <w:t xml:space="preserve"> </w:t>
      </w:r>
      <w:r w:rsidRPr="00324548">
        <w:rPr>
          <w:rFonts w:cs="Times New Roman"/>
          <w:color w:val="000000" w:themeColor="text1"/>
          <w:szCs w:val="24"/>
        </w:rPr>
        <w:t>thus aligning with the organization’s structure, policies, and regulatory obligations.</w:t>
      </w:r>
    </w:p>
    <w:p w14:paraId="56CF862A" w14:textId="2380CC3C"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Empirical evidence underscores the link between commitment to internal control and improved organizational outcomes. Mawanda (2008) notes that organizations dedicated to robust control systems achieve better compliance, maintain accurate records, and generate reliable reports. Liu (2005) and Rittenberg and Schwieger (2005) further highlight six key benefits: detecting errors and fraud, curbing illicit behavior, improving organizational understanding, ensuring data quality, protecting tangible assets, and reducing audit costs. Such systems, however, must be tailored to organizational needs (Werle, 2019), balancing the costs of implementation against exposure to legal and operational risks.</w:t>
      </w:r>
      <w:r>
        <w:rPr>
          <w:rFonts w:cs="Times New Roman"/>
          <w:color w:val="000000" w:themeColor="text1"/>
          <w:szCs w:val="24"/>
        </w:rPr>
        <w:t xml:space="preserve"> </w:t>
      </w:r>
      <w:r w:rsidRPr="00324548">
        <w:rPr>
          <w:rFonts w:cs="Times New Roman"/>
          <w:color w:val="000000" w:themeColor="text1"/>
          <w:szCs w:val="24"/>
        </w:rPr>
        <w:t>Internal controls can be classified into four functional categories: preventive, detective, corrective, and directive (Lartey et al., 2020). Preventive controls aim to stop irregularities before they occur, relying on mechanisms such as hiring competent personnel, enforcing ethical standards, segregating duties, and maintaining adequate physical and procedural safeguards (Prayogi et al., 2019; Setyaningsih &amp; Nengzih, 2020). Physical safeguards</w:t>
      </w:r>
      <w:r w:rsidR="003E0FAD">
        <w:rPr>
          <w:rFonts w:cs="Times New Roman"/>
          <w:color w:val="000000" w:themeColor="text1"/>
          <w:szCs w:val="24"/>
        </w:rPr>
        <w:t xml:space="preserve"> </w:t>
      </w:r>
      <w:r w:rsidRPr="00324548">
        <w:rPr>
          <w:rFonts w:cs="Times New Roman"/>
          <w:color w:val="000000" w:themeColor="text1"/>
          <w:szCs w:val="24"/>
        </w:rPr>
        <w:t>locks, passwords, and security personnel</w:t>
      </w:r>
      <w:r w:rsidR="003E0FAD">
        <w:rPr>
          <w:rFonts w:cs="Times New Roman"/>
          <w:color w:val="000000" w:themeColor="text1"/>
          <w:szCs w:val="24"/>
        </w:rPr>
        <w:t xml:space="preserve"> </w:t>
      </w:r>
      <w:r w:rsidRPr="00324548">
        <w:rPr>
          <w:rFonts w:cs="Times New Roman"/>
          <w:color w:val="000000" w:themeColor="text1"/>
          <w:szCs w:val="24"/>
        </w:rPr>
        <w:t>further restrict unauthorized access (Sassaman, 2020). Detective controls, by contrast, identify deviations from policy after they occur through reviews, reconciliations, stock counts, and audits (Adeyemi &amp; Olarewaju, 2019). Corrective controls address and remediate identified problems, mitigate damage, and prevent recurrence, often through root cause analysis and subsequent policy changes (Ngure &amp; Ali, 2020; Realyvásquez-Vargas et al., 2020). Examples include disciplinary measures and formal reporting on control weaknesses (Denman, 2019; Chalmers et al., 2019). Directive controls guide behavior toward desired outcomes through strategic planning, formal policies, and procedural guidelines (Lartey et al., 2020).</w:t>
      </w:r>
    </w:p>
    <w:p w14:paraId="246954D7" w14:textId="274C6033"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This study will examine how these four categories</w:t>
      </w:r>
      <w:r w:rsidR="003E0FAD">
        <w:rPr>
          <w:rFonts w:cs="Times New Roman"/>
          <w:color w:val="000000" w:themeColor="text1"/>
          <w:szCs w:val="24"/>
        </w:rPr>
        <w:t xml:space="preserve"> </w:t>
      </w:r>
      <w:r w:rsidRPr="00324548">
        <w:rPr>
          <w:rFonts w:cs="Times New Roman"/>
          <w:color w:val="000000" w:themeColor="text1"/>
          <w:szCs w:val="24"/>
        </w:rPr>
        <w:t>preventive, detective, corrective, and directive</w:t>
      </w:r>
      <w:r w:rsidR="003E0FAD">
        <w:rPr>
          <w:rFonts w:cs="Times New Roman"/>
          <w:color w:val="000000" w:themeColor="text1"/>
          <w:szCs w:val="24"/>
        </w:rPr>
        <w:t xml:space="preserve"> </w:t>
      </w:r>
      <w:r w:rsidRPr="00324548">
        <w:rPr>
          <w:rFonts w:cs="Times New Roman"/>
          <w:color w:val="000000" w:themeColor="text1"/>
          <w:szCs w:val="24"/>
        </w:rPr>
        <w:t>collectively influence the management practices and financial performance of non-governmental organizations (NGOs).</w:t>
      </w:r>
    </w:p>
    <w:p w14:paraId="2AF679D6" w14:textId="77777777" w:rsidR="00324548" w:rsidRPr="00324548" w:rsidRDefault="00324548" w:rsidP="00324548">
      <w:pPr>
        <w:shd w:val="clear" w:color="auto" w:fill="FFFFFF"/>
        <w:spacing w:line="240" w:lineRule="auto"/>
        <w:rPr>
          <w:rFonts w:cs="Times New Roman"/>
          <w:b/>
          <w:bCs/>
          <w:i/>
          <w:iCs/>
          <w:color w:val="000000" w:themeColor="text1"/>
          <w:szCs w:val="24"/>
        </w:rPr>
      </w:pPr>
      <w:r w:rsidRPr="00324548">
        <w:rPr>
          <w:rFonts w:cs="Times New Roman"/>
          <w:b/>
          <w:bCs/>
          <w:i/>
          <w:iCs/>
          <w:color w:val="000000" w:themeColor="text1"/>
          <w:szCs w:val="24"/>
        </w:rPr>
        <w:t>Financial Performance Efficiency</w:t>
      </w:r>
    </w:p>
    <w:p w14:paraId="1E560FA2" w14:textId="77777777"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 xml:space="preserve">In the NGO context, financial performance efficiency refers to the optimal, transparent, and accountable use of financial resources to achieve mission-driven goals. Unlike profit-oriented entities, NGOs seek to maximize social impact, making efficiency a measure of resource stewardship rather than profitability. Performance is therefore </w:t>
      </w:r>
      <w:r w:rsidRPr="00324548">
        <w:rPr>
          <w:rFonts w:cs="Times New Roman"/>
          <w:color w:val="000000" w:themeColor="text1"/>
          <w:szCs w:val="24"/>
        </w:rPr>
        <w:lastRenderedPageBreak/>
        <w:t>assessed through indicators reflecting prudent budgeting, timely reporting, effective allocation, and cost control, all of which contribute to operational sustainability and donor confidence.</w:t>
      </w:r>
    </w:p>
    <w:p w14:paraId="0129371B" w14:textId="57F026A6"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Wang and Ruan (2016) define financial performance as the overall fiscal health of an organization and its capacity to meet financial objectives. Krug and Weinberg (2004) emphasize the alignment of resource management with mission delivery</w:t>
      </w:r>
      <w:r w:rsidR="003E0FAD">
        <w:rPr>
          <w:rFonts w:cs="Times New Roman"/>
          <w:color w:val="000000" w:themeColor="text1"/>
          <w:szCs w:val="24"/>
        </w:rPr>
        <w:t xml:space="preserve"> </w:t>
      </w:r>
      <w:r w:rsidRPr="00324548">
        <w:rPr>
          <w:rFonts w:cs="Times New Roman"/>
          <w:color w:val="000000" w:themeColor="text1"/>
          <w:szCs w:val="24"/>
        </w:rPr>
        <w:t>balancing budgets, sustaining operations, and providing quality services. Effective financial systems, according to Mikeladze (2021), enable NGOs to monitor expenditures, plan spending, and produce timely, accurate reports, thereby enhancing internal decision-making and strengthening donor trust. Mitchell and Calabrese (2019) frame these practices as central to transparency, low overhead costs, and responsible stewardship of funds.</w:t>
      </w:r>
    </w:p>
    <w:p w14:paraId="5DFE7AA8" w14:textId="7A982B26"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For this study, financial performance efficiency will be measured using five indicators: (1) program efficiency ratio</w:t>
      </w:r>
      <w:r w:rsidR="003E0FAD">
        <w:rPr>
          <w:rFonts w:cs="Times New Roman"/>
          <w:color w:val="000000" w:themeColor="text1"/>
          <w:szCs w:val="24"/>
        </w:rPr>
        <w:t xml:space="preserve"> </w:t>
      </w:r>
      <w:r w:rsidRPr="00324548">
        <w:rPr>
          <w:rFonts w:cs="Times New Roman"/>
          <w:color w:val="000000" w:themeColor="text1"/>
          <w:szCs w:val="24"/>
        </w:rPr>
        <w:t>the proportion of total expenditure dedicated to program services; (2) fundraising efficiency ratio</w:t>
      </w:r>
      <w:r w:rsidR="003E0FAD">
        <w:rPr>
          <w:rFonts w:cs="Times New Roman"/>
          <w:color w:val="000000" w:themeColor="text1"/>
          <w:szCs w:val="24"/>
        </w:rPr>
        <w:t xml:space="preserve"> </w:t>
      </w:r>
      <w:r w:rsidRPr="00324548">
        <w:rPr>
          <w:rFonts w:cs="Times New Roman"/>
          <w:color w:val="000000" w:themeColor="text1"/>
          <w:szCs w:val="24"/>
        </w:rPr>
        <w:t>fundraising costs relative to funds raised; (3) administrative cost ratio</w:t>
      </w:r>
      <w:r w:rsidR="003E0FAD">
        <w:rPr>
          <w:rFonts w:cs="Times New Roman"/>
          <w:color w:val="000000" w:themeColor="text1"/>
          <w:szCs w:val="24"/>
        </w:rPr>
        <w:t xml:space="preserve"> </w:t>
      </w:r>
      <w:r w:rsidRPr="00324548">
        <w:rPr>
          <w:rFonts w:cs="Times New Roman"/>
          <w:color w:val="000000" w:themeColor="text1"/>
          <w:szCs w:val="24"/>
        </w:rPr>
        <w:t>the share of expenditure allocated to administrative functions; (4) budget variance analysis</w:t>
      </w:r>
      <w:r w:rsidR="003E0FAD">
        <w:rPr>
          <w:rFonts w:cs="Times New Roman"/>
          <w:color w:val="000000" w:themeColor="text1"/>
          <w:szCs w:val="24"/>
        </w:rPr>
        <w:t xml:space="preserve"> </w:t>
      </w:r>
      <w:r w:rsidRPr="00324548">
        <w:rPr>
          <w:rFonts w:cs="Times New Roman"/>
          <w:color w:val="000000" w:themeColor="text1"/>
          <w:szCs w:val="24"/>
        </w:rPr>
        <w:t>differences between planned and actual spending; and (5) beneficiary cost efficiency</w:t>
      </w:r>
      <w:r w:rsidR="003E0FAD">
        <w:rPr>
          <w:rFonts w:cs="Times New Roman"/>
          <w:color w:val="000000" w:themeColor="text1"/>
          <w:szCs w:val="24"/>
        </w:rPr>
        <w:t xml:space="preserve"> </w:t>
      </w:r>
      <w:r w:rsidRPr="00324548">
        <w:rPr>
          <w:rFonts w:cs="Times New Roman"/>
          <w:color w:val="000000" w:themeColor="text1"/>
          <w:szCs w:val="24"/>
        </w:rPr>
        <w:t>average cost per beneficiary served. Collectively, these metrics capture both the effectiveness and the prudence with which NGOs deploy their resources.</w:t>
      </w:r>
      <w:r>
        <w:rPr>
          <w:rFonts w:cs="Times New Roman"/>
          <w:color w:val="000000" w:themeColor="text1"/>
          <w:szCs w:val="24"/>
        </w:rPr>
        <w:t xml:space="preserve"> </w:t>
      </w:r>
      <w:r w:rsidRPr="00324548">
        <w:rPr>
          <w:rFonts w:cs="Times New Roman"/>
          <w:color w:val="000000" w:themeColor="text1"/>
          <w:szCs w:val="24"/>
        </w:rPr>
        <w:t>Trustworthiness</w:t>
      </w:r>
      <w:r w:rsidR="003E0FAD">
        <w:rPr>
          <w:rFonts w:cs="Times New Roman"/>
          <w:color w:val="000000" w:themeColor="text1"/>
          <w:szCs w:val="24"/>
        </w:rPr>
        <w:t xml:space="preserve"> </w:t>
      </w:r>
      <w:r w:rsidRPr="00324548">
        <w:rPr>
          <w:rFonts w:cs="Times New Roman"/>
          <w:color w:val="000000" w:themeColor="text1"/>
          <w:szCs w:val="24"/>
        </w:rPr>
        <w:t>defined here as a combination of accountability, transparency, and consistency</w:t>
      </w:r>
      <w:r w:rsidR="003E0FAD">
        <w:rPr>
          <w:rFonts w:cs="Times New Roman"/>
          <w:color w:val="000000" w:themeColor="text1"/>
          <w:szCs w:val="24"/>
        </w:rPr>
        <w:t xml:space="preserve"> </w:t>
      </w:r>
      <w:r w:rsidRPr="00324548">
        <w:rPr>
          <w:rFonts w:cs="Times New Roman"/>
          <w:color w:val="000000" w:themeColor="text1"/>
          <w:szCs w:val="24"/>
        </w:rPr>
        <w:t>underpins financial performance efficiency. Research by Keating and Thrandardottir (2017), Mitchell and Calabrese (2022), Goncharenko (2021), Wiencierz et al. (2015), and Lee et al. (2012) underscores that credibility and long-term sustainability in NGOs rest on demonstrable evidence of sound, mission-aligned financial management.</w:t>
      </w:r>
    </w:p>
    <w:p w14:paraId="532C0D5E" w14:textId="77777777" w:rsidR="00324548" w:rsidRPr="00324548" w:rsidRDefault="00324548" w:rsidP="00324548">
      <w:pPr>
        <w:shd w:val="clear" w:color="auto" w:fill="FFFFFF"/>
        <w:spacing w:line="240" w:lineRule="auto"/>
        <w:rPr>
          <w:rFonts w:cs="Times New Roman"/>
          <w:b/>
          <w:bCs/>
          <w:i/>
          <w:iCs/>
          <w:color w:val="000000" w:themeColor="text1"/>
          <w:szCs w:val="24"/>
        </w:rPr>
      </w:pPr>
      <w:r w:rsidRPr="00324548">
        <w:rPr>
          <w:rFonts w:cs="Times New Roman"/>
          <w:b/>
          <w:bCs/>
          <w:i/>
          <w:iCs/>
          <w:color w:val="000000" w:themeColor="text1"/>
          <w:szCs w:val="24"/>
        </w:rPr>
        <w:t>Internal Controls and Financial Performance Efficiency</w:t>
      </w:r>
    </w:p>
    <w:p w14:paraId="7B8D6D98" w14:textId="1ADA387F"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The relationship between internal controls and financial performance efficiency has been documented across various organizational contexts. Strong preventive controls</w:t>
      </w:r>
      <w:r w:rsidR="003E0FAD">
        <w:rPr>
          <w:rFonts w:cs="Times New Roman"/>
          <w:color w:val="000000" w:themeColor="text1"/>
          <w:szCs w:val="24"/>
        </w:rPr>
        <w:t xml:space="preserve"> </w:t>
      </w:r>
      <w:r w:rsidRPr="00324548">
        <w:rPr>
          <w:rFonts w:cs="Times New Roman"/>
          <w:color w:val="000000" w:themeColor="text1"/>
          <w:szCs w:val="24"/>
        </w:rPr>
        <w:t>such as authorization procedures, review of purchase requests, and segregation of duties</w:t>
      </w:r>
      <w:r w:rsidR="003E0FAD">
        <w:rPr>
          <w:rFonts w:cs="Times New Roman"/>
          <w:color w:val="000000" w:themeColor="text1"/>
          <w:szCs w:val="24"/>
        </w:rPr>
        <w:t xml:space="preserve"> </w:t>
      </w:r>
      <w:r w:rsidRPr="00324548">
        <w:rPr>
          <w:rFonts w:cs="Times New Roman"/>
          <w:color w:val="000000" w:themeColor="text1"/>
          <w:szCs w:val="24"/>
        </w:rPr>
        <w:t>reduce operational risks and improve financial outcomes (Kantzos &amp; Chondraki, 2006). Similarly, investigative safeguards, including reconciliations and monitoring of actual expenditures, deter fraudulent activities and protect financial integrity (Kotey, Reid, &amp; Ashelby, 2002).</w:t>
      </w:r>
    </w:p>
    <w:p w14:paraId="458EEB15" w14:textId="2759FA55"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Corrective controls, such as updating IT access rights after role changes, prevent further losses and restore operational stability. More broadly, effective control frameworks enhance risk detection, promote transparency, and improve financial reporting quality (Kotey et al., 2002). Wielstra (2014) argues that internal controls form the structural foundation of organizational success, while Beeler (1999) views them as tools for assessing managerial effectiveness in fulfilling assigned responsibilities.</w:t>
      </w:r>
      <w:r>
        <w:rPr>
          <w:rFonts w:cs="Times New Roman"/>
          <w:color w:val="000000" w:themeColor="text1"/>
          <w:szCs w:val="24"/>
        </w:rPr>
        <w:t xml:space="preserve"> </w:t>
      </w:r>
      <w:r w:rsidRPr="00324548">
        <w:rPr>
          <w:rFonts w:cs="Times New Roman"/>
          <w:color w:val="000000" w:themeColor="text1"/>
          <w:szCs w:val="24"/>
        </w:rPr>
        <w:t>In the NGO sector, efficient internal control systems can ensure that limited resources are deployed effectively, safeguard assets from misuse, and strengthen donor confidence</w:t>
      </w:r>
      <w:r w:rsidR="003E0FAD">
        <w:rPr>
          <w:rFonts w:cs="Times New Roman"/>
          <w:color w:val="000000" w:themeColor="text1"/>
          <w:szCs w:val="24"/>
        </w:rPr>
        <w:t xml:space="preserve"> </w:t>
      </w:r>
      <w:r w:rsidRPr="00324548">
        <w:rPr>
          <w:rFonts w:cs="Times New Roman"/>
          <w:color w:val="000000" w:themeColor="text1"/>
          <w:szCs w:val="24"/>
        </w:rPr>
        <w:t>ultimately enhancing financial performance efficiency. This study will therefore explore the extent to which different types of internal controls influence efficiency outcomes in NGOs operating in Nairobi City County.</w:t>
      </w:r>
    </w:p>
    <w:p w14:paraId="7A27BB70" w14:textId="77777777" w:rsidR="00324548" w:rsidRDefault="00324548">
      <w:pPr>
        <w:spacing w:before="0" w:after="160" w:line="259" w:lineRule="auto"/>
        <w:jc w:val="left"/>
        <w:rPr>
          <w:rFonts w:cs="Times New Roman"/>
          <w:b/>
          <w:bCs/>
          <w:i/>
          <w:iCs/>
          <w:color w:val="000000" w:themeColor="text1"/>
          <w:szCs w:val="24"/>
        </w:rPr>
      </w:pPr>
      <w:r>
        <w:rPr>
          <w:rFonts w:cs="Times New Roman"/>
          <w:b/>
          <w:bCs/>
          <w:i/>
          <w:iCs/>
          <w:color w:val="000000" w:themeColor="text1"/>
          <w:szCs w:val="24"/>
        </w:rPr>
        <w:br w:type="page"/>
      </w:r>
    </w:p>
    <w:p w14:paraId="47B719A9" w14:textId="7F62536F" w:rsidR="00324548" w:rsidRPr="00324548" w:rsidRDefault="00324548" w:rsidP="00324548">
      <w:pPr>
        <w:shd w:val="clear" w:color="auto" w:fill="FFFFFF"/>
        <w:spacing w:line="240" w:lineRule="auto"/>
        <w:rPr>
          <w:rFonts w:cs="Times New Roman"/>
          <w:b/>
          <w:bCs/>
          <w:i/>
          <w:iCs/>
          <w:color w:val="000000" w:themeColor="text1"/>
          <w:szCs w:val="24"/>
        </w:rPr>
      </w:pPr>
      <w:r w:rsidRPr="00324548">
        <w:rPr>
          <w:rFonts w:cs="Times New Roman"/>
          <w:b/>
          <w:bCs/>
          <w:i/>
          <w:iCs/>
          <w:color w:val="000000" w:themeColor="text1"/>
          <w:szCs w:val="24"/>
        </w:rPr>
        <w:lastRenderedPageBreak/>
        <w:t>Non-Governmental Organizations in Nairobi, Kenya</w:t>
      </w:r>
    </w:p>
    <w:p w14:paraId="46544993" w14:textId="189BD045"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NGOs are autonomous entities that operate between the spheres of government, the private sector, and civil society. Unlike community-based organizations (CBOs), which serve their own members, NGOs often pursue broader, public-serving missions</w:t>
      </w:r>
      <w:r w:rsidR="003E0FAD">
        <w:rPr>
          <w:rFonts w:cs="Times New Roman"/>
          <w:color w:val="000000" w:themeColor="text1"/>
          <w:szCs w:val="24"/>
        </w:rPr>
        <w:t xml:space="preserve"> </w:t>
      </w:r>
      <w:r w:rsidRPr="00324548">
        <w:rPr>
          <w:rFonts w:cs="Times New Roman"/>
          <w:color w:val="000000" w:themeColor="text1"/>
          <w:szCs w:val="24"/>
        </w:rPr>
        <w:t>whether client-focused or member-focused (Fowler &amp; Rick, 2000).</w:t>
      </w:r>
      <w:r>
        <w:rPr>
          <w:rFonts w:cs="Times New Roman"/>
          <w:color w:val="000000" w:themeColor="text1"/>
          <w:szCs w:val="24"/>
        </w:rPr>
        <w:t xml:space="preserve"> </w:t>
      </w:r>
      <w:r w:rsidRPr="00324548">
        <w:rPr>
          <w:rFonts w:cs="Times New Roman"/>
          <w:color w:val="000000" w:themeColor="text1"/>
          <w:szCs w:val="24"/>
        </w:rPr>
        <w:t>In Kenya, NGOs play a central role in addressing socio-economic challenges, working in sectors such as education, health, social protection, and economic empowerment. Many target marginalized populations while also contributing to broader goals such as human rights promotion, gender equality, environmental sustainability, and poverty reduction (Amutabi, 2006). The sector comprises both international and national organizations, often in partnership with CBOs and grassroots groups.</w:t>
      </w:r>
    </w:p>
    <w:p w14:paraId="0C5FB407" w14:textId="03518CBD" w:rsidR="00324548" w:rsidRPr="00324548"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Kenya currently hosts over 5,000 registered NGOs, with the wider non-profit sector</w:t>
      </w:r>
      <w:r w:rsidR="003E0FAD">
        <w:rPr>
          <w:rFonts w:cs="Times New Roman"/>
          <w:color w:val="000000" w:themeColor="text1"/>
          <w:szCs w:val="24"/>
        </w:rPr>
        <w:t xml:space="preserve"> </w:t>
      </w:r>
      <w:r w:rsidRPr="00324548">
        <w:rPr>
          <w:rFonts w:cs="Times New Roman"/>
          <w:color w:val="000000" w:themeColor="text1"/>
          <w:szCs w:val="24"/>
        </w:rPr>
        <w:t>including self-help groups and women’s and youth organizations</w:t>
      </w:r>
      <w:r w:rsidR="003E0FAD">
        <w:rPr>
          <w:rFonts w:cs="Times New Roman"/>
          <w:color w:val="000000" w:themeColor="text1"/>
          <w:szCs w:val="24"/>
        </w:rPr>
        <w:t xml:space="preserve"> </w:t>
      </w:r>
      <w:r w:rsidRPr="00324548">
        <w:rPr>
          <w:rFonts w:cs="Times New Roman"/>
          <w:color w:val="000000" w:themeColor="text1"/>
          <w:szCs w:val="24"/>
        </w:rPr>
        <w:t>encompassing more than 220,000 entities. Collectively, NGOs generate annual revenues of approximately USD 1 billion, representing around 3% of GDP. A significant proportion</w:t>
      </w:r>
      <w:r w:rsidR="003E0FAD">
        <w:rPr>
          <w:rFonts w:cs="Times New Roman"/>
          <w:color w:val="000000" w:themeColor="text1"/>
          <w:szCs w:val="24"/>
        </w:rPr>
        <w:t xml:space="preserve"> </w:t>
      </w:r>
      <w:r w:rsidRPr="00324548">
        <w:rPr>
          <w:rFonts w:cs="Times New Roman"/>
          <w:color w:val="000000" w:themeColor="text1"/>
          <w:szCs w:val="24"/>
        </w:rPr>
        <w:t>1,447 organizations</w:t>
      </w:r>
      <w:r w:rsidR="003E0FAD">
        <w:rPr>
          <w:rFonts w:cs="Times New Roman"/>
          <w:color w:val="000000" w:themeColor="text1"/>
          <w:szCs w:val="24"/>
        </w:rPr>
        <w:t xml:space="preserve"> </w:t>
      </w:r>
      <w:r w:rsidRPr="00324548">
        <w:rPr>
          <w:rFonts w:cs="Times New Roman"/>
          <w:color w:val="000000" w:themeColor="text1"/>
          <w:szCs w:val="24"/>
        </w:rPr>
        <w:t>are headquartered in Nairobi (Kameri-Mbote, 2008). Oversight is provided by the NGOs Coordination Bureau, which promotes principles of integrity, transparency, accountability, fairness, and effective governance.</w:t>
      </w:r>
    </w:p>
    <w:p w14:paraId="13638695" w14:textId="206063AB" w:rsidR="00822A7E" w:rsidRPr="00FB2E0F" w:rsidRDefault="00324548" w:rsidP="00324548">
      <w:pPr>
        <w:shd w:val="clear" w:color="auto" w:fill="FFFFFF"/>
        <w:spacing w:line="240" w:lineRule="auto"/>
        <w:rPr>
          <w:rFonts w:cs="Times New Roman"/>
          <w:color w:val="000000" w:themeColor="text1"/>
          <w:szCs w:val="24"/>
        </w:rPr>
      </w:pPr>
      <w:r w:rsidRPr="00324548">
        <w:rPr>
          <w:rFonts w:cs="Times New Roman"/>
          <w:color w:val="000000" w:themeColor="text1"/>
          <w:szCs w:val="24"/>
        </w:rPr>
        <w:t>While NGOs are now recognized as key development partners, concerns over accountability, transparency, and fiscal discipline persist. Internal organizational structures often receive less scholarly attention than programmatic activities, despite their importance to effectiveness. Many Kenyan NGOs emphasize flexibility and idealism, perceiving structured systems as antithetical to their missions. This tendency, however, can result in diffused accountability, misalignment between objectives and structures, strained donor relations, and underperformance relative to expectations (Feng et al., 2015).</w:t>
      </w:r>
      <w:r>
        <w:rPr>
          <w:rFonts w:cs="Times New Roman"/>
          <w:color w:val="000000" w:themeColor="text1"/>
          <w:szCs w:val="24"/>
        </w:rPr>
        <w:t xml:space="preserve"> </w:t>
      </w:r>
      <w:r w:rsidRPr="00324548">
        <w:rPr>
          <w:rFonts w:cs="Times New Roman"/>
          <w:color w:val="000000" w:themeColor="text1"/>
          <w:szCs w:val="24"/>
        </w:rPr>
        <w:t>Given their economic significance and developmental role, improving the operational efficiency and financial accountability of Nairobi-based NGOs is both a practical and scholarly imperative. Understanding the role of internal controls in driving financial performance efficiency within this sector is therefore a critical research endeavor.</w:t>
      </w:r>
    </w:p>
    <w:p w14:paraId="48C38FDC" w14:textId="4C473802" w:rsidR="00055D83" w:rsidRPr="00FB2E0F" w:rsidRDefault="00055D83" w:rsidP="00CE4C91">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t>1.1 Research Problem</w:t>
      </w:r>
    </w:p>
    <w:p w14:paraId="5A0E2071" w14:textId="77777777" w:rsidR="00BA58DB" w:rsidRPr="00BA58DB" w:rsidRDefault="00BA58DB" w:rsidP="00BA58DB">
      <w:pPr>
        <w:spacing w:line="240" w:lineRule="auto"/>
        <w:rPr>
          <w:rFonts w:cs="Times New Roman"/>
          <w:color w:val="000000" w:themeColor="text1"/>
          <w:szCs w:val="24"/>
        </w:rPr>
      </w:pPr>
      <w:r w:rsidRPr="00BA58DB">
        <w:rPr>
          <w:rFonts w:cs="Times New Roman"/>
          <w:color w:val="000000" w:themeColor="text1"/>
          <w:szCs w:val="24"/>
        </w:rPr>
        <w:t>Non-governmental organizations (NGOs) play a pivotal role in Kenya’s socio-economic development, supplementing government efforts in delivering essential services such as healthcare, education, welfare, conservation, and humanitarian assistance (Wanyama, 2019). Their operations are heavily dependent on donor contributions, grants, and other external funding sources, making financial accountability and efficiency central to sustaining both operations and donor confidence (Otieno, 2020). Nairobi City County, home to a large concentration of NGOs, presents a particularly critical context where financial performance efficiency directly influences sustainability, funding continuity, and program delivery. Financial performance efficiency reflects how effectively an organization manages its financial resources to achieve maximum impact at minimal cost. It is commonly assessed using indicators such as program efficiency ratio, fundraising efficiency ratio, administrative expense ratio, budget variance analysis, and service cost per beneficiary (Young, 2020).</w:t>
      </w:r>
    </w:p>
    <w:p w14:paraId="634DE5A9" w14:textId="77777777" w:rsidR="00BA58DB" w:rsidRPr="00BA58DB" w:rsidRDefault="00BA58DB" w:rsidP="00BA58DB">
      <w:pPr>
        <w:spacing w:line="240" w:lineRule="auto"/>
        <w:rPr>
          <w:rFonts w:cs="Times New Roman"/>
          <w:color w:val="000000" w:themeColor="text1"/>
          <w:szCs w:val="24"/>
        </w:rPr>
      </w:pPr>
      <w:r w:rsidRPr="00BA58DB">
        <w:rPr>
          <w:rFonts w:cs="Times New Roman"/>
          <w:color w:val="000000" w:themeColor="text1"/>
          <w:szCs w:val="24"/>
        </w:rPr>
        <w:t>Despite substantial funding inflows, evidence suggests that many Nairobi-based NGOs fail to achieve optimal financial performance efficiency. Reports cite budget overruns, excessive administrative costs, delayed program implementation, and poor resource utilization (Transparency International Kenya, 2022). Audit findings have identified inflated overhead expenses, discrepancies between reported and actual expenditures, and inefficiencies that undermine donor trust (Mwangi, 2021). These shortcomings threaten not only donor relationships but also the long-term viability and mission delivery of NGOs.</w:t>
      </w:r>
    </w:p>
    <w:p w14:paraId="7D5C7618" w14:textId="394D588E" w:rsidR="00BA58DB" w:rsidRPr="00BA58DB" w:rsidRDefault="00BA58DB" w:rsidP="00BA58DB">
      <w:pPr>
        <w:spacing w:line="240" w:lineRule="auto"/>
        <w:rPr>
          <w:rFonts w:cs="Times New Roman"/>
          <w:color w:val="000000" w:themeColor="text1"/>
          <w:szCs w:val="24"/>
        </w:rPr>
      </w:pPr>
      <w:r w:rsidRPr="00BA58DB">
        <w:rPr>
          <w:rFonts w:cs="Times New Roman"/>
          <w:color w:val="000000" w:themeColor="text1"/>
          <w:szCs w:val="24"/>
        </w:rPr>
        <w:t>A key factor in addressing these challenges lies in the quality and effectiveness of operational internal control systems. These systems</w:t>
      </w:r>
      <w:r w:rsidR="003E0FAD">
        <w:rPr>
          <w:rFonts w:cs="Times New Roman"/>
          <w:color w:val="000000" w:themeColor="text1"/>
          <w:szCs w:val="24"/>
        </w:rPr>
        <w:t xml:space="preserve"> </w:t>
      </w:r>
      <w:r w:rsidRPr="00BA58DB">
        <w:rPr>
          <w:rFonts w:cs="Times New Roman"/>
          <w:color w:val="000000" w:themeColor="text1"/>
          <w:szCs w:val="24"/>
        </w:rPr>
        <w:t>comprising preventive, detective, directive, and management controls</w:t>
      </w:r>
      <w:r w:rsidR="003E0FAD">
        <w:rPr>
          <w:rFonts w:cs="Times New Roman"/>
          <w:color w:val="000000" w:themeColor="text1"/>
          <w:szCs w:val="24"/>
        </w:rPr>
        <w:t xml:space="preserve"> </w:t>
      </w:r>
      <w:r w:rsidRPr="00BA58DB">
        <w:rPr>
          <w:rFonts w:cs="Times New Roman"/>
          <w:color w:val="000000" w:themeColor="text1"/>
          <w:szCs w:val="24"/>
        </w:rPr>
        <w:t xml:space="preserve">are designed to safeguard assets, ensure regulatory compliance, support accurate financial reporting, and promote sound financial </w:t>
      </w:r>
      <w:r w:rsidRPr="00BA58DB">
        <w:rPr>
          <w:rFonts w:cs="Times New Roman"/>
          <w:color w:val="000000" w:themeColor="text1"/>
          <w:szCs w:val="24"/>
        </w:rPr>
        <w:lastRenderedPageBreak/>
        <w:t>management (COSO, 2013). When effectively implemented, robust internal controls can mitigate fraud, reduce errors, and channel resources efficiently toward intended objectives (Kinyua, 2016). However, persistent inefficiencies among Nairobi’s NGOs raise concerns about gaps between the presence of internal control frameworks and their actual execution or enforcement.</w:t>
      </w:r>
    </w:p>
    <w:p w14:paraId="23837634" w14:textId="77777777" w:rsidR="00BA58DB" w:rsidRPr="00BA58DB" w:rsidRDefault="00BA58DB" w:rsidP="00BA58DB">
      <w:pPr>
        <w:spacing w:line="240" w:lineRule="auto"/>
        <w:rPr>
          <w:rFonts w:cs="Times New Roman"/>
          <w:color w:val="000000" w:themeColor="text1"/>
          <w:szCs w:val="24"/>
        </w:rPr>
      </w:pPr>
      <w:r w:rsidRPr="00BA58DB">
        <w:rPr>
          <w:rFonts w:cs="Times New Roman"/>
          <w:color w:val="000000" w:themeColor="text1"/>
          <w:szCs w:val="24"/>
        </w:rPr>
        <w:t>Existing studies have examined the link between internal controls and organizational performance but leave significant gaps. Munyua and Moronge (2018) focused on compliance and risk assessment in Kenyan NGOs but overlooked specific operational and management controls critical for financial oversight, while relying on broad economic indicators that obscure performance-specific outcomes. Kinyua (2016) found a positive association between internal controls and performance in public entities, but the public sector’s operational and funding structures limit applicability to NGOs. Mwangi’s (2021) study of Nairobi-based NGOs, though insightful, was constrained by a small sample of three organizations and a predominantly qualitative approach, limiting statistical generalizability. Similarly, Chege’s (2020) work on religious NGOs concentrated narrowly on audit-related detection controls, neglecting the potential cost-saving effects of preventive or directive controls.</w:t>
      </w:r>
    </w:p>
    <w:p w14:paraId="17E29A75" w14:textId="6F864656" w:rsidR="00B717D1" w:rsidRPr="00FB2E0F" w:rsidRDefault="00BA58DB" w:rsidP="00BA58DB">
      <w:pPr>
        <w:spacing w:line="240" w:lineRule="auto"/>
        <w:rPr>
          <w:rFonts w:cs="Times New Roman"/>
          <w:color w:val="000000" w:themeColor="text1"/>
          <w:szCs w:val="24"/>
        </w:rPr>
      </w:pPr>
      <w:r w:rsidRPr="00BA58DB">
        <w:rPr>
          <w:rFonts w:cs="Times New Roman"/>
          <w:color w:val="000000" w:themeColor="text1"/>
          <w:szCs w:val="24"/>
        </w:rPr>
        <w:t>These limitations underscore a clear research gap: few studies address how different types of operational internal controls influence NGOs’ financial performance efficiency in donor-dependent and resource-constrained contexts such as Nairobi City County. Moreover, existing research seldom emphasizes specific financial performance metrics</w:t>
      </w:r>
      <w:r w:rsidR="003E0FAD">
        <w:rPr>
          <w:rFonts w:cs="Times New Roman"/>
          <w:color w:val="000000" w:themeColor="text1"/>
          <w:szCs w:val="24"/>
        </w:rPr>
        <w:t xml:space="preserve"> </w:t>
      </w:r>
      <w:r w:rsidRPr="00BA58DB">
        <w:rPr>
          <w:rFonts w:cs="Times New Roman"/>
          <w:color w:val="000000" w:themeColor="text1"/>
          <w:szCs w:val="24"/>
        </w:rPr>
        <w:t>such as cost ratios, budget variance, and program delivery rates</w:t>
      </w:r>
      <w:r w:rsidR="003E0FAD">
        <w:rPr>
          <w:rFonts w:cs="Times New Roman"/>
          <w:color w:val="000000" w:themeColor="text1"/>
          <w:szCs w:val="24"/>
        </w:rPr>
        <w:t xml:space="preserve"> </w:t>
      </w:r>
      <w:r w:rsidRPr="00BA58DB">
        <w:rPr>
          <w:rFonts w:cs="Times New Roman"/>
          <w:color w:val="000000" w:themeColor="text1"/>
          <w:szCs w:val="24"/>
        </w:rPr>
        <w:t>that are essential for evaluating NGO efficiency.</w:t>
      </w:r>
      <w:r>
        <w:rPr>
          <w:rFonts w:cs="Times New Roman"/>
          <w:color w:val="000000" w:themeColor="text1"/>
          <w:szCs w:val="24"/>
        </w:rPr>
        <w:t xml:space="preserve"> </w:t>
      </w:r>
      <w:r w:rsidRPr="00BA58DB">
        <w:rPr>
          <w:rFonts w:cs="Times New Roman"/>
          <w:color w:val="000000" w:themeColor="text1"/>
          <w:szCs w:val="24"/>
        </w:rPr>
        <w:t>In environments characterized by unpredictable funding, limited staff capacity, and fragmented internal policies, the design and enforcement of operational internal controls become even more critical. Weak or reactive control systems, combined with the administrative demands of donor compliance, may undermine cost containment and financial efficiency.</w:t>
      </w:r>
      <w:r>
        <w:rPr>
          <w:rFonts w:cs="Times New Roman"/>
          <w:color w:val="000000" w:themeColor="text1"/>
          <w:szCs w:val="24"/>
        </w:rPr>
        <w:t xml:space="preserve"> </w:t>
      </w:r>
      <w:r w:rsidRPr="00BA58DB">
        <w:rPr>
          <w:rFonts w:cs="Times New Roman"/>
          <w:color w:val="000000" w:themeColor="text1"/>
          <w:szCs w:val="24"/>
        </w:rPr>
        <w:t>Given the vital role of fiscal efficiency in sustaining NGOs, this study seeks to examine the extent to which various operational internal control types</w:t>
      </w:r>
      <w:r w:rsidR="003E0FAD">
        <w:rPr>
          <w:rFonts w:cs="Times New Roman"/>
          <w:color w:val="000000" w:themeColor="text1"/>
          <w:szCs w:val="24"/>
        </w:rPr>
        <w:t xml:space="preserve"> </w:t>
      </w:r>
      <w:r w:rsidRPr="00BA58DB">
        <w:rPr>
          <w:rFonts w:cs="Times New Roman"/>
          <w:color w:val="000000" w:themeColor="text1"/>
          <w:szCs w:val="24"/>
        </w:rPr>
        <w:t>proactive, reactive, guiding, and administrative</w:t>
      </w:r>
      <w:r w:rsidR="003E0FAD">
        <w:rPr>
          <w:rFonts w:cs="Times New Roman"/>
          <w:color w:val="000000" w:themeColor="text1"/>
          <w:szCs w:val="24"/>
        </w:rPr>
        <w:t xml:space="preserve"> </w:t>
      </w:r>
      <w:r w:rsidRPr="00BA58DB">
        <w:rPr>
          <w:rFonts w:cs="Times New Roman"/>
          <w:color w:val="000000" w:themeColor="text1"/>
          <w:szCs w:val="24"/>
        </w:rPr>
        <w:t>affect financial performance efficiency among NGOs in Nairobi City County. By doing so, it aims to generate evidence to inform the development of more effective internal control frameworks, strengthen accountability systems, and enhance the financial sustainability of NGOs in Kenya (Ngari, 2017)</w:t>
      </w:r>
      <w:r w:rsidR="00A81F27" w:rsidRPr="00A81F27">
        <w:rPr>
          <w:rFonts w:cs="Times New Roman"/>
          <w:color w:val="000000" w:themeColor="text1"/>
          <w:szCs w:val="24"/>
        </w:rPr>
        <w:t>.</w:t>
      </w:r>
      <w:r w:rsidR="00A85B82" w:rsidRPr="00FB2E0F">
        <w:rPr>
          <w:rFonts w:cs="Times New Roman"/>
          <w:color w:val="000000" w:themeColor="text1"/>
          <w:szCs w:val="24"/>
        </w:rPr>
        <w:t xml:space="preserve"> </w:t>
      </w:r>
    </w:p>
    <w:p w14:paraId="7860FC20" w14:textId="564AFDA6" w:rsidR="00055D83" w:rsidRPr="00FB2E0F" w:rsidRDefault="00055D83" w:rsidP="00E5141C">
      <w:pPr>
        <w:spacing w:line="240" w:lineRule="auto"/>
        <w:rPr>
          <w:rFonts w:cs="Times New Roman"/>
          <w:b/>
          <w:bCs/>
          <w:color w:val="000000" w:themeColor="text1"/>
          <w:sz w:val="28"/>
          <w:szCs w:val="28"/>
        </w:rPr>
      </w:pPr>
      <w:r w:rsidRPr="00FB2E0F">
        <w:rPr>
          <w:rFonts w:cs="Times New Roman"/>
          <w:b/>
          <w:bCs/>
          <w:color w:val="000000" w:themeColor="text1"/>
          <w:sz w:val="28"/>
          <w:szCs w:val="28"/>
        </w:rPr>
        <w:t>1.2 Research Objective</w:t>
      </w:r>
    </w:p>
    <w:p w14:paraId="3A006523" w14:textId="6B34D7E7" w:rsidR="0054398C" w:rsidRPr="00FB2E0F" w:rsidRDefault="00055D83" w:rsidP="0054398C">
      <w:pPr>
        <w:spacing w:line="240" w:lineRule="auto"/>
        <w:rPr>
          <w:rFonts w:cs="Times New Roman"/>
          <w:color w:val="000000" w:themeColor="text1"/>
          <w:szCs w:val="24"/>
        </w:rPr>
      </w:pPr>
      <w:r w:rsidRPr="00FB2E0F">
        <w:rPr>
          <w:rFonts w:cs="Times New Roman"/>
          <w:color w:val="000000" w:themeColor="text1"/>
          <w:szCs w:val="24"/>
        </w:rPr>
        <w:t>This study was guided by the following general objective to:</w:t>
      </w:r>
      <w:r w:rsidR="00784B96" w:rsidRPr="00FB2E0F">
        <w:rPr>
          <w:rFonts w:cs="Times New Roman"/>
          <w:color w:val="000000" w:themeColor="text1"/>
          <w:szCs w:val="24"/>
        </w:rPr>
        <w:t xml:space="preserve"> </w:t>
      </w:r>
      <w:r w:rsidR="00D54CAA" w:rsidRPr="00D54CAA">
        <w:rPr>
          <w:rFonts w:cs="Times New Roman"/>
          <w:color w:val="000000" w:themeColor="text1"/>
          <w:szCs w:val="24"/>
        </w:rPr>
        <w:t>investigate the effects of internal operational controls on financial performance of Non-Governmental Organizations in Nairobi City County, Kenya.</w:t>
      </w:r>
    </w:p>
    <w:p w14:paraId="6B071E8F" w14:textId="77777777" w:rsidR="00E448DE" w:rsidRPr="00FB2E0F" w:rsidRDefault="0054398C" w:rsidP="00F42A52">
      <w:pPr>
        <w:spacing w:line="240" w:lineRule="auto"/>
        <w:rPr>
          <w:rFonts w:cs="Times New Roman"/>
          <w:color w:val="000000" w:themeColor="text1"/>
          <w:szCs w:val="24"/>
        </w:rPr>
      </w:pPr>
      <w:r w:rsidRPr="00FB2E0F">
        <w:rPr>
          <w:rFonts w:cs="Times New Roman"/>
          <w:color w:val="000000" w:themeColor="text1"/>
          <w:szCs w:val="24"/>
        </w:rPr>
        <w:t>Specific Objectives were to;</w:t>
      </w:r>
      <w:r w:rsidR="00784B96" w:rsidRPr="00FB2E0F">
        <w:rPr>
          <w:rFonts w:cs="Times New Roman"/>
          <w:color w:val="000000" w:themeColor="text1"/>
          <w:szCs w:val="24"/>
        </w:rPr>
        <w:t xml:space="preserve"> </w:t>
      </w:r>
    </w:p>
    <w:p w14:paraId="38CF1ADF" w14:textId="77777777" w:rsidR="00D54CAA" w:rsidRPr="00D54CAA" w:rsidRDefault="00D54CAA" w:rsidP="00D54CAA">
      <w:pPr>
        <w:pStyle w:val="ListParagraph"/>
        <w:numPr>
          <w:ilvl w:val="0"/>
          <w:numId w:val="14"/>
        </w:numPr>
        <w:spacing w:line="240" w:lineRule="auto"/>
        <w:rPr>
          <w:rFonts w:ascii="Times New Roman" w:hAnsi="Times New Roman"/>
          <w:color w:val="000000" w:themeColor="text1"/>
          <w:sz w:val="24"/>
          <w:szCs w:val="32"/>
        </w:rPr>
      </w:pPr>
      <w:r w:rsidRPr="00D54CAA">
        <w:rPr>
          <w:rFonts w:ascii="Times New Roman" w:hAnsi="Times New Roman"/>
          <w:color w:val="000000" w:themeColor="text1"/>
          <w:sz w:val="24"/>
          <w:szCs w:val="32"/>
        </w:rPr>
        <w:t>To assess the effect of preventive controls on the financial performance efficiency of NGOs in Nairobi City County.</w:t>
      </w:r>
    </w:p>
    <w:p w14:paraId="7C46BBDE" w14:textId="77777777" w:rsidR="00D54CAA" w:rsidRPr="00D54CAA" w:rsidRDefault="00D54CAA" w:rsidP="00D54CAA">
      <w:pPr>
        <w:pStyle w:val="ListParagraph"/>
        <w:numPr>
          <w:ilvl w:val="0"/>
          <w:numId w:val="14"/>
        </w:numPr>
        <w:spacing w:line="240" w:lineRule="auto"/>
        <w:rPr>
          <w:rFonts w:ascii="Times New Roman" w:hAnsi="Times New Roman"/>
          <w:color w:val="000000" w:themeColor="text1"/>
          <w:sz w:val="24"/>
          <w:szCs w:val="32"/>
        </w:rPr>
      </w:pPr>
      <w:r w:rsidRPr="00D54CAA">
        <w:rPr>
          <w:rFonts w:ascii="Times New Roman" w:hAnsi="Times New Roman"/>
          <w:color w:val="000000" w:themeColor="text1"/>
          <w:sz w:val="24"/>
          <w:szCs w:val="32"/>
        </w:rPr>
        <w:t>To evaluate the effect of detective controls on the financial performance efficiency of NGOs in Nairobi City County.</w:t>
      </w:r>
    </w:p>
    <w:p w14:paraId="40A23234" w14:textId="77777777" w:rsidR="00D54CAA" w:rsidRPr="00D54CAA" w:rsidRDefault="00D54CAA" w:rsidP="00D54CAA">
      <w:pPr>
        <w:pStyle w:val="ListParagraph"/>
        <w:numPr>
          <w:ilvl w:val="0"/>
          <w:numId w:val="14"/>
        </w:numPr>
        <w:spacing w:line="240" w:lineRule="auto"/>
        <w:rPr>
          <w:rFonts w:ascii="Times New Roman" w:hAnsi="Times New Roman"/>
          <w:color w:val="000000" w:themeColor="text1"/>
          <w:sz w:val="24"/>
          <w:szCs w:val="32"/>
        </w:rPr>
      </w:pPr>
      <w:r w:rsidRPr="00D54CAA">
        <w:rPr>
          <w:rFonts w:ascii="Times New Roman" w:hAnsi="Times New Roman"/>
          <w:color w:val="000000" w:themeColor="text1"/>
          <w:sz w:val="24"/>
          <w:szCs w:val="32"/>
        </w:rPr>
        <w:t>To determine the effect of directive controls on the financial performance efficiency of NGOs in Nairobi City County.</w:t>
      </w:r>
    </w:p>
    <w:p w14:paraId="296CC6CA" w14:textId="77777777" w:rsidR="00D54CAA" w:rsidRPr="00D54CAA" w:rsidRDefault="00D54CAA" w:rsidP="00D54CAA">
      <w:pPr>
        <w:pStyle w:val="ListParagraph"/>
        <w:numPr>
          <w:ilvl w:val="0"/>
          <w:numId w:val="14"/>
        </w:numPr>
        <w:spacing w:line="240" w:lineRule="auto"/>
        <w:rPr>
          <w:rFonts w:ascii="Times New Roman" w:hAnsi="Times New Roman"/>
          <w:color w:val="000000" w:themeColor="text1"/>
          <w:sz w:val="24"/>
          <w:szCs w:val="32"/>
        </w:rPr>
      </w:pPr>
      <w:r w:rsidRPr="00D54CAA">
        <w:rPr>
          <w:rFonts w:ascii="Times New Roman" w:hAnsi="Times New Roman"/>
          <w:color w:val="000000" w:themeColor="text1"/>
          <w:sz w:val="24"/>
          <w:szCs w:val="32"/>
        </w:rPr>
        <w:t>To analyse the effect of management controls on the financial performance efficiency of NGOs in Nairobi City County.</w:t>
      </w:r>
    </w:p>
    <w:p w14:paraId="06BA9B23" w14:textId="253DE487" w:rsidR="001450C8" w:rsidRPr="00FB2E0F" w:rsidRDefault="00055D83" w:rsidP="001450C8">
      <w:pPr>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t xml:space="preserve">1.3 </w:t>
      </w:r>
      <w:r w:rsidR="00F00D01" w:rsidRPr="00FB2E0F">
        <w:rPr>
          <w:rFonts w:eastAsia="Times New Roman" w:cs="Times New Roman"/>
          <w:b/>
          <w:bCs/>
          <w:color w:val="000000" w:themeColor="text1"/>
          <w:sz w:val="28"/>
          <w:szCs w:val="28"/>
        </w:rPr>
        <w:t xml:space="preserve">Research </w:t>
      </w:r>
      <w:r w:rsidR="00D54CAA">
        <w:rPr>
          <w:rFonts w:eastAsia="Times New Roman" w:cs="Times New Roman"/>
          <w:b/>
          <w:bCs/>
          <w:color w:val="000000" w:themeColor="text1"/>
          <w:sz w:val="28"/>
          <w:szCs w:val="28"/>
        </w:rPr>
        <w:t>Questions</w:t>
      </w:r>
    </w:p>
    <w:p w14:paraId="7B0D5B15" w14:textId="1B7406EA" w:rsidR="00D54CAA" w:rsidRPr="00D54CAA" w:rsidRDefault="00D54CAA" w:rsidP="00D54CAA">
      <w:pPr>
        <w:pStyle w:val="ListParagraph"/>
        <w:numPr>
          <w:ilvl w:val="0"/>
          <w:numId w:val="15"/>
        </w:numPr>
        <w:spacing w:before="0" w:line="240" w:lineRule="auto"/>
        <w:rPr>
          <w:rFonts w:ascii="Times New Roman" w:hAnsi="Times New Roman"/>
          <w:sz w:val="24"/>
          <w:szCs w:val="24"/>
        </w:rPr>
      </w:pPr>
      <w:r w:rsidRPr="00D54CAA">
        <w:rPr>
          <w:rFonts w:ascii="Times New Roman" w:hAnsi="Times New Roman"/>
          <w:sz w:val="24"/>
          <w:szCs w:val="24"/>
        </w:rPr>
        <w:t>What is the effect of preventive controls on the financial performance efficiency of NGOs in Nairobi City County?</w:t>
      </w:r>
    </w:p>
    <w:p w14:paraId="4A6C2A1E" w14:textId="006E4A55" w:rsidR="00D54CAA" w:rsidRPr="00D54CAA" w:rsidRDefault="00D54CAA" w:rsidP="00D54CAA">
      <w:pPr>
        <w:pStyle w:val="ListParagraph"/>
        <w:numPr>
          <w:ilvl w:val="0"/>
          <w:numId w:val="15"/>
        </w:numPr>
        <w:spacing w:before="0" w:line="240" w:lineRule="auto"/>
        <w:rPr>
          <w:rFonts w:ascii="Times New Roman" w:hAnsi="Times New Roman"/>
          <w:sz w:val="24"/>
          <w:szCs w:val="24"/>
        </w:rPr>
      </w:pPr>
      <w:r w:rsidRPr="00D54CAA">
        <w:rPr>
          <w:rFonts w:ascii="Times New Roman" w:hAnsi="Times New Roman"/>
          <w:sz w:val="24"/>
          <w:szCs w:val="24"/>
        </w:rPr>
        <w:t>How do detective controls influence the financial performance efficiency of NGOs in Nairobi City County?</w:t>
      </w:r>
    </w:p>
    <w:p w14:paraId="6A0437AB" w14:textId="77777777" w:rsidR="00D54CAA" w:rsidRPr="00D54CAA" w:rsidRDefault="00D54CAA" w:rsidP="00D54CAA">
      <w:pPr>
        <w:pStyle w:val="ListParagraph"/>
        <w:numPr>
          <w:ilvl w:val="0"/>
          <w:numId w:val="15"/>
        </w:numPr>
        <w:spacing w:before="0" w:line="240" w:lineRule="auto"/>
        <w:rPr>
          <w:rFonts w:ascii="Times New Roman" w:hAnsi="Times New Roman"/>
          <w:sz w:val="24"/>
          <w:szCs w:val="24"/>
        </w:rPr>
      </w:pPr>
      <w:r w:rsidRPr="00D54CAA">
        <w:rPr>
          <w:rFonts w:ascii="Times New Roman" w:hAnsi="Times New Roman"/>
          <w:sz w:val="24"/>
          <w:szCs w:val="24"/>
        </w:rPr>
        <w:t>To what extent do directive controls affect the financial performance efficiency of NGOs in Nairobi City County?</w:t>
      </w:r>
    </w:p>
    <w:p w14:paraId="3534D5D4" w14:textId="47D8FA39" w:rsidR="00D54CAA" w:rsidRPr="00D54CAA" w:rsidRDefault="00D54CAA" w:rsidP="00D54CAA">
      <w:pPr>
        <w:pStyle w:val="ListParagraph"/>
        <w:numPr>
          <w:ilvl w:val="0"/>
          <w:numId w:val="15"/>
        </w:numPr>
        <w:spacing w:before="0" w:line="240" w:lineRule="auto"/>
        <w:rPr>
          <w:rFonts w:ascii="Times New Roman" w:hAnsi="Times New Roman"/>
          <w:sz w:val="24"/>
          <w:szCs w:val="24"/>
        </w:rPr>
      </w:pPr>
      <w:r w:rsidRPr="00D54CAA">
        <w:rPr>
          <w:rFonts w:ascii="Times New Roman" w:hAnsi="Times New Roman"/>
          <w:sz w:val="24"/>
          <w:szCs w:val="24"/>
        </w:rPr>
        <w:lastRenderedPageBreak/>
        <w:t>What is the relationship between management controls and the financial performance efficiency of NGOs in Nairobi City County?</w:t>
      </w:r>
    </w:p>
    <w:p w14:paraId="35FF4706" w14:textId="037EDEC5" w:rsidR="00055D83" w:rsidRPr="00FB2E0F" w:rsidRDefault="00055D83" w:rsidP="00D54CAA">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t>1.4 Justification of the Study</w:t>
      </w:r>
    </w:p>
    <w:p w14:paraId="2F66289A" w14:textId="53E1B26A" w:rsidR="003E0D69" w:rsidRPr="00FB2E0F" w:rsidRDefault="00D54CAA" w:rsidP="00AD0959">
      <w:pPr>
        <w:autoSpaceDE w:val="0"/>
        <w:autoSpaceDN w:val="0"/>
        <w:adjustRightInd w:val="0"/>
        <w:spacing w:before="0" w:after="240" w:line="240" w:lineRule="auto"/>
        <w:rPr>
          <w:color w:val="000000" w:themeColor="text1"/>
          <w:szCs w:val="24"/>
        </w:rPr>
      </w:pPr>
      <w:r w:rsidRPr="00D54CAA">
        <w:rPr>
          <w:color w:val="000000" w:themeColor="text1"/>
          <w:szCs w:val="24"/>
        </w:rPr>
        <w:t>This study offers scholars and researchers critical insights into optimal internal control mechanisms, enriching the existing knowledge base and guiding future investigations. For the Kenyan government and relevant agencies, the findings provide evidence-based direction for designing or strengthening internal controls to enhance NGO performance, inform policy, and regulate operations effectively. NGO leaders can leverage these insights to assess internal structures, improve efficiency, and adapt administrative processes, while personnel can refine operational practices for better outcomes. Strengthened transparency and accountability foster donor confidence, enhancing fundraising capacity and sustaining resource mobilization through trust-based partnerships.</w:t>
      </w:r>
    </w:p>
    <w:p w14:paraId="0B892AC5" w14:textId="29BE698D" w:rsidR="00AE4AA5" w:rsidRPr="00FB2E0F" w:rsidRDefault="00AE4AA5" w:rsidP="00AE4AA5">
      <w:pPr>
        <w:rPr>
          <w:rFonts w:cs="Times New Roman"/>
          <w:b/>
          <w:bCs/>
          <w:color w:val="000000" w:themeColor="text1"/>
          <w:sz w:val="28"/>
          <w:szCs w:val="24"/>
        </w:rPr>
      </w:pPr>
      <w:r w:rsidRPr="00FB2E0F">
        <w:rPr>
          <w:rFonts w:cs="Times New Roman"/>
          <w:b/>
          <w:bCs/>
          <w:color w:val="000000" w:themeColor="text1"/>
          <w:sz w:val="28"/>
          <w:szCs w:val="24"/>
        </w:rPr>
        <w:t xml:space="preserve">1.5 </w:t>
      </w:r>
      <w:r w:rsidR="00D54CAA" w:rsidRPr="00D54CAA">
        <w:rPr>
          <w:rFonts w:cs="Times New Roman"/>
          <w:b/>
          <w:bCs/>
          <w:color w:val="000000" w:themeColor="text1"/>
          <w:sz w:val="28"/>
          <w:szCs w:val="24"/>
        </w:rPr>
        <w:t>Limitations of the Study</w:t>
      </w:r>
    </w:p>
    <w:p w14:paraId="01448711" w14:textId="033B61A8" w:rsidR="001E21F0" w:rsidRPr="00FB2E0F" w:rsidRDefault="00D54CAA" w:rsidP="00AE4AA5">
      <w:pPr>
        <w:spacing w:before="0" w:line="240" w:lineRule="auto"/>
        <w:rPr>
          <w:rFonts w:cs="Times New Roman"/>
          <w:color w:val="000000" w:themeColor="text1"/>
        </w:rPr>
      </w:pPr>
      <w:r w:rsidRPr="00D54CAA">
        <w:rPr>
          <w:rFonts w:cs="Times New Roman"/>
          <w:color w:val="000000" w:themeColor="text1"/>
          <w:lang w:val="en-GB"/>
        </w:rPr>
        <w:t>The study faced four main constraints. First, access to detailed internal control data was limited due to NGOs’ confidentiality concerns; this was mitigated through rapport-building with key management and consistent communication. Second, potential non-cooperation from participants, given the sensitivity of targeted departments, was addressed using an introductory letter from Kenyatta University and a NACOSTI permit to secure access. Third, Covid-19 remote work hindered physical contact, prompting reliance on online platforms like SurveyMonkey and Google Forms. Finally, risks of dishonest responses, particularly on fraud-related issues, were reduced by validating data with higher authorities and conducting informal management interviews</w:t>
      </w:r>
      <w:r w:rsidR="003E0D69" w:rsidRPr="00FB2E0F">
        <w:rPr>
          <w:rFonts w:cs="Times New Roman"/>
          <w:color w:val="000000" w:themeColor="text1"/>
          <w:lang w:val="en-GB"/>
        </w:rPr>
        <w:t>.</w:t>
      </w:r>
      <w:r w:rsidR="001E21F0" w:rsidRPr="00FB2E0F">
        <w:rPr>
          <w:rFonts w:cs="Times New Roman"/>
          <w:color w:val="000000" w:themeColor="text1"/>
        </w:rPr>
        <w:br w:type="page"/>
      </w:r>
    </w:p>
    <w:p w14:paraId="24BBBE34" w14:textId="77777777" w:rsidR="00506D81" w:rsidRDefault="00055D83" w:rsidP="00506D81">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506D81">
        <w:rPr>
          <w:rFonts w:ascii="Times New Roman" w:hAnsi="Times New Roman"/>
          <w:b/>
          <w:color w:val="000000" w:themeColor="text1"/>
          <w:sz w:val="28"/>
          <w:szCs w:val="28"/>
          <w:highlight w:val="green"/>
          <w:lang w:val="en-GB"/>
        </w:rPr>
        <w:lastRenderedPageBreak/>
        <w:t xml:space="preserve">2.0 </w:t>
      </w:r>
      <w:r w:rsidR="00506D81" w:rsidRPr="00506D81">
        <w:rPr>
          <w:rFonts w:ascii="Times New Roman" w:hAnsi="Times New Roman"/>
          <w:b/>
          <w:color w:val="000000" w:themeColor="text1"/>
          <w:sz w:val="28"/>
          <w:szCs w:val="28"/>
          <w:highlight w:val="green"/>
          <w:lang w:val="en-GB"/>
        </w:rPr>
        <w:t>Review of Literature</w:t>
      </w:r>
      <w:r w:rsidR="00506D81" w:rsidRPr="00506D81">
        <w:rPr>
          <w:rFonts w:ascii="Times New Roman" w:hAnsi="Times New Roman"/>
          <w:b/>
          <w:color w:val="000000" w:themeColor="text1"/>
          <w:sz w:val="28"/>
          <w:szCs w:val="28"/>
          <w:lang w:val="en-GB"/>
        </w:rPr>
        <w:t xml:space="preserve"> </w:t>
      </w:r>
    </w:p>
    <w:p w14:paraId="56FCEE52" w14:textId="7EF8AAC2" w:rsidR="000D1B44" w:rsidRPr="000D1B44" w:rsidRDefault="000D1B44" w:rsidP="00506D81">
      <w:pPr>
        <w:pStyle w:val="ListParagraph"/>
        <w:autoSpaceDE w:val="0"/>
        <w:autoSpaceDN w:val="0"/>
        <w:adjustRightInd w:val="0"/>
        <w:spacing w:before="480" w:after="240" w:line="240" w:lineRule="auto"/>
        <w:ind w:left="0"/>
        <w:rPr>
          <w:b/>
          <w:i/>
          <w:iCs/>
          <w:color w:val="000000" w:themeColor="text1"/>
          <w:szCs w:val="24"/>
          <w:lang w:val="en-GB"/>
        </w:rPr>
      </w:pPr>
      <w:r w:rsidRPr="000D1B44">
        <w:rPr>
          <w:b/>
          <w:i/>
          <w:iCs/>
          <w:color w:val="000000" w:themeColor="text1"/>
          <w:szCs w:val="24"/>
          <w:lang w:val="en-GB"/>
        </w:rPr>
        <w:t>Theoretical Review</w:t>
      </w:r>
    </w:p>
    <w:p w14:paraId="4935A21E" w14:textId="07AA9A82"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A theoretical review synthesizes prior academic contributions to clarify key concepts, link relevant perspectives, and provide a basis for new investigations. In examining the relationship between internal control mechanisms and organizational performance</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particularly within the non-profit sector</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it is important to ground the discussion in established theoretical perspectives that illuminate both the need for and the design of effective controls. This review draws on Agency Theory, Stewardship Theory, the COSO Internal Control Framework, and Contingency Theory, integrating these perspectives into a coherent framework for understanding operational internal controls and their role in enhancing financial efficiency in non-governmental organizations (NGOs) in Nairobi City County, Kenya.</w:t>
      </w:r>
    </w:p>
    <w:p w14:paraId="74143BA6" w14:textId="77777777"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Agency Theory</w:t>
      </w:r>
    </w:p>
    <w:p w14:paraId="1650A266" w14:textId="29E1ECAD"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Agency Theory, developed by Jensen and Meckling (1976), explains the relationship between principals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such as donors or boards of directors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and agents, typically managers or staff, who act on their behalf. The theory assumes that agents may not always act in the best interest of principals, especially in the absence of robust oversight. In the NGO context, this misalignment can manifest in the misuse of donor funds, diversion of resources from intended purposes, or inaccurate financial reporting.</w:t>
      </w:r>
      <w:r>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Internal controls are a central mechanism for mitigating agency problems. These controls may be preventive</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designed to deter misconduct before it occurs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or detective</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designed to identify irregularities after the fact. Preventive controls include segregation of duties and formal approval processes, while detective controls involve audits, reconciliations, and variance analyses. By establishing accountability, transparency, and oversight, internal controls reduce the scope for opportunistic behavior and enhance the efficiency of resource use.</w:t>
      </w:r>
    </w:p>
    <w:p w14:paraId="129A9FD1" w14:textId="0AED6032"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In NGOs, the challenges of direct oversight by principals are amplified by geographical distance, diverse operational contexts, and the complexity of donor requirements. Agency Theory underscores that without well-designed internal controls, the risk of inefficiency and misuse increases. Therefore, preventive and detective measures are not optional but essential safeguards to protect donor funds and ensure their application toward the intended mission (Munyua &amp; Moronge, 2018; Stewart &amp; Ayres, 2001; Markus, Majchrzak, &amp; Gasser, 2002).</w:t>
      </w:r>
    </w:p>
    <w:p w14:paraId="50F1DE81" w14:textId="77777777"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Stewardship Theory</w:t>
      </w:r>
    </w:p>
    <w:p w14:paraId="091289B8" w14:textId="2C482BFA"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In contrast to Agency Theory’s assumption of self-interest, Stewardship Theory posits that managers are trustworthy custodians of organizational resources, motivated to act in the organization’s best interest (Davis, Schoorman, &amp; Donaldson, 1997). This perspective is particularly relevant to NGOs, where leaders and staff are often mission-driven rather than profit-driven. Humanitarian leaders, for instance, frequently describe themselves as custodians responsible to donors, beneficiaries, and the broader community.</w:t>
      </w:r>
      <w:r>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Even in environments where goodwill predominates, stewardship does not diminish the necessity of internal controls. Rather, it reframes them as tools that committed managers willingly adopt to uphold accountability and enhance efficiency. In NGOs, the stakes are high: donor trust is directly linked to financial sustainability, and any erosion of that trust through poor accountability can reduce funding streams.</w:t>
      </w:r>
    </w:p>
    <w:p w14:paraId="7AF621C2" w14:textId="2AD2A8A2"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Empirical evidence supports that NGOs with robust internal controls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spanning financial management policies, compliance checks, and risk management frameworks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exhibit stronger financial performance and program effectiveness. Here, “financial performance” refers not to profit but to the sustainable and efficient use of limited resources, adherence to budgets, low administrative cost ratios, and timely fund utilization. Internal controls also facilitate accurate financial reporting, enabling managers to demonstrate to donors that funds have been appropriately spent and to identify opportunities for efficiency gains.</w:t>
      </w:r>
    </w:p>
    <w:p w14:paraId="36863A1F" w14:textId="67CBDB34"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lastRenderedPageBreak/>
        <w:t>Stewardship Theory thus offers a complementary rationale for strong internal controls: not to constrain potentially untrustworthy agents, but to enable mission-aligned leaders to safeguard resources and enhance operational impact. In NGOs, where accountability spans donors, beneficiaries, boards, and regulators, internal controls provide the structure needed to manage multiple accountabilities effectively. By aligning trust with verification, stewardship-oriented organizations reinforce their credibility and ensure the sustainability of their mission.</w:t>
      </w:r>
    </w:p>
    <w:p w14:paraId="37C620C1" w14:textId="12A53B60"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COSO Internal Control Framework</w:t>
      </w:r>
    </w:p>
    <w:p w14:paraId="1DEA8662" w14:textId="67E39169"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The Committee of Sponsoring Organizations of the Treadway Commission (COSO) published its Internal Control – Integrated Framework in 1992, with an updated version released in 2013. Widely recognized across sectors, the framework defines internal control as a process designed to provide reasonable assurance regarding operational efficiency, reliability of financial reporting, and compliance with laws and regulations (COSO, 2013).</w:t>
      </w:r>
    </w:p>
    <w:p w14:paraId="49321A85" w14:textId="77777777" w:rsidR="000D1B44" w:rsidRPr="000D1B44" w:rsidRDefault="000D1B44" w:rsidP="000D1B44">
      <w:pPr>
        <w:spacing w:before="0" w:line="240" w:lineRule="auto"/>
        <w:rPr>
          <w:rFonts w:cs="Times New Roman"/>
          <w:bCs/>
          <w:color w:val="000000" w:themeColor="text1"/>
          <w:kern w:val="2"/>
          <w:szCs w:val="24"/>
          <w:lang w:val="en-GB"/>
        </w:rPr>
      </w:pPr>
      <w:r w:rsidRPr="000D1B44">
        <w:rPr>
          <w:rFonts w:cs="Times New Roman"/>
          <w:bCs/>
          <w:color w:val="000000" w:themeColor="text1"/>
          <w:kern w:val="2"/>
          <w:szCs w:val="24"/>
          <w:lang w:val="en-GB"/>
        </w:rPr>
        <w:t>The COSO framework identifies five interrelated components:</w:t>
      </w:r>
    </w:p>
    <w:p w14:paraId="22302DA5" w14:textId="77777777" w:rsidR="000D1B44" w:rsidRPr="000D1B44" w:rsidRDefault="000D1B44" w:rsidP="000D1B44">
      <w:pPr>
        <w:spacing w:before="0" w:line="240" w:lineRule="auto"/>
        <w:rPr>
          <w:rFonts w:cs="Times New Roman"/>
          <w:bCs/>
          <w:color w:val="000000" w:themeColor="text1"/>
          <w:kern w:val="2"/>
          <w:szCs w:val="24"/>
          <w:lang w:val="en-GB"/>
        </w:rPr>
      </w:pPr>
    </w:p>
    <w:p w14:paraId="048AAA8B" w14:textId="09270000" w:rsidR="000D1B44" w:rsidRP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Control Environment – the organizational culture and values that shape control consciousness.</w:t>
      </w:r>
    </w:p>
    <w:p w14:paraId="372D62BC" w14:textId="317B46CA" w:rsidR="000D1B44" w:rsidRP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Risk Assessment – systematic identification and analysis of risks.</w:t>
      </w:r>
    </w:p>
    <w:p w14:paraId="7E07DC5B" w14:textId="3044E3A6" w:rsidR="000D1B44" w:rsidRP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Control Activities – specific actions, such as approvals and verifications, that mitigate risks.</w:t>
      </w:r>
    </w:p>
    <w:p w14:paraId="4ABF2F6B" w14:textId="0567087A" w:rsidR="000D1B44" w:rsidRP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Information and Communication – processes that ensure relevant data is captured and shared.</w:t>
      </w:r>
    </w:p>
    <w:p w14:paraId="2526771C" w14:textId="55AEDC51" w:rsidR="000D1B44" w:rsidRDefault="000D1B44" w:rsidP="000D1B44">
      <w:pPr>
        <w:pStyle w:val="ListParagraph"/>
        <w:numPr>
          <w:ilvl w:val="0"/>
          <w:numId w:val="16"/>
        </w:numPr>
        <w:spacing w:before="0" w:after="0" w:line="240" w:lineRule="auto"/>
        <w:rPr>
          <w:rFonts w:ascii="Times New Roman" w:hAnsi="Times New Roman"/>
          <w:bCs/>
          <w:color w:val="000000" w:themeColor="text1"/>
          <w:sz w:val="24"/>
          <w:szCs w:val="28"/>
          <w:lang w:val="en-GB"/>
        </w:rPr>
      </w:pPr>
      <w:r w:rsidRPr="000D1B44">
        <w:rPr>
          <w:rFonts w:ascii="Times New Roman" w:hAnsi="Times New Roman"/>
          <w:bCs/>
          <w:color w:val="000000" w:themeColor="text1"/>
          <w:sz w:val="24"/>
          <w:szCs w:val="28"/>
          <w:lang w:val="en-GB"/>
        </w:rPr>
        <w:t>Monitoring Activities – ongoing evaluations of the control system’s effectiveness.</w:t>
      </w:r>
    </w:p>
    <w:p w14:paraId="2DBCECDD" w14:textId="77777777" w:rsidR="000D1B44" w:rsidRPr="000D1B44" w:rsidRDefault="000D1B44" w:rsidP="000D1B44">
      <w:pPr>
        <w:pStyle w:val="ListParagraph"/>
        <w:spacing w:before="0" w:after="0" w:line="240" w:lineRule="auto"/>
        <w:rPr>
          <w:rFonts w:ascii="Times New Roman" w:hAnsi="Times New Roman"/>
          <w:bCs/>
          <w:color w:val="000000" w:themeColor="text1"/>
          <w:sz w:val="24"/>
          <w:szCs w:val="28"/>
          <w:lang w:val="en-GB"/>
        </w:rPr>
      </w:pPr>
    </w:p>
    <w:p w14:paraId="36587C48" w14:textId="5ECF1F9C"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For NGOs in Kenya, particularly those dependent on donor funding, the COSO framework offers a comprehensive approach to structuring internal controls. It links operational controls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preventive, detective, directive, and management</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to broader governance processes. Preventive and detective controls map onto control activities and monitoring, while directive and management controls correspond to the control environment, communication channels, and strategic risk management.</w:t>
      </w:r>
      <w:r>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In contexts where transparency is paramount, COSO provides NGOs with a structured methodology for instilling financial discipline, ensuring compliance with donor conditions, and safeguarding against inefficiency or misuse of funds (Kinyua, 2016). For this study, the COSO framework serves as a conceptual anchor, offering both theoretical rigor and practical applicability for evaluating operational internal controls in relation to financial efficiency.</w:t>
      </w:r>
    </w:p>
    <w:p w14:paraId="76F54755" w14:textId="7038EF8C"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t>Contingency Theory</w:t>
      </w:r>
    </w:p>
    <w:p w14:paraId="3A5AA0AB" w14:textId="534AC55F"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Contingency Theory rejects universal prescriptions for management and control, arguing instead that the effectiveness of any system depends on its fit with contextual variables (Fiedler, 1964; Otley, 1980). In relation to internal controls, the theory suggests that their design and implementation must be tailored to the organization’s size, complexity, technology, funding stability, regulatory environment, and strategic priorities.</w:t>
      </w:r>
    </w:p>
    <w:p w14:paraId="04C5C15C" w14:textId="7F0443F7"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For NGOs in Nairobi City County, internal and external conditions vary significantly. Some organizations manage multimillion-dollar budgets from multiple donors, necessitating complex reconciliation processes; others operate on modest, unstable funding, requiring leaner but still effective controls. High staff turnover may call for stronger directive controls such as frequent training and standardized procedures, while organizations in high-risk environments may require enhanced preventive measures.</w:t>
      </w:r>
      <w:r>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Contingency Theory thus emphasizes that operational internal controls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whether preventive, detective, directive, or management</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must be context-specific to achieve optimal financial efficiency. Imposing standardized control systems without adaptation risks creating inefficiencies and undermining governance. In this study, Contingency Theory is applied to assess how contextual factors moderate the relationship between operational controls and financial performance, complementing the more prescriptive COSO framework.</w:t>
      </w:r>
    </w:p>
    <w:p w14:paraId="6488D7AE" w14:textId="77777777" w:rsidR="00B55CEF" w:rsidRDefault="00B55CEF" w:rsidP="000D1B44">
      <w:pPr>
        <w:spacing w:before="0" w:after="160" w:line="259" w:lineRule="auto"/>
        <w:rPr>
          <w:rFonts w:cs="Times New Roman"/>
          <w:b/>
          <w:i/>
          <w:iCs/>
          <w:color w:val="000000" w:themeColor="text1"/>
          <w:kern w:val="2"/>
          <w:szCs w:val="24"/>
          <w:lang w:val="en-GB"/>
        </w:rPr>
      </w:pPr>
    </w:p>
    <w:p w14:paraId="6B87D10D" w14:textId="4F900E7E" w:rsidR="000D1B44" w:rsidRPr="000D1B44" w:rsidRDefault="000D1B44" w:rsidP="000D1B44">
      <w:pPr>
        <w:spacing w:before="0" w:after="160" w:line="259" w:lineRule="auto"/>
        <w:rPr>
          <w:rFonts w:cs="Times New Roman"/>
          <w:b/>
          <w:i/>
          <w:iCs/>
          <w:color w:val="000000" w:themeColor="text1"/>
          <w:kern w:val="2"/>
          <w:szCs w:val="24"/>
          <w:lang w:val="en-GB"/>
        </w:rPr>
      </w:pPr>
      <w:r w:rsidRPr="000D1B44">
        <w:rPr>
          <w:rFonts w:cs="Times New Roman"/>
          <w:b/>
          <w:i/>
          <w:iCs/>
          <w:color w:val="000000" w:themeColor="text1"/>
          <w:kern w:val="2"/>
          <w:szCs w:val="24"/>
          <w:lang w:val="en-GB"/>
        </w:rPr>
        <w:lastRenderedPageBreak/>
        <w:t>Integrating the Theories</w:t>
      </w:r>
    </w:p>
    <w:p w14:paraId="45612820" w14:textId="1CA7D3F9"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Taken together, these four perspectives offer a layered understanding of internal controls in NGOs. Agency Theory underscores the necessity of controls to align the interests of donors and managers. Stewardship Theory reframes controls as tools willingly embraced by mission-driven leaders to strengthen accountability. The COSO framework operationalizes internal controls into structured components applicable across sectors, while Contingency Theory cautions against a rigid application of any framework without contextual adaptation.</w:t>
      </w:r>
    </w:p>
    <w:p w14:paraId="184F3D01" w14:textId="6D7BB8F1" w:rsidR="000D1B44" w:rsidRPr="000D1B44" w:rsidRDefault="000D1B44" w:rsidP="000D1B44">
      <w:pPr>
        <w:spacing w:before="0" w:after="160" w:line="259" w:lineRule="auto"/>
        <w:rPr>
          <w:rFonts w:cs="Times New Roman"/>
          <w:bCs/>
          <w:color w:val="000000" w:themeColor="text1"/>
          <w:kern w:val="2"/>
          <w:szCs w:val="24"/>
          <w:lang w:val="en-GB"/>
        </w:rPr>
      </w:pPr>
      <w:r w:rsidRPr="000D1B44">
        <w:rPr>
          <w:rFonts w:cs="Times New Roman"/>
          <w:bCs/>
          <w:color w:val="000000" w:themeColor="text1"/>
          <w:kern w:val="2"/>
          <w:szCs w:val="24"/>
          <w:lang w:val="en-GB"/>
        </w:rPr>
        <w:t>In the NGO context, these theories converge on the idea that robust internal controls are essential not merely as safeguards but as enablers of financial efficiency and sustainability. Agency Theory justifies controls to mitigate opportunism; Stewardship Theory demonstrates their value in enhancing already aligned interests; COSO provides the practical structure; and Contingency Theory ensures those structures are appropriately tailored.</w:t>
      </w:r>
    </w:p>
    <w:p w14:paraId="6C213BBC" w14:textId="746A2E28" w:rsidR="00B449E1" w:rsidRPr="000D1B44" w:rsidRDefault="000D1B44" w:rsidP="000D1B44">
      <w:pPr>
        <w:spacing w:before="0" w:after="160" w:line="259" w:lineRule="auto"/>
        <w:rPr>
          <w:rFonts w:cs="Times New Roman"/>
          <w:bCs/>
          <w:color w:val="000000" w:themeColor="text1"/>
          <w:szCs w:val="24"/>
        </w:rPr>
      </w:pPr>
      <w:r w:rsidRPr="000D1B44">
        <w:rPr>
          <w:rFonts w:cs="Times New Roman"/>
          <w:bCs/>
          <w:color w:val="000000" w:themeColor="text1"/>
          <w:kern w:val="2"/>
          <w:szCs w:val="24"/>
          <w:lang w:val="en-GB"/>
        </w:rPr>
        <w:t>By synthesizing these theoretical lenses, this study positions operational internal controls not as isolated mechanisms but as integral to the governance, accountability, and performance of NGOs. In Nairobi City County</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where NGOs face diverse operational challenges and donor expectations</w:t>
      </w:r>
      <w:r w:rsidR="003E0FAD">
        <w:rPr>
          <w:rFonts w:cs="Times New Roman"/>
          <w:bCs/>
          <w:color w:val="000000" w:themeColor="text1"/>
          <w:kern w:val="2"/>
          <w:szCs w:val="24"/>
          <w:lang w:val="en-GB"/>
        </w:rPr>
        <w:t xml:space="preserve"> </w:t>
      </w:r>
      <w:r w:rsidRPr="000D1B44">
        <w:rPr>
          <w:rFonts w:cs="Times New Roman"/>
          <w:bCs/>
          <w:color w:val="000000" w:themeColor="text1"/>
          <w:kern w:val="2"/>
          <w:szCs w:val="24"/>
          <w:lang w:val="en-GB"/>
        </w:rPr>
        <w:t>this integrated approach offers a comprehensive framework for understanding how internal controls can be designed and implemented to maximize financial efficiency and protect organizational credibility.</w:t>
      </w:r>
    </w:p>
    <w:p w14:paraId="0236764D" w14:textId="19E3A4FA" w:rsidR="0025635B" w:rsidRPr="00FB2E0F" w:rsidRDefault="00E0554F" w:rsidP="0025635B">
      <w:pPr>
        <w:spacing w:before="0" w:after="160" w:line="259" w:lineRule="auto"/>
        <w:rPr>
          <w:rFonts w:cs="Times New Roman"/>
          <w:b/>
          <w:bCs/>
          <w:color w:val="000000" w:themeColor="text1"/>
          <w:sz w:val="28"/>
          <w:szCs w:val="28"/>
        </w:rPr>
      </w:pPr>
      <w:r w:rsidRPr="00FB2E0F">
        <w:rPr>
          <w:rFonts w:cs="Times New Roman"/>
          <w:b/>
          <w:bCs/>
          <w:color w:val="000000" w:themeColor="text1"/>
          <w:sz w:val="28"/>
          <w:szCs w:val="28"/>
        </w:rPr>
        <w:t xml:space="preserve">2.1 </w:t>
      </w:r>
      <w:r w:rsidR="00CB6E82" w:rsidRPr="00FB2E0F">
        <w:rPr>
          <w:rFonts w:cs="Times New Roman"/>
          <w:b/>
          <w:bCs/>
          <w:color w:val="000000" w:themeColor="text1"/>
          <w:sz w:val="28"/>
          <w:szCs w:val="28"/>
        </w:rPr>
        <w:t>Empirical Review</w:t>
      </w:r>
    </w:p>
    <w:p w14:paraId="06FBC071" w14:textId="77777777" w:rsidR="00C237CE" w:rsidRPr="00C237CE" w:rsidRDefault="00C237CE" w:rsidP="00C237CE">
      <w:pPr>
        <w:spacing w:before="0" w:after="160" w:line="259" w:lineRule="auto"/>
        <w:rPr>
          <w:rFonts w:cs="Times New Roman"/>
          <w:b/>
          <w:bCs/>
          <w:i/>
          <w:iCs/>
          <w:color w:val="000000" w:themeColor="text1"/>
          <w:szCs w:val="24"/>
        </w:rPr>
      </w:pPr>
      <w:r w:rsidRPr="00C237CE">
        <w:rPr>
          <w:rFonts w:cs="Times New Roman"/>
          <w:b/>
          <w:bCs/>
          <w:i/>
          <w:iCs/>
          <w:color w:val="000000" w:themeColor="text1"/>
          <w:szCs w:val="24"/>
        </w:rPr>
        <w:t>Preventive Controls and Financial Performance Efficiency</w:t>
      </w:r>
    </w:p>
    <w:p w14:paraId="712CFFCD" w14:textId="4BA81A3F" w:rsidR="00C237CE" w:rsidRPr="00C237CE" w:rsidRDefault="00C237CE" w:rsidP="00C237CE">
      <w:pPr>
        <w:spacing w:before="0" w:after="160" w:line="259" w:lineRule="auto"/>
        <w:rPr>
          <w:rFonts w:cs="Times New Roman"/>
          <w:color w:val="000000" w:themeColor="text1"/>
          <w:szCs w:val="24"/>
        </w:rPr>
      </w:pPr>
      <w:r w:rsidRPr="00C237CE">
        <w:rPr>
          <w:rFonts w:cs="Times New Roman"/>
          <w:color w:val="000000" w:themeColor="text1"/>
          <w:szCs w:val="24"/>
        </w:rPr>
        <w:t>Preventive controls are proactive mechanisms designed to avert errors, fraud, and waste before they occur. In the NGO context, these include segregation of duties, restricted access to sensitive information, authorization procedures, and staff training. Munyua and Moronge (2018) found that NGOs implementing such measures achieved stronger budget compliance and reduced fund misuse. However, their study did not identify which specific controls were most effective, nor did it directly assess financial efficiency metrics such as cost savings or administrative cost ratios. Similarly, Ndungu (2020) reported that preventive controls reduced instances of improper financial reporting in donor-funded projects, though the focus on accountability and transparency limited the applicability of findings to efficiency outcomes. Collectively, these studies suggest that preventive controls safeguard financial resources, but further research is needed to establish their measurable impact on efficiency indicators.</w:t>
      </w:r>
    </w:p>
    <w:p w14:paraId="665E5515" w14:textId="77777777" w:rsidR="00C237CE" w:rsidRPr="00C237CE" w:rsidRDefault="00C237CE" w:rsidP="00C237CE">
      <w:pPr>
        <w:spacing w:before="0" w:after="160" w:line="259" w:lineRule="auto"/>
        <w:rPr>
          <w:rFonts w:cs="Times New Roman"/>
          <w:b/>
          <w:bCs/>
          <w:i/>
          <w:iCs/>
          <w:color w:val="000000" w:themeColor="text1"/>
          <w:szCs w:val="24"/>
        </w:rPr>
      </w:pPr>
      <w:r w:rsidRPr="00C237CE">
        <w:rPr>
          <w:rFonts w:cs="Times New Roman"/>
          <w:b/>
          <w:bCs/>
          <w:i/>
          <w:iCs/>
          <w:color w:val="000000" w:themeColor="text1"/>
          <w:szCs w:val="24"/>
        </w:rPr>
        <w:t>Detective Controls and Financial Performance Efficiency</w:t>
      </w:r>
    </w:p>
    <w:p w14:paraId="41EA52A0" w14:textId="0B03B935" w:rsidR="00C237CE" w:rsidRPr="00C237CE" w:rsidRDefault="00C237CE" w:rsidP="00C237CE">
      <w:pPr>
        <w:spacing w:before="0" w:after="160" w:line="259" w:lineRule="auto"/>
        <w:rPr>
          <w:rFonts w:cs="Times New Roman"/>
          <w:color w:val="000000" w:themeColor="text1"/>
          <w:szCs w:val="24"/>
        </w:rPr>
      </w:pPr>
      <w:r w:rsidRPr="00C237CE">
        <w:rPr>
          <w:rFonts w:cs="Times New Roman"/>
          <w:color w:val="000000" w:themeColor="text1"/>
          <w:szCs w:val="24"/>
        </w:rPr>
        <w:t>Detective controls identify and correct irregularities after they occur, such as through reconciliations, internal audits, and variance analyses. Mwangi (2021) observed that Nairobi-based NGOs conducting regular reconciliations and audits experienced fewer unaccounted funds and closer alignment between budgeted and actual expenditures. However, the small qualitative sample limited generalizability. Oduor and Muturi (2019) similarly linked internal audits to improved financial integrity in humanitarian organizations, yet they did not measure cost-effectiveness or program-level efficiency. Evidence thus far indicates that detective controls strengthen accountability, but quantitative analyses are required to confirm their direct influence on efficiency metrics.</w:t>
      </w:r>
    </w:p>
    <w:p w14:paraId="55709891" w14:textId="77777777" w:rsidR="00C237CE" w:rsidRPr="00C237CE" w:rsidRDefault="00C237CE" w:rsidP="00C237CE">
      <w:pPr>
        <w:spacing w:before="0" w:after="160" w:line="259" w:lineRule="auto"/>
        <w:rPr>
          <w:rFonts w:cs="Times New Roman"/>
          <w:b/>
          <w:bCs/>
          <w:i/>
          <w:iCs/>
          <w:color w:val="000000" w:themeColor="text1"/>
          <w:szCs w:val="24"/>
        </w:rPr>
      </w:pPr>
      <w:r w:rsidRPr="00C237CE">
        <w:rPr>
          <w:rFonts w:cs="Times New Roman"/>
          <w:b/>
          <w:bCs/>
          <w:i/>
          <w:iCs/>
          <w:color w:val="000000" w:themeColor="text1"/>
          <w:szCs w:val="24"/>
        </w:rPr>
        <w:t>Directive Controls and Financial Performance Efficiency</w:t>
      </w:r>
    </w:p>
    <w:p w14:paraId="3A5B26AE" w14:textId="28E4E352" w:rsidR="00C237CE" w:rsidRPr="00C237CE" w:rsidRDefault="00C237CE" w:rsidP="00C237CE">
      <w:pPr>
        <w:spacing w:before="0" w:after="160" w:line="259" w:lineRule="auto"/>
        <w:rPr>
          <w:rFonts w:cs="Times New Roman"/>
          <w:color w:val="000000" w:themeColor="text1"/>
          <w:szCs w:val="24"/>
        </w:rPr>
      </w:pPr>
      <w:r w:rsidRPr="00C237CE">
        <w:rPr>
          <w:rFonts w:cs="Times New Roman"/>
          <w:color w:val="000000" w:themeColor="text1"/>
          <w:szCs w:val="24"/>
        </w:rPr>
        <w:t xml:space="preserve">Directive controls shape employee actions to ensure adherence to policies and procedures, including written financial guidelines, standardized manuals, and regular training. Chege (2020) found that such measures improved consistency in financial reporting and reduced non-compliance in faith-based NGOs, though the emphasis was on donor satisfaction rather than operational efficiency. Karanja and Kamau (2021) also associated clear policies and </w:t>
      </w:r>
      <w:r w:rsidRPr="00C237CE">
        <w:rPr>
          <w:rFonts w:cs="Times New Roman"/>
          <w:color w:val="000000" w:themeColor="text1"/>
          <w:szCs w:val="24"/>
        </w:rPr>
        <w:lastRenderedPageBreak/>
        <w:t>induction programs with improved planning and budget control, but reliance on self-reported data may have introduced bias. While directive controls appear to enhance predictability and compliance, their contribution to quantifiable efficiency outcomes remains under-investigated.</w:t>
      </w:r>
    </w:p>
    <w:p w14:paraId="55E7BAD3" w14:textId="77777777" w:rsidR="00C237CE" w:rsidRPr="00C237CE" w:rsidRDefault="00C237CE" w:rsidP="00C237CE">
      <w:pPr>
        <w:spacing w:before="0" w:after="160" w:line="259" w:lineRule="auto"/>
        <w:rPr>
          <w:rFonts w:cs="Times New Roman"/>
          <w:b/>
          <w:bCs/>
          <w:i/>
          <w:iCs/>
          <w:color w:val="000000" w:themeColor="text1"/>
          <w:szCs w:val="24"/>
        </w:rPr>
      </w:pPr>
      <w:r w:rsidRPr="00C237CE">
        <w:rPr>
          <w:rFonts w:cs="Times New Roman"/>
          <w:b/>
          <w:bCs/>
          <w:i/>
          <w:iCs/>
          <w:color w:val="000000" w:themeColor="text1"/>
          <w:szCs w:val="24"/>
        </w:rPr>
        <w:t>Management Controls and Financial Performance Efficiency</w:t>
      </w:r>
    </w:p>
    <w:p w14:paraId="1211445F" w14:textId="70C71B3B" w:rsidR="00CB6E82" w:rsidRDefault="00C237CE" w:rsidP="00CB6E82">
      <w:pPr>
        <w:spacing w:before="0" w:after="160" w:line="259" w:lineRule="auto"/>
        <w:rPr>
          <w:rFonts w:cs="Times New Roman"/>
          <w:color w:val="000000" w:themeColor="text1"/>
          <w:szCs w:val="24"/>
        </w:rPr>
      </w:pPr>
      <w:r w:rsidRPr="00C237CE">
        <w:rPr>
          <w:rFonts w:cs="Times New Roman"/>
          <w:color w:val="000000" w:themeColor="text1"/>
          <w:szCs w:val="24"/>
        </w:rPr>
        <w:t>Management controls encompass broader oversight mechanisms</w:t>
      </w:r>
      <w:r w:rsidR="003E0FAD">
        <w:rPr>
          <w:rFonts w:cs="Times New Roman"/>
          <w:color w:val="000000" w:themeColor="text1"/>
          <w:szCs w:val="24"/>
        </w:rPr>
        <w:t xml:space="preserve"> </w:t>
      </w:r>
      <w:r w:rsidRPr="00C237CE">
        <w:rPr>
          <w:rFonts w:cs="Times New Roman"/>
          <w:color w:val="000000" w:themeColor="text1"/>
          <w:szCs w:val="24"/>
        </w:rPr>
        <w:t>budgeting systems, performance evaluations, financial analysis, and strategic planning</w:t>
      </w:r>
      <w:r w:rsidR="003E0FAD">
        <w:rPr>
          <w:rFonts w:cs="Times New Roman"/>
          <w:color w:val="000000" w:themeColor="text1"/>
          <w:szCs w:val="24"/>
        </w:rPr>
        <w:t xml:space="preserve"> </w:t>
      </w:r>
      <w:r w:rsidRPr="00C237CE">
        <w:rPr>
          <w:rFonts w:cs="Times New Roman"/>
          <w:color w:val="000000" w:themeColor="text1"/>
          <w:szCs w:val="24"/>
        </w:rPr>
        <w:t>that align financial decisions with organizational objectives. Wanjiru (2019) linked budget monitoring, performance reviews, and forecasting to higher program efficiency ratios, though without cross-comparison to other control categories. Otieno (2020) emphasized that weak financial planning undermines fund utilization and sustainability, yet offered no quantitative efficiency evidence. Current literature affirms the strategic value of management controls but leaves their precise impact on efficiency measures such as cost per beneficiary or fundraising ratios insufficiently explored.</w:t>
      </w:r>
    </w:p>
    <w:p w14:paraId="35BCEF5F" w14:textId="1EFB8069" w:rsidR="00055D83" w:rsidRPr="00FB2E0F" w:rsidRDefault="00055D83" w:rsidP="002C6F25">
      <w:pPr>
        <w:spacing w:line="240" w:lineRule="auto"/>
        <w:rPr>
          <w:rFonts w:cs="Times New Roman"/>
          <w:b/>
          <w:bCs/>
          <w:color w:val="000000" w:themeColor="text1"/>
          <w:sz w:val="28"/>
          <w:szCs w:val="28"/>
        </w:rPr>
      </w:pPr>
      <w:r w:rsidRPr="00FB2E0F">
        <w:rPr>
          <w:rFonts w:cs="Times New Roman"/>
          <w:b/>
          <w:bCs/>
          <w:color w:val="000000" w:themeColor="text1"/>
          <w:sz w:val="28"/>
          <w:szCs w:val="28"/>
        </w:rPr>
        <w:t>3.0 RESEARCH METHODOLOGY</w:t>
      </w:r>
    </w:p>
    <w:p w14:paraId="6C9C354F" w14:textId="408F0EBF"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Research Design</w:t>
      </w:r>
    </w:p>
    <w:p w14:paraId="3FB60505"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Research design provides the structured plan for collecting, analyzing, and interpreting data to answer research questions (Cooper &amp; Schindler, 2014). This study adopted a descriptive survey design, which was well-suited for capturing the current state of operational internal controls and their relationship with the financial performance efficiency of NGOs without manipulating variables. The design allowed both quantitative and qualitative data collection, facilitating a comprehensive understanding of the problem. As Creswell (2018) notes, descriptive research systematically examines the characteristics of a population within its natural setting. In this study, the approach supported the identification and analysis of relationships between preventive, detective, directive, and management controls and financial performance efficiency.</w:t>
      </w:r>
    </w:p>
    <w:p w14:paraId="167E7FAC" w14:textId="40AC7D01"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Target Population</w:t>
      </w:r>
    </w:p>
    <w:p w14:paraId="7CF41280" w14:textId="344472A5" w:rsid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The target population comprised senior, middle, and junior managers employed in well-established NGOs in Nairobi County, Kenya. Consistent with Cooper and Schindler’s (2014) definition of a population as the complete set of elements from which conclusions are drawn, this study focused on 263 managers as the unit of analysis.</w:t>
      </w:r>
    </w:p>
    <w:p w14:paraId="75CE39DC" w14:textId="1D947D52" w:rsidR="00F42712" w:rsidRPr="00F42712" w:rsidRDefault="00F42712" w:rsidP="00F42712">
      <w:pPr>
        <w:spacing w:before="0" w:line="240" w:lineRule="auto"/>
        <w:rPr>
          <w:b/>
          <w:bCs/>
          <w:i/>
          <w:iCs/>
        </w:rPr>
      </w:pPr>
      <w:r w:rsidRPr="00F42712">
        <w:rPr>
          <w:b/>
          <w:bCs/>
          <w:i/>
          <w:iCs/>
        </w:rPr>
        <w:t xml:space="preserve">Table </w:t>
      </w:r>
      <w:r w:rsidRPr="00F42712">
        <w:rPr>
          <w:b/>
          <w:bCs/>
          <w:i/>
          <w:iCs/>
        </w:rPr>
        <w:fldChar w:fldCharType="begin"/>
      </w:r>
      <w:r w:rsidRPr="00F42712">
        <w:rPr>
          <w:b/>
          <w:bCs/>
          <w:i/>
          <w:iCs/>
        </w:rPr>
        <w:instrText xml:space="preserve"> SEQ Table_3. \* ARABIC </w:instrText>
      </w:r>
      <w:r w:rsidRPr="00F42712">
        <w:rPr>
          <w:b/>
          <w:bCs/>
          <w:i/>
          <w:iCs/>
        </w:rPr>
        <w:fldChar w:fldCharType="separate"/>
      </w:r>
      <w:r w:rsidRPr="00F42712">
        <w:rPr>
          <w:b/>
          <w:bCs/>
          <w:i/>
          <w:iCs/>
        </w:rPr>
        <w:t>1</w:t>
      </w:r>
      <w:r w:rsidRPr="00F42712">
        <w:rPr>
          <w:b/>
          <w:bCs/>
          <w:i/>
          <w:iCs/>
        </w:rPr>
        <w:fldChar w:fldCharType="end"/>
      </w:r>
      <w:r w:rsidRPr="00F42712">
        <w:rPr>
          <w:b/>
          <w:bCs/>
          <w:i/>
          <w:iCs/>
        </w:rPr>
        <w:t>: Population Distribution</w:t>
      </w:r>
    </w:p>
    <w:tbl>
      <w:tblPr>
        <w:tblW w:w="0" w:type="auto"/>
        <w:tblBorders>
          <w:top w:val="single" w:sz="4" w:space="0" w:color="auto"/>
          <w:bottom w:val="single" w:sz="4" w:space="0" w:color="auto"/>
        </w:tblBorders>
        <w:tblLook w:val="04A0" w:firstRow="1" w:lastRow="0" w:firstColumn="1" w:lastColumn="0" w:noHBand="0" w:noVBand="1"/>
      </w:tblPr>
      <w:tblGrid>
        <w:gridCol w:w="3823"/>
        <w:gridCol w:w="2551"/>
        <w:gridCol w:w="2642"/>
      </w:tblGrid>
      <w:tr w:rsidR="00F42712" w14:paraId="6E1B1A3D" w14:textId="77777777" w:rsidTr="00421F49">
        <w:tc>
          <w:tcPr>
            <w:tcW w:w="3823" w:type="dxa"/>
            <w:tcBorders>
              <w:top w:val="single" w:sz="4" w:space="0" w:color="auto"/>
              <w:bottom w:val="single" w:sz="4" w:space="0" w:color="auto"/>
            </w:tcBorders>
          </w:tcPr>
          <w:p w14:paraId="038E92FA" w14:textId="77777777" w:rsidR="00F42712" w:rsidRPr="00B5162A" w:rsidRDefault="00F42712" w:rsidP="00F42712">
            <w:pPr>
              <w:spacing w:before="0" w:line="240" w:lineRule="auto"/>
              <w:jc w:val="center"/>
              <w:rPr>
                <w:rFonts w:eastAsia="Times New Roman" w:cs="Times New Roman"/>
                <w:b/>
                <w:bCs/>
              </w:rPr>
            </w:pPr>
            <w:r w:rsidRPr="064EE582">
              <w:rPr>
                <w:rFonts w:eastAsia="Times New Roman" w:cs="Times New Roman"/>
                <w:b/>
                <w:bCs/>
              </w:rPr>
              <w:t>Managerial Level</w:t>
            </w:r>
          </w:p>
        </w:tc>
        <w:tc>
          <w:tcPr>
            <w:tcW w:w="2551" w:type="dxa"/>
            <w:tcBorders>
              <w:top w:val="single" w:sz="4" w:space="0" w:color="auto"/>
              <w:bottom w:val="single" w:sz="4" w:space="0" w:color="auto"/>
            </w:tcBorders>
          </w:tcPr>
          <w:p w14:paraId="0FA94396" w14:textId="77777777" w:rsidR="00F42712" w:rsidRPr="00B5162A" w:rsidRDefault="00F42712" w:rsidP="00F42712">
            <w:pPr>
              <w:spacing w:before="0" w:line="240" w:lineRule="auto"/>
              <w:jc w:val="center"/>
              <w:rPr>
                <w:rFonts w:eastAsia="Times New Roman" w:cs="Times New Roman"/>
                <w:b/>
                <w:bCs/>
              </w:rPr>
            </w:pPr>
            <w:r w:rsidRPr="064EE582">
              <w:rPr>
                <w:rFonts w:eastAsia="Times New Roman" w:cs="Times New Roman"/>
                <w:b/>
                <w:bCs/>
              </w:rPr>
              <w:t>Frequency</w:t>
            </w:r>
          </w:p>
        </w:tc>
        <w:tc>
          <w:tcPr>
            <w:tcW w:w="2642" w:type="dxa"/>
            <w:tcBorders>
              <w:top w:val="single" w:sz="4" w:space="0" w:color="auto"/>
              <w:bottom w:val="single" w:sz="4" w:space="0" w:color="auto"/>
            </w:tcBorders>
          </w:tcPr>
          <w:p w14:paraId="6B927EE5" w14:textId="77777777" w:rsidR="00F42712" w:rsidRPr="00B5162A" w:rsidRDefault="00F42712" w:rsidP="00F42712">
            <w:pPr>
              <w:spacing w:before="0" w:line="240" w:lineRule="auto"/>
              <w:jc w:val="center"/>
              <w:rPr>
                <w:rFonts w:eastAsia="Times New Roman" w:cs="Times New Roman"/>
                <w:b/>
                <w:bCs/>
              </w:rPr>
            </w:pPr>
            <w:r w:rsidRPr="064EE582">
              <w:rPr>
                <w:rFonts w:eastAsia="Times New Roman" w:cs="Times New Roman"/>
                <w:b/>
                <w:bCs/>
              </w:rPr>
              <w:t>Percentage</w:t>
            </w:r>
          </w:p>
        </w:tc>
      </w:tr>
      <w:tr w:rsidR="00F42712" w14:paraId="6F6EBD44" w14:textId="77777777" w:rsidTr="00421F49">
        <w:tc>
          <w:tcPr>
            <w:tcW w:w="3823" w:type="dxa"/>
            <w:tcBorders>
              <w:top w:val="single" w:sz="4" w:space="0" w:color="auto"/>
            </w:tcBorders>
          </w:tcPr>
          <w:p w14:paraId="20CA8A87"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Top-level Managers</w:t>
            </w:r>
          </w:p>
        </w:tc>
        <w:tc>
          <w:tcPr>
            <w:tcW w:w="2551" w:type="dxa"/>
            <w:tcBorders>
              <w:top w:val="single" w:sz="4" w:space="0" w:color="auto"/>
            </w:tcBorders>
          </w:tcPr>
          <w:p w14:paraId="153113F8"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65</w:t>
            </w:r>
          </w:p>
        </w:tc>
        <w:tc>
          <w:tcPr>
            <w:tcW w:w="2642" w:type="dxa"/>
            <w:tcBorders>
              <w:top w:val="single" w:sz="4" w:space="0" w:color="auto"/>
            </w:tcBorders>
          </w:tcPr>
          <w:p w14:paraId="16D7CA0B"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25%</w:t>
            </w:r>
          </w:p>
        </w:tc>
      </w:tr>
      <w:tr w:rsidR="00F42712" w14:paraId="266A101F" w14:textId="77777777" w:rsidTr="00421F49">
        <w:tc>
          <w:tcPr>
            <w:tcW w:w="3823" w:type="dxa"/>
          </w:tcPr>
          <w:p w14:paraId="065FDF87"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Middle-level Managers</w:t>
            </w:r>
          </w:p>
        </w:tc>
        <w:tc>
          <w:tcPr>
            <w:tcW w:w="2551" w:type="dxa"/>
          </w:tcPr>
          <w:p w14:paraId="270F0168"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81</w:t>
            </w:r>
          </w:p>
        </w:tc>
        <w:tc>
          <w:tcPr>
            <w:tcW w:w="2642" w:type="dxa"/>
          </w:tcPr>
          <w:p w14:paraId="05B5B193"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31%</w:t>
            </w:r>
          </w:p>
        </w:tc>
      </w:tr>
      <w:tr w:rsidR="00F42712" w14:paraId="03CCCF22" w14:textId="77777777" w:rsidTr="00421F49">
        <w:tc>
          <w:tcPr>
            <w:tcW w:w="3823" w:type="dxa"/>
          </w:tcPr>
          <w:p w14:paraId="4DF9462F"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Lower-level Managers</w:t>
            </w:r>
          </w:p>
        </w:tc>
        <w:tc>
          <w:tcPr>
            <w:tcW w:w="2551" w:type="dxa"/>
          </w:tcPr>
          <w:p w14:paraId="6F065981"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117</w:t>
            </w:r>
          </w:p>
        </w:tc>
        <w:tc>
          <w:tcPr>
            <w:tcW w:w="2642" w:type="dxa"/>
          </w:tcPr>
          <w:p w14:paraId="61A4A14C" w14:textId="77777777" w:rsidR="00F42712" w:rsidRDefault="00F42712" w:rsidP="00F42712">
            <w:pPr>
              <w:spacing w:before="0" w:line="240" w:lineRule="auto"/>
              <w:jc w:val="center"/>
              <w:rPr>
                <w:rFonts w:eastAsia="Times New Roman" w:cs="Times New Roman"/>
              </w:rPr>
            </w:pPr>
            <w:r w:rsidRPr="064EE582">
              <w:rPr>
                <w:rFonts w:eastAsia="Times New Roman" w:cs="Times New Roman"/>
              </w:rPr>
              <w:t>44%</w:t>
            </w:r>
          </w:p>
        </w:tc>
      </w:tr>
      <w:tr w:rsidR="00F42712" w14:paraId="0EC4FD6E" w14:textId="77777777" w:rsidTr="00421F49">
        <w:tc>
          <w:tcPr>
            <w:tcW w:w="3823" w:type="dxa"/>
          </w:tcPr>
          <w:p w14:paraId="6332FBC1" w14:textId="77777777" w:rsidR="00F42712" w:rsidRPr="00B5162A" w:rsidRDefault="00F42712" w:rsidP="00F42712">
            <w:pPr>
              <w:spacing w:before="0" w:line="240" w:lineRule="auto"/>
              <w:jc w:val="center"/>
              <w:rPr>
                <w:rFonts w:eastAsia="Times New Roman" w:cs="Times New Roman"/>
                <w:b/>
                <w:bCs/>
              </w:rPr>
            </w:pPr>
            <w:r w:rsidRPr="064EE582">
              <w:rPr>
                <w:rFonts w:eastAsia="Times New Roman" w:cs="Times New Roman"/>
                <w:b/>
                <w:bCs/>
              </w:rPr>
              <w:t>Total</w:t>
            </w:r>
          </w:p>
        </w:tc>
        <w:tc>
          <w:tcPr>
            <w:tcW w:w="2551" w:type="dxa"/>
          </w:tcPr>
          <w:p w14:paraId="35F101FE" w14:textId="77777777" w:rsidR="00F42712" w:rsidRPr="00EB3A12" w:rsidRDefault="00F42712" w:rsidP="00F42712">
            <w:pPr>
              <w:spacing w:before="0" w:line="240" w:lineRule="auto"/>
              <w:jc w:val="center"/>
              <w:rPr>
                <w:rFonts w:eastAsia="Times New Roman" w:cs="Times New Roman"/>
                <w:b/>
                <w:bCs/>
              </w:rPr>
            </w:pPr>
            <w:r w:rsidRPr="064EE582">
              <w:rPr>
                <w:rFonts w:eastAsia="Times New Roman" w:cs="Times New Roman"/>
                <w:b/>
                <w:bCs/>
              </w:rPr>
              <w:t>263</w:t>
            </w:r>
          </w:p>
        </w:tc>
        <w:tc>
          <w:tcPr>
            <w:tcW w:w="2642" w:type="dxa"/>
          </w:tcPr>
          <w:p w14:paraId="79E62FCE" w14:textId="77777777" w:rsidR="00F42712" w:rsidRPr="00EB3A12" w:rsidRDefault="00F42712" w:rsidP="00F42712">
            <w:pPr>
              <w:spacing w:before="0" w:line="240" w:lineRule="auto"/>
              <w:jc w:val="center"/>
              <w:rPr>
                <w:rFonts w:eastAsia="Times New Roman" w:cs="Times New Roman"/>
                <w:b/>
                <w:bCs/>
              </w:rPr>
            </w:pPr>
            <w:r w:rsidRPr="064EE582">
              <w:rPr>
                <w:rFonts w:eastAsia="Times New Roman" w:cs="Times New Roman"/>
                <w:b/>
                <w:bCs/>
              </w:rPr>
              <w:t>100%</w:t>
            </w:r>
          </w:p>
        </w:tc>
      </w:tr>
    </w:tbl>
    <w:p w14:paraId="363B27B9" w14:textId="77777777" w:rsidR="00F42712" w:rsidRPr="00EB3A12" w:rsidRDefault="00F42712" w:rsidP="00F42712">
      <w:pPr>
        <w:spacing w:before="0" w:line="240" w:lineRule="auto"/>
        <w:rPr>
          <w:rFonts w:eastAsia="Times New Roman" w:cs="Times New Roman"/>
          <w:b/>
          <w:bCs/>
        </w:rPr>
      </w:pPr>
      <w:r>
        <w:rPr>
          <w:rFonts w:eastAsia="Times New Roman" w:cs="Times New Roman"/>
          <w:b/>
          <w:bCs/>
        </w:rPr>
        <w:t>Source: A</w:t>
      </w:r>
      <w:r w:rsidRPr="064EE582">
        <w:rPr>
          <w:rFonts w:eastAsia="Times New Roman" w:cs="Times New Roman"/>
          <w:b/>
          <w:bCs/>
        </w:rPr>
        <w:t>uthor</w:t>
      </w:r>
      <w:r>
        <w:rPr>
          <w:rFonts w:eastAsia="Times New Roman" w:cs="Times New Roman"/>
          <w:b/>
          <w:bCs/>
        </w:rPr>
        <w:t xml:space="preserve"> </w:t>
      </w:r>
      <w:r w:rsidRPr="064EE582">
        <w:rPr>
          <w:rFonts w:eastAsia="Times New Roman" w:cs="Times New Roman"/>
          <w:b/>
          <w:bCs/>
        </w:rPr>
        <w:t xml:space="preserve">(2022) </w:t>
      </w:r>
    </w:p>
    <w:p w14:paraId="3A76B4CF" w14:textId="362C1EA5"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Sampling Design</w:t>
      </w:r>
    </w:p>
    <w:p w14:paraId="770329DC" w14:textId="77777777" w:rsid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A judgmental sampling technique was employed, enabling the selection of respondents with direct relevance to the study variables. Judgmental sampling, as defined by Creswell (2018), is a non-probability method that selects individuals based on their knowledge and suitability for the research focus. The sample size was determined using Yamane’s (1966) formula to ensure statistical adequacy.</w:t>
      </w:r>
    </w:p>
    <w:p w14:paraId="129037CC" w14:textId="77777777" w:rsidR="00B55CEF" w:rsidRPr="00C237CE" w:rsidRDefault="00B55CEF" w:rsidP="00C237CE">
      <w:pPr>
        <w:spacing w:after="160" w:line="259" w:lineRule="auto"/>
        <w:rPr>
          <w:rFonts w:cs="Times New Roman"/>
          <w:color w:val="000000" w:themeColor="text1"/>
          <w:szCs w:val="24"/>
        </w:rPr>
      </w:pPr>
    </w:p>
    <w:p w14:paraId="29ED969D" w14:textId="62A1E8A7"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lastRenderedPageBreak/>
        <w:t>Data Collection</w:t>
      </w:r>
    </w:p>
    <w:p w14:paraId="1AB7D669"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Primary data were collected using a structured questionnaire comprising five sections: respondent demographics and four sections aligned to the study objectives. As described by Donald and Cooper (2014), such instruments standardize responses, improving comparability and analysis.</w:t>
      </w:r>
    </w:p>
    <w:p w14:paraId="0BC92D1B" w14:textId="3F87ED25"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Validity and Reliability of Research Instruments</w:t>
      </w:r>
    </w:p>
    <w:p w14:paraId="3FD42F10"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Reliability was assessed using Cronbach’s alpha, a measure of internal consistency, with a threshold of 0.70 considered acceptable (Cooper &amp; Schindler, 2014). Analysis was conducted in SPSS, confirming the reliability of scales for both actual and desired states. Validity, defined by Creswell (2018) as the extent to which data accurately represent the intended constructs, was examined through a pilot test involving 10% of the sample to ensure clarity and interpretability of the questionnaire items.</w:t>
      </w:r>
    </w:p>
    <w:p w14:paraId="085E41F5" w14:textId="08B6DF8B"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Data Analysis and Presentation</w:t>
      </w:r>
    </w:p>
    <w:p w14:paraId="2314FAAB" w14:textId="1E8CAB21"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Data analysis employed both descriptive statistics</w:t>
      </w:r>
      <w:r w:rsidR="003E0FAD">
        <w:rPr>
          <w:rFonts w:cs="Times New Roman"/>
          <w:color w:val="000000" w:themeColor="text1"/>
          <w:szCs w:val="24"/>
        </w:rPr>
        <w:t xml:space="preserve"> </w:t>
      </w:r>
      <w:r w:rsidRPr="00C237CE">
        <w:rPr>
          <w:rFonts w:cs="Times New Roman"/>
          <w:color w:val="000000" w:themeColor="text1"/>
          <w:szCs w:val="24"/>
        </w:rPr>
        <w:t>means, ranges, frequencies, and percentages</w:t>
      </w:r>
      <w:r w:rsidR="003E0FAD">
        <w:rPr>
          <w:rFonts w:cs="Times New Roman"/>
          <w:color w:val="000000" w:themeColor="text1"/>
          <w:szCs w:val="24"/>
        </w:rPr>
        <w:t xml:space="preserve"> </w:t>
      </w:r>
      <w:r w:rsidRPr="00C237CE">
        <w:rPr>
          <w:rFonts w:cs="Times New Roman"/>
          <w:color w:val="000000" w:themeColor="text1"/>
          <w:szCs w:val="24"/>
        </w:rPr>
        <w:t>and inferential techniques. Multiple regression analysis was applied to examine relationships between the dependent variable (financial performance efficiency) and independent variables (operational internal controls). Data cleaning preceded coding and analysis in SPSS (version 24). Factor analysis, including Varimax rotation and factor loadings, was used to confirm construct validity. Sampling adequacy and suitability for factor analysis were assessed using the Kaiser-Meyer-Olkin (KMO) measure and Bartlett’s test of sphericity. Variance inflation factors were computed to check for multicollinearity.</w:t>
      </w:r>
    </w:p>
    <w:p w14:paraId="3A998025" w14:textId="049F1032"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Model of Analysis</w:t>
      </w:r>
    </w:p>
    <w:p w14:paraId="2DD5E67B"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The model took the form:</w:t>
      </w:r>
    </w:p>
    <w:p w14:paraId="5D284CBC" w14:textId="77777777" w:rsidR="00C237CE" w:rsidRDefault="00C237CE" w:rsidP="00C237CE">
      <w:pPr>
        <w:spacing w:after="160" w:line="259" w:lineRule="auto"/>
        <w:rPr>
          <w:rFonts w:ascii="Cambria Math" w:hAnsi="Cambria Math" w:cs="Cambria Math"/>
          <w:color w:val="000000" w:themeColor="text1"/>
          <w:szCs w:val="24"/>
        </w:rPr>
      </w:pPr>
      <w:r w:rsidRPr="00C237CE">
        <w:rPr>
          <w:rFonts w:ascii="Cambria Math" w:hAnsi="Cambria Math" w:cs="Cambria Math"/>
          <w:color w:val="000000" w:themeColor="text1"/>
          <w:szCs w:val="24"/>
        </w:rPr>
        <w:t>𝑌</w:t>
      </w:r>
      <w:r w:rsidRPr="00C237CE">
        <w:rPr>
          <w:rFonts w:cs="Times New Roman"/>
          <w:color w:val="000000" w:themeColor="text1"/>
          <w:szCs w:val="24"/>
        </w:rPr>
        <w:t>=</w:t>
      </w:r>
      <w:r w:rsidRPr="00C237CE">
        <w:rPr>
          <w:rFonts w:ascii="Cambria Math" w:hAnsi="Cambria Math" w:cs="Cambria Math"/>
          <w:color w:val="000000" w:themeColor="text1"/>
          <w:szCs w:val="24"/>
        </w:rPr>
        <w:t>𝛼</w:t>
      </w:r>
      <w:r w:rsidRPr="00C237CE">
        <w:rPr>
          <w:rFonts w:cs="Times New Roman"/>
          <w:color w:val="000000" w:themeColor="text1"/>
          <w:szCs w:val="24"/>
        </w:rPr>
        <w:t>+</w:t>
      </w:r>
      <w:r w:rsidRPr="00C237CE">
        <w:rPr>
          <w:rFonts w:ascii="Cambria Math" w:hAnsi="Cambria Math" w:cs="Cambria Math"/>
          <w:color w:val="000000" w:themeColor="text1"/>
          <w:szCs w:val="24"/>
        </w:rPr>
        <w:t>𝛽</w:t>
      </w:r>
      <w:r w:rsidRPr="00C237CE">
        <w:rPr>
          <w:rFonts w:cs="Times New Roman"/>
          <w:color w:val="000000" w:themeColor="text1"/>
          <w:szCs w:val="24"/>
        </w:rPr>
        <w:t>1</w:t>
      </w:r>
      <w:r w:rsidRPr="00C237CE">
        <w:rPr>
          <w:rFonts w:ascii="Cambria Math" w:hAnsi="Cambria Math" w:cs="Cambria Math"/>
          <w:color w:val="000000" w:themeColor="text1"/>
          <w:szCs w:val="24"/>
        </w:rPr>
        <w:t>𝑋</w:t>
      </w:r>
      <w:r w:rsidRPr="00C237CE">
        <w:rPr>
          <w:rFonts w:cs="Times New Roman"/>
          <w:color w:val="000000" w:themeColor="text1"/>
          <w:szCs w:val="24"/>
        </w:rPr>
        <w:t>1+</w:t>
      </w:r>
      <w:r w:rsidRPr="00C237CE">
        <w:rPr>
          <w:rFonts w:ascii="Cambria Math" w:hAnsi="Cambria Math" w:cs="Cambria Math"/>
          <w:color w:val="000000" w:themeColor="text1"/>
          <w:szCs w:val="24"/>
        </w:rPr>
        <w:t>𝛽</w:t>
      </w:r>
      <w:r w:rsidRPr="00C237CE">
        <w:rPr>
          <w:rFonts w:cs="Times New Roman"/>
          <w:color w:val="000000" w:themeColor="text1"/>
          <w:szCs w:val="24"/>
        </w:rPr>
        <w:t>2</w:t>
      </w:r>
      <w:r w:rsidRPr="00C237CE">
        <w:rPr>
          <w:rFonts w:ascii="Cambria Math" w:hAnsi="Cambria Math" w:cs="Cambria Math"/>
          <w:color w:val="000000" w:themeColor="text1"/>
          <w:szCs w:val="24"/>
        </w:rPr>
        <w:t>𝑋</w:t>
      </w:r>
      <w:r w:rsidRPr="00C237CE">
        <w:rPr>
          <w:rFonts w:cs="Times New Roman"/>
          <w:color w:val="000000" w:themeColor="text1"/>
          <w:szCs w:val="24"/>
        </w:rPr>
        <w:t>2+</w:t>
      </w:r>
      <w:r w:rsidRPr="00C237CE">
        <w:rPr>
          <w:rFonts w:ascii="Cambria Math" w:hAnsi="Cambria Math" w:cs="Cambria Math"/>
          <w:color w:val="000000" w:themeColor="text1"/>
          <w:szCs w:val="24"/>
        </w:rPr>
        <w:t>𝛽</w:t>
      </w:r>
      <w:r w:rsidRPr="00C237CE">
        <w:rPr>
          <w:rFonts w:cs="Times New Roman"/>
          <w:color w:val="000000" w:themeColor="text1"/>
          <w:szCs w:val="24"/>
        </w:rPr>
        <w:t>3</w:t>
      </w:r>
      <w:r w:rsidRPr="00C237CE">
        <w:rPr>
          <w:rFonts w:ascii="Cambria Math" w:hAnsi="Cambria Math" w:cs="Cambria Math"/>
          <w:color w:val="000000" w:themeColor="text1"/>
          <w:szCs w:val="24"/>
        </w:rPr>
        <w:t>𝑋</w:t>
      </w:r>
      <w:r w:rsidRPr="00C237CE">
        <w:rPr>
          <w:rFonts w:cs="Times New Roman"/>
          <w:color w:val="000000" w:themeColor="text1"/>
          <w:szCs w:val="24"/>
        </w:rPr>
        <w:t>3+</w:t>
      </w:r>
      <w:r w:rsidRPr="00C237CE">
        <w:rPr>
          <w:rFonts w:ascii="Cambria Math" w:hAnsi="Cambria Math" w:cs="Cambria Math"/>
          <w:color w:val="000000" w:themeColor="text1"/>
          <w:szCs w:val="24"/>
        </w:rPr>
        <w:t>𝛽</w:t>
      </w:r>
      <w:r w:rsidRPr="00C237CE">
        <w:rPr>
          <w:rFonts w:cs="Times New Roman"/>
          <w:color w:val="000000" w:themeColor="text1"/>
          <w:szCs w:val="24"/>
        </w:rPr>
        <w:t>4</w:t>
      </w:r>
      <w:r w:rsidRPr="00C237CE">
        <w:rPr>
          <w:rFonts w:ascii="Cambria Math" w:hAnsi="Cambria Math" w:cs="Cambria Math"/>
          <w:color w:val="000000" w:themeColor="text1"/>
          <w:szCs w:val="24"/>
        </w:rPr>
        <w:t>𝑋</w:t>
      </w:r>
      <w:r w:rsidRPr="00C237CE">
        <w:rPr>
          <w:rFonts w:cs="Times New Roman"/>
          <w:color w:val="000000" w:themeColor="text1"/>
          <w:szCs w:val="24"/>
        </w:rPr>
        <w:t>4+</w:t>
      </w:r>
      <w:r w:rsidRPr="00C237CE">
        <w:rPr>
          <w:rFonts w:ascii="Cambria Math" w:hAnsi="Cambria Math" w:cs="Cambria Math"/>
          <w:color w:val="000000" w:themeColor="text1"/>
          <w:szCs w:val="24"/>
        </w:rPr>
        <w:t>𝜀</w:t>
      </w:r>
    </w:p>
    <w:p w14:paraId="724C4AF2" w14:textId="4F3F1D74"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Y=α+β1X1+β2X2+β3X3+β4X4+ε</w:t>
      </w:r>
    </w:p>
    <w:p w14:paraId="11A2C9B7" w14:textId="77777777" w:rsidR="00C237CE"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Statistical tests were conducted at a 95% confidence level, allowing for a 5% margin of error.</w:t>
      </w:r>
    </w:p>
    <w:p w14:paraId="6E5C7C9A" w14:textId="27396017" w:rsidR="00C237CE" w:rsidRPr="00C237CE" w:rsidRDefault="00C237CE" w:rsidP="00C237CE">
      <w:pPr>
        <w:spacing w:after="160" w:line="259" w:lineRule="auto"/>
        <w:rPr>
          <w:rFonts w:cs="Times New Roman"/>
          <w:b/>
          <w:bCs/>
          <w:i/>
          <w:iCs/>
          <w:color w:val="000000" w:themeColor="text1"/>
          <w:szCs w:val="24"/>
        </w:rPr>
      </w:pPr>
      <w:r w:rsidRPr="00C237CE">
        <w:rPr>
          <w:rFonts w:cs="Times New Roman"/>
          <w:b/>
          <w:bCs/>
          <w:i/>
          <w:iCs/>
          <w:color w:val="000000" w:themeColor="text1"/>
          <w:szCs w:val="24"/>
        </w:rPr>
        <w:t>Ethical Considerations</w:t>
      </w:r>
    </w:p>
    <w:p w14:paraId="68ECED9B" w14:textId="5F281F3B" w:rsidR="009B3203" w:rsidRPr="00C237CE" w:rsidRDefault="00C237CE" w:rsidP="00C237CE">
      <w:pPr>
        <w:spacing w:after="160" w:line="259" w:lineRule="auto"/>
        <w:rPr>
          <w:rFonts w:cs="Times New Roman"/>
          <w:color w:val="000000" w:themeColor="text1"/>
          <w:szCs w:val="24"/>
        </w:rPr>
      </w:pPr>
      <w:r w:rsidRPr="00C237CE">
        <w:rPr>
          <w:rFonts w:cs="Times New Roman"/>
          <w:color w:val="000000" w:themeColor="text1"/>
          <w:szCs w:val="24"/>
        </w:rPr>
        <w:t>Ethical compliance was ensured through confidentiality, voluntary participation, and informed consent. Participants were assured that data would be used solely for academic purposes, with anonymity maintained through nameless questionnaires. The study avoided intrusive or leading questions and ensured that respondents were not subjected to discomfort. Ethical approval was obtained from Kenyatta University’s postgraduate faculty, and research authorization was granted by NACOSTI. Findings were reported objectively, without bias or manipulation</w:t>
      </w:r>
      <w:r w:rsidR="00FE6B26" w:rsidRPr="00C237CE">
        <w:rPr>
          <w:rFonts w:cs="Times New Roman"/>
          <w:color w:val="000000" w:themeColor="text1"/>
          <w:szCs w:val="24"/>
        </w:rPr>
        <w:t>.</w:t>
      </w:r>
    </w:p>
    <w:p w14:paraId="7C961926" w14:textId="77777777" w:rsidR="00B55CEF" w:rsidRDefault="00B55CEF">
      <w:pPr>
        <w:spacing w:before="0" w:after="160" w:line="259" w:lineRule="auto"/>
        <w:jc w:val="left"/>
        <w:rPr>
          <w:b/>
          <w:bCs/>
          <w:color w:val="000000" w:themeColor="text1"/>
          <w:sz w:val="28"/>
          <w:szCs w:val="24"/>
        </w:rPr>
      </w:pPr>
      <w:r>
        <w:rPr>
          <w:b/>
          <w:bCs/>
          <w:color w:val="000000" w:themeColor="text1"/>
          <w:sz w:val="28"/>
          <w:szCs w:val="24"/>
        </w:rPr>
        <w:br w:type="page"/>
      </w:r>
    </w:p>
    <w:p w14:paraId="14C2E9C9" w14:textId="41B94B9A" w:rsidR="00055D83" w:rsidRPr="00FB2E0F" w:rsidRDefault="002B2D3C" w:rsidP="002B2D3C">
      <w:pPr>
        <w:rPr>
          <w:b/>
          <w:bCs/>
          <w:color w:val="000000" w:themeColor="text1"/>
          <w:sz w:val="28"/>
          <w:szCs w:val="24"/>
        </w:rPr>
      </w:pPr>
      <w:r w:rsidRPr="00FB2E0F">
        <w:rPr>
          <w:b/>
          <w:bCs/>
          <w:color w:val="000000" w:themeColor="text1"/>
          <w:sz w:val="28"/>
          <w:szCs w:val="24"/>
        </w:rPr>
        <w:lastRenderedPageBreak/>
        <w:t xml:space="preserve">4.0 </w:t>
      </w:r>
      <w:r w:rsidR="00055D83" w:rsidRPr="00FB2E0F">
        <w:rPr>
          <w:b/>
          <w:bCs/>
          <w:color w:val="000000" w:themeColor="text1"/>
          <w:sz w:val="28"/>
          <w:szCs w:val="24"/>
        </w:rPr>
        <w:t>RESULTS AND DISCUSSION</w:t>
      </w:r>
    </w:p>
    <w:p w14:paraId="4C0BC1AC" w14:textId="0A43F876" w:rsidR="00615B2D" w:rsidRPr="00FB2E0F" w:rsidRDefault="00615B2D" w:rsidP="00615B2D">
      <w:pPr>
        <w:spacing w:before="0"/>
        <w:rPr>
          <w:b/>
          <w:bCs/>
          <w:color w:val="000000" w:themeColor="text1"/>
          <w:sz w:val="28"/>
          <w:szCs w:val="24"/>
        </w:rPr>
      </w:pPr>
      <w:r w:rsidRPr="00FB2E0F">
        <w:rPr>
          <w:b/>
          <w:bCs/>
          <w:color w:val="000000" w:themeColor="text1"/>
          <w:sz w:val="28"/>
          <w:szCs w:val="24"/>
        </w:rPr>
        <w:t>4.1 Response Rate</w:t>
      </w:r>
    </w:p>
    <w:p w14:paraId="36C332A1" w14:textId="107CC2BA" w:rsidR="00615B2D" w:rsidRDefault="00E730D7" w:rsidP="00615B2D">
      <w:pPr>
        <w:spacing w:before="0" w:line="240" w:lineRule="auto"/>
        <w:rPr>
          <w:color w:val="000000" w:themeColor="text1"/>
        </w:rPr>
      </w:pPr>
      <w:r w:rsidRPr="00E730D7">
        <w:rPr>
          <w:color w:val="000000" w:themeColor="text1"/>
        </w:rPr>
        <w:t>As shown in Table 2, the study achieved a response rate of 95.54%, well above the 70% minimum threshold recommended for survey reliability and credibility (Saunders, Lewis &amp; Thornhill, 2019). Such a high rate minimizes non-response bias, enhancing the validity and generalizability of findings. This strong participation reflects NGO managers’ awareness of the role of effective operational internal controls in improving financial performance efficiency. Moreover, the inclusion of perspectives from top, middle, and lower-level managers ensured diverse insights, strengthening the study’s conclusions and providing a robust basis for recommendations aimed at enhancing internal financial controls within the NGO sector</w:t>
      </w:r>
      <w:r w:rsidR="00A31119" w:rsidRPr="00A31119">
        <w:rPr>
          <w:color w:val="000000" w:themeColor="text1"/>
        </w:rPr>
        <w:t>.</w:t>
      </w:r>
    </w:p>
    <w:p w14:paraId="642C887E" w14:textId="77777777" w:rsidR="00E730D7" w:rsidRDefault="00E730D7" w:rsidP="00615B2D">
      <w:pPr>
        <w:spacing w:before="0" w:line="240" w:lineRule="auto"/>
        <w:rPr>
          <w:color w:val="000000" w:themeColor="text1"/>
        </w:rPr>
      </w:pPr>
    </w:p>
    <w:p w14:paraId="74D4BFD7" w14:textId="77777777" w:rsidR="00E730D7" w:rsidRPr="006F07BC" w:rsidRDefault="00E730D7" w:rsidP="00E730D7">
      <w:pPr>
        <w:pStyle w:val="Caption"/>
        <w:spacing w:after="0"/>
        <w:rPr>
          <w:color w:val="000000" w:themeColor="text1"/>
          <w:sz w:val="24"/>
          <w:szCs w:val="24"/>
        </w:rPr>
      </w:pPr>
      <w:bookmarkStart w:id="3" w:name="_Toc196310891"/>
      <w:r w:rsidRPr="006F07BC">
        <w:rPr>
          <w:color w:val="000000" w:themeColor="text1"/>
          <w:sz w:val="24"/>
          <w:szCs w:val="24"/>
        </w:rPr>
        <w:t xml:space="preserve">Table </w:t>
      </w:r>
      <w:r>
        <w:rPr>
          <w:color w:val="000000" w:themeColor="text1"/>
          <w:sz w:val="24"/>
          <w:szCs w:val="24"/>
        </w:rPr>
        <w:t>2</w:t>
      </w:r>
      <w:r w:rsidRPr="006F07BC">
        <w:rPr>
          <w:color w:val="000000" w:themeColor="text1"/>
          <w:sz w:val="24"/>
          <w:szCs w:val="24"/>
        </w:rPr>
        <w:t>: Response Rate</w:t>
      </w:r>
      <w:bookmarkEnd w:id="3"/>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442"/>
        <w:gridCol w:w="3373"/>
      </w:tblGrid>
      <w:tr w:rsidR="00E730D7" w:rsidRPr="00CD6283" w14:paraId="43754602" w14:textId="77777777" w:rsidTr="00421F49">
        <w:tc>
          <w:tcPr>
            <w:tcW w:w="2364" w:type="pct"/>
            <w:tcBorders>
              <w:top w:val="single" w:sz="4" w:space="0" w:color="auto"/>
              <w:bottom w:val="single" w:sz="4" w:space="0" w:color="auto"/>
            </w:tcBorders>
            <w:hideMark/>
          </w:tcPr>
          <w:p w14:paraId="20D098FD" w14:textId="77777777" w:rsidR="00E730D7" w:rsidRPr="00A70B63" w:rsidRDefault="00E730D7" w:rsidP="00E730D7">
            <w:pPr>
              <w:spacing w:before="0" w:line="240" w:lineRule="auto"/>
              <w:jc w:val="left"/>
              <w:rPr>
                <w:rFonts w:eastAsia="Times New Roman" w:cs="Times New Roman"/>
                <w:b/>
                <w:bCs/>
                <w:color w:val="000000" w:themeColor="text1"/>
                <w:szCs w:val="24"/>
              </w:rPr>
            </w:pPr>
            <w:r w:rsidRPr="00CD6283">
              <w:rPr>
                <w:rFonts w:eastAsia="Times New Roman" w:cs="Times New Roman"/>
                <w:b/>
                <w:bCs/>
                <w:color w:val="000000" w:themeColor="text1"/>
                <w:szCs w:val="24"/>
              </w:rPr>
              <w:t>Description</w:t>
            </w:r>
          </w:p>
        </w:tc>
        <w:tc>
          <w:tcPr>
            <w:tcW w:w="1107" w:type="pct"/>
            <w:tcBorders>
              <w:top w:val="single" w:sz="4" w:space="0" w:color="auto"/>
              <w:bottom w:val="single" w:sz="4" w:space="0" w:color="auto"/>
            </w:tcBorders>
            <w:hideMark/>
          </w:tcPr>
          <w:p w14:paraId="7D89DB60" w14:textId="77777777" w:rsidR="00E730D7" w:rsidRPr="00A70B63" w:rsidRDefault="00E730D7" w:rsidP="00E730D7">
            <w:pPr>
              <w:spacing w:before="0" w:line="240" w:lineRule="auto"/>
              <w:jc w:val="center"/>
              <w:rPr>
                <w:rFonts w:eastAsia="Times New Roman" w:cs="Times New Roman"/>
                <w:b/>
                <w:bCs/>
                <w:color w:val="000000" w:themeColor="text1"/>
                <w:szCs w:val="24"/>
              </w:rPr>
            </w:pPr>
            <w:r w:rsidRPr="00CD6283">
              <w:rPr>
                <w:rFonts w:eastAsia="Times New Roman" w:cs="Times New Roman"/>
                <w:b/>
                <w:bCs/>
                <w:color w:val="000000" w:themeColor="text1"/>
                <w:szCs w:val="24"/>
              </w:rPr>
              <w:t>Frequency</w:t>
            </w:r>
          </w:p>
        </w:tc>
        <w:tc>
          <w:tcPr>
            <w:tcW w:w="1529" w:type="pct"/>
            <w:tcBorders>
              <w:top w:val="single" w:sz="4" w:space="0" w:color="auto"/>
              <w:bottom w:val="single" w:sz="4" w:space="0" w:color="auto"/>
            </w:tcBorders>
            <w:hideMark/>
          </w:tcPr>
          <w:p w14:paraId="2CB1FE4B" w14:textId="77777777" w:rsidR="00E730D7" w:rsidRPr="00A70B63" w:rsidRDefault="00E730D7" w:rsidP="00E730D7">
            <w:pPr>
              <w:spacing w:before="0" w:line="240" w:lineRule="auto"/>
              <w:jc w:val="center"/>
              <w:rPr>
                <w:rFonts w:eastAsia="Times New Roman" w:cs="Times New Roman"/>
                <w:b/>
                <w:bCs/>
                <w:color w:val="000000" w:themeColor="text1"/>
                <w:szCs w:val="24"/>
              </w:rPr>
            </w:pPr>
            <w:r w:rsidRPr="00CD6283">
              <w:rPr>
                <w:rFonts w:eastAsia="Times New Roman" w:cs="Times New Roman"/>
                <w:b/>
                <w:bCs/>
                <w:color w:val="000000" w:themeColor="text1"/>
                <w:szCs w:val="24"/>
              </w:rPr>
              <w:t>Percentage (%)</w:t>
            </w:r>
          </w:p>
        </w:tc>
      </w:tr>
      <w:tr w:rsidR="00E730D7" w:rsidRPr="00CD6283" w14:paraId="2FD60A02" w14:textId="77777777" w:rsidTr="00421F49">
        <w:tc>
          <w:tcPr>
            <w:tcW w:w="2364" w:type="pct"/>
            <w:tcBorders>
              <w:top w:val="single" w:sz="4" w:space="0" w:color="auto"/>
            </w:tcBorders>
            <w:hideMark/>
          </w:tcPr>
          <w:p w14:paraId="050B8E80" w14:textId="77777777" w:rsidR="00E730D7" w:rsidRPr="00A70B63" w:rsidRDefault="00E730D7" w:rsidP="00E730D7">
            <w:pPr>
              <w:spacing w:before="0" w:line="240" w:lineRule="auto"/>
              <w:rPr>
                <w:rFonts w:eastAsia="Times New Roman" w:cs="Times New Roman"/>
                <w:color w:val="000000" w:themeColor="text1"/>
                <w:szCs w:val="24"/>
              </w:rPr>
            </w:pPr>
            <w:r w:rsidRPr="00A70B63">
              <w:rPr>
                <w:rFonts w:eastAsia="Times New Roman" w:cs="Times New Roman"/>
                <w:color w:val="000000" w:themeColor="text1"/>
                <w:szCs w:val="24"/>
              </w:rPr>
              <w:t>Distributed Questionnaires</w:t>
            </w:r>
          </w:p>
        </w:tc>
        <w:tc>
          <w:tcPr>
            <w:tcW w:w="1107" w:type="pct"/>
            <w:tcBorders>
              <w:top w:val="single" w:sz="4" w:space="0" w:color="auto"/>
            </w:tcBorders>
            <w:hideMark/>
          </w:tcPr>
          <w:p w14:paraId="27667AD3"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157</w:t>
            </w:r>
          </w:p>
        </w:tc>
        <w:tc>
          <w:tcPr>
            <w:tcW w:w="1529" w:type="pct"/>
            <w:tcBorders>
              <w:top w:val="single" w:sz="4" w:space="0" w:color="auto"/>
            </w:tcBorders>
            <w:hideMark/>
          </w:tcPr>
          <w:p w14:paraId="2182BE94"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100.0</w:t>
            </w:r>
          </w:p>
        </w:tc>
      </w:tr>
      <w:tr w:rsidR="00E730D7" w:rsidRPr="00CD6283" w14:paraId="18466588" w14:textId="77777777" w:rsidTr="00421F49">
        <w:tc>
          <w:tcPr>
            <w:tcW w:w="2364" w:type="pct"/>
            <w:hideMark/>
          </w:tcPr>
          <w:p w14:paraId="414ACB30" w14:textId="77777777" w:rsidR="00E730D7" w:rsidRPr="00A70B63" w:rsidRDefault="00E730D7" w:rsidP="00E730D7">
            <w:pPr>
              <w:spacing w:before="0" w:line="240" w:lineRule="auto"/>
              <w:rPr>
                <w:rFonts w:eastAsia="Times New Roman" w:cs="Times New Roman"/>
                <w:color w:val="000000" w:themeColor="text1"/>
                <w:szCs w:val="24"/>
              </w:rPr>
            </w:pPr>
            <w:r w:rsidRPr="00A70B63">
              <w:rPr>
                <w:rFonts w:eastAsia="Times New Roman" w:cs="Times New Roman"/>
                <w:color w:val="000000" w:themeColor="text1"/>
                <w:szCs w:val="24"/>
              </w:rPr>
              <w:t>Returned Questionnaires</w:t>
            </w:r>
          </w:p>
        </w:tc>
        <w:tc>
          <w:tcPr>
            <w:tcW w:w="1107" w:type="pct"/>
            <w:hideMark/>
          </w:tcPr>
          <w:p w14:paraId="6D61CFD2"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150</w:t>
            </w:r>
          </w:p>
        </w:tc>
        <w:tc>
          <w:tcPr>
            <w:tcW w:w="1529" w:type="pct"/>
            <w:hideMark/>
          </w:tcPr>
          <w:p w14:paraId="5C6E8DE5"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95.54</w:t>
            </w:r>
          </w:p>
        </w:tc>
      </w:tr>
      <w:tr w:rsidR="00E730D7" w:rsidRPr="00CD6283" w14:paraId="0D9C049D" w14:textId="77777777" w:rsidTr="00421F49">
        <w:tc>
          <w:tcPr>
            <w:tcW w:w="2364" w:type="pct"/>
            <w:hideMark/>
          </w:tcPr>
          <w:p w14:paraId="5FB1D5FD" w14:textId="77777777" w:rsidR="00E730D7" w:rsidRPr="00A70B63" w:rsidRDefault="00E730D7" w:rsidP="00E730D7">
            <w:pPr>
              <w:spacing w:before="0" w:line="240" w:lineRule="auto"/>
              <w:rPr>
                <w:rFonts w:eastAsia="Times New Roman" w:cs="Times New Roman"/>
                <w:color w:val="000000" w:themeColor="text1"/>
                <w:szCs w:val="24"/>
              </w:rPr>
            </w:pPr>
            <w:r w:rsidRPr="00A70B63">
              <w:rPr>
                <w:rFonts w:eastAsia="Times New Roman" w:cs="Times New Roman"/>
                <w:color w:val="000000" w:themeColor="text1"/>
                <w:szCs w:val="24"/>
              </w:rPr>
              <w:t>Unsuccessful</w:t>
            </w:r>
          </w:p>
        </w:tc>
        <w:tc>
          <w:tcPr>
            <w:tcW w:w="1107" w:type="pct"/>
            <w:hideMark/>
          </w:tcPr>
          <w:p w14:paraId="446B44F8"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7</w:t>
            </w:r>
          </w:p>
        </w:tc>
        <w:tc>
          <w:tcPr>
            <w:tcW w:w="1529" w:type="pct"/>
            <w:hideMark/>
          </w:tcPr>
          <w:p w14:paraId="6241B3CF" w14:textId="77777777" w:rsidR="00E730D7" w:rsidRPr="00A70B63" w:rsidRDefault="00E730D7" w:rsidP="00E730D7">
            <w:pPr>
              <w:spacing w:before="0" w:line="240" w:lineRule="auto"/>
              <w:jc w:val="center"/>
              <w:rPr>
                <w:rFonts w:eastAsia="Times New Roman" w:cs="Times New Roman"/>
                <w:color w:val="000000" w:themeColor="text1"/>
                <w:szCs w:val="24"/>
              </w:rPr>
            </w:pPr>
            <w:r w:rsidRPr="00A70B63">
              <w:rPr>
                <w:rFonts w:eastAsia="Times New Roman" w:cs="Times New Roman"/>
                <w:color w:val="000000" w:themeColor="text1"/>
                <w:szCs w:val="24"/>
              </w:rPr>
              <w:t>4.46</w:t>
            </w:r>
          </w:p>
        </w:tc>
      </w:tr>
    </w:tbl>
    <w:p w14:paraId="3569AA8A" w14:textId="77777777" w:rsidR="00E730D7" w:rsidRPr="00CD6283" w:rsidRDefault="00E730D7" w:rsidP="00E730D7">
      <w:pPr>
        <w:spacing w:before="0" w:line="240" w:lineRule="auto"/>
        <w:rPr>
          <w:rFonts w:cs="Times New Roman"/>
          <w:b/>
          <w:color w:val="000000" w:themeColor="text1"/>
          <w:szCs w:val="24"/>
        </w:rPr>
      </w:pPr>
      <w:r w:rsidRPr="00CD6283">
        <w:rPr>
          <w:rFonts w:cs="Times New Roman"/>
          <w:b/>
          <w:color w:val="000000" w:themeColor="text1"/>
          <w:szCs w:val="24"/>
        </w:rPr>
        <w:t>Source: Field Data (2025)</w:t>
      </w:r>
    </w:p>
    <w:p w14:paraId="2E8664C6" w14:textId="77777777" w:rsidR="00E730D7" w:rsidRPr="00FB2E0F" w:rsidRDefault="00E730D7" w:rsidP="00615B2D">
      <w:pPr>
        <w:spacing w:before="0" w:line="240" w:lineRule="auto"/>
        <w:rPr>
          <w:color w:val="000000" w:themeColor="text1"/>
        </w:rPr>
      </w:pPr>
    </w:p>
    <w:p w14:paraId="6694CEDC" w14:textId="77777777" w:rsidR="00615B2D" w:rsidRPr="00FB2E0F" w:rsidRDefault="00615B2D" w:rsidP="00615B2D">
      <w:pPr>
        <w:spacing w:before="0" w:line="240" w:lineRule="auto"/>
        <w:rPr>
          <w:color w:val="000000" w:themeColor="text1"/>
        </w:rPr>
      </w:pPr>
    </w:p>
    <w:p w14:paraId="695C60A9" w14:textId="671F41CF" w:rsidR="00BB3A83" w:rsidRPr="00FB2E0F" w:rsidRDefault="00BB3A83" w:rsidP="002B2D3C">
      <w:pPr>
        <w:spacing w:before="0" w:line="240" w:lineRule="auto"/>
        <w:rPr>
          <w:rFonts w:cs="Times New Roman"/>
          <w:b/>
          <w:bCs/>
          <w:color w:val="000000" w:themeColor="text1"/>
          <w:sz w:val="28"/>
          <w:szCs w:val="24"/>
        </w:rPr>
      </w:pPr>
      <w:r w:rsidRPr="00FB2E0F">
        <w:rPr>
          <w:rFonts w:cs="Times New Roman"/>
          <w:b/>
          <w:bCs/>
          <w:color w:val="000000" w:themeColor="text1"/>
          <w:sz w:val="28"/>
          <w:szCs w:val="24"/>
        </w:rPr>
        <w:t>4.</w:t>
      </w:r>
      <w:r w:rsidR="004C4596" w:rsidRPr="00FB2E0F">
        <w:rPr>
          <w:rFonts w:cs="Times New Roman"/>
          <w:b/>
          <w:bCs/>
          <w:color w:val="000000" w:themeColor="text1"/>
          <w:sz w:val="28"/>
          <w:szCs w:val="24"/>
        </w:rPr>
        <w:t>2</w:t>
      </w:r>
      <w:r w:rsidRPr="00FB2E0F">
        <w:rPr>
          <w:rFonts w:cs="Times New Roman"/>
          <w:b/>
          <w:bCs/>
          <w:color w:val="000000" w:themeColor="text1"/>
          <w:sz w:val="28"/>
          <w:szCs w:val="24"/>
        </w:rPr>
        <w:t xml:space="preserve"> Descriptive </w:t>
      </w:r>
      <w:bookmarkStart w:id="4" w:name="_Toc180395353"/>
      <w:r w:rsidR="00A52C12" w:rsidRPr="00FB2E0F">
        <w:rPr>
          <w:rFonts w:cs="Times New Roman"/>
          <w:b/>
          <w:bCs/>
          <w:color w:val="000000" w:themeColor="text1"/>
          <w:sz w:val="28"/>
          <w:szCs w:val="24"/>
        </w:rPr>
        <w:t>Analysis</w:t>
      </w:r>
    </w:p>
    <w:p w14:paraId="032F7AEA" w14:textId="77777777" w:rsidR="00E730D7" w:rsidRPr="00E730D7" w:rsidRDefault="00E730D7" w:rsidP="00E730D7">
      <w:pPr>
        <w:spacing w:before="0" w:line="240" w:lineRule="auto"/>
        <w:rPr>
          <w:color w:val="000000" w:themeColor="text1"/>
        </w:rPr>
      </w:pPr>
      <w:r w:rsidRPr="00E730D7">
        <w:rPr>
          <w:color w:val="000000" w:themeColor="text1"/>
        </w:rPr>
        <w:t>A descriptive research design systematically observes and records characteristics of a phenomenon without manipulating variables. It seeks to provide a detailed account of the subject through data collection methods such as surveys and observations. In this study, the approach facilitated an in-depth examination of how preventive, detective, directive, and management controls influence the financial efficiency of NGOs in Nairobi City County, alongside an assessment of their overall financial performance.</w:t>
      </w:r>
    </w:p>
    <w:p w14:paraId="4F8B1BBA" w14:textId="77777777" w:rsidR="00E730D7" w:rsidRPr="00E730D7" w:rsidRDefault="00E730D7" w:rsidP="00E730D7">
      <w:pPr>
        <w:spacing w:before="0" w:line="240" w:lineRule="auto"/>
        <w:rPr>
          <w:color w:val="000000" w:themeColor="text1"/>
        </w:rPr>
      </w:pPr>
    </w:p>
    <w:p w14:paraId="26B39BAC"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Preventive Controls and Financial Efficiency</w:t>
      </w:r>
    </w:p>
    <w:p w14:paraId="5367CB95" w14:textId="77777777" w:rsidR="00E730D7" w:rsidRPr="00E730D7" w:rsidRDefault="00E730D7" w:rsidP="00E730D7">
      <w:pPr>
        <w:spacing w:before="0" w:line="240" w:lineRule="auto"/>
        <w:rPr>
          <w:color w:val="000000" w:themeColor="text1"/>
        </w:rPr>
      </w:pPr>
    </w:p>
    <w:p w14:paraId="4FF9F283" w14:textId="77777777" w:rsidR="00E730D7" w:rsidRPr="00E730D7" w:rsidRDefault="00E730D7" w:rsidP="00E730D7">
      <w:pPr>
        <w:spacing w:before="0" w:line="240" w:lineRule="auto"/>
        <w:rPr>
          <w:color w:val="000000" w:themeColor="text1"/>
        </w:rPr>
      </w:pPr>
      <w:r w:rsidRPr="00E730D7">
        <w:rPr>
          <w:color w:val="000000" w:themeColor="text1"/>
        </w:rPr>
        <w:t>The analysis revealed strong agreement among respondents that preventive controls are integral to their organizations’ financial efficiency. They reported that financial errors are routinely investigated (mean = 3.93, SD = 1.062), a practice consistent with Ahmad et al. (2021), who found that systematic investigations reduce recurring compliance issues in non-profits. Governance independence was also affirmed, with board members remaining distinct from administrative roles (mean = 3.93, SD = 0.860), supporting Mwangi’s (2022) finding that such independence enhances oversight and mitigates conflicts of interest. Accuracy checks on accounting records (mean = 3.91, SD = 1.172) mirrored Ochola and Wilson’s (2023) observation of a 41% improvement in reporting accuracy in organizations implementing regular verifications. Similarly, verification of routine transactions (mean = 3.85, SD = 0.958) aligns with Kamau’s (2020) conclusion that transaction verification safeguards donor-funded organizations’ integrity.</w:t>
      </w:r>
    </w:p>
    <w:p w14:paraId="42D96E32" w14:textId="77777777" w:rsidR="00E730D7" w:rsidRPr="00E730D7" w:rsidRDefault="00E730D7" w:rsidP="00E730D7">
      <w:pPr>
        <w:spacing w:before="0" w:line="240" w:lineRule="auto"/>
        <w:rPr>
          <w:color w:val="000000" w:themeColor="text1"/>
        </w:rPr>
      </w:pPr>
    </w:p>
    <w:p w14:paraId="2A654F81"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Detective Controls and Financial Efficiency</w:t>
      </w:r>
    </w:p>
    <w:p w14:paraId="0BA7CB74" w14:textId="77777777" w:rsidR="00E730D7" w:rsidRPr="00E730D7" w:rsidRDefault="00E730D7" w:rsidP="00E730D7">
      <w:pPr>
        <w:spacing w:before="0" w:line="240" w:lineRule="auto"/>
        <w:rPr>
          <w:color w:val="000000" w:themeColor="text1"/>
        </w:rPr>
      </w:pPr>
    </w:p>
    <w:p w14:paraId="3F34CE79" w14:textId="77777777" w:rsidR="00E730D7" w:rsidRPr="00E730D7" w:rsidRDefault="00E730D7" w:rsidP="00E730D7">
      <w:pPr>
        <w:spacing w:before="0" w:line="240" w:lineRule="auto"/>
        <w:rPr>
          <w:color w:val="000000" w:themeColor="text1"/>
        </w:rPr>
      </w:pPr>
      <w:r w:rsidRPr="00E730D7">
        <w:rPr>
          <w:color w:val="000000" w:themeColor="text1"/>
        </w:rPr>
        <w:t xml:space="preserve">Respondents also indicated strong reliance on detective controls. Established personnel administration policies (mean = 4.01, SD = 0.976) reflected Oduor and Mbugua’s (2021) findings linking structured personnel management to sustainable financial performance. Standards for data processing (mean = 3.95, SD = 1.083) were in place, echoing Njeru’s (2023) conclusion that standardized processing reduces reporting errors by 28%. Defined security policies (mean = 3.87, SD = 0.994) correspond with Mureithi and Thompson’s (2022) evidence that robust security protocols safeguard nearly 90% of monetary assets. Furthermore, adherence to data retention specifications (mean </w:t>
      </w:r>
      <w:r w:rsidRPr="00E730D7">
        <w:rPr>
          <w:color w:val="000000" w:themeColor="text1"/>
        </w:rPr>
        <w:lastRenderedPageBreak/>
        <w:t>= 3.86, SD = 1.023) reinforces Wanjiru et al.’s (2024) argument that clear retention and destruction policies ensure audit readiness and accountability.</w:t>
      </w:r>
    </w:p>
    <w:p w14:paraId="67E1CDAC" w14:textId="77777777" w:rsidR="00E730D7" w:rsidRPr="00E730D7" w:rsidRDefault="00E730D7" w:rsidP="00E730D7">
      <w:pPr>
        <w:spacing w:before="0" w:line="240" w:lineRule="auto"/>
        <w:rPr>
          <w:color w:val="000000" w:themeColor="text1"/>
        </w:rPr>
      </w:pPr>
    </w:p>
    <w:p w14:paraId="5C9C37E5"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Directive Controls and Financial Efficiency</w:t>
      </w:r>
    </w:p>
    <w:p w14:paraId="7019220E" w14:textId="77777777" w:rsidR="00E730D7" w:rsidRPr="00E730D7" w:rsidRDefault="00E730D7" w:rsidP="00E730D7">
      <w:pPr>
        <w:spacing w:before="0" w:line="240" w:lineRule="auto"/>
        <w:rPr>
          <w:color w:val="000000" w:themeColor="text1"/>
        </w:rPr>
      </w:pPr>
    </w:p>
    <w:p w14:paraId="0F3C7970" w14:textId="77777777" w:rsidR="00E730D7" w:rsidRPr="00E730D7" w:rsidRDefault="00E730D7" w:rsidP="00E730D7">
      <w:pPr>
        <w:spacing w:before="0" w:line="240" w:lineRule="auto"/>
        <w:rPr>
          <w:color w:val="000000" w:themeColor="text1"/>
        </w:rPr>
      </w:pPr>
      <w:r w:rsidRPr="00E730D7">
        <w:rPr>
          <w:color w:val="000000" w:themeColor="text1"/>
        </w:rPr>
        <w:t>Directive controls were similarly emphasized. Adequate qualifications of management and accounting staff (mean = 4.01, SD = 1.017) correspond with Hussein and Lee’s (2021) finding that professional expertise enhances resource utilization by 31%. Procedures for anticipating and responding to incidents (mean = 3.94, SD = 1.025) align with Maina et al.’s (2022) evidence that proactive risk management boosts resilience by 26%. Effective supervision of decentralized operations (mean = 3.75, SD = 1.055) supports Karanja and Gitonga’s (2023) observation that such oversight reduces irregularities by 19%. Finally, use of structured performance assessment methods (mean = 3.71, SD = 1.012) mirrors Ibrahim’s (2024) conclusion that evaluation systems drive financial efficiency in humanitarian organizations.</w:t>
      </w:r>
    </w:p>
    <w:p w14:paraId="1E0B6507" w14:textId="77777777" w:rsidR="00E730D7" w:rsidRPr="00E730D7" w:rsidRDefault="00E730D7" w:rsidP="00E730D7">
      <w:pPr>
        <w:spacing w:before="0" w:line="240" w:lineRule="auto"/>
        <w:rPr>
          <w:color w:val="000000" w:themeColor="text1"/>
        </w:rPr>
      </w:pPr>
    </w:p>
    <w:p w14:paraId="362F7EE2"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Management Controls and Financial Efficiency</w:t>
      </w:r>
    </w:p>
    <w:p w14:paraId="57236690" w14:textId="77777777" w:rsidR="00E730D7" w:rsidRPr="00E730D7" w:rsidRDefault="00E730D7" w:rsidP="00E730D7">
      <w:pPr>
        <w:spacing w:before="0" w:line="240" w:lineRule="auto"/>
        <w:rPr>
          <w:color w:val="000000" w:themeColor="text1"/>
        </w:rPr>
      </w:pPr>
    </w:p>
    <w:p w14:paraId="04228094" w14:textId="77777777" w:rsidR="00E730D7" w:rsidRPr="00E730D7" w:rsidRDefault="00E730D7" w:rsidP="00E730D7">
      <w:pPr>
        <w:spacing w:before="0" w:line="240" w:lineRule="auto"/>
        <w:rPr>
          <w:color w:val="000000" w:themeColor="text1"/>
        </w:rPr>
      </w:pPr>
      <w:r w:rsidRPr="00E730D7">
        <w:rPr>
          <w:color w:val="000000" w:themeColor="text1"/>
        </w:rPr>
        <w:t>The role of management controls emerged as equally significant. High-level authorization of transactions (mean = 3.99, SD = 0.966) supports Kimani and Wachira’s (2023) evidence that hierarchical authorization reduces irregularities by 34%. Separation of purchasing and payment approval functions (mean = 3.95, SD = 0.954) aligns with Otieno et al.’s (2021) finding that this segregation lowers fraud risk by 28%. Similarly, segregation of transaction documentation duties (mean = 3.93, SD = 0.967) reflects Muthoni and Rivera’s conclusion that task separation reduces accounting errors. Distinct authorization of payments (mean = 3.86, SD = 0.883) reinforces Awuor and Jenkins’ (2024) assertion that such segregation safeguards financial control integrity.</w:t>
      </w:r>
    </w:p>
    <w:p w14:paraId="3AAB4E36" w14:textId="77777777" w:rsidR="00E730D7" w:rsidRPr="00E730D7" w:rsidRDefault="00E730D7" w:rsidP="00E730D7">
      <w:pPr>
        <w:spacing w:before="0" w:line="240" w:lineRule="auto"/>
        <w:rPr>
          <w:color w:val="000000" w:themeColor="text1"/>
        </w:rPr>
      </w:pPr>
    </w:p>
    <w:p w14:paraId="58E43A0B" w14:textId="77777777" w:rsidR="00E730D7" w:rsidRPr="00E730D7" w:rsidRDefault="00E730D7" w:rsidP="00E730D7">
      <w:pPr>
        <w:spacing w:before="0" w:line="240" w:lineRule="auto"/>
        <w:rPr>
          <w:b/>
          <w:bCs/>
          <w:i/>
          <w:iCs/>
          <w:color w:val="000000" w:themeColor="text1"/>
        </w:rPr>
      </w:pPr>
      <w:r w:rsidRPr="00E730D7">
        <w:rPr>
          <w:b/>
          <w:bCs/>
          <w:i/>
          <w:iCs/>
          <w:color w:val="000000" w:themeColor="text1"/>
        </w:rPr>
        <w:t>Financial Efficiency of NGOs</w:t>
      </w:r>
    </w:p>
    <w:p w14:paraId="46939C53" w14:textId="77777777" w:rsidR="00E730D7" w:rsidRPr="00E730D7" w:rsidRDefault="00E730D7" w:rsidP="00E730D7">
      <w:pPr>
        <w:spacing w:before="0" w:line="240" w:lineRule="auto"/>
        <w:rPr>
          <w:color w:val="000000" w:themeColor="text1"/>
        </w:rPr>
      </w:pPr>
    </w:p>
    <w:p w14:paraId="27E0FE4F" w14:textId="77777777" w:rsidR="00E730D7" w:rsidRPr="00E730D7" w:rsidRDefault="00E730D7" w:rsidP="00E730D7">
      <w:pPr>
        <w:spacing w:before="0" w:line="240" w:lineRule="auto"/>
        <w:rPr>
          <w:color w:val="000000" w:themeColor="text1"/>
        </w:rPr>
      </w:pPr>
      <w:r w:rsidRPr="00E730D7">
        <w:rPr>
          <w:color w:val="000000" w:themeColor="text1"/>
        </w:rPr>
        <w:t>Overall, respondents strongly agreed that their organizations manage costs per beneficiary efficiently (mean = 4.11, SD = 0.855), a finding consistent with Muriithi and Abdi’s (2023) evidence linking cost control to credibility and funding sustainability. Alignment of actual expenditures with planned budgets (mean = 4.06, SD = 0.726) parallels Williams and Ouma’s (2022) observation that budget adherence strengthens donor trust. Keeping administrative costs proportionate to total spending (mean = 4.05, SD = 0.888) echoes Parker et al.’s (2021) finding that cost discipline enhances stakeholder confidence. High allocation of expenditures to program services (mean = 4.01, SD = 0.919) and reasonable fundraising costs (mean = 4.01, SD = 0.886) further underscore efficiency. However, while respondents agreed that minimizing waste and maximizing impact are priorities (mean = 3.65, SD = 0.962), Nyaga and Thompson (2024) caution that operational efficiency remains a persistent challenge for African NGOs.</w:t>
      </w:r>
    </w:p>
    <w:p w14:paraId="7D88F496" w14:textId="77777777" w:rsidR="00E730D7" w:rsidRPr="00E730D7" w:rsidRDefault="00E730D7" w:rsidP="00E730D7">
      <w:pPr>
        <w:spacing w:before="0" w:line="240" w:lineRule="auto"/>
        <w:rPr>
          <w:color w:val="000000" w:themeColor="text1"/>
        </w:rPr>
      </w:pPr>
    </w:p>
    <w:p w14:paraId="2073B707" w14:textId="77777777" w:rsidR="00E730D7" w:rsidRDefault="00E730D7" w:rsidP="00E730D7">
      <w:pPr>
        <w:spacing w:before="0" w:line="240" w:lineRule="auto"/>
        <w:rPr>
          <w:color w:val="000000" w:themeColor="text1"/>
        </w:rPr>
      </w:pPr>
      <w:r w:rsidRPr="00E730D7">
        <w:rPr>
          <w:color w:val="000000" w:themeColor="text1"/>
        </w:rPr>
        <w:t>In sum, the results demonstrate that preventive, detective, directive, and management controls collectively underpin the financial efficiency of NGOs in Nairobi City County. The consistent alignment with existing literature suggests that these internal control mechanisms not only reduce errors and irregularities but also enhance organizational credibility, donor trust, and long-term sustainability</w:t>
      </w:r>
    </w:p>
    <w:p w14:paraId="6BA47EEF" w14:textId="77777777" w:rsidR="00E730D7" w:rsidRDefault="00E730D7" w:rsidP="00E730D7">
      <w:pPr>
        <w:spacing w:before="0" w:line="240" w:lineRule="auto"/>
        <w:rPr>
          <w:color w:val="000000" w:themeColor="text1"/>
        </w:rPr>
      </w:pPr>
    </w:p>
    <w:p w14:paraId="774C44D9" w14:textId="406BC858" w:rsidR="00615B2D" w:rsidRDefault="004C4596" w:rsidP="00E730D7">
      <w:pPr>
        <w:spacing w:before="0" w:line="240" w:lineRule="auto"/>
        <w:rPr>
          <w:b/>
          <w:bCs/>
          <w:color w:val="000000" w:themeColor="text1"/>
          <w:sz w:val="28"/>
          <w:szCs w:val="24"/>
        </w:rPr>
      </w:pPr>
      <w:r w:rsidRPr="00FB2E0F">
        <w:rPr>
          <w:b/>
          <w:bCs/>
          <w:color w:val="000000" w:themeColor="text1"/>
          <w:sz w:val="28"/>
          <w:szCs w:val="24"/>
        </w:rPr>
        <w:t xml:space="preserve">4.3 </w:t>
      </w:r>
      <w:r w:rsidR="00E730D7" w:rsidRPr="00E730D7">
        <w:rPr>
          <w:b/>
          <w:bCs/>
          <w:color w:val="000000" w:themeColor="text1"/>
          <w:sz w:val="28"/>
          <w:szCs w:val="24"/>
        </w:rPr>
        <w:t>Correlation Analysis</w:t>
      </w:r>
    </w:p>
    <w:p w14:paraId="2E582231" w14:textId="70D365A1" w:rsidR="00C9348C" w:rsidRPr="00C9348C" w:rsidRDefault="00C9348C" w:rsidP="00C9348C">
      <w:pPr>
        <w:spacing w:before="0" w:line="240" w:lineRule="auto"/>
      </w:pPr>
      <w:r w:rsidRPr="00C9348C">
        <w:t>Pearson Product Moment Correlation Coefficients were employed to assess the linear relationship between operational internal controls and financial performance efficiency at 95% and 99% confidence levels. The results, presented in Table 3, reveal statistically significant positive relationships across all four control categories.</w:t>
      </w:r>
      <w:r>
        <w:t xml:space="preserve"> </w:t>
      </w:r>
      <w:r w:rsidRPr="00C9348C">
        <w:t xml:space="preserve">Preventive controls, designed to avert financial errors through measures such as segregation of duties, authorization procedures, and employee training, exhibited a strong positive correlation with financial performance (r = 0.691, p &lt; 0.000). This suggests that proactive risk management enhances resource utilization and accountability. Detective controls, including reconciliations, audits, and performance reviews, showed a moderate yet significant correlation </w:t>
      </w:r>
      <w:r w:rsidRPr="00C9348C">
        <w:lastRenderedPageBreak/>
        <w:t>(r = 0.352, p &lt; 0.003), underscoring their role in identifying weaknesses, fostering transparency, and sustaining donor confidence.</w:t>
      </w:r>
    </w:p>
    <w:p w14:paraId="0624789D" w14:textId="77777777" w:rsidR="00C9348C" w:rsidRPr="00C9348C" w:rsidRDefault="00C9348C" w:rsidP="00C9348C">
      <w:pPr>
        <w:spacing w:before="0" w:line="240" w:lineRule="auto"/>
      </w:pPr>
    </w:p>
    <w:p w14:paraId="2E5399FD" w14:textId="3F6ECFDF" w:rsidR="00E730D7" w:rsidRPr="00C9348C" w:rsidRDefault="00C9348C" w:rsidP="00C9348C">
      <w:pPr>
        <w:spacing w:before="0" w:line="240" w:lineRule="auto"/>
      </w:pPr>
      <w:r w:rsidRPr="00C9348C">
        <w:t>Directive controls</w:t>
      </w:r>
      <w:r w:rsidR="003E0FAD">
        <w:t xml:space="preserve"> </w:t>
      </w:r>
      <w:r w:rsidRPr="00C9348C">
        <w:t>operational procedures, performance standards, and staff orientation</w:t>
      </w:r>
      <w:r w:rsidR="003E0FAD">
        <w:t xml:space="preserve"> </w:t>
      </w:r>
      <w:r w:rsidRPr="00C9348C">
        <w:t>recorded a strong correlation (r = 0.667, p &lt; 0.000), indicating that clear guidelines align staff actions with strategic objectives and strengthen compliance. Management controls, such as planning, budgeting, and performance appraisals, demonstrated the strongest relationship (r = 0.772, p &lt; 0.000), emphasizing their importance in optimizing performance and ensuring financial stewardship.</w:t>
      </w:r>
      <w:r>
        <w:t xml:space="preserve"> </w:t>
      </w:r>
      <w:r w:rsidRPr="00C9348C">
        <w:t>Overall, the findings confirm that robust operational internal controls</w:t>
      </w:r>
      <w:r w:rsidR="003E0FAD">
        <w:t xml:space="preserve"> </w:t>
      </w:r>
      <w:r w:rsidRPr="00C9348C">
        <w:t>preventive, detective, directive, and management</w:t>
      </w:r>
      <w:r w:rsidR="003E0FAD">
        <w:t xml:space="preserve"> </w:t>
      </w:r>
      <w:r w:rsidRPr="00C9348C">
        <w:t>collectively enhance financial performance efficiency in NGOs, reinforcing their necessity in sustainable operational frameworks.</w:t>
      </w:r>
    </w:p>
    <w:p w14:paraId="700C7973" w14:textId="77777777" w:rsidR="00E730D7" w:rsidRDefault="00E730D7" w:rsidP="00E730D7">
      <w:pPr>
        <w:spacing w:before="0" w:line="240" w:lineRule="auto"/>
        <w:rPr>
          <w:b/>
          <w:bCs/>
          <w:color w:val="000000" w:themeColor="text1"/>
          <w:sz w:val="28"/>
          <w:szCs w:val="24"/>
        </w:rPr>
      </w:pPr>
    </w:p>
    <w:p w14:paraId="1DE2415D" w14:textId="3EBB1043" w:rsidR="00E730D7" w:rsidRPr="006F07BC" w:rsidRDefault="00E730D7" w:rsidP="00E730D7">
      <w:pPr>
        <w:pStyle w:val="Caption"/>
        <w:spacing w:after="0"/>
        <w:rPr>
          <w:color w:val="000000" w:themeColor="text1"/>
          <w:sz w:val="24"/>
          <w:szCs w:val="24"/>
        </w:rPr>
      </w:pPr>
      <w:bookmarkStart w:id="5" w:name="_Toc196310903"/>
      <w:r w:rsidRPr="006F07BC">
        <w:rPr>
          <w:color w:val="000000" w:themeColor="text1"/>
          <w:sz w:val="24"/>
          <w:szCs w:val="24"/>
        </w:rPr>
        <w:t xml:space="preserve">Table </w:t>
      </w:r>
      <w:r w:rsidR="00C9348C">
        <w:rPr>
          <w:color w:val="000000" w:themeColor="text1"/>
          <w:sz w:val="24"/>
          <w:szCs w:val="24"/>
        </w:rPr>
        <w:t>3</w:t>
      </w:r>
      <w:r w:rsidRPr="006F07BC">
        <w:rPr>
          <w:color w:val="000000" w:themeColor="text1"/>
          <w:sz w:val="24"/>
          <w:szCs w:val="24"/>
        </w:rPr>
        <w:t>: Pearson Correlation Coefficient Matrix</w:t>
      </w:r>
      <w:bookmarkEnd w:id="5"/>
    </w:p>
    <w:tbl>
      <w:tblPr>
        <w:tblW w:w="0" w:type="auto"/>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925"/>
        <w:gridCol w:w="1671"/>
        <w:gridCol w:w="1022"/>
        <w:gridCol w:w="1300"/>
        <w:gridCol w:w="1206"/>
        <w:gridCol w:w="1206"/>
        <w:gridCol w:w="1300"/>
      </w:tblGrid>
      <w:tr w:rsidR="00E730D7" w:rsidRPr="00CD6283" w14:paraId="0EB1994B" w14:textId="77777777" w:rsidTr="00421F49">
        <w:trPr>
          <w:trHeight w:val="233"/>
        </w:trPr>
        <w:tc>
          <w:tcPr>
            <w:tcW w:w="925" w:type="dxa"/>
            <w:tcBorders>
              <w:top w:val="single" w:sz="4" w:space="0" w:color="auto"/>
              <w:bottom w:val="single" w:sz="4" w:space="0" w:color="auto"/>
            </w:tcBorders>
            <w:shd w:val="clear" w:color="000000" w:fill="FFFFFF"/>
          </w:tcPr>
          <w:p w14:paraId="0BF24FA0" w14:textId="77777777" w:rsidR="00E730D7" w:rsidRPr="00886524" w:rsidRDefault="00E730D7" w:rsidP="00E730D7">
            <w:pPr>
              <w:autoSpaceDE w:val="0"/>
              <w:autoSpaceDN w:val="0"/>
              <w:adjustRightInd w:val="0"/>
              <w:spacing w:before="0" w:line="240" w:lineRule="auto"/>
              <w:rPr>
                <w:rFonts w:cs="Times New Roman"/>
                <w:b/>
                <w:bCs/>
                <w:color w:val="000000" w:themeColor="text1"/>
                <w:szCs w:val="24"/>
              </w:rPr>
            </w:pPr>
          </w:p>
        </w:tc>
        <w:tc>
          <w:tcPr>
            <w:tcW w:w="1671" w:type="dxa"/>
            <w:tcBorders>
              <w:top w:val="single" w:sz="4" w:space="0" w:color="auto"/>
              <w:bottom w:val="single" w:sz="4" w:space="0" w:color="auto"/>
            </w:tcBorders>
            <w:shd w:val="clear" w:color="000000" w:fill="FFFFFF"/>
          </w:tcPr>
          <w:p w14:paraId="69E5617F" w14:textId="77777777" w:rsidR="00E730D7" w:rsidRPr="00886524" w:rsidRDefault="00E730D7" w:rsidP="00E730D7">
            <w:pPr>
              <w:autoSpaceDE w:val="0"/>
              <w:autoSpaceDN w:val="0"/>
              <w:adjustRightInd w:val="0"/>
              <w:spacing w:before="0" w:line="240" w:lineRule="auto"/>
              <w:rPr>
                <w:rFonts w:cs="Times New Roman"/>
                <w:b/>
                <w:color w:val="000000" w:themeColor="text1"/>
                <w:szCs w:val="24"/>
              </w:rPr>
            </w:pPr>
          </w:p>
        </w:tc>
        <w:tc>
          <w:tcPr>
            <w:tcW w:w="1022" w:type="dxa"/>
            <w:tcBorders>
              <w:top w:val="single" w:sz="4" w:space="0" w:color="auto"/>
              <w:bottom w:val="single" w:sz="4" w:space="0" w:color="auto"/>
            </w:tcBorders>
            <w:shd w:val="clear" w:color="000000" w:fill="FFFFFF"/>
            <w:vAlign w:val="center"/>
          </w:tcPr>
          <w:p w14:paraId="1FDA4411"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PC</w:t>
            </w:r>
          </w:p>
        </w:tc>
        <w:tc>
          <w:tcPr>
            <w:tcW w:w="1300" w:type="dxa"/>
            <w:tcBorders>
              <w:top w:val="single" w:sz="4" w:space="0" w:color="auto"/>
              <w:bottom w:val="single" w:sz="4" w:space="0" w:color="auto"/>
            </w:tcBorders>
            <w:shd w:val="clear" w:color="000000" w:fill="FFFFFF"/>
            <w:vAlign w:val="center"/>
          </w:tcPr>
          <w:p w14:paraId="13720E7B"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DC</w:t>
            </w:r>
          </w:p>
        </w:tc>
        <w:tc>
          <w:tcPr>
            <w:tcW w:w="1206" w:type="dxa"/>
            <w:tcBorders>
              <w:top w:val="single" w:sz="4" w:space="0" w:color="auto"/>
              <w:bottom w:val="single" w:sz="4" w:space="0" w:color="auto"/>
            </w:tcBorders>
            <w:shd w:val="clear" w:color="000000" w:fill="FFFFFF"/>
            <w:vAlign w:val="center"/>
          </w:tcPr>
          <w:p w14:paraId="19A2310B"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DCs</w:t>
            </w:r>
          </w:p>
        </w:tc>
        <w:tc>
          <w:tcPr>
            <w:tcW w:w="1206" w:type="dxa"/>
            <w:tcBorders>
              <w:top w:val="single" w:sz="4" w:space="0" w:color="auto"/>
              <w:bottom w:val="single" w:sz="4" w:space="0" w:color="auto"/>
            </w:tcBorders>
            <w:shd w:val="clear" w:color="000000" w:fill="FFFFFF"/>
            <w:vAlign w:val="center"/>
          </w:tcPr>
          <w:p w14:paraId="7E403AD9"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MC</w:t>
            </w:r>
          </w:p>
        </w:tc>
        <w:tc>
          <w:tcPr>
            <w:tcW w:w="1300" w:type="dxa"/>
            <w:tcBorders>
              <w:top w:val="single" w:sz="4" w:space="0" w:color="auto"/>
              <w:bottom w:val="single" w:sz="4" w:space="0" w:color="auto"/>
            </w:tcBorders>
            <w:shd w:val="clear" w:color="000000" w:fill="FFFFFF"/>
            <w:vAlign w:val="center"/>
          </w:tcPr>
          <w:p w14:paraId="011E9E75" w14:textId="77777777" w:rsidR="00E730D7" w:rsidRPr="00886524" w:rsidRDefault="00E730D7" w:rsidP="00E730D7">
            <w:pPr>
              <w:autoSpaceDE w:val="0"/>
              <w:autoSpaceDN w:val="0"/>
              <w:adjustRightInd w:val="0"/>
              <w:spacing w:before="0" w:line="240" w:lineRule="auto"/>
              <w:jc w:val="center"/>
              <w:rPr>
                <w:rFonts w:cs="Times New Roman"/>
                <w:b/>
                <w:color w:val="000000" w:themeColor="text1"/>
                <w:szCs w:val="24"/>
              </w:rPr>
            </w:pPr>
            <w:r w:rsidRPr="00886524">
              <w:rPr>
                <w:rFonts w:cs="Times New Roman"/>
                <w:b/>
                <w:color w:val="000000" w:themeColor="text1"/>
                <w:szCs w:val="24"/>
              </w:rPr>
              <w:t>FP</w:t>
            </w:r>
          </w:p>
        </w:tc>
      </w:tr>
      <w:tr w:rsidR="00E730D7" w:rsidRPr="00CD6283" w14:paraId="054977AE" w14:textId="77777777" w:rsidTr="00421F49">
        <w:trPr>
          <w:trHeight w:val="85"/>
        </w:trPr>
        <w:tc>
          <w:tcPr>
            <w:tcW w:w="925" w:type="dxa"/>
            <w:tcBorders>
              <w:top w:val="single" w:sz="4" w:space="0" w:color="auto"/>
            </w:tcBorders>
            <w:shd w:val="clear" w:color="000000" w:fill="FFFFFF"/>
          </w:tcPr>
          <w:p w14:paraId="4E527ADC"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PC</w:t>
            </w:r>
          </w:p>
        </w:tc>
        <w:tc>
          <w:tcPr>
            <w:tcW w:w="1671" w:type="dxa"/>
            <w:tcBorders>
              <w:top w:val="single" w:sz="4" w:space="0" w:color="auto"/>
            </w:tcBorders>
            <w:shd w:val="clear" w:color="000000" w:fill="FFFFFF"/>
          </w:tcPr>
          <w:p w14:paraId="4D401A22"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tcBorders>
              <w:top w:val="single" w:sz="4" w:space="0" w:color="auto"/>
            </w:tcBorders>
            <w:shd w:val="clear" w:color="000000" w:fill="FFFFFF"/>
            <w:vAlign w:val="center"/>
          </w:tcPr>
          <w:p w14:paraId="2F37622B"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c>
          <w:tcPr>
            <w:tcW w:w="1300" w:type="dxa"/>
            <w:tcBorders>
              <w:top w:val="single" w:sz="4" w:space="0" w:color="auto"/>
            </w:tcBorders>
            <w:shd w:val="clear" w:color="000000" w:fill="FFFFFF"/>
            <w:vAlign w:val="center"/>
          </w:tcPr>
          <w:p w14:paraId="7ABDE0F6"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tcBorders>
              <w:top w:val="single" w:sz="4" w:space="0" w:color="auto"/>
            </w:tcBorders>
            <w:shd w:val="clear" w:color="000000" w:fill="FFFFFF"/>
            <w:vAlign w:val="center"/>
          </w:tcPr>
          <w:p w14:paraId="616C394C"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tcBorders>
              <w:top w:val="single" w:sz="4" w:space="0" w:color="auto"/>
            </w:tcBorders>
            <w:shd w:val="clear" w:color="000000" w:fill="FFFFFF"/>
            <w:vAlign w:val="center"/>
          </w:tcPr>
          <w:p w14:paraId="0FDF033C"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tcBorders>
              <w:top w:val="single" w:sz="4" w:space="0" w:color="auto"/>
            </w:tcBorders>
            <w:shd w:val="clear" w:color="000000" w:fill="FFFFFF"/>
            <w:vAlign w:val="center"/>
          </w:tcPr>
          <w:p w14:paraId="798BDA7A"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407D734E" w14:textId="77777777" w:rsidTr="00421F49">
        <w:trPr>
          <w:trHeight w:val="70"/>
        </w:trPr>
        <w:tc>
          <w:tcPr>
            <w:tcW w:w="925" w:type="dxa"/>
            <w:shd w:val="clear" w:color="000000" w:fill="FFFFFF"/>
          </w:tcPr>
          <w:p w14:paraId="6E80FD57"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b/>
                <w:bCs/>
                <w:color w:val="000000" w:themeColor="text1"/>
                <w:szCs w:val="24"/>
              </w:rPr>
              <w:t xml:space="preserve"> </w:t>
            </w:r>
          </w:p>
        </w:tc>
        <w:tc>
          <w:tcPr>
            <w:tcW w:w="1671" w:type="dxa"/>
            <w:shd w:val="clear" w:color="000000" w:fill="FFFFFF"/>
          </w:tcPr>
          <w:p w14:paraId="6583D61C"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0DB9D268"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w:t>
            </w:r>
          </w:p>
        </w:tc>
        <w:tc>
          <w:tcPr>
            <w:tcW w:w="1300" w:type="dxa"/>
            <w:shd w:val="clear" w:color="000000" w:fill="FFFFFF"/>
            <w:vAlign w:val="center"/>
          </w:tcPr>
          <w:p w14:paraId="2CC99847"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4CE3B3FC"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567C9C5E"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0587A97A"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231E7CDD" w14:textId="77777777" w:rsidTr="00421F49">
        <w:trPr>
          <w:trHeight w:val="107"/>
        </w:trPr>
        <w:tc>
          <w:tcPr>
            <w:tcW w:w="925" w:type="dxa"/>
            <w:shd w:val="clear" w:color="000000" w:fill="FFFFFF"/>
          </w:tcPr>
          <w:p w14:paraId="27BD43D7"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DC</w:t>
            </w:r>
          </w:p>
        </w:tc>
        <w:tc>
          <w:tcPr>
            <w:tcW w:w="1671" w:type="dxa"/>
            <w:shd w:val="clear" w:color="000000" w:fill="FFFFFF"/>
          </w:tcPr>
          <w:p w14:paraId="22E0540B"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shd w:val="clear" w:color="000000" w:fill="FFFFFF"/>
            <w:vAlign w:val="center"/>
          </w:tcPr>
          <w:p w14:paraId="1304E1AC"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0.531**</w:t>
            </w:r>
          </w:p>
        </w:tc>
        <w:tc>
          <w:tcPr>
            <w:tcW w:w="1300" w:type="dxa"/>
            <w:shd w:val="clear" w:color="000000" w:fill="FFFFFF"/>
            <w:vAlign w:val="center"/>
          </w:tcPr>
          <w:p w14:paraId="3D523563"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c>
          <w:tcPr>
            <w:tcW w:w="1206" w:type="dxa"/>
            <w:shd w:val="clear" w:color="000000" w:fill="FFFFFF"/>
            <w:vAlign w:val="center"/>
          </w:tcPr>
          <w:p w14:paraId="15D6EFC2"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71B8A251"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5337EA25"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37254EAF" w14:textId="77777777" w:rsidTr="00421F49">
        <w:trPr>
          <w:trHeight w:val="206"/>
        </w:trPr>
        <w:tc>
          <w:tcPr>
            <w:tcW w:w="925" w:type="dxa"/>
            <w:shd w:val="clear" w:color="000000" w:fill="FFFFFF"/>
          </w:tcPr>
          <w:p w14:paraId="63A8E195"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b/>
                <w:bCs/>
                <w:color w:val="000000" w:themeColor="text1"/>
                <w:szCs w:val="24"/>
              </w:rPr>
              <w:t xml:space="preserve"> </w:t>
            </w:r>
          </w:p>
        </w:tc>
        <w:tc>
          <w:tcPr>
            <w:tcW w:w="1671" w:type="dxa"/>
            <w:shd w:val="clear" w:color="000000" w:fill="FFFFFF"/>
          </w:tcPr>
          <w:p w14:paraId="60E2ECEA"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7CA7BA66"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49A6E2C0"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2255B7CB"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4D78AAA1"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2936D20F"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7743CB8F" w14:textId="77777777" w:rsidTr="00421F49">
        <w:trPr>
          <w:trHeight w:val="70"/>
        </w:trPr>
        <w:tc>
          <w:tcPr>
            <w:tcW w:w="925" w:type="dxa"/>
            <w:shd w:val="clear" w:color="000000" w:fill="FFFFFF"/>
          </w:tcPr>
          <w:p w14:paraId="2D48631F"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DCs</w:t>
            </w:r>
          </w:p>
        </w:tc>
        <w:tc>
          <w:tcPr>
            <w:tcW w:w="1671" w:type="dxa"/>
            <w:shd w:val="clear" w:color="000000" w:fill="FFFFFF"/>
          </w:tcPr>
          <w:p w14:paraId="4D0F640B"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shd w:val="clear" w:color="000000" w:fill="FFFFFF"/>
            <w:vAlign w:val="center"/>
          </w:tcPr>
          <w:p w14:paraId="627DD448"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0.785**</w:t>
            </w:r>
          </w:p>
        </w:tc>
        <w:tc>
          <w:tcPr>
            <w:tcW w:w="1300" w:type="dxa"/>
            <w:shd w:val="clear" w:color="000000" w:fill="FFFFFF"/>
            <w:vAlign w:val="center"/>
          </w:tcPr>
          <w:p w14:paraId="1045C9A4"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.501**</w:t>
            </w:r>
          </w:p>
        </w:tc>
        <w:tc>
          <w:tcPr>
            <w:tcW w:w="1206" w:type="dxa"/>
            <w:shd w:val="clear" w:color="000000" w:fill="FFFFFF"/>
            <w:vAlign w:val="center"/>
          </w:tcPr>
          <w:p w14:paraId="6055593D"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c>
          <w:tcPr>
            <w:tcW w:w="1206" w:type="dxa"/>
            <w:shd w:val="clear" w:color="000000" w:fill="FFFFFF"/>
            <w:vAlign w:val="center"/>
          </w:tcPr>
          <w:p w14:paraId="454D6FFF"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46CE669F"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7D3DE659" w14:textId="77777777" w:rsidTr="00421F49">
        <w:trPr>
          <w:trHeight w:val="70"/>
        </w:trPr>
        <w:tc>
          <w:tcPr>
            <w:tcW w:w="925" w:type="dxa"/>
            <w:shd w:val="clear" w:color="000000" w:fill="FFFFFF"/>
          </w:tcPr>
          <w:p w14:paraId="7EE51911"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b/>
                <w:bCs/>
                <w:color w:val="000000" w:themeColor="text1"/>
                <w:szCs w:val="24"/>
              </w:rPr>
              <w:t xml:space="preserve"> </w:t>
            </w:r>
          </w:p>
        </w:tc>
        <w:tc>
          <w:tcPr>
            <w:tcW w:w="1671" w:type="dxa"/>
            <w:shd w:val="clear" w:color="000000" w:fill="FFFFFF"/>
          </w:tcPr>
          <w:p w14:paraId="35FFA593"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2B7FD0BF"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6177E8C8"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206" w:type="dxa"/>
            <w:shd w:val="clear" w:color="000000" w:fill="FFFFFF"/>
            <w:vAlign w:val="center"/>
          </w:tcPr>
          <w:p w14:paraId="502A1FBD"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206" w:type="dxa"/>
            <w:shd w:val="clear" w:color="000000" w:fill="FFFFFF"/>
            <w:vAlign w:val="center"/>
          </w:tcPr>
          <w:p w14:paraId="7B1082C1"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437511EF"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771BA969" w14:textId="77777777" w:rsidTr="00421F49">
        <w:trPr>
          <w:trHeight w:val="85"/>
        </w:trPr>
        <w:tc>
          <w:tcPr>
            <w:tcW w:w="925" w:type="dxa"/>
            <w:shd w:val="clear" w:color="000000" w:fill="FFFFFF"/>
          </w:tcPr>
          <w:p w14:paraId="4ABACD15"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MC</w:t>
            </w:r>
          </w:p>
        </w:tc>
        <w:tc>
          <w:tcPr>
            <w:tcW w:w="1671" w:type="dxa"/>
            <w:shd w:val="clear" w:color="000000" w:fill="FFFFFF"/>
          </w:tcPr>
          <w:p w14:paraId="7B5A7611"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shd w:val="clear" w:color="000000" w:fill="FFFFFF"/>
            <w:vAlign w:val="center"/>
          </w:tcPr>
          <w:p w14:paraId="58706967"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0.810**</w:t>
            </w:r>
          </w:p>
        </w:tc>
        <w:tc>
          <w:tcPr>
            <w:tcW w:w="1300" w:type="dxa"/>
            <w:shd w:val="clear" w:color="000000" w:fill="FFFFFF"/>
            <w:vAlign w:val="center"/>
          </w:tcPr>
          <w:p w14:paraId="6B887EBD"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0.434**</w:t>
            </w:r>
          </w:p>
        </w:tc>
        <w:tc>
          <w:tcPr>
            <w:tcW w:w="1206" w:type="dxa"/>
            <w:shd w:val="clear" w:color="000000" w:fill="FFFFFF"/>
            <w:vAlign w:val="center"/>
          </w:tcPr>
          <w:p w14:paraId="6E730F32"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.718**</w:t>
            </w:r>
          </w:p>
        </w:tc>
        <w:tc>
          <w:tcPr>
            <w:tcW w:w="1206" w:type="dxa"/>
            <w:shd w:val="clear" w:color="000000" w:fill="FFFFFF"/>
            <w:vAlign w:val="center"/>
          </w:tcPr>
          <w:p w14:paraId="4F1AD8CA"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c>
          <w:tcPr>
            <w:tcW w:w="1300" w:type="dxa"/>
            <w:shd w:val="clear" w:color="000000" w:fill="FFFFFF"/>
            <w:vAlign w:val="center"/>
          </w:tcPr>
          <w:p w14:paraId="53FB9F50"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112949EB" w14:textId="77777777" w:rsidTr="00421F49">
        <w:trPr>
          <w:trHeight w:val="70"/>
        </w:trPr>
        <w:tc>
          <w:tcPr>
            <w:tcW w:w="925" w:type="dxa"/>
            <w:shd w:val="clear" w:color="000000" w:fill="FFFFFF"/>
          </w:tcPr>
          <w:p w14:paraId="7B3F09D1"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b/>
                <w:bCs/>
                <w:color w:val="000000" w:themeColor="text1"/>
                <w:szCs w:val="24"/>
              </w:rPr>
              <w:t xml:space="preserve"> </w:t>
            </w:r>
          </w:p>
        </w:tc>
        <w:tc>
          <w:tcPr>
            <w:tcW w:w="1671" w:type="dxa"/>
            <w:shd w:val="clear" w:color="000000" w:fill="FFFFFF"/>
          </w:tcPr>
          <w:p w14:paraId="3C688DB0"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12106F09"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1B80546F"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206" w:type="dxa"/>
            <w:shd w:val="clear" w:color="000000" w:fill="FFFFFF"/>
            <w:vAlign w:val="center"/>
          </w:tcPr>
          <w:p w14:paraId="2533E797"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c>
          <w:tcPr>
            <w:tcW w:w="1206" w:type="dxa"/>
            <w:shd w:val="clear" w:color="000000" w:fill="FFFFFF"/>
            <w:vAlign w:val="center"/>
          </w:tcPr>
          <w:p w14:paraId="53484759"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c>
          <w:tcPr>
            <w:tcW w:w="1300" w:type="dxa"/>
            <w:shd w:val="clear" w:color="000000" w:fill="FFFFFF"/>
            <w:vAlign w:val="center"/>
          </w:tcPr>
          <w:p w14:paraId="16E603B7"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r w:rsidR="00E730D7" w:rsidRPr="00CD6283" w14:paraId="5EA4BB4A" w14:textId="77777777" w:rsidTr="00421F49">
        <w:trPr>
          <w:trHeight w:val="333"/>
        </w:trPr>
        <w:tc>
          <w:tcPr>
            <w:tcW w:w="925" w:type="dxa"/>
            <w:shd w:val="clear" w:color="000000" w:fill="FFFFFF"/>
          </w:tcPr>
          <w:p w14:paraId="780565F4" w14:textId="77777777" w:rsidR="00E730D7" w:rsidRPr="00CD6283" w:rsidRDefault="00E730D7" w:rsidP="00E730D7">
            <w:pPr>
              <w:autoSpaceDE w:val="0"/>
              <w:autoSpaceDN w:val="0"/>
              <w:adjustRightInd w:val="0"/>
              <w:spacing w:before="0" w:line="240" w:lineRule="auto"/>
              <w:rPr>
                <w:rFonts w:cs="Times New Roman"/>
                <w:b/>
                <w:bCs/>
                <w:color w:val="000000" w:themeColor="text1"/>
                <w:szCs w:val="24"/>
              </w:rPr>
            </w:pPr>
            <w:r w:rsidRPr="00CD6283">
              <w:rPr>
                <w:rFonts w:cs="Times New Roman"/>
                <w:color w:val="000000" w:themeColor="text1"/>
                <w:szCs w:val="24"/>
              </w:rPr>
              <w:t>FP</w:t>
            </w:r>
          </w:p>
        </w:tc>
        <w:tc>
          <w:tcPr>
            <w:tcW w:w="1671" w:type="dxa"/>
            <w:shd w:val="clear" w:color="000000" w:fill="FFFFFF"/>
          </w:tcPr>
          <w:p w14:paraId="02253A94"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Pearson Correlation</w:t>
            </w:r>
          </w:p>
        </w:tc>
        <w:tc>
          <w:tcPr>
            <w:tcW w:w="1022" w:type="dxa"/>
            <w:shd w:val="clear" w:color="000000" w:fill="FFFFFF"/>
            <w:vAlign w:val="center"/>
          </w:tcPr>
          <w:p w14:paraId="6944F9D5"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0.691**</w:t>
            </w:r>
          </w:p>
        </w:tc>
        <w:tc>
          <w:tcPr>
            <w:tcW w:w="1300" w:type="dxa"/>
            <w:shd w:val="clear" w:color="000000" w:fill="FFFFFF"/>
            <w:vAlign w:val="center"/>
          </w:tcPr>
          <w:p w14:paraId="163157D2"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0.352*</w:t>
            </w:r>
          </w:p>
        </w:tc>
        <w:tc>
          <w:tcPr>
            <w:tcW w:w="1206" w:type="dxa"/>
            <w:shd w:val="clear" w:color="000000" w:fill="FFFFFF"/>
            <w:vAlign w:val="center"/>
          </w:tcPr>
          <w:p w14:paraId="7E02CBEE"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.667**</w:t>
            </w:r>
          </w:p>
        </w:tc>
        <w:tc>
          <w:tcPr>
            <w:tcW w:w="1206" w:type="dxa"/>
            <w:shd w:val="clear" w:color="000000" w:fill="FFFFFF"/>
            <w:vAlign w:val="center"/>
          </w:tcPr>
          <w:p w14:paraId="4C5675F3"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.772**</w:t>
            </w:r>
          </w:p>
        </w:tc>
        <w:tc>
          <w:tcPr>
            <w:tcW w:w="1300" w:type="dxa"/>
            <w:shd w:val="clear" w:color="000000" w:fill="FFFFFF"/>
            <w:vAlign w:val="center"/>
          </w:tcPr>
          <w:p w14:paraId="2BF7DB4C"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w:t>
            </w:r>
          </w:p>
        </w:tc>
      </w:tr>
      <w:tr w:rsidR="00E730D7" w:rsidRPr="00CD6283" w14:paraId="3CB2A86B" w14:textId="77777777" w:rsidTr="00421F49">
        <w:trPr>
          <w:trHeight w:val="179"/>
        </w:trPr>
        <w:tc>
          <w:tcPr>
            <w:tcW w:w="925" w:type="dxa"/>
            <w:shd w:val="clear" w:color="000000" w:fill="FFFFFF"/>
          </w:tcPr>
          <w:p w14:paraId="70B1E710"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 xml:space="preserve"> </w:t>
            </w:r>
          </w:p>
        </w:tc>
        <w:tc>
          <w:tcPr>
            <w:tcW w:w="1671" w:type="dxa"/>
            <w:shd w:val="clear" w:color="000000" w:fill="FFFFFF"/>
          </w:tcPr>
          <w:p w14:paraId="73FA4134"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Sig. (2-tailed)</w:t>
            </w:r>
          </w:p>
        </w:tc>
        <w:tc>
          <w:tcPr>
            <w:tcW w:w="1022" w:type="dxa"/>
            <w:shd w:val="clear" w:color="000000" w:fill="FFFFFF"/>
            <w:vAlign w:val="center"/>
          </w:tcPr>
          <w:p w14:paraId="62A45369"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5520D629"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0.003</w:t>
            </w:r>
          </w:p>
        </w:tc>
        <w:tc>
          <w:tcPr>
            <w:tcW w:w="1206" w:type="dxa"/>
            <w:shd w:val="clear" w:color="000000" w:fill="FFFFFF"/>
            <w:vAlign w:val="center"/>
          </w:tcPr>
          <w:p w14:paraId="67C4B5C3"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206" w:type="dxa"/>
            <w:shd w:val="clear" w:color="000000" w:fill="FFFFFF"/>
            <w:vAlign w:val="center"/>
          </w:tcPr>
          <w:p w14:paraId="007DF600" w14:textId="77777777" w:rsidR="00E730D7" w:rsidRPr="00CD6283" w:rsidRDefault="00E730D7" w:rsidP="00E730D7">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0.000</w:t>
            </w:r>
          </w:p>
        </w:tc>
        <w:tc>
          <w:tcPr>
            <w:tcW w:w="1300" w:type="dxa"/>
            <w:shd w:val="clear" w:color="000000" w:fill="FFFFFF"/>
            <w:vAlign w:val="center"/>
          </w:tcPr>
          <w:p w14:paraId="7B5310A6" w14:textId="77777777" w:rsidR="00E730D7" w:rsidRPr="00CD6283" w:rsidRDefault="00E730D7" w:rsidP="00E730D7">
            <w:pPr>
              <w:autoSpaceDE w:val="0"/>
              <w:autoSpaceDN w:val="0"/>
              <w:adjustRightInd w:val="0"/>
              <w:spacing w:before="0" w:line="240" w:lineRule="auto"/>
              <w:jc w:val="center"/>
              <w:rPr>
                <w:rFonts w:cs="Times New Roman"/>
                <w:color w:val="000000" w:themeColor="text1"/>
                <w:szCs w:val="24"/>
              </w:rPr>
            </w:pPr>
          </w:p>
        </w:tc>
      </w:tr>
    </w:tbl>
    <w:p w14:paraId="2CF3D67B" w14:textId="77777777" w:rsidR="00E730D7" w:rsidRPr="00CD6283" w:rsidRDefault="00E730D7" w:rsidP="00E730D7">
      <w:pPr>
        <w:autoSpaceDE w:val="0"/>
        <w:autoSpaceDN w:val="0"/>
        <w:adjustRightInd w:val="0"/>
        <w:spacing w:before="0" w:line="240" w:lineRule="auto"/>
        <w:rPr>
          <w:rFonts w:cs="Times New Roman"/>
          <w:b/>
          <w:i/>
          <w:iCs/>
          <w:color w:val="000000" w:themeColor="text1"/>
          <w:szCs w:val="24"/>
        </w:rPr>
      </w:pPr>
      <w:r w:rsidRPr="00CD6283">
        <w:rPr>
          <w:rFonts w:cs="Times New Roman"/>
          <w:b/>
          <w:i/>
          <w:iCs/>
          <w:color w:val="000000" w:themeColor="text1"/>
          <w:szCs w:val="24"/>
        </w:rPr>
        <w:t>** Correlation is significant at the 0.01 level (2-tailed), N = 150</w:t>
      </w:r>
    </w:p>
    <w:p w14:paraId="2177FCB6" w14:textId="77777777" w:rsidR="00E730D7" w:rsidRPr="00CD6283" w:rsidRDefault="00E730D7" w:rsidP="00E730D7">
      <w:pPr>
        <w:spacing w:before="0" w:line="240" w:lineRule="auto"/>
        <w:rPr>
          <w:rFonts w:cs="Times New Roman"/>
          <w:b/>
          <w:color w:val="000000" w:themeColor="text1"/>
          <w:szCs w:val="24"/>
        </w:rPr>
      </w:pPr>
      <w:r w:rsidRPr="00CD6283">
        <w:rPr>
          <w:rFonts w:cs="Times New Roman"/>
          <w:b/>
          <w:i/>
          <w:iCs/>
          <w:color w:val="000000" w:themeColor="text1"/>
          <w:szCs w:val="24"/>
        </w:rPr>
        <w:t xml:space="preserve">Key: = </w:t>
      </w:r>
      <w:r w:rsidRPr="00CD6283">
        <w:rPr>
          <w:rFonts w:cs="Times New Roman"/>
          <w:b/>
          <w:color w:val="000000" w:themeColor="text1"/>
          <w:szCs w:val="24"/>
        </w:rPr>
        <w:t>Preventive Controls PC, Detective Controls, DC, Directive Controls DCs, Management Controls MC, Financial Performance, FP</w:t>
      </w:r>
    </w:p>
    <w:p w14:paraId="1326854C" w14:textId="77777777" w:rsidR="00E730D7" w:rsidRDefault="00E730D7" w:rsidP="00E730D7">
      <w:pPr>
        <w:spacing w:before="0" w:line="240" w:lineRule="auto"/>
        <w:rPr>
          <w:rFonts w:cs="Times New Roman"/>
          <w:b/>
          <w:color w:val="000000" w:themeColor="text1"/>
          <w:szCs w:val="24"/>
        </w:rPr>
      </w:pPr>
      <w:r w:rsidRPr="00CD6283">
        <w:rPr>
          <w:rFonts w:cs="Times New Roman"/>
          <w:b/>
          <w:color w:val="000000" w:themeColor="text1"/>
          <w:szCs w:val="24"/>
        </w:rPr>
        <w:t>Source: Field Data (2025)</w:t>
      </w:r>
    </w:p>
    <w:p w14:paraId="66A8A619" w14:textId="77777777" w:rsidR="00E730D7" w:rsidRDefault="00E730D7" w:rsidP="00E730D7">
      <w:pPr>
        <w:spacing w:before="0" w:line="240" w:lineRule="auto"/>
        <w:rPr>
          <w:b/>
          <w:bCs/>
          <w:color w:val="000000" w:themeColor="text1"/>
          <w:sz w:val="28"/>
          <w:szCs w:val="24"/>
        </w:rPr>
      </w:pPr>
    </w:p>
    <w:p w14:paraId="7DD1EA42" w14:textId="60725CFA" w:rsidR="00A616A9" w:rsidRPr="00A616A9" w:rsidRDefault="00A616A9" w:rsidP="00E730D7">
      <w:pPr>
        <w:spacing w:before="0" w:line="240" w:lineRule="auto"/>
        <w:rPr>
          <w:b/>
          <w:bCs/>
          <w:color w:val="000000" w:themeColor="text1"/>
          <w:sz w:val="32"/>
          <w:szCs w:val="28"/>
        </w:rPr>
      </w:pPr>
      <w:r w:rsidRPr="00A616A9">
        <w:rPr>
          <w:rFonts w:cs="Times New Roman"/>
          <w:b/>
          <w:bCs/>
          <w:color w:val="000000" w:themeColor="text1"/>
          <w:sz w:val="28"/>
          <w:szCs w:val="28"/>
        </w:rPr>
        <w:t>4.4 Regression Analysis</w:t>
      </w:r>
    </w:p>
    <w:p w14:paraId="30E38F10" w14:textId="77777777" w:rsidR="00A616A9" w:rsidRDefault="00A616A9" w:rsidP="00E730D7">
      <w:pPr>
        <w:spacing w:before="0" w:line="240" w:lineRule="auto"/>
        <w:rPr>
          <w:b/>
          <w:bCs/>
          <w:color w:val="000000" w:themeColor="text1"/>
          <w:sz w:val="28"/>
          <w:szCs w:val="24"/>
        </w:rPr>
      </w:pPr>
    </w:p>
    <w:p w14:paraId="2FDD077A" w14:textId="78B6E02B" w:rsidR="00A616A9" w:rsidRPr="00A616A9" w:rsidRDefault="00A616A9" w:rsidP="00A616A9">
      <w:pPr>
        <w:spacing w:before="0" w:line="240" w:lineRule="auto"/>
      </w:pPr>
      <w:r w:rsidRPr="00A616A9">
        <w:t>Regression analysis revealed that operational internal controls account for 64.45% of the variation in NGOs’ financial performance efficiency in Nairobi City County (R² = 0.6445). The adjusted R² of 0.6172 confirms the model’s robustness, indicating a strong explanatory power after accounting for the number of predictors.</w:t>
      </w:r>
    </w:p>
    <w:p w14:paraId="472B43A2" w14:textId="77777777" w:rsidR="00A616A9" w:rsidRDefault="00A616A9" w:rsidP="00E730D7">
      <w:pPr>
        <w:spacing w:before="0" w:line="240" w:lineRule="auto"/>
        <w:rPr>
          <w:b/>
          <w:bCs/>
          <w:color w:val="000000" w:themeColor="text1"/>
          <w:sz w:val="28"/>
          <w:szCs w:val="24"/>
        </w:rPr>
      </w:pPr>
    </w:p>
    <w:p w14:paraId="1A2A705A" w14:textId="6ED93622" w:rsidR="00A616A9" w:rsidRPr="00A616A9" w:rsidRDefault="00A616A9" w:rsidP="00A616A9">
      <w:pPr>
        <w:spacing w:before="0" w:line="240" w:lineRule="auto"/>
      </w:pPr>
      <w:bookmarkStart w:id="6" w:name="_Toc456344005"/>
      <w:bookmarkStart w:id="7" w:name="_Toc456697047"/>
      <w:bookmarkStart w:id="8" w:name="_Toc462044681"/>
      <w:bookmarkStart w:id="9" w:name="_Toc99623589"/>
      <w:bookmarkStart w:id="10" w:name="_Toc196310904"/>
      <w:r w:rsidRPr="00A616A9">
        <w:t>Table 4: Model Summary</w:t>
      </w:r>
      <w:bookmarkEnd w:id="6"/>
      <w:bookmarkEnd w:id="7"/>
      <w:bookmarkEnd w:id="8"/>
      <w:bookmarkEnd w:id="9"/>
      <w:bookmarkEnd w:id="10"/>
    </w:p>
    <w:tbl>
      <w:tblPr>
        <w:tblW w:w="5000" w:type="pct"/>
        <w:tblBorders>
          <w:top w:val="single" w:sz="4" w:space="0" w:color="auto"/>
          <w:bottom w:val="single" w:sz="4" w:space="0" w:color="auto"/>
        </w:tblBorders>
        <w:tblCellMar>
          <w:left w:w="93" w:type="dxa"/>
          <w:right w:w="93" w:type="dxa"/>
        </w:tblCellMar>
        <w:tblLook w:val="0000" w:firstRow="0" w:lastRow="0" w:firstColumn="0" w:lastColumn="0" w:noHBand="0" w:noVBand="0"/>
      </w:tblPr>
      <w:tblGrid>
        <w:gridCol w:w="1590"/>
        <w:gridCol w:w="2206"/>
        <w:gridCol w:w="2206"/>
        <w:gridCol w:w="2323"/>
        <w:gridCol w:w="2705"/>
      </w:tblGrid>
      <w:tr w:rsidR="00A616A9" w:rsidRPr="00CD6283" w14:paraId="3D071C46" w14:textId="77777777" w:rsidTr="00421F49">
        <w:trPr>
          <w:trHeight w:val="504"/>
        </w:trPr>
        <w:tc>
          <w:tcPr>
            <w:tcW w:w="721" w:type="pct"/>
            <w:tcBorders>
              <w:top w:val="single" w:sz="4" w:space="0" w:color="auto"/>
              <w:bottom w:val="single" w:sz="4" w:space="0" w:color="auto"/>
            </w:tcBorders>
            <w:shd w:val="clear" w:color="000000" w:fill="FFFFFF"/>
            <w:vAlign w:val="bottom"/>
          </w:tcPr>
          <w:p w14:paraId="6924E08B" w14:textId="77777777" w:rsidR="00A616A9" w:rsidRPr="00CD6283" w:rsidRDefault="00A616A9" w:rsidP="00A616A9">
            <w:pPr>
              <w:autoSpaceDE w:val="0"/>
              <w:autoSpaceDN w:val="0"/>
              <w:adjustRightInd w:val="0"/>
              <w:spacing w:before="0" w:line="240" w:lineRule="auto"/>
              <w:rPr>
                <w:rFonts w:cs="Times New Roman"/>
                <w:b/>
                <w:color w:val="000000" w:themeColor="text1"/>
                <w:szCs w:val="24"/>
              </w:rPr>
            </w:pPr>
            <w:r w:rsidRPr="00CD6283">
              <w:rPr>
                <w:rFonts w:cs="Times New Roman"/>
                <w:b/>
                <w:color w:val="000000" w:themeColor="text1"/>
                <w:szCs w:val="24"/>
              </w:rPr>
              <w:t>Model</w:t>
            </w:r>
          </w:p>
        </w:tc>
        <w:tc>
          <w:tcPr>
            <w:tcW w:w="1000" w:type="pct"/>
            <w:tcBorders>
              <w:top w:val="single" w:sz="4" w:space="0" w:color="auto"/>
              <w:bottom w:val="single" w:sz="4" w:space="0" w:color="auto"/>
            </w:tcBorders>
            <w:shd w:val="clear" w:color="000000" w:fill="FFFFFF"/>
            <w:vAlign w:val="bottom"/>
          </w:tcPr>
          <w:p w14:paraId="46C72902" w14:textId="77777777" w:rsidR="00A616A9" w:rsidRPr="00CD6283" w:rsidRDefault="00A616A9" w:rsidP="00A616A9">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r</w:t>
            </w:r>
          </w:p>
        </w:tc>
        <w:tc>
          <w:tcPr>
            <w:tcW w:w="1000" w:type="pct"/>
            <w:tcBorders>
              <w:top w:val="single" w:sz="4" w:space="0" w:color="auto"/>
              <w:bottom w:val="single" w:sz="4" w:space="0" w:color="auto"/>
            </w:tcBorders>
            <w:shd w:val="clear" w:color="000000" w:fill="FFFFFF"/>
            <w:vAlign w:val="bottom"/>
          </w:tcPr>
          <w:p w14:paraId="617D1CDF" w14:textId="77777777" w:rsidR="00A616A9" w:rsidRPr="00CD6283" w:rsidRDefault="00A616A9" w:rsidP="00A616A9">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r Square</w:t>
            </w:r>
          </w:p>
        </w:tc>
        <w:tc>
          <w:tcPr>
            <w:tcW w:w="1053" w:type="pct"/>
            <w:tcBorders>
              <w:top w:val="single" w:sz="4" w:space="0" w:color="auto"/>
              <w:bottom w:val="single" w:sz="4" w:space="0" w:color="auto"/>
            </w:tcBorders>
            <w:shd w:val="clear" w:color="000000" w:fill="FFFFFF"/>
            <w:vAlign w:val="bottom"/>
          </w:tcPr>
          <w:p w14:paraId="17C98D7A" w14:textId="77777777" w:rsidR="00A616A9" w:rsidRPr="00CD6283" w:rsidRDefault="00A616A9" w:rsidP="00A616A9">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Adjusted r Square</w:t>
            </w:r>
          </w:p>
        </w:tc>
        <w:tc>
          <w:tcPr>
            <w:tcW w:w="1226" w:type="pct"/>
            <w:tcBorders>
              <w:top w:val="single" w:sz="4" w:space="0" w:color="auto"/>
              <w:bottom w:val="single" w:sz="4" w:space="0" w:color="auto"/>
            </w:tcBorders>
            <w:shd w:val="clear" w:color="000000" w:fill="FFFFFF"/>
            <w:vAlign w:val="bottom"/>
          </w:tcPr>
          <w:p w14:paraId="2A453B77" w14:textId="77777777" w:rsidR="00A616A9" w:rsidRPr="00CD6283" w:rsidRDefault="00A616A9" w:rsidP="00A616A9">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Std. Error of the Estimate</w:t>
            </w:r>
          </w:p>
        </w:tc>
      </w:tr>
      <w:tr w:rsidR="00A616A9" w:rsidRPr="00CD6283" w14:paraId="575B944C" w14:textId="77777777" w:rsidTr="00421F49">
        <w:trPr>
          <w:trHeight w:val="273"/>
        </w:trPr>
        <w:tc>
          <w:tcPr>
            <w:tcW w:w="721" w:type="pct"/>
            <w:tcBorders>
              <w:top w:val="single" w:sz="4" w:space="0" w:color="auto"/>
            </w:tcBorders>
            <w:shd w:val="clear" w:color="000000" w:fill="FFFFFF"/>
          </w:tcPr>
          <w:p w14:paraId="54D46D50" w14:textId="77777777" w:rsidR="00A616A9" w:rsidRPr="00CD6283" w:rsidRDefault="00A616A9" w:rsidP="00A616A9">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1</w:t>
            </w:r>
          </w:p>
        </w:tc>
        <w:tc>
          <w:tcPr>
            <w:tcW w:w="1000" w:type="pct"/>
            <w:tcBorders>
              <w:top w:val="single" w:sz="4" w:space="0" w:color="auto"/>
            </w:tcBorders>
            <w:shd w:val="clear" w:color="000000" w:fill="FFFFFF"/>
            <w:vAlign w:val="center"/>
          </w:tcPr>
          <w:p w14:paraId="747285A1" w14:textId="77777777" w:rsidR="00A616A9" w:rsidRPr="00CD6283" w:rsidRDefault="00A616A9" w:rsidP="00A616A9">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.8157</w:t>
            </w:r>
          </w:p>
        </w:tc>
        <w:tc>
          <w:tcPr>
            <w:tcW w:w="1000" w:type="pct"/>
            <w:tcBorders>
              <w:top w:val="single" w:sz="4" w:space="0" w:color="auto"/>
            </w:tcBorders>
            <w:shd w:val="clear" w:color="000000" w:fill="FFFFFF"/>
            <w:vAlign w:val="center"/>
          </w:tcPr>
          <w:p w14:paraId="687D5D15" w14:textId="77777777" w:rsidR="00A616A9" w:rsidRPr="00CD6283" w:rsidRDefault="00A616A9" w:rsidP="00A616A9">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0.6445</w:t>
            </w:r>
          </w:p>
        </w:tc>
        <w:tc>
          <w:tcPr>
            <w:tcW w:w="1053" w:type="pct"/>
            <w:tcBorders>
              <w:top w:val="single" w:sz="4" w:space="0" w:color="auto"/>
            </w:tcBorders>
            <w:shd w:val="clear" w:color="000000" w:fill="FFFFFF"/>
            <w:vAlign w:val="center"/>
          </w:tcPr>
          <w:p w14:paraId="2C68E88A" w14:textId="77777777" w:rsidR="00A616A9" w:rsidRPr="00CD6283" w:rsidRDefault="00A616A9" w:rsidP="00A616A9">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0.6172</w:t>
            </w:r>
          </w:p>
        </w:tc>
        <w:tc>
          <w:tcPr>
            <w:tcW w:w="1226" w:type="pct"/>
            <w:tcBorders>
              <w:top w:val="single" w:sz="4" w:space="0" w:color="auto"/>
            </w:tcBorders>
            <w:shd w:val="clear" w:color="000000" w:fill="FFFFFF"/>
            <w:vAlign w:val="center"/>
          </w:tcPr>
          <w:p w14:paraId="4FADBDEA" w14:textId="77777777" w:rsidR="00A616A9" w:rsidRPr="00CD6283" w:rsidRDefault="00A616A9" w:rsidP="00A616A9">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0.1233</w:t>
            </w:r>
          </w:p>
        </w:tc>
      </w:tr>
    </w:tbl>
    <w:p w14:paraId="6F54FCBA" w14:textId="77777777" w:rsidR="00A616A9" w:rsidRPr="00CD6283" w:rsidRDefault="00A616A9" w:rsidP="00A616A9">
      <w:pPr>
        <w:spacing w:before="0" w:line="240" w:lineRule="auto"/>
        <w:rPr>
          <w:rFonts w:cs="Times New Roman"/>
          <w:i/>
          <w:iCs/>
          <w:color w:val="000000" w:themeColor="text1"/>
          <w:szCs w:val="24"/>
        </w:rPr>
      </w:pPr>
      <w:r w:rsidRPr="00CD6283">
        <w:rPr>
          <w:rFonts w:cs="Times New Roman"/>
          <w:i/>
          <w:iCs/>
          <w:color w:val="000000" w:themeColor="text1"/>
          <w:szCs w:val="24"/>
        </w:rPr>
        <w:t xml:space="preserve">a. Predictors: Preventive controls, detective controls, directive controls, and management controls. </w:t>
      </w:r>
    </w:p>
    <w:p w14:paraId="2A705299" w14:textId="77777777" w:rsidR="00A616A9" w:rsidRDefault="00A616A9" w:rsidP="00A616A9">
      <w:pPr>
        <w:spacing w:before="0" w:line="240" w:lineRule="auto"/>
        <w:rPr>
          <w:rFonts w:cs="Times New Roman"/>
          <w:b/>
          <w:color w:val="000000" w:themeColor="text1"/>
          <w:szCs w:val="24"/>
        </w:rPr>
      </w:pPr>
      <w:r w:rsidRPr="00CD6283">
        <w:rPr>
          <w:rFonts w:cs="Times New Roman"/>
          <w:b/>
          <w:color w:val="000000" w:themeColor="text1"/>
          <w:szCs w:val="24"/>
        </w:rPr>
        <w:t>Source: Field Data (2025)</w:t>
      </w:r>
    </w:p>
    <w:p w14:paraId="492E8ED5" w14:textId="77777777" w:rsidR="00A616A9" w:rsidRDefault="00A616A9" w:rsidP="00E730D7">
      <w:pPr>
        <w:spacing w:before="0" w:line="240" w:lineRule="auto"/>
        <w:rPr>
          <w:b/>
          <w:bCs/>
          <w:color w:val="000000" w:themeColor="text1"/>
          <w:sz w:val="28"/>
          <w:szCs w:val="24"/>
        </w:rPr>
      </w:pPr>
    </w:p>
    <w:p w14:paraId="3E6F832F" w14:textId="77777777" w:rsidR="00A616A9" w:rsidRDefault="00A616A9" w:rsidP="00E730D7">
      <w:pPr>
        <w:spacing w:before="0" w:line="240" w:lineRule="auto"/>
        <w:rPr>
          <w:b/>
          <w:bCs/>
          <w:color w:val="000000" w:themeColor="text1"/>
          <w:sz w:val="28"/>
          <w:szCs w:val="24"/>
        </w:rPr>
      </w:pPr>
    </w:p>
    <w:p w14:paraId="7C7AE6AF" w14:textId="77777777" w:rsidR="00A616A9" w:rsidRDefault="00A616A9" w:rsidP="00E730D7">
      <w:pPr>
        <w:spacing w:before="0" w:line="240" w:lineRule="auto"/>
        <w:rPr>
          <w:b/>
          <w:bCs/>
          <w:color w:val="000000" w:themeColor="text1"/>
          <w:sz w:val="28"/>
          <w:szCs w:val="24"/>
        </w:rPr>
      </w:pPr>
    </w:p>
    <w:p w14:paraId="09D899D9" w14:textId="20EEE9F6" w:rsidR="00A616A9" w:rsidRDefault="00A616A9" w:rsidP="00A616A9">
      <w:pPr>
        <w:pStyle w:val="Caption"/>
        <w:rPr>
          <w:bCs w:val="0"/>
          <w:color w:val="000000" w:themeColor="text1"/>
          <w:sz w:val="28"/>
          <w:szCs w:val="28"/>
        </w:rPr>
      </w:pPr>
      <w:r w:rsidRPr="00A616A9">
        <w:rPr>
          <w:color w:val="000000" w:themeColor="text1"/>
          <w:sz w:val="28"/>
          <w:szCs w:val="28"/>
        </w:rPr>
        <w:lastRenderedPageBreak/>
        <w:t>4.5 Analysis of Variance (</w:t>
      </w:r>
      <w:r w:rsidRPr="00A616A9">
        <w:rPr>
          <w:bCs w:val="0"/>
          <w:color w:val="000000" w:themeColor="text1"/>
          <w:sz w:val="28"/>
          <w:szCs w:val="28"/>
        </w:rPr>
        <w:t>ANOVA)</w:t>
      </w:r>
    </w:p>
    <w:p w14:paraId="5CB1A694" w14:textId="459ADAEE" w:rsidR="009B7DE4" w:rsidRPr="009B7DE4" w:rsidRDefault="009B7DE4" w:rsidP="009B7DE4">
      <w:pPr>
        <w:spacing w:before="0" w:line="240" w:lineRule="auto"/>
      </w:pPr>
      <w:r w:rsidRPr="009B7DE4">
        <w:t>The ANOVA results (F = 12.328, df = 4,145, p &lt; 0.001) confirm a statistically significant joint effect of operational internal controls on financial performance efficiency.</w:t>
      </w:r>
    </w:p>
    <w:p w14:paraId="33C3A3AD" w14:textId="74A0ECB2" w:rsidR="009B7DE4" w:rsidRPr="009B7DE4" w:rsidRDefault="009B7DE4" w:rsidP="009B7DE4">
      <w:pPr>
        <w:spacing w:line="240" w:lineRule="auto"/>
        <w:rPr>
          <w:b/>
          <w:bCs/>
          <w:i/>
          <w:iCs/>
        </w:rPr>
      </w:pPr>
      <w:bookmarkStart w:id="11" w:name="_Toc456344006"/>
      <w:bookmarkStart w:id="12" w:name="_Toc456697048"/>
      <w:bookmarkStart w:id="13" w:name="_Toc462044682"/>
      <w:bookmarkStart w:id="14" w:name="_Toc99623590"/>
      <w:bookmarkStart w:id="15" w:name="_Toc196310905"/>
      <w:r w:rsidRPr="009B7DE4">
        <w:rPr>
          <w:b/>
          <w:bCs/>
          <w:i/>
          <w:iCs/>
        </w:rPr>
        <w:t xml:space="preserve">Table 5: </w:t>
      </w:r>
      <w:bookmarkStart w:id="16" w:name="_Hlk206072435"/>
      <w:r w:rsidRPr="009B7DE4">
        <w:rPr>
          <w:b/>
          <w:bCs/>
          <w:i/>
          <w:iCs/>
        </w:rPr>
        <w:t>Analysis of Variance (ANOVA</w:t>
      </w:r>
      <w:bookmarkEnd w:id="11"/>
      <w:r w:rsidRPr="009B7DE4">
        <w:rPr>
          <w:b/>
          <w:bCs/>
          <w:i/>
          <w:iCs/>
        </w:rPr>
        <w:t>)</w:t>
      </w:r>
      <w:bookmarkEnd w:id="12"/>
      <w:bookmarkEnd w:id="13"/>
      <w:bookmarkEnd w:id="14"/>
      <w:bookmarkEnd w:id="15"/>
    </w:p>
    <w:tbl>
      <w:tblPr>
        <w:tblW w:w="5000" w:type="pct"/>
        <w:tblBorders>
          <w:top w:val="single" w:sz="4" w:space="0" w:color="auto"/>
          <w:bottom w:val="single" w:sz="4" w:space="0" w:color="auto"/>
        </w:tblBorders>
        <w:tblCellMar>
          <w:left w:w="93" w:type="dxa"/>
          <w:right w:w="93" w:type="dxa"/>
        </w:tblCellMar>
        <w:tblLook w:val="0000" w:firstRow="0" w:lastRow="0" w:firstColumn="0" w:lastColumn="0" w:noHBand="0" w:noVBand="0"/>
      </w:tblPr>
      <w:tblGrid>
        <w:gridCol w:w="1437"/>
        <w:gridCol w:w="1664"/>
        <w:gridCol w:w="1521"/>
        <w:gridCol w:w="1500"/>
        <w:gridCol w:w="1910"/>
        <w:gridCol w:w="1500"/>
        <w:gridCol w:w="1498"/>
      </w:tblGrid>
      <w:tr w:rsidR="009B7DE4" w:rsidRPr="00CD6283" w14:paraId="1A443DF3" w14:textId="77777777" w:rsidTr="00421F49">
        <w:trPr>
          <w:trHeight w:val="504"/>
        </w:trPr>
        <w:tc>
          <w:tcPr>
            <w:tcW w:w="651" w:type="pct"/>
            <w:tcBorders>
              <w:top w:val="single" w:sz="4" w:space="0" w:color="auto"/>
              <w:bottom w:val="single" w:sz="4" w:space="0" w:color="auto"/>
            </w:tcBorders>
            <w:shd w:val="clear" w:color="000000" w:fill="FFFFFF"/>
            <w:vAlign w:val="bottom"/>
          </w:tcPr>
          <w:bookmarkEnd w:id="16"/>
          <w:p w14:paraId="736AF49E" w14:textId="77777777" w:rsidR="009B7DE4" w:rsidRPr="00CD6283" w:rsidRDefault="009B7DE4" w:rsidP="009B7DE4">
            <w:pPr>
              <w:autoSpaceDE w:val="0"/>
              <w:autoSpaceDN w:val="0"/>
              <w:adjustRightInd w:val="0"/>
              <w:spacing w:before="0" w:line="240" w:lineRule="auto"/>
              <w:rPr>
                <w:rFonts w:cs="Times New Roman"/>
                <w:b/>
                <w:color w:val="000000" w:themeColor="text1"/>
                <w:szCs w:val="24"/>
              </w:rPr>
            </w:pPr>
            <w:r w:rsidRPr="00CD6283">
              <w:rPr>
                <w:rFonts w:cs="Times New Roman"/>
                <w:b/>
                <w:color w:val="000000" w:themeColor="text1"/>
                <w:szCs w:val="24"/>
              </w:rPr>
              <w:t>Model</w:t>
            </w:r>
          </w:p>
        </w:tc>
        <w:tc>
          <w:tcPr>
            <w:tcW w:w="754" w:type="pct"/>
            <w:tcBorders>
              <w:top w:val="single" w:sz="4" w:space="0" w:color="auto"/>
              <w:bottom w:val="single" w:sz="4" w:space="0" w:color="auto"/>
            </w:tcBorders>
            <w:shd w:val="clear" w:color="000000" w:fill="FFFFFF"/>
            <w:vAlign w:val="bottom"/>
          </w:tcPr>
          <w:p w14:paraId="69374A41" w14:textId="77777777" w:rsidR="009B7DE4" w:rsidRPr="00CD6283" w:rsidRDefault="009B7DE4" w:rsidP="009B7DE4">
            <w:pPr>
              <w:autoSpaceDE w:val="0"/>
              <w:autoSpaceDN w:val="0"/>
              <w:adjustRightInd w:val="0"/>
              <w:spacing w:before="0" w:line="240" w:lineRule="auto"/>
              <w:rPr>
                <w:rFonts w:cs="Times New Roman"/>
                <w:b/>
                <w:color w:val="000000" w:themeColor="text1"/>
                <w:szCs w:val="24"/>
              </w:rPr>
            </w:pPr>
          </w:p>
        </w:tc>
        <w:tc>
          <w:tcPr>
            <w:tcW w:w="689" w:type="pct"/>
            <w:tcBorders>
              <w:top w:val="single" w:sz="4" w:space="0" w:color="auto"/>
              <w:bottom w:val="single" w:sz="4" w:space="0" w:color="auto"/>
            </w:tcBorders>
            <w:shd w:val="clear" w:color="000000" w:fill="FFFFFF"/>
            <w:vAlign w:val="bottom"/>
          </w:tcPr>
          <w:p w14:paraId="09289F5F"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Sum of Squares</w:t>
            </w:r>
          </w:p>
        </w:tc>
        <w:tc>
          <w:tcPr>
            <w:tcW w:w="680" w:type="pct"/>
            <w:tcBorders>
              <w:top w:val="single" w:sz="4" w:space="0" w:color="auto"/>
              <w:bottom w:val="single" w:sz="4" w:space="0" w:color="auto"/>
            </w:tcBorders>
            <w:shd w:val="clear" w:color="000000" w:fill="FFFFFF"/>
            <w:vAlign w:val="bottom"/>
          </w:tcPr>
          <w:p w14:paraId="7676A75F"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df</w:t>
            </w:r>
          </w:p>
        </w:tc>
        <w:tc>
          <w:tcPr>
            <w:tcW w:w="866" w:type="pct"/>
            <w:tcBorders>
              <w:top w:val="single" w:sz="4" w:space="0" w:color="auto"/>
              <w:bottom w:val="single" w:sz="4" w:space="0" w:color="auto"/>
            </w:tcBorders>
            <w:shd w:val="clear" w:color="000000" w:fill="FFFFFF"/>
            <w:vAlign w:val="bottom"/>
          </w:tcPr>
          <w:p w14:paraId="40FFD9A1"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Mean Square</w:t>
            </w:r>
          </w:p>
        </w:tc>
        <w:tc>
          <w:tcPr>
            <w:tcW w:w="680" w:type="pct"/>
            <w:tcBorders>
              <w:top w:val="single" w:sz="4" w:space="0" w:color="auto"/>
              <w:bottom w:val="single" w:sz="4" w:space="0" w:color="auto"/>
            </w:tcBorders>
            <w:shd w:val="clear" w:color="000000" w:fill="FFFFFF"/>
            <w:vAlign w:val="bottom"/>
          </w:tcPr>
          <w:p w14:paraId="324CC18B"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F</w:t>
            </w:r>
          </w:p>
        </w:tc>
        <w:tc>
          <w:tcPr>
            <w:tcW w:w="679" w:type="pct"/>
            <w:tcBorders>
              <w:top w:val="single" w:sz="4" w:space="0" w:color="auto"/>
              <w:bottom w:val="single" w:sz="4" w:space="0" w:color="auto"/>
            </w:tcBorders>
            <w:shd w:val="clear" w:color="000000" w:fill="FFFFFF"/>
            <w:vAlign w:val="bottom"/>
          </w:tcPr>
          <w:p w14:paraId="45A9B2FC" w14:textId="77777777" w:rsidR="009B7DE4" w:rsidRPr="00CD6283" w:rsidRDefault="009B7DE4" w:rsidP="009B7DE4">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Sig.</w:t>
            </w:r>
          </w:p>
        </w:tc>
      </w:tr>
      <w:tr w:rsidR="009B7DE4" w:rsidRPr="00CD6283" w14:paraId="5FE91728" w14:textId="77777777" w:rsidTr="00421F49">
        <w:trPr>
          <w:trHeight w:val="273"/>
        </w:trPr>
        <w:tc>
          <w:tcPr>
            <w:tcW w:w="651" w:type="pct"/>
            <w:vMerge w:val="restart"/>
            <w:tcBorders>
              <w:top w:val="single" w:sz="4" w:space="0" w:color="auto"/>
            </w:tcBorders>
            <w:shd w:val="clear" w:color="000000" w:fill="FFFFFF"/>
          </w:tcPr>
          <w:p w14:paraId="470942EE"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1</w:t>
            </w:r>
          </w:p>
        </w:tc>
        <w:tc>
          <w:tcPr>
            <w:tcW w:w="754" w:type="pct"/>
            <w:tcBorders>
              <w:top w:val="single" w:sz="4" w:space="0" w:color="auto"/>
            </w:tcBorders>
            <w:shd w:val="clear" w:color="000000" w:fill="FFFFFF"/>
          </w:tcPr>
          <w:p w14:paraId="49599261"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Regression</w:t>
            </w:r>
          </w:p>
        </w:tc>
        <w:tc>
          <w:tcPr>
            <w:tcW w:w="689" w:type="pct"/>
            <w:tcBorders>
              <w:top w:val="single" w:sz="4" w:space="0" w:color="auto"/>
            </w:tcBorders>
            <w:shd w:val="clear" w:color="000000" w:fill="FFFFFF"/>
          </w:tcPr>
          <w:p w14:paraId="0C517EFD"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10.733</w:t>
            </w:r>
          </w:p>
        </w:tc>
        <w:tc>
          <w:tcPr>
            <w:tcW w:w="680" w:type="pct"/>
            <w:tcBorders>
              <w:top w:val="single" w:sz="4" w:space="0" w:color="auto"/>
            </w:tcBorders>
            <w:shd w:val="clear" w:color="000000" w:fill="FFFFFF"/>
          </w:tcPr>
          <w:p w14:paraId="2D816B08"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4</w:t>
            </w:r>
          </w:p>
        </w:tc>
        <w:tc>
          <w:tcPr>
            <w:tcW w:w="866" w:type="pct"/>
            <w:tcBorders>
              <w:top w:val="single" w:sz="4" w:space="0" w:color="auto"/>
            </w:tcBorders>
            <w:shd w:val="clear" w:color="000000" w:fill="FFFFFF"/>
          </w:tcPr>
          <w:p w14:paraId="58F3D172"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11.733</w:t>
            </w:r>
          </w:p>
        </w:tc>
        <w:tc>
          <w:tcPr>
            <w:tcW w:w="680" w:type="pct"/>
            <w:tcBorders>
              <w:top w:val="single" w:sz="4" w:space="0" w:color="auto"/>
            </w:tcBorders>
            <w:shd w:val="clear" w:color="000000" w:fill="FFFFFF"/>
            <w:vAlign w:val="center"/>
          </w:tcPr>
          <w:p w14:paraId="1CB6DD74"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12.328</w:t>
            </w:r>
          </w:p>
        </w:tc>
        <w:tc>
          <w:tcPr>
            <w:tcW w:w="679" w:type="pct"/>
            <w:tcBorders>
              <w:top w:val="single" w:sz="4" w:space="0" w:color="auto"/>
            </w:tcBorders>
            <w:shd w:val="clear" w:color="000000" w:fill="FFFFFF"/>
            <w:vAlign w:val="center"/>
          </w:tcPr>
          <w:p w14:paraId="2E5A7938"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vertAlign w:val="superscript"/>
              </w:rPr>
            </w:pPr>
            <w:r w:rsidRPr="00CD6283">
              <w:rPr>
                <w:rFonts w:cs="Times New Roman"/>
                <w:color w:val="000000" w:themeColor="text1"/>
                <w:szCs w:val="24"/>
              </w:rPr>
              <w:t>.000</w:t>
            </w:r>
            <w:r w:rsidRPr="00CD6283">
              <w:rPr>
                <w:rFonts w:cs="Times New Roman"/>
                <w:color w:val="000000" w:themeColor="text1"/>
                <w:szCs w:val="24"/>
                <w:vertAlign w:val="superscript"/>
              </w:rPr>
              <w:t>b</w:t>
            </w:r>
          </w:p>
        </w:tc>
      </w:tr>
      <w:tr w:rsidR="009B7DE4" w:rsidRPr="00CD6283" w14:paraId="59159EB0" w14:textId="77777777" w:rsidTr="00421F49">
        <w:trPr>
          <w:trHeight w:val="273"/>
        </w:trPr>
        <w:tc>
          <w:tcPr>
            <w:tcW w:w="651" w:type="pct"/>
            <w:vMerge/>
            <w:shd w:val="clear" w:color="000000" w:fill="FFFFFF"/>
          </w:tcPr>
          <w:p w14:paraId="0C2A541E"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p>
        </w:tc>
        <w:tc>
          <w:tcPr>
            <w:tcW w:w="754" w:type="pct"/>
            <w:shd w:val="clear" w:color="000000" w:fill="FFFFFF"/>
          </w:tcPr>
          <w:p w14:paraId="4EE9BCAB"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Residual</w:t>
            </w:r>
          </w:p>
        </w:tc>
        <w:tc>
          <w:tcPr>
            <w:tcW w:w="689" w:type="pct"/>
            <w:shd w:val="clear" w:color="000000" w:fill="FFFFFF"/>
          </w:tcPr>
          <w:p w14:paraId="77F7C7AE"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65.588</w:t>
            </w:r>
          </w:p>
        </w:tc>
        <w:tc>
          <w:tcPr>
            <w:tcW w:w="680" w:type="pct"/>
            <w:shd w:val="clear" w:color="000000" w:fill="FFFFFF"/>
          </w:tcPr>
          <w:p w14:paraId="77B45D10"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145</w:t>
            </w:r>
          </w:p>
        </w:tc>
        <w:tc>
          <w:tcPr>
            <w:tcW w:w="866" w:type="pct"/>
            <w:shd w:val="clear" w:color="000000" w:fill="FFFFFF"/>
          </w:tcPr>
          <w:p w14:paraId="5D631C95"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.830</w:t>
            </w:r>
          </w:p>
        </w:tc>
        <w:tc>
          <w:tcPr>
            <w:tcW w:w="680" w:type="pct"/>
            <w:shd w:val="clear" w:color="000000" w:fill="FFFFFF"/>
            <w:vAlign w:val="center"/>
          </w:tcPr>
          <w:p w14:paraId="3E4C5E04"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c>
          <w:tcPr>
            <w:tcW w:w="679" w:type="pct"/>
            <w:shd w:val="clear" w:color="000000" w:fill="FFFFFF"/>
            <w:vAlign w:val="center"/>
          </w:tcPr>
          <w:p w14:paraId="12BF89C9"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r>
      <w:tr w:rsidR="009B7DE4" w:rsidRPr="00CD6283" w14:paraId="103ECAE6" w14:textId="77777777" w:rsidTr="00421F49">
        <w:trPr>
          <w:trHeight w:val="273"/>
        </w:trPr>
        <w:tc>
          <w:tcPr>
            <w:tcW w:w="651" w:type="pct"/>
            <w:vMerge/>
            <w:shd w:val="clear" w:color="000000" w:fill="FFFFFF"/>
          </w:tcPr>
          <w:p w14:paraId="2D75A865"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p>
        </w:tc>
        <w:tc>
          <w:tcPr>
            <w:tcW w:w="754" w:type="pct"/>
            <w:shd w:val="clear" w:color="000000" w:fill="FFFFFF"/>
          </w:tcPr>
          <w:p w14:paraId="15C9F818"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Total</w:t>
            </w:r>
          </w:p>
        </w:tc>
        <w:tc>
          <w:tcPr>
            <w:tcW w:w="689" w:type="pct"/>
            <w:shd w:val="clear" w:color="000000" w:fill="FFFFFF"/>
          </w:tcPr>
          <w:p w14:paraId="003F7C8D"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76.321</w:t>
            </w:r>
          </w:p>
        </w:tc>
        <w:tc>
          <w:tcPr>
            <w:tcW w:w="680" w:type="pct"/>
            <w:shd w:val="clear" w:color="000000" w:fill="FFFFFF"/>
          </w:tcPr>
          <w:p w14:paraId="1E99D9CF"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r w:rsidRPr="00CD6283">
              <w:rPr>
                <w:rFonts w:cs="Times New Roman"/>
                <w:color w:val="000000" w:themeColor="text1"/>
                <w:szCs w:val="24"/>
              </w:rPr>
              <w:t>149</w:t>
            </w:r>
          </w:p>
        </w:tc>
        <w:tc>
          <w:tcPr>
            <w:tcW w:w="866" w:type="pct"/>
            <w:shd w:val="clear" w:color="000000" w:fill="FFFFFF"/>
            <w:vAlign w:val="center"/>
          </w:tcPr>
          <w:p w14:paraId="0F45909A"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c>
          <w:tcPr>
            <w:tcW w:w="680" w:type="pct"/>
            <w:shd w:val="clear" w:color="000000" w:fill="FFFFFF"/>
            <w:vAlign w:val="center"/>
          </w:tcPr>
          <w:p w14:paraId="7AC920DC"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c>
          <w:tcPr>
            <w:tcW w:w="679" w:type="pct"/>
            <w:shd w:val="clear" w:color="000000" w:fill="FFFFFF"/>
            <w:vAlign w:val="center"/>
          </w:tcPr>
          <w:p w14:paraId="10FE8B9D" w14:textId="77777777" w:rsidR="009B7DE4" w:rsidRPr="00CD6283" w:rsidRDefault="009B7DE4" w:rsidP="009B7DE4">
            <w:pPr>
              <w:autoSpaceDE w:val="0"/>
              <w:autoSpaceDN w:val="0"/>
              <w:adjustRightInd w:val="0"/>
              <w:spacing w:before="0" w:line="240" w:lineRule="auto"/>
              <w:jc w:val="right"/>
              <w:rPr>
                <w:rFonts w:cs="Times New Roman"/>
                <w:color w:val="000000" w:themeColor="text1"/>
                <w:szCs w:val="24"/>
              </w:rPr>
            </w:pPr>
          </w:p>
        </w:tc>
      </w:tr>
    </w:tbl>
    <w:p w14:paraId="53FA8A42" w14:textId="77777777" w:rsidR="009B7DE4" w:rsidRPr="00CD6283" w:rsidRDefault="009B7DE4" w:rsidP="009B7DE4">
      <w:pPr>
        <w:autoSpaceDE w:val="0"/>
        <w:autoSpaceDN w:val="0"/>
        <w:adjustRightInd w:val="0"/>
        <w:spacing w:before="0" w:line="240" w:lineRule="auto"/>
        <w:rPr>
          <w:rFonts w:cs="Times New Roman"/>
          <w:color w:val="000000" w:themeColor="text1"/>
          <w:szCs w:val="24"/>
        </w:rPr>
      </w:pPr>
      <w:r w:rsidRPr="00CD6283">
        <w:rPr>
          <w:rFonts w:cs="Times New Roman"/>
          <w:b/>
          <w:color w:val="000000" w:themeColor="text1"/>
          <w:szCs w:val="24"/>
        </w:rPr>
        <w:t>Source: Field Data (2025)</w:t>
      </w:r>
    </w:p>
    <w:p w14:paraId="7113787E" w14:textId="38729CFE" w:rsidR="00A616A9" w:rsidRPr="0076188C" w:rsidRDefault="0076188C" w:rsidP="00A616A9">
      <w:pPr>
        <w:rPr>
          <w:b/>
          <w:bCs/>
          <w:sz w:val="28"/>
          <w:szCs w:val="24"/>
        </w:rPr>
      </w:pPr>
      <w:r w:rsidRPr="0076188C">
        <w:rPr>
          <w:rFonts w:cs="Times New Roman"/>
          <w:b/>
          <w:bCs/>
          <w:color w:val="000000" w:themeColor="text1"/>
          <w:sz w:val="28"/>
          <w:szCs w:val="28"/>
        </w:rPr>
        <w:t>4.6 Regression Analysis Results</w:t>
      </w:r>
    </w:p>
    <w:p w14:paraId="0EB4AC96" w14:textId="77777777" w:rsidR="0076188C" w:rsidRPr="0076188C" w:rsidRDefault="0076188C" w:rsidP="0076188C">
      <w:pPr>
        <w:spacing w:before="0" w:line="240" w:lineRule="auto"/>
        <w:rPr>
          <w:color w:val="000000" w:themeColor="text1"/>
        </w:rPr>
      </w:pPr>
      <w:r w:rsidRPr="0076188C">
        <w:rPr>
          <w:color w:val="000000" w:themeColor="text1"/>
        </w:rPr>
        <w:t>Preventive controls (B = 0.521, p &lt; 0.001) exerted the strongest positive influence on financial performance efficiency. Measures such as segregation of duties, authorization protocols, and secure access systems proactively safeguard NGO resources, reducing the likelihood of errors or fraud and enabling more efficient use of donor funds. As the first line of financial defence, these controls institutionalize discipline and minimize irregularities.</w:t>
      </w:r>
    </w:p>
    <w:p w14:paraId="444DB3DC" w14:textId="77777777" w:rsidR="0076188C" w:rsidRPr="0076188C" w:rsidRDefault="0076188C" w:rsidP="0076188C">
      <w:pPr>
        <w:spacing w:before="0" w:line="240" w:lineRule="auto"/>
        <w:rPr>
          <w:color w:val="000000" w:themeColor="text1"/>
        </w:rPr>
      </w:pPr>
    </w:p>
    <w:p w14:paraId="73F9CFB1" w14:textId="6427778D" w:rsidR="0076188C" w:rsidRPr="0076188C" w:rsidRDefault="0076188C" w:rsidP="0076188C">
      <w:pPr>
        <w:spacing w:before="0" w:line="240" w:lineRule="auto"/>
        <w:rPr>
          <w:color w:val="000000" w:themeColor="text1"/>
        </w:rPr>
      </w:pPr>
      <w:r w:rsidRPr="0076188C">
        <w:rPr>
          <w:color w:val="000000" w:themeColor="text1"/>
        </w:rPr>
        <w:t>Detective controls (B = 0.423, p = 0.003) also significantly enhance efficiency by identifying errors, fraud, or irregularities after occurrence through mechanisms like internal audits, reconciliations, and monitoring systems. Timely detection facilitates corrective action, strengthens accountability, and preserves donor trust</w:t>
      </w:r>
      <w:r w:rsidR="003E0FAD">
        <w:rPr>
          <w:color w:val="000000" w:themeColor="text1"/>
        </w:rPr>
        <w:t xml:space="preserve"> </w:t>
      </w:r>
      <w:r w:rsidRPr="0076188C">
        <w:rPr>
          <w:color w:val="000000" w:themeColor="text1"/>
        </w:rPr>
        <w:t>thereby sustaining funding and justifying regular audits and robust record-keeping.</w:t>
      </w:r>
    </w:p>
    <w:p w14:paraId="51A1B229" w14:textId="77777777" w:rsidR="0076188C" w:rsidRPr="0076188C" w:rsidRDefault="0076188C" w:rsidP="0076188C">
      <w:pPr>
        <w:spacing w:before="0" w:line="240" w:lineRule="auto"/>
        <w:rPr>
          <w:color w:val="000000" w:themeColor="text1"/>
        </w:rPr>
      </w:pPr>
    </w:p>
    <w:p w14:paraId="5C5B188E" w14:textId="38EED43C" w:rsidR="00A616A9" w:rsidRPr="0076188C" w:rsidRDefault="0076188C" w:rsidP="0076188C">
      <w:pPr>
        <w:spacing w:before="0" w:line="240" w:lineRule="auto"/>
        <w:rPr>
          <w:color w:val="000000" w:themeColor="text1"/>
        </w:rPr>
      </w:pPr>
      <w:r w:rsidRPr="0076188C">
        <w:rPr>
          <w:color w:val="000000" w:themeColor="text1"/>
        </w:rPr>
        <w:t>Directive controls (B = 0.439, p &lt; 0.001) positively influence performance by shaping staff behavior through policies, training, and clear procedures. By aligning decision-making with organizational goals, these controls foster a culture of compliance and reduce ambiguity in financial practices.</w:t>
      </w:r>
      <w:r>
        <w:rPr>
          <w:color w:val="000000" w:themeColor="text1"/>
        </w:rPr>
        <w:t xml:space="preserve"> </w:t>
      </w:r>
      <w:r w:rsidRPr="0076188C">
        <w:rPr>
          <w:color w:val="000000" w:themeColor="text1"/>
        </w:rPr>
        <w:t>Finally, management controls (B = 0.374, p &lt; 0.001), though the least influential, remain critical. Through oversight, budgeting, strategic planning, and performance appraisals, they promote informed decision-making, responsible resource allocation, and long-term adaptability within NGO financial systems.</w:t>
      </w:r>
    </w:p>
    <w:p w14:paraId="34C38F78" w14:textId="77777777" w:rsidR="00A616A9" w:rsidRDefault="00A616A9" w:rsidP="00E730D7">
      <w:pPr>
        <w:spacing w:before="0" w:line="240" w:lineRule="auto"/>
        <w:rPr>
          <w:b/>
          <w:bCs/>
          <w:color w:val="000000" w:themeColor="text1"/>
          <w:sz w:val="28"/>
          <w:szCs w:val="24"/>
        </w:rPr>
      </w:pPr>
    </w:p>
    <w:p w14:paraId="7633EB6C" w14:textId="5FD17FC0" w:rsidR="0076188C" w:rsidRPr="0076188C" w:rsidRDefault="0076188C" w:rsidP="0076188C">
      <w:pPr>
        <w:rPr>
          <w:b/>
          <w:bCs/>
          <w:i/>
          <w:iCs/>
        </w:rPr>
      </w:pPr>
      <w:bookmarkStart w:id="17" w:name="_Toc99623592"/>
      <w:bookmarkStart w:id="18" w:name="_Toc196310906"/>
      <w:r w:rsidRPr="0076188C">
        <w:rPr>
          <w:b/>
          <w:bCs/>
          <w:i/>
          <w:iCs/>
        </w:rPr>
        <w:t xml:space="preserve">Table 6: </w:t>
      </w:r>
      <w:bookmarkStart w:id="19" w:name="_Hlk206072555"/>
      <w:r w:rsidRPr="0076188C">
        <w:rPr>
          <w:b/>
          <w:bCs/>
          <w:i/>
          <w:iCs/>
        </w:rPr>
        <w:t>Regression Analysis Results</w:t>
      </w:r>
      <w:bookmarkEnd w:id="17"/>
      <w:bookmarkEnd w:id="18"/>
      <w:bookmarkEnd w:id="19"/>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92"/>
        <w:gridCol w:w="1937"/>
        <w:gridCol w:w="366"/>
        <w:gridCol w:w="719"/>
        <w:gridCol w:w="1266"/>
        <w:gridCol w:w="1088"/>
        <w:gridCol w:w="1085"/>
        <w:gridCol w:w="1077"/>
      </w:tblGrid>
      <w:tr w:rsidR="0076188C" w:rsidRPr="00CD6283" w14:paraId="425B6CC5" w14:textId="77777777" w:rsidTr="00421F49">
        <w:trPr>
          <w:trHeight w:val="341"/>
        </w:trPr>
        <w:tc>
          <w:tcPr>
            <w:tcW w:w="1583" w:type="pct"/>
            <w:tcBorders>
              <w:top w:val="single" w:sz="4" w:space="0" w:color="auto"/>
              <w:bottom w:val="single" w:sz="4" w:space="0" w:color="auto"/>
            </w:tcBorders>
          </w:tcPr>
          <w:p w14:paraId="40DB92A2" w14:textId="77777777" w:rsidR="0076188C" w:rsidRPr="00CD6283" w:rsidRDefault="0076188C" w:rsidP="0076188C">
            <w:pPr>
              <w:autoSpaceDE w:val="0"/>
              <w:autoSpaceDN w:val="0"/>
              <w:adjustRightInd w:val="0"/>
              <w:spacing w:before="0" w:line="240" w:lineRule="auto"/>
              <w:rPr>
                <w:rFonts w:cs="Times New Roman"/>
                <w:color w:val="000000" w:themeColor="text1"/>
                <w:szCs w:val="24"/>
              </w:rPr>
            </w:pPr>
          </w:p>
        </w:tc>
        <w:tc>
          <w:tcPr>
            <w:tcW w:w="1370" w:type="pct"/>
            <w:gridSpan w:val="3"/>
            <w:tcBorders>
              <w:top w:val="single" w:sz="4" w:space="0" w:color="auto"/>
              <w:bottom w:val="single" w:sz="4" w:space="0" w:color="auto"/>
            </w:tcBorders>
          </w:tcPr>
          <w:p w14:paraId="42952931" w14:textId="77777777" w:rsidR="0076188C" w:rsidRPr="00CD6283" w:rsidRDefault="0076188C" w:rsidP="0076188C">
            <w:pPr>
              <w:autoSpaceDE w:val="0"/>
              <w:autoSpaceDN w:val="0"/>
              <w:adjustRightInd w:val="0"/>
              <w:spacing w:before="0" w:line="240" w:lineRule="auto"/>
              <w:rPr>
                <w:rFonts w:cs="Times New Roman"/>
                <w:b/>
                <w:color w:val="000000" w:themeColor="text1"/>
                <w:szCs w:val="24"/>
              </w:rPr>
            </w:pPr>
            <w:r w:rsidRPr="00CD6283">
              <w:rPr>
                <w:rFonts w:cs="Times New Roman"/>
                <w:b/>
                <w:color w:val="000000" w:themeColor="text1"/>
                <w:szCs w:val="24"/>
              </w:rPr>
              <w:t>Unstandardized Coefficients</w:t>
            </w:r>
          </w:p>
        </w:tc>
        <w:tc>
          <w:tcPr>
            <w:tcW w:w="1067" w:type="pct"/>
            <w:gridSpan w:val="2"/>
            <w:tcBorders>
              <w:top w:val="single" w:sz="4" w:space="0" w:color="auto"/>
              <w:bottom w:val="single" w:sz="4" w:space="0" w:color="auto"/>
            </w:tcBorders>
          </w:tcPr>
          <w:p w14:paraId="6F5A1C8E"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Standardized Coefficients</w:t>
            </w:r>
          </w:p>
        </w:tc>
        <w:tc>
          <w:tcPr>
            <w:tcW w:w="492" w:type="pct"/>
            <w:tcBorders>
              <w:top w:val="single" w:sz="4" w:space="0" w:color="auto"/>
              <w:bottom w:val="single" w:sz="4" w:space="0" w:color="auto"/>
            </w:tcBorders>
          </w:tcPr>
          <w:p w14:paraId="6F067908"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p>
        </w:tc>
        <w:tc>
          <w:tcPr>
            <w:tcW w:w="488" w:type="pct"/>
            <w:tcBorders>
              <w:top w:val="single" w:sz="4" w:space="0" w:color="auto"/>
              <w:bottom w:val="single" w:sz="4" w:space="0" w:color="auto"/>
            </w:tcBorders>
          </w:tcPr>
          <w:p w14:paraId="665E1513"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p>
        </w:tc>
      </w:tr>
      <w:tr w:rsidR="0076188C" w:rsidRPr="00CD6283" w14:paraId="3C51EACA" w14:textId="77777777" w:rsidTr="00421F49">
        <w:trPr>
          <w:trHeight w:val="80"/>
        </w:trPr>
        <w:tc>
          <w:tcPr>
            <w:tcW w:w="2461" w:type="pct"/>
            <w:gridSpan w:val="2"/>
            <w:tcBorders>
              <w:top w:val="single" w:sz="4" w:space="0" w:color="auto"/>
            </w:tcBorders>
          </w:tcPr>
          <w:p w14:paraId="48688680" w14:textId="77777777" w:rsidR="0076188C" w:rsidRPr="00CD6283" w:rsidRDefault="0076188C" w:rsidP="0076188C">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 xml:space="preserve"> </w:t>
            </w:r>
          </w:p>
        </w:tc>
        <w:tc>
          <w:tcPr>
            <w:tcW w:w="166" w:type="pct"/>
            <w:tcBorders>
              <w:top w:val="single" w:sz="4" w:space="0" w:color="auto"/>
              <w:bottom w:val="single" w:sz="4" w:space="0" w:color="auto"/>
            </w:tcBorders>
          </w:tcPr>
          <w:p w14:paraId="6CFCBA88"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B</w:t>
            </w:r>
          </w:p>
        </w:tc>
        <w:tc>
          <w:tcPr>
            <w:tcW w:w="900" w:type="pct"/>
            <w:gridSpan w:val="2"/>
            <w:tcBorders>
              <w:top w:val="single" w:sz="4" w:space="0" w:color="auto"/>
              <w:bottom w:val="single" w:sz="4" w:space="0" w:color="auto"/>
            </w:tcBorders>
          </w:tcPr>
          <w:p w14:paraId="368CF209"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Std. Error</w:t>
            </w:r>
          </w:p>
        </w:tc>
        <w:tc>
          <w:tcPr>
            <w:tcW w:w="493" w:type="pct"/>
            <w:tcBorders>
              <w:top w:val="single" w:sz="4" w:space="0" w:color="auto"/>
              <w:bottom w:val="single" w:sz="4" w:space="0" w:color="auto"/>
            </w:tcBorders>
          </w:tcPr>
          <w:p w14:paraId="582E1C35"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Beta</w:t>
            </w:r>
          </w:p>
        </w:tc>
        <w:tc>
          <w:tcPr>
            <w:tcW w:w="492" w:type="pct"/>
            <w:tcBorders>
              <w:top w:val="single" w:sz="4" w:space="0" w:color="auto"/>
              <w:bottom w:val="single" w:sz="4" w:space="0" w:color="auto"/>
            </w:tcBorders>
          </w:tcPr>
          <w:p w14:paraId="7BFD0E64"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t</w:t>
            </w:r>
          </w:p>
        </w:tc>
        <w:tc>
          <w:tcPr>
            <w:tcW w:w="488" w:type="pct"/>
            <w:tcBorders>
              <w:top w:val="single" w:sz="4" w:space="0" w:color="auto"/>
              <w:bottom w:val="single" w:sz="4" w:space="0" w:color="auto"/>
            </w:tcBorders>
          </w:tcPr>
          <w:p w14:paraId="361E1D2C" w14:textId="77777777" w:rsidR="0076188C" w:rsidRPr="00CD6283" w:rsidRDefault="0076188C" w:rsidP="0076188C">
            <w:pPr>
              <w:autoSpaceDE w:val="0"/>
              <w:autoSpaceDN w:val="0"/>
              <w:adjustRightInd w:val="0"/>
              <w:spacing w:before="0" w:line="240" w:lineRule="auto"/>
              <w:jc w:val="center"/>
              <w:rPr>
                <w:rFonts w:cs="Times New Roman"/>
                <w:b/>
                <w:color w:val="000000" w:themeColor="text1"/>
                <w:szCs w:val="24"/>
              </w:rPr>
            </w:pPr>
            <w:r w:rsidRPr="00CD6283">
              <w:rPr>
                <w:rFonts w:cs="Times New Roman"/>
                <w:b/>
                <w:color w:val="000000" w:themeColor="text1"/>
                <w:szCs w:val="24"/>
              </w:rPr>
              <w:t>Sig.</w:t>
            </w:r>
          </w:p>
        </w:tc>
      </w:tr>
      <w:tr w:rsidR="0076188C" w:rsidRPr="00CD6283" w14:paraId="7CBCBA0F" w14:textId="77777777" w:rsidTr="00421F49">
        <w:trPr>
          <w:trHeight w:val="77"/>
        </w:trPr>
        <w:tc>
          <w:tcPr>
            <w:tcW w:w="2461" w:type="pct"/>
            <w:gridSpan w:val="2"/>
            <w:tcBorders>
              <w:top w:val="single" w:sz="4" w:space="0" w:color="auto"/>
            </w:tcBorders>
          </w:tcPr>
          <w:p w14:paraId="2DA91E00" w14:textId="77777777" w:rsidR="0076188C" w:rsidRPr="00CD6283" w:rsidRDefault="0076188C" w:rsidP="0076188C">
            <w:pPr>
              <w:autoSpaceDE w:val="0"/>
              <w:autoSpaceDN w:val="0"/>
              <w:adjustRightInd w:val="0"/>
              <w:spacing w:before="0" w:line="240" w:lineRule="auto"/>
              <w:rPr>
                <w:rFonts w:cs="Times New Roman"/>
                <w:color w:val="000000" w:themeColor="text1"/>
                <w:szCs w:val="24"/>
              </w:rPr>
            </w:pPr>
            <w:r w:rsidRPr="00CD6283">
              <w:rPr>
                <w:rFonts w:cs="Times New Roman"/>
                <w:color w:val="000000" w:themeColor="text1"/>
                <w:szCs w:val="24"/>
              </w:rPr>
              <w:t>(Constant)</w:t>
            </w:r>
          </w:p>
        </w:tc>
        <w:tc>
          <w:tcPr>
            <w:tcW w:w="492" w:type="pct"/>
            <w:gridSpan w:val="2"/>
            <w:tcBorders>
              <w:top w:val="single" w:sz="4" w:space="0" w:color="auto"/>
            </w:tcBorders>
          </w:tcPr>
          <w:p w14:paraId="4BF0BEF1"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0.189</w:t>
            </w:r>
          </w:p>
        </w:tc>
        <w:tc>
          <w:tcPr>
            <w:tcW w:w="574" w:type="pct"/>
            <w:tcBorders>
              <w:top w:val="single" w:sz="4" w:space="0" w:color="auto"/>
            </w:tcBorders>
          </w:tcPr>
          <w:p w14:paraId="6DD9EE54"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0.599</w:t>
            </w:r>
          </w:p>
        </w:tc>
        <w:tc>
          <w:tcPr>
            <w:tcW w:w="493" w:type="pct"/>
            <w:tcBorders>
              <w:top w:val="single" w:sz="4" w:space="0" w:color="auto"/>
            </w:tcBorders>
          </w:tcPr>
          <w:p w14:paraId="5C98F0FE"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p>
        </w:tc>
        <w:tc>
          <w:tcPr>
            <w:tcW w:w="492" w:type="pct"/>
            <w:tcBorders>
              <w:top w:val="single" w:sz="4" w:space="0" w:color="auto"/>
            </w:tcBorders>
          </w:tcPr>
          <w:p w14:paraId="72623070"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6.041</w:t>
            </w:r>
          </w:p>
        </w:tc>
        <w:tc>
          <w:tcPr>
            <w:tcW w:w="488" w:type="pct"/>
            <w:tcBorders>
              <w:top w:val="single" w:sz="4" w:space="0" w:color="auto"/>
            </w:tcBorders>
          </w:tcPr>
          <w:p w14:paraId="3BE935AB"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r>
      <w:tr w:rsidR="0076188C" w:rsidRPr="00CD6283" w14:paraId="46CEAFB1" w14:textId="77777777" w:rsidTr="00421F49">
        <w:trPr>
          <w:trHeight w:val="306"/>
        </w:trPr>
        <w:tc>
          <w:tcPr>
            <w:tcW w:w="2461" w:type="pct"/>
            <w:gridSpan w:val="2"/>
          </w:tcPr>
          <w:p w14:paraId="6F3AC297" w14:textId="77777777" w:rsidR="0076188C" w:rsidRPr="007F7B02" w:rsidRDefault="0076188C" w:rsidP="0076188C">
            <w:pPr>
              <w:spacing w:before="0" w:line="240" w:lineRule="auto"/>
              <w:rPr>
                <w:rFonts w:eastAsia="Times New Roman" w:cs="Times New Roman"/>
                <w:color w:val="000000" w:themeColor="text1"/>
                <w:szCs w:val="24"/>
              </w:rPr>
            </w:pPr>
            <w:r w:rsidRPr="007F7B02">
              <w:rPr>
                <w:rFonts w:eastAsia="Times New Roman" w:cs="Times New Roman"/>
                <w:color w:val="000000" w:themeColor="text1"/>
                <w:szCs w:val="24"/>
              </w:rPr>
              <w:t>Preventive Controls</w:t>
            </w:r>
          </w:p>
        </w:tc>
        <w:tc>
          <w:tcPr>
            <w:tcW w:w="492" w:type="pct"/>
            <w:gridSpan w:val="2"/>
          </w:tcPr>
          <w:p w14:paraId="3C47FF7C"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0.521</w:t>
            </w:r>
          </w:p>
        </w:tc>
        <w:tc>
          <w:tcPr>
            <w:tcW w:w="574" w:type="pct"/>
          </w:tcPr>
          <w:p w14:paraId="31210FCA"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0.132</w:t>
            </w:r>
          </w:p>
        </w:tc>
        <w:tc>
          <w:tcPr>
            <w:tcW w:w="493" w:type="pct"/>
          </w:tcPr>
          <w:p w14:paraId="5C6786C2"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0.350</w:t>
            </w:r>
          </w:p>
        </w:tc>
        <w:tc>
          <w:tcPr>
            <w:tcW w:w="492" w:type="pct"/>
          </w:tcPr>
          <w:p w14:paraId="0AA99A2B"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3.872</w:t>
            </w:r>
          </w:p>
        </w:tc>
        <w:tc>
          <w:tcPr>
            <w:tcW w:w="488" w:type="pct"/>
          </w:tcPr>
          <w:p w14:paraId="278C275C"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r>
      <w:tr w:rsidR="0076188C" w:rsidRPr="00CD6283" w14:paraId="2A965B87" w14:textId="77777777" w:rsidTr="00421F49">
        <w:trPr>
          <w:trHeight w:val="95"/>
        </w:trPr>
        <w:tc>
          <w:tcPr>
            <w:tcW w:w="2461" w:type="pct"/>
            <w:gridSpan w:val="2"/>
          </w:tcPr>
          <w:p w14:paraId="0236E6C8" w14:textId="77777777" w:rsidR="0076188C" w:rsidRPr="007F7B02" w:rsidRDefault="0076188C" w:rsidP="0076188C">
            <w:pPr>
              <w:spacing w:before="0" w:line="240" w:lineRule="auto"/>
              <w:rPr>
                <w:rFonts w:eastAsia="Times New Roman" w:cs="Times New Roman"/>
                <w:color w:val="000000" w:themeColor="text1"/>
                <w:szCs w:val="24"/>
              </w:rPr>
            </w:pPr>
            <w:r w:rsidRPr="007F7B02">
              <w:rPr>
                <w:rFonts w:eastAsia="Times New Roman" w:cs="Times New Roman"/>
                <w:color w:val="000000" w:themeColor="text1"/>
                <w:szCs w:val="24"/>
              </w:rPr>
              <w:t>Detective Controls</w:t>
            </w:r>
          </w:p>
        </w:tc>
        <w:tc>
          <w:tcPr>
            <w:tcW w:w="492" w:type="pct"/>
            <w:gridSpan w:val="2"/>
          </w:tcPr>
          <w:p w14:paraId="0F403318"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0.423</w:t>
            </w:r>
          </w:p>
        </w:tc>
        <w:tc>
          <w:tcPr>
            <w:tcW w:w="574" w:type="pct"/>
          </w:tcPr>
          <w:p w14:paraId="2CF4C82F"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0.103</w:t>
            </w:r>
          </w:p>
        </w:tc>
        <w:tc>
          <w:tcPr>
            <w:tcW w:w="493" w:type="pct"/>
          </w:tcPr>
          <w:p w14:paraId="45B080DA"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0.321</w:t>
            </w:r>
          </w:p>
        </w:tc>
        <w:tc>
          <w:tcPr>
            <w:tcW w:w="492" w:type="pct"/>
          </w:tcPr>
          <w:p w14:paraId="1F4BF381"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3.228</w:t>
            </w:r>
          </w:p>
        </w:tc>
        <w:tc>
          <w:tcPr>
            <w:tcW w:w="488" w:type="pct"/>
          </w:tcPr>
          <w:p w14:paraId="3FC95A34"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0.003</w:t>
            </w:r>
          </w:p>
        </w:tc>
      </w:tr>
      <w:tr w:rsidR="0076188C" w:rsidRPr="00CD6283" w14:paraId="51743AD3" w14:textId="77777777" w:rsidTr="00421F49">
        <w:trPr>
          <w:trHeight w:val="95"/>
        </w:trPr>
        <w:tc>
          <w:tcPr>
            <w:tcW w:w="2461" w:type="pct"/>
            <w:gridSpan w:val="2"/>
          </w:tcPr>
          <w:p w14:paraId="65420D54" w14:textId="77777777" w:rsidR="0076188C" w:rsidRPr="007F7B02" w:rsidRDefault="0076188C" w:rsidP="0076188C">
            <w:pPr>
              <w:spacing w:before="0" w:line="240" w:lineRule="auto"/>
              <w:rPr>
                <w:rFonts w:eastAsia="Times New Roman" w:cs="Times New Roman"/>
                <w:color w:val="000000" w:themeColor="text1"/>
                <w:szCs w:val="24"/>
              </w:rPr>
            </w:pPr>
            <w:r w:rsidRPr="007F7B02">
              <w:rPr>
                <w:rFonts w:eastAsia="Times New Roman" w:cs="Times New Roman"/>
                <w:color w:val="000000" w:themeColor="text1"/>
                <w:szCs w:val="24"/>
              </w:rPr>
              <w:t>Directive Controls</w:t>
            </w:r>
          </w:p>
        </w:tc>
        <w:tc>
          <w:tcPr>
            <w:tcW w:w="492" w:type="pct"/>
            <w:gridSpan w:val="2"/>
          </w:tcPr>
          <w:p w14:paraId="32062DB4"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0.439</w:t>
            </w:r>
          </w:p>
        </w:tc>
        <w:tc>
          <w:tcPr>
            <w:tcW w:w="574" w:type="pct"/>
          </w:tcPr>
          <w:p w14:paraId="3214123B"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0.141</w:t>
            </w:r>
          </w:p>
        </w:tc>
        <w:tc>
          <w:tcPr>
            <w:tcW w:w="493" w:type="pct"/>
          </w:tcPr>
          <w:p w14:paraId="470C31FB"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0.321</w:t>
            </w:r>
          </w:p>
        </w:tc>
        <w:tc>
          <w:tcPr>
            <w:tcW w:w="492" w:type="pct"/>
          </w:tcPr>
          <w:p w14:paraId="39E64E23"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2.110</w:t>
            </w:r>
          </w:p>
        </w:tc>
        <w:tc>
          <w:tcPr>
            <w:tcW w:w="488" w:type="pct"/>
          </w:tcPr>
          <w:p w14:paraId="53507A64"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r>
      <w:tr w:rsidR="0076188C" w:rsidRPr="00CD6283" w14:paraId="6A9B2A7A" w14:textId="77777777" w:rsidTr="00421F49">
        <w:trPr>
          <w:trHeight w:val="95"/>
        </w:trPr>
        <w:tc>
          <w:tcPr>
            <w:tcW w:w="2461" w:type="pct"/>
            <w:gridSpan w:val="2"/>
          </w:tcPr>
          <w:p w14:paraId="73018B17" w14:textId="77777777" w:rsidR="0076188C" w:rsidRPr="007F7B02" w:rsidRDefault="0076188C" w:rsidP="0076188C">
            <w:pPr>
              <w:spacing w:before="0" w:line="240" w:lineRule="auto"/>
              <w:rPr>
                <w:rFonts w:eastAsia="Times New Roman" w:cs="Times New Roman"/>
                <w:color w:val="000000" w:themeColor="text1"/>
                <w:szCs w:val="24"/>
              </w:rPr>
            </w:pPr>
            <w:r w:rsidRPr="007F7B02">
              <w:rPr>
                <w:rFonts w:eastAsia="Times New Roman" w:cs="Times New Roman"/>
                <w:color w:val="000000" w:themeColor="text1"/>
                <w:szCs w:val="24"/>
              </w:rPr>
              <w:t>Management Controls</w:t>
            </w:r>
          </w:p>
        </w:tc>
        <w:tc>
          <w:tcPr>
            <w:tcW w:w="492" w:type="pct"/>
            <w:gridSpan w:val="2"/>
          </w:tcPr>
          <w:p w14:paraId="1D41D46A"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0.374</w:t>
            </w:r>
          </w:p>
        </w:tc>
        <w:tc>
          <w:tcPr>
            <w:tcW w:w="574" w:type="pct"/>
          </w:tcPr>
          <w:p w14:paraId="017E9F15"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0.250</w:t>
            </w:r>
          </w:p>
        </w:tc>
        <w:tc>
          <w:tcPr>
            <w:tcW w:w="493" w:type="pct"/>
          </w:tcPr>
          <w:p w14:paraId="71A9A16C"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0.317</w:t>
            </w:r>
          </w:p>
        </w:tc>
        <w:tc>
          <w:tcPr>
            <w:tcW w:w="492" w:type="pct"/>
          </w:tcPr>
          <w:p w14:paraId="13A2A04D"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1.046</w:t>
            </w:r>
          </w:p>
        </w:tc>
        <w:tc>
          <w:tcPr>
            <w:tcW w:w="488" w:type="pct"/>
          </w:tcPr>
          <w:p w14:paraId="60EC76EC" w14:textId="77777777" w:rsidR="0076188C" w:rsidRPr="00CD6283" w:rsidRDefault="0076188C" w:rsidP="0076188C">
            <w:pPr>
              <w:autoSpaceDE w:val="0"/>
              <w:autoSpaceDN w:val="0"/>
              <w:adjustRightInd w:val="0"/>
              <w:spacing w:before="0" w:line="240" w:lineRule="auto"/>
              <w:jc w:val="center"/>
              <w:rPr>
                <w:rFonts w:cs="Times New Roman"/>
                <w:color w:val="000000" w:themeColor="text1"/>
                <w:szCs w:val="24"/>
              </w:rPr>
            </w:pPr>
            <w:r w:rsidRPr="00CD6283">
              <w:rPr>
                <w:rFonts w:cs="Times New Roman"/>
                <w:color w:val="000000" w:themeColor="text1"/>
                <w:szCs w:val="24"/>
              </w:rPr>
              <w:t>0.000</w:t>
            </w:r>
          </w:p>
        </w:tc>
      </w:tr>
    </w:tbl>
    <w:p w14:paraId="5DB975FE" w14:textId="77777777" w:rsidR="0076188C" w:rsidRPr="00CD6283" w:rsidRDefault="0076188C" w:rsidP="0076188C">
      <w:pPr>
        <w:autoSpaceDE w:val="0"/>
        <w:autoSpaceDN w:val="0"/>
        <w:adjustRightInd w:val="0"/>
        <w:spacing w:before="0" w:line="240" w:lineRule="auto"/>
        <w:rPr>
          <w:rFonts w:cs="Times New Roman"/>
          <w:i/>
          <w:iCs/>
          <w:color w:val="000000" w:themeColor="text1"/>
          <w:szCs w:val="24"/>
        </w:rPr>
      </w:pPr>
      <w:r w:rsidRPr="00CD6283">
        <w:rPr>
          <w:rFonts w:cs="Times New Roman"/>
          <w:i/>
          <w:iCs/>
          <w:color w:val="000000" w:themeColor="text1"/>
          <w:szCs w:val="24"/>
        </w:rPr>
        <w:t xml:space="preserve">a Dependent Variable: Financial Performance </w:t>
      </w:r>
    </w:p>
    <w:p w14:paraId="2EF06BCA" w14:textId="77777777" w:rsidR="0076188C" w:rsidRDefault="0076188C" w:rsidP="0076188C">
      <w:pPr>
        <w:spacing w:before="0" w:line="240" w:lineRule="auto"/>
        <w:rPr>
          <w:rFonts w:cs="Times New Roman"/>
          <w:b/>
          <w:color w:val="000000" w:themeColor="text1"/>
          <w:szCs w:val="24"/>
        </w:rPr>
      </w:pPr>
      <w:r w:rsidRPr="00CD6283">
        <w:rPr>
          <w:rFonts w:cs="Times New Roman"/>
          <w:b/>
          <w:color w:val="000000" w:themeColor="text1"/>
          <w:szCs w:val="24"/>
        </w:rPr>
        <w:t>Source: Field Data (2025)</w:t>
      </w:r>
    </w:p>
    <w:p w14:paraId="0455A6CF" w14:textId="77777777" w:rsidR="00A616A9" w:rsidRDefault="00A616A9" w:rsidP="00E730D7">
      <w:pPr>
        <w:spacing w:before="0" w:line="240" w:lineRule="auto"/>
        <w:rPr>
          <w:b/>
          <w:bCs/>
          <w:color w:val="000000" w:themeColor="text1"/>
          <w:sz w:val="28"/>
          <w:szCs w:val="24"/>
        </w:rPr>
      </w:pPr>
    </w:p>
    <w:p w14:paraId="71882AA6" w14:textId="77777777" w:rsidR="00A616A9" w:rsidRDefault="00A616A9" w:rsidP="00E730D7">
      <w:pPr>
        <w:spacing w:before="0" w:line="240" w:lineRule="auto"/>
        <w:rPr>
          <w:b/>
          <w:bCs/>
          <w:color w:val="000000" w:themeColor="text1"/>
          <w:sz w:val="28"/>
          <w:szCs w:val="24"/>
        </w:rPr>
      </w:pPr>
    </w:p>
    <w:p w14:paraId="182785BD" w14:textId="77777777" w:rsidR="00A616A9" w:rsidRDefault="00A616A9" w:rsidP="00E730D7">
      <w:pPr>
        <w:spacing w:before="0" w:line="240" w:lineRule="auto"/>
        <w:rPr>
          <w:b/>
          <w:bCs/>
          <w:color w:val="000000" w:themeColor="text1"/>
          <w:sz w:val="28"/>
          <w:szCs w:val="24"/>
        </w:rPr>
      </w:pPr>
    </w:p>
    <w:p w14:paraId="6F3549F6" w14:textId="77777777" w:rsidR="00A616A9" w:rsidRDefault="00A616A9" w:rsidP="00E730D7">
      <w:pPr>
        <w:spacing w:before="0" w:line="240" w:lineRule="auto"/>
        <w:rPr>
          <w:b/>
          <w:bCs/>
          <w:color w:val="000000" w:themeColor="text1"/>
          <w:sz w:val="28"/>
          <w:szCs w:val="24"/>
        </w:rPr>
      </w:pPr>
    </w:p>
    <w:bookmarkEnd w:id="4"/>
    <w:p w14:paraId="359E84B3" w14:textId="73A378CB" w:rsidR="00055D83" w:rsidRPr="00FB2E0F" w:rsidRDefault="00055D83" w:rsidP="00055D83">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lastRenderedPageBreak/>
        <w:t xml:space="preserve">5.0 CONCLUSIONS </w:t>
      </w:r>
    </w:p>
    <w:p w14:paraId="60ADFB95" w14:textId="77777777" w:rsidR="002E784F" w:rsidRPr="002E784F" w:rsidRDefault="002E784F" w:rsidP="002E784F">
      <w:pPr>
        <w:spacing w:line="240" w:lineRule="auto"/>
        <w:rPr>
          <w:rFonts w:cs="Times New Roman"/>
          <w:color w:val="000000" w:themeColor="text1"/>
          <w:szCs w:val="24"/>
        </w:rPr>
      </w:pPr>
      <w:r w:rsidRPr="002E784F">
        <w:rPr>
          <w:rFonts w:cs="Times New Roman"/>
          <w:color w:val="000000" w:themeColor="text1"/>
          <w:szCs w:val="24"/>
        </w:rPr>
        <w:t>The study concluded that preventive controls are the most decisive factor in enhancing financial performance efficiency among Nairobi NGOs, serving as the first line of defense against irregularities. By minimizing errors and deterring fraud, these controls safeguard resources, enforce financial discipline, and inspire donor confidence. Their emphasis underscores the need for systems that prioritize prevention over detection or correction.</w:t>
      </w:r>
    </w:p>
    <w:p w14:paraId="4FFAC2FB" w14:textId="77777777" w:rsidR="002E784F" w:rsidRPr="002E784F" w:rsidRDefault="002E784F" w:rsidP="002E784F">
      <w:pPr>
        <w:spacing w:line="240" w:lineRule="auto"/>
        <w:rPr>
          <w:rFonts w:cs="Times New Roman"/>
          <w:color w:val="000000" w:themeColor="text1"/>
          <w:szCs w:val="24"/>
        </w:rPr>
      </w:pPr>
      <w:r w:rsidRPr="002E784F">
        <w:rPr>
          <w:rFonts w:cs="Times New Roman"/>
          <w:color w:val="000000" w:themeColor="text1"/>
          <w:szCs w:val="24"/>
        </w:rPr>
        <w:t>While detective controls showed the lowest correlation with performance, they remain indispensable within the internal control framework. By verifying transactions post-occurrence, they foster transparency and accountability, working most effectively in tandem with preventive measures. They not only protect but also highlight system weaknesses, enabling targeted improvements.</w:t>
      </w:r>
    </w:p>
    <w:p w14:paraId="50F0BC2F" w14:textId="00A0875D" w:rsidR="00A27439" w:rsidRPr="00FB2E0F" w:rsidRDefault="002E784F" w:rsidP="002E784F">
      <w:pPr>
        <w:spacing w:line="240" w:lineRule="auto"/>
        <w:rPr>
          <w:rFonts w:cs="Times New Roman"/>
          <w:color w:val="000000" w:themeColor="text1"/>
          <w:szCs w:val="24"/>
        </w:rPr>
      </w:pPr>
      <w:r w:rsidRPr="002E784F">
        <w:rPr>
          <w:rFonts w:cs="Times New Roman"/>
          <w:color w:val="000000" w:themeColor="text1"/>
          <w:szCs w:val="24"/>
        </w:rPr>
        <w:t>Directive controls enhance efficiency by establishing clear guidelines, policies, and training that reduce operational ambiguity. When staff understand precise financial protocols, they are more likely to make decisions aligned with organizational objectives, reinforcing a compliance-driven, ethical culture.</w:t>
      </w:r>
      <w:r>
        <w:rPr>
          <w:rFonts w:cs="Times New Roman"/>
          <w:color w:val="000000" w:themeColor="text1"/>
          <w:szCs w:val="24"/>
        </w:rPr>
        <w:t xml:space="preserve"> </w:t>
      </w:r>
      <w:r w:rsidRPr="002E784F">
        <w:rPr>
          <w:rFonts w:cs="Times New Roman"/>
          <w:color w:val="000000" w:themeColor="text1"/>
          <w:szCs w:val="24"/>
        </w:rPr>
        <w:t>Finally, management controls, though ranking below preventive and directive controls in effect size, play a critical role through strategic oversight, budgeting, and performance monitoring. They ensure informed decision-making, prudent resource allocation, and continuous improvement, solidifying management’s central role in driving financial results</w:t>
      </w:r>
      <w:r w:rsidR="002645C1" w:rsidRPr="002645C1">
        <w:rPr>
          <w:rFonts w:cs="Times New Roman"/>
          <w:color w:val="000000" w:themeColor="text1"/>
          <w:szCs w:val="24"/>
        </w:rPr>
        <w:t>.</w:t>
      </w:r>
    </w:p>
    <w:p w14:paraId="750144BF" w14:textId="7E52FE3F" w:rsidR="00055D83" w:rsidRPr="00FB2E0F" w:rsidRDefault="00055D83" w:rsidP="00D26C8B">
      <w:pPr>
        <w:spacing w:line="240" w:lineRule="auto"/>
        <w:rPr>
          <w:rFonts w:cs="Times New Roman"/>
          <w:b/>
          <w:bCs/>
          <w:color w:val="000000" w:themeColor="text1"/>
          <w:sz w:val="28"/>
          <w:szCs w:val="28"/>
        </w:rPr>
      </w:pPr>
      <w:r w:rsidRPr="00FB2E0F">
        <w:rPr>
          <w:rFonts w:cs="Times New Roman"/>
          <w:b/>
          <w:bCs/>
          <w:color w:val="000000" w:themeColor="text1"/>
          <w:sz w:val="28"/>
          <w:szCs w:val="28"/>
        </w:rPr>
        <w:t>6.0 RECOMMENDATIONS</w:t>
      </w:r>
    </w:p>
    <w:p w14:paraId="205F944E" w14:textId="5A536075" w:rsidR="00795B86" w:rsidRPr="00795B86" w:rsidRDefault="00795B86" w:rsidP="00795B86">
      <w:pPr>
        <w:spacing w:before="0" w:line="240" w:lineRule="auto"/>
      </w:pPr>
      <w:r w:rsidRPr="00795B86">
        <w:t>NGOs in Nairobi City County should prioritize robust preventive controls to enhance financial performance efficiency. Complete segregation of duties is essential to prevent any individual from controlling all aspects of financial transactions. Clear authorization protocols, strict access controls, and regular training on financial policies can reduce irregularities, strengthen donor confidence, and improve outcomes.</w:t>
      </w:r>
      <w:r>
        <w:t xml:space="preserve"> </w:t>
      </w:r>
      <w:r w:rsidRPr="00795B86">
        <w:t>Equally important are strong monitoring and oversight mechanisms. Regular independent internal audits, systematic reconciliations, variance analysis, and technology-enabled transaction monitoring should not only detect errors but also generate actionable insights to improve transparency and accountability.</w:t>
      </w:r>
    </w:p>
    <w:p w14:paraId="0DC94124" w14:textId="77777777" w:rsidR="00795B86" w:rsidRPr="00795B86" w:rsidRDefault="00795B86" w:rsidP="00795B86">
      <w:pPr>
        <w:spacing w:before="0" w:line="240" w:lineRule="auto"/>
      </w:pPr>
    </w:p>
    <w:p w14:paraId="2D676746" w14:textId="412344EB" w:rsidR="00795B86" w:rsidRPr="00795B86" w:rsidRDefault="00795B86" w:rsidP="00795B86">
      <w:pPr>
        <w:spacing w:before="0" w:line="240" w:lineRule="auto"/>
      </w:pPr>
      <w:r w:rsidRPr="00795B86">
        <w:t>Directive controls should reinforce consistent financial management practices. Comprehensive financial manuals, standardized operational procedures, performance benchmarks, and extensive orientation programs</w:t>
      </w:r>
      <w:r w:rsidR="003E0FAD">
        <w:t xml:space="preserve"> </w:t>
      </w:r>
      <w:r w:rsidRPr="00795B86">
        <w:t>complemented by periodic refresher training</w:t>
      </w:r>
      <w:r w:rsidR="003E0FAD">
        <w:t xml:space="preserve"> </w:t>
      </w:r>
      <w:r w:rsidRPr="00795B86">
        <w:t>help ensure all staff understand and uphold financial integrity.</w:t>
      </w:r>
      <w:r w:rsidR="00142F60">
        <w:t xml:space="preserve"> </w:t>
      </w:r>
      <w:r w:rsidRPr="00795B86">
        <w:t>Management controls must align financial planning with strategic objectives. Effective budgeting, integrated financial–programmatic planning, leadership engagement, and performance feedback loops enable continuous improvement in decision-making and resource allocation.</w:t>
      </w:r>
    </w:p>
    <w:p w14:paraId="72F1BA19" w14:textId="77777777" w:rsidR="00795B86" w:rsidRPr="00795B86" w:rsidRDefault="00795B86" w:rsidP="00795B86">
      <w:pPr>
        <w:spacing w:before="0" w:line="240" w:lineRule="auto"/>
      </w:pPr>
    </w:p>
    <w:p w14:paraId="3E7D50D6" w14:textId="77777777" w:rsidR="00795B86" w:rsidRPr="00142F60" w:rsidRDefault="00795B86" w:rsidP="00795B86">
      <w:pPr>
        <w:spacing w:before="0" w:line="240" w:lineRule="auto"/>
        <w:rPr>
          <w:b/>
          <w:bCs/>
          <w:i/>
          <w:iCs/>
        </w:rPr>
      </w:pPr>
      <w:r w:rsidRPr="00142F60">
        <w:rPr>
          <w:b/>
          <w:bCs/>
          <w:i/>
          <w:iCs/>
        </w:rPr>
        <w:t>Recommendations for Further Research</w:t>
      </w:r>
    </w:p>
    <w:p w14:paraId="648B633B" w14:textId="6B3811FB" w:rsidR="00D16476" w:rsidRPr="00795B86" w:rsidRDefault="00795B86" w:rsidP="00795B86">
      <w:pPr>
        <w:spacing w:before="0" w:line="240" w:lineRule="auto"/>
      </w:pPr>
      <w:r w:rsidRPr="00795B86">
        <w:t>Given that operational internal controls explain only 64.45% of performance variability, future studies should examine external factors, organizational characteristics, technological integration, human resource capacity, and risk management strategies. Longitudinal, mixed-methods, and regional comparative designs would strengthen generalizability.</w:t>
      </w:r>
    </w:p>
    <w:p w14:paraId="526AC9EA" w14:textId="77777777" w:rsidR="00D16476" w:rsidRPr="00FB2E0F" w:rsidRDefault="00D16476" w:rsidP="00D16476">
      <w:pPr>
        <w:spacing w:before="0" w:after="160" w:line="240" w:lineRule="auto"/>
        <w:rPr>
          <w:rFonts w:cs="Times New Roman"/>
          <w:color w:val="000000" w:themeColor="text1"/>
          <w:szCs w:val="24"/>
        </w:rPr>
      </w:pPr>
    </w:p>
    <w:p w14:paraId="0843E003" w14:textId="77777777" w:rsidR="00D16476" w:rsidRPr="00FB2E0F" w:rsidRDefault="00D16476" w:rsidP="00055D83">
      <w:pPr>
        <w:shd w:val="clear" w:color="auto" w:fill="FFFFFF"/>
        <w:spacing w:line="240" w:lineRule="auto"/>
        <w:rPr>
          <w:rFonts w:eastAsia="Times New Roman" w:cs="Times New Roman"/>
          <w:b/>
          <w:bCs/>
          <w:color w:val="000000" w:themeColor="text1"/>
          <w:sz w:val="28"/>
          <w:szCs w:val="28"/>
        </w:rPr>
      </w:pPr>
    </w:p>
    <w:p w14:paraId="3B14375C" w14:textId="77777777" w:rsidR="000971F6" w:rsidRPr="00740879" w:rsidRDefault="000971F6" w:rsidP="000971F6">
      <w:pPr>
        <w:rPr>
          <w:highlight w:val="yellow"/>
        </w:rPr>
      </w:pPr>
      <w:r w:rsidRPr="00740879">
        <w:rPr>
          <w:highlight w:val="yellow"/>
        </w:rPr>
        <w:t>Disclaimer (Artificial intelligence)</w:t>
      </w:r>
    </w:p>
    <w:p w14:paraId="119C8FCE" w14:textId="77777777" w:rsidR="000971F6" w:rsidRPr="00740879" w:rsidRDefault="000971F6" w:rsidP="000971F6">
      <w:pPr>
        <w:rPr>
          <w:highlight w:val="yellow"/>
        </w:rPr>
      </w:pPr>
      <w:r w:rsidRPr="00740879">
        <w:rPr>
          <w:highlight w:val="yellow"/>
        </w:rPr>
        <w:t xml:space="preserve">Option 1: </w:t>
      </w:r>
    </w:p>
    <w:p w14:paraId="3E457AF9" w14:textId="77777777" w:rsidR="000971F6" w:rsidRPr="00740879" w:rsidRDefault="000971F6" w:rsidP="000971F6">
      <w:pPr>
        <w:rPr>
          <w:highlight w:val="yellow"/>
        </w:rPr>
      </w:pPr>
      <w:r w:rsidRPr="00740879">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0A8B7196" w14:textId="77777777" w:rsidR="000971F6" w:rsidRPr="00740879" w:rsidRDefault="000971F6" w:rsidP="000971F6">
      <w:pPr>
        <w:rPr>
          <w:highlight w:val="yellow"/>
        </w:rPr>
      </w:pPr>
      <w:r w:rsidRPr="00740879">
        <w:rPr>
          <w:highlight w:val="yellow"/>
        </w:rPr>
        <w:t xml:space="preserve">Option 2: </w:t>
      </w:r>
    </w:p>
    <w:p w14:paraId="229133C7" w14:textId="77777777" w:rsidR="000971F6" w:rsidRPr="00740879" w:rsidRDefault="000971F6" w:rsidP="000971F6">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7C1A2F" w14:textId="77777777" w:rsidR="000971F6" w:rsidRPr="00740879" w:rsidRDefault="000971F6" w:rsidP="000971F6">
      <w:pPr>
        <w:rPr>
          <w:highlight w:val="yellow"/>
        </w:rPr>
      </w:pPr>
      <w:r w:rsidRPr="00740879">
        <w:rPr>
          <w:highlight w:val="yellow"/>
        </w:rPr>
        <w:t>Details of the AI usage are given below:</w:t>
      </w:r>
    </w:p>
    <w:p w14:paraId="2F053C17" w14:textId="77777777" w:rsidR="000971F6" w:rsidRPr="00740879" w:rsidRDefault="000971F6" w:rsidP="000971F6">
      <w:pPr>
        <w:rPr>
          <w:highlight w:val="yellow"/>
        </w:rPr>
      </w:pPr>
      <w:r w:rsidRPr="00740879">
        <w:rPr>
          <w:highlight w:val="yellow"/>
        </w:rPr>
        <w:t>1.</w:t>
      </w:r>
    </w:p>
    <w:p w14:paraId="76DF0EFA" w14:textId="77777777" w:rsidR="000971F6" w:rsidRPr="00740879" w:rsidRDefault="000971F6" w:rsidP="000971F6">
      <w:pPr>
        <w:rPr>
          <w:highlight w:val="yellow"/>
        </w:rPr>
      </w:pPr>
      <w:r w:rsidRPr="00740879">
        <w:rPr>
          <w:highlight w:val="yellow"/>
        </w:rPr>
        <w:t>2.</w:t>
      </w:r>
    </w:p>
    <w:p w14:paraId="664E77BE" w14:textId="77777777" w:rsidR="000971F6" w:rsidRPr="00D047BB" w:rsidRDefault="000971F6" w:rsidP="000971F6">
      <w:r w:rsidRPr="00740879">
        <w:rPr>
          <w:highlight w:val="yellow"/>
        </w:rPr>
        <w:t>3.</w:t>
      </w:r>
    </w:p>
    <w:p w14:paraId="1E9C7ECE" w14:textId="77777777" w:rsidR="00D16476" w:rsidRPr="00FB2E0F" w:rsidRDefault="00D16476">
      <w:pPr>
        <w:spacing w:before="0" w:after="160" w:line="259" w:lineRule="auto"/>
        <w:jc w:val="left"/>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br w:type="page"/>
      </w:r>
    </w:p>
    <w:p w14:paraId="03B946E2" w14:textId="2EF59687" w:rsidR="00055D83" w:rsidRPr="00FB2E0F" w:rsidRDefault="00055D83" w:rsidP="00055D83">
      <w:pPr>
        <w:shd w:val="clear" w:color="auto" w:fill="FFFFFF"/>
        <w:spacing w:line="240" w:lineRule="auto"/>
        <w:rPr>
          <w:rFonts w:eastAsia="Times New Roman" w:cs="Times New Roman"/>
          <w:b/>
          <w:bCs/>
          <w:color w:val="000000" w:themeColor="text1"/>
          <w:sz w:val="28"/>
          <w:szCs w:val="28"/>
        </w:rPr>
      </w:pPr>
      <w:r w:rsidRPr="00FB2E0F">
        <w:rPr>
          <w:rFonts w:eastAsia="Times New Roman" w:cs="Times New Roman"/>
          <w:b/>
          <w:bCs/>
          <w:color w:val="000000" w:themeColor="text1"/>
          <w:sz w:val="28"/>
          <w:szCs w:val="28"/>
        </w:rPr>
        <w:lastRenderedPageBreak/>
        <w:t>REFERENCES</w:t>
      </w:r>
    </w:p>
    <w:p w14:paraId="5A202687" w14:textId="77777777" w:rsidR="00B55CEF" w:rsidRPr="00B55CEF" w:rsidRDefault="00B55CEF" w:rsidP="00B55CEF">
      <w:pPr>
        <w:pStyle w:val="NormalWeb"/>
        <w:spacing w:before="0" w:beforeAutospacing="0" w:after="0" w:afterAutospacing="0"/>
        <w:ind w:left="720" w:hanging="720"/>
        <w:rPr>
          <w:color w:val="000000" w:themeColor="text1"/>
        </w:rPr>
      </w:pPr>
    </w:p>
    <w:p w14:paraId="45694D0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Abiodun, E. A. (2020). Internal control procedures and firm's performance. International Journal of Scientific &amp; Technology Research, 9(2), 6407-6415. </w:t>
      </w:r>
    </w:p>
    <w:p w14:paraId="73BD527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Adeyemi, F. K., &amp; Olarewaju, O. M. (2019). Internal Control System and Financial Accountability: An Investigation of Nigerian South-Western Public Sector. Acta Universitatis Danubius: Oeconomica, 15(1). </w:t>
      </w:r>
    </w:p>
    <w:p w14:paraId="4111BDA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Ahsina, K. (2012). Management control systems and performance: Essay of modelling. Kuwait Chapter of Arabian Journal of Business and Management Review, 1(9): 94-105.</w:t>
      </w:r>
    </w:p>
    <w:p w14:paraId="60A4A30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Albrecht, C. C., Albrecht, W. S. &amp; Dunn, J. G. (2001). Can auditors detect fraud? A review of the research evidence. Journal of Forensic Accounting, 2: 1-12.</w:t>
      </w:r>
    </w:p>
    <w:p w14:paraId="270F1FB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Alexandru, C., Genu, G. &amp; Romanescu, M. L. (2008). The assessment of banking performances-indicators of performance in bank area. MPRA Paper No. 11600.</w:t>
      </w:r>
    </w:p>
    <w:p w14:paraId="0A40264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Amagtome, A. H., &amp; Alnajjar, F. A. (2020). Integration of Financial Reporting System and Financial Sustainability of Nonprofit Organizations: Evidence from Iraq. International Journal of Business &amp; Management Science, 10(1). </w:t>
      </w:r>
    </w:p>
    <w:p w14:paraId="5A08CB6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American Institute of Certified Public Accountants (2003). Forensic and litigation services committee and fraud task force. Discussion Memorandum, Forensic Services Audits, and Corporate Governance: Bridging the Gap. New York, NY: AICPA.</w:t>
      </w:r>
    </w:p>
    <w:p w14:paraId="1E7114C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Amutabi, M. N. (2006). The NGO factor in Africa: The case of arrested development in Kenya. London: Routledge.</w:t>
      </w:r>
    </w:p>
    <w:p w14:paraId="7337CE2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Ashby, W.R. (1968). Some consequences of Bremermann‘s limit for information processing systems. In: H. Oestreicher and D. Moore, eds. Cybernetic Problems in Bionics. New York: Gordon and Breach, 69-76.</w:t>
      </w:r>
    </w:p>
    <w:p w14:paraId="3EEC3AD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Atu, O., Adeghe, R. &amp; Atu, K. (2014). Internal control as a potential instrument for corporate governance. IOSR Journal of Economics and Finance, 2: 66-70. </w:t>
      </w:r>
    </w:p>
    <w:p w14:paraId="0799CBA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Barber, Martin, and Cameron Bowie . 2018. “How International NGOs Could Do Less Harm and More Good.” Development in Practice 18 (6): 748-754.</w:t>
      </w:r>
    </w:p>
    <w:p w14:paraId="3227A4E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Barlett, J. E. &amp; Kotrlik, J. &amp; Higgins, C. (2001). Organizational research: Determining appropriate sample size in survey research. Information Technology, Learning, and Performance Journal. 19: 43-50.</w:t>
      </w:r>
    </w:p>
    <w:p w14:paraId="35EF2CA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Barney, J. B. (2001b). Resource-based theories of competitive advantage: A ten-year retrospective on the resource-based view. Journal of Management, 27(6): 643-675.</w:t>
      </w:r>
    </w:p>
    <w:p w14:paraId="3391F07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Beeler, J. D., Hunton, J. E. &amp; Wier, B. (1999). Promotion performance of internal auditors: A survival analysis. Internal Auditing, 14(4): 3–14.</w:t>
      </w:r>
    </w:p>
    <w:p w14:paraId="00C2FC9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Bertonèche, M. &amp; Knight, R. (2001). Financial performance. Oxford: Butterworth-Heinemann.</w:t>
      </w:r>
    </w:p>
    <w:p w14:paraId="5361144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Blattberg, C. (2004). Welfare: towards the patriotic corporation. New York: Oxford University Press.</w:t>
      </w:r>
    </w:p>
    <w:p w14:paraId="4E52F4E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Cazenave, B., &amp; Morales, J. (2021). NGO responses to financial evaluation: auditability, purification and performance. Accounting, Auditing &amp; Accountability Journal, 34(4), 731-756. </w:t>
      </w:r>
    </w:p>
    <w:p w14:paraId="5F8B224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Chalmers, K., Hay, D., &amp; Khlif, H. (2019). Internal control in accounting research: A review. Journal of Accounting Literature, 42(1), 80-103. </w:t>
      </w:r>
    </w:p>
    <w:p w14:paraId="77AFEDF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Chege, N. M. (2020). Effect of internal audit on financial performance of faith-based NGOs in Nairobi County, Kenya (Unpublished MBA project, Kenyatta University).</w:t>
      </w:r>
    </w:p>
    <w:p w14:paraId="3349F31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Chimiak, Galia. 2014. “The Rise and Stall of Non-Governmental Organizations in Development.” Polish Sociological Review 87 (4): 25-44.</w:t>
      </w:r>
    </w:p>
    <w:p w14:paraId="36FF1CF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Collins, Oyoo Otieno. 2014. “Effect of internal control on financial performance of Micro-finance institutions in Kisumu Central Constituency, Kenya.” Scholarly Journal of Scientific Research and Essay (SJSRE) 3 (10): 139-155.</w:t>
      </w:r>
    </w:p>
    <w:p w14:paraId="7406C2E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Cooper, D. R. &amp;. Schindler, P. S. (2014). Business research methods. McGraw-Hill Education.</w:t>
      </w:r>
    </w:p>
    <w:p w14:paraId="427051A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Cooper, Donald, and Cooper Schindler. 2014. Business Research Methods . New York : McGraw-Hill Education .</w:t>
      </w:r>
    </w:p>
    <w:p w14:paraId="69F9CBA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COSO, (2015). Internal control-integrated framework. Journal of Accounting, 1(2). </w:t>
      </w:r>
    </w:p>
    <w:p w14:paraId="2F07EC1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COSO. (2013). Internal control—Integrated framework: Executive summary. Committee of Sponsoring Organizations of the Treadway Commission.</w:t>
      </w:r>
    </w:p>
    <w:p w14:paraId="5DF9F1D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Covey, S. R. (2004). The 8th habit: From effectiveness to greatness. UK: Simon &amp; Schuster.</w:t>
      </w:r>
    </w:p>
    <w:p w14:paraId="58BEE49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Creswell, John W. 2018. Research Design: Qualitative, Quantitative, and Mixed Methods Approaches. California : SAGE Publications.</w:t>
      </w:r>
    </w:p>
    <w:p w14:paraId="2E549D3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Cronbach, L. J. (1951). Coefficient alpha and the internal structure of tests. psychometrika, 16(3), 297-334. </w:t>
      </w:r>
    </w:p>
    <w:p w14:paraId="7F204CC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Denman, D. E. (2019). 2018 report on occupational fraud: results and how companies can protect their assets. Journal of Accounting and Finance, 19(4), 97-112. </w:t>
      </w:r>
    </w:p>
    <w:p w14:paraId="152F3E0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Di Napoli, J. A. (2010). An empirical view of the transparent objectivity of forensic accounting expert witnesses. http://ssrn.com/abstract=1534705. </w:t>
      </w:r>
    </w:p>
    <w:p w14:paraId="506C29A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Donaldson, L. (2001). The contingency theory of organizations. Sage Publications.</w:t>
      </w:r>
    </w:p>
    <w:p w14:paraId="6086B69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Donaldson, L., &amp; Davis, J. H. (1991). Stewardship theory or agency theory: CEO governance and shareholder returns. Australian Journal of Management, 16(1), 49–64.</w:t>
      </w:r>
    </w:p>
    <w:p w14:paraId="2B17D7A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Ejoh, N. &amp; Ejom, P. (2014). The Impact of internal control activities on financial performance of tertiary institutions in Nigeria. Journal of Economics and Sustainable Development, 5(16): 133-143. </w:t>
      </w:r>
    </w:p>
    <w:p w14:paraId="4CB849B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Emeh, Y. &amp; Obi, J. O. (2013). An empirical analysis of forensic accounting and financial fraud in Nigeria. African Journal of Social Sciences, 3(4): 112-121.</w:t>
      </w:r>
    </w:p>
    <w:p w14:paraId="54F04EC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Eniola, Omoniyi, and Oluwafemi Akinselure. 2016. “Effect of Internal Control on Financial Performance of Firms in Nigeria. (A Study of Selected Manufacturing Firms).” IOSR Journal of Business and Management 18 (10): 80-85.</w:t>
      </w:r>
    </w:p>
    <w:p w14:paraId="220B716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Feng, M., Li, C., McVay, S. E. &amp; Skaife, H., S. (2015). Does ineffective internal control over financial reporting affect a firm's operations? Evidence from firms 'inventory management. The Accounting Review, 90(2): 529-557.</w:t>
      </w:r>
    </w:p>
    <w:p w14:paraId="2C0A43F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Fiedler, F. E. (1964). A contingency model of leadership effectiveness. Advances in Experimental Social Psychology, 1, 149–190.</w:t>
      </w:r>
    </w:p>
    <w:p w14:paraId="20DE933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Fiedler, F. E. (1967). A Theory of Leadership Effectiveness. Mcgraw-Hill Series in Management. </w:t>
      </w:r>
    </w:p>
    <w:p w14:paraId="15C2136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Gadziala, M. A. (2005). Remarks before the SIA compliance and legal division regional seminar. U.S. Securities and Exchange Commission.</w:t>
      </w:r>
    </w:p>
    <w:p w14:paraId="516E096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Gall, M.D., Gall, J. P., &amp; Borge, W. R. (2006). Educational research: An introduction. (8th Ed.), New York; Pearson.</w:t>
      </w:r>
    </w:p>
    <w:p w14:paraId="056C028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Goncharenko, G. (2021). The multiplicity of logics, trust, and interdependence in donor‐imposed reporting practices in the nonprofit sector. Financial Accountability &amp; Management, 37(2), 124-141. </w:t>
      </w:r>
    </w:p>
    <w:p w14:paraId="1BAA82F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Grewal, D., Levy, M., &amp; Lehmann, D. (2004). Retail branding and customer loyalty: An overview. Journal of Retailing 80 (10): 101-116.</w:t>
      </w:r>
    </w:p>
    <w:p w14:paraId="776DEF0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Hartmann, M. (2010). Contribution of systems thinking to business model research and business model innovation. International Journal of Technology Intelligence and Planning, 9(2): 51-70. </w:t>
      </w:r>
    </w:p>
    <w:p w14:paraId="4F76CD9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Hayali A., Sarili, S. &amp; Dinc, Y. (2012). Turkish experience in bank shareholders and top managers fraud: Imar Bank and Ihlas Finance case. The Macrotheme Review, 1(1): 115-129.</w:t>
      </w:r>
    </w:p>
    <w:p w14:paraId="1BB9AD4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Heremans, D. (2007). Corporate governance issues for banks: A financial stability perspective. Working Papers of Department of Economics, Leuven.   </w:t>
      </w:r>
    </w:p>
    <w:p w14:paraId="3D38BEE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Hernandez, Morela. 2012. “Toward an Understanding of the Psychology of Stewardship.” Management Revue 22 (3): 274-295.</w:t>
      </w:r>
    </w:p>
    <w:p w14:paraId="45007C6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Hideto Dato, M., Hudon, M., &amp;Mersland, R. (2020). Board governance: Does ownership matter?.Annals of Public and Cooperative Economics, 91(1), 5-28. </w:t>
      </w:r>
    </w:p>
    <w:p w14:paraId="3EB18F7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Hightower, R. (2013). Internal controls policies and procedures. Hoboken, N.J: Wiley.</w:t>
      </w:r>
    </w:p>
    <w:p w14:paraId="3CDA122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Hongming, C. &amp;Yanan, S. (2012). An empirical study on the correlation between the internal control and enterprise value-based on the information system. J. Comput., 7: 1688-1695.</w:t>
      </w:r>
    </w:p>
    <w:p w14:paraId="14F79CB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Ibrahim, Sahabi, Gordon Diibuzie, and Mohammed Abubakari. 2017. “The Impact of Internal Control Systems on Financial Performance: The Case of Health Institutions in Upper West Region of Ghana.” International Journal of Academic Research in Business and Social Sciences 7 (4): 6-19.</w:t>
      </w:r>
    </w:p>
    <w:p w14:paraId="7A44E36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Jensen, M. C., &amp; Meckling, W. H. (1976). Theory of the firm: Managerial behavior, agency costs and ownership structure. Journal of Financial Economics, 3(4), 305–360.</w:t>
      </w:r>
    </w:p>
    <w:p w14:paraId="3FD6254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Johnson, R. A. (1964). Systems theory and management. Management Science, 10(2): 367-384.</w:t>
      </w:r>
    </w:p>
    <w:p w14:paraId="15616D6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Julious, S. A. (2005). Sample size of 12 per group rule of thumb for a pilot study. Pharmaceutical Statistics, 4: 287-291.</w:t>
      </w:r>
    </w:p>
    <w:p w14:paraId="55AF33B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Kameri-Mbote, P. (2008). Strategic planning and implementation of public involvement in environmental decision. Environmental Law Research Centre Working, Nairobi.</w:t>
      </w:r>
    </w:p>
    <w:p w14:paraId="3D5F631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Kamunya, J., &amp;Chege, P. W. (2021). Does performance of NGO projects leverage on risk management strategies. International Academic Journal of Information Sciences and Project Management, 3(6), 483-498. </w:t>
      </w:r>
    </w:p>
    <w:p w14:paraId="0F688BD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Kantzos, C. &amp;Chondraki, A. (2006). Auditing theory and practise II. Stamouli, Athens.</w:t>
      </w:r>
    </w:p>
    <w:p w14:paraId="38C9C34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Kaplan, R. S. (2001). Strategic performance measurement and management in nonprofit organizations. Nonprofit Management &amp; Leadership, 11(3): 353-370.</w:t>
      </w:r>
    </w:p>
    <w:p w14:paraId="2F560EA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Karanja, J., &amp; Kamau, L. (2021). Influence of internal control systems on financial accountability of Non-Governmental Organizations in Kenya. International Journal of Finance and Accounting.</w:t>
      </w:r>
    </w:p>
    <w:p w14:paraId="137DFB6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Kasozi, D. (2018). Mapping compliance to organizational performance in statistical work. International Journal of Quality Assurance and Management, 8(1): 37-45.</w:t>
      </w:r>
    </w:p>
    <w:p w14:paraId="6322A89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Keating, V. C., &amp; Thrandardottir, E. (2017). NGOs, trust, and the accountability agenda. The British Journal of Politics and International Relations, 19(1), 134–151. https://doi.org/10.1177/1369148116682655</w:t>
      </w:r>
    </w:p>
    <w:p w14:paraId="43AA5A3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Keating, V. C., &amp;Thrandardottir, E. (2017). NGOs, trust, and the accountability agenda. The British Journal of Politics and International Relations, 19(1), 134-151. </w:t>
      </w:r>
    </w:p>
    <w:p w14:paraId="79547E2B"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King, J. N. (1978). Robert Crowley: a Tudor gospelling poet. The Yearbook of English Studies, 8, 220-237. </w:t>
      </w:r>
    </w:p>
    <w:p w14:paraId="397937A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Kinyua, J. (2016). Effect of internal control systems on financial performance of public institutions in Kenya (Unpublished MBA project, University of Nairobi).</w:t>
      </w:r>
    </w:p>
    <w:p w14:paraId="7A59ABA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Kiragu, D. N., Wanjau, K.L., Gekara, M. &amp;Kanali, C. (2013). Effects of bank growth on occupational fraud risks in commercial banks in Kenya. International Journal of Social Sciences and Entrepreneurship, I(3): 469-480.</w:t>
      </w:r>
    </w:p>
    <w:p w14:paraId="5D1B34A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Kotey, P. Reid, C. &amp;Ashelby, K. (2002).Management training and small firm performance: Why is the link so weak? International Small Business Journal, 14(4): 13 –24.</w:t>
      </w:r>
    </w:p>
    <w:p w14:paraId="77BEF43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Kothari, C. R., (2004). Research Methodology: Methods and Techniques. New Delhi. New Age International Publishers.</w:t>
      </w:r>
    </w:p>
    <w:p w14:paraId="73AB686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KPMG Africa Limited, (2012). Corporate governance. All Africa Global Media.</w:t>
      </w:r>
    </w:p>
    <w:p w14:paraId="11D1E90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Krug, B., &amp; Weinberg, J. (2004). Mission, performance and accountability in nonprofit organizations. Journal of Nonprofit Management, 8(1), 1–12.</w:t>
      </w:r>
    </w:p>
    <w:p w14:paraId="3CE66E4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Krug, K., &amp; Weinberg, C. B. (2004). Mission, money, and merit: Strategic decision making by nonprofit managers. Nonprofit Management and Leadership, 14(3), 325-342.  </w:t>
      </w:r>
    </w:p>
    <w:p w14:paraId="6F20F8A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Kugblenu, F. M. (2007). Separation of duty in role based access control system: A case study. Unpublished Masters Thesis, Department of Interaction and System Design, School of Engineering, Blekinge Institute of Technology, Ronneby, Sweden.</w:t>
      </w:r>
    </w:p>
    <w:p w14:paraId="5EF0D3B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Lee, Y. J., Park, S. M., &amp; Lee, H. S. (2012). Public–nonprofit partnerships for improving financial performance: The case of government-funded nonprofit organizations in South Korea. International Review of Public Administration, 17(3), 13–32. https://doi.org/10.1080/12294659.2012.10805236</w:t>
      </w:r>
    </w:p>
    <w:p w14:paraId="57F82A9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Maina, B. W. (2017). Effect of managerial control on financial performance of strategic management and income generating units of student welfare authority at the University of Nairobi. Unpublished Masters Thesis, University of Nairobi.</w:t>
      </w:r>
    </w:p>
    <w:p w14:paraId="6685D0E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Markus, Lynne, Ann Majchrzak, and Les Gasser. 2002. “A Design Theory for Systems That Support Emergent Knowledge Processes.” MIS Quarterly 26 (3): 179-212.</w:t>
      </w:r>
    </w:p>
    <w:p w14:paraId="36ABC15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Mawanda, K. (2008). Effects of internal control systems on financial performance in an institution of higher learning in Uganda. Millichamp Auditing: Cengage Learning EMEA.</w:t>
      </w:r>
    </w:p>
    <w:p w14:paraId="762468B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Michael, S. &amp; Combs, J. (2008). Entrepreneurial failure: The case of franchisees. Journal of Small Business Management, 46: 73-90.</w:t>
      </w:r>
    </w:p>
    <w:p w14:paraId="6DD20CF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Mikeladze, A. (2021). Financial Management Role for NGOs. European Journal of Economics and Business Studies, 7(1), 144 – 165. </w:t>
      </w:r>
    </w:p>
    <w:p w14:paraId="2E4873D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Mikeladze, K. (2021). Accountability in nonprofit financial management: Best practices and donor expectations. Nonprofit Management &amp; Leadership, 31(2), 245–262. https://doi.org/10.1002/nml.21440</w:t>
      </w:r>
    </w:p>
    <w:p w14:paraId="2C91C32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Ministry of Foreign Affairs and International Trade (2018). Strategic plan 2018/19 – 2022/23. </w:t>
      </w:r>
    </w:p>
    <w:p w14:paraId="6EF9395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Mitchell, G. E., &amp; Calabrese, T. D. (2019). Proverbs of nonprofit financial management. The American Review of Public Administration, 49(6), 649-661. </w:t>
      </w:r>
    </w:p>
    <w:p w14:paraId="4BCFE24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Mitchell, G. E., &amp; Calabrese, T. D. (2022). The Hidden Cost of Trustworthiness. Nonprofit and Voluntary Sector Quarterly, 08997640221092794. </w:t>
      </w:r>
    </w:p>
    <w:p w14:paraId="012785A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Mohammad, S. (2014). Liquidity creation and liquidity risk exposures in the banking sector:  A comparative exploration between Islamic, conventional and hybrid banks in the Gulf Corporation Council region. Working Paper 3, 2014, University of Durham, </w:t>
      </w:r>
    </w:p>
    <w:p w14:paraId="643DEC7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Mugo, J. M. (2013). Effects of internal controls on financial perfomanace of technical training institutions in Kenya. Unpublished Masters Thesis, University of Nairobi.</w:t>
      </w:r>
    </w:p>
    <w:p w14:paraId="36A58AEB"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Muithya, M. N., &amp; Kosgei, M. (2021). Analysis of the Effect of Internal Control on Financial Accountability of Selected Humanitarian Organizations in Nairobi City County, Kenya. The International Journal of Business &amp; Management, 9(5). </w:t>
      </w:r>
    </w:p>
    <w:p w14:paraId="07CF17B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Mukhina, A. S. (2015). International concept of an assessment of internal control efficiency in the conduct of an audit. Asian Social Science, 11(8): 58-64. </w:t>
      </w:r>
    </w:p>
    <w:p w14:paraId="2ECD7FC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Muli, J., &amp;Musau, S. (2022). Internal Controls and Financial Management of Humanitarian Non-Governmental Organizations in Nairobi City County, Kenya. African Journal of Emerging Issues, 4(10), 105-125. </w:t>
      </w:r>
    </w:p>
    <w:p w14:paraId="1CAAD26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 xml:space="preserve">Mulinge, R. K. (2021). Internal Audit and Performance of International Non-Governmental Humanitarian Organizations in Nairobi, Kenya. The International Journal of Business &amp; Management, 9(3). </w:t>
      </w:r>
    </w:p>
    <w:p w14:paraId="6056713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Mulyungi, Sibomana. 2018. “The Effect of Internal Controls on the Financial Performance of Non-Governmental Organizations in Rwanda-A case study of Africa Indoor Residual Spraying Project.” International Journal of Science and Research (IJSR) 4 (1): 56-91.</w:t>
      </w:r>
    </w:p>
    <w:p w14:paraId="6F43175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Munene, Mugo. 2013. Effects of Internal Controls on Financial Performance of Technical Training Institutions in Kenya. Nairobi: University of Nairobi .</w:t>
      </w:r>
    </w:p>
    <w:p w14:paraId="7BE41B5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Munyua, P. M., &amp; Moronge, M. (2018). Influence of internal controls on financial performance of non-governmental organizations in Kenya. International Journal of Business and Social Science, 9(2), 112–121.</w:t>
      </w:r>
    </w:p>
    <w:p w14:paraId="78F96FE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Muraleetharan, P. (2011). Internal control and impact of financial performance of the organizations. Special reference to public and private organizations in Jaffna district. Journal of Accounting and Finance, 8(3): 74-91.  </w:t>
      </w:r>
    </w:p>
    <w:p w14:paraId="1447040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Muraleetharan, P. (2011). Internal control and impact of financial performance of the organizations. Special reference to public and private organizations in Jaffna district. Journal of Accounting and Finance, 8(3): 74-91.  </w:t>
      </w:r>
    </w:p>
    <w:p w14:paraId="0371636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Mwakimasinde, M., Odhiambo, A. &amp; Byaruhanga, J. (2014). Effects of internal control systems on financial performance of sugarcane outgrower companies in Kenya. Journal of </w:t>
      </w:r>
      <w:r w:rsidRPr="00B55CEF">
        <w:rPr>
          <w:color w:val="000000" w:themeColor="text1"/>
        </w:rPr>
        <w:tab/>
        <w:t xml:space="preserve">Business and Management, 16(12): 62-73.  </w:t>
      </w:r>
    </w:p>
    <w:p w14:paraId="2FFFDD8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Mwakimasinde, M., Odhiambo, A. &amp; Byaruhanga, J. (2014). Effects of internal control systems on financial performance of sugarcane outgrower companies in Kenya. Journal of </w:t>
      </w:r>
      <w:r w:rsidRPr="00B55CEF">
        <w:rPr>
          <w:color w:val="000000" w:themeColor="text1"/>
        </w:rPr>
        <w:tab/>
        <w:t xml:space="preserve">Business and Management, 16(12): 62-73.  </w:t>
      </w:r>
    </w:p>
    <w:p w14:paraId="05E2863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Mwangi, R. (2021). The relationship between internal control systems and financial performance of NGOs in Nairobi (Unpublished thesis, Kenyatta University).</w:t>
      </w:r>
    </w:p>
    <w:p w14:paraId="5E42F33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Mwaura, P. M. (2013). The effects of financial accountability on the performance of Non-Governmental organizations in Kenya. Unpublished Masters Thesis, University of Nairobi.</w:t>
      </w:r>
    </w:p>
    <w:p w14:paraId="4978A67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Mwaura, P. M. (2013). The effects of financial accountability on the performance of Non-Governmental organizations in Kenya. Unpublished Masters Thesis, University of Nairobi.</w:t>
      </w:r>
    </w:p>
    <w:p w14:paraId="34982E1B"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Nakashima, M. (2017). Can the fraud triangle predict accounting fraud? Evidence from Japan. International Conference on Management on Emerging Markets</w:t>
      </w:r>
      <w:r w:rsidRPr="00B55CEF">
        <w:rPr>
          <w:rFonts w:eastAsia="MS Mincho"/>
          <w:color w:val="000000" w:themeColor="text1"/>
        </w:rPr>
        <w:t>（</w:t>
      </w:r>
      <w:r w:rsidRPr="00B55CEF">
        <w:rPr>
          <w:color w:val="000000" w:themeColor="text1"/>
        </w:rPr>
        <w:t>ICMEM</w:t>
      </w:r>
      <w:r w:rsidRPr="00B55CEF">
        <w:rPr>
          <w:rFonts w:eastAsia="MS Mincho"/>
          <w:color w:val="000000" w:themeColor="text1"/>
        </w:rPr>
        <w:t>２０１７）</w:t>
      </w:r>
      <w:r w:rsidRPr="00B55CEF">
        <w:rPr>
          <w:color w:val="000000" w:themeColor="text1"/>
        </w:rPr>
        <w:t xml:space="preserve"> and Innovation in Business and Strategy (ICIBM</w:t>
      </w:r>
      <w:r w:rsidRPr="00B55CEF">
        <w:rPr>
          <w:rFonts w:eastAsia="MS Mincho"/>
          <w:color w:val="000000" w:themeColor="text1"/>
        </w:rPr>
        <w:t>２０１７</w:t>
      </w:r>
      <w:r w:rsidRPr="00B55CEF">
        <w:rPr>
          <w:color w:val="000000" w:themeColor="text1"/>
        </w:rPr>
        <w:t>), Bali, Indonesia.</w:t>
      </w:r>
    </w:p>
    <w:p w14:paraId="4D2D7EB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Ndungu, E. W. (2020). Effect of internal control systems on financial performance of donor-funded projects in Kenya (Unpublished thesis, Kenyatta University).</w:t>
      </w:r>
    </w:p>
    <w:p w14:paraId="656372E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Ngari, Gabriel Mwaniki. 2017. “The Effect of Internal Controls on Financial Performance of Microfinance Institutions in Kenya.” International Academic Journal of Economics and Finance 2 (3): 112-140.</w:t>
      </w:r>
    </w:p>
    <w:p w14:paraId="333BA66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Ngigi, S. &amp;Kawira, M. (2015). Internal control system as means of fraud control in deposit taking financial institutions in Imenti North Sub-County. Research Journal of Finance and Accounting, 6(16): 118-128.</w:t>
      </w:r>
    </w:p>
    <w:p w14:paraId="126C079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Ngure, M. L., &amp;   Ali, A. I. (2020). Effect of internal controls on financial performance in insurance industry in Kenya, a case study of Insurance Company of East Africa Lion Life Assurance Limited, International Journal of Advanced Research and Review, 5(5), 76-100.  </w:t>
      </w:r>
    </w:p>
    <w:p w14:paraId="556B6EC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Nila, P. &amp;Viriyanti, K. (2008). The relationship between internal controls and good corporate governance: Survey on state owned enterprises in Bandung. Widyatama University, Working Paper.</w:t>
      </w:r>
    </w:p>
    <w:p w14:paraId="158613C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Njanike, K., Mutengezanwa, M. &amp;Gombarume, F. (2015). Internal controls in ensuring good corporate governance in financial institutions. Annals of the University of Petroşani, Economics; 11(1): 187-196.</w:t>
      </w:r>
    </w:p>
    <w:p w14:paraId="53B25FD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Norazlina, I., Nik, K. A. &amp;Nafsiah, M. (2016). Management control system and performance: Accountability attributes in local authorities. International Journal of Economics and Financial Issues, 6(S4): 26-35.</w:t>
      </w:r>
    </w:p>
    <w:p w14:paraId="7D136FB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Norman, C. S., Rose, A. M., &amp; Rose, J. M. (2010). Internal audit reporting lines, fraud risk decomposition, and assessments of fraud risk. Accounting, Organizations, and Society, 35(5): 546–557.</w:t>
      </w:r>
    </w:p>
    <w:p w14:paraId="6DB139D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Oduor, C. A., &amp; Muturi, W. (2019). Internal audit function and financial performance of NGOs in Kenya. International Journal of Economics, Commerce and Management, 7(4), 40–52.</w:t>
      </w:r>
    </w:p>
    <w:p w14:paraId="4305954C"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of Nairobi.</w:t>
      </w:r>
    </w:p>
    <w:p w14:paraId="483D5F7F"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Olarinmoye, OmobolajiOlolade. 2014. “Accountability in Faith-Based Organizations in Nigeria.” Transformation 31 (1): 47-61.</w:t>
      </w:r>
    </w:p>
    <w:p w14:paraId="758571A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ole of green credit. Energy Economics, 97, 105190.</w:t>
      </w:r>
    </w:p>
    <w:p w14:paraId="1B6566A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Oppong, Mosses, Alexander Owiredu, and Virgil Abedana. 2016. “The Impact of Internal Control on the Performance of Faith-Based NGOs in Accra.” Accounting Review 4 (2): 9-16.</w:t>
      </w:r>
    </w:p>
    <w:p w14:paraId="1C1F4EC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Ortega-Rodríguez, C., Licerán-Gutiérrez, A., &amp; Moreno-Albarracín, A. L. (2020). Transparency as a key element in accountability in non-profit organizations: A systematic literature review. Sustainability, 12(14), 5834. </w:t>
      </w:r>
    </w:p>
    <w:p w14:paraId="781D569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Otieno, E. (2020). Financial sustainability challenges among NGOs in Kenya. Journal of Economics and Finance, 11(3), 45–52.</w:t>
      </w:r>
    </w:p>
    <w:p w14:paraId="1890EC0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Park, Y. J., Shon, J., &amp; Lu, J. (2022). Predicting organizational mortality: How financial management matters. Administration &amp; Society, 54(5), 828-856. </w:t>
      </w:r>
    </w:p>
    <w:p w14:paraId="0ABC83EB"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Parks, Thomas. 2008. “The Rise and Fall of Donor Funding for Advocacy NGOs: Understanding the Impact.” Development Practice 18 (2): 213-222.</w:t>
      </w:r>
    </w:p>
    <w:p w14:paraId="7D1D960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 Pärl, Ü., Paemurru, E., Paemurru, K., &amp;Kivisoo, H. (2022). Dialogical turn of accounting and accountability integrated reporting in non-profit and public-sector organisations. Journal of Public Budgeting, Accounting &amp; Financial Management, 34(1), 27-51.  </w:t>
      </w:r>
    </w:p>
    <w:p w14:paraId="731070B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Petrovits, Christine, Catherine Shakespeare, and Aimee Shih. 2011. “The Causes and Consequences of Internal Control Problems in Nonprofit Organizations.” The Accounting Review 86 (1): 325-357.</w:t>
      </w:r>
    </w:p>
    <w:p w14:paraId="58C0F9E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Pincus, K. (1989). The efficacy of a red flags questionnaire for assessing the possibility of fraud. Accounting, Organisation, and Society, 14, 153-163.</w:t>
      </w:r>
    </w:p>
    <w:p w14:paraId="7E40735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Pratolo, S. (2007). Good corporate governance and the performance of state owned enterprises in Indonesia. National Symposium of Accounting X; Makasar, Indonesia.</w:t>
      </w:r>
    </w:p>
    <w:p w14:paraId="099537E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Prayogi, M. A., Lesmana, M. T., &amp;Siregar, L. H. (2019, August). The influence of communication and work discipline to employee performance. In First International Conference on Administration Science (ICAS 2019) (pp. 423-426). Atlantis Press. </w:t>
      </w:r>
    </w:p>
    <w:p w14:paraId="3C8D8EF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Realyvásquez-Vargas, A., Arredondo-Soto, K. C., García-Alcaraz, J. L., &amp;Macías, E. J. (2020). Improving a manufacturing process using the 8ds method. A case study in a manufacturing company. Applied Sciences, 10(7), 2433. </w:t>
      </w:r>
    </w:p>
    <w:p w14:paraId="1DB2D74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Rittenberg, L. E. &amp;Schwieger, B. J. (2005). Revenue generation: Concepts for a changing environment. Mason: South-Western, Thomson Corporation.</w:t>
      </w:r>
    </w:p>
    <w:p w14:paraId="70FA6D9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Sangmi, M. N. (2010). Analyzing financial performance of commercial banks in India: Application of CAMEL Model. Pak. J. Commer. Soc. Sci, 2(9): 40-55.</w:t>
      </w:r>
    </w:p>
    <w:p w14:paraId="524AA0F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Sassaman, K. E. (2020). The Concept of Security Controls. In Implementing Information Security in Healthcare (pp. 71-74). HIMSS Publishing. </w:t>
      </w:r>
    </w:p>
    <w:p w14:paraId="140E8B5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Scott, R. W. (1995). Institutions and organizations: Ideas, Interests, and Identities. M@n@gement, 2(2): 136-140. </w:t>
      </w:r>
    </w:p>
    <w:p w14:paraId="0D04270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Scott, W. R. (2004). Institutions and organizations: Ideas, interests, and identities. Paperback: Sage. </w:t>
      </w:r>
    </w:p>
    <w:p w14:paraId="735A07A3"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lastRenderedPageBreak/>
        <w:t>Scott, W. R. (2014). Financial accounting theory (7th Ed.). Toronto, Ont: Pearson Prentice Hall, Chicago.</w:t>
      </w:r>
    </w:p>
    <w:p w14:paraId="5FE3FF1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Seetharaman, A., Gul, F. &amp; Lynn, S. (2002). Litigation risk and audit fees: Evidence from UK firms cross-listed on US markets. Journal of Accounting and Economics, 33: 91-115. </w:t>
      </w:r>
    </w:p>
    <w:p w14:paraId="48BDC70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Sekaran, U., (2003). Research methods for business (4th ed.). Hoboken, NJ: John Wiley &amp; Sons.</w:t>
      </w:r>
    </w:p>
    <w:p w14:paraId="3389682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Setyaningsih, P. R., &amp;Nengzih, N. (2020). Internal Control, Organizational Culture, and Quality of Information Accounting to Prevent Fraud: Case Study from Indonesia's Agriculture Industry. International Journal of Financial Research, 11(4), 316-328. </w:t>
      </w:r>
    </w:p>
    <w:p w14:paraId="396D8FB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Sivasubramaniam, S. (2020). Accounting practices and organizational performance: Evidence from Small and Medium Scale Enterprises in Sri Lanka. Indian Journal of Finance and Banking, 4: 69-75. </w:t>
      </w:r>
    </w:p>
    <w:p w14:paraId="3B300AE5"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Smit, P. J. &amp; Cronje, G. J. (2002). Management principles: A contemporary edition for Africa (3rd ed.). Cape Town: Juta.</w:t>
      </w:r>
    </w:p>
    <w:p w14:paraId="3D1EC6B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Soi, P. C. &amp;Oluoch, J. (2021). Effect of internal controls on the financial performance of county referral hospitals in Kenya. Global Journal of Management and Business Research, 21(3), 1-19.  </w:t>
      </w:r>
    </w:p>
    <w:p w14:paraId="60BB087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Stewart, Jenny, and Russell Ayres. 2001. “Systems Theory and Policy Practice: An Exploration.” Policy Sciences 34 (1): 79-94.</w:t>
      </w:r>
    </w:p>
    <w:p w14:paraId="023FB15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Transparency International Kenya. (2022). Annual Corruption Report 2022. Nairobi: TI-Kenya.</w:t>
      </w:r>
    </w:p>
    <w:p w14:paraId="60832BB9"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Von Bertalanffy, L. (1940). General theory of systems : Application to psychology. Social Science Information, 6(6): 125–136.</w:t>
      </w:r>
    </w:p>
    <w:p w14:paraId="23313F3D"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Von Bertalanffy, L. (1950). The theory of open systems in physics and biology. Science, 111(2872), 23-29. </w:t>
      </w:r>
    </w:p>
    <w:p w14:paraId="3353C846"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Wambugu, Elizabeth. 2014. Influence of Internal Controls on Operational Efficiency in Non-Governmental Organizations: A Case of Amref Health Africa in Kenya . Master Thesis, Nairobi: University of Nairobi .</w:t>
      </w:r>
    </w:p>
    <w:p w14:paraId="3036F95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Wang, Yijing, and Guido Berens. 2015. “The Impact of Four Types of Corporate Social Performance on Reputation and Financial Performance.” Journal of Business Ethics 131 (2): 337-359.</w:t>
      </w:r>
    </w:p>
    <w:p w14:paraId="4808B5F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Wang, Yilin, and Lei Ruan. 2016. “A Research on Internal Control, Cash Dividends and Enterprise Performance Based on Economic Consequences.” Filomat 30 (15): 90-123.</w:t>
      </w:r>
    </w:p>
    <w:p w14:paraId="11393DB1"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Wanjiru, A. (2019). Influence of performance management systems on the financial performance of NGOs in Kenya (Unpublished MBA project, University of Nairobi).</w:t>
      </w:r>
    </w:p>
    <w:p w14:paraId="5C005FEE"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Wanyama, F. O. (2019). The role of NGOs in development in Africa: A case study of Kenya. African Research and Resource Forum.</w:t>
      </w:r>
    </w:p>
    <w:p w14:paraId="156D02E2"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Werle, N. (2019). Prosecuting corporate crime when firms are too big to jail: investigation, deterrence, and judicial review. The Yale Law Journal, 128(5), 1366-1438. </w:t>
      </w:r>
    </w:p>
    <w:p w14:paraId="12144E4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Whittington, R. (2001). Learning to strategize: Problems of practice. SKOPE Research Paper, 20.</w:t>
      </w:r>
    </w:p>
    <w:p w14:paraId="300BB9C8"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Wielstra, B. A. (2014). Assessing the impact of business process redesign decisions on internal control within banks: A methodology. Unpublished Masters Thesis, University of Twente.</w:t>
      </w:r>
    </w:p>
    <w:p w14:paraId="4CE30C24"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 xml:space="preserve">Wiencierz, C., Pöppel, K. G., &amp;Röttger, U. (2015). Where does my money go? How online comments on a donation campaign influence the perceived trustworthiness of a nonprofit organization. International Journal of Strategic Communication, 9(2), 102-117.  </w:t>
      </w:r>
    </w:p>
    <w:p w14:paraId="3D559CCA"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Yang, D. C. &amp; Guan, L. (2004). The evolution of IT auditing and internal control standards in financial statement audits: The Case of the United States. Managerial Auditing Journal, 19 (4): 544-555.</w:t>
      </w:r>
    </w:p>
    <w:p w14:paraId="186CD7D0"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Young, D. R. (2020). Financing nonprofits: Putting theory into practice. Rowman &amp; Littlefield.</w:t>
      </w:r>
    </w:p>
    <w:p w14:paraId="22A005A7" w14:textId="77777777" w:rsidR="00B55CEF" w:rsidRPr="00B55CEF" w:rsidRDefault="00B55CEF" w:rsidP="00B55CEF">
      <w:pPr>
        <w:pStyle w:val="NormalWeb"/>
        <w:spacing w:before="0" w:beforeAutospacing="0" w:after="0" w:afterAutospacing="0" w:line="276" w:lineRule="auto"/>
        <w:ind w:left="720" w:hanging="720"/>
        <w:rPr>
          <w:color w:val="000000" w:themeColor="text1"/>
        </w:rPr>
      </w:pPr>
      <w:r w:rsidRPr="00B55CEF">
        <w:rPr>
          <w:color w:val="000000" w:themeColor="text1"/>
        </w:rPr>
        <w:t>Zureigat, Q. M. (2010). The effect of ownership structure on audit quality: Evidence from Jordan. International Journal of Business and Social Science, 2(10): 38-46.</w:t>
      </w:r>
    </w:p>
    <w:sectPr w:rsidR="00B55CEF" w:rsidRPr="00B55CEF" w:rsidSect="00055D83">
      <w:headerReference w:type="even" r:id="rId7"/>
      <w:headerReference w:type="default" r:id="rId8"/>
      <w:footerReference w:type="even" r:id="rId9"/>
      <w:footerReference w:type="default" r:id="rId10"/>
      <w:headerReference w:type="first" r:id="rId11"/>
      <w:footerReference w:type="first" r:id="rId12"/>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DEC96" w14:textId="77777777" w:rsidR="00DD5AFF" w:rsidRDefault="00DD5AFF">
      <w:pPr>
        <w:spacing w:before="0" w:line="240" w:lineRule="auto"/>
      </w:pPr>
      <w:r>
        <w:separator/>
      </w:r>
    </w:p>
  </w:endnote>
  <w:endnote w:type="continuationSeparator" w:id="0">
    <w:p w14:paraId="31F57792" w14:textId="77777777" w:rsidR="00DD5AFF" w:rsidRDefault="00DD5AF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CA09F" w14:textId="77777777" w:rsidR="003462A3" w:rsidRDefault="00346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36679"/>
      <w:docPartObj>
        <w:docPartGallery w:val="Page Numbers (Bottom of Page)"/>
        <w:docPartUnique/>
      </w:docPartObj>
    </w:sdtPr>
    <w:sdtEndPr>
      <w:rPr>
        <w:noProof/>
        <w:sz w:val="20"/>
        <w:szCs w:val="18"/>
      </w:rPr>
    </w:sdtEndPr>
    <w:sdtContent>
      <w:p w14:paraId="78E128D3" w14:textId="73C6C8A3" w:rsidR="004A12F4" w:rsidRPr="008A0558" w:rsidRDefault="00556C7C">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573691">
          <w:rPr>
            <w:noProof/>
            <w:sz w:val="20"/>
            <w:szCs w:val="18"/>
          </w:rPr>
          <w:t>2</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7F637" w14:textId="77777777" w:rsidR="003462A3" w:rsidRDefault="00346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825B7" w14:textId="77777777" w:rsidR="00DD5AFF" w:rsidRDefault="00DD5AFF">
      <w:pPr>
        <w:spacing w:before="0" w:line="240" w:lineRule="auto"/>
      </w:pPr>
      <w:r>
        <w:separator/>
      </w:r>
    </w:p>
  </w:footnote>
  <w:footnote w:type="continuationSeparator" w:id="0">
    <w:p w14:paraId="388D8D18" w14:textId="77777777" w:rsidR="00DD5AFF" w:rsidRDefault="00DD5AF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A8A1" w14:textId="3CC830C1" w:rsidR="003462A3" w:rsidRDefault="00DD5AFF">
    <w:pPr>
      <w:pStyle w:val="Header"/>
    </w:pPr>
    <w:r>
      <w:rPr>
        <w:noProof/>
      </w:rPr>
      <w:pict w14:anchorId="27C7F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78485"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18DD8" w14:textId="02B4CA73" w:rsidR="003462A3" w:rsidRDefault="00DD5AFF">
    <w:pPr>
      <w:pStyle w:val="Header"/>
    </w:pPr>
    <w:r>
      <w:rPr>
        <w:noProof/>
      </w:rPr>
      <w:pict w14:anchorId="23F4D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78486"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9E8A6" w14:textId="2943EA1E" w:rsidR="003462A3" w:rsidRDefault="00DD5AFF">
    <w:pPr>
      <w:pStyle w:val="Header"/>
    </w:pPr>
    <w:r>
      <w:rPr>
        <w:noProof/>
      </w:rPr>
      <w:pict w14:anchorId="105F0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78484"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687400"/>
    <w:multiLevelType w:val="hybridMultilevel"/>
    <w:tmpl w:val="0718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566D1"/>
    <w:multiLevelType w:val="hybridMultilevel"/>
    <w:tmpl w:val="7BAE53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01C5E"/>
    <w:multiLevelType w:val="hybridMultilevel"/>
    <w:tmpl w:val="F65823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4A1EAC"/>
    <w:multiLevelType w:val="hybridMultilevel"/>
    <w:tmpl w:val="A7EA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E5C35"/>
    <w:multiLevelType w:val="hybridMultilevel"/>
    <w:tmpl w:val="4A0A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B47B39"/>
    <w:multiLevelType w:val="hybridMultilevel"/>
    <w:tmpl w:val="0D0A84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2D3349"/>
    <w:multiLevelType w:val="hybridMultilevel"/>
    <w:tmpl w:val="7B7E2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B8C22F9"/>
    <w:multiLevelType w:val="hybridMultilevel"/>
    <w:tmpl w:val="DDBAC8F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14">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4"/>
  </w:num>
  <w:num w:numId="2">
    <w:abstractNumId w:val="10"/>
  </w:num>
  <w:num w:numId="3">
    <w:abstractNumId w:val="15"/>
  </w:num>
  <w:num w:numId="4">
    <w:abstractNumId w:val="14"/>
  </w:num>
  <w:num w:numId="5">
    <w:abstractNumId w:val="11"/>
  </w:num>
  <w:num w:numId="6">
    <w:abstractNumId w:val="13"/>
  </w:num>
  <w:num w:numId="7">
    <w:abstractNumId w:val="3"/>
  </w:num>
  <w:num w:numId="8">
    <w:abstractNumId w:val="0"/>
  </w:num>
  <w:num w:numId="9">
    <w:abstractNumId w:val="8"/>
  </w:num>
  <w:num w:numId="10">
    <w:abstractNumId w:val="5"/>
  </w:num>
  <w:num w:numId="11">
    <w:abstractNumId w:val="1"/>
  </w:num>
  <w:num w:numId="12">
    <w:abstractNumId w:val="7"/>
  </w:num>
  <w:num w:numId="13">
    <w:abstractNumId w:val="9"/>
  </w:num>
  <w:num w:numId="14">
    <w:abstractNumId w:val="12"/>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83"/>
    <w:rsid w:val="00005286"/>
    <w:rsid w:val="00014726"/>
    <w:rsid w:val="0001490C"/>
    <w:rsid w:val="000443AB"/>
    <w:rsid w:val="000446E8"/>
    <w:rsid w:val="00047D61"/>
    <w:rsid w:val="0005124C"/>
    <w:rsid w:val="00055D83"/>
    <w:rsid w:val="000577EB"/>
    <w:rsid w:val="0006448B"/>
    <w:rsid w:val="00064933"/>
    <w:rsid w:val="000661F9"/>
    <w:rsid w:val="00073097"/>
    <w:rsid w:val="000747C2"/>
    <w:rsid w:val="000750F8"/>
    <w:rsid w:val="00076BA5"/>
    <w:rsid w:val="00082DAA"/>
    <w:rsid w:val="000971F6"/>
    <w:rsid w:val="0009733F"/>
    <w:rsid w:val="000A3BD7"/>
    <w:rsid w:val="000A57EC"/>
    <w:rsid w:val="000A6884"/>
    <w:rsid w:val="000B496D"/>
    <w:rsid w:val="000C037E"/>
    <w:rsid w:val="000D075E"/>
    <w:rsid w:val="000D0F56"/>
    <w:rsid w:val="000D1B44"/>
    <w:rsid w:val="000D7152"/>
    <w:rsid w:val="000D7DAA"/>
    <w:rsid w:val="000E2349"/>
    <w:rsid w:val="00111B62"/>
    <w:rsid w:val="001163C7"/>
    <w:rsid w:val="00126D18"/>
    <w:rsid w:val="00130874"/>
    <w:rsid w:val="001403AD"/>
    <w:rsid w:val="00142F60"/>
    <w:rsid w:val="001450C8"/>
    <w:rsid w:val="001452A3"/>
    <w:rsid w:val="00154669"/>
    <w:rsid w:val="00162029"/>
    <w:rsid w:val="00167C75"/>
    <w:rsid w:val="0018163F"/>
    <w:rsid w:val="001938DE"/>
    <w:rsid w:val="001A5880"/>
    <w:rsid w:val="001C0412"/>
    <w:rsid w:val="001C4B7D"/>
    <w:rsid w:val="001D23A9"/>
    <w:rsid w:val="001D4A55"/>
    <w:rsid w:val="001D6A60"/>
    <w:rsid w:val="001E0043"/>
    <w:rsid w:val="001E21F0"/>
    <w:rsid w:val="001E5289"/>
    <w:rsid w:val="001E649F"/>
    <w:rsid w:val="001F024F"/>
    <w:rsid w:val="001F2B0E"/>
    <w:rsid w:val="001F7468"/>
    <w:rsid w:val="00204AAD"/>
    <w:rsid w:val="0022048F"/>
    <w:rsid w:val="0022156B"/>
    <w:rsid w:val="00223099"/>
    <w:rsid w:val="00223A1A"/>
    <w:rsid w:val="0022500A"/>
    <w:rsid w:val="00243C69"/>
    <w:rsid w:val="0024737A"/>
    <w:rsid w:val="0025635B"/>
    <w:rsid w:val="00260B2D"/>
    <w:rsid w:val="002645C1"/>
    <w:rsid w:val="00270AED"/>
    <w:rsid w:val="00271CF6"/>
    <w:rsid w:val="00274AC6"/>
    <w:rsid w:val="00276CE5"/>
    <w:rsid w:val="002779A5"/>
    <w:rsid w:val="002856C7"/>
    <w:rsid w:val="002859D4"/>
    <w:rsid w:val="002860AE"/>
    <w:rsid w:val="002B2D3C"/>
    <w:rsid w:val="002B5578"/>
    <w:rsid w:val="002C5E15"/>
    <w:rsid w:val="002C6F25"/>
    <w:rsid w:val="002C72A3"/>
    <w:rsid w:val="002D1CB2"/>
    <w:rsid w:val="002D32ED"/>
    <w:rsid w:val="002D4259"/>
    <w:rsid w:val="002D7340"/>
    <w:rsid w:val="002E3874"/>
    <w:rsid w:val="002E784F"/>
    <w:rsid w:val="002F03DA"/>
    <w:rsid w:val="002F3573"/>
    <w:rsid w:val="00300BE0"/>
    <w:rsid w:val="00301FD6"/>
    <w:rsid w:val="003029F0"/>
    <w:rsid w:val="00311DFA"/>
    <w:rsid w:val="003131D7"/>
    <w:rsid w:val="003140FD"/>
    <w:rsid w:val="00323D68"/>
    <w:rsid w:val="00324548"/>
    <w:rsid w:val="0033028F"/>
    <w:rsid w:val="0033151D"/>
    <w:rsid w:val="00336C6D"/>
    <w:rsid w:val="00337145"/>
    <w:rsid w:val="00342FD9"/>
    <w:rsid w:val="00343363"/>
    <w:rsid w:val="003462A3"/>
    <w:rsid w:val="0036344E"/>
    <w:rsid w:val="00370F8B"/>
    <w:rsid w:val="00372DCB"/>
    <w:rsid w:val="00376BF4"/>
    <w:rsid w:val="003A2387"/>
    <w:rsid w:val="003A32FA"/>
    <w:rsid w:val="003C4227"/>
    <w:rsid w:val="003C581F"/>
    <w:rsid w:val="003C59BB"/>
    <w:rsid w:val="003C7107"/>
    <w:rsid w:val="003D2541"/>
    <w:rsid w:val="003D39AB"/>
    <w:rsid w:val="003D7198"/>
    <w:rsid w:val="003E0D69"/>
    <w:rsid w:val="003E0FAD"/>
    <w:rsid w:val="003F01AE"/>
    <w:rsid w:val="003F72A0"/>
    <w:rsid w:val="00406845"/>
    <w:rsid w:val="004071F4"/>
    <w:rsid w:val="00407977"/>
    <w:rsid w:val="0041566F"/>
    <w:rsid w:val="00415ABE"/>
    <w:rsid w:val="004165B3"/>
    <w:rsid w:val="00421CF2"/>
    <w:rsid w:val="0042251A"/>
    <w:rsid w:val="00426617"/>
    <w:rsid w:val="00426CDB"/>
    <w:rsid w:val="00437393"/>
    <w:rsid w:val="00440EF7"/>
    <w:rsid w:val="00440F4A"/>
    <w:rsid w:val="004916BB"/>
    <w:rsid w:val="004963A4"/>
    <w:rsid w:val="00496991"/>
    <w:rsid w:val="004A12F4"/>
    <w:rsid w:val="004A3F7C"/>
    <w:rsid w:val="004A5357"/>
    <w:rsid w:val="004B7C71"/>
    <w:rsid w:val="004C3121"/>
    <w:rsid w:val="004C41F7"/>
    <w:rsid w:val="004C4596"/>
    <w:rsid w:val="004D081D"/>
    <w:rsid w:val="004D5CCD"/>
    <w:rsid w:val="004E3D2D"/>
    <w:rsid w:val="004E4A2C"/>
    <w:rsid w:val="00505972"/>
    <w:rsid w:val="00506D81"/>
    <w:rsid w:val="00526412"/>
    <w:rsid w:val="0052667E"/>
    <w:rsid w:val="005417F4"/>
    <w:rsid w:val="0054398C"/>
    <w:rsid w:val="00546369"/>
    <w:rsid w:val="00556C7C"/>
    <w:rsid w:val="00561737"/>
    <w:rsid w:val="00563CE7"/>
    <w:rsid w:val="005666F9"/>
    <w:rsid w:val="00571717"/>
    <w:rsid w:val="00571F99"/>
    <w:rsid w:val="00573691"/>
    <w:rsid w:val="005740B5"/>
    <w:rsid w:val="00575F00"/>
    <w:rsid w:val="00591DBD"/>
    <w:rsid w:val="005926C9"/>
    <w:rsid w:val="00594F68"/>
    <w:rsid w:val="005B04D7"/>
    <w:rsid w:val="005B0558"/>
    <w:rsid w:val="005D3FE1"/>
    <w:rsid w:val="005D72F4"/>
    <w:rsid w:val="005E3D2C"/>
    <w:rsid w:val="005F1DA5"/>
    <w:rsid w:val="005F2F50"/>
    <w:rsid w:val="0060683F"/>
    <w:rsid w:val="00610BEF"/>
    <w:rsid w:val="00615B2D"/>
    <w:rsid w:val="00616E93"/>
    <w:rsid w:val="006177C4"/>
    <w:rsid w:val="006211E5"/>
    <w:rsid w:val="00622E5D"/>
    <w:rsid w:val="00623C02"/>
    <w:rsid w:val="00632E53"/>
    <w:rsid w:val="00652189"/>
    <w:rsid w:val="0065654C"/>
    <w:rsid w:val="00661AAF"/>
    <w:rsid w:val="00675C16"/>
    <w:rsid w:val="006826A1"/>
    <w:rsid w:val="00683F32"/>
    <w:rsid w:val="0068692A"/>
    <w:rsid w:val="006A0520"/>
    <w:rsid w:val="006B1220"/>
    <w:rsid w:val="006B23EE"/>
    <w:rsid w:val="006B3C88"/>
    <w:rsid w:val="006B5A8E"/>
    <w:rsid w:val="006B5CA2"/>
    <w:rsid w:val="006C3DFD"/>
    <w:rsid w:val="006C41A9"/>
    <w:rsid w:val="006C4D79"/>
    <w:rsid w:val="006D16E8"/>
    <w:rsid w:val="006E1D74"/>
    <w:rsid w:val="006E3F3F"/>
    <w:rsid w:val="006E526B"/>
    <w:rsid w:val="0070085D"/>
    <w:rsid w:val="00714562"/>
    <w:rsid w:val="0071731F"/>
    <w:rsid w:val="007173FC"/>
    <w:rsid w:val="007205CE"/>
    <w:rsid w:val="00722A32"/>
    <w:rsid w:val="00723B81"/>
    <w:rsid w:val="007313ED"/>
    <w:rsid w:val="00734C30"/>
    <w:rsid w:val="0076188C"/>
    <w:rsid w:val="00762807"/>
    <w:rsid w:val="007656A9"/>
    <w:rsid w:val="0077042C"/>
    <w:rsid w:val="00774F84"/>
    <w:rsid w:val="007769D0"/>
    <w:rsid w:val="00777615"/>
    <w:rsid w:val="00784B96"/>
    <w:rsid w:val="00785F6F"/>
    <w:rsid w:val="00790BF9"/>
    <w:rsid w:val="00795B86"/>
    <w:rsid w:val="00797B58"/>
    <w:rsid w:val="007A0442"/>
    <w:rsid w:val="007A2567"/>
    <w:rsid w:val="007A48D9"/>
    <w:rsid w:val="007A602B"/>
    <w:rsid w:val="007A6B64"/>
    <w:rsid w:val="007A7328"/>
    <w:rsid w:val="007A784F"/>
    <w:rsid w:val="007B75C6"/>
    <w:rsid w:val="007C3182"/>
    <w:rsid w:val="007C6929"/>
    <w:rsid w:val="007D08AC"/>
    <w:rsid w:val="007D4F35"/>
    <w:rsid w:val="007E5A6C"/>
    <w:rsid w:val="007F1318"/>
    <w:rsid w:val="007F4F3C"/>
    <w:rsid w:val="008003E7"/>
    <w:rsid w:val="00801466"/>
    <w:rsid w:val="0081762C"/>
    <w:rsid w:val="008209F0"/>
    <w:rsid w:val="00822A7E"/>
    <w:rsid w:val="008263C5"/>
    <w:rsid w:val="008456FF"/>
    <w:rsid w:val="00854FF7"/>
    <w:rsid w:val="00857BF9"/>
    <w:rsid w:val="00860F17"/>
    <w:rsid w:val="00870B4E"/>
    <w:rsid w:val="008718EE"/>
    <w:rsid w:val="00872612"/>
    <w:rsid w:val="00876501"/>
    <w:rsid w:val="00880213"/>
    <w:rsid w:val="00895281"/>
    <w:rsid w:val="008A5E87"/>
    <w:rsid w:val="008B511B"/>
    <w:rsid w:val="008B630B"/>
    <w:rsid w:val="008B7836"/>
    <w:rsid w:val="008B7D65"/>
    <w:rsid w:val="008C2098"/>
    <w:rsid w:val="008D43EA"/>
    <w:rsid w:val="008E2312"/>
    <w:rsid w:val="008F4E62"/>
    <w:rsid w:val="00906288"/>
    <w:rsid w:val="0092006B"/>
    <w:rsid w:val="00925466"/>
    <w:rsid w:val="0092720B"/>
    <w:rsid w:val="00935ABF"/>
    <w:rsid w:val="00945F70"/>
    <w:rsid w:val="00961903"/>
    <w:rsid w:val="00963A57"/>
    <w:rsid w:val="00973355"/>
    <w:rsid w:val="009841F2"/>
    <w:rsid w:val="00993BED"/>
    <w:rsid w:val="009963FB"/>
    <w:rsid w:val="009A067C"/>
    <w:rsid w:val="009A1D5D"/>
    <w:rsid w:val="009A554D"/>
    <w:rsid w:val="009B17C5"/>
    <w:rsid w:val="009B2CE5"/>
    <w:rsid w:val="009B3203"/>
    <w:rsid w:val="009B38E7"/>
    <w:rsid w:val="009B728E"/>
    <w:rsid w:val="009B7DE4"/>
    <w:rsid w:val="009C0C7F"/>
    <w:rsid w:val="009C11BB"/>
    <w:rsid w:val="009D5CE2"/>
    <w:rsid w:val="009E0B92"/>
    <w:rsid w:val="009E0CF9"/>
    <w:rsid w:val="009E457F"/>
    <w:rsid w:val="009E783A"/>
    <w:rsid w:val="009F3871"/>
    <w:rsid w:val="009F5632"/>
    <w:rsid w:val="009F6D2D"/>
    <w:rsid w:val="00A00A05"/>
    <w:rsid w:val="00A0120F"/>
    <w:rsid w:val="00A01E19"/>
    <w:rsid w:val="00A22EB7"/>
    <w:rsid w:val="00A27439"/>
    <w:rsid w:val="00A31119"/>
    <w:rsid w:val="00A40F08"/>
    <w:rsid w:val="00A52C12"/>
    <w:rsid w:val="00A57832"/>
    <w:rsid w:val="00A616A9"/>
    <w:rsid w:val="00A6679B"/>
    <w:rsid w:val="00A67F40"/>
    <w:rsid w:val="00A73EDF"/>
    <w:rsid w:val="00A75341"/>
    <w:rsid w:val="00A81F27"/>
    <w:rsid w:val="00A82DFB"/>
    <w:rsid w:val="00A85593"/>
    <w:rsid w:val="00A85B82"/>
    <w:rsid w:val="00A91ACF"/>
    <w:rsid w:val="00A91C98"/>
    <w:rsid w:val="00A94D23"/>
    <w:rsid w:val="00A9586C"/>
    <w:rsid w:val="00A96A1E"/>
    <w:rsid w:val="00AC0D69"/>
    <w:rsid w:val="00AD0959"/>
    <w:rsid w:val="00AD6429"/>
    <w:rsid w:val="00AE4AA5"/>
    <w:rsid w:val="00AF253B"/>
    <w:rsid w:val="00AF37F5"/>
    <w:rsid w:val="00B00FCB"/>
    <w:rsid w:val="00B03327"/>
    <w:rsid w:val="00B04E6C"/>
    <w:rsid w:val="00B108BB"/>
    <w:rsid w:val="00B22173"/>
    <w:rsid w:val="00B40DD3"/>
    <w:rsid w:val="00B449E1"/>
    <w:rsid w:val="00B44B78"/>
    <w:rsid w:val="00B55CEF"/>
    <w:rsid w:val="00B55DC9"/>
    <w:rsid w:val="00B717D1"/>
    <w:rsid w:val="00B836B4"/>
    <w:rsid w:val="00B85E42"/>
    <w:rsid w:val="00B87A83"/>
    <w:rsid w:val="00B93488"/>
    <w:rsid w:val="00B9497F"/>
    <w:rsid w:val="00BA58DB"/>
    <w:rsid w:val="00BA643D"/>
    <w:rsid w:val="00BA790C"/>
    <w:rsid w:val="00BB1899"/>
    <w:rsid w:val="00BB3A83"/>
    <w:rsid w:val="00BC6A0A"/>
    <w:rsid w:val="00BC7830"/>
    <w:rsid w:val="00BD64EB"/>
    <w:rsid w:val="00BD7BE1"/>
    <w:rsid w:val="00BE1869"/>
    <w:rsid w:val="00BE24E1"/>
    <w:rsid w:val="00BF6F97"/>
    <w:rsid w:val="00C01423"/>
    <w:rsid w:val="00C03297"/>
    <w:rsid w:val="00C053F5"/>
    <w:rsid w:val="00C06731"/>
    <w:rsid w:val="00C10FCA"/>
    <w:rsid w:val="00C1335A"/>
    <w:rsid w:val="00C237CE"/>
    <w:rsid w:val="00C25488"/>
    <w:rsid w:val="00C4118B"/>
    <w:rsid w:val="00C54577"/>
    <w:rsid w:val="00C67694"/>
    <w:rsid w:val="00C864EE"/>
    <w:rsid w:val="00C9348C"/>
    <w:rsid w:val="00C95979"/>
    <w:rsid w:val="00CA2418"/>
    <w:rsid w:val="00CA6BD4"/>
    <w:rsid w:val="00CB58DA"/>
    <w:rsid w:val="00CB6E82"/>
    <w:rsid w:val="00CE4C91"/>
    <w:rsid w:val="00CF7422"/>
    <w:rsid w:val="00D15E77"/>
    <w:rsid w:val="00D16476"/>
    <w:rsid w:val="00D20B1E"/>
    <w:rsid w:val="00D21679"/>
    <w:rsid w:val="00D242AA"/>
    <w:rsid w:val="00D257C4"/>
    <w:rsid w:val="00D257F6"/>
    <w:rsid w:val="00D26C8B"/>
    <w:rsid w:val="00D27538"/>
    <w:rsid w:val="00D309F6"/>
    <w:rsid w:val="00D35C0E"/>
    <w:rsid w:val="00D36322"/>
    <w:rsid w:val="00D54CAA"/>
    <w:rsid w:val="00D56393"/>
    <w:rsid w:val="00D56DAA"/>
    <w:rsid w:val="00D656A4"/>
    <w:rsid w:val="00D665A0"/>
    <w:rsid w:val="00D73F27"/>
    <w:rsid w:val="00D74259"/>
    <w:rsid w:val="00D7477F"/>
    <w:rsid w:val="00D94638"/>
    <w:rsid w:val="00DA0813"/>
    <w:rsid w:val="00DB266B"/>
    <w:rsid w:val="00DB408B"/>
    <w:rsid w:val="00DC406B"/>
    <w:rsid w:val="00DC4076"/>
    <w:rsid w:val="00DC411F"/>
    <w:rsid w:val="00DD21C0"/>
    <w:rsid w:val="00DD5AFF"/>
    <w:rsid w:val="00DE2430"/>
    <w:rsid w:val="00DE5974"/>
    <w:rsid w:val="00DF126E"/>
    <w:rsid w:val="00E0554F"/>
    <w:rsid w:val="00E07021"/>
    <w:rsid w:val="00E1065F"/>
    <w:rsid w:val="00E1453F"/>
    <w:rsid w:val="00E160F3"/>
    <w:rsid w:val="00E17890"/>
    <w:rsid w:val="00E22B03"/>
    <w:rsid w:val="00E22FC8"/>
    <w:rsid w:val="00E236F2"/>
    <w:rsid w:val="00E24AB2"/>
    <w:rsid w:val="00E3709F"/>
    <w:rsid w:val="00E41E2F"/>
    <w:rsid w:val="00E448DE"/>
    <w:rsid w:val="00E468EC"/>
    <w:rsid w:val="00E5141C"/>
    <w:rsid w:val="00E54B24"/>
    <w:rsid w:val="00E57ADC"/>
    <w:rsid w:val="00E60AE6"/>
    <w:rsid w:val="00E70601"/>
    <w:rsid w:val="00E728DB"/>
    <w:rsid w:val="00E730D7"/>
    <w:rsid w:val="00E737F5"/>
    <w:rsid w:val="00E73E17"/>
    <w:rsid w:val="00E77E87"/>
    <w:rsid w:val="00E85394"/>
    <w:rsid w:val="00E85589"/>
    <w:rsid w:val="00E87A78"/>
    <w:rsid w:val="00EA355D"/>
    <w:rsid w:val="00EA7AE3"/>
    <w:rsid w:val="00EC58C5"/>
    <w:rsid w:val="00ED008A"/>
    <w:rsid w:val="00EE0214"/>
    <w:rsid w:val="00F00D01"/>
    <w:rsid w:val="00F01BA4"/>
    <w:rsid w:val="00F02225"/>
    <w:rsid w:val="00F05D67"/>
    <w:rsid w:val="00F111A2"/>
    <w:rsid w:val="00F14915"/>
    <w:rsid w:val="00F16858"/>
    <w:rsid w:val="00F23691"/>
    <w:rsid w:val="00F341B9"/>
    <w:rsid w:val="00F42712"/>
    <w:rsid w:val="00F42A52"/>
    <w:rsid w:val="00F42B0A"/>
    <w:rsid w:val="00F45B2B"/>
    <w:rsid w:val="00F46BA3"/>
    <w:rsid w:val="00F6655B"/>
    <w:rsid w:val="00F74A68"/>
    <w:rsid w:val="00F74BD5"/>
    <w:rsid w:val="00F857CA"/>
    <w:rsid w:val="00F926C6"/>
    <w:rsid w:val="00F93EB9"/>
    <w:rsid w:val="00FA3A0A"/>
    <w:rsid w:val="00FA74EF"/>
    <w:rsid w:val="00FB2E0F"/>
    <w:rsid w:val="00FB3030"/>
    <w:rsid w:val="00FB4E25"/>
    <w:rsid w:val="00FC34D0"/>
    <w:rsid w:val="00FC4A1C"/>
    <w:rsid w:val="00FD3DAC"/>
    <w:rsid w:val="00FD4A02"/>
    <w:rsid w:val="00FD5175"/>
    <w:rsid w:val="00FE5B93"/>
    <w:rsid w:val="00FE6B26"/>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qFormat/>
    <w:rsid w:val="00E1453F"/>
    <w:rPr>
      <w:i/>
      <w:iCs/>
    </w:rPr>
  </w:style>
  <w:style w:type="character" w:customStyle="1" w:styleId="Heading3Char">
    <w:name w:val="Heading 3 Char"/>
    <w:basedOn w:val="DefaultParagraphFont"/>
    <w:link w:val="Heading3"/>
    <w:uiPriority w:val="9"/>
    <w:qFormat/>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qFormat/>
    <w:rsid w:val="00BB3A83"/>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rsid w:val="002D7340"/>
  </w:style>
  <w:style w:type="paragraph" w:customStyle="1" w:styleId="Tables">
    <w:name w:val="Tables"/>
    <w:basedOn w:val="Normal"/>
    <w:link w:val="TablesChar"/>
    <w:qFormat/>
    <w:rsid w:val="00076BA5"/>
    <w:pPr>
      <w:spacing w:before="0" w:line="240" w:lineRule="auto"/>
      <w:jc w:val="left"/>
    </w:pPr>
    <w:rPr>
      <w:rFonts w:eastAsiaTheme="minorHAnsi" w:cs="Times New Roman"/>
      <w:b/>
      <w:color w:val="auto"/>
      <w:szCs w:val="24"/>
      <w14:ligatures w14:val="none"/>
    </w:rPr>
  </w:style>
  <w:style w:type="character" w:customStyle="1" w:styleId="TablesChar">
    <w:name w:val="Tables Char"/>
    <w:basedOn w:val="DefaultParagraphFont"/>
    <w:link w:val="Tables"/>
    <w:rsid w:val="00076BA5"/>
    <w:rPr>
      <w:rFonts w:ascii="Times New Roman" w:hAnsi="Times New Roman" w:cs="Times New Roman"/>
      <w:b/>
      <w:kern w:val="0"/>
      <w:sz w:val="24"/>
      <w:szCs w:val="24"/>
      <w14:ligatures w14:val="none"/>
    </w:rPr>
  </w:style>
  <w:style w:type="character" w:styleId="Hyperlink">
    <w:name w:val="Hyperlink"/>
    <w:basedOn w:val="DefaultParagraphFont"/>
    <w:uiPriority w:val="99"/>
    <w:unhideWhenUsed/>
    <w:rsid w:val="001E649F"/>
    <w:rPr>
      <w:color w:val="0563C1" w:themeColor="hyperlink"/>
      <w:u w:val="single"/>
    </w:rPr>
  </w:style>
  <w:style w:type="character" w:customStyle="1" w:styleId="UnresolvedMention1">
    <w:name w:val="Unresolved Mention1"/>
    <w:basedOn w:val="DefaultParagraphFont"/>
    <w:uiPriority w:val="99"/>
    <w:semiHidden/>
    <w:unhideWhenUsed/>
    <w:rsid w:val="001E649F"/>
    <w:rPr>
      <w:color w:val="605E5C"/>
      <w:shd w:val="clear" w:color="auto" w:fill="E1DFDD"/>
    </w:rPr>
  </w:style>
  <w:style w:type="paragraph" w:styleId="NormalWeb">
    <w:name w:val="Normal (Web)"/>
    <w:basedOn w:val="Normal"/>
    <w:uiPriority w:val="99"/>
    <w:unhideWhenUsed/>
    <w:rsid w:val="00D16476"/>
    <w:pPr>
      <w:spacing w:before="100" w:beforeAutospacing="1" w:after="100" w:afterAutospacing="1" w:line="240" w:lineRule="auto"/>
      <w:jc w:val="left"/>
    </w:pPr>
    <w:rPr>
      <w:rFonts w:eastAsia="Times New Roman" w:cs="Times New Roman"/>
      <w:color w:val="auto"/>
      <w:szCs w:val="24"/>
      <w14:ligatures w14:val="none"/>
    </w:rPr>
  </w:style>
  <w:style w:type="paragraph" w:customStyle="1" w:styleId="TABLES0">
    <w:name w:val="TABLES"/>
    <w:basedOn w:val="Normal"/>
    <w:qFormat/>
    <w:rsid w:val="00437393"/>
    <w:pPr>
      <w:spacing w:before="120" w:after="120"/>
    </w:pPr>
    <w:rPr>
      <w:rFonts w:cs="Times New Roman"/>
      <w:b/>
      <w:color w:val="auto"/>
      <w14:ligatures w14:val="none"/>
    </w:rPr>
  </w:style>
  <w:style w:type="table" w:styleId="PlainTable5">
    <w:name w:val="Plain Table 5"/>
    <w:basedOn w:val="TableNormal"/>
    <w:uiPriority w:val="45"/>
    <w:rsid w:val="00C053F5"/>
    <w:pPr>
      <w:spacing w:after="0" w:line="240" w:lineRule="auto"/>
      <w:jc w:val="both"/>
    </w:pPr>
    <w:rPr>
      <w:kern w:val="0"/>
      <w14:ligatures w14:val="none"/>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istofTables">
    <w:name w:val="List of Tables"/>
    <w:basedOn w:val="Caption"/>
    <w:next w:val="Caption"/>
    <w:qFormat/>
    <w:rsid w:val="00860F17"/>
    <w:pPr>
      <w:keepNext/>
      <w:jc w:val="left"/>
    </w:pPr>
    <w:rPr>
      <w:rFonts w:eastAsia="Calibri"/>
      <w:color w:val="auto"/>
      <w:kern w:val="2"/>
      <w:sz w:val="24"/>
      <w:szCs w:val="24"/>
      <w14:ligatures w14:val="standardContextual"/>
    </w:rPr>
  </w:style>
  <w:style w:type="character" w:customStyle="1" w:styleId="UnresolvedMention2">
    <w:name w:val="Unresolved Mention2"/>
    <w:basedOn w:val="DefaultParagraphFont"/>
    <w:uiPriority w:val="99"/>
    <w:semiHidden/>
    <w:unhideWhenUsed/>
    <w:rsid w:val="00790BF9"/>
    <w:rPr>
      <w:color w:val="605E5C"/>
      <w:shd w:val="clear" w:color="auto" w:fill="E1DFDD"/>
    </w:rPr>
  </w:style>
  <w:style w:type="character" w:customStyle="1" w:styleId="UnresolvedMention">
    <w:name w:val="Unresolved Mention"/>
    <w:basedOn w:val="DefaultParagraphFont"/>
    <w:uiPriority w:val="99"/>
    <w:semiHidden/>
    <w:unhideWhenUsed/>
    <w:rsid w:val="00CB58DA"/>
    <w:rPr>
      <w:color w:val="605E5C"/>
      <w:shd w:val="clear" w:color="auto" w:fill="E1DFDD"/>
    </w:rPr>
  </w:style>
  <w:style w:type="paragraph" w:styleId="Header">
    <w:name w:val="header"/>
    <w:basedOn w:val="Normal"/>
    <w:link w:val="HeaderChar"/>
    <w:uiPriority w:val="99"/>
    <w:unhideWhenUsed/>
    <w:rsid w:val="003462A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462A3"/>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208760504">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8302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12326</Words>
  <Characters>70263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Everlyne Khatenje Mwonyonyo</cp:lastModifiedBy>
  <cp:revision>2</cp:revision>
  <dcterms:created xsi:type="dcterms:W3CDTF">2025-08-20T12:13:00Z</dcterms:created>
  <dcterms:modified xsi:type="dcterms:W3CDTF">2025-08-20T12:13:00Z</dcterms:modified>
</cp:coreProperties>
</file>