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0F939" w14:textId="77777777" w:rsidR="00754C9A" w:rsidRPr="001209E0" w:rsidRDefault="00754C9A" w:rsidP="00D13F8B">
      <w:pPr>
        <w:pStyle w:val="Title"/>
        <w:spacing w:after="0" w:line="276" w:lineRule="auto"/>
        <w:jc w:val="both"/>
        <w:rPr>
          <w:rFonts w:ascii="Arial" w:hAnsi="Arial" w:cs="Arial"/>
          <w:sz w:val="28"/>
          <w:szCs w:val="28"/>
        </w:rPr>
      </w:pPr>
    </w:p>
    <w:p w14:paraId="7EBFB938" w14:textId="77777777" w:rsidR="00207A9A" w:rsidRDefault="00207A9A" w:rsidP="00D13F8B">
      <w:pPr>
        <w:pStyle w:val="Author"/>
        <w:spacing w:line="276" w:lineRule="auto"/>
        <w:jc w:val="center"/>
        <w:rPr>
          <w:rFonts w:ascii="Arial" w:hAnsi="Arial" w:cs="Arial"/>
          <w:bCs/>
          <w:iCs/>
          <w:kern w:val="28"/>
          <w:sz w:val="28"/>
          <w:szCs w:val="28"/>
          <w:lang w:val="en-GB"/>
        </w:rPr>
      </w:pPr>
      <w:r w:rsidRPr="00207A9A">
        <w:rPr>
          <w:rFonts w:ascii="Arial" w:hAnsi="Arial" w:cs="Arial"/>
          <w:bCs/>
          <w:iCs/>
          <w:kern w:val="28"/>
          <w:sz w:val="28"/>
          <w:szCs w:val="28"/>
          <w:lang w:val="en-GB"/>
        </w:rPr>
        <w:t>Original Research Article</w:t>
      </w:r>
    </w:p>
    <w:p w14:paraId="1ACE5D9A" w14:textId="3D5B9DC1" w:rsidR="005E6EA1" w:rsidRPr="001209E0" w:rsidRDefault="005E6EA1" w:rsidP="00D13F8B">
      <w:pPr>
        <w:pStyle w:val="Author"/>
        <w:spacing w:line="276" w:lineRule="auto"/>
        <w:jc w:val="center"/>
        <w:rPr>
          <w:rFonts w:ascii="Arial" w:hAnsi="Arial" w:cs="Arial"/>
          <w:bCs/>
          <w:iCs/>
          <w:kern w:val="28"/>
          <w:sz w:val="28"/>
          <w:szCs w:val="28"/>
        </w:rPr>
      </w:pPr>
      <w:r w:rsidRPr="001209E0">
        <w:rPr>
          <w:rFonts w:ascii="Arial" w:hAnsi="Arial" w:cs="Arial"/>
          <w:bCs/>
          <w:iCs/>
          <w:kern w:val="28"/>
          <w:sz w:val="28"/>
          <w:szCs w:val="28"/>
          <w:lang w:val="en-GB"/>
        </w:rPr>
        <w:t>"Diplomatic Frontiers:  Myanmar’s Economic Diplomacy Journey</w:t>
      </w:r>
      <w:r w:rsidRPr="001209E0">
        <w:rPr>
          <w:rFonts w:ascii="Arial" w:hAnsi="Arial" w:cs="Arial"/>
          <w:bCs/>
          <w:iCs/>
          <w:kern w:val="28"/>
          <w:sz w:val="28"/>
          <w:szCs w:val="28"/>
        </w:rPr>
        <w:t xml:space="preserve"> </w:t>
      </w:r>
      <w:r w:rsidRPr="001209E0">
        <w:rPr>
          <w:rFonts w:ascii="Arial" w:hAnsi="Arial" w:cs="Arial"/>
          <w:bCs/>
          <w:iCs/>
          <w:kern w:val="28"/>
          <w:sz w:val="28"/>
          <w:szCs w:val="28"/>
          <w:lang w:val="en-GB"/>
        </w:rPr>
        <w:t>2011-2023“</w:t>
      </w:r>
    </w:p>
    <w:p w14:paraId="56F79B10" w14:textId="77777777" w:rsidR="003D0312" w:rsidRPr="001209E0" w:rsidRDefault="003D0312" w:rsidP="00D13F8B">
      <w:pPr>
        <w:pStyle w:val="Author"/>
        <w:spacing w:line="276" w:lineRule="auto"/>
        <w:rPr>
          <w:rFonts w:ascii="Arial" w:hAnsi="Arial" w:cs="Arial"/>
          <w:sz w:val="36"/>
        </w:rPr>
      </w:pPr>
    </w:p>
    <w:p w14:paraId="59382ABE" w14:textId="2699F5F6" w:rsidR="002C57D2" w:rsidRDefault="002C57D2" w:rsidP="00D13F8B">
      <w:pPr>
        <w:pStyle w:val="Affiliation"/>
        <w:spacing w:after="0" w:line="276" w:lineRule="auto"/>
        <w:jc w:val="both"/>
        <w:rPr>
          <w:rFonts w:ascii="Arial" w:hAnsi="Arial" w:cs="Arial"/>
        </w:rPr>
      </w:pPr>
    </w:p>
    <w:p w14:paraId="7B7DA4DF" w14:textId="77777777" w:rsidR="006517FE" w:rsidRPr="001209E0" w:rsidRDefault="006517FE" w:rsidP="00D13F8B">
      <w:pPr>
        <w:pStyle w:val="Affiliation"/>
        <w:spacing w:after="0" w:line="276" w:lineRule="auto"/>
        <w:jc w:val="both"/>
        <w:rPr>
          <w:rFonts w:ascii="Arial" w:hAnsi="Arial" w:cs="Arial"/>
        </w:rPr>
      </w:pPr>
    </w:p>
    <w:p w14:paraId="5ACC93AA" w14:textId="215F5367" w:rsidR="00B01FCD" w:rsidRPr="001209E0" w:rsidRDefault="00982FB5" w:rsidP="00D13F8B">
      <w:pPr>
        <w:pStyle w:val="Copyright"/>
        <w:spacing w:after="0" w:line="276" w:lineRule="auto"/>
        <w:jc w:val="both"/>
        <w:rPr>
          <w:rFonts w:ascii="Arial" w:hAnsi="Arial" w:cs="Arial"/>
        </w:rPr>
        <w:sectPr w:rsidR="00B01FCD" w:rsidRPr="001209E0" w:rsidSect="00425D2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209E0">
        <w:rPr>
          <w:rFonts w:ascii="Arial" w:hAnsi="Arial" w:cs="Arial"/>
          <w:noProof/>
        </w:rPr>
        <mc:AlternateContent>
          <mc:Choice Requires="wps">
            <w:drawing>
              <wp:inline distT="0" distB="0" distL="0" distR="0" wp14:anchorId="175CD25B" wp14:editId="314AE5D1">
                <wp:extent cx="5303520" cy="635"/>
                <wp:effectExtent l="9525" t="9525" r="11430" b="9525"/>
                <wp:docPr id="6760756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1AD32C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1209E0">
        <w:rPr>
          <w:rFonts w:ascii="Arial" w:hAnsi="Arial" w:cs="Arial"/>
        </w:rPr>
        <w:t>.</w:t>
      </w:r>
    </w:p>
    <w:p w14:paraId="7549B606" w14:textId="2AA5074C" w:rsidR="00B01FCD" w:rsidRPr="001209E0" w:rsidRDefault="00B01FCD" w:rsidP="00D13F8B">
      <w:pPr>
        <w:pStyle w:val="AbstHead"/>
        <w:spacing w:after="0" w:line="276" w:lineRule="auto"/>
        <w:jc w:val="both"/>
        <w:rPr>
          <w:rFonts w:ascii="Arial" w:hAnsi="Arial" w:cs="Arial"/>
        </w:rPr>
      </w:pPr>
      <w:r w:rsidRPr="001209E0">
        <w:rPr>
          <w:rFonts w:ascii="Arial" w:hAnsi="Arial" w:cs="Arial"/>
        </w:rPr>
        <w:t>ABSTRACT</w:t>
      </w:r>
      <w:r w:rsidR="0066510A" w:rsidRPr="001209E0">
        <w:rPr>
          <w:rFonts w:ascii="Arial" w:hAnsi="Arial" w:cs="Arial"/>
        </w:rPr>
        <w:t xml:space="preserve"> </w:t>
      </w:r>
    </w:p>
    <w:p w14:paraId="27D8F925" w14:textId="77777777" w:rsidR="00790ADA" w:rsidRPr="001209E0" w:rsidRDefault="00790ADA" w:rsidP="00D13F8B">
      <w:pPr>
        <w:pStyle w:val="AbstHead"/>
        <w:spacing w:after="0" w:line="276"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209E0" w:rsidRPr="001209E0" w14:paraId="1252B473" w14:textId="77777777" w:rsidTr="00982FB5">
        <w:tc>
          <w:tcPr>
            <w:tcW w:w="8424" w:type="dxa"/>
            <w:shd w:val="clear" w:color="auto" w:fill="F2F2F2"/>
          </w:tcPr>
          <w:p w14:paraId="5D940362" w14:textId="25A32CC3" w:rsidR="00505F06" w:rsidRPr="001209E0" w:rsidRDefault="00CA349F" w:rsidP="00A8591D">
            <w:pPr>
              <w:pStyle w:val="Body"/>
              <w:spacing w:line="276" w:lineRule="auto"/>
              <w:rPr>
                <w:rFonts w:ascii="Arial" w:eastAsia="Calibri" w:hAnsi="Arial" w:cs="Arial"/>
                <w:szCs w:val="22"/>
              </w:rPr>
            </w:pPr>
            <w:r w:rsidRPr="00CA349F">
              <w:rPr>
                <w:rFonts w:ascii="Arial" w:eastAsia="Calibri" w:hAnsi="Arial" w:cs="Arial"/>
                <w:szCs w:val="22"/>
              </w:rPr>
              <w:t xml:space="preserve">This study interrogates Myanmar's economic diplomacy through documentary analysis and </w:t>
            </w:r>
            <w:r w:rsidR="000B71C9" w:rsidRPr="00CA349F">
              <w:rPr>
                <w:rFonts w:ascii="Arial" w:eastAsia="Calibri" w:hAnsi="Arial" w:cs="Arial"/>
                <w:szCs w:val="22"/>
              </w:rPr>
              <w:t>interviews</w:t>
            </w:r>
            <w:r w:rsidR="000B71C9">
              <w:rPr>
                <w:rFonts w:ascii="Arial" w:eastAsia="Calibri" w:hAnsi="Arial" w:cs="Arial"/>
                <w:szCs w:val="22"/>
              </w:rPr>
              <w:t>,</w:t>
            </w:r>
            <w:r w:rsidRPr="00CA349F">
              <w:rPr>
                <w:rFonts w:ascii="Arial" w:eastAsia="Calibri" w:hAnsi="Arial" w:cs="Arial"/>
                <w:szCs w:val="22"/>
              </w:rPr>
              <w:t> mapping how strategic engagement evolved from international reintegration to crisis-driven adaptation. Framed through the lens of diplomatic frontiers, the study examines how successive governments leveraged economic statecraft to navigate the dual imperatives of international reintegration and domestic transformation. This qualitative study examines Myanmar's economic diplomacy through documentary analysis and interviews, tracing the evolution of strategic engagement from international reintegration to crisis-driven adaptation.</w:t>
            </w:r>
            <w:r w:rsidR="007611FE">
              <w:rPr>
                <w:rFonts w:ascii="Arial" w:eastAsia="Calibri" w:hAnsi="Arial" w:cs="Arial"/>
                <w:szCs w:val="22"/>
              </w:rPr>
              <w:t xml:space="preserve"> </w:t>
            </w:r>
            <w:r w:rsidR="00D5495A">
              <w:rPr>
                <w:rFonts w:asciiTheme="minorBidi" w:hAnsiTheme="minorBidi" w:cstheme="minorBidi"/>
              </w:rPr>
              <w:t xml:space="preserve">Using </w:t>
            </w:r>
            <w:r w:rsidR="000B71C9" w:rsidRPr="00CA349F">
              <w:rPr>
                <w:rFonts w:ascii="Arial" w:eastAsia="Calibri" w:hAnsi="Arial" w:cs="Arial"/>
                <w:szCs w:val="22"/>
              </w:rPr>
              <w:t>documentary analysis</w:t>
            </w:r>
            <w:r w:rsidR="00D5495A">
              <w:rPr>
                <w:rFonts w:asciiTheme="minorBidi" w:hAnsiTheme="minorBidi" w:cstheme="minorBidi"/>
              </w:rPr>
              <w:t xml:space="preserve">, </w:t>
            </w:r>
            <w:r w:rsidR="00D5495A">
              <w:rPr>
                <w:rFonts w:ascii="Arial" w:eastAsia="Calibri" w:hAnsi="Arial" w:cs="Arial"/>
                <w:szCs w:val="22"/>
              </w:rPr>
              <w:t>d</w:t>
            </w:r>
            <w:r w:rsidRPr="00CA349F">
              <w:rPr>
                <w:rFonts w:ascii="Arial" w:eastAsia="Calibri" w:hAnsi="Arial" w:cs="Arial"/>
                <w:szCs w:val="22"/>
              </w:rPr>
              <w:t xml:space="preserve">rawing on archival research, interviews, and secondary data, the article identifies three critical frontiers that shaped Myanmar’s economic diplomacy: </w:t>
            </w:r>
            <w:r w:rsidR="000B71C9">
              <w:rPr>
                <w:rFonts w:ascii="Arial" w:eastAsia="Calibri" w:hAnsi="Arial" w:cs="Arial"/>
                <w:szCs w:val="22"/>
              </w:rPr>
              <w:t xml:space="preserve"> </w:t>
            </w:r>
            <w:proofErr w:type="gramStart"/>
            <w:r w:rsidR="000B71C9">
              <w:rPr>
                <w:rFonts w:ascii="Arial" w:eastAsia="Calibri" w:hAnsi="Arial" w:cs="Arial"/>
                <w:szCs w:val="22"/>
              </w:rPr>
              <w:t xml:space="preserve">   </w:t>
            </w:r>
            <w:r w:rsidRPr="00CA349F">
              <w:rPr>
                <w:rFonts w:ascii="Arial" w:eastAsia="Calibri" w:hAnsi="Arial" w:cs="Arial"/>
                <w:szCs w:val="22"/>
              </w:rPr>
              <w:t>(</w:t>
            </w:r>
            <w:proofErr w:type="gramEnd"/>
            <w:r w:rsidRPr="00CA349F">
              <w:rPr>
                <w:rFonts w:ascii="Arial" w:eastAsia="Calibri" w:hAnsi="Arial" w:cs="Arial"/>
                <w:szCs w:val="22"/>
              </w:rPr>
              <w:t xml:space="preserve">1) the transition from sanctions to investment, (2) the geopolitical hedging space, and (3) the institutional capacity threshold. While setbacks remain, the study underscores Myanmar’s enduring potential as a small state with strategic agency, rich cultural capital, and a resilient population, particularly its youth, who remain committed to reform and inclusive </w:t>
            </w:r>
            <w:proofErr w:type="spellStart"/>
            <w:proofErr w:type="gramStart"/>
            <w:r w:rsidRPr="00CA349F">
              <w:rPr>
                <w:rFonts w:ascii="Arial" w:eastAsia="Calibri" w:hAnsi="Arial" w:cs="Arial"/>
                <w:szCs w:val="22"/>
              </w:rPr>
              <w:t>growth.By</w:t>
            </w:r>
            <w:proofErr w:type="spellEnd"/>
            <w:proofErr w:type="gramEnd"/>
            <w:r w:rsidRPr="00CA349F">
              <w:rPr>
                <w:rFonts w:ascii="Arial" w:eastAsia="Calibri" w:hAnsi="Arial" w:cs="Arial"/>
                <w:szCs w:val="22"/>
              </w:rPr>
              <w:t xml:space="preserve"> situating Myanmar within broader debates on small-state diplomacy and transitional governance, this article offers a nuanced account of how economic engagement can serve as both a catalyst and a constraint in political environments.</w:t>
            </w:r>
          </w:p>
        </w:tc>
      </w:tr>
    </w:tbl>
    <w:p w14:paraId="09E15E32" w14:textId="48FE1090" w:rsidR="00636EB2" w:rsidRPr="001209E0" w:rsidRDefault="00982FB5" w:rsidP="00D13F8B">
      <w:pPr>
        <w:pStyle w:val="Body"/>
        <w:spacing w:after="0" w:line="276" w:lineRule="auto"/>
        <w:rPr>
          <w:rFonts w:ascii="Arial" w:hAnsi="Arial" w:cs="Arial"/>
          <w:i/>
        </w:rPr>
      </w:pPr>
      <w:r w:rsidRPr="001209E0">
        <w:rPr>
          <w:rFonts w:ascii="Arial" w:hAnsi="Arial" w:cs="Arial"/>
          <w:b/>
          <w:bCs/>
          <w:i/>
        </w:rPr>
        <w:t>Keywords</w:t>
      </w:r>
      <w:r w:rsidRPr="001209E0">
        <w:rPr>
          <w:rFonts w:ascii="Arial" w:hAnsi="Arial" w:cs="Arial"/>
          <w:i/>
        </w:rPr>
        <w:t>: Myanmar, economic diplomacy, small-state agency, diplomatic frontiers, foreign investment, ASEAN, China, institutional resilience</w:t>
      </w:r>
    </w:p>
    <w:p w14:paraId="225D10D1" w14:textId="77777777" w:rsidR="00D5495A" w:rsidRDefault="00D5495A" w:rsidP="00D13F8B">
      <w:pPr>
        <w:pStyle w:val="AbstHead"/>
        <w:spacing w:after="0" w:line="276" w:lineRule="auto"/>
        <w:jc w:val="both"/>
        <w:rPr>
          <w:rFonts w:ascii="Arial" w:hAnsi="Arial" w:cs="Arial"/>
        </w:rPr>
      </w:pPr>
    </w:p>
    <w:p w14:paraId="789306EF" w14:textId="7D3CD8FB" w:rsidR="007F7B32" w:rsidRPr="001209E0" w:rsidRDefault="00902823" w:rsidP="00D13F8B">
      <w:pPr>
        <w:pStyle w:val="AbstHead"/>
        <w:spacing w:after="0" w:line="276" w:lineRule="auto"/>
        <w:jc w:val="both"/>
        <w:rPr>
          <w:rFonts w:ascii="Arial" w:hAnsi="Arial" w:cs="Arial"/>
        </w:rPr>
      </w:pPr>
      <w:r w:rsidRPr="001209E0">
        <w:rPr>
          <w:rFonts w:ascii="Arial" w:hAnsi="Arial" w:cs="Arial"/>
        </w:rPr>
        <w:t xml:space="preserve">1. </w:t>
      </w:r>
      <w:r w:rsidR="00B01FCD" w:rsidRPr="001209E0">
        <w:rPr>
          <w:rFonts w:ascii="Arial" w:hAnsi="Arial" w:cs="Arial"/>
        </w:rPr>
        <w:t>INTRODUCTION</w:t>
      </w:r>
      <w:r w:rsidR="007F7B32" w:rsidRPr="001209E0">
        <w:rPr>
          <w:rFonts w:ascii="Arial" w:hAnsi="Arial" w:cs="Arial"/>
        </w:rPr>
        <w:t xml:space="preserve"> </w:t>
      </w:r>
    </w:p>
    <w:p w14:paraId="4CB80367" w14:textId="23D7FF19" w:rsidR="00734FB3" w:rsidRPr="001209E0" w:rsidRDefault="00734FB3" w:rsidP="009A076B">
      <w:pPr>
        <w:pStyle w:val="AbstHead"/>
        <w:spacing w:line="276" w:lineRule="auto"/>
        <w:jc w:val="both"/>
        <w:rPr>
          <w:rFonts w:ascii="Arial" w:hAnsi="Arial" w:cs="Arial"/>
          <w:b w:val="0"/>
          <w:caps w:val="0"/>
          <w:sz w:val="20"/>
        </w:rPr>
      </w:pPr>
      <w:r w:rsidRPr="001209E0">
        <w:rPr>
          <w:rFonts w:ascii="Arial" w:hAnsi="Arial" w:cs="Arial"/>
          <w:b w:val="0"/>
          <w:caps w:val="0"/>
          <w:sz w:val="20"/>
        </w:rPr>
        <w:t>The political liberalization of 2011 marked a transformative chapter in Myanmar’s international relations, as the country emerged from decades of isolation to reassert itself on the global stage. Economic diplomacy, the strategic alignment of foreign policy and economic imperatives to foster development and geopolitical stability, became a cornerstone of this reintegration.</w:t>
      </w:r>
      <w:r w:rsidR="00BF6297" w:rsidRPr="00BF6297">
        <w:rPr>
          <w:rFonts w:ascii="Segoe UI" w:hAnsi="Segoe UI" w:cs="Segoe UI"/>
          <w:b w:val="0"/>
          <w:caps w:val="0"/>
          <w:color w:val="404040"/>
          <w:sz w:val="20"/>
          <w:shd w:val="clear" w:color="auto" w:fill="FFFFFF"/>
        </w:rPr>
        <w:t xml:space="preserve"> </w:t>
      </w:r>
      <w:r w:rsidR="00BF6297">
        <w:rPr>
          <w:rFonts w:ascii="Segoe UI" w:hAnsi="Segoe UI" w:cs="Segoe UI"/>
          <w:b w:val="0"/>
          <w:caps w:val="0"/>
          <w:color w:val="404040"/>
          <w:sz w:val="20"/>
          <w:shd w:val="clear" w:color="auto" w:fill="FFFFFF"/>
        </w:rPr>
        <w:t>(</w:t>
      </w:r>
      <w:proofErr w:type="spellStart"/>
      <w:r w:rsidR="00BF6297" w:rsidRPr="00BF6297">
        <w:rPr>
          <w:rFonts w:ascii="Arial" w:hAnsi="Arial" w:cs="Arial"/>
          <w:b w:val="0"/>
          <w:caps w:val="0"/>
          <w:sz w:val="20"/>
        </w:rPr>
        <w:t>Bünte</w:t>
      </w:r>
      <w:proofErr w:type="spellEnd"/>
      <w:r w:rsidR="00BF6297" w:rsidRPr="00BF6297">
        <w:rPr>
          <w:rFonts w:ascii="Arial" w:hAnsi="Arial" w:cs="Arial"/>
          <w:b w:val="0"/>
          <w:caps w:val="0"/>
          <w:sz w:val="20"/>
        </w:rPr>
        <w:t>, M., &amp; Dosch, J. 2015)</w:t>
      </w:r>
      <w:r w:rsidR="00BF6297">
        <w:rPr>
          <w:rFonts w:ascii="Arial" w:hAnsi="Arial" w:cs="Arial"/>
          <w:b w:val="0"/>
          <w:caps w:val="0"/>
          <w:sz w:val="20"/>
        </w:rPr>
        <w:t>.</w:t>
      </w:r>
      <w:r w:rsidRPr="001209E0">
        <w:rPr>
          <w:rFonts w:ascii="Arial" w:hAnsi="Arial" w:cs="Arial"/>
          <w:b w:val="0"/>
          <w:caps w:val="0"/>
          <w:sz w:val="20"/>
        </w:rPr>
        <w:t xml:space="preserve"> Between 2011 and 2021, Myanmar demonstrated remarkable agility in leveraging its strategic position, attracting over $35 billion in foreign direct investment (FDI), restoring diplomatic ties with Western nations, and striking a delicate balance between competing great powers. This period showcased Myanmar’s potential as a </w:t>
      </w:r>
      <w:r w:rsidRPr="001209E0">
        <w:rPr>
          <w:rFonts w:ascii="Arial" w:hAnsi="Arial" w:cs="Arial"/>
          <w:b w:val="0"/>
          <w:caps w:val="0"/>
          <w:sz w:val="20"/>
        </w:rPr>
        <w:lastRenderedPageBreak/>
        <w:t>dynamic frontier economy, capable of navigating the complexities of a multipolar world.</w:t>
      </w:r>
      <w:r w:rsidR="009A076B" w:rsidRPr="009A076B">
        <w:rPr>
          <w:rFonts w:ascii="Segoe UI" w:hAnsi="Segoe UI" w:cs="Segoe UI"/>
          <w:b w:val="0"/>
          <w:caps w:val="0"/>
          <w:color w:val="404040"/>
          <w:sz w:val="20"/>
          <w:shd w:val="clear" w:color="auto" w:fill="FFFFFF"/>
        </w:rPr>
        <w:t xml:space="preserve"> </w:t>
      </w:r>
      <w:r w:rsidR="009A076B">
        <w:rPr>
          <w:rFonts w:ascii="Segoe UI" w:hAnsi="Segoe UI" w:cs="Segoe UI"/>
          <w:b w:val="0"/>
          <w:caps w:val="0"/>
          <w:color w:val="404040"/>
          <w:sz w:val="20"/>
          <w:shd w:val="clear" w:color="auto" w:fill="FFFFFF"/>
        </w:rPr>
        <w:t>(</w:t>
      </w:r>
      <w:r w:rsidR="009A076B" w:rsidRPr="009A076B">
        <w:rPr>
          <w:rFonts w:ascii="Arial" w:hAnsi="Arial" w:cs="Arial"/>
          <w:b w:val="0"/>
          <w:caps w:val="0"/>
          <w:sz w:val="20"/>
        </w:rPr>
        <w:t>Findlay, R., Park, C.-Y., &amp; Verbiest, J.-P. A. 2016)</w:t>
      </w:r>
    </w:p>
    <w:p w14:paraId="7ECAC77D" w14:textId="229EDEFB" w:rsidR="001F3DC1" w:rsidRDefault="007F76A9" w:rsidP="001F3DC1">
      <w:pPr>
        <w:pStyle w:val="AbstHead"/>
        <w:spacing w:line="276" w:lineRule="auto"/>
        <w:jc w:val="both"/>
        <w:rPr>
          <w:rFonts w:ascii="Arial" w:hAnsi="Arial" w:cs="Arial"/>
          <w:b w:val="0"/>
          <w:caps w:val="0"/>
          <w:sz w:val="20"/>
        </w:rPr>
      </w:pPr>
      <w:r w:rsidRPr="001209E0">
        <w:rPr>
          <w:rFonts w:ascii="Arial" w:hAnsi="Arial" w:cs="Arial"/>
          <w:b w:val="0"/>
          <w:caps w:val="0"/>
          <w:sz w:val="20"/>
        </w:rPr>
        <w:t xml:space="preserve">However, this trajectory was not without its challenges. </w:t>
      </w:r>
      <w:r w:rsidR="001F3DC1" w:rsidRPr="001F3DC1">
        <w:rPr>
          <w:rFonts w:ascii="Arial" w:hAnsi="Arial" w:cs="Arial"/>
          <w:b w:val="0"/>
          <w:caps w:val="0"/>
          <w:sz w:val="20"/>
        </w:rPr>
        <w:t xml:space="preserve">While Myanmar’s multi-vector diplomacy initially earned international praise for its strategic balance, the events of 2021 reshaped its diplomatic landscape. The country has since navigated a more focused engagement with key partners, adapting to new geopolitical realities as it works to stabilize and redefine its global role. This transition </w:t>
      </w:r>
      <w:r w:rsidR="00B433D9">
        <w:rPr>
          <w:rFonts w:ascii="Arial" w:hAnsi="Arial" w:cs="Arial"/>
          <w:b w:val="0"/>
          <w:caps w:val="0"/>
          <w:sz w:val="20"/>
        </w:rPr>
        <w:t>highlights both the challenges of maintaining complex diplomatic partnerships during periods of domestic change and the enduring significance of Myanmar’s strategic role</w:t>
      </w:r>
      <w:r w:rsidR="001F3DC1" w:rsidRPr="001F3DC1">
        <w:rPr>
          <w:rFonts w:ascii="Arial" w:hAnsi="Arial" w:cs="Arial"/>
          <w:b w:val="0"/>
          <w:caps w:val="0"/>
          <w:sz w:val="20"/>
        </w:rPr>
        <w:t>.</w:t>
      </w:r>
      <w:r w:rsidR="00B433D9">
        <w:rPr>
          <w:rFonts w:ascii="Arial" w:hAnsi="Arial" w:cs="Arial"/>
          <w:b w:val="0"/>
          <w:caps w:val="0"/>
          <w:sz w:val="20"/>
        </w:rPr>
        <w:t xml:space="preserve"> (High-Level Official, 2025)</w:t>
      </w:r>
    </w:p>
    <w:p w14:paraId="7A381D68" w14:textId="79ECB98A" w:rsidR="00734FB3" w:rsidRPr="001209E0" w:rsidRDefault="00734FB3" w:rsidP="001F3DC1">
      <w:pPr>
        <w:pStyle w:val="AbstHead"/>
        <w:spacing w:line="276" w:lineRule="auto"/>
        <w:jc w:val="both"/>
        <w:rPr>
          <w:rFonts w:ascii="Arial" w:hAnsi="Arial" w:cs="Arial"/>
          <w:b w:val="0"/>
          <w:caps w:val="0"/>
          <w:sz w:val="20"/>
        </w:rPr>
      </w:pPr>
      <w:r w:rsidRPr="001209E0">
        <w:rPr>
          <w:rFonts w:ascii="Arial" w:hAnsi="Arial" w:cs="Arial"/>
          <w:b w:val="0"/>
          <w:caps w:val="0"/>
          <w:sz w:val="20"/>
        </w:rPr>
        <w:t>This article examines Myanmar’s economic diplomacy from 2011 to 2023 through the lens of diplomatic frontiers</w:t>
      </w:r>
      <w:r w:rsidR="00A8591D">
        <w:rPr>
          <w:rFonts w:ascii="Arial" w:hAnsi="Arial" w:cs="Arial"/>
          <w:b w:val="0"/>
          <w:caps w:val="0"/>
          <w:sz w:val="20"/>
        </w:rPr>
        <w:t xml:space="preserve">, </w:t>
      </w:r>
      <w:r w:rsidRPr="001209E0">
        <w:rPr>
          <w:rFonts w:ascii="Arial" w:hAnsi="Arial" w:cs="Arial"/>
          <w:b w:val="0"/>
          <w:caps w:val="0"/>
          <w:sz w:val="20"/>
        </w:rPr>
        <w:t>exploring the moments when the country expanded its international engagement and the points at which these efforts encountered resistance or regression. Three key arenas emerge as pivotal in shaping Myanmar’s diplomatic trajectory:</w:t>
      </w:r>
    </w:p>
    <w:p w14:paraId="55CD0941" w14:textId="20FF1D85" w:rsidR="00734FB3" w:rsidRPr="001209E0" w:rsidRDefault="005E6EA1" w:rsidP="00D13F8B">
      <w:pPr>
        <w:pStyle w:val="AbstHead"/>
        <w:spacing w:line="276" w:lineRule="auto"/>
        <w:jc w:val="both"/>
        <w:rPr>
          <w:rFonts w:ascii="Arial" w:hAnsi="Arial" w:cs="Arial"/>
          <w:b w:val="0"/>
          <w:caps w:val="0"/>
          <w:sz w:val="20"/>
        </w:rPr>
      </w:pPr>
      <w:r w:rsidRPr="001209E0">
        <w:rPr>
          <w:rFonts w:ascii="Arial" w:hAnsi="Arial" w:cs="Arial"/>
          <w:b w:val="0"/>
          <w:caps w:val="0"/>
          <w:sz w:val="20"/>
        </w:rPr>
        <w:tab/>
      </w:r>
      <w:r w:rsidR="00734FB3" w:rsidRPr="001209E0">
        <w:rPr>
          <w:rFonts w:ascii="Arial" w:hAnsi="Arial" w:cs="Arial"/>
          <w:b w:val="0"/>
          <w:caps w:val="0"/>
          <w:sz w:val="20"/>
        </w:rPr>
        <w:t>1.</w:t>
      </w:r>
      <w:r w:rsidR="00734FB3" w:rsidRPr="001209E0">
        <w:rPr>
          <w:rFonts w:ascii="Arial" w:hAnsi="Arial" w:cs="Arial"/>
          <w:b w:val="0"/>
          <w:caps w:val="0"/>
          <w:sz w:val="20"/>
        </w:rPr>
        <w:tab/>
        <w:t xml:space="preserve">From Sanctions to Investment: How Myanmar transformed its pariah-state </w:t>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 xml:space="preserve">status into an emerging investment destination, reintegrating into global </w:t>
      </w:r>
      <w:r w:rsidRPr="001209E0">
        <w:rPr>
          <w:rFonts w:ascii="Arial" w:hAnsi="Arial" w:cs="Arial"/>
          <w:b w:val="0"/>
          <w:caps w:val="0"/>
          <w:sz w:val="20"/>
        </w:rPr>
        <w:tab/>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financial and trade networks.</w:t>
      </w:r>
    </w:p>
    <w:p w14:paraId="35E8E0CD" w14:textId="67AD1F80" w:rsidR="00734FB3" w:rsidRPr="001209E0" w:rsidRDefault="005E6EA1" w:rsidP="00D13F8B">
      <w:pPr>
        <w:pStyle w:val="AbstHead"/>
        <w:spacing w:line="276" w:lineRule="auto"/>
        <w:jc w:val="both"/>
        <w:rPr>
          <w:rFonts w:ascii="Arial" w:hAnsi="Arial" w:cs="Arial"/>
          <w:b w:val="0"/>
          <w:caps w:val="0"/>
          <w:sz w:val="20"/>
        </w:rPr>
      </w:pPr>
      <w:r w:rsidRPr="001209E0">
        <w:rPr>
          <w:rFonts w:ascii="Arial" w:hAnsi="Arial" w:cs="Arial"/>
          <w:b w:val="0"/>
          <w:caps w:val="0"/>
          <w:sz w:val="20"/>
        </w:rPr>
        <w:tab/>
      </w:r>
      <w:r w:rsidR="00734FB3" w:rsidRPr="001209E0">
        <w:rPr>
          <w:rFonts w:ascii="Arial" w:hAnsi="Arial" w:cs="Arial"/>
          <w:b w:val="0"/>
          <w:caps w:val="0"/>
          <w:sz w:val="20"/>
        </w:rPr>
        <w:t>2.</w:t>
      </w:r>
      <w:r w:rsidR="00734FB3" w:rsidRPr="001209E0">
        <w:rPr>
          <w:rFonts w:ascii="Arial" w:hAnsi="Arial" w:cs="Arial"/>
          <w:b w:val="0"/>
          <w:caps w:val="0"/>
          <w:sz w:val="20"/>
        </w:rPr>
        <w:tab/>
        <w:t xml:space="preserve">Geopolitical Hedging in a Multipolar World: Myanmar’s strategic maneuvering </w:t>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 xml:space="preserve">between China, Western democracies, and regional powers, positioning itself </w:t>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as a hedge state amid intensifying great-power competition.</w:t>
      </w:r>
    </w:p>
    <w:p w14:paraId="4204D850" w14:textId="632079DA" w:rsidR="00734FB3" w:rsidRPr="001209E0" w:rsidRDefault="005E6EA1" w:rsidP="00D13F8B">
      <w:pPr>
        <w:pStyle w:val="AbstHead"/>
        <w:spacing w:line="276" w:lineRule="auto"/>
        <w:jc w:val="both"/>
        <w:rPr>
          <w:rFonts w:ascii="Arial" w:hAnsi="Arial" w:cs="Arial"/>
          <w:b w:val="0"/>
          <w:caps w:val="0"/>
          <w:sz w:val="20"/>
        </w:rPr>
      </w:pPr>
      <w:r w:rsidRPr="001209E0">
        <w:rPr>
          <w:rFonts w:ascii="Arial" w:hAnsi="Arial" w:cs="Arial"/>
          <w:b w:val="0"/>
          <w:caps w:val="0"/>
          <w:sz w:val="20"/>
        </w:rPr>
        <w:tab/>
      </w:r>
      <w:r w:rsidR="00734FB3" w:rsidRPr="001209E0">
        <w:rPr>
          <w:rFonts w:ascii="Arial" w:hAnsi="Arial" w:cs="Arial"/>
          <w:b w:val="0"/>
          <w:caps w:val="0"/>
          <w:sz w:val="20"/>
        </w:rPr>
        <w:t>3.</w:t>
      </w:r>
      <w:r w:rsidR="00734FB3" w:rsidRPr="001209E0">
        <w:rPr>
          <w:rFonts w:ascii="Arial" w:hAnsi="Arial" w:cs="Arial"/>
          <w:b w:val="0"/>
          <w:caps w:val="0"/>
          <w:sz w:val="20"/>
        </w:rPr>
        <w:tab/>
        <w:t xml:space="preserve">Institutional Capacity and Sustainable Diplomacy: The interplay between </w:t>
      </w:r>
      <w:r w:rsidRPr="001209E0">
        <w:rPr>
          <w:rFonts w:ascii="Arial" w:hAnsi="Arial" w:cs="Arial"/>
          <w:b w:val="0"/>
          <w:caps w:val="0"/>
          <w:sz w:val="20"/>
        </w:rPr>
        <w:tab/>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 xml:space="preserve">governance structures, economic policymaking, and long-term diplomatic </w:t>
      </w:r>
      <w:r w:rsidRPr="001209E0">
        <w:rPr>
          <w:rFonts w:ascii="Arial" w:hAnsi="Arial" w:cs="Arial"/>
          <w:b w:val="0"/>
          <w:caps w:val="0"/>
          <w:sz w:val="20"/>
        </w:rPr>
        <w:tab/>
      </w:r>
      <w:r w:rsidRPr="001209E0">
        <w:rPr>
          <w:rFonts w:ascii="Arial" w:hAnsi="Arial" w:cs="Arial"/>
          <w:b w:val="0"/>
          <w:caps w:val="0"/>
          <w:sz w:val="20"/>
        </w:rPr>
        <w:tab/>
      </w:r>
      <w:r w:rsidR="00734FB3" w:rsidRPr="001209E0">
        <w:rPr>
          <w:rFonts w:ascii="Arial" w:hAnsi="Arial" w:cs="Arial"/>
          <w:b w:val="0"/>
          <w:caps w:val="0"/>
          <w:sz w:val="20"/>
        </w:rPr>
        <w:t>resilience.</w:t>
      </w:r>
    </w:p>
    <w:p w14:paraId="4EEB459C" w14:textId="6DEE5C7E" w:rsidR="00734FB3" w:rsidRPr="001209E0" w:rsidRDefault="00734FB3" w:rsidP="00D13F8B">
      <w:pPr>
        <w:pStyle w:val="AbstHead"/>
        <w:spacing w:line="276" w:lineRule="auto"/>
        <w:jc w:val="both"/>
        <w:rPr>
          <w:rFonts w:ascii="Arial" w:hAnsi="Arial" w:cs="Arial"/>
          <w:b w:val="0"/>
          <w:caps w:val="0"/>
          <w:sz w:val="20"/>
        </w:rPr>
      </w:pPr>
      <w:r w:rsidRPr="001209E0">
        <w:rPr>
          <w:rFonts w:ascii="Arial" w:hAnsi="Arial" w:cs="Arial"/>
          <w:b w:val="0"/>
          <w:caps w:val="0"/>
          <w:sz w:val="20"/>
        </w:rPr>
        <w:t>Rather than framing Myanmar’s story solely through narratives of fragility or setback, this study emphasizes the agency, adaptability, and resilience of a small state navigating an increasingly contested international order. Myanmar’s economic diplomacy, though imperfect, reflects a broader struggle for sovereignty, development, and global integration.</w:t>
      </w:r>
    </w:p>
    <w:p w14:paraId="31EB7ECF" w14:textId="3FB4849A" w:rsidR="00734FB3" w:rsidRPr="001209E0" w:rsidRDefault="00734FB3" w:rsidP="00D13F8B">
      <w:pPr>
        <w:pStyle w:val="AbstHead"/>
        <w:spacing w:after="0" w:line="276" w:lineRule="auto"/>
        <w:jc w:val="both"/>
        <w:rPr>
          <w:rFonts w:ascii="Arial" w:hAnsi="Arial" w:cs="Arial"/>
          <w:b w:val="0"/>
          <w:caps w:val="0"/>
          <w:sz w:val="20"/>
        </w:rPr>
      </w:pPr>
      <w:r w:rsidRPr="001209E0">
        <w:rPr>
          <w:rFonts w:ascii="Arial" w:hAnsi="Arial" w:cs="Arial"/>
          <w:b w:val="0"/>
          <w:caps w:val="0"/>
          <w:sz w:val="20"/>
        </w:rPr>
        <w:t>By situating Myanmar within contemporary debates on transitional economies, small-state diplomacy, and geopolitical hedging, this article offers a nuanced case study of how emerging markets negotiate influence, attract capital, and sustain autonomy in an era of strategic uncertainty. Beyond its immediate policy implications, Myanmar’s experience underscores the enduring aspirations of its people</w:t>
      </w:r>
      <w:r w:rsidR="00A8591D">
        <w:rPr>
          <w:rFonts w:ascii="Arial" w:hAnsi="Arial" w:cs="Arial"/>
          <w:b w:val="0"/>
          <w:caps w:val="0"/>
          <w:sz w:val="20"/>
        </w:rPr>
        <w:t>,</w:t>
      </w:r>
      <w:r w:rsidRPr="001209E0">
        <w:rPr>
          <w:rFonts w:ascii="Arial" w:hAnsi="Arial" w:cs="Arial"/>
          <w:b w:val="0"/>
          <w:caps w:val="0"/>
          <w:sz w:val="20"/>
        </w:rPr>
        <w:t xml:space="preserve"> particularly its youth and civil society</w:t>
      </w:r>
      <w:r w:rsidR="00A8591D">
        <w:rPr>
          <w:rFonts w:ascii="Arial" w:hAnsi="Arial" w:cs="Arial"/>
          <w:b w:val="0"/>
          <w:caps w:val="0"/>
          <w:sz w:val="20"/>
        </w:rPr>
        <w:t>,</w:t>
      </w:r>
      <w:r w:rsidRPr="001209E0">
        <w:rPr>
          <w:rFonts w:ascii="Arial" w:hAnsi="Arial" w:cs="Arial"/>
          <w:b w:val="0"/>
          <w:caps w:val="0"/>
          <w:sz w:val="20"/>
        </w:rPr>
        <w:t xml:space="preserve"> for a more prosperous and globally engaged future.</w:t>
      </w:r>
    </w:p>
    <w:p w14:paraId="2DC29061" w14:textId="77777777" w:rsidR="00397081" w:rsidRDefault="00397081" w:rsidP="00D13F8B">
      <w:pPr>
        <w:pStyle w:val="AbstHead"/>
        <w:spacing w:after="0" w:line="276" w:lineRule="auto"/>
        <w:jc w:val="both"/>
        <w:rPr>
          <w:rFonts w:ascii="Arial" w:hAnsi="Arial" w:cs="Arial"/>
        </w:rPr>
      </w:pPr>
    </w:p>
    <w:p w14:paraId="0E357049" w14:textId="61845BCC" w:rsidR="007F7B32" w:rsidRPr="001209E0" w:rsidRDefault="00902823" w:rsidP="00D13F8B">
      <w:pPr>
        <w:pStyle w:val="AbstHead"/>
        <w:spacing w:after="0" w:line="276" w:lineRule="auto"/>
        <w:jc w:val="both"/>
        <w:rPr>
          <w:rFonts w:ascii="Arial" w:hAnsi="Arial" w:cs="Arial"/>
        </w:rPr>
      </w:pPr>
      <w:r w:rsidRPr="001209E0">
        <w:rPr>
          <w:rFonts w:ascii="Arial" w:hAnsi="Arial" w:cs="Arial"/>
        </w:rPr>
        <w:t xml:space="preserve">2. </w:t>
      </w:r>
      <w:r w:rsidR="006B57D0" w:rsidRPr="001209E0">
        <w:rPr>
          <w:rFonts w:ascii="Arial" w:hAnsi="Arial" w:cs="Arial"/>
        </w:rPr>
        <w:t>methodology</w:t>
      </w:r>
      <w:r w:rsidR="007F7B32" w:rsidRPr="001209E0">
        <w:rPr>
          <w:rFonts w:ascii="Arial" w:hAnsi="Arial" w:cs="Arial"/>
        </w:rPr>
        <w:t xml:space="preserve"> </w:t>
      </w:r>
    </w:p>
    <w:p w14:paraId="589188B2" w14:textId="75040E78" w:rsidR="0044495D" w:rsidRPr="001209E0" w:rsidRDefault="00324A8C" w:rsidP="00D13F8B">
      <w:pPr>
        <w:tabs>
          <w:tab w:val="left" w:pos="450"/>
        </w:tabs>
        <w:spacing w:line="276" w:lineRule="auto"/>
        <w:jc w:val="both"/>
        <w:rPr>
          <w:rFonts w:asciiTheme="minorBidi" w:eastAsiaTheme="majorEastAsia" w:hAnsiTheme="minorBidi" w:cstheme="minorBidi"/>
          <w:b/>
          <w:bCs/>
        </w:rPr>
      </w:pPr>
      <w:r w:rsidRPr="001209E0">
        <w:rPr>
          <w:rFonts w:asciiTheme="minorBidi" w:eastAsiaTheme="majorEastAsia" w:hAnsiTheme="minorBidi" w:cstheme="minorBidi"/>
          <w:b/>
          <w:bCs/>
        </w:rPr>
        <w:t>2.1</w:t>
      </w:r>
      <w:r w:rsidRPr="001209E0">
        <w:rPr>
          <w:rFonts w:asciiTheme="minorBidi" w:eastAsiaTheme="majorEastAsia" w:hAnsiTheme="minorBidi" w:cstheme="minorBidi"/>
          <w:b/>
          <w:bCs/>
        </w:rPr>
        <w:tab/>
      </w:r>
      <w:r w:rsidR="005C7814" w:rsidRPr="001209E0">
        <w:rPr>
          <w:rFonts w:asciiTheme="minorBidi" w:eastAsiaTheme="majorEastAsia" w:hAnsiTheme="minorBidi" w:cstheme="minorBidi"/>
          <w:b/>
          <w:bCs/>
        </w:rPr>
        <w:tab/>
      </w:r>
      <w:r w:rsidR="0044495D" w:rsidRPr="001209E0">
        <w:rPr>
          <w:rFonts w:asciiTheme="minorBidi" w:eastAsiaTheme="majorEastAsia" w:hAnsiTheme="minorBidi" w:cstheme="minorBidi"/>
          <w:b/>
          <w:bCs/>
        </w:rPr>
        <w:t>Research design</w:t>
      </w:r>
    </w:p>
    <w:p w14:paraId="6235FACA" w14:textId="62F4D9BE" w:rsidR="0044495D" w:rsidRPr="00D5495A" w:rsidRDefault="0044495D" w:rsidP="00D13F8B">
      <w:pPr>
        <w:spacing w:line="276" w:lineRule="auto"/>
        <w:jc w:val="both"/>
        <w:rPr>
          <w:rFonts w:asciiTheme="minorBidi" w:eastAsiaTheme="majorEastAsia" w:hAnsiTheme="minorBidi" w:cstheme="minorBidi"/>
        </w:rPr>
      </w:pPr>
      <w:r w:rsidRPr="00D5495A">
        <w:rPr>
          <w:rFonts w:asciiTheme="minorBidi" w:eastAsiaTheme="majorEastAsia" w:hAnsiTheme="minorBidi" w:cstheme="minorBidi"/>
        </w:rPr>
        <w:t xml:space="preserve">The research incorporates a longitudinal perspective, as it examines Myanmar’s economic diplomacy over </w:t>
      </w:r>
      <w:r w:rsidR="00911BA3" w:rsidRPr="00D5495A">
        <w:rPr>
          <w:rFonts w:asciiTheme="minorBidi" w:eastAsiaTheme="majorEastAsia" w:hAnsiTheme="minorBidi" w:cstheme="minorBidi"/>
        </w:rPr>
        <w:t>12 years</w:t>
      </w:r>
      <w:r w:rsidRPr="00D5495A">
        <w:rPr>
          <w:rFonts w:asciiTheme="minorBidi" w:eastAsiaTheme="majorEastAsia" w:hAnsiTheme="minorBidi" w:cstheme="minorBidi"/>
        </w:rPr>
        <w:t xml:space="preserve"> (2011–2023). This approach allows for the analysis of continuity and change in diplomatic strategies, highlighting how political reforms, international engagement, and economic challenges have shaped Myanmar’s diplomatic trajectory. By tracing </w:t>
      </w:r>
      <w:r w:rsidRPr="00D5495A">
        <w:rPr>
          <w:rFonts w:asciiTheme="minorBidi" w:eastAsiaTheme="majorEastAsia" w:hAnsiTheme="minorBidi" w:cstheme="minorBidi"/>
        </w:rPr>
        <w:lastRenderedPageBreak/>
        <w:t>developments over time, the study provides a comprehensive understanding of the factors that have influenced Myanmar’s economic diplomacy and their evolving impacts.</w:t>
      </w:r>
    </w:p>
    <w:p w14:paraId="2434D2AB" w14:textId="66723B89" w:rsidR="00A87920" w:rsidRDefault="0044495D" w:rsidP="00A8591D">
      <w:pPr>
        <w:spacing w:line="276" w:lineRule="auto"/>
        <w:jc w:val="both"/>
        <w:rPr>
          <w:rFonts w:asciiTheme="minorBidi" w:eastAsiaTheme="majorEastAsia" w:hAnsiTheme="minorBidi" w:cstheme="minorBidi"/>
        </w:rPr>
      </w:pPr>
      <w:r w:rsidRPr="00D5495A">
        <w:rPr>
          <w:rFonts w:asciiTheme="minorBidi" w:eastAsiaTheme="majorEastAsia" w:hAnsiTheme="minorBidi" w:cstheme="minorBidi"/>
        </w:rPr>
        <w:t>The qualitative approach is central to this study, as it enables the exploration of Myanmar’s economic diplomacy through the analysis of non-numerical data. This approach is particularly suited to understanding the contextual and subjective dimensions of diplomatic strategies, policy shifts, and their socio-economic impacts. By focusing on narratives, perspectives, and lived experiences, the research captures the complexities of Myanmar’s diplomatic journey</w:t>
      </w:r>
      <w:r w:rsidR="00A8591D">
        <w:rPr>
          <w:rFonts w:asciiTheme="minorBidi" w:eastAsiaTheme="majorEastAsia" w:hAnsiTheme="minorBidi" w:cstheme="minorBidi"/>
        </w:rPr>
        <w:t>.</w:t>
      </w:r>
      <w:r w:rsidRPr="00D5495A">
        <w:rPr>
          <w:rFonts w:asciiTheme="minorBidi" w:eastAsiaTheme="majorEastAsia" w:hAnsiTheme="minorBidi" w:cstheme="minorBidi"/>
        </w:rPr>
        <w:t xml:space="preserve"> </w:t>
      </w:r>
    </w:p>
    <w:p w14:paraId="36BE4D44" w14:textId="77777777" w:rsidR="00A8591D" w:rsidRPr="00D5495A" w:rsidRDefault="00A8591D" w:rsidP="00A8591D">
      <w:pPr>
        <w:spacing w:line="276" w:lineRule="auto"/>
        <w:jc w:val="both"/>
        <w:rPr>
          <w:rFonts w:asciiTheme="minorBidi" w:eastAsiaTheme="majorEastAsia" w:hAnsiTheme="minorBidi" w:cstheme="minorBidi"/>
        </w:rPr>
      </w:pPr>
    </w:p>
    <w:p w14:paraId="7DD5A52E" w14:textId="6E2F485C" w:rsidR="00985B79" w:rsidRPr="001209E0" w:rsidRDefault="005C7814" w:rsidP="00D13F8B">
      <w:pPr>
        <w:spacing w:line="276" w:lineRule="auto"/>
        <w:jc w:val="both"/>
        <w:rPr>
          <w:rFonts w:asciiTheme="minorBidi" w:hAnsiTheme="minorBidi" w:cstheme="minorBidi"/>
          <w:b/>
          <w:bCs/>
        </w:rPr>
      </w:pPr>
      <w:r w:rsidRPr="001209E0">
        <w:rPr>
          <w:rFonts w:asciiTheme="minorBidi" w:hAnsiTheme="minorBidi" w:cstheme="minorBidi"/>
          <w:b/>
          <w:bCs/>
        </w:rPr>
        <w:t>2.2</w:t>
      </w:r>
      <w:r w:rsidRPr="001209E0">
        <w:rPr>
          <w:rFonts w:asciiTheme="minorBidi" w:hAnsiTheme="minorBidi" w:cstheme="minorBidi"/>
          <w:b/>
          <w:bCs/>
        </w:rPr>
        <w:tab/>
      </w:r>
      <w:r w:rsidR="00985B79" w:rsidRPr="001209E0">
        <w:rPr>
          <w:rFonts w:asciiTheme="minorBidi" w:hAnsiTheme="minorBidi" w:cstheme="minorBidi"/>
          <w:b/>
          <w:bCs/>
        </w:rPr>
        <w:t xml:space="preserve">Study Area </w:t>
      </w:r>
    </w:p>
    <w:p w14:paraId="6813792B" w14:textId="1A8598BD" w:rsidR="00985B79" w:rsidRPr="001209E0" w:rsidRDefault="00985B79" w:rsidP="00D13F8B">
      <w:pPr>
        <w:spacing w:line="276" w:lineRule="auto"/>
        <w:jc w:val="both"/>
        <w:rPr>
          <w:rFonts w:asciiTheme="minorBidi" w:hAnsiTheme="minorBidi" w:cstheme="minorBidi"/>
        </w:rPr>
      </w:pPr>
      <w:r w:rsidRPr="001209E0">
        <w:rPr>
          <w:rFonts w:asciiTheme="minorBidi" w:hAnsiTheme="minorBidi" w:cstheme="minorBidi"/>
        </w:rPr>
        <w:t>The study area for this research focuses on the key political posts, diplomatic entities, economic counselors, Myanmar embassies, other ministry officials, and organizations that have played a central role in shaping Myanmar’s economic diplomacy from 2011 to 2023.</w:t>
      </w:r>
    </w:p>
    <w:p w14:paraId="56F25F31" w14:textId="77777777" w:rsidR="002C2409" w:rsidRPr="001209E0" w:rsidRDefault="002C2409" w:rsidP="00D13F8B">
      <w:pPr>
        <w:spacing w:line="276" w:lineRule="auto"/>
        <w:jc w:val="both"/>
        <w:rPr>
          <w:rFonts w:asciiTheme="minorBidi" w:hAnsiTheme="minorBidi" w:cstheme="minorBidi"/>
        </w:rPr>
      </w:pPr>
    </w:p>
    <w:p w14:paraId="19A33005" w14:textId="0C1EE8CF" w:rsidR="002C2409" w:rsidRPr="001209E0" w:rsidRDefault="008418B3" w:rsidP="00D13F8B">
      <w:pPr>
        <w:spacing w:line="276" w:lineRule="auto"/>
        <w:jc w:val="both"/>
        <w:rPr>
          <w:rFonts w:asciiTheme="minorBidi" w:hAnsiTheme="minorBidi" w:cstheme="minorBidi"/>
          <w:b/>
          <w:bCs/>
        </w:rPr>
      </w:pPr>
      <w:r w:rsidRPr="001209E0">
        <w:rPr>
          <w:rFonts w:asciiTheme="minorBidi" w:hAnsiTheme="minorBidi" w:cstheme="minorBidi"/>
          <w:b/>
          <w:bCs/>
        </w:rPr>
        <w:t>2.3</w:t>
      </w:r>
      <w:r w:rsidRPr="001209E0">
        <w:rPr>
          <w:rFonts w:asciiTheme="minorBidi" w:hAnsiTheme="minorBidi" w:cstheme="minorBidi"/>
          <w:b/>
          <w:bCs/>
        </w:rPr>
        <w:tab/>
      </w:r>
      <w:r w:rsidR="002C2409" w:rsidRPr="001209E0">
        <w:rPr>
          <w:rFonts w:asciiTheme="minorBidi" w:hAnsiTheme="minorBidi" w:cstheme="minorBidi"/>
          <w:b/>
          <w:bCs/>
        </w:rPr>
        <w:t>Research Approach</w:t>
      </w:r>
    </w:p>
    <w:p w14:paraId="05368267" w14:textId="2C3E4D90" w:rsidR="002C2409" w:rsidRDefault="002C2409" w:rsidP="00C343D7">
      <w:pPr>
        <w:spacing w:line="276" w:lineRule="auto"/>
        <w:jc w:val="both"/>
        <w:rPr>
          <w:rFonts w:asciiTheme="minorBidi" w:hAnsiTheme="minorBidi" w:cstheme="minorBidi"/>
        </w:rPr>
      </w:pPr>
      <w:r w:rsidRPr="001209E0">
        <w:rPr>
          <w:rFonts w:asciiTheme="minorBidi" w:hAnsiTheme="minorBidi" w:cstheme="minorBidi"/>
        </w:rPr>
        <w:t xml:space="preserve">This dissertation employs a qualitative research approach to explore Myanmar’s economic diplomacy journey from 2011 to 2023. The study is designed to provide an in-depth understanding of the motivations, strategies, and outcomes of Myanmar’s economic diplomacy during this transformative period. The qualitative approach is particularly </w:t>
      </w:r>
      <w:r w:rsidR="00283568">
        <w:rPr>
          <w:rFonts w:asciiTheme="minorBidi" w:hAnsiTheme="minorBidi" w:cstheme="minorBidi"/>
        </w:rPr>
        <w:t>well-suited to this research, as it enables</w:t>
      </w:r>
      <w:r w:rsidRPr="001209E0">
        <w:rPr>
          <w:rFonts w:asciiTheme="minorBidi" w:hAnsiTheme="minorBidi" w:cstheme="minorBidi"/>
        </w:rPr>
        <w:t xml:space="preserve"> a nuanced exploration of complex political, economic, and social phenomena. The study is divided into three phases:</w:t>
      </w:r>
      <w:r w:rsidR="00C343D7">
        <w:rPr>
          <w:rFonts w:asciiTheme="minorBidi" w:hAnsiTheme="minorBidi" w:cstheme="minorBidi"/>
        </w:rPr>
        <w:t xml:space="preserve"> </w:t>
      </w:r>
      <w:r w:rsidRPr="001209E0">
        <w:rPr>
          <w:rStyle w:val="Strong"/>
          <w:rFonts w:asciiTheme="minorBidi" w:eastAsiaTheme="majorEastAsia" w:hAnsiTheme="minorBidi" w:cstheme="minorBidi"/>
          <w:b w:val="0"/>
          <w:bCs w:val="0"/>
        </w:rPr>
        <w:t>2011–2015</w:t>
      </w:r>
      <w:r w:rsidR="00C343D7">
        <w:rPr>
          <w:rFonts w:asciiTheme="minorBidi" w:hAnsiTheme="minorBidi" w:cstheme="minorBidi"/>
        </w:rPr>
        <w:t>,</w:t>
      </w:r>
      <w:r w:rsidRPr="001209E0">
        <w:rPr>
          <w:rFonts w:asciiTheme="minorBidi" w:hAnsiTheme="minorBidi" w:cstheme="minorBidi"/>
        </w:rPr>
        <w:t xml:space="preserve"> Transition and re-engagement with the global </w:t>
      </w:r>
      <w:proofErr w:type="gramStart"/>
      <w:r w:rsidRPr="001209E0">
        <w:rPr>
          <w:rFonts w:asciiTheme="minorBidi" w:hAnsiTheme="minorBidi" w:cstheme="minorBidi"/>
        </w:rPr>
        <w:t>economy</w:t>
      </w:r>
      <w:r w:rsidR="00C343D7">
        <w:rPr>
          <w:rFonts w:asciiTheme="minorBidi" w:hAnsiTheme="minorBidi" w:cstheme="minorBidi"/>
        </w:rPr>
        <w:t xml:space="preserve">,   </w:t>
      </w:r>
      <w:proofErr w:type="gramEnd"/>
      <w:r w:rsidR="00C343D7">
        <w:rPr>
          <w:rFonts w:asciiTheme="minorBidi" w:hAnsiTheme="minorBidi" w:cstheme="minorBidi"/>
        </w:rPr>
        <w:t xml:space="preserve">    </w:t>
      </w:r>
      <w:r w:rsidRPr="001209E0">
        <w:rPr>
          <w:rStyle w:val="Strong"/>
          <w:rFonts w:asciiTheme="minorBidi" w:eastAsiaTheme="majorEastAsia" w:hAnsiTheme="minorBidi" w:cstheme="minorBidi"/>
          <w:b w:val="0"/>
          <w:bCs w:val="0"/>
        </w:rPr>
        <w:t>2016–2020</w:t>
      </w:r>
      <w:r w:rsidR="00C343D7">
        <w:rPr>
          <w:rFonts w:asciiTheme="minorBidi" w:hAnsiTheme="minorBidi" w:cstheme="minorBidi"/>
        </w:rPr>
        <w:t>,</w:t>
      </w:r>
      <w:r w:rsidRPr="001209E0">
        <w:rPr>
          <w:rFonts w:asciiTheme="minorBidi" w:hAnsiTheme="minorBidi" w:cstheme="minorBidi"/>
        </w:rPr>
        <w:t xml:space="preserve"> Consolidation of economic diplomacy </w:t>
      </w:r>
      <w:r w:rsidR="00C343D7">
        <w:rPr>
          <w:rFonts w:asciiTheme="minorBidi" w:hAnsiTheme="minorBidi" w:cstheme="minorBidi"/>
        </w:rPr>
        <w:t xml:space="preserve">and </w:t>
      </w:r>
      <w:r w:rsidRPr="001209E0">
        <w:rPr>
          <w:rStyle w:val="Strong"/>
          <w:rFonts w:asciiTheme="minorBidi" w:eastAsiaTheme="majorEastAsia" w:hAnsiTheme="minorBidi" w:cstheme="minorBidi"/>
          <w:b w:val="0"/>
          <w:bCs w:val="0"/>
        </w:rPr>
        <w:t>2021–2023</w:t>
      </w:r>
      <w:r w:rsidR="00C343D7">
        <w:rPr>
          <w:rFonts w:asciiTheme="minorBidi" w:hAnsiTheme="minorBidi" w:cstheme="minorBidi"/>
        </w:rPr>
        <w:t>,</w:t>
      </w:r>
      <w:r w:rsidRPr="001209E0">
        <w:rPr>
          <w:rFonts w:asciiTheme="minorBidi" w:hAnsiTheme="minorBidi" w:cstheme="minorBidi"/>
        </w:rPr>
        <w:t xml:space="preserve"> Economic diplomacy in the context of political instability and international</w:t>
      </w:r>
      <w:r w:rsidR="00C343D7">
        <w:rPr>
          <w:rFonts w:asciiTheme="minorBidi" w:hAnsiTheme="minorBidi" w:cstheme="minorBidi"/>
        </w:rPr>
        <w:t xml:space="preserve"> </w:t>
      </w:r>
      <w:r w:rsidRPr="001209E0">
        <w:rPr>
          <w:rFonts w:asciiTheme="minorBidi" w:hAnsiTheme="minorBidi" w:cstheme="minorBidi"/>
        </w:rPr>
        <w:t>isolation.</w:t>
      </w:r>
    </w:p>
    <w:p w14:paraId="16CC6402" w14:textId="77777777" w:rsidR="00965130" w:rsidRPr="001209E0" w:rsidRDefault="00965130" w:rsidP="00C343D7">
      <w:pPr>
        <w:pStyle w:val="NormalWeb"/>
        <w:spacing w:before="0" w:beforeAutospacing="0" w:after="0" w:afterAutospacing="0" w:line="276" w:lineRule="auto"/>
        <w:ind w:left="1440"/>
        <w:jc w:val="both"/>
        <w:rPr>
          <w:rFonts w:asciiTheme="minorBidi" w:hAnsiTheme="minorBidi" w:cstheme="minorBidi"/>
          <w:sz w:val="20"/>
          <w:szCs w:val="20"/>
        </w:rPr>
      </w:pPr>
    </w:p>
    <w:p w14:paraId="6C620BE6" w14:textId="1877CC8C" w:rsidR="002C2409" w:rsidRPr="001209E0" w:rsidRDefault="002C2409" w:rsidP="00D13F8B">
      <w:pPr>
        <w:pStyle w:val="ListParagraph"/>
        <w:numPr>
          <w:ilvl w:val="1"/>
          <w:numId w:val="43"/>
        </w:numPr>
        <w:spacing w:line="276" w:lineRule="auto"/>
        <w:jc w:val="both"/>
        <w:rPr>
          <w:rFonts w:asciiTheme="minorBidi" w:hAnsiTheme="minorBidi" w:cstheme="minorBidi"/>
          <w:b/>
          <w:bCs/>
        </w:rPr>
      </w:pPr>
      <w:r w:rsidRPr="001209E0">
        <w:rPr>
          <w:rFonts w:asciiTheme="minorBidi" w:hAnsiTheme="minorBidi" w:cstheme="minorBidi"/>
          <w:b/>
          <w:bCs/>
        </w:rPr>
        <w:t>Data Analysis</w:t>
      </w:r>
    </w:p>
    <w:p w14:paraId="3FAEC38D" w14:textId="4C0B555B" w:rsidR="002C2409" w:rsidRPr="001209E0" w:rsidRDefault="00A8591D" w:rsidP="00D13F8B">
      <w:pPr>
        <w:spacing w:line="276" w:lineRule="auto"/>
        <w:jc w:val="both"/>
        <w:rPr>
          <w:rFonts w:asciiTheme="minorBidi" w:eastAsiaTheme="majorEastAsia" w:hAnsiTheme="minorBidi" w:cstheme="minorBidi"/>
        </w:rPr>
      </w:pPr>
      <w:r>
        <w:rPr>
          <w:rFonts w:asciiTheme="minorBidi" w:hAnsiTheme="minorBidi" w:cstheme="minorBidi"/>
        </w:rPr>
        <w:t>By using document-based analysis, identify</w:t>
      </w:r>
      <w:r w:rsidR="002C2409" w:rsidRPr="001209E0">
        <w:rPr>
          <w:rFonts w:asciiTheme="minorBidi" w:hAnsiTheme="minorBidi" w:cstheme="minorBidi"/>
        </w:rPr>
        <w:t xml:space="preserve"> and analyze key themes, patterns, and shifts in Myanmar’s economic diplomacy. This involves coding interview transcripts and documents to extract recurring ideas, strategies, and challenges</w:t>
      </w:r>
      <w:r w:rsidR="003A3290" w:rsidRPr="001209E0">
        <w:rPr>
          <w:rFonts w:asciiTheme="minorBidi" w:hAnsiTheme="minorBidi" w:cstheme="minorBidi"/>
        </w:rPr>
        <w:t>.</w:t>
      </w:r>
    </w:p>
    <w:p w14:paraId="56F64988" w14:textId="77777777" w:rsidR="0044495D" w:rsidRDefault="0044495D" w:rsidP="00D13F8B">
      <w:pPr>
        <w:spacing w:line="276" w:lineRule="auto"/>
        <w:jc w:val="both"/>
        <w:rPr>
          <w:rFonts w:asciiTheme="minorBidi" w:eastAsiaTheme="majorEastAsia" w:hAnsiTheme="minorBidi" w:cstheme="minorBidi"/>
        </w:rPr>
      </w:pPr>
    </w:p>
    <w:p w14:paraId="60B0328F" w14:textId="77777777" w:rsidR="00951BF6" w:rsidRPr="001209E0" w:rsidRDefault="00951BF6" w:rsidP="00D13F8B">
      <w:pPr>
        <w:spacing w:line="276" w:lineRule="auto"/>
        <w:jc w:val="both"/>
        <w:rPr>
          <w:rFonts w:asciiTheme="minorBidi" w:eastAsiaTheme="majorEastAsia" w:hAnsiTheme="minorBidi" w:cstheme="minorBidi"/>
        </w:rPr>
      </w:pPr>
    </w:p>
    <w:p w14:paraId="34853A3E" w14:textId="72CC07EA" w:rsidR="00902823" w:rsidRPr="00951BF6" w:rsidRDefault="00000F8F" w:rsidP="00D13F8B">
      <w:pPr>
        <w:pStyle w:val="Head1"/>
        <w:spacing w:after="0" w:line="276" w:lineRule="auto"/>
        <w:jc w:val="both"/>
        <w:rPr>
          <w:rFonts w:asciiTheme="minorBidi" w:hAnsiTheme="minorBidi" w:cstheme="minorBidi"/>
          <w:bCs/>
          <w:sz w:val="20"/>
        </w:rPr>
      </w:pPr>
      <w:r w:rsidRPr="00951BF6">
        <w:rPr>
          <w:rFonts w:asciiTheme="minorBidi" w:hAnsiTheme="minorBidi" w:cstheme="minorBidi"/>
          <w:bCs/>
          <w:sz w:val="20"/>
        </w:rPr>
        <w:t>3</w:t>
      </w:r>
      <w:r w:rsidR="00902823" w:rsidRPr="00951BF6">
        <w:rPr>
          <w:rFonts w:asciiTheme="minorBidi" w:hAnsiTheme="minorBidi" w:cstheme="minorBidi"/>
          <w:bCs/>
          <w:sz w:val="20"/>
        </w:rPr>
        <w:t xml:space="preserve">. </w:t>
      </w:r>
      <w:r w:rsidRPr="00951BF6">
        <w:rPr>
          <w:rFonts w:asciiTheme="minorBidi" w:hAnsiTheme="minorBidi" w:cstheme="minorBidi"/>
          <w:bCs/>
          <w:sz w:val="20"/>
        </w:rPr>
        <w:t>result</w:t>
      </w:r>
    </w:p>
    <w:p w14:paraId="42A6257B" w14:textId="771FB82A" w:rsidR="00F60863" w:rsidRPr="0012118C" w:rsidRDefault="001C2DEA" w:rsidP="00D13F8B">
      <w:pPr>
        <w:pStyle w:val="NormalWeb"/>
        <w:spacing w:afterLines="20" w:after="48" w:afterAutospacing="0" w:line="276" w:lineRule="auto"/>
        <w:jc w:val="both"/>
        <w:rPr>
          <w:rFonts w:asciiTheme="minorBidi" w:hAnsiTheme="minorBidi" w:cstheme="minorBidi"/>
          <w:b/>
          <w:bCs/>
          <w:sz w:val="20"/>
          <w:szCs w:val="20"/>
          <w:shd w:val="clear" w:color="auto" w:fill="FFFFFF"/>
        </w:rPr>
      </w:pPr>
      <w:bookmarkStart w:id="1" w:name="_Hlk200051198"/>
      <w:r w:rsidRPr="0012118C">
        <w:rPr>
          <w:rFonts w:asciiTheme="minorBidi" w:hAnsiTheme="minorBidi" w:cstheme="minorBidi"/>
          <w:b/>
          <w:bCs/>
          <w:sz w:val="20"/>
          <w:szCs w:val="20"/>
          <w:shd w:val="clear" w:color="auto" w:fill="FFFFFF"/>
        </w:rPr>
        <w:t>3.1</w:t>
      </w:r>
      <w:r w:rsidR="00AA46FD" w:rsidRPr="0012118C">
        <w:rPr>
          <w:rFonts w:asciiTheme="minorBidi" w:hAnsiTheme="minorBidi" w:cstheme="minorBidi"/>
          <w:b/>
          <w:bCs/>
          <w:sz w:val="20"/>
          <w:szCs w:val="20"/>
          <w:shd w:val="clear" w:color="auto" w:fill="FFFFFF"/>
        </w:rPr>
        <w:tab/>
      </w:r>
      <w:r w:rsidR="00F60863" w:rsidRPr="0012118C">
        <w:rPr>
          <w:rFonts w:asciiTheme="minorBidi" w:hAnsiTheme="minorBidi" w:cstheme="minorBidi"/>
          <w:b/>
          <w:bCs/>
          <w:sz w:val="20"/>
          <w:szCs w:val="20"/>
          <w:shd w:val="clear" w:color="auto" w:fill="FFFFFF"/>
        </w:rPr>
        <w:t xml:space="preserve">Myanmar’s Economic Reforms and Liberalization (2011–2023): Progress and </w:t>
      </w:r>
      <w:r w:rsidR="00951BF6" w:rsidRPr="0012118C">
        <w:rPr>
          <w:rFonts w:asciiTheme="minorBidi" w:hAnsiTheme="minorBidi" w:cstheme="minorBidi"/>
          <w:b/>
          <w:bCs/>
          <w:sz w:val="20"/>
          <w:szCs w:val="20"/>
          <w:shd w:val="clear" w:color="auto" w:fill="FFFFFF"/>
        </w:rPr>
        <w:tab/>
      </w:r>
      <w:r w:rsidR="00F60863" w:rsidRPr="0012118C">
        <w:rPr>
          <w:rFonts w:asciiTheme="minorBidi" w:hAnsiTheme="minorBidi" w:cstheme="minorBidi"/>
          <w:b/>
          <w:bCs/>
          <w:sz w:val="20"/>
          <w:szCs w:val="20"/>
          <w:shd w:val="clear" w:color="auto" w:fill="FFFFFF"/>
        </w:rPr>
        <w:t>Reversal</w:t>
      </w:r>
    </w:p>
    <w:bookmarkEnd w:id="1"/>
    <w:p w14:paraId="642C1DA0" w14:textId="04B12310" w:rsidR="00965130" w:rsidRDefault="00F60863" w:rsidP="00F04A7A">
      <w:pPr>
        <w:pStyle w:val="NormalWeb"/>
        <w:spacing w:before="20" w:afterLines="20" w:after="48" w:line="276" w:lineRule="auto"/>
        <w:jc w:val="both"/>
        <w:rPr>
          <w:rFonts w:asciiTheme="minorBidi" w:hAnsiTheme="minorBidi" w:cstheme="minorBidi"/>
          <w:sz w:val="20"/>
          <w:szCs w:val="20"/>
          <w:shd w:val="clear" w:color="auto" w:fill="FFFFFF"/>
        </w:rPr>
      </w:pPr>
      <w:r w:rsidRPr="001209E0">
        <w:rPr>
          <w:rFonts w:asciiTheme="minorBidi" w:hAnsiTheme="minorBidi" w:cstheme="minorBidi"/>
          <w:sz w:val="20"/>
          <w:szCs w:val="20"/>
          <w:shd w:val="clear" w:color="auto" w:fill="FFFFFF"/>
        </w:rPr>
        <w:t xml:space="preserve">Between 2011 and 2021, Myanmar implemented significant economic reforms, transitioning from </w:t>
      </w:r>
      <w:r w:rsidR="00AC1C3C">
        <w:rPr>
          <w:rFonts w:asciiTheme="minorBidi" w:hAnsiTheme="minorBidi" w:cstheme="minorBidi"/>
          <w:sz w:val="20"/>
          <w:szCs w:val="20"/>
          <w:shd w:val="clear" w:color="auto" w:fill="FFFFFF"/>
        </w:rPr>
        <w:t>the</w:t>
      </w:r>
      <w:r w:rsidRPr="001209E0">
        <w:rPr>
          <w:rFonts w:asciiTheme="minorBidi" w:hAnsiTheme="minorBidi" w:cstheme="minorBidi"/>
          <w:sz w:val="20"/>
          <w:szCs w:val="20"/>
          <w:shd w:val="clear" w:color="auto" w:fill="FFFFFF"/>
        </w:rPr>
        <w:t xml:space="preserve"> </w:t>
      </w:r>
      <w:r w:rsidR="00AC1C3C">
        <w:rPr>
          <w:rFonts w:asciiTheme="minorBidi" w:hAnsiTheme="minorBidi" w:cstheme="minorBidi"/>
          <w:sz w:val="20"/>
          <w:szCs w:val="20"/>
          <w:shd w:val="clear" w:color="auto" w:fill="FFFFFF"/>
        </w:rPr>
        <w:t>old era</w:t>
      </w:r>
      <w:r w:rsidRPr="001209E0">
        <w:rPr>
          <w:rFonts w:asciiTheme="minorBidi" w:hAnsiTheme="minorBidi" w:cstheme="minorBidi"/>
          <w:sz w:val="20"/>
          <w:szCs w:val="20"/>
          <w:shd w:val="clear" w:color="auto" w:fill="FFFFFF"/>
        </w:rPr>
        <w:t xml:space="preserve">, closed economy to a more market-oriented system. Under President Thein Sein (2011–2016), key changes included </w:t>
      </w:r>
      <w:r w:rsidR="00DE5388">
        <w:rPr>
          <w:rFonts w:asciiTheme="minorBidi" w:hAnsiTheme="minorBidi" w:cstheme="minorBidi"/>
          <w:sz w:val="20"/>
          <w:szCs w:val="20"/>
          <w:shd w:val="clear" w:color="auto" w:fill="FFFFFF"/>
        </w:rPr>
        <w:t>the unification of the exchange rate, liberalization of foreign investment, and the opening of sectors such as</w:t>
      </w:r>
      <w:r w:rsidRPr="001209E0">
        <w:rPr>
          <w:rFonts w:asciiTheme="minorBidi" w:hAnsiTheme="minorBidi" w:cstheme="minorBidi"/>
          <w:sz w:val="20"/>
          <w:szCs w:val="20"/>
          <w:shd w:val="clear" w:color="auto" w:fill="FFFFFF"/>
        </w:rPr>
        <w:t xml:space="preserve"> telecommunications (World Bank, 2014). These reforms spurred rapid growth, with GDP averaging 7% annually and foreign direct investment (FDI) peaking at $9.5 billion in 2016 (ADB, 2017). </w:t>
      </w:r>
    </w:p>
    <w:p w14:paraId="4C462681" w14:textId="7BAF92C7" w:rsidR="00965130" w:rsidRDefault="00F60863" w:rsidP="00F04A7A">
      <w:pPr>
        <w:pStyle w:val="NormalWeb"/>
        <w:spacing w:before="20" w:afterLines="20" w:after="48" w:line="276" w:lineRule="auto"/>
        <w:jc w:val="both"/>
        <w:rPr>
          <w:rFonts w:asciiTheme="minorBidi" w:hAnsiTheme="minorBidi" w:cstheme="minorBidi"/>
          <w:sz w:val="20"/>
          <w:szCs w:val="20"/>
          <w:shd w:val="clear" w:color="auto" w:fill="FFFFFF"/>
        </w:rPr>
      </w:pPr>
      <w:r w:rsidRPr="001209E0">
        <w:rPr>
          <w:rFonts w:asciiTheme="minorBidi" w:hAnsiTheme="minorBidi" w:cstheme="minorBidi"/>
          <w:sz w:val="20"/>
          <w:szCs w:val="20"/>
          <w:shd w:val="clear" w:color="auto" w:fill="FFFFFF"/>
        </w:rPr>
        <w:t>The</w:t>
      </w:r>
      <w:r w:rsidR="00CE3DEC" w:rsidRPr="001209E0">
        <w:rPr>
          <w:rFonts w:asciiTheme="minorBidi" w:hAnsiTheme="minorBidi" w:cstheme="minorBidi"/>
          <w:sz w:val="20"/>
          <w:szCs w:val="20"/>
          <w:shd w:val="clear" w:color="auto" w:fill="FFFFFF"/>
        </w:rPr>
        <w:t xml:space="preserve"> elected government</w:t>
      </w:r>
      <w:r w:rsidRPr="001209E0">
        <w:rPr>
          <w:rFonts w:asciiTheme="minorBidi" w:hAnsiTheme="minorBidi" w:cstheme="minorBidi"/>
          <w:sz w:val="20"/>
          <w:szCs w:val="20"/>
          <w:shd w:val="clear" w:color="auto" w:fill="FFFFFF"/>
        </w:rPr>
        <w:t xml:space="preserve"> (2016–2021) continued reforms, modernizing banking and easing business regulations, but faced setbacks due to the </w:t>
      </w:r>
      <w:r w:rsidR="00BD7BAB" w:rsidRPr="001209E0">
        <w:rPr>
          <w:rFonts w:asciiTheme="minorBidi" w:hAnsiTheme="minorBidi" w:cstheme="minorBidi"/>
          <w:sz w:val="20"/>
          <w:szCs w:val="20"/>
          <w:shd w:val="clear" w:color="auto" w:fill="FFFFFF"/>
        </w:rPr>
        <w:t>Bengali</w:t>
      </w:r>
      <w:r w:rsidRPr="001209E0">
        <w:rPr>
          <w:rFonts w:asciiTheme="minorBidi" w:hAnsiTheme="minorBidi" w:cstheme="minorBidi"/>
          <w:sz w:val="20"/>
          <w:szCs w:val="20"/>
          <w:shd w:val="clear" w:color="auto" w:fill="FFFFFF"/>
        </w:rPr>
        <w:t xml:space="preserve"> crisis, which led to renewed scrutiny from Western investors</w:t>
      </w:r>
      <w:r w:rsidR="00C54DBB">
        <w:rPr>
          <w:rFonts w:asciiTheme="minorBidi" w:hAnsiTheme="minorBidi" w:cstheme="minorBidi"/>
          <w:sz w:val="20"/>
          <w:szCs w:val="20"/>
          <w:shd w:val="clear" w:color="auto" w:fill="FFFFFF"/>
        </w:rPr>
        <w:t>.</w:t>
      </w:r>
      <w:r w:rsidRPr="001209E0">
        <w:rPr>
          <w:rFonts w:asciiTheme="minorBidi" w:hAnsiTheme="minorBidi" w:cstheme="minorBidi"/>
          <w:sz w:val="20"/>
          <w:szCs w:val="20"/>
          <w:shd w:val="clear" w:color="auto" w:fill="FFFFFF"/>
        </w:rPr>
        <w:t xml:space="preserve"> </w:t>
      </w:r>
    </w:p>
    <w:p w14:paraId="591F9509" w14:textId="567BF08F" w:rsidR="00EC2A31" w:rsidRDefault="00F96046" w:rsidP="00F96046">
      <w:pPr>
        <w:pStyle w:val="NormalWeb"/>
        <w:spacing w:before="20" w:afterLines="20" w:after="48" w:line="276" w:lineRule="auto"/>
        <w:jc w:val="both"/>
        <w:rPr>
          <w:rFonts w:asciiTheme="minorBidi" w:hAnsiTheme="minorBidi" w:cstheme="minorBidi"/>
          <w:sz w:val="20"/>
          <w:szCs w:val="20"/>
          <w:shd w:val="clear" w:color="auto" w:fill="FFFFFF"/>
        </w:rPr>
      </w:pPr>
      <w:r w:rsidRPr="00F96046">
        <w:rPr>
          <w:rFonts w:asciiTheme="minorBidi" w:hAnsiTheme="minorBidi" w:cstheme="minorBidi"/>
          <w:sz w:val="20"/>
          <w:szCs w:val="20"/>
          <w:shd w:val="clear" w:color="auto" w:fill="FFFFFF"/>
        </w:rPr>
        <w:lastRenderedPageBreak/>
        <w:t>Following the 2021 political transition, Myanmar's economy faced significant headwinds, including currency pressures and inflationary challenges. While maintaining important trade relationships with regional partners, the country has entered a period of economic recalibration</w:t>
      </w:r>
      <w:r w:rsidR="00B40CB1" w:rsidRPr="00B40CB1">
        <w:rPr>
          <w:rFonts w:ascii="Arial" w:hAnsi="Arial" w:cs="Arial"/>
        </w:rPr>
        <w:t xml:space="preserve"> </w:t>
      </w:r>
      <w:r w:rsidR="00B40CB1" w:rsidRPr="00B40CB1">
        <w:rPr>
          <w:rFonts w:ascii="Arial" w:hAnsi="Arial" w:cs="Arial"/>
          <w:sz w:val="20"/>
          <w:szCs w:val="20"/>
        </w:rPr>
        <w:t>(UN Comtrade,2023)</w:t>
      </w:r>
      <w:r w:rsidRPr="00B40CB1">
        <w:rPr>
          <w:rFonts w:asciiTheme="minorBidi" w:hAnsiTheme="minorBidi" w:cstheme="minorBidi"/>
          <w:sz w:val="20"/>
          <w:szCs w:val="20"/>
          <w:shd w:val="clear" w:color="auto" w:fill="FFFFFF"/>
        </w:rPr>
        <w:t>.</w:t>
      </w:r>
      <w:r w:rsidRPr="00F96046">
        <w:rPr>
          <w:rFonts w:asciiTheme="minorBidi" w:hAnsiTheme="minorBidi" w:cstheme="minorBidi"/>
          <w:sz w:val="20"/>
          <w:szCs w:val="20"/>
          <w:shd w:val="clear" w:color="auto" w:fill="FFFFFF"/>
        </w:rPr>
        <w:t xml:space="preserve"> These developments highlight the ongoing interplay between governance and economic stability, with future growth potential tied to policy adaptation and international re-engagement.</w:t>
      </w:r>
      <w:r w:rsidR="00C54DBB" w:rsidRPr="00C54DBB">
        <w:rPr>
          <w:rFonts w:asciiTheme="minorBidi" w:hAnsiTheme="minorBidi" w:cstheme="minorBidi"/>
          <w:sz w:val="20"/>
          <w:szCs w:val="20"/>
          <w:shd w:val="clear" w:color="auto" w:fill="FFFFFF"/>
        </w:rPr>
        <w:t xml:space="preserve"> </w:t>
      </w:r>
      <w:r w:rsidR="00C54DBB" w:rsidRPr="001209E0">
        <w:rPr>
          <w:rFonts w:asciiTheme="minorBidi" w:hAnsiTheme="minorBidi" w:cstheme="minorBidi"/>
          <w:sz w:val="20"/>
          <w:szCs w:val="20"/>
          <w:shd w:val="clear" w:color="auto" w:fill="FFFFFF"/>
        </w:rPr>
        <w:t>(</w:t>
      </w:r>
      <w:r w:rsidR="00C54DBB">
        <w:rPr>
          <w:rFonts w:asciiTheme="minorBidi" w:hAnsiTheme="minorBidi" w:cstheme="minorBidi"/>
          <w:sz w:val="20"/>
          <w:szCs w:val="20"/>
          <w:shd w:val="clear" w:color="auto" w:fill="FFFFFF"/>
        </w:rPr>
        <w:t>High-Level Official</w:t>
      </w:r>
      <w:r w:rsidR="00C54DBB">
        <w:rPr>
          <w:rFonts w:ascii="Arial" w:hAnsi="Arial" w:cs="Arial"/>
          <w:b/>
          <w:caps/>
          <w:sz w:val="20"/>
        </w:rPr>
        <w:t>,</w:t>
      </w:r>
      <w:r w:rsidR="00C54DBB" w:rsidRPr="001209E0">
        <w:rPr>
          <w:rFonts w:asciiTheme="minorBidi" w:hAnsiTheme="minorBidi" w:cstheme="minorBidi"/>
          <w:sz w:val="20"/>
          <w:szCs w:val="20"/>
          <w:shd w:val="clear" w:color="auto" w:fill="FFFFFF"/>
        </w:rPr>
        <w:t>20</w:t>
      </w:r>
      <w:r w:rsidR="00C54DBB">
        <w:rPr>
          <w:rFonts w:asciiTheme="minorBidi" w:hAnsiTheme="minorBidi" w:cstheme="minorBidi"/>
          <w:sz w:val="20"/>
          <w:szCs w:val="20"/>
          <w:shd w:val="clear" w:color="auto" w:fill="FFFFFF"/>
        </w:rPr>
        <w:t>25</w:t>
      </w:r>
      <w:r w:rsidR="00C54DBB" w:rsidRPr="001209E0">
        <w:rPr>
          <w:rFonts w:asciiTheme="minorBidi" w:hAnsiTheme="minorBidi" w:cstheme="minorBidi"/>
          <w:sz w:val="20"/>
          <w:szCs w:val="20"/>
          <w:shd w:val="clear" w:color="auto" w:fill="FFFFFF"/>
        </w:rPr>
        <w:t>)</w:t>
      </w:r>
    </w:p>
    <w:p w14:paraId="304E99BF" w14:textId="6E4300C6" w:rsidR="00F60863" w:rsidRPr="0012118C" w:rsidRDefault="00AA46FD" w:rsidP="00EC2A31">
      <w:pPr>
        <w:pStyle w:val="NormalWeb"/>
        <w:spacing w:before="20" w:afterLines="20" w:after="48" w:line="276" w:lineRule="auto"/>
        <w:jc w:val="both"/>
        <w:rPr>
          <w:rFonts w:asciiTheme="minorBidi" w:hAnsiTheme="minorBidi" w:cstheme="minorBidi"/>
          <w:b/>
          <w:bCs/>
          <w:sz w:val="20"/>
          <w:szCs w:val="20"/>
          <w:shd w:val="clear" w:color="auto" w:fill="FFFFFF"/>
        </w:rPr>
      </w:pPr>
      <w:r w:rsidRPr="0012118C">
        <w:rPr>
          <w:rFonts w:asciiTheme="minorBidi" w:hAnsiTheme="minorBidi" w:cstheme="minorBidi"/>
          <w:b/>
          <w:bCs/>
          <w:sz w:val="20"/>
          <w:szCs w:val="20"/>
          <w:shd w:val="clear" w:color="auto" w:fill="FFFFFF"/>
        </w:rPr>
        <w:t>3.2</w:t>
      </w:r>
      <w:r w:rsidRPr="0012118C">
        <w:rPr>
          <w:rFonts w:asciiTheme="minorBidi" w:hAnsiTheme="minorBidi" w:cstheme="minorBidi"/>
          <w:b/>
          <w:bCs/>
          <w:sz w:val="20"/>
          <w:szCs w:val="20"/>
          <w:shd w:val="clear" w:color="auto" w:fill="FFFFFF"/>
        </w:rPr>
        <w:tab/>
      </w:r>
      <w:r w:rsidR="00F60863" w:rsidRPr="0012118C">
        <w:rPr>
          <w:rFonts w:asciiTheme="minorBidi" w:hAnsiTheme="minorBidi" w:cstheme="minorBidi"/>
          <w:b/>
          <w:bCs/>
          <w:sz w:val="20"/>
          <w:szCs w:val="20"/>
          <w:shd w:val="clear" w:color="auto" w:fill="FFFFFF"/>
        </w:rPr>
        <w:t xml:space="preserve">GDP Growth and Economic Indicators </w:t>
      </w:r>
    </w:p>
    <w:p w14:paraId="526CF0DA" w14:textId="62E63C98" w:rsidR="00F60863" w:rsidRDefault="00F60863" w:rsidP="00D13F8B">
      <w:pPr>
        <w:pStyle w:val="NormalWeb"/>
        <w:spacing w:before="20" w:afterLines="20" w:after="48" w:line="276" w:lineRule="auto"/>
        <w:jc w:val="both"/>
        <w:rPr>
          <w:rFonts w:asciiTheme="minorBidi" w:hAnsiTheme="minorBidi" w:cstheme="minorBidi"/>
          <w:sz w:val="20"/>
          <w:szCs w:val="20"/>
          <w:shd w:val="clear" w:color="auto" w:fill="FFFFFF"/>
        </w:rPr>
      </w:pPr>
      <w:r w:rsidRPr="001209E0">
        <w:rPr>
          <w:rFonts w:asciiTheme="minorBidi" w:hAnsiTheme="minorBidi" w:cstheme="minorBidi"/>
          <w:sz w:val="20"/>
          <w:szCs w:val="20"/>
          <w:shd w:val="clear" w:color="auto" w:fill="FFFFFF"/>
        </w:rPr>
        <w:t xml:space="preserve">From 2011 to 2023, Myanmar’s economy experienced dramatic shifts, transitioning from rapid growth under economic liberalization to severe contraction following the 2021 military government. Below is an analysis of GDP trends, inflation, trade, and other critical indicators over this </w:t>
      </w:r>
      <w:proofErr w:type="gramStart"/>
      <w:r w:rsidRPr="001209E0">
        <w:rPr>
          <w:rFonts w:asciiTheme="minorBidi" w:hAnsiTheme="minorBidi" w:cstheme="minorBidi"/>
          <w:sz w:val="20"/>
          <w:szCs w:val="20"/>
          <w:shd w:val="clear" w:color="auto" w:fill="FFFFFF"/>
        </w:rPr>
        <w:t>period.</w:t>
      </w:r>
      <w:r w:rsidR="00C54DBB">
        <w:rPr>
          <w:rFonts w:asciiTheme="minorBidi" w:hAnsiTheme="minorBidi" w:cstheme="minorBidi"/>
          <w:sz w:val="20"/>
          <w:szCs w:val="20"/>
          <w:shd w:val="clear" w:color="auto" w:fill="FFFFFF"/>
        </w:rPr>
        <w:t>(</w:t>
      </w:r>
      <w:proofErr w:type="gramEnd"/>
      <w:r w:rsidR="00C54DBB" w:rsidRPr="00C54DBB">
        <w:rPr>
          <w:rFonts w:ascii="Arial" w:hAnsi="Arial" w:cs="Arial"/>
          <w:sz w:val="20"/>
          <w:szCs w:val="20"/>
          <w:shd w:val="clear" w:color="auto" w:fill="FFFFFF"/>
        </w:rPr>
        <w:t xml:space="preserve"> </w:t>
      </w:r>
      <w:proofErr w:type="spellStart"/>
      <w:r w:rsidR="00C54DBB" w:rsidRPr="004E0661">
        <w:rPr>
          <w:rFonts w:ascii="Arial" w:hAnsi="Arial" w:cs="Arial"/>
          <w:sz w:val="20"/>
          <w:szCs w:val="20"/>
          <w:shd w:val="clear" w:color="auto" w:fill="FFFFFF"/>
        </w:rPr>
        <w:t>Worldometer</w:t>
      </w:r>
      <w:proofErr w:type="spellEnd"/>
      <w:r w:rsidR="00C54DBB">
        <w:rPr>
          <w:rFonts w:ascii="Arial" w:hAnsi="Arial" w:cs="Arial"/>
          <w:sz w:val="20"/>
          <w:szCs w:val="20"/>
          <w:shd w:val="clear" w:color="auto" w:fill="FFFFFF"/>
        </w:rPr>
        <w:t xml:space="preserve">, </w:t>
      </w:r>
      <w:r w:rsidR="00C54DBB" w:rsidRPr="004E0661">
        <w:rPr>
          <w:rFonts w:ascii="Arial" w:hAnsi="Arial" w:cs="Arial"/>
          <w:sz w:val="20"/>
          <w:szCs w:val="20"/>
          <w:shd w:val="clear" w:color="auto" w:fill="FFFFFF"/>
        </w:rPr>
        <w:t>World Bank</w:t>
      </w:r>
      <w:r w:rsidR="00C54DBB">
        <w:rPr>
          <w:rFonts w:ascii="Arial" w:hAnsi="Arial" w:cs="Arial"/>
          <w:sz w:val="20"/>
          <w:szCs w:val="20"/>
          <w:shd w:val="clear" w:color="auto" w:fill="FFFFFF"/>
        </w:rPr>
        <w:t>)</w:t>
      </w:r>
    </w:p>
    <w:p w14:paraId="7C5CEA1E" w14:textId="77777777" w:rsidR="004D5864" w:rsidRDefault="004D5864" w:rsidP="00D13F8B">
      <w:pPr>
        <w:pStyle w:val="NormalWeb"/>
        <w:spacing w:before="20" w:afterLines="20" w:after="48" w:line="276" w:lineRule="auto"/>
        <w:jc w:val="both"/>
        <w:rPr>
          <w:rFonts w:asciiTheme="minorBidi" w:hAnsiTheme="minorBidi" w:cstheme="minorBidi"/>
          <w:sz w:val="20"/>
          <w:szCs w:val="20"/>
          <w:shd w:val="clear" w:color="auto" w:fill="FFFFFF"/>
        </w:rPr>
      </w:pPr>
    </w:p>
    <w:p w14:paraId="3BB6826D"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Here is the Myanmar GDP growth data for 2011-2023, primarily sourced from Worldometer, which cites the World Bank and United Nations:</w:t>
      </w:r>
    </w:p>
    <w:tbl>
      <w:tblPr>
        <w:tblW w:w="0" w:type="auto"/>
        <w:tblCellMar>
          <w:top w:w="15" w:type="dxa"/>
          <w:left w:w="15" w:type="dxa"/>
          <w:bottom w:w="15" w:type="dxa"/>
          <w:right w:w="15" w:type="dxa"/>
        </w:tblCellMar>
        <w:tblLook w:val="04A0" w:firstRow="1" w:lastRow="0" w:firstColumn="1" w:lastColumn="0" w:noHBand="0" w:noVBand="1"/>
      </w:tblPr>
      <w:tblGrid>
        <w:gridCol w:w="4086"/>
        <w:gridCol w:w="4122"/>
      </w:tblGrid>
      <w:tr w:rsidR="004E0661" w:rsidRPr="004E0661" w14:paraId="2EEA61D1" w14:textId="77777777" w:rsidTr="00C343D7">
        <w:trPr>
          <w:tblHeader/>
        </w:trPr>
        <w:tc>
          <w:tcPr>
            <w:tcW w:w="4680" w:type="dxa"/>
            <w:hideMark/>
          </w:tcPr>
          <w:p w14:paraId="63B65222" w14:textId="77777777" w:rsidR="004E0661" w:rsidRPr="005143B1" w:rsidRDefault="004E0661" w:rsidP="004E0661">
            <w:pPr>
              <w:pStyle w:val="NormalWeb"/>
              <w:spacing w:before="20" w:afterLines="20" w:after="48" w:line="276" w:lineRule="auto"/>
              <w:jc w:val="both"/>
              <w:rPr>
                <w:rFonts w:ascii="Arial" w:hAnsi="Arial" w:cs="Arial"/>
                <w:b/>
                <w:bCs/>
                <w:sz w:val="20"/>
                <w:szCs w:val="20"/>
                <w:shd w:val="clear" w:color="auto" w:fill="FFFFFF"/>
              </w:rPr>
            </w:pPr>
            <w:r w:rsidRPr="005143B1">
              <w:rPr>
                <w:rFonts w:ascii="Arial" w:hAnsi="Arial" w:cs="Arial"/>
                <w:b/>
                <w:bCs/>
                <w:sz w:val="20"/>
                <w:szCs w:val="20"/>
                <w:shd w:val="clear" w:color="auto" w:fill="FFFFFF"/>
              </w:rPr>
              <w:t>Year</w:t>
            </w:r>
          </w:p>
        </w:tc>
        <w:tc>
          <w:tcPr>
            <w:tcW w:w="4680" w:type="dxa"/>
            <w:hideMark/>
          </w:tcPr>
          <w:p w14:paraId="6479C794" w14:textId="77777777" w:rsidR="004E0661" w:rsidRPr="005143B1" w:rsidRDefault="004E0661" w:rsidP="004E0661">
            <w:pPr>
              <w:pStyle w:val="NormalWeb"/>
              <w:spacing w:before="20" w:afterLines="20" w:after="48" w:line="276" w:lineRule="auto"/>
              <w:jc w:val="both"/>
              <w:rPr>
                <w:rFonts w:ascii="Arial" w:hAnsi="Arial" w:cs="Arial"/>
                <w:b/>
                <w:bCs/>
                <w:sz w:val="20"/>
                <w:szCs w:val="20"/>
                <w:shd w:val="clear" w:color="auto" w:fill="FFFFFF"/>
              </w:rPr>
            </w:pPr>
            <w:r w:rsidRPr="005143B1">
              <w:rPr>
                <w:rFonts w:ascii="Arial" w:hAnsi="Arial" w:cs="Arial"/>
                <w:b/>
                <w:bCs/>
                <w:sz w:val="20"/>
                <w:szCs w:val="20"/>
                <w:shd w:val="clear" w:color="auto" w:fill="FFFFFF"/>
              </w:rPr>
              <w:t>GDP Growth Rate (%)</w:t>
            </w:r>
          </w:p>
        </w:tc>
      </w:tr>
      <w:tr w:rsidR="004E0661" w:rsidRPr="004E0661" w14:paraId="488E89CA" w14:textId="77777777" w:rsidTr="00C343D7">
        <w:tc>
          <w:tcPr>
            <w:tcW w:w="4680" w:type="dxa"/>
            <w:hideMark/>
          </w:tcPr>
          <w:p w14:paraId="70B75BBA"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2011</w:t>
            </w:r>
          </w:p>
        </w:tc>
        <w:tc>
          <w:tcPr>
            <w:tcW w:w="4680" w:type="dxa"/>
            <w:hideMark/>
          </w:tcPr>
          <w:p w14:paraId="4546CF61"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5.59</w:t>
            </w:r>
          </w:p>
        </w:tc>
      </w:tr>
      <w:tr w:rsidR="004E0661" w:rsidRPr="004E0661" w14:paraId="2BCE68BD" w14:textId="77777777" w:rsidTr="00C343D7">
        <w:tc>
          <w:tcPr>
            <w:tcW w:w="4680" w:type="dxa"/>
            <w:hideMark/>
          </w:tcPr>
          <w:p w14:paraId="1F48E426"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2012</w:t>
            </w:r>
          </w:p>
        </w:tc>
        <w:tc>
          <w:tcPr>
            <w:tcW w:w="4680" w:type="dxa"/>
            <w:hideMark/>
          </w:tcPr>
          <w:p w14:paraId="4A655082"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7.33</w:t>
            </w:r>
          </w:p>
        </w:tc>
      </w:tr>
      <w:tr w:rsidR="004E0661" w:rsidRPr="004E0661" w14:paraId="2AC8D6DF" w14:textId="77777777" w:rsidTr="00C343D7">
        <w:tc>
          <w:tcPr>
            <w:tcW w:w="4680" w:type="dxa"/>
            <w:hideMark/>
          </w:tcPr>
          <w:p w14:paraId="2894E883" w14:textId="77777777" w:rsidR="004E0661" w:rsidRPr="004E0661" w:rsidRDefault="004E0661" w:rsidP="00F96046">
            <w:pPr>
              <w:pStyle w:val="NormalWeb"/>
              <w:spacing w:afterLines="20" w:after="48" w:afterAutospacing="0"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2013</w:t>
            </w:r>
          </w:p>
        </w:tc>
        <w:tc>
          <w:tcPr>
            <w:tcW w:w="4680" w:type="dxa"/>
            <w:hideMark/>
          </w:tcPr>
          <w:p w14:paraId="73A8B8DC"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8.43</w:t>
            </w:r>
          </w:p>
        </w:tc>
      </w:tr>
      <w:tr w:rsidR="004E0661" w:rsidRPr="004E0661" w14:paraId="302CE85E" w14:textId="77777777" w:rsidTr="00C343D7">
        <w:tc>
          <w:tcPr>
            <w:tcW w:w="4680" w:type="dxa"/>
            <w:hideMark/>
          </w:tcPr>
          <w:p w14:paraId="75E7E1BB"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2014</w:t>
            </w:r>
          </w:p>
        </w:tc>
        <w:tc>
          <w:tcPr>
            <w:tcW w:w="4680" w:type="dxa"/>
            <w:hideMark/>
          </w:tcPr>
          <w:p w14:paraId="5BCBB007"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8.17</w:t>
            </w:r>
          </w:p>
        </w:tc>
      </w:tr>
      <w:tr w:rsidR="004E0661" w:rsidRPr="004E0661" w14:paraId="30DB2C2E" w14:textId="77777777" w:rsidTr="00C343D7">
        <w:tc>
          <w:tcPr>
            <w:tcW w:w="4680" w:type="dxa"/>
            <w:hideMark/>
          </w:tcPr>
          <w:p w14:paraId="45DB203C"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2015</w:t>
            </w:r>
          </w:p>
        </w:tc>
        <w:tc>
          <w:tcPr>
            <w:tcW w:w="4680" w:type="dxa"/>
            <w:hideMark/>
          </w:tcPr>
          <w:p w14:paraId="02707F95"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6.99</w:t>
            </w:r>
          </w:p>
        </w:tc>
      </w:tr>
      <w:tr w:rsidR="004E0661" w:rsidRPr="004E0661" w14:paraId="2E34352F" w14:textId="77777777" w:rsidTr="00C343D7">
        <w:tc>
          <w:tcPr>
            <w:tcW w:w="4680" w:type="dxa"/>
            <w:hideMark/>
          </w:tcPr>
          <w:p w14:paraId="633AAB44"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2016</w:t>
            </w:r>
          </w:p>
        </w:tc>
        <w:tc>
          <w:tcPr>
            <w:tcW w:w="4680" w:type="dxa"/>
            <w:hideMark/>
          </w:tcPr>
          <w:p w14:paraId="5CC93647"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5.86</w:t>
            </w:r>
          </w:p>
        </w:tc>
      </w:tr>
      <w:tr w:rsidR="004E0661" w:rsidRPr="004E0661" w14:paraId="35F52AE9" w14:textId="77777777" w:rsidTr="00C343D7">
        <w:tc>
          <w:tcPr>
            <w:tcW w:w="4680" w:type="dxa"/>
            <w:hideMark/>
          </w:tcPr>
          <w:p w14:paraId="23E91B6D"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2017</w:t>
            </w:r>
          </w:p>
        </w:tc>
        <w:tc>
          <w:tcPr>
            <w:tcW w:w="4680" w:type="dxa"/>
            <w:hideMark/>
          </w:tcPr>
          <w:p w14:paraId="40CDE5C9"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6.14</w:t>
            </w:r>
          </w:p>
        </w:tc>
      </w:tr>
      <w:tr w:rsidR="004E0661" w:rsidRPr="004E0661" w14:paraId="6B2B4FBC" w14:textId="77777777" w:rsidTr="00C343D7">
        <w:tc>
          <w:tcPr>
            <w:tcW w:w="4680" w:type="dxa"/>
            <w:hideMark/>
          </w:tcPr>
          <w:p w14:paraId="197BECC9"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2018</w:t>
            </w:r>
          </w:p>
        </w:tc>
        <w:tc>
          <w:tcPr>
            <w:tcW w:w="4680" w:type="dxa"/>
            <w:hideMark/>
          </w:tcPr>
          <w:p w14:paraId="4237A114"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6.27</w:t>
            </w:r>
          </w:p>
        </w:tc>
      </w:tr>
      <w:tr w:rsidR="004E0661" w:rsidRPr="004E0661" w14:paraId="6D3840D6" w14:textId="77777777" w:rsidTr="00C343D7">
        <w:tc>
          <w:tcPr>
            <w:tcW w:w="4680" w:type="dxa"/>
            <w:hideMark/>
          </w:tcPr>
          <w:p w14:paraId="779EC678"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2019</w:t>
            </w:r>
          </w:p>
        </w:tc>
        <w:tc>
          <w:tcPr>
            <w:tcW w:w="4680" w:type="dxa"/>
            <w:hideMark/>
          </w:tcPr>
          <w:p w14:paraId="2130EE72"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6.58</w:t>
            </w:r>
          </w:p>
        </w:tc>
      </w:tr>
      <w:tr w:rsidR="004E0661" w:rsidRPr="004E0661" w14:paraId="4514BB53" w14:textId="77777777" w:rsidTr="00C343D7">
        <w:tc>
          <w:tcPr>
            <w:tcW w:w="4680" w:type="dxa"/>
            <w:hideMark/>
          </w:tcPr>
          <w:p w14:paraId="221C3F24"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2020</w:t>
            </w:r>
          </w:p>
        </w:tc>
        <w:tc>
          <w:tcPr>
            <w:tcW w:w="4680" w:type="dxa"/>
            <w:hideMark/>
          </w:tcPr>
          <w:p w14:paraId="30AF030C"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-9.05</w:t>
            </w:r>
          </w:p>
        </w:tc>
      </w:tr>
      <w:tr w:rsidR="004E0661" w:rsidRPr="004E0661" w14:paraId="65F9F086" w14:textId="77777777" w:rsidTr="00C343D7">
        <w:tc>
          <w:tcPr>
            <w:tcW w:w="4680" w:type="dxa"/>
            <w:hideMark/>
          </w:tcPr>
          <w:p w14:paraId="4763426F"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2021</w:t>
            </w:r>
          </w:p>
        </w:tc>
        <w:tc>
          <w:tcPr>
            <w:tcW w:w="4680" w:type="dxa"/>
            <w:hideMark/>
          </w:tcPr>
          <w:p w14:paraId="45F869A6"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-12.02</w:t>
            </w:r>
          </w:p>
        </w:tc>
      </w:tr>
      <w:tr w:rsidR="004E0661" w:rsidRPr="004E0661" w14:paraId="2F0B2E5E" w14:textId="77777777" w:rsidTr="00C343D7">
        <w:tc>
          <w:tcPr>
            <w:tcW w:w="4680" w:type="dxa"/>
            <w:hideMark/>
          </w:tcPr>
          <w:p w14:paraId="408D421C"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2022</w:t>
            </w:r>
          </w:p>
        </w:tc>
        <w:tc>
          <w:tcPr>
            <w:tcW w:w="4680" w:type="dxa"/>
            <w:hideMark/>
          </w:tcPr>
          <w:p w14:paraId="062E0890"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4.04</w:t>
            </w:r>
          </w:p>
        </w:tc>
      </w:tr>
      <w:tr w:rsidR="004E0661" w:rsidRPr="004E0661" w14:paraId="1B8F06B2" w14:textId="77777777" w:rsidTr="00C343D7">
        <w:tc>
          <w:tcPr>
            <w:tcW w:w="4680" w:type="dxa"/>
            <w:hideMark/>
          </w:tcPr>
          <w:p w14:paraId="5AFE8C83"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2023</w:t>
            </w:r>
          </w:p>
        </w:tc>
        <w:tc>
          <w:tcPr>
            <w:tcW w:w="4680" w:type="dxa"/>
            <w:hideMark/>
          </w:tcPr>
          <w:p w14:paraId="7261588D" w14:textId="77777777" w:rsidR="004E0661" w:rsidRPr="004E0661" w:rsidRDefault="004E0661" w:rsidP="004E0661">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sz w:val="20"/>
                <w:szCs w:val="20"/>
                <w:shd w:val="clear" w:color="auto" w:fill="FFFFFF"/>
              </w:rPr>
              <w:t>0.96</w:t>
            </w:r>
          </w:p>
        </w:tc>
      </w:tr>
    </w:tbl>
    <w:p w14:paraId="33E65989" w14:textId="77777777" w:rsidR="0012118C" w:rsidRDefault="004E0661" w:rsidP="0012118C">
      <w:pPr>
        <w:pStyle w:val="NormalWeb"/>
        <w:spacing w:before="20" w:afterLines="20" w:after="48" w:line="276" w:lineRule="auto"/>
        <w:jc w:val="both"/>
        <w:rPr>
          <w:rFonts w:ascii="Arial" w:hAnsi="Arial" w:cs="Arial"/>
          <w:sz w:val="20"/>
          <w:szCs w:val="20"/>
          <w:shd w:val="clear" w:color="auto" w:fill="FFFFFF"/>
        </w:rPr>
      </w:pPr>
      <w:r w:rsidRPr="004E0661">
        <w:rPr>
          <w:rFonts w:ascii="Arial" w:hAnsi="Arial" w:cs="Arial"/>
          <w:b/>
          <w:bCs/>
          <w:sz w:val="20"/>
          <w:szCs w:val="20"/>
          <w:shd w:val="clear" w:color="auto" w:fill="FFFFFF"/>
        </w:rPr>
        <w:t>Source:</w:t>
      </w:r>
      <w:r w:rsidRPr="004E0661">
        <w:rPr>
          <w:rFonts w:ascii="Arial" w:hAnsi="Arial" w:cs="Arial"/>
          <w:sz w:val="20"/>
          <w:szCs w:val="20"/>
          <w:shd w:val="clear" w:color="auto" w:fill="FFFFFF"/>
        </w:rPr>
        <w:t> </w:t>
      </w:r>
      <w:proofErr w:type="spellStart"/>
      <w:r w:rsidRPr="004E0661">
        <w:rPr>
          <w:rFonts w:ascii="Arial" w:hAnsi="Arial" w:cs="Arial"/>
          <w:sz w:val="20"/>
          <w:szCs w:val="20"/>
          <w:shd w:val="clear" w:color="auto" w:fill="FFFFFF"/>
        </w:rPr>
        <w:t>Worldometer</w:t>
      </w:r>
      <w:proofErr w:type="spellEnd"/>
      <w:r w:rsidRPr="004E0661">
        <w:rPr>
          <w:rFonts w:ascii="Arial" w:hAnsi="Arial" w:cs="Arial"/>
          <w:sz w:val="20"/>
          <w:szCs w:val="20"/>
          <w:shd w:val="clear" w:color="auto" w:fill="FFFFFF"/>
        </w:rPr>
        <w:t xml:space="preserve"> (citing World Bank, United Nations)</w:t>
      </w:r>
    </w:p>
    <w:p w14:paraId="1456D105" w14:textId="77777777" w:rsidR="0012118C" w:rsidRDefault="0012118C" w:rsidP="0012118C">
      <w:pPr>
        <w:pStyle w:val="NormalWeb"/>
        <w:spacing w:before="20" w:afterLines="20" w:after="48" w:line="276" w:lineRule="auto"/>
        <w:jc w:val="both"/>
        <w:rPr>
          <w:rFonts w:ascii="Arial" w:hAnsi="Arial" w:cs="Arial"/>
          <w:sz w:val="20"/>
          <w:szCs w:val="20"/>
          <w:shd w:val="clear" w:color="auto" w:fill="FFFFFF"/>
        </w:rPr>
      </w:pPr>
    </w:p>
    <w:p w14:paraId="69C9EC87" w14:textId="74023877" w:rsidR="0012118C" w:rsidRDefault="0012118C" w:rsidP="0012118C">
      <w:pPr>
        <w:pStyle w:val="NormalWeb"/>
        <w:spacing w:before="20" w:afterLines="20" w:after="48" w:line="276" w:lineRule="auto"/>
        <w:jc w:val="both"/>
        <w:rPr>
          <w:rFonts w:ascii="Arial" w:hAnsi="Arial" w:cs="Arial"/>
          <w:sz w:val="20"/>
          <w:szCs w:val="20"/>
          <w:shd w:val="clear" w:color="auto" w:fill="FFFFFF"/>
        </w:rPr>
      </w:pPr>
      <w:r>
        <w:rPr>
          <w:noProof/>
        </w:rPr>
        <w:lastRenderedPageBreak/>
        <w:drawing>
          <wp:inline distT="0" distB="0" distL="0" distR="0" wp14:anchorId="143D2A24" wp14:editId="098652C4">
            <wp:extent cx="4876190" cy="3047619"/>
            <wp:effectExtent l="0" t="0" r="635" b="635"/>
            <wp:docPr id="379560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60651" name=""/>
                    <pic:cNvPicPr/>
                  </pic:nvPicPr>
                  <pic:blipFill>
                    <a:blip r:embed="rId14"/>
                    <a:stretch>
                      <a:fillRect/>
                    </a:stretch>
                  </pic:blipFill>
                  <pic:spPr>
                    <a:xfrm>
                      <a:off x="0" y="0"/>
                      <a:ext cx="4876190" cy="3047619"/>
                    </a:xfrm>
                    <a:prstGeom prst="rect">
                      <a:avLst/>
                    </a:prstGeom>
                  </pic:spPr>
                </pic:pic>
              </a:graphicData>
            </a:graphic>
          </wp:inline>
        </w:drawing>
      </w:r>
      <w:r>
        <w:rPr>
          <w:noProof/>
        </w:rPr>
        <w:drawing>
          <wp:inline distT="0" distB="0" distL="0" distR="0" wp14:anchorId="582ED8B7" wp14:editId="183CC391">
            <wp:extent cx="4876190" cy="3047619"/>
            <wp:effectExtent l="0" t="0" r="635" b="635"/>
            <wp:docPr id="1346784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84458" name=""/>
                    <pic:cNvPicPr/>
                  </pic:nvPicPr>
                  <pic:blipFill>
                    <a:blip r:embed="rId15"/>
                    <a:stretch>
                      <a:fillRect/>
                    </a:stretch>
                  </pic:blipFill>
                  <pic:spPr>
                    <a:xfrm>
                      <a:off x="0" y="0"/>
                      <a:ext cx="4876190" cy="3047619"/>
                    </a:xfrm>
                    <a:prstGeom prst="rect">
                      <a:avLst/>
                    </a:prstGeom>
                  </pic:spPr>
                </pic:pic>
              </a:graphicData>
            </a:graphic>
          </wp:inline>
        </w:drawing>
      </w:r>
    </w:p>
    <w:p w14:paraId="604F3743" w14:textId="77777777" w:rsidR="004D5864" w:rsidRDefault="004D5864" w:rsidP="0012118C">
      <w:pPr>
        <w:pStyle w:val="NormalWeb"/>
        <w:spacing w:before="20" w:afterLines="20" w:after="48" w:line="276" w:lineRule="auto"/>
        <w:jc w:val="both"/>
        <w:rPr>
          <w:rFonts w:ascii="Arial" w:hAnsi="Arial" w:cs="Arial"/>
          <w:sz w:val="20"/>
          <w:szCs w:val="20"/>
          <w:shd w:val="clear" w:color="auto" w:fill="FFFFFF"/>
        </w:rPr>
      </w:pPr>
    </w:p>
    <w:p w14:paraId="4E45A7E1" w14:textId="77777777" w:rsidR="004D5864" w:rsidRDefault="004D5864" w:rsidP="0012118C">
      <w:pPr>
        <w:pStyle w:val="NormalWeb"/>
        <w:spacing w:before="20" w:afterLines="20" w:after="48" w:line="276" w:lineRule="auto"/>
        <w:jc w:val="both"/>
        <w:rPr>
          <w:rFonts w:ascii="Arial" w:hAnsi="Arial" w:cs="Arial"/>
          <w:sz w:val="20"/>
          <w:szCs w:val="20"/>
          <w:shd w:val="clear" w:color="auto" w:fill="FFFFFF"/>
        </w:rPr>
      </w:pPr>
    </w:p>
    <w:p w14:paraId="30C0E385" w14:textId="437A4111" w:rsidR="004E0661" w:rsidRPr="004E0661" w:rsidRDefault="00DF08CD" w:rsidP="0012118C">
      <w:pPr>
        <w:pStyle w:val="NormalWeb"/>
        <w:spacing w:before="20" w:afterLines="20" w:after="48" w:line="276" w:lineRule="auto"/>
        <w:jc w:val="both"/>
        <w:rPr>
          <w:rFonts w:ascii="Arial" w:hAnsi="Arial" w:cs="Arial"/>
          <w:sz w:val="20"/>
          <w:szCs w:val="20"/>
          <w:shd w:val="clear" w:color="auto" w:fill="FFFFFF"/>
        </w:rPr>
      </w:pPr>
      <w:r>
        <w:rPr>
          <w:noProof/>
        </w:rPr>
        <w:lastRenderedPageBreak/>
        <w:drawing>
          <wp:inline distT="0" distB="0" distL="0" distR="0" wp14:anchorId="4D9E1779" wp14:editId="44F7530D">
            <wp:extent cx="4876190" cy="3047619"/>
            <wp:effectExtent l="0" t="0" r="635" b="635"/>
            <wp:docPr id="120821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17508" name=""/>
                    <pic:cNvPicPr/>
                  </pic:nvPicPr>
                  <pic:blipFill>
                    <a:blip r:embed="rId16"/>
                    <a:stretch>
                      <a:fillRect/>
                    </a:stretch>
                  </pic:blipFill>
                  <pic:spPr>
                    <a:xfrm>
                      <a:off x="0" y="0"/>
                      <a:ext cx="4876190" cy="3047619"/>
                    </a:xfrm>
                    <a:prstGeom prst="rect">
                      <a:avLst/>
                    </a:prstGeom>
                  </pic:spPr>
                </pic:pic>
              </a:graphicData>
            </a:graphic>
          </wp:inline>
        </w:drawing>
      </w:r>
    </w:p>
    <w:p w14:paraId="26B07FAE" w14:textId="77777777" w:rsidR="00E565E9" w:rsidRPr="00D5495A" w:rsidRDefault="00E565E9" w:rsidP="00E565E9">
      <w:pPr>
        <w:pStyle w:val="NormalWeb"/>
        <w:spacing w:before="20" w:afterLines="20" w:after="48" w:line="276" w:lineRule="auto"/>
        <w:jc w:val="both"/>
        <w:rPr>
          <w:rFonts w:asciiTheme="minorBidi" w:hAnsiTheme="minorBidi" w:cstheme="minorBidi"/>
          <w:sz w:val="22"/>
          <w:szCs w:val="22"/>
          <w:shd w:val="clear" w:color="auto" w:fill="FFFFFF"/>
        </w:rPr>
      </w:pPr>
      <w:bookmarkStart w:id="2" w:name="_Hlk200051369"/>
      <w:r w:rsidRPr="00D5495A">
        <w:rPr>
          <w:rFonts w:asciiTheme="minorBidi" w:hAnsiTheme="minorBidi" w:cstheme="minorBidi"/>
          <w:b/>
          <w:bCs/>
          <w:sz w:val="22"/>
          <w:szCs w:val="22"/>
          <w:shd w:val="clear" w:color="auto" w:fill="FFFFFF"/>
        </w:rPr>
        <w:t>3.3 GDP Growth: Expansion and Decline</w:t>
      </w:r>
    </w:p>
    <w:p w14:paraId="5C1F0449" w14:textId="77777777" w:rsidR="00E565E9" w:rsidRPr="0012118C" w:rsidRDefault="00E565E9" w:rsidP="00E565E9">
      <w:pPr>
        <w:pStyle w:val="NormalWeb"/>
        <w:spacing w:before="20" w:afterLines="20" w:after="48" w:line="276" w:lineRule="auto"/>
        <w:jc w:val="both"/>
        <w:rPr>
          <w:rFonts w:asciiTheme="minorBidi" w:hAnsiTheme="minorBidi" w:cstheme="minorBidi"/>
          <w:b/>
          <w:bCs/>
          <w:sz w:val="22"/>
          <w:szCs w:val="22"/>
          <w:shd w:val="clear" w:color="auto" w:fill="FFFFFF"/>
        </w:rPr>
      </w:pPr>
      <w:r w:rsidRPr="0012118C">
        <w:rPr>
          <w:rFonts w:asciiTheme="minorBidi" w:hAnsiTheme="minorBidi" w:cstheme="minorBidi"/>
          <w:b/>
          <w:bCs/>
          <w:sz w:val="22"/>
          <w:szCs w:val="22"/>
          <w:shd w:val="clear" w:color="auto" w:fill="FFFFFF"/>
        </w:rPr>
        <w:t>3.3.1 2011–2016: High Growth Under Reforms</w:t>
      </w:r>
    </w:p>
    <w:p w14:paraId="2CF448B3" w14:textId="387DD13C" w:rsidR="00E565E9" w:rsidRPr="00D5495A" w:rsidRDefault="00E565E9" w:rsidP="0054379E">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sz w:val="22"/>
          <w:szCs w:val="22"/>
          <w:shd w:val="clear" w:color="auto" w:fill="FFFFFF"/>
        </w:rPr>
        <w:t>During this period, Myanmar experienced robust economic expansion, with GDP growing at an average of 7–8% annually (World Bank, 2016). Growth peaked at 8.4% in 2013–2014, fueled by foreign direct investment (FDI) inflows, the rapid expansion of garment exports</w:t>
      </w:r>
      <w:r w:rsidR="00B40CB1">
        <w:rPr>
          <w:rFonts w:asciiTheme="minorBidi" w:hAnsiTheme="minorBidi" w:cstheme="minorBidi"/>
          <w:sz w:val="22"/>
          <w:szCs w:val="22"/>
          <w:shd w:val="clear" w:color="auto" w:fill="FFFFFF"/>
        </w:rPr>
        <w:t xml:space="preserve"> (ILO,2019)</w:t>
      </w:r>
      <w:r w:rsidRPr="00D5495A">
        <w:rPr>
          <w:rFonts w:asciiTheme="minorBidi" w:hAnsiTheme="minorBidi" w:cstheme="minorBidi"/>
          <w:sz w:val="22"/>
          <w:szCs w:val="22"/>
          <w:shd w:val="clear" w:color="auto" w:fill="FFFFFF"/>
        </w:rPr>
        <w:t>, and the liberalization of the telecommunications sector. Key drivers of this growth included manufacturing, services, and natural gas exports, reflecting the success of early economic reforms under President Thein Sein’s administration.</w:t>
      </w:r>
      <w:r w:rsidR="0054379E" w:rsidRPr="0054379E">
        <w:rPr>
          <w:rFonts w:ascii="Segoe UI" w:hAnsi="Segoe UI" w:cs="Segoe UI"/>
          <w:color w:val="404040"/>
          <w:sz w:val="20"/>
          <w:szCs w:val="20"/>
          <w:shd w:val="clear" w:color="auto" w:fill="FFFFFF"/>
        </w:rPr>
        <w:t xml:space="preserve"> </w:t>
      </w:r>
      <w:r w:rsidR="0054379E">
        <w:rPr>
          <w:rFonts w:ascii="Segoe UI" w:hAnsi="Segoe UI" w:cs="Segoe UI"/>
          <w:color w:val="404040"/>
          <w:sz w:val="20"/>
          <w:szCs w:val="20"/>
          <w:shd w:val="clear" w:color="auto" w:fill="FFFFFF"/>
        </w:rPr>
        <w:t>(</w:t>
      </w:r>
      <w:r w:rsidR="0054379E" w:rsidRPr="0054379E">
        <w:rPr>
          <w:rFonts w:asciiTheme="minorBidi" w:hAnsiTheme="minorBidi" w:cstheme="minorBidi"/>
          <w:sz w:val="22"/>
          <w:szCs w:val="22"/>
          <w:shd w:val="clear" w:color="auto" w:fill="FFFFFF"/>
        </w:rPr>
        <w:t>Passeri, A., &amp; Marston, H.</w:t>
      </w:r>
      <w:r w:rsidR="00B227C8">
        <w:rPr>
          <w:rFonts w:asciiTheme="minorBidi" w:hAnsiTheme="minorBidi" w:cstheme="minorBidi"/>
          <w:sz w:val="22"/>
          <w:szCs w:val="22"/>
          <w:shd w:val="clear" w:color="auto" w:fill="FFFFFF"/>
        </w:rPr>
        <w:t>,</w:t>
      </w:r>
      <w:r w:rsidR="0054379E" w:rsidRPr="0054379E">
        <w:rPr>
          <w:rFonts w:asciiTheme="minorBidi" w:hAnsiTheme="minorBidi" w:cstheme="minorBidi"/>
          <w:sz w:val="22"/>
          <w:szCs w:val="22"/>
          <w:shd w:val="clear" w:color="auto" w:fill="FFFFFF"/>
        </w:rPr>
        <w:t xml:space="preserve"> 2021)</w:t>
      </w:r>
    </w:p>
    <w:p w14:paraId="3295CF3F" w14:textId="77777777" w:rsidR="00E565E9" w:rsidRPr="00D5495A" w:rsidRDefault="00E565E9" w:rsidP="00E565E9">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b/>
          <w:bCs/>
          <w:sz w:val="22"/>
          <w:szCs w:val="22"/>
          <w:shd w:val="clear" w:color="auto" w:fill="FFFFFF"/>
        </w:rPr>
        <w:t>3.3.2 2016–2020: Slower but Steady Growth</w:t>
      </w:r>
    </w:p>
    <w:p w14:paraId="383C8405" w14:textId="4621F2F1" w:rsidR="00E565E9" w:rsidRDefault="00E565E9" w:rsidP="009B23B5">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sz w:val="22"/>
          <w:szCs w:val="22"/>
          <w:shd w:val="clear" w:color="auto" w:fill="FFFFFF"/>
        </w:rPr>
        <w:t xml:space="preserve">Economic growth moderated to an average of ~6% (IMF, 2020), due to several challenges. The Bengali crisis (2017) led to reduced Western investment and increased international scrutiny, while the COVID-19 pandemic in 2020 caused a sharp contraction in economic </w:t>
      </w:r>
      <w:proofErr w:type="gramStart"/>
      <w:r w:rsidRPr="00D5495A">
        <w:rPr>
          <w:rFonts w:asciiTheme="minorBidi" w:hAnsiTheme="minorBidi" w:cstheme="minorBidi"/>
          <w:sz w:val="22"/>
          <w:szCs w:val="22"/>
          <w:shd w:val="clear" w:color="auto" w:fill="FFFFFF"/>
        </w:rPr>
        <w:t>activity.</w:t>
      </w:r>
      <w:r w:rsidR="009B23B5">
        <w:rPr>
          <w:rFonts w:asciiTheme="minorBidi" w:hAnsiTheme="minorBidi" w:cstheme="minorBidi"/>
          <w:sz w:val="22"/>
          <w:szCs w:val="22"/>
          <w:shd w:val="clear" w:color="auto" w:fill="FFFFFF"/>
        </w:rPr>
        <w:t>(</w:t>
      </w:r>
      <w:proofErr w:type="gramEnd"/>
      <w:r w:rsidR="009B23B5" w:rsidRPr="009B23B5">
        <w:rPr>
          <w:rFonts w:ascii="Helvetica" w:hAnsi="Helvetica"/>
          <w:sz w:val="20"/>
          <w:szCs w:val="20"/>
        </w:rPr>
        <w:t xml:space="preserve"> </w:t>
      </w:r>
      <w:r w:rsidR="009B23B5" w:rsidRPr="009B23B5">
        <w:rPr>
          <w:rFonts w:asciiTheme="minorBidi" w:hAnsiTheme="minorBidi" w:cstheme="minorBidi"/>
          <w:sz w:val="22"/>
          <w:szCs w:val="22"/>
          <w:shd w:val="clear" w:color="auto" w:fill="FFFFFF"/>
        </w:rPr>
        <w:t>Yuka Kobayashi and Josephine King</w:t>
      </w:r>
      <w:r w:rsidR="009B23B5">
        <w:rPr>
          <w:rFonts w:asciiTheme="minorBidi" w:hAnsiTheme="minorBidi" w:cstheme="minorBidi"/>
          <w:sz w:val="22"/>
          <w:szCs w:val="22"/>
          <w:shd w:val="clear" w:color="auto" w:fill="FFFFFF"/>
        </w:rPr>
        <w:t>,2022)</w:t>
      </w:r>
      <w:r w:rsidRPr="00D5495A">
        <w:rPr>
          <w:rFonts w:asciiTheme="minorBidi" w:hAnsiTheme="minorBidi" w:cstheme="minorBidi"/>
          <w:sz w:val="22"/>
          <w:szCs w:val="22"/>
          <w:shd w:val="clear" w:color="auto" w:fill="FFFFFF"/>
        </w:rPr>
        <w:t xml:space="preserve"> Despite these setbacks, Myanmar maintained steady, albeit slower, growth until the pandemic-induced downturn.</w:t>
      </w:r>
    </w:p>
    <w:p w14:paraId="04A18F62" w14:textId="77777777" w:rsidR="00E565E9" w:rsidRPr="00D5495A" w:rsidRDefault="00E565E9" w:rsidP="00E565E9">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b/>
          <w:bCs/>
          <w:sz w:val="22"/>
          <w:szCs w:val="22"/>
          <w:shd w:val="clear" w:color="auto" w:fill="FFFFFF"/>
        </w:rPr>
        <w:t>3.3.3 2021–2023: Economic Decline Post-2021</w:t>
      </w:r>
    </w:p>
    <w:p w14:paraId="450654BB" w14:textId="1FAE25D4" w:rsidR="00E565E9" w:rsidRPr="00D5495A" w:rsidRDefault="00E565E9" w:rsidP="00930CB7">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sz w:val="22"/>
          <w:szCs w:val="22"/>
          <w:shd w:val="clear" w:color="auto" w:fill="FFFFFF"/>
        </w:rPr>
        <w:t xml:space="preserve">The political transition in 2021 triggered </w:t>
      </w:r>
      <w:r w:rsidR="007611FE">
        <w:rPr>
          <w:rFonts w:asciiTheme="minorBidi" w:hAnsiTheme="minorBidi" w:cstheme="minorBidi"/>
          <w:sz w:val="22"/>
          <w:szCs w:val="22"/>
          <w:shd w:val="clear" w:color="auto" w:fill="FFFFFF"/>
        </w:rPr>
        <w:t>the</w:t>
      </w:r>
      <w:r w:rsidRPr="00D5495A">
        <w:rPr>
          <w:rFonts w:asciiTheme="minorBidi" w:hAnsiTheme="minorBidi" w:cstheme="minorBidi"/>
          <w:sz w:val="22"/>
          <w:szCs w:val="22"/>
          <w:shd w:val="clear" w:color="auto" w:fill="FFFFFF"/>
        </w:rPr>
        <w:t xml:space="preserve"> economic </w:t>
      </w:r>
      <w:r w:rsidR="007611FE">
        <w:rPr>
          <w:rFonts w:asciiTheme="minorBidi" w:hAnsiTheme="minorBidi" w:cstheme="minorBidi"/>
          <w:sz w:val="22"/>
          <w:szCs w:val="22"/>
          <w:shd w:val="clear" w:color="auto" w:fill="FFFFFF"/>
        </w:rPr>
        <w:t>situation</w:t>
      </w:r>
      <w:r w:rsidRPr="00D5495A">
        <w:rPr>
          <w:rFonts w:asciiTheme="minorBidi" w:hAnsiTheme="minorBidi" w:cstheme="minorBidi"/>
          <w:sz w:val="22"/>
          <w:szCs w:val="22"/>
          <w:shd w:val="clear" w:color="auto" w:fill="FFFFFF"/>
        </w:rPr>
        <w:t xml:space="preserve">, with GDP contracting by -12% in 2021 (World Bank, 2022), marking one of the steepest declines globally. </w:t>
      </w:r>
      <w:r w:rsidRPr="00D5495A">
        <w:rPr>
          <w:rFonts w:asciiTheme="minorBidi" w:hAnsiTheme="minorBidi" w:cstheme="minorBidi"/>
          <w:sz w:val="22"/>
          <w:szCs w:val="22"/>
          <w:shd w:val="clear" w:color="auto" w:fill="FFFFFF"/>
        </w:rPr>
        <w:lastRenderedPageBreak/>
        <w:t>Although growth slightly recovered to ~2% by 2023 (ADB</w:t>
      </w:r>
      <w:r w:rsidR="007611FE">
        <w:rPr>
          <w:rFonts w:asciiTheme="minorBidi" w:hAnsiTheme="minorBidi" w:cstheme="minorBidi"/>
          <w:sz w:val="22"/>
          <w:szCs w:val="22"/>
          <w:shd w:val="clear" w:color="auto" w:fill="FFFFFF"/>
        </w:rPr>
        <w:t>,2024</w:t>
      </w:r>
      <w:r w:rsidRPr="00D5495A">
        <w:rPr>
          <w:rFonts w:asciiTheme="minorBidi" w:hAnsiTheme="minorBidi" w:cstheme="minorBidi"/>
          <w:sz w:val="22"/>
          <w:szCs w:val="22"/>
          <w:shd w:val="clear" w:color="auto" w:fill="FFFFFF"/>
        </w:rPr>
        <w:t xml:space="preserve">), the economy remained far below pre-2021 levels. Key factors behind this stagnation included international sanctions, a collapse in FDI, hyperinflation, and a banking crisis, underscoring the fragility of Myanmar’s economic recovery amid </w:t>
      </w:r>
      <w:r w:rsidR="007611FE">
        <w:rPr>
          <w:rFonts w:asciiTheme="minorBidi" w:hAnsiTheme="minorBidi" w:cstheme="minorBidi"/>
          <w:sz w:val="22"/>
          <w:szCs w:val="22"/>
          <w:shd w:val="clear" w:color="auto" w:fill="FFFFFF"/>
        </w:rPr>
        <w:t xml:space="preserve">the </w:t>
      </w:r>
      <w:r w:rsidRPr="00D5495A">
        <w:rPr>
          <w:rFonts w:asciiTheme="minorBidi" w:hAnsiTheme="minorBidi" w:cstheme="minorBidi"/>
          <w:sz w:val="22"/>
          <w:szCs w:val="22"/>
          <w:shd w:val="clear" w:color="auto" w:fill="FFFFFF"/>
        </w:rPr>
        <w:t xml:space="preserve">ongoing political </w:t>
      </w:r>
      <w:proofErr w:type="gramStart"/>
      <w:r w:rsidR="007611FE">
        <w:rPr>
          <w:rFonts w:asciiTheme="minorBidi" w:hAnsiTheme="minorBidi" w:cstheme="minorBidi"/>
          <w:sz w:val="22"/>
          <w:szCs w:val="22"/>
          <w:shd w:val="clear" w:color="auto" w:fill="FFFFFF"/>
        </w:rPr>
        <w:t>situation</w:t>
      </w:r>
      <w:r w:rsidR="00930CB7">
        <w:rPr>
          <w:rFonts w:asciiTheme="minorBidi" w:hAnsiTheme="minorBidi" w:cstheme="minorBidi"/>
          <w:sz w:val="22"/>
          <w:szCs w:val="22"/>
          <w:shd w:val="clear" w:color="auto" w:fill="FFFFFF"/>
        </w:rPr>
        <w:t>(</w:t>
      </w:r>
      <w:proofErr w:type="spellStart"/>
      <w:proofErr w:type="gramEnd"/>
      <w:r w:rsidR="00930CB7" w:rsidRPr="00930CB7">
        <w:rPr>
          <w:rFonts w:asciiTheme="minorBidi" w:hAnsiTheme="minorBidi" w:cstheme="minorBidi"/>
          <w:sz w:val="22"/>
          <w:szCs w:val="22"/>
          <w:shd w:val="clear" w:color="auto" w:fill="FFFFFF"/>
        </w:rPr>
        <w:t>Armia</w:t>
      </w:r>
      <w:proofErr w:type="spellEnd"/>
      <w:r w:rsidR="00930CB7" w:rsidRPr="00930CB7">
        <w:rPr>
          <w:rFonts w:asciiTheme="minorBidi" w:hAnsiTheme="minorBidi" w:cstheme="minorBidi"/>
          <w:sz w:val="22"/>
          <w:szCs w:val="22"/>
          <w:shd w:val="clear" w:color="auto" w:fill="FFFFFF"/>
        </w:rPr>
        <w:t>, M. S. 2022)</w:t>
      </w:r>
      <w:r w:rsidR="00B227C8">
        <w:rPr>
          <w:rFonts w:asciiTheme="minorBidi" w:hAnsiTheme="minorBidi" w:cstheme="minorBidi"/>
          <w:sz w:val="22"/>
          <w:szCs w:val="22"/>
          <w:shd w:val="clear" w:color="auto" w:fill="FFFFFF"/>
        </w:rPr>
        <w:t>.</w:t>
      </w:r>
      <w:r w:rsidR="007611FE">
        <w:rPr>
          <w:rFonts w:asciiTheme="minorBidi" w:hAnsiTheme="minorBidi" w:cstheme="minorBidi"/>
          <w:sz w:val="22"/>
          <w:szCs w:val="22"/>
          <w:shd w:val="clear" w:color="auto" w:fill="FFFFFF"/>
        </w:rPr>
        <w:t xml:space="preserve"> These are the lessons learned for a better future</w:t>
      </w:r>
      <w:r w:rsidR="005143B1">
        <w:rPr>
          <w:rFonts w:asciiTheme="minorBidi" w:hAnsiTheme="minorBidi" w:cstheme="minorBidi"/>
          <w:sz w:val="22"/>
          <w:szCs w:val="22"/>
          <w:shd w:val="clear" w:color="auto" w:fill="FFFFFF"/>
        </w:rPr>
        <w:t xml:space="preserve"> to create a better economy</w:t>
      </w:r>
      <w:r w:rsidR="007611FE">
        <w:rPr>
          <w:rFonts w:asciiTheme="minorBidi" w:hAnsiTheme="minorBidi" w:cstheme="minorBidi"/>
          <w:sz w:val="22"/>
          <w:szCs w:val="22"/>
          <w:shd w:val="clear" w:color="auto" w:fill="FFFFFF"/>
        </w:rPr>
        <w:t>.</w:t>
      </w:r>
    </w:p>
    <w:bookmarkEnd w:id="2"/>
    <w:p w14:paraId="4E250425" w14:textId="77777777" w:rsidR="00E565E9" w:rsidRPr="00D5495A" w:rsidRDefault="00E565E9" w:rsidP="00DF08CD">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b/>
          <w:bCs/>
          <w:sz w:val="22"/>
          <w:szCs w:val="22"/>
          <w:shd w:val="clear" w:color="auto" w:fill="FFFFFF"/>
        </w:rPr>
        <w:t>3.4 Inflation and Currency Depreciation</w:t>
      </w:r>
    </w:p>
    <w:p w14:paraId="160AD343" w14:textId="744A5495" w:rsidR="00CD3A01" w:rsidRPr="00D5495A" w:rsidRDefault="00CD3A01" w:rsidP="00D5495A">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sz w:val="22"/>
          <w:szCs w:val="22"/>
          <w:shd w:val="clear" w:color="auto" w:fill="FFFFFF"/>
        </w:rPr>
        <w:t>Between 2011 and 2019, Myanmar demonstrated strong macroeconomic management, maintaining inflation at a stable 5-7% annual rate (IMF</w:t>
      </w:r>
      <w:r w:rsidR="007611FE">
        <w:rPr>
          <w:rFonts w:asciiTheme="minorBidi" w:hAnsiTheme="minorBidi" w:cstheme="minorBidi"/>
          <w:sz w:val="22"/>
          <w:szCs w:val="22"/>
          <w:shd w:val="clear" w:color="auto" w:fill="FFFFFF"/>
        </w:rPr>
        <w:t>,2020</w:t>
      </w:r>
      <w:r w:rsidRPr="00D5495A">
        <w:rPr>
          <w:rFonts w:asciiTheme="minorBidi" w:hAnsiTheme="minorBidi" w:cstheme="minorBidi"/>
          <w:sz w:val="22"/>
          <w:szCs w:val="22"/>
          <w:shd w:val="clear" w:color="auto" w:fill="FFFFFF"/>
        </w:rPr>
        <w:t>). The post-2021 period brought new economic challenges, with inflation rising to 20-30% by 2022 (UNDP) as the kyat underwent significant adjustment in foreign exchange markets. These developments created complex conditions for monetary policy, particularly in maintaining exchange rate stability, while the economy continues to demonstrate resilience through its established trade networks and human capital.</w:t>
      </w:r>
      <w:r w:rsidR="00C54DBB">
        <w:rPr>
          <w:rFonts w:asciiTheme="minorBidi" w:hAnsiTheme="minorBidi" w:cstheme="minorBidi"/>
          <w:sz w:val="22"/>
          <w:szCs w:val="22"/>
          <w:shd w:val="clear" w:color="auto" w:fill="FFFFFF"/>
        </w:rPr>
        <w:t xml:space="preserve"> (Mid-Level Official, 2025)</w:t>
      </w:r>
    </w:p>
    <w:p w14:paraId="55080501" w14:textId="73EE3F99" w:rsidR="00E565E9" w:rsidRPr="00D5495A" w:rsidRDefault="00E565E9" w:rsidP="00D5495A">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b/>
          <w:bCs/>
          <w:sz w:val="22"/>
          <w:szCs w:val="22"/>
          <w:shd w:val="clear" w:color="auto" w:fill="FFFFFF"/>
        </w:rPr>
        <w:t>3.5 Foreign Direct Investment (FDI) Trends</w:t>
      </w:r>
    </w:p>
    <w:p w14:paraId="2FB4C79D" w14:textId="3FA9A60F" w:rsidR="00E565E9" w:rsidRPr="00D5495A" w:rsidRDefault="00E565E9" w:rsidP="00D5495A">
      <w:pPr>
        <w:pStyle w:val="NormalWeb"/>
        <w:spacing w:before="20" w:afterLines="20" w:after="48" w:line="276" w:lineRule="auto"/>
        <w:jc w:val="both"/>
        <w:rPr>
          <w:rFonts w:asciiTheme="minorBidi" w:hAnsiTheme="minorBidi" w:cstheme="minorBidi"/>
          <w:sz w:val="22"/>
          <w:szCs w:val="22"/>
          <w:shd w:val="clear" w:color="auto" w:fill="FFFFFF"/>
        </w:rPr>
      </w:pPr>
      <w:r w:rsidRPr="00D5495A">
        <w:rPr>
          <w:rFonts w:asciiTheme="minorBidi" w:hAnsiTheme="minorBidi" w:cstheme="minorBidi"/>
          <w:sz w:val="22"/>
          <w:szCs w:val="22"/>
          <w:shd w:val="clear" w:color="auto" w:fill="FFFFFF"/>
        </w:rPr>
        <w:t>FDI inflows followed a volatile trajectory over the study period. During 2011–2016, investment surged, peaking at $9.5 billion in 2016 (Myanmar DICA</w:t>
      </w:r>
      <w:r w:rsidR="007611FE">
        <w:rPr>
          <w:rFonts w:asciiTheme="minorBidi" w:hAnsiTheme="minorBidi" w:cstheme="minorBidi"/>
          <w:sz w:val="22"/>
          <w:szCs w:val="22"/>
          <w:shd w:val="clear" w:color="auto" w:fill="FFFFFF"/>
        </w:rPr>
        <w:t>,2016</w:t>
      </w:r>
      <w:r w:rsidRPr="00D5495A">
        <w:rPr>
          <w:rFonts w:asciiTheme="minorBidi" w:hAnsiTheme="minorBidi" w:cstheme="minorBidi"/>
          <w:sz w:val="22"/>
          <w:szCs w:val="22"/>
          <w:shd w:val="clear" w:color="auto" w:fill="FFFFFF"/>
        </w:rPr>
        <w:t xml:space="preserve">), driven by economic liberalization and sanctions relief. However, from 2016 to 2020, FDI declined to $4–5 billion annually due to rising political risks, including the Bengali crisis and deteriorating investor confidence. After the 2021 political transition, FDI collapsed to a decade-low of $1.1 billion in 2022, as sanctions and instability deterred </w:t>
      </w:r>
      <w:r w:rsidR="005143B1">
        <w:rPr>
          <w:rFonts w:asciiTheme="minorBidi" w:hAnsiTheme="minorBidi" w:cstheme="minorBidi"/>
          <w:sz w:val="22"/>
          <w:szCs w:val="22"/>
          <w:shd w:val="clear" w:color="auto" w:fill="FFFFFF"/>
        </w:rPr>
        <w:t>foreign capital</w:t>
      </w:r>
      <w:r w:rsidRPr="00D5495A">
        <w:rPr>
          <w:rFonts w:asciiTheme="minorBidi" w:hAnsiTheme="minorBidi" w:cstheme="minorBidi"/>
          <w:sz w:val="22"/>
          <w:szCs w:val="22"/>
          <w:shd w:val="clear" w:color="auto" w:fill="FFFFFF"/>
        </w:rPr>
        <w:t xml:space="preserve">. While the energy </w:t>
      </w:r>
      <w:proofErr w:type="gramStart"/>
      <w:r w:rsidRPr="00D5495A">
        <w:rPr>
          <w:rFonts w:asciiTheme="minorBidi" w:hAnsiTheme="minorBidi" w:cstheme="minorBidi"/>
          <w:sz w:val="22"/>
          <w:szCs w:val="22"/>
          <w:shd w:val="clear" w:color="auto" w:fill="FFFFFF"/>
        </w:rPr>
        <w:t>sector(</w:t>
      </w:r>
      <w:proofErr w:type="gramEnd"/>
      <w:r w:rsidRPr="00D5495A">
        <w:rPr>
          <w:rFonts w:asciiTheme="minorBidi" w:hAnsiTheme="minorBidi" w:cstheme="minorBidi"/>
          <w:sz w:val="22"/>
          <w:szCs w:val="22"/>
          <w:shd w:val="clear" w:color="auto" w:fill="FFFFFF"/>
        </w:rPr>
        <w:t>oil and gas) remained resilient, manufacturing (particularly garments) saw a sharp decline, reflecting Myanmar’s shrinking economic diversification.</w:t>
      </w:r>
      <w:r w:rsidR="00D863CF">
        <w:rPr>
          <w:rFonts w:asciiTheme="minorBidi" w:hAnsiTheme="minorBidi" w:cstheme="minorBidi"/>
          <w:sz w:val="22"/>
          <w:szCs w:val="22"/>
          <w:shd w:val="clear" w:color="auto" w:fill="FFFFFF"/>
        </w:rPr>
        <w:t>(Foreign Investor, 2025)</w:t>
      </w:r>
    </w:p>
    <w:p w14:paraId="7EFA585A" w14:textId="77777777" w:rsidR="006B3903" w:rsidRPr="0012118C" w:rsidRDefault="006B3903" w:rsidP="00D5495A">
      <w:pPr>
        <w:pStyle w:val="NormalWeb"/>
        <w:spacing w:before="20" w:afterLines="20" w:after="48" w:line="276" w:lineRule="auto"/>
        <w:jc w:val="both"/>
        <w:rPr>
          <w:rFonts w:asciiTheme="minorBidi" w:hAnsiTheme="minorBidi" w:cstheme="minorBidi"/>
          <w:b/>
          <w:bCs/>
          <w:sz w:val="20"/>
          <w:szCs w:val="20"/>
          <w:shd w:val="clear" w:color="auto" w:fill="FFFFFF"/>
        </w:rPr>
      </w:pPr>
      <w:r w:rsidRPr="0012118C">
        <w:rPr>
          <w:rFonts w:asciiTheme="minorBidi" w:hAnsiTheme="minorBidi" w:cstheme="minorBidi"/>
          <w:b/>
          <w:bCs/>
          <w:sz w:val="20"/>
          <w:szCs w:val="20"/>
          <w:shd w:val="clear" w:color="auto" w:fill="FFFFFF"/>
        </w:rPr>
        <w:t xml:space="preserve">4 Discussion </w:t>
      </w:r>
    </w:p>
    <w:p w14:paraId="06B8ED65" w14:textId="60D5D549" w:rsidR="00D5495A" w:rsidRPr="0012118C" w:rsidRDefault="006A25A5" w:rsidP="00D5495A">
      <w:pPr>
        <w:pStyle w:val="NormalWeb"/>
        <w:spacing w:before="20" w:afterLines="20" w:after="48" w:line="276" w:lineRule="auto"/>
        <w:jc w:val="both"/>
        <w:rPr>
          <w:rFonts w:ascii="Arial" w:hAnsi="Arial" w:cs="Arial"/>
          <w:b/>
          <w:bCs/>
          <w:sz w:val="22"/>
          <w:szCs w:val="22"/>
          <w:shd w:val="clear" w:color="auto" w:fill="FFFFFF"/>
        </w:rPr>
      </w:pPr>
      <w:r w:rsidRPr="0012118C">
        <w:rPr>
          <w:rFonts w:ascii="Arial" w:hAnsi="Arial" w:cs="Arial"/>
          <w:b/>
          <w:bCs/>
          <w:sz w:val="22"/>
          <w:szCs w:val="22"/>
          <w:shd w:val="clear" w:color="auto" w:fill="FFFFFF"/>
        </w:rPr>
        <w:t>4.1 Successes of Myanmar’s Economic Diplomacy (2011–2023)</w:t>
      </w:r>
    </w:p>
    <w:p w14:paraId="6D85F7E5" w14:textId="21A4583B" w:rsidR="006A25A5" w:rsidRPr="00D5495A" w:rsidRDefault="006A25A5" w:rsidP="00D5495A">
      <w:pPr>
        <w:pStyle w:val="NormalWeb"/>
        <w:spacing w:before="20" w:afterLines="20" w:after="48" w:line="276" w:lineRule="auto"/>
        <w:jc w:val="both"/>
        <w:rPr>
          <w:rFonts w:ascii="Arial" w:hAnsi="Arial" w:cs="Arial"/>
          <w:sz w:val="22"/>
          <w:szCs w:val="22"/>
          <w:shd w:val="clear" w:color="auto" w:fill="FFFFFF"/>
        </w:rPr>
      </w:pPr>
      <w:r w:rsidRPr="00D5495A">
        <w:rPr>
          <w:rFonts w:ascii="Arial" w:hAnsi="Arial" w:cs="Arial"/>
          <w:sz w:val="22"/>
          <w:szCs w:val="22"/>
          <w:shd w:val="clear" w:color="auto" w:fill="FFFFFF"/>
        </w:rPr>
        <w:t>Adaptive Strategies in a Challenging Era</w:t>
      </w:r>
      <w:r w:rsidR="00D863CF">
        <w:rPr>
          <w:rFonts w:ascii="Arial" w:hAnsi="Arial" w:cs="Arial"/>
          <w:sz w:val="22"/>
          <w:szCs w:val="22"/>
          <w:shd w:val="clear" w:color="auto" w:fill="FFFFFF"/>
        </w:rPr>
        <w:t>,</w:t>
      </w:r>
      <w:r w:rsidRPr="00D5495A">
        <w:rPr>
          <w:rFonts w:ascii="Arial" w:hAnsi="Arial" w:cs="Arial"/>
          <w:sz w:val="22"/>
          <w:szCs w:val="22"/>
          <w:shd w:val="clear" w:color="auto" w:fill="FFFFFF"/>
        </w:rPr>
        <w:t> </w:t>
      </w:r>
      <w:proofErr w:type="gramStart"/>
      <w:r w:rsidR="00D863CF">
        <w:rPr>
          <w:rFonts w:ascii="Arial" w:hAnsi="Arial" w:cs="Arial"/>
          <w:sz w:val="22"/>
          <w:szCs w:val="22"/>
          <w:shd w:val="clear" w:color="auto" w:fill="FFFFFF"/>
        </w:rPr>
        <w:t>D</w:t>
      </w:r>
      <w:r w:rsidRPr="00D5495A">
        <w:rPr>
          <w:rFonts w:ascii="Arial" w:hAnsi="Arial" w:cs="Arial"/>
          <w:sz w:val="22"/>
          <w:szCs w:val="22"/>
          <w:shd w:val="clear" w:color="auto" w:fill="FFFFFF"/>
        </w:rPr>
        <w:t>espite</w:t>
      </w:r>
      <w:proofErr w:type="gramEnd"/>
      <w:r w:rsidRPr="00D5495A">
        <w:rPr>
          <w:rFonts w:ascii="Arial" w:hAnsi="Arial" w:cs="Arial"/>
          <w:sz w:val="22"/>
          <w:szCs w:val="22"/>
          <w:shd w:val="clear" w:color="auto" w:fill="FFFFFF"/>
        </w:rPr>
        <w:t xml:space="preserve"> confronting profound challenges, including international isolation, domestic political upheaval, and sustained economic sanctions, Myanmar's economic diplomacy between 2011 and 2023 demonstrated notable resilience and achieved significant, albeit circumscribed, successes through strategic adaptation. By astutely navigating complex geopolitical currents, the state effectively leveraged strategic partnerships, particularly with immediate neighbors and major regional powers, while exploiting underlying rivalries among external actors to secure essential economic lifelines. This proactive and flexible approach enabled critical achievements</w:t>
      </w:r>
      <w:r w:rsidR="00377155">
        <w:rPr>
          <w:rFonts w:ascii="Arial" w:hAnsi="Arial" w:cs="Arial"/>
          <w:sz w:val="22"/>
          <w:szCs w:val="22"/>
          <w:shd w:val="clear" w:color="auto" w:fill="FFFFFF"/>
        </w:rPr>
        <w:t>,</w:t>
      </w:r>
      <w:r w:rsidR="005143B1">
        <w:rPr>
          <w:rFonts w:ascii="Arial" w:hAnsi="Arial" w:cs="Arial"/>
          <w:sz w:val="22"/>
          <w:szCs w:val="22"/>
          <w:shd w:val="clear" w:color="auto" w:fill="FFFFFF"/>
        </w:rPr>
        <w:t xml:space="preserve"> </w:t>
      </w:r>
      <w:r w:rsidRPr="00D5495A">
        <w:rPr>
          <w:rFonts w:ascii="Arial" w:hAnsi="Arial" w:cs="Arial"/>
          <w:sz w:val="22"/>
          <w:szCs w:val="22"/>
          <w:shd w:val="clear" w:color="auto" w:fill="FFFFFF"/>
        </w:rPr>
        <w:t xml:space="preserve">mitigating the worst potential impacts of sanctions on vital </w:t>
      </w:r>
      <w:r w:rsidRPr="00D5495A">
        <w:rPr>
          <w:rFonts w:ascii="Arial" w:hAnsi="Arial" w:cs="Arial"/>
          <w:sz w:val="22"/>
          <w:szCs w:val="22"/>
          <w:shd w:val="clear" w:color="auto" w:fill="FFFFFF"/>
        </w:rPr>
        <w:lastRenderedPageBreak/>
        <w:t>sectors, securing crucial foreign direct investment</w:t>
      </w:r>
      <w:r w:rsidR="007611FE">
        <w:rPr>
          <w:rFonts w:ascii="Arial" w:hAnsi="Arial" w:cs="Arial"/>
          <w:sz w:val="22"/>
          <w:szCs w:val="22"/>
          <w:shd w:val="clear" w:color="auto" w:fill="FFFFFF"/>
        </w:rPr>
        <w:t>,</w:t>
      </w:r>
      <w:r w:rsidRPr="00D5495A">
        <w:rPr>
          <w:rFonts w:ascii="Arial" w:hAnsi="Arial" w:cs="Arial"/>
          <w:sz w:val="22"/>
          <w:szCs w:val="22"/>
          <w:shd w:val="clear" w:color="auto" w:fill="FFFFFF"/>
        </w:rPr>
        <w:t xml:space="preserve"> especially in energy and infrastructure</w:t>
      </w:r>
      <w:r w:rsidR="005143B1">
        <w:rPr>
          <w:rFonts w:ascii="Arial" w:hAnsi="Arial" w:cs="Arial"/>
          <w:sz w:val="22"/>
          <w:szCs w:val="22"/>
          <w:shd w:val="clear" w:color="auto" w:fill="FFFFFF"/>
        </w:rPr>
        <w:t>,</w:t>
      </w:r>
      <w:r w:rsidRPr="00D5495A">
        <w:rPr>
          <w:rFonts w:ascii="Arial" w:hAnsi="Arial" w:cs="Arial"/>
          <w:sz w:val="22"/>
          <w:szCs w:val="22"/>
          <w:shd w:val="clear" w:color="auto" w:fill="FFFFFF"/>
        </w:rPr>
        <w:t xml:space="preserve"> diversifying trade routes to reduce dependency on any single partner, and maintaining access to regional economic frameworks like ASEAN. These successes, underpinned by a pragmatic hedging strategy and continuous economic recalibration in response to external pressure, were instrumental in sustaining basic economic functionality, preserving essential state revenues, and bolstering </w:t>
      </w:r>
      <w:r w:rsidR="00ED4C6C">
        <w:rPr>
          <w:rFonts w:ascii="Arial" w:hAnsi="Arial" w:cs="Arial"/>
          <w:sz w:val="22"/>
          <w:szCs w:val="22"/>
          <w:shd w:val="clear" w:color="auto" w:fill="FFFFFF"/>
        </w:rPr>
        <w:t>government</w:t>
      </w:r>
      <w:r w:rsidRPr="00D5495A">
        <w:rPr>
          <w:rFonts w:ascii="Arial" w:hAnsi="Arial" w:cs="Arial"/>
          <w:sz w:val="22"/>
          <w:szCs w:val="22"/>
          <w:shd w:val="clear" w:color="auto" w:fill="FFFFFF"/>
        </w:rPr>
        <w:t xml:space="preserve"> security imperatives throughout an exceptionally turbulent period. The period thus stands as a testament to the capacity of targeted, adaptive economic statecraft to navigate severe external constraints and achieve core stability objectives under </w:t>
      </w:r>
      <w:proofErr w:type="gramStart"/>
      <w:r w:rsidRPr="00D5495A">
        <w:rPr>
          <w:rFonts w:ascii="Arial" w:hAnsi="Arial" w:cs="Arial"/>
          <w:sz w:val="22"/>
          <w:szCs w:val="22"/>
          <w:shd w:val="clear" w:color="auto" w:fill="FFFFFF"/>
        </w:rPr>
        <w:t>duress.</w:t>
      </w:r>
      <w:r w:rsidR="00377155">
        <w:rPr>
          <w:rFonts w:ascii="Arial" w:hAnsi="Arial" w:cs="Arial"/>
          <w:sz w:val="22"/>
          <w:szCs w:val="22"/>
          <w:shd w:val="clear" w:color="auto" w:fill="FFFFFF"/>
        </w:rPr>
        <w:t>(</w:t>
      </w:r>
      <w:proofErr w:type="gramEnd"/>
      <w:r w:rsidR="00377155">
        <w:rPr>
          <w:rFonts w:ascii="Arial" w:hAnsi="Arial" w:cs="Arial"/>
          <w:sz w:val="22"/>
          <w:szCs w:val="22"/>
          <w:shd w:val="clear" w:color="auto" w:fill="FFFFFF"/>
        </w:rPr>
        <w:t>High-Level Official, 2025)</w:t>
      </w:r>
    </w:p>
    <w:p w14:paraId="45EB2C49" w14:textId="41C022EE" w:rsidR="006A25A5" w:rsidRPr="00D5495A" w:rsidRDefault="006A25A5" w:rsidP="00D5495A">
      <w:pPr>
        <w:pStyle w:val="NormalWeb"/>
        <w:spacing w:before="20" w:afterLines="20" w:after="48" w:line="276" w:lineRule="auto"/>
        <w:jc w:val="both"/>
        <w:rPr>
          <w:rFonts w:ascii="Arial" w:hAnsi="Arial" w:cs="Arial"/>
          <w:sz w:val="22"/>
          <w:szCs w:val="22"/>
          <w:shd w:val="clear" w:color="auto" w:fill="FFFFFF"/>
        </w:rPr>
      </w:pPr>
      <w:r w:rsidRPr="00D5495A">
        <w:rPr>
          <w:rFonts w:ascii="Arial" w:hAnsi="Arial" w:cs="Arial"/>
          <w:b/>
          <w:bCs/>
          <w:sz w:val="22"/>
          <w:szCs w:val="22"/>
          <w:shd w:val="clear" w:color="auto" w:fill="FFFFFF"/>
        </w:rPr>
        <w:t>4.2</w:t>
      </w:r>
      <w:r w:rsidR="00A858E9">
        <w:rPr>
          <w:rFonts w:ascii="Arial" w:hAnsi="Arial" w:cs="Arial"/>
          <w:b/>
          <w:bCs/>
          <w:sz w:val="22"/>
          <w:szCs w:val="22"/>
          <w:shd w:val="clear" w:color="auto" w:fill="FFFFFF"/>
        </w:rPr>
        <w:t xml:space="preserve"> </w:t>
      </w:r>
      <w:r w:rsidRPr="00D5495A">
        <w:rPr>
          <w:rFonts w:ascii="Arial" w:hAnsi="Arial" w:cs="Arial"/>
          <w:b/>
          <w:bCs/>
          <w:sz w:val="22"/>
          <w:szCs w:val="22"/>
          <w:shd w:val="clear" w:color="auto" w:fill="FFFFFF"/>
        </w:rPr>
        <w:t>Successful Reintegration into the Global Economy (2011–2016)</w:t>
      </w:r>
    </w:p>
    <w:p w14:paraId="6A0ECC33" w14:textId="7EC6BF36" w:rsidR="006A25A5" w:rsidRPr="00D5495A" w:rsidRDefault="006A25A5" w:rsidP="00D5495A">
      <w:pPr>
        <w:pStyle w:val="NormalWeb"/>
        <w:spacing w:before="20" w:afterLines="20" w:after="48" w:line="276" w:lineRule="auto"/>
        <w:jc w:val="both"/>
        <w:rPr>
          <w:rFonts w:ascii="Arial" w:hAnsi="Arial" w:cs="Arial"/>
          <w:sz w:val="22"/>
          <w:szCs w:val="22"/>
          <w:shd w:val="clear" w:color="auto" w:fill="FFFFFF"/>
        </w:rPr>
      </w:pPr>
      <w:r w:rsidRPr="00D5495A">
        <w:rPr>
          <w:rFonts w:ascii="Arial" w:hAnsi="Arial" w:cs="Arial"/>
          <w:sz w:val="22"/>
          <w:szCs w:val="22"/>
          <w:shd w:val="clear" w:color="auto" w:fill="FFFFFF"/>
        </w:rPr>
        <w:t>Sanctions Relief and Strategic Re-engagement</w:t>
      </w:r>
      <w:r w:rsidR="00B227C8">
        <w:rPr>
          <w:rFonts w:ascii="Arial" w:hAnsi="Arial" w:cs="Arial"/>
          <w:sz w:val="22"/>
          <w:szCs w:val="22"/>
          <w:shd w:val="clear" w:color="auto" w:fill="FFFFFF"/>
        </w:rPr>
        <w:t>,</w:t>
      </w:r>
      <w:r w:rsidRPr="00D5495A">
        <w:rPr>
          <w:rFonts w:ascii="Arial" w:hAnsi="Arial" w:cs="Arial"/>
          <w:sz w:val="22"/>
          <w:szCs w:val="22"/>
          <w:shd w:val="clear" w:color="auto" w:fill="FFFFFF"/>
        </w:rPr>
        <w:t> </w:t>
      </w:r>
      <w:r w:rsidR="00B227C8">
        <w:rPr>
          <w:rFonts w:ascii="Arial" w:hAnsi="Arial" w:cs="Arial"/>
          <w:sz w:val="22"/>
          <w:szCs w:val="22"/>
          <w:shd w:val="clear" w:color="auto" w:fill="FFFFFF"/>
        </w:rPr>
        <w:t>t</w:t>
      </w:r>
      <w:r w:rsidRPr="00D5495A">
        <w:rPr>
          <w:rFonts w:ascii="Arial" w:hAnsi="Arial" w:cs="Arial"/>
          <w:sz w:val="22"/>
          <w:szCs w:val="22"/>
          <w:shd w:val="clear" w:color="auto" w:fill="FFFFFF"/>
        </w:rPr>
        <w:t>he period 2011-2016 marked a demonstrably successful phase in Myanmar's contemporary economic history, characterized by a transformative recalibration of its global economic standing. The credible political and economic reforms initiated under President Thein Sein's administration proved pivotal, persuading key Western nations to substantially lift long-standing sanctions. This decisive shift unlocked Myanmar's access to international capital and markets, triggering a significant and diversified surge in Foreign Direct Investment (FDI). Landmark achievements underscored this reintegration</w:t>
      </w:r>
      <w:r w:rsidR="00B227C8">
        <w:rPr>
          <w:rFonts w:ascii="Arial" w:hAnsi="Arial" w:cs="Arial"/>
          <w:sz w:val="22"/>
          <w:szCs w:val="22"/>
          <w:shd w:val="clear" w:color="auto" w:fill="FFFFFF"/>
        </w:rPr>
        <w:t>,</w:t>
      </w:r>
      <w:r w:rsidRPr="00D5495A">
        <w:rPr>
          <w:rFonts w:ascii="Arial" w:hAnsi="Arial" w:cs="Arial"/>
          <w:sz w:val="22"/>
          <w:szCs w:val="22"/>
          <w:shd w:val="clear" w:color="auto" w:fill="FFFFFF"/>
        </w:rPr>
        <w:t xml:space="preserve"> the </w:t>
      </w:r>
      <w:proofErr w:type="spellStart"/>
      <w:r w:rsidRPr="00D5495A">
        <w:rPr>
          <w:rFonts w:ascii="Arial" w:hAnsi="Arial" w:cs="Arial"/>
          <w:sz w:val="22"/>
          <w:szCs w:val="22"/>
          <w:shd w:val="clear" w:color="auto" w:fill="FFFFFF"/>
        </w:rPr>
        <w:t>Thilawa</w:t>
      </w:r>
      <w:proofErr w:type="spellEnd"/>
      <w:r w:rsidRPr="00D5495A">
        <w:rPr>
          <w:rFonts w:ascii="Arial" w:hAnsi="Arial" w:cs="Arial"/>
          <w:sz w:val="22"/>
          <w:szCs w:val="22"/>
          <w:shd w:val="clear" w:color="auto" w:fill="FFFFFF"/>
        </w:rPr>
        <w:t xml:space="preserve"> Special Economic Zone (SEZ), developed in partnership with Japan, emerged as a flagship success, attracting over $1.5 billion in committed investment by 2020 and establishing a vital manufacturing and export hub. </w:t>
      </w:r>
      <w:r w:rsidR="00377155">
        <w:rPr>
          <w:rFonts w:ascii="Arial" w:hAnsi="Arial" w:cs="Arial"/>
          <w:sz w:val="22"/>
          <w:szCs w:val="22"/>
          <w:shd w:val="clear" w:color="auto" w:fill="FFFFFF"/>
        </w:rPr>
        <w:t xml:space="preserve"> </w:t>
      </w:r>
      <w:r w:rsidRPr="00D5495A">
        <w:rPr>
          <w:rFonts w:ascii="Arial" w:hAnsi="Arial" w:cs="Arial"/>
          <w:sz w:val="22"/>
          <w:szCs w:val="22"/>
          <w:shd w:val="clear" w:color="auto" w:fill="FFFFFF"/>
        </w:rPr>
        <w:t>Concurrently, major European and U.S. corporations strategically re-entered critical sectors, including energy (TotalEnergies, Chevron), telecommunications (Telenor, Ooredoo), and financial services, injecting capital, technology, and international standards. This influx of FDI, coupled with renewed trade access, directly fueled robust economic expansion, with GDP growth averaging a commendable 6-7% annually and contributing to a measurable reduction in national poverty rates. Furthermore, Myanmar's proactive diplomacy culminated in its timely accession to the ASEAN Economic Community (AEC) in 2015, a strategic milestone that significantly deepened regional economic integration, diversified export markets, and reduced historical over-reliance on any single partner</w:t>
      </w:r>
      <w:r w:rsidR="00377155" w:rsidRPr="00377155">
        <w:rPr>
          <w:rFonts w:ascii="Arial" w:hAnsi="Arial" w:cs="Arial"/>
        </w:rPr>
        <w:t xml:space="preserve"> </w:t>
      </w:r>
      <w:r w:rsidR="00377155" w:rsidRPr="00377155">
        <w:rPr>
          <w:rFonts w:ascii="Arial" w:hAnsi="Arial" w:cs="Arial"/>
          <w:sz w:val="22"/>
          <w:szCs w:val="22"/>
        </w:rPr>
        <w:t>(ASEAN Secretariat,2023)</w:t>
      </w:r>
      <w:r w:rsidRPr="00377155">
        <w:rPr>
          <w:rFonts w:ascii="Arial" w:hAnsi="Arial" w:cs="Arial"/>
          <w:sz w:val="22"/>
          <w:szCs w:val="22"/>
          <w:shd w:val="clear" w:color="auto" w:fill="FFFFFF"/>
        </w:rPr>
        <w:t>.</w:t>
      </w:r>
      <w:r w:rsidRPr="00D5495A">
        <w:rPr>
          <w:rFonts w:ascii="Arial" w:hAnsi="Arial" w:cs="Arial"/>
          <w:sz w:val="22"/>
          <w:szCs w:val="22"/>
          <w:shd w:val="clear" w:color="auto" w:fill="FFFFFF"/>
        </w:rPr>
        <w:t xml:space="preserve"> Collectively, these developments represent a period of remarkable economic momentum and successful global re-engagement, demonstrating Myanmar's capacity for systemic transformation and its ability to capitalize effectively on geopolitical openings to achieve substantial growth and integration objectives.</w:t>
      </w:r>
    </w:p>
    <w:p w14:paraId="64C6FF79" w14:textId="44D360BB" w:rsidR="0002680D" w:rsidRPr="0012118C" w:rsidRDefault="0002680D" w:rsidP="00D5495A">
      <w:pPr>
        <w:pStyle w:val="NormalWeb"/>
        <w:spacing w:before="20" w:afterLines="20" w:after="48" w:line="276" w:lineRule="auto"/>
        <w:jc w:val="both"/>
        <w:rPr>
          <w:rFonts w:asciiTheme="minorBidi" w:hAnsiTheme="minorBidi" w:cstheme="minorBidi"/>
          <w:b/>
          <w:bCs/>
          <w:sz w:val="20"/>
          <w:szCs w:val="20"/>
          <w:shd w:val="clear" w:color="auto" w:fill="FFFFFF"/>
        </w:rPr>
      </w:pPr>
      <w:proofErr w:type="gramStart"/>
      <w:r w:rsidRPr="0012118C">
        <w:rPr>
          <w:rFonts w:asciiTheme="minorBidi" w:hAnsiTheme="minorBidi" w:cstheme="minorBidi"/>
          <w:b/>
          <w:bCs/>
          <w:sz w:val="20"/>
          <w:szCs w:val="20"/>
          <w:shd w:val="clear" w:color="auto" w:fill="FFFFFF"/>
        </w:rPr>
        <w:t>4.3</w:t>
      </w:r>
      <w:r w:rsidR="00A858E9">
        <w:rPr>
          <w:rFonts w:asciiTheme="minorBidi" w:hAnsiTheme="minorBidi" w:cstheme="minorBidi"/>
          <w:b/>
          <w:bCs/>
          <w:sz w:val="20"/>
          <w:szCs w:val="20"/>
          <w:shd w:val="clear" w:color="auto" w:fill="FFFFFF"/>
        </w:rPr>
        <w:t xml:space="preserve"> </w:t>
      </w:r>
      <w:r w:rsidRPr="0012118C">
        <w:rPr>
          <w:rFonts w:asciiTheme="minorBidi" w:hAnsiTheme="minorBidi" w:cstheme="minorBidi"/>
          <w:b/>
          <w:bCs/>
          <w:sz w:val="20"/>
          <w:szCs w:val="20"/>
          <w:shd w:val="clear" w:color="auto" w:fill="FFFFFF"/>
        </w:rPr>
        <w:t xml:space="preserve"> Sanctions</w:t>
      </w:r>
      <w:proofErr w:type="gramEnd"/>
      <w:r w:rsidRPr="0012118C">
        <w:rPr>
          <w:rFonts w:asciiTheme="minorBidi" w:hAnsiTheme="minorBidi" w:cstheme="minorBidi"/>
          <w:b/>
          <w:bCs/>
          <w:sz w:val="20"/>
          <w:szCs w:val="20"/>
          <w:shd w:val="clear" w:color="auto" w:fill="FFFFFF"/>
        </w:rPr>
        <w:t xml:space="preserve"> Resilience &amp; Alternative Economic Alliances (2017–2023)</w:t>
      </w:r>
    </w:p>
    <w:p w14:paraId="5BE4B61F" w14:textId="1C87BC2A" w:rsidR="0002680D" w:rsidRPr="0002680D" w:rsidRDefault="0002680D" w:rsidP="00EB3C92">
      <w:pPr>
        <w:pStyle w:val="NormalWeb"/>
        <w:spacing w:afterLines="20" w:after="48" w:afterAutospacing="0" w:line="276" w:lineRule="auto"/>
        <w:jc w:val="both"/>
        <w:rPr>
          <w:rFonts w:asciiTheme="minorBidi" w:hAnsiTheme="minorBidi" w:cstheme="minorBidi"/>
          <w:sz w:val="20"/>
          <w:szCs w:val="20"/>
          <w:shd w:val="clear" w:color="auto" w:fill="FFFFFF"/>
        </w:rPr>
      </w:pPr>
      <w:r w:rsidRPr="0002680D">
        <w:rPr>
          <w:rFonts w:asciiTheme="minorBidi" w:hAnsiTheme="minorBidi" w:cstheme="minorBidi"/>
          <w:sz w:val="20"/>
          <w:szCs w:val="20"/>
          <w:shd w:val="clear" w:color="auto" w:fill="FFFFFF"/>
        </w:rPr>
        <w:t xml:space="preserve">Strategic Pivoting and </w:t>
      </w:r>
      <w:r w:rsidR="00ED4C6C">
        <w:rPr>
          <w:rFonts w:asciiTheme="minorBidi" w:hAnsiTheme="minorBidi" w:cstheme="minorBidi"/>
          <w:sz w:val="20"/>
          <w:szCs w:val="20"/>
          <w:shd w:val="clear" w:color="auto" w:fill="FFFFFF"/>
        </w:rPr>
        <w:t>Government</w:t>
      </w:r>
      <w:r w:rsidRPr="0002680D">
        <w:rPr>
          <w:rFonts w:asciiTheme="minorBidi" w:hAnsiTheme="minorBidi" w:cstheme="minorBidi"/>
          <w:sz w:val="20"/>
          <w:szCs w:val="20"/>
          <w:shd w:val="clear" w:color="auto" w:fill="FFFFFF"/>
        </w:rPr>
        <w:t xml:space="preserve"> Resilience Amidst Renewed Adversity</w:t>
      </w:r>
      <w:r w:rsidR="00EB3C92">
        <w:rPr>
          <w:rFonts w:asciiTheme="minorBidi" w:hAnsiTheme="minorBidi" w:cstheme="minorBidi"/>
          <w:sz w:val="20"/>
          <w:szCs w:val="20"/>
          <w:shd w:val="clear" w:color="auto" w:fill="FFFFFF"/>
        </w:rPr>
        <w:t xml:space="preserve">, </w:t>
      </w:r>
      <w:r w:rsidR="001F0E36">
        <w:rPr>
          <w:rFonts w:asciiTheme="minorBidi" w:hAnsiTheme="minorBidi" w:cstheme="minorBidi"/>
          <w:sz w:val="20"/>
          <w:szCs w:val="20"/>
          <w:shd w:val="clear" w:color="auto" w:fill="FFFFFF"/>
        </w:rPr>
        <w:t>Confronting</w:t>
      </w:r>
      <w:r w:rsidRPr="0002680D">
        <w:rPr>
          <w:rFonts w:asciiTheme="minorBidi" w:hAnsiTheme="minorBidi" w:cstheme="minorBidi"/>
          <w:sz w:val="20"/>
          <w:szCs w:val="20"/>
          <w:shd w:val="clear" w:color="auto" w:fill="FFFFFF"/>
        </w:rPr>
        <w:t xml:space="preserve"> the severe economic repercussions of renewed international sanctions following the 2017 </w:t>
      </w:r>
      <w:r w:rsidRPr="0002680D">
        <w:rPr>
          <w:rFonts w:asciiTheme="minorBidi" w:hAnsiTheme="minorBidi" w:cstheme="minorBidi"/>
          <w:sz w:val="20"/>
          <w:szCs w:val="20"/>
          <w:shd w:val="clear" w:color="auto" w:fill="FFFFFF"/>
        </w:rPr>
        <w:lastRenderedPageBreak/>
        <w:t xml:space="preserve">Rakhine crisis and the profound isolation after the 2021 </w:t>
      </w:r>
      <w:r w:rsidR="00EC2A31" w:rsidRPr="0002680D">
        <w:rPr>
          <w:rFonts w:asciiTheme="minorBidi" w:hAnsiTheme="minorBidi" w:cstheme="minorBidi"/>
          <w:sz w:val="20"/>
          <w:szCs w:val="20"/>
          <w:shd w:val="clear" w:color="auto" w:fill="FFFFFF"/>
        </w:rPr>
        <w:t>transactions</w:t>
      </w:r>
      <w:r w:rsidRPr="0002680D">
        <w:rPr>
          <w:rFonts w:asciiTheme="minorBidi" w:hAnsiTheme="minorBidi" w:cstheme="minorBidi"/>
          <w:sz w:val="20"/>
          <w:szCs w:val="20"/>
          <w:shd w:val="clear" w:color="auto" w:fill="FFFFFF"/>
        </w:rPr>
        <w:t xml:space="preserve">, Myanmar's economic diplomacy exhibited remarkable adaptability and resilience, effectively preventing economic collapse through a strategic and pragmatic pivot towards alternative alliances and expedient economic </w:t>
      </w:r>
      <w:r w:rsidR="001F0E36" w:rsidRPr="0002680D">
        <w:rPr>
          <w:rFonts w:asciiTheme="minorBidi" w:hAnsiTheme="minorBidi" w:cstheme="minorBidi"/>
          <w:sz w:val="20"/>
          <w:szCs w:val="20"/>
          <w:shd w:val="clear" w:color="auto" w:fill="FFFFFF"/>
        </w:rPr>
        <w:t>channels</w:t>
      </w:r>
      <w:r w:rsidR="001F0E36">
        <w:rPr>
          <w:rFonts w:asciiTheme="minorBidi" w:hAnsiTheme="minorBidi" w:cstheme="minorBidi"/>
          <w:sz w:val="20"/>
          <w:szCs w:val="20"/>
          <w:shd w:val="clear" w:color="auto" w:fill="FFFFFF"/>
        </w:rPr>
        <w:t xml:space="preserve"> (Senior Diplomat,2025).</w:t>
      </w:r>
      <w:r w:rsidRPr="0002680D">
        <w:rPr>
          <w:rFonts w:asciiTheme="minorBidi" w:hAnsiTheme="minorBidi" w:cstheme="minorBidi"/>
          <w:sz w:val="20"/>
          <w:szCs w:val="20"/>
          <w:shd w:val="clear" w:color="auto" w:fill="FFFFFF"/>
        </w:rPr>
        <w:t xml:space="preserve"> A cornerstone of this resilience was the continued security of critical energy revenue streams. Key gas exports, particularly from the Yadana and Shwe fields to Thailand and China, remained largely uninterrupted, generating an indispensable $1–2 billion annually in vital hard currency. Crucially, China's sustained political and economic backing ensured that Western sanctions targeting the Myanmar Oil and Gas Enterprise (MOGE) had demonstrably limited operational impact, safeguarding this essential fiscal lifeline. Simultaneously, Myanmar successfully diversified its core trade and supply partnerships. Strategic alignment with Russia emerged as pivotal, securing critical imports in military equipment and fuel, thereby circumventing Western embargoes. Concurrently, maintaining robust border trade with India and Thailand, particularly in agricultural products and commodities, provided crucial economic continuity at the regional level.</w:t>
      </w:r>
    </w:p>
    <w:p w14:paraId="1007E03B" w14:textId="02F02EA0" w:rsidR="0002680D" w:rsidRDefault="0002680D" w:rsidP="00D5495A">
      <w:pPr>
        <w:pStyle w:val="NormalWeb"/>
        <w:spacing w:before="20" w:afterLines="20" w:after="48" w:line="276" w:lineRule="auto"/>
        <w:jc w:val="both"/>
        <w:rPr>
          <w:rFonts w:asciiTheme="minorBidi" w:hAnsiTheme="minorBidi" w:cstheme="minorBidi"/>
          <w:sz w:val="20"/>
          <w:szCs w:val="20"/>
          <w:shd w:val="clear" w:color="auto" w:fill="FFFFFF"/>
        </w:rPr>
      </w:pPr>
      <w:r w:rsidRPr="0002680D">
        <w:rPr>
          <w:rFonts w:asciiTheme="minorBidi" w:hAnsiTheme="minorBidi" w:cstheme="minorBidi"/>
          <w:sz w:val="20"/>
          <w:szCs w:val="20"/>
          <w:shd w:val="clear" w:color="auto" w:fill="FFFFFF"/>
        </w:rPr>
        <w:t xml:space="preserve">Furthermore, engagement within ASEAN, exemplified by Thailand’s "quiet diplomacy," proved instrumental in mitigating complete regional isolation and preserving vital, albeit diminished, economic linkages. Complementing these formal strategies was a demonstrable capacity for parallel economic adaptation. The activation and scaling of </w:t>
      </w:r>
      <w:r w:rsidR="00B40CB1">
        <w:rPr>
          <w:rFonts w:asciiTheme="minorBidi" w:hAnsiTheme="minorBidi" w:cstheme="minorBidi"/>
          <w:sz w:val="20"/>
          <w:szCs w:val="20"/>
          <w:shd w:val="clear" w:color="auto" w:fill="FFFFFF"/>
        </w:rPr>
        <w:t>others</w:t>
      </w:r>
      <w:r w:rsidRPr="0002680D">
        <w:rPr>
          <w:rFonts w:asciiTheme="minorBidi" w:hAnsiTheme="minorBidi" w:cstheme="minorBidi"/>
          <w:sz w:val="20"/>
          <w:szCs w:val="20"/>
          <w:shd w:val="clear" w:color="auto" w:fill="FFFFFF"/>
        </w:rPr>
        <w:t xml:space="preserve"> trade networks, particularly for high-value resources like jade and timber flowing into China, partially compensated for lost formal export revenues. Additionally, the expedient adoption of alternative financial mechanisms, including cryptocurrencies and gold transactions, showcased a pragmatic, albeit controversial, capacity to bypass stringent financial sanctions and maintain essential liquidity. Collectively, these multifaceted strategies</w:t>
      </w:r>
      <w:r w:rsidR="007611FE">
        <w:rPr>
          <w:rFonts w:asciiTheme="minorBidi" w:hAnsiTheme="minorBidi" w:cstheme="minorBidi"/>
          <w:sz w:val="20"/>
          <w:szCs w:val="20"/>
          <w:shd w:val="clear" w:color="auto" w:fill="FFFFFF"/>
        </w:rPr>
        <w:t>,</w:t>
      </w:r>
      <w:r w:rsidRPr="0002680D">
        <w:rPr>
          <w:rFonts w:asciiTheme="minorBidi" w:hAnsiTheme="minorBidi" w:cstheme="minorBidi"/>
          <w:sz w:val="20"/>
          <w:szCs w:val="20"/>
          <w:shd w:val="clear" w:color="auto" w:fill="FFFFFF"/>
        </w:rPr>
        <w:t xml:space="preserve"> securing core revenues, forging critical alternative alliances, and leveraging parallel economic channels</w:t>
      </w:r>
      <w:r w:rsidR="007611FE">
        <w:rPr>
          <w:rFonts w:asciiTheme="minorBidi" w:hAnsiTheme="minorBidi" w:cstheme="minorBidi"/>
          <w:sz w:val="20"/>
          <w:szCs w:val="20"/>
          <w:shd w:val="clear" w:color="auto" w:fill="FFFFFF"/>
        </w:rPr>
        <w:t>,</w:t>
      </w:r>
      <w:r w:rsidRPr="0002680D">
        <w:rPr>
          <w:rFonts w:asciiTheme="minorBidi" w:hAnsiTheme="minorBidi" w:cstheme="minorBidi"/>
          <w:sz w:val="20"/>
          <w:szCs w:val="20"/>
          <w:shd w:val="clear" w:color="auto" w:fill="FFFFFF"/>
        </w:rPr>
        <w:t xml:space="preserve"> constituted a sophisticated and largely effective resilience architecture. This allowed the state to navigate an exceptionally hostile international environment, mitigate the most severe potential impacts of comprehensive sanctions, and sustain essential economic functions and </w:t>
      </w:r>
      <w:r w:rsidR="00EC2A31">
        <w:rPr>
          <w:rFonts w:asciiTheme="minorBidi" w:hAnsiTheme="minorBidi" w:cstheme="minorBidi"/>
          <w:sz w:val="20"/>
          <w:szCs w:val="20"/>
          <w:shd w:val="clear" w:color="auto" w:fill="FFFFFF"/>
        </w:rPr>
        <w:t>government</w:t>
      </w:r>
      <w:r w:rsidRPr="0002680D">
        <w:rPr>
          <w:rFonts w:asciiTheme="minorBidi" w:hAnsiTheme="minorBidi" w:cstheme="minorBidi"/>
          <w:sz w:val="20"/>
          <w:szCs w:val="20"/>
          <w:shd w:val="clear" w:color="auto" w:fill="FFFFFF"/>
        </w:rPr>
        <w:t xml:space="preserve"> stability throughout this turbulent period, underscoring the strategic depth and adaptability of its economic statecraft under </w:t>
      </w:r>
      <w:proofErr w:type="gramStart"/>
      <w:r w:rsidRPr="0002680D">
        <w:rPr>
          <w:rFonts w:asciiTheme="minorBidi" w:hAnsiTheme="minorBidi" w:cstheme="minorBidi"/>
          <w:sz w:val="20"/>
          <w:szCs w:val="20"/>
          <w:shd w:val="clear" w:color="auto" w:fill="FFFFFF"/>
        </w:rPr>
        <w:t>duress.</w:t>
      </w:r>
      <w:r w:rsidR="001F0E36">
        <w:rPr>
          <w:rFonts w:asciiTheme="minorBidi" w:hAnsiTheme="minorBidi" w:cstheme="minorBidi"/>
          <w:sz w:val="20"/>
          <w:szCs w:val="20"/>
          <w:shd w:val="clear" w:color="auto" w:fill="FFFFFF"/>
        </w:rPr>
        <w:t>(</w:t>
      </w:r>
      <w:proofErr w:type="gramEnd"/>
      <w:r w:rsidR="001F0E36">
        <w:rPr>
          <w:rFonts w:asciiTheme="minorBidi" w:hAnsiTheme="minorBidi" w:cstheme="minorBidi"/>
          <w:sz w:val="20"/>
          <w:szCs w:val="20"/>
          <w:shd w:val="clear" w:color="auto" w:fill="FFFFFF"/>
        </w:rPr>
        <w:t>Mid-Level Official, 2025)</w:t>
      </w:r>
    </w:p>
    <w:p w14:paraId="6E461F8C" w14:textId="427C3B03" w:rsidR="00DD1788" w:rsidRPr="00250752" w:rsidRDefault="00DD1788" w:rsidP="00D5495A">
      <w:pPr>
        <w:pStyle w:val="NormalWeb"/>
        <w:spacing w:before="20" w:afterLines="20" w:after="48" w:line="276" w:lineRule="auto"/>
        <w:jc w:val="both"/>
        <w:rPr>
          <w:rFonts w:asciiTheme="minorBidi" w:hAnsiTheme="minorBidi" w:cstheme="minorBidi"/>
          <w:b/>
          <w:bCs/>
          <w:sz w:val="20"/>
          <w:szCs w:val="20"/>
          <w:shd w:val="clear" w:color="auto" w:fill="FFFFFF"/>
        </w:rPr>
      </w:pPr>
      <w:r w:rsidRPr="00250752">
        <w:rPr>
          <w:rFonts w:asciiTheme="minorBidi" w:hAnsiTheme="minorBidi" w:cstheme="minorBidi"/>
          <w:b/>
          <w:bCs/>
          <w:sz w:val="20"/>
          <w:szCs w:val="20"/>
          <w:shd w:val="clear" w:color="auto" w:fill="FFFFFF"/>
        </w:rPr>
        <w:t>4.4 Geopolitical Hedging as a Survival Tool</w:t>
      </w:r>
    </w:p>
    <w:p w14:paraId="48DE5BFF" w14:textId="62A56847" w:rsidR="00D5495A" w:rsidRDefault="00DD1788" w:rsidP="00D5495A">
      <w:pPr>
        <w:pStyle w:val="NormalWeb"/>
        <w:spacing w:before="20" w:afterLines="20" w:after="48" w:line="276" w:lineRule="auto"/>
        <w:jc w:val="both"/>
        <w:rPr>
          <w:rFonts w:asciiTheme="minorBidi" w:hAnsiTheme="minorBidi" w:cstheme="minorBidi"/>
          <w:sz w:val="20"/>
          <w:szCs w:val="20"/>
          <w:shd w:val="clear" w:color="auto" w:fill="FFFFFF"/>
        </w:rPr>
      </w:pPr>
      <w:r w:rsidRPr="00DD1788">
        <w:rPr>
          <w:rFonts w:asciiTheme="minorBidi" w:hAnsiTheme="minorBidi" w:cstheme="minorBidi"/>
          <w:sz w:val="20"/>
          <w:szCs w:val="20"/>
          <w:shd w:val="clear" w:color="auto" w:fill="FFFFFF"/>
        </w:rPr>
        <w:t>Sophisticated Hedging</w:t>
      </w:r>
      <w:r w:rsidR="001F0E36">
        <w:rPr>
          <w:rFonts w:asciiTheme="minorBidi" w:hAnsiTheme="minorBidi" w:cstheme="minorBidi"/>
          <w:sz w:val="20"/>
          <w:szCs w:val="20"/>
          <w:shd w:val="clear" w:color="auto" w:fill="FFFFFF"/>
        </w:rPr>
        <w:t xml:space="preserve">, </w:t>
      </w:r>
      <w:r w:rsidRPr="00DD1788">
        <w:rPr>
          <w:rFonts w:asciiTheme="minorBidi" w:hAnsiTheme="minorBidi" w:cstheme="minorBidi"/>
          <w:sz w:val="20"/>
          <w:szCs w:val="20"/>
          <w:shd w:val="clear" w:color="auto" w:fill="FFFFFF"/>
        </w:rPr>
        <w:t xml:space="preserve">Strategic Maneuvering for </w:t>
      </w:r>
      <w:r w:rsidR="00ED4C6C">
        <w:rPr>
          <w:rFonts w:asciiTheme="minorBidi" w:hAnsiTheme="minorBidi" w:cstheme="minorBidi"/>
          <w:sz w:val="20"/>
          <w:szCs w:val="20"/>
          <w:shd w:val="clear" w:color="auto" w:fill="FFFFFF"/>
        </w:rPr>
        <w:t>Government</w:t>
      </w:r>
      <w:r w:rsidRPr="00DD1788">
        <w:rPr>
          <w:rFonts w:asciiTheme="minorBidi" w:hAnsiTheme="minorBidi" w:cstheme="minorBidi"/>
          <w:sz w:val="20"/>
          <w:szCs w:val="20"/>
          <w:shd w:val="clear" w:color="auto" w:fill="FFFFFF"/>
        </w:rPr>
        <w:t xml:space="preserve"> Security and Economic Continuity</w:t>
      </w:r>
      <w:r w:rsidR="001F0E36">
        <w:rPr>
          <w:rFonts w:asciiTheme="minorBidi" w:hAnsiTheme="minorBidi" w:cstheme="minorBidi"/>
          <w:sz w:val="20"/>
          <w:szCs w:val="20"/>
          <w:shd w:val="clear" w:color="auto" w:fill="FFFFFF"/>
        </w:rPr>
        <w:t xml:space="preserve">, </w:t>
      </w:r>
      <w:r w:rsidRPr="00DD1788">
        <w:rPr>
          <w:rFonts w:asciiTheme="minorBidi" w:hAnsiTheme="minorBidi" w:cstheme="minorBidi"/>
          <w:sz w:val="20"/>
          <w:szCs w:val="20"/>
          <w:shd w:val="clear" w:color="auto" w:fill="FFFFFF"/>
        </w:rPr>
        <w:t xml:space="preserve">Myanmar's economic diplomacy between 2011 and 2023 was fundamentally underpinned by a sophisticated and deliberate strategy of geopolitical hedging, which proved instrumental in preserving national autonomy, securing vital economic resources, and mitigating existential external threats. This approach manifested in two distinct, yet strategically coherent, phases. During the reformist period (2011-2020), Myanmar adeptly navigated the complex rivalry between major powers. While actively engaging with and accepting substantial Chinese investment, particularly under the Belt and Road Initiative (BRI), to fuel development, the state simultaneously and assiduously courted Japan, Singapore, and Western </w:t>
      </w:r>
      <w:proofErr w:type="gramStart"/>
      <w:r w:rsidRPr="00DD1788">
        <w:rPr>
          <w:rFonts w:asciiTheme="minorBidi" w:hAnsiTheme="minorBidi" w:cstheme="minorBidi"/>
          <w:sz w:val="20"/>
          <w:szCs w:val="20"/>
          <w:shd w:val="clear" w:color="auto" w:fill="FFFFFF"/>
        </w:rPr>
        <w:t>investors</w:t>
      </w:r>
      <w:r w:rsidR="00B40CB1">
        <w:rPr>
          <w:rFonts w:asciiTheme="minorBidi" w:hAnsiTheme="minorBidi" w:cstheme="minorBidi"/>
          <w:sz w:val="20"/>
          <w:szCs w:val="20"/>
          <w:shd w:val="clear" w:color="auto" w:fill="FFFFFF"/>
        </w:rPr>
        <w:t>(</w:t>
      </w:r>
      <w:proofErr w:type="gramEnd"/>
      <w:r w:rsidR="00B40CB1">
        <w:rPr>
          <w:rFonts w:asciiTheme="minorBidi" w:hAnsiTheme="minorBidi" w:cstheme="minorBidi"/>
          <w:sz w:val="20"/>
          <w:szCs w:val="20"/>
          <w:shd w:val="clear" w:color="auto" w:fill="FFFFFF"/>
        </w:rPr>
        <w:t>CISIS,2020)</w:t>
      </w:r>
      <w:r w:rsidRPr="00DD1788">
        <w:rPr>
          <w:rFonts w:asciiTheme="minorBidi" w:hAnsiTheme="minorBidi" w:cstheme="minorBidi"/>
          <w:sz w:val="20"/>
          <w:szCs w:val="20"/>
          <w:shd w:val="clear" w:color="auto" w:fill="FFFFFF"/>
        </w:rPr>
        <w:t xml:space="preserve">. This conscious diversification strategy effectively prevented over-dependence on any single patron, maximizing bargaining leverage and preserving crucial political and economic maneuvering space. The high-profile suspension of the China-backed Myitsone Dam project in 2011 stands as a potent demonstration of Myanmar's </w:t>
      </w:r>
      <w:r w:rsidRPr="00DD1788">
        <w:rPr>
          <w:rFonts w:asciiTheme="minorBidi" w:hAnsiTheme="minorBidi" w:cstheme="minorBidi"/>
          <w:sz w:val="20"/>
          <w:szCs w:val="20"/>
          <w:shd w:val="clear" w:color="auto" w:fill="FFFFFF"/>
        </w:rPr>
        <w:lastRenderedPageBreak/>
        <w:t xml:space="preserve">capacity to assert its national interests and resist significant pressure from Beijing when deemed strategically </w:t>
      </w:r>
      <w:proofErr w:type="gramStart"/>
      <w:r w:rsidRPr="00DD1788">
        <w:rPr>
          <w:rFonts w:asciiTheme="minorBidi" w:hAnsiTheme="minorBidi" w:cstheme="minorBidi"/>
          <w:sz w:val="20"/>
          <w:szCs w:val="20"/>
          <w:shd w:val="clear" w:color="auto" w:fill="FFFFFF"/>
        </w:rPr>
        <w:t>necessary</w:t>
      </w:r>
      <w:r w:rsidR="001F0E36">
        <w:rPr>
          <w:rFonts w:asciiTheme="minorBidi" w:hAnsiTheme="minorBidi" w:cstheme="minorBidi"/>
          <w:sz w:val="20"/>
          <w:szCs w:val="20"/>
          <w:shd w:val="clear" w:color="auto" w:fill="FFFFFF"/>
        </w:rPr>
        <w:t>(</w:t>
      </w:r>
      <w:proofErr w:type="gramEnd"/>
      <w:r w:rsidR="001F0E36">
        <w:rPr>
          <w:rFonts w:asciiTheme="minorBidi" w:hAnsiTheme="minorBidi" w:cstheme="minorBidi"/>
          <w:sz w:val="20"/>
          <w:szCs w:val="20"/>
          <w:shd w:val="clear" w:color="auto" w:fill="FFFFFF"/>
        </w:rPr>
        <w:t>Policy Maker, 2025)</w:t>
      </w:r>
      <w:r w:rsidRPr="00DD1788">
        <w:rPr>
          <w:rFonts w:asciiTheme="minorBidi" w:hAnsiTheme="minorBidi" w:cstheme="minorBidi"/>
          <w:sz w:val="20"/>
          <w:szCs w:val="20"/>
          <w:shd w:val="clear" w:color="auto" w:fill="FFFFFF"/>
        </w:rPr>
        <w:t xml:space="preserve">. </w:t>
      </w:r>
    </w:p>
    <w:p w14:paraId="1B407F4D" w14:textId="01A87421" w:rsidR="00DD1788" w:rsidRDefault="00DD1788" w:rsidP="00D5495A">
      <w:pPr>
        <w:pStyle w:val="NormalWeb"/>
        <w:spacing w:before="20" w:afterLines="20" w:after="48" w:line="276" w:lineRule="auto"/>
        <w:jc w:val="both"/>
        <w:rPr>
          <w:rFonts w:asciiTheme="minorBidi" w:hAnsiTheme="minorBidi" w:cstheme="minorBidi"/>
          <w:sz w:val="20"/>
          <w:szCs w:val="20"/>
          <w:shd w:val="clear" w:color="auto" w:fill="FFFFFF"/>
        </w:rPr>
      </w:pPr>
      <w:r w:rsidRPr="00DD1788">
        <w:rPr>
          <w:rFonts w:asciiTheme="minorBidi" w:hAnsiTheme="minorBidi" w:cstheme="minorBidi"/>
          <w:sz w:val="20"/>
          <w:szCs w:val="20"/>
          <w:shd w:val="clear" w:color="auto" w:fill="FFFFFF"/>
        </w:rPr>
        <w:t xml:space="preserve">Following the political transition in 2021, facing profound international isolation and comprehensive sanctions, Myanmar's hedging strategy evolved into a more overtly survivalist mode, characterized by pragmatic political alignment. The </w:t>
      </w:r>
      <w:r w:rsidR="00EC2A31">
        <w:rPr>
          <w:rFonts w:asciiTheme="minorBidi" w:hAnsiTheme="minorBidi" w:cstheme="minorBidi"/>
          <w:sz w:val="20"/>
          <w:szCs w:val="20"/>
          <w:shd w:val="clear" w:color="auto" w:fill="FFFFFF"/>
        </w:rPr>
        <w:t>government</w:t>
      </w:r>
      <w:r w:rsidRPr="00DD1788">
        <w:rPr>
          <w:rFonts w:asciiTheme="minorBidi" w:hAnsiTheme="minorBidi" w:cstheme="minorBidi"/>
          <w:sz w:val="20"/>
          <w:szCs w:val="20"/>
          <w:shd w:val="clear" w:color="auto" w:fill="FFFFFF"/>
        </w:rPr>
        <w:t xml:space="preserve"> </w:t>
      </w:r>
      <w:r w:rsidR="00EC2A31">
        <w:rPr>
          <w:rFonts w:asciiTheme="minorBidi" w:hAnsiTheme="minorBidi" w:cstheme="minorBidi"/>
          <w:sz w:val="20"/>
          <w:szCs w:val="20"/>
          <w:shd w:val="clear" w:color="auto" w:fill="FFFFFF"/>
        </w:rPr>
        <w:t>has decisively deepened strategic and economic ties with powers exhibiting ambivalence or opposition to Western sanctions, including China, Russia, and pragmatic ASEAN members such as</w:t>
      </w:r>
      <w:r w:rsidRPr="00DD1788">
        <w:rPr>
          <w:rFonts w:asciiTheme="minorBidi" w:hAnsiTheme="minorBidi" w:cstheme="minorBidi"/>
          <w:sz w:val="20"/>
          <w:szCs w:val="20"/>
          <w:shd w:val="clear" w:color="auto" w:fill="FFFFFF"/>
        </w:rPr>
        <w:t xml:space="preserve"> Thailand and Cambodia. This realignment ensured the uninterrupted flow of essential economic lifelines. Crucially, Myanmar secured robust Russian support</w:t>
      </w:r>
      <w:r w:rsidR="007611FE">
        <w:rPr>
          <w:rFonts w:asciiTheme="minorBidi" w:hAnsiTheme="minorBidi" w:cstheme="minorBidi"/>
          <w:sz w:val="20"/>
          <w:szCs w:val="20"/>
          <w:shd w:val="clear" w:color="auto" w:fill="FFFFFF"/>
        </w:rPr>
        <w:t xml:space="preserve">, </w:t>
      </w:r>
      <w:r w:rsidRPr="00DD1788">
        <w:rPr>
          <w:rFonts w:asciiTheme="minorBidi" w:hAnsiTheme="minorBidi" w:cstheme="minorBidi"/>
          <w:sz w:val="20"/>
          <w:szCs w:val="20"/>
          <w:shd w:val="clear" w:color="auto" w:fill="FFFFFF"/>
        </w:rPr>
        <w:t xml:space="preserve">encompassing critical </w:t>
      </w:r>
      <w:r w:rsidR="0012118C">
        <w:rPr>
          <w:rFonts w:asciiTheme="minorBidi" w:hAnsiTheme="minorBidi" w:cstheme="minorBidi"/>
          <w:sz w:val="20"/>
          <w:szCs w:val="20"/>
          <w:shd w:val="clear" w:color="auto" w:fill="FFFFFF"/>
        </w:rPr>
        <w:t>good</w:t>
      </w:r>
      <w:r w:rsidRPr="00DD1788">
        <w:rPr>
          <w:rFonts w:asciiTheme="minorBidi" w:hAnsiTheme="minorBidi" w:cstheme="minorBidi"/>
          <w:sz w:val="20"/>
          <w:szCs w:val="20"/>
          <w:shd w:val="clear" w:color="auto" w:fill="FFFFFF"/>
        </w:rPr>
        <w:t>s supplies, fuel imports, and invaluable diplomatic cover at the United Nations</w:t>
      </w:r>
      <w:r w:rsidR="007611FE">
        <w:rPr>
          <w:rFonts w:asciiTheme="minorBidi" w:hAnsiTheme="minorBidi" w:cstheme="minorBidi"/>
          <w:sz w:val="20"/>
          <w:szCs w:val="20"/>
          <w:shd w:val="clear" w:color="auto" w:fill="FFFFFF"/>
        </w:rPr>
        <w:t>,</w:t>
      </w:r>
      <w:r w:rsidRPr="00DD1788">
        <w:rPr>
          <w:rFonts w:asciiTheme="minorBidi" w:hAnsiTheme="minorBidi" w:cstheme="minorBidi"/>
          <w:sz w:val="20"/>
          <w:szCs w:val="20"/>
          <w:shd w:val="clear" w:color="auto" w:fill="FFFFFF"/>
        </w:rPr>
        <w:t xml:space="preserve"> through the strategic offering of resource access, particularly in </w:t>
      </w:r>
      <w:r w:rsidR="007611FE">
        <w:rPr>
          <w:rFonts w:asciiTheme="minorBidi" w:hAnsiTheme="minorBidi" w:cstheme="minorBidi"/>
          <w:sz w:val="20"/>
          <w:szCs w:val="20"/>
          <w:shd w:val="clear" w:color="auto" w:fill="FFFFFF"/>
        </w:rPr>
        <w:t xml:space="preserve">the </w:t>
      </w:r>
      <w:r w:rsidRPr="00DD1788">
        <w:rPr>
          <w:rFonts w:asciiTheme="minorBidi" w:hAnsiTheme="minorBidi" w:cstheme="minorBidi"/>
          <w:sz w:val="20"/>
          <w:szCs w:val="20"/>
          <w:shd w:val="clear" w:color="auto" w:fill="FFFFFF"/>
        </w:rPr>
        <w:t xml:space="preserve">mining and energy sectors. This transactional pragmatism exemplifies the </w:t>
      </w:r>
      <w:r w:rsidR="00ED4C6C">
        <w:rPr>
          <w:rFonts w:asciiTheme="minorBidi" w:hAnsiTheme="minorBidi" w:cstheme="minorBidi"/>
          <w:sz w:val="20"/>
          <w:szCs w:val="20"/>
          <w:shd w:val="clear" w:color="auto" w:fill="FFFFFF"/>
        </w:rPr>
        <w:t>government</w:t>
      </w:r>
      <w:r w:rsidRPr="00DD1788">
        <w:rPr>
          <w:rFonts w:asciiTheme="minorBidi" w:hAnsiTheme="minorBidi" w:cstheme="minorBidi"/>
          <w:sz w:val="20"/>
          <w:szCs w:val="20"/>
          <w:shd w:val="clear" w:color="auto" w:fill="FFFFFF"/>
        </w:rPr>
        <w:t xml:space="preserve">'s ability to convert geopolitical assets into tangible security and economic benefits under duress. Throughout both phases, Myanmar demonstrated a masterful capacity to exploit great power competition and regional dynamics, transforming its position as an object of rivalry into a source of strategic leverage. This sophisticated, adaptive hedging strategy was not merely reactive but constituted a proactive and highly effective cornerstone of the state's broader resilience architecture, enabling it to navigate extreme geopolitical turbulence, secure indispensable external backing, and maintain core </w:t>
      </w:r>
      <w:r w:rsidR="00ED4C6C">
        <w:rPr>
          <w:rFonts w:asciiTheme="minorBidi" w:hAnsiTheme="minorBidi" w:cstheme="minorBidi"/>
          <w:sz w:val="20"/>
          <w:szCs w:val="20"/>
          <w:shd w:val="clear" w:color="auto" w:fill="FFFFFF"/>
        </w:rPr>
        <w:t>government</w:t>
      </w:r>
      <w:r w:rsidRPr="00DD1788">
        <w:rPr>
          <w:rFonts w:asciiTheme="minorBidi" w:hAnsiTheme="minorBidi" w:cstheme="minorBidi"/>
          <w:sz w:val="20"/>
          <w:szCs w:val="20"/>
          <w:shd w:val="clear" w:color="auto" w:fill="FFFFFF"/>
        </w:rPr>
        <w:t xml:space="preserve"> functionality against overwhelming international pressur</w:t>
      </w:r>
      <w:r>
        <w:rPr>
          <w:rFonts w:asciiTheme="minorBidi" w:hAnsiTheme="minorBidi" w:cstheme="minorBidi"/>
          <w:sz w:val="20"/>
          <w:szCs w:val="20"/>
          <w:shd w:val="clear" w:color="auto" w:fill="FFFFFF"/>
        </w:rPr>
        <w:t>e.</w:t>
      </w:r>
    </w:p>
    <w:p w14:paraId="0728E577" w14:textId="77777777" w:rsidR="000114DF" w:rsidRDefault="000114DF" w:rsidP="00D13F8B">
      <w:pPr>
        <w:pStyle w:val="ConcHead"/>
        <w:spacing w:after="0" w:line="276" w:lineRule="auto"/>
        <w:jc w:val="both"/>
        <w:rPr>
          <w:rFonts w:asciiTheme="minorBidi" w:hAnsiTheme="minorBidi" w:cstheme="minorBidi"/>
          <w:bCs/>
          <w:sz w:val="20"/>
        </w:rPr>
      </w:pPr>
    </w:p>
    <w:p w14:paraId="21225D90" w14:textId="71E206B9" w:rsidR="00B01FCD" w:rsidRPr="001209E0" w:rsidRDefault="006C4F25" w:rsidP="00D13F8B">
      <w:pPr>
        <w:pStyle w:val="ConcHead"/>
        <w:spacing w:after="0" w:line="276" w:lineRule="auto"/>
        <w:jc w:val="both"/>
        <w:rPr>
          <w:rFonts w:asciiTheme="minorBidi" w:hAnsiTheme="minorBidi" w:cstheme="minorBidi"/>
          <w:bCs/>
          <w:sz w:val="20"/>
        </w:rPr>
      </w:pPr>
      <w:r w:rsidRPr="001209E0">
        <w:rPr>
          <w:rFonts w:asciiTheme="minorBidi" w:hAnsiTheme="minorBidi" w:cstheme="minorBidi"/>
          <w:bCs/>
          <w:sz w:val="20"/>
        </w:rPr>
        <w:t>5</w:t>
      </w:r>
      <w:r w:rsidR="00000F8F" w:rsidRPr="001209E0">
        <w:rPr>
          <w:rFonts w:asciiTheme="minorBidi" w:hAnsiTheme="minorBidi" w:cstheme="minorBidi"/>
          <w:bCs/>
          <w:sz w:val="20"/>
        </w:rPr>
        <w:t xml:space="preserve">. </w:t>
      </w:r>
      <w:r w:rsidR="00B01FCD" w:rsidRPr="001209E0">
        <w:rPr>
          <w:rFonts w:asciiTheme="minorBidi" w:hAnsiTheme="minorBidi" w:cstheme="minorBidi"/>
          <w:bCs/>
          <w:sz w:val="20"/>
        </w:rPr>
        <w:t>Conclusion</w:t>
      </w:r>
    </w:p>
    <w:p w14:paraId="417B7E1D" w14:textId="77777777" w:rsidR="00755DDC" w:rsidRPr="001209E0" w:rsidRDefault="00755DDC" w:rsidP="00D13F8B">
      <w:pPr>
        <w:pStyle w:val="ConcHead"/>
        <w:spacing w:after="0" w:line="276" w:lineRule="auto"/>
        <w:jc w:val="both"/>
        <w:rPr>
          <w:rFonts w:asciiTheme="minorBidi" w:hAnsiTheme="minorBidi" w:cstheme="minorBidi"/>
          <w:b w:val="0"/>
          <w:sz w:val="20"/>
        </w:rPr>
      </w:pPr>
    </w:p>
    <w:p w14:paraId="48331317" w14:textId="0E46D86D" w:rsidR="00784F43" w:rsidRPr="001209E0" w:rsidRDefault="00CE2813" w:rsidP="00D13F8B">
      <w:pPr>
        <w:spacing w:line="276" w:lineRule="auto"/>
        <w:jc w:val="both"/>
        <w:rPr>
          <w:rFonts w:asciiTheme="minorBidi" w:hAnsiTheme="minorBidi" w:cstheme="minorBidi"/>
        </w:rPr>
      </w:pPr>
      <w:r w:rsidRPr="001209E0">
        <w:rPr>
          <w:rFonts w:asciiTheme="minorBidi" w:hAnsiTheme="minorBidi" w:cstheme="minorBidi"/>
        </w:rPr>
        <w:t>Myanmar’s economic diplomacy from 2011 to 2023 highlights how a strategically positioned, resource-rich nation can navigate extreme geopolitical pressures. While Western sanctions and the 2021 transition caused severe economic damage, Myanmar’s adaptability in securing alternative partnerships, exploiting geopolitical divisions, and leveraging informal economies ensured its survival.</w:t>
      </w:r>
    </w:p>
    <w:p w14:paraId="11846DF7" w14:textId="77777777" w:rsidR="00CE2813" w:rsidRPr="001209E0" w:rsidRDefault="00CE2813" w:rsidP="00D13F8B">
      <w:pPr>
        <w:spacing w:line="276" w:lineRule="auto"/>
        <w:jc w:val="both"/>
        <w:rPr>
          <w:rFonts w:asciiTheme="minorBidi" w:hAnsiTheme="minorBidi" w:cstheme="minorBidi"/>
        </w:rPr>
      </w:pPr>
    </w:p>
    <w:p w14:paraId="36BFF79D" w14:textId="4EE98CE9" w:rsidR="00774FFB" w:rsidRPr="001209E0" w:rsidRDefault="00774FFB" w:rsidP="00D13F8B">
      <w:pPr>
        <w:spacing w:line="276" w:lineRule="auto"/>
        <w:jc w:val="both"/>
        <w:rPr>
          <w:rFonts w:asciiTheme="minorBidi" w:hAnsiTheme="minorBidi" w:cstheme="minorBidi"/>
        </w:rPr>
      </w:pPr>
      <w:r w:rsidRPr="001209E0">
        <w:rPr>
          <w:rFonts w:asciiTheme="minorBidi" w:hAnsiTheme="minorBidi" w:cstheme="minorBidi"/>
        </w:rPr>
        <w:t xml:space="preserve">These lessons emphasize the importance of strategic balancing in foreign relations. Myanmar’s early approach to economic diplomacy allowed it to engage multiple partners and attract investment, demonstrating that fragile states can leverage their position to create </w:t>
      </w:r>
      <w:r w:rsidR="004A7F8E">
        <w:rPr>
          <w:rFonts w:asciiTheme="minorBidi" w:hAnsiTheme="minorBidi" w:cstheme="minorBidi"/>
        </w:rPr>
        <w:t>growth opportunities</w:t>
      </w:r>
      <w:r w:rsidRPr="001209E0">
        <w:rPr>
          <w:rFonts w:asciiTheme="minorBidi" w:hAnsiTheme="minorBidi" w:cstheme="minorBidi"/>
        </w:rPr>
        <w:t>. By fostering diversified economic relationships, states can enhance their ability to withstand external pressures and maintain policy independence.</w:t>
      </w:r>
    </w:p>
    <w:p w14:paraId="252563C6" w14:textId="77777777" w:rsidR="009B2329" w:rsidRPr="001209E0" w:rsidRDefault="009B2329" w:rsidP="00D13F8B">
      <w:pPr>
        <w:spacing w:line="276" w:lineRule="auto"/>
        <w:jc w:val="both"/>
        <w:rPr>
          <w:rFonts w:asciiTheme="minorBidi" w:hAnsiTheme="minorBidi" w:cstheme="minorBidi"/>
        </w:rPr>
      </w:pPr>
    </w:p>
    <w:p w14:paraId="3738762A" w14:textId="77777777" w:rsidR="009B2329" w:rsidRPr="001209E0" w:rsidRDefault="009B2329" w:rsidP="00D13F8B">
      <w:pPr>
        <w:spacing w:line="276" w:lineRule="auto"/>
        <w:jc w:val="both"/>
        <w:rPr>
          <w:rFonts w:asciiTheme="minorBidi" w:hAnsiTheme="minorBidi" w:cstheme="minorBidi"/>
        </w:rPr>
      </w:pPr>
    </w:p>
    <w:p w14:paraId="02BCA169" w14:textId="77777777" w:rsidR="009B2329" w:rsidRPr="001209E0" w:rsidRDefault="009B2329" w:rsidP="00D13F8B">
      <w:pPr>
        <w:pStyle w:val="ReferHead"/>
        <w:spacing w:after="0" w:line="276" w:lineRule="auto"/>
        <w:jc w:val="both"/>
        <w:rPr>
          <w:rFonts w:ascii="Arial" w:hAnsi="Arial" w:cs="Arial"/>
        </w:rPr>
      </w:pPr>
      <w:r w:rsidRPr="001209E0">
        <w:rPr>
          <w:rFonts w:ascii="Arial" w:hAnsi="Arial" w:cs="Arial"/>
        </w:rPr>
        <w:t xml:space="preserve">DISCLAIMER (ARTIFICIAL INTELLIGENCE) Author(s) </w:t>
      </w:r>
    </w:p>
    <w:p w14:paraId="4B43AF53" w14:textId="77777777" w:rsidR="009B2329" w:rsidRPr="001209E0" w:rsidRDefault="009B2329" w:rsidP="00D13F8B">
      <w:pPr>
        <w:spacing w:line="276" w:lineRule="auto"/>
        <w:jc w:val="both"/>
        <w:rPr>
          <w:rFonts w:asciiTheme="minorBidi" w:hAnsiTheme="minorBidi" w:cstheme="minorBidi"/>
        </w:rPr>
      </w:pPr>
    </w:p>
    <w:p w14:paraId="538A6539" w14:textId="03215195" w:rsidR="009B2329" w:rsidRDefault="009B2329" w:rsidP="00D13F8B">
      <w:pPr>
        <w:spacing w:line="276" w:lineRule="auto"/>
        <w:jc w:val="both"/>
        <w:rPr>
          <w:rFonts w:asciiTheme="minorBidi" w:hAnsiTheme="minorBidi" w:cstheme="minorBidi"/>
        </w:rPr>
      </w:pPr>
      <w:r w:rsidRPr="001209E0">
        <w:rPr>
          <w:rFonts w:asciiTheme="minorBidi" w:hAnsiTheme="minorBidi" w:cstheme="minorBidi"/>
        </w:rPr>
        <w:t>Hereby declare that no generative AI technologies such as large language models (ChatGPT, Copilot, etc.) and text-to-image generators have been used during the writing or editing of this manuscript.</w:t>
      </w:r>
    </w:p>
    <w:p w14:paraId="623DA0E2" w14:textId="77777777" w:rsidR="005143B1" w:rsidRDefault="005143B1" w:rsidP="00D13F8B">
      <w:pPr>
        <w:spacing w:line="276" w:lineRule="auto"/>
        <w:jc w:val="both"/>
        <w:rPr>
          <w:rFonts w:asciiTheme="minorBidi" w:hAnsiTheme="minorBidi" w:cstheme="minorBidi"/>
        </w:rPr>
      </w:pPr>
    </w:p>
    <w:p w14:paraId="2512A81A" w14:textId="77777777" w:rsidR="00ED0542" w:rsidRPr="001209E0" w:rsidRDefault="00ED0542" w:rsidP="00D13F8B">
      <w:pPr>
        <w:pStyle w:val="ReferHead"/>
        <w:spacing w:after="0" w:line="276" w:lineRule="auto"/>
        <w:jc w:val="both"/>
        <w:rPr>
          <w:rFonts w:ascii="Arial" w:hAnsi="Arial" w:cs="Arial"/>
        </w:rPr>
      </w:pPr>
      <w:r w:rsidRPr="001209E0">
        <w:rPr>
          <w:rFonts w:ascii="Arial" w:hAnsi="Arial" w:cs="Arial"/>
        </w:rPr>
        <w:t xml:space="preserve">COMPETING INTERESTS </w:t>
      </w:r>
    </w:p>
    <w:p w14:paraId="7A99C53E" w14:textId="77777777" w:rsidR="00ED0542" w:rsidRPr="001209E0" w:rsidRDefault="00ED0542" w:rsidP="00D13F8B">
      <w:pPr>
        <w:spacing w:line="276" w:lineRule="auto"/>
        <w:jc w:val="both"/>
        <w:rPr>
          <w:rFonts w:asciiTheme="minorBidi" w:hAnsiTheme="minorBidi" w:cstheme="minorBidi"/>
        </w:rPr>
      </w:pPr>
    </w:p>
    <w:p w14:paraId="050884B8" w14:textId="6ED0C0D5" w:rsidR="00ED0542" w:rsidRPr="001209E0" w:rsidRDefault="00ED0542" w:rsidP="00D13F8B">
      <w:pPr>
        <w:spacing w:line="276" w:lineRule="auto"/>
        <w:jc w:val="both"/>
        <w:rPr>
          <w:rFonts w:asciiTheme="minorBidi" w:hAnsiTheme="minorBidi" w:cstheme="minorBidi"/>
        </w:rPr>
      </w:pPr>
      <w:r w:rsidRPr="001209E0">
        <w:rPr>
          <w:rFonts w:asciiTheme="minorBidi" w:hAnsiTheme="minorBidi" w:cstheme="minorBidi"/>
        </w:rPr>
        <w:t>The authors have declared that no competing interests exist.</w:t>
      </w:r>
    </w:p>
    <w:p w14:paraId="534E6A06" w14:textId="7E450BA3" w:rsidR="00B01FCD" w:rsidRDefault="00B01FCD" w:rsidP="00D13F8B">
      <w:pPr>
        <w:pStyle w:val="ReferHead"/>
        <w:spacing w:after="0" w:line="276" w:lineRule="auto"/>
        <w:jc w:val="both"/>
        <w:rPr>
          <w:rFonts w:ascii="Arial" w:hAnsi="Arial" w:cs="Arial"/>
        </w:rPr>
      </w:pPr>
      <w:r w:rsidRPr="001209E0">
        <w:rPr>
          <w:rFonts w:ascii="Arial" w:hAnsi="Arial" w:cs="Arial"/>
        </w:rPr>
        <w:lastRenderedPageBreak/>
        <w:t>References</w:t>
      </w:r>
    </w:p>
    <w:p w14:paraId="5EE09F88" w14:textId="77777777" w:rsidR="00465F67" w:rsidRDefault="00465F67" w:rsidP="007C2094">
      <w:pPr>
        <w:jc w:val="both"/>
        <w:rPr>
          <w:rFonts w:ascii="Arial" w:hAnsi="Arial" w:cs="Arial"/>
        </w:rPr>
      </w:pPr>
    </w:p>
    <w:p w14:paraId="1475E769" w14:textId="77777777" w:rsidR="00465F67" w:rsidRDefault="00465F67" w:rsidP="007C2094">
      <w:pPr>
        <w:jc w:val="both"/>
        <w:rPr>
          <w:rFonts w:ascii="Arial" w:hAnsi="Arial" w:cs="Arial"/>
        </w:rPr>
      </w:pPr>
    </w:p>
    <w:p w14:paraId="218D6164" w14:textId="77777777" w:rsidR="00465F67" w:rsidRPr="009A076B" w:rsidRDefault="00465F67" w:rsidP="00465F67">
      <w:pPr>
        <w:rPr>
          <w:rFonts w:asciiTheme="minorBidi" w:hAnsiTheme="minorBidi" w:cstheme="minorBidi"/>
        </w:rPr>
      </w:pPr>
      <w:r w:rsidRPr="009A076B">
        <w:rPr>
          <w:rFonts w:asciiTheme="minorBidi" w:hAnsiTheme="minorBidi" w:cstheme="minorBidi"/>
        </w:rPr>
        <w:t>Kobayashi, Y., &amp; King, J. (2022). Myanmar’s strategy in the China–Myanmar Economic Corridor: A failure in hedging? International Affairs, *10*(2), 10–12. </w:t>
      </w:r>
    </w:p>
    <w:p w14:paraId="223B757F" w14:textId="77777777" w:rsidR="00465F67" w:rsidRPr="009A076B" w:rsidRDefault="00465F67" w:rsidP="007C2094">
      <w:pPr>
        <w:jc w:val="both"/>
        <w:rPr>
          <w:rFonts w:asciiTheme="minorBidi" w:hAnsiTheme="minorBidi" w:cstheme="minorBidi"/>
        </w:rPr>
      </w:pPr>
    </w:p>
    <w:p w14:paraId="79C91874" w14:textId="77777777" w:rsidR="00930CB7" w:rsidRPr="009A076B" w:rsidRDefault="00930CB7" w:rsidP="007C2094">
      <w:pPr>
        <w:jc w:val="both"/>
        <w:rPr>
          <w:rFonts w:asciiTheme="minorBidi" w:hAnsiTheme="minorBidi" w:cstheme="minorBidi"/>
        </w:rPr>
      </w:pPr>
    </w:p>
    <w:p w14:paraId="21EB89CD" w14:textId="2BF5311C" w:rsidR="00465F67" w:rsidRPr="009A076B" w:rsidRDefault="0054379E" w:rsidP="0054379E">
      <w:pPr>
        <w:jc w:val="both"/>
        <w:rPr>
          <w:rFonts w:asciiTheme="minorBidi" w:hAnsiTheme="minorBidi" w:cstheme="minorBidi"/>
        </w:rPr>
      </w:pPr>
      <w:r w:rsidRPr="009A076B">
        <w:rPr>
          <w:rFonts w:asciiTheme="minorBidi" w:hAnsiTheme="minorBidi" w:cstheme="minorBidi"/>
        </w:rPr>
        <w:t>Passeri, A., &amp; Marston, H. (2021). The pendulum of non-alignment: Charting Myanmar’s great power diplomacy (2011–2021). Asian Journal of Political Science, 41(2), 6-12</w:t>
      </w:r>
    </w:p>
    <w:p w14:paraId="1CB94CAD" w14:textId="77777777" w:rsidR="00930CB7" w:rsidRPr="009A076B" w:rsidRDefault="00930CB7" w:rsidP="0054379E">
      <w:pPr>
        <w:jc w:val="both"/>
        <w:rPr>
          <w:rFonts w:asciiTheme="minorBidi" w:hAnsiTheme="minorBidi" w:cstheme="minorBidi"/>
        </w:rPr>
      </w:pPr>
    </w:p>
    <w:p w14:paraId="6C1F5166" w14:textId="2B807927" w:rsidR="00930CB7" w:rsidRPr="009A076B" w:rsidRDefault="00930CB7" w:rsidP="00930CB7">
      <w:pPr>
        <w:jc w:val="both"/>
        <w:rPr>
          <w:rFonts w:asciiTheme="minorBidi" w:hAnsiTheme="minorBidi" w:cstheme="minorBidi"/>
        </w:rPr>
      </w:pPr>
      <w:proofErr w:type="spellStart"/>
      <w:r w:rsidRPr="009A076B">
        <w:rPr>
          <w:rFonts w:asciiTheme="minorBidi" w:hAnsiTheme="minorBidi" w:cstheme="minorBidi"/>
        </w:rPr>
        <w:t>Armia</w:t>
      </w:r>
      <w:proofErr w:type="spellEnd"/>
      <w:r w:rsidRPr="009A076B">
        <w:rPr>
          <w:rFonts w:asciiTheme="minorBidi" w:hAnsiTheme="minorBidi" w:cstheme="minorBidi"/>
        </w:rPr>
        <w:t>, M. S. (2022). Political instability impacts on foreign direct investment: A reflective study on the Myanmar crisis. SUKUK: International Journal of Banking and Finance, 1(1), 6-10.</w:t>
      </w:r>
    </w:p>
    <w:p w14:paraId="38436ECF" w14:textId="77777777" w:rsidR="009A076B" w:rsidRPr="009A076B" w:rsidRDefault="009A076B" w:rsidP="00930CB7">
      <w:pPr>
        <w:jc w:val="both"/>
        <w:rPr>
          <w:rFonts w:asciiTheme="minorBidi" w:hAnsiTheme="minorBidi" w:cstheme="minorBidi"/>
        </w:rPr>
      </w:pPr>
    </w:p>
    <w:p w14:paraId="6656A491" w14:textId="0BF08DE8" w:rsidR="009A076B" w:rsidRPr="009A076B" w:rsidRDefault="009A076B" w:rsidP="009A076B">
      <w:pPr>
        <w:jc w:val="both"/>
        <w:rPr>
          <w:rFonts w:asciiTheme="minorBidi" w:hAnsiTheme="minorBidi" w:cstheme="minorBidi"/>
        </w:rPr>
      </w:pPr>
      <w:proofErr w:type="spellStart"/>
      <w:r w:rsidRPr="009A076B">
        <w:rPr>
          <w:rFonts w:asciiTheme="minorBidi" w:hAnsiTheme="minorBidi" w:cstheme="minorBidi"/>
        </w:rPr>
        <w:t>Bünte</w:t>
      </w:r>
      <w:proofErr w:type="spellEnd"/>
      <w:r w:rsidRPr="009A076B">
        <w:rPr>
          <w:rFonts w:asciiTheme="minorBidi" w:hAnsiTheme="minorBidi" w:cstheme="minorBidi"/>
        </w:rPr>
        <w:t>, M., &amp; Dosch, J. (2015). Myanmar: Political reforms and the recalibration of external relations. Journal of Current Southeast Asian Affairs, 34(2), 2-3.</w:t>
      </w:r>
    </w:p>
    <w:p w14:paraId="2E30CF4C" w14:textId="77777777" w:rsidR="00465F67" w:rsidRPr="009A076B" w:rsidRDefault="00465F67" w:rsidP="007C2094">
      <w:pPr>
        <w:jc w:val="both"/>
        <w:rPr>
          <w:rFonts w:asciiTheme="minorBidi" w:hAnsiTheme="minorBidi" w:cstheme="minorBidi"/>
        </w:rPr>
      </w:pPr>
    </w:p>
    <w:p w14:paraId="344E2D60" w14:textId="77777777" w:rsidR="009A076B" w:rsidRPr="009A076B" w:rsidRDefault="009A076B" w:rsidP="007C2094">
      <w:pPr>
        <w:jc w:val="both"/>
        <w:rPr>
          <w:rFonts w:asciiTheme="minorBidi" w:hAnsiTheme="minorBidi" w:cstheme="minorBidi"/>
        </w:rPr>
      </w:pPr>
    </w:p>
    <w:p w14:paraId="58F171C6" w14:textId="6B59866E" w:rsidR="009A076B" w:rsidRPr="009A076B" w:rsidRDefault="009A076B" w:rsidP="009A076B">
      <w:pPr>
        <w:jc w:val="both"/>
        <w:rPr>
          <w:rFonts w:asciiTheme="minorBidi" w:hAnsiTheme="minorBidi" w:cstheme="minorBidi"/>
        </w:rPr>
      </w:pPr>
      <w:r w:rsidRPr="009A076B">
        <w:rPr>
          <w:rFonts w:asciiTheme="minorBidi" w:hAnsiTheme="minorBidi" w:cstheme="minorBidi"/>
        </w:rPr>
        <w:t xml:space="preserve">Findlay, R., Park, C.-Y., &amp; Verbiest, J.-P. A. (2016). Myanmar: Building economic foundations. Asian Economic Policy Review, 11(1), 132-153.  </w:t>
      </w:r>
    </w:p>
    <w:p w14:paraId="168D0F45" w14:textId="77777777" w:rsidR="009A076B" w:rsidRDefault="009A076B" w:rsidP="009A076B">
      <w:pPr>
        <w:jc w:val="both"/>
        <w:rPr>
          <w:rFonts w:ascii="Arial" w:hAnsi="Arial" w:cs="Arial"/>
        </w:rPr>
      </w:pPr>
    </w:p>
    <w:p w14:paraId="5DB90D66" w14:textId="06394A36" w:rsidR="006A5403" w:rsidRPr="006A5403" w:rsidRDefault="007C2094" w:rsidP="007C2094">
      <w:pPr>
        <w:jc w:val="both"/>
        <w:rPr>
          <w:rFonts w:ascii="Arial" w:hAnsi="Arial" w:cs="Arial"/>
        </w:rPr>
      </w:pPr>
      <w:r w:rsidRPr="006A5403">
        <w:rPr>
          <w:rFonts w:ascii="Arial" w:hAnsi="Arial" w:cs="Arial"/>
        </w:rPr>
        <w:t xml:space="preserve">Asian Development Bank (ADB). (2017). </w:t>
      </w:r>
      <w:r w:rsidRPr="006A5403">
        <w:rPr>
          <w:rFonts w:ascii="Arial" w:eastAsiaTheme="minorHAnsi" w:hAnsi="Arial" w:cs="Arial"/>
        </w:rPr>
        <w:t>Myanmar’s Economic Growth to Recover with Improved External Environment, Continued Reforms</w:t>
      </w:r>
      <w:r w:rsidRPr="006A5403">
        <w:rPr>
          <w:rFonts w:ascii="Arial" w:hAnsi="Arial" w:cs="Arial"/>
        </w:rPr>
        <w:t xml:space="preserve">. </w:t>
      </w:r>
    </w:p>
    <w:p w14:paraId="1BD6DB84" w14:textId="0EED76BF" w:rsidR="007C2094" w:rsidRPr="006A5403" w:rsidRDefault="00B80B4D" w:rsidP="007C2094">
      <w:pPr>
        <w:jc w:val="both"/>
        <w:rPr>
          <w:rFonts w:ascii="Arial" w:hAnsi="Arial" w:cs="Arial"/>
        </w:rPr>
      </w:pPr>
      <w:hyperlink r:id="rId17" w:history="1">
        <w:r w:rsidR="006A5403" w:rsidRPr="006A5403">
          <w:rPr>
            <w:rStyle w:val="Hyperlink"/>
            <w:rFonts w:ascii="Arial" w:hAnsi="Arial" w:cs="Arial"/>
            <w:color w:val="auto"/>
            <w:u w:val="none"/>
          </w:rPr>
          <w:t>https://www.adb.org/news/myanmar-s-economic-growth-recover-improved-external-environment-continued-reforms</w:t>
        </w:r>
      </w:hyperlink>
    </w:p>
    <w:p w14:paraId="5CE1F3BC" w14:textId="77777777" w:rsidR="00B40CB1" w:rsidRDefault="00B40CB1" w:rsidP="007C2094">
      <w:pPr>
        <w:jc w:val="both"/>
        <w:rPr>
          <w:rFonts w:ascii="Arial" w:hAnsi="Arial" w:cs="Arial"/>
        </w:rPr>
      </w:pPr>
    </w:p>
    <w:p w14:paraId="4A0D3EFF" w14:textId="5FA782E5" w:rsidR="007C2094" w:rsidRPr="006A5403" w:rsidRDefault="007C2094" w:rsidP="007C2094">
      <w:pPr>
        <w:jc w:val="both"/>
        <w:rPr>
          <w:rFonts w:ascii="Arial" w:hAnsi="Arial" w:cs="Arial"/>
        </w:rPr>
      </w:pPr>
      <w:r w:rsidRPr="006A5403">
        <w:rPr>
          <w:rFonts w:ascii="Arial" w:hAnsi="Arial" w:cs="Arial"/>
        </w:rPr>
        <w:t xml:space="preserve">International Monetary Fund (IMF). (2015). </w:t>
      </w:r>
      <w:proofErr w:type="spellStart"/>
      <w:proofErr w:type="gramStart"/>
      <w:r w:rsidRPr="006A5403">
        <w:rPr>
          <w:rFonts w:ascii="Arial" w:hAnsi="Arial" w:cs="Arial"/>
        </w:rPr>
        <w:t>Myanmar</w:t>
      </w:r>
      <w:r w:rsidR="00624A71">
        <w:rPr>
          <w:rFonts w:ascii="Arial" w:hAnsi="Arial" w:cs="Arial"/>
        </w:rPr>
        <w:t>,</w:t>
      </w:r>
      <w:r w:rsidRPr="006A5403">
        <w:rPr>
          <w:rFonts w:ascii="Arial" w:hAnsi="Arial" w:cs="Arial"/>
        </w:rPr>
        <w:t>Financial</w:t>
      </w:r>
      <w:proofErr w:type="spellEnd"/>
      <w:proofErr w:type="gramEnd"/>
      <w:r w:rsidRPr="006A5403">
        <w:rPr>
          <w:rFonts w:ascii="Arial" w:hAnsi="Arial" w:cs="Arial"/>
        </w:rPr>
        <w:t xml:space="preserve"> Sector Stability Review.</w:t>
      </w:r>
    </w:p>
    <w:p w14:paraId="7936A888" w14:textId="43FCFDA5" w:rsidR="007C2094" w:rsidRPr="006A5403" w:rsidRDefault="00B80B4D" w:rsidP="007C2094">
      <w:pPr>
        <w:jc w:val="both"/>
        <w:rPr>
          <w:rFonts w:ascii="Arial" w:hAnsi="Arial" w:cs="Arial"/>
        </w:rPr>
      </w:pPr>
      <w:hyperlink r:id="rId18" w:history="1">
        <w:r w:rsidR="006A5403" w:rsidRPr="006A5403">
          <w:rPr>
            <w:rStyle w:val="Hyperlink"/>
            <w:rFonts w:ascii="Arial" w:hAnsi="Arial" w:cs="Arial"/>
            <w:color w:val="auto"/>
            <w:u w:val="none"/>
          </w:rPr>
          <w:t>https://www.imf.org/external/pubs/ft/scr/2015/cr15267.pdf</w:t>
        </w:r>
      </w:hyperlink>
    </w:p>
    <w:p w14:paraId="012C9610" w14:textId="77777777" w:rsidR="006A5403" w:rsidRPr="006A5403" w:rsidRDefault="006A5403" w:rsidP="007C2094">
      <w:pPr>
        <w:jc w:val="both"/>
        <w:rPr>
          <w:rFonts w:ascii="Arial" w:hAnsi="Arial" w:cs="Arial"/>
        </w:rPr>
      </w:pPr>
    </w:p>
    <w:p w14:paraId="40EC58D3" w14:textId="221DE4CA" w:rsidR="007C2094" w:rsidRPr="006A5403" w:rsidRDefault="007C2094" w:rsidP="007C2094">
      <w:pPr>
        <w:jc w:val="both"/>
        <w:rPr>
          <w:rFonts w:ascii="Arial" w:hAnsi="Arial" w:cs="Arial"/>
        </w:rPr>
      </w:pPr>
      <w:r w:rsidRPr="006A5403">
        <w:rPr>
          <w:rFonts w:ascii="Arial" w:hAnsi="Arial" w:cs="Arial"/>
        </w:rPr>
        <w:t>Reuters. (2023). Myanmar Turns to Crypto as Banks Collapse.</w:t>
      </w:r>
    </w:p>
    <w:p w14:paraId="74875992" w14:textId="6FDECF54" w:rsidR="007C2094" w:rsidRPr="006A5403" w:rsidRDefault="007C2094" w:rsidP="007C2094">
      <w:pPr>
        <w:jc w:val="both"/>
        <w:rPr>
          <w:rFonts w:ascii="Arial" w:hAnsi="Arial" w:cs="Arial"/>
        </w:rPr>
      </w:pPr>
      <w:r w:rsidRPr="006A5403">
        <w:rPr>
          <w:rFonts w:ascii="Arial" w:hAnsi="Arial" w:cs="Arial"/>
        </w:rPr>
        <w:t xml:space="preserve">https://www.reuters.com/world/un-chief-says-global-finance-system-fragmenting-myanmar-crisis-worsens-2023-09-07/ </w:t>
      </w:r>
    </w:p>
    <w:p w14:paraId="735A4A3D" w14:textId="77777777" w:rsidR="007C2094" w:rsidRPr="006A5403" w:rsidRDefault="007C2094" w:rsidP="007C2094">
      <w:pPr>
        <w:jc w:val="both"/>
        <w:rPr>
          <w:rFonts w:ascii="Arial" w:hAnsi="Arial" w:cs="Arial"/>
        </w:rPr>
      </w:pPr>
    </w:p>
    <w:p w14:paraId="223B1F6A" w14:textId="240194F6" w:rsidR="006A5403" w:rsidRPr="006A5403" w:rsidRDefault="007C2094" w:rsidP="006A5403">
      <w:pPr>
        <w:jc w:val="both"/>
        <w:rPr>
          <w:rFonts w:ascii="Arial" w:eastAsiaTheme="minorHAnsi" w:hAnsi="Arial" w:cs="Arial"/>
        </w:rPr>
      </w:pPr>
      <w:r w:rsidRPr="006A5403">
        <w:rPr>
          <w:rFonts w:ascii="Arial" w:hAnsi="Arial" w:cs="Arial"/>
        </w:rPr>
        <w:t xml:space="preserve">U.S. Department of the Treasury. (2021). </w:t>
      </w:r>
      <w:r w:rsidRPr="006A5403">
        <w:rPr>
          <w:rFonts w:ascii="Arial" w:eastAsiaTheme="minorHAnsi" w:hAnsi="Arial" w:cs="Arial"/>
        </w:rPr>
        <w:t xml:space="preserve">Imposing Sanctions on Burmese State-Owned </w:t>
      </w:r>
      <w:r w:rsidR="006A5403">
        <w:rPr>
          <w:rFonts w:ascii="Arial" w:eastAsiaTheme="minorHAnsi" w:hAnsi="Arial" w:cs="Arial"/>
        </w:rPr>
        <w:t>Enterprises</w:t>
      </w:r>
      <w:r w:rsidR="006A5403" w:rsidRPr="006A5403">
        <w:rPr>
          <w:rFonts w:ascii="Arial" w:eastAsiaTheme="minorHAnsi" w:hAnsi="Arial" w:cs="Arial"/>
        </w:rPr>
        <w:t>.</w:t>
      </w:r>
    </w:p>
    <w:p w14:paraId="3461681E" w14:textId="1B2AC7D4" w:rsidR="007C2094" w:rsidRPr="006A5403" w:rsidRDefault="00B80B4D" w:rsidP="006A5403">
      <w:pPr>
        <w:jc w:val="both"/>
        <w:rPr>
          <w:rFonts w:ascii="Arial" w:eastAsiaTheme="minorHAnsi" w:hAnsi="Arial" w:cs="Arial"/>
        </w:rPr>
      </w:pPr>
      <w:hyperlink r:id="rId19" w:history="1">
        <w:r w:rsidR="006A5403" w:rsidRPr="006A5403">
          <w:rPr>
            <w:rStyle w:val="Hyperlink"/>
            <w:rFonts w:ascii="Arial" w:hAnsi="Arial" w:cs="Arial"/>
            <w:color w:val="auto"/>
            <w:u w:val="none"/>
          </w:rPr>
          <w:t>https://2021-2025.state.gov/imposing-sanctions-on-burmese-state-owned-enterprise/</w:t>
        </w:r>
      </w:hyperlink>
    </w:p>
    <w:p w14:paraId="17E4289C" w14:textId="40C39E66" w:rsidR="007C2094" w:rsidRPr="006A5403" w:rsidRDefault="007C2094" w:rsidP="007C2094">
      <w:pPr>
        <w:jc w:val="both"/>
        <w:rPr>
          <w:rFonts w:ascii="Arial" w:hAnsi="Arial" w:cs="Arial"/>
        </w:rPr>
      </w:pPr>
    </w:p>
    <w:p w14:paraId="26F696C1" w14:textId="2A4F61FB" w:rsidR="007C2094" w:rsidRPr="006A5403" w:rsidRDefault="007C2094" w:rsidP="007C2094">
      <w:pPr>
        <w:jc w:val="both"/>
        <w:rPr>
          <w:rFonts w:ascii="Arial" w:hAnsi="Arial" w:cs="Arial"/>
        </w:rPr>
      </w:pPr>
      <w:r w:rsidRPr="006A5403">
        <w:rPr>
          <w:rFonts w:ascii="Arial" w:hAnsi="Arial" w:cs="Arial"/>
        </w:rPr>
        <w:t>World Bank. (2013, 2023). Myanmar Economic Monitor.</w:t>
      </w:r>
    </w:p>
    <w:p w14:paraId="5D0238C9" w14:textId="77777777" w:rsidR="007C2094" w:rsidRPr="006A5403" w:rsidRDefault="00B80B4D" w:rsidP="007C2094">
      <w:pPr>
        <w:jc w:val="both"/>
        <w:rPr>
          <w:rFonts w:ascii="Arial" w:hAnsi="Arial" w:cs="Arial"/>
        </w:rPr>
      </w:pPr>
      <w:hyperlink r:id="rId20" w:history="1">
        <w:r w:rsidR="007C2094" w:rsidRPr="006A5403">
          <w:rPr>
            <w:rStyle w:val="Hyperlink"/>
            <w:rFonts w:ascii="Arial" w:hAnsi="Arial" w:cs="Arial"/>
            <w:color w:val="auto"/>
            <w:u w:val="none"/>
          </w:rPr>
          <w:t>https://www.worldbank.org/en/country/myanmar/publication/myanmar-economic-monitor-reports</w:t>
        </w:r>
      </w:hyperlink>
    </w:p>
    <w:p w14:paraId="47B3963E" w14:textId="77777777" w:rsidR="006A5403" w:rsidRPr="006A5403" w:rsidRDefault="006A5403" w:rsidP="007C2094">
      <w:pPr>
        <w:jc w:val="both"/>
        <w:rPr>
          <w:rFonts w:ascii="Arial" w:hAnsi="Arial" w:cs="Arial"/>
        </w:rPr>
      </w:pPr>
    </w:p>
    <w:p w14:paraId="4FA0EE4D" w14:textId="77777777" w:rsidR="006A5403" w:rsidRPr="006A5403" w:rsidRDefault="007C2094" w:rsidP="006A5403">
      <w:pPr>
        <w:jc w:val="both"/>
        <w:rPr>
          <w:rFonts w:ascii="Arial" w:hAnsi="Arial" w:cs="Arial"/>
        </w:rPr>
      </w:pPr>
      <w:r w:rsidRPr="006A5403">
        <w:rPr>
          <w:rFonts w:ascii="Arial" w:hAnsi="Arial" w:cs="Arial"/>
        </w:rPr>
        <w:t>CISIS (2020). China’s BRI in Myanmar: Debt and Diplomacy.</w:t>
      </w:r>
      <w:r w:rsidR="006A5403" w:rsidRPr="006A5403">
        <w:rPr>
          <w:rFonts w:ascii="Arial" w:hAnsi="Arial" w:cs="Arial"/>
        </w:rPr>
        <w:t xml:space="preserve"> </w:t>
      </w:r>
    </w:p>
    <w:p w14:paraId="50D769BE" w14:textId="235969C9" w:rsidR="007C2094" w:rsidRPr="006A5403" w:rsidRDefault="00B80B4D" w:rsidP="006A5403">
      <w:pPr>
        <w:jc w:val="both"/>
        <w:rPr>
          <w:rFonts w:ascii="Arial" w:hAnsi="Arial" w:cs="Arial"/>
        </w:rPr>
      </w:pPr>
      <w:hyperlink r:id="rId21" w:history="1">
        <w:r w:rsidR="006A5403" w:rsidRPr="006A5403">
          <w:rPr>
            <w:rStyle w:val="Hyperlink"/>
            <w:rFonts w:ascii="Arial" w:hAnsi="Arial" w:cs="Arial"/>
            <w:color w:val="auto"/>
            <w:u w:val="none"/>
          </w:rPr>
          <w:t>https://voyager.ce.fit.ac.jp/conf/ cisis/2020/index.php</w:t>
        </w:r>
      </w:hyperlink>
    </w:p>
    <w:p w14:paraId="63A4F636" w14:textId="77777777" w:rsidR="006A5403" w:rsidRPr="006A5403" w:rsidRDefault="006A5403" w:rsidP="007C2094">
      <w:pPr>
        <w:jc w:val="both"/>
        <w:rPr>
          <w:rFonts w:ascii="Arial" w:hAnsi="Arial" w:cs="Arial"/>
        </w:rPr>
      </w:pPr>
    </w:p>
    <w:p w14:paraId="1BD0CC2C" w14:textId="4D20BA7C" w:rsidR="006A20B1" w:rsidRPr="006A20B1" w:rsidRDefault="00B80B4D" w:rsidP="006A20B1">
      <w:pPr>
        <w:jc w:val="both"/>
        <w:rPr>
          <w:rFonts w:ascii="Arial" w:hAnsi="Arial" w:cs="Arial"/>
        </w:rPr>
      </w:pPr>
      <w:hyperlink r:id="rId22" w:tgtFrame="_blank" w:history="1">
        <w:r w:rsidR="00E1649A" w:rsidRPr="006A20B1">
          <w:rPr>
            <w:rStyle w:val="Hyperlink"/>
            <w:rFonts w:ascii="Arial" w:hAnsi="Arial" w:cs="Arial"/>
            <w:color w:val="auto"/>
            <w:u w:val="none"/>
          </w:rPr>
          <w:t>World Economic Outlook Database, October 2022 - IMF</w:t>
        </w:r>
      </w:hyperlink>
    </w:p>
    <w:p w14:paraId="34356477" w14:textId="675BCA2B" w:rsidR="006A20B1" w:rsidRPr="006A20B1" w:rsidRDefault="006A20B1" w:rsidP="006A20B1">
      <w:pPr>
        <w:jc w:val="both"/>
        <w:rPr>
          <w:rFonts w:ascii="Arial" w:hAnsi="Arial" w:cs="Arial"/>
        </w:rPr>
      </w:pPr>
      <w:r w:rsidRPr="006A20B1">
        <w:rPr>
          <w:rFonts w:ascii="Arial" w:hAnsi="Arial" w:cs="Arial"/>
        </w:rPr>
        <w:t xml:space="preserve">https://www.imf.org › </w:t>
      </w:r>
      <w:proofErr w:type="spellStart"/>
      <w:r w:rsidRPr="006A20B1">
        <w:rPr>
          <w:rFonts w:ascii="Arial" w:hAnsi="Arial" w:cs="Arial"/>
        </w:rPr>
        <w:t>en</w:t>
      </w:r>
      <w:proofErr w:type="spellEnd"/>
      <w:r w:rsidRPr="006A20B1">
        <w:rPr>
          <w:rFonts w:ascii="Arial" w:hAnsi="Arial" w:cs="Arial"/>
        </w:rPr>
        <w:t xml:space="preserve"> › Publications › WEO › </w:t>
      </w:r>
      <w:proofErr w:type="spellStart"/>
      <w:r w:rsidRPr="006A20B1">
        <w:rPr>
          <w:rFonts w:ascii="Arial" w:hAnsi="Arial" w:cs="Arial"/>
        </w:rPr>
        <w:t>weo</w:t>
      </w:r>
      <w:proofErr w:type="spellEnd"/>
      <w:r w:rsidRPr="006A20B1">
        <w:rPr>
          <w:rFonts w:ascii="Arial" w:hAnsi="Arial" w:cs="Arial"/>
        </w:rPr>
        <w:t>-database › October</w:t>
      </w:r>
    </w:p>
    <w:p w14:paraId="4D6D1FC4" w14:textId="6C63D64A" w:rsidR="006A20B1" w:rsidRPr="00E1649A" w:rsidRDefault="006A20B1" w:rsidP="006A20B1">
      <w:pPr>
        <w:jc w:val="both"/>
        <w:rPr>
          <w:rFonts w:ascii="Arial" w:hAnsi="Arial" w:cs="Arial"/>
        </w:rPr>
      </w:pPr>
    </w:p>
    <w:p w14:paraId="1D340774" w14:textId="77777777" w:rsidR="00E1649A" w:rsidRDefault="00E1649A" w:rsidP="00E1649A">
      <w:pPr>
        <w:jc w:val="both"/>
        <w:rPr>
          <w:rFonts w:ascii="Arial" w:hAnsi="Arial" w:cs="Arial"/>
        </w:rPr>
      </w:pPr>
    </w:p>
    <w:p w14:paraId="486EAB4C" w14:textId="2BF97CC3" w:rsidR="007C2094" w:rsidRPr="006A5403" w:rsidRDefault="007C2094" w:rsidP="00E1649A">
      <w:pPr>
        <w:jc w:val="both"/>
        <w:rPr>
          <w:rFonts w:ascii="Arial" w:hAnsi="Arial" w:cs="Arial"/>
        </w:rPr>
      </w:pPr>
      <w:r w:rsidRPr="006A5403">
        <w:rPr>
          <w:rFonts w:ascii="Arial" w:hAnsi="Arial" w:cs="Arial"/>
        </w:rPr>
        <w:t>ASEAN Secretariat. (2023). Foreign Direct Investment Trends in ASEAN.</w:t>
      </w:r>
    </w:p>
    <w:p w14:paraId="58AE5EEB" w14:textId="77777777" w:rsidR="007C2094" w:rsidRDefault="00B80B4D" w:rsidP="007C2094">
      <w:pPr>
        <w:jc w:val="both"/>
      </w:pPr>
      <w:hyperlink r:id="rId23" w:history="1">
        <w:r w:rsidR="007C2094" w:rsidRPr="006A5403">
          <w:rPr>
            <w:rStyle w:val="Hyperlink"/>
            <w:rFonts w:ascii="Arial" w:hAnsi="Arial" w:cs="Arial"/>
            <w:color w:val="auto"/>
            <w:u w:val="none"/>
          </w:rPr>
          <w:t>https://asean.org/wp-content/uploads/2023/12/AIR-Special-2023.pdf</w:t>
        </w:r>
      </w:hyperlink>
    </w:p>
    <w:p w14:paraId="248DFEE3" w14:textId="77777777" w:rsidR="006A20B1" w:rsidRPr="006A5403" w:rsidRDefault="006A20B1" w:rsidP="007C2094">
      <w:pPr>
        <w:jc w:val="both"/>
        <w:rPr>
          <w:rFonts w:ascii="Arial" w:hAnsi="Arial" w:cs="Arial"/>
        </w:rPr>
      </w:pPr>
    </w:p>
    <w:p w14:paraId="347C552F" w14:textId="78EF000F" w:rsidR="007C2094" w:rsidRPr="006A5403" w:rsidRDefault="007C2094" w:rsidP="007C2094">
      <w:pPr>
        <w:jc w:val="both"/>
        <w:rPr>
          <w:rFonts w:ascii="Arial" w:hAnsi="Arial" w:cs="Arial"/>
        </w:rPr>
      </w:pPr>
    </w:p>
    <w:p w14:paraId="187BD0C4" w14:textId="4EFD26E7" w:rsidR="007C2094" w:rsidRPr="006A5403" w:rsidRDefault="007C2094" w:rsidP="007C2094">
      <w:pPr>
        <w:jc w:val="both"/>
        <w:rPr>
          <w:rFonts w:ascii="Arial" w:hAnsi="Arial" w:cs="Arial"/>
        </w:rPr>
      </w:pPr>
      <w:r w:rsidRPr="006A5403">
        <w:rPr>
          <w:rFonts w:ascii="Arial" w:hAnsi="Arial" w:cs="Arial"/>
        </w:rPr>
        <w:t>Asian Development Bank (ADB). (2016). Myanmar’s Economic Transformation.</w:t>
      </w:r>
    </w:p>
    <w:p w14:paraId="61049F61" w14:textId="77777777" w:rsidR="007C2094" w:rsidRDefault="00B80B4D" w:rsidP="007C2094">
      <w:pPr>
        <w:jc w:val="both"/>
      </w:pPr>
      <w:hyperlink r:id="rId24" w:history="1">
        <w:r w:rsidR="007C2094" w:rsidRPr="006A5403">
          <w:rPr>
            <w:rStyle w:val="Hyperlink"/>
            <w:rFonts w:ascii="Arial" w:hAnsi="Arial" w:cs="Arial"/>
            <w:color w:val="auto"/>
            <w:u w:val="none"/>
          </w:rPr>
          <w:t>https://www.adb.org/documents/adb-annual-report-2016</w:t>
        </w:r>
      </w:hyperlink>
    </w:p>
    <w:p w14:paraId="09634494" w14:textId="020E4EE8" w:rsidR="007C2094" w:rsidRPr="006A5403" w:rsidRDefault="007C2094" w:rsidP="007C2094">
      <w:pPr>
        <w:jc w:val="both"/>
        <w:rPr>
          <w:rFonts w:ascii="Arial" w:hAnsi="Arial" w:cs="Arial"/>
        </w:rPr>
      </w:pPr>
      <w:r w:rsidRPr="006A5403">
        <w:rPr>
          <w:rFonts w:ascii="Arial" w:hAnsi="Arial" w:cs="Arial"/>
        </w:rPr>
        <w:lastRenderedPageBreak/>
        <w:t>Frontier Myanmar. (2022). How the situation killed Myanmar’s Garment Industry.</w:t>
      </w:r>
    </w:p>
    <w:p w14:paraId="06A89015" w14:textId="4CB4B419" w:rsidR="007C2094" w:rsidRPr="005D7892" w:rsidRDefault="00B80B4D" w:rsidP="006A5403">
      <w:pPr>
        <w:jc w:val="both"/>
        <w:rPr>
          <w:rFonts w:ascii="Arial" w:hAnsi="Arial" w:cs="Arial"/>
        </w:rPr>
      </w:pPr>
      <w:hyperlink r:id="rId25" w:tgtFrame="_blank" w:history="1">
        <w:r w:rsidR="007C2094" w:rsidRPr="005D7892">
          <w:rPr>
            <w:rStyle w:val="Hyperlink"/>
            <w:rFonts w:ascii="Arial" w:hAnsi="Arial" w:cs="Arial"/>
            <w:color w:val="auto"/>
            <w:u w:val="none"/>
          </w:rPr>
          <w:t>Workers struggle to make ends meet in Myanmar</w:t>
        </w:r>
      </w:hyperlink>
      <w:r w:rsidR="006A5403" w:rsidRPr="006A5403">
        <w:rPr>
          <w:rFonts w:ascii="Arial" w:hAnsi="Arial" w:cs="Arial"/>
        </w:rPr>
        <w:t xml:space="preserve"> </w:t>
      </w:r>
      <w:hyperlink r:id="rId26" w:history="1">
        <w:r w:rsidR="006A5403" w:rsidRPr="006A5403">
          <w:rPr>
            <w:rStyle w:val="Hyperlink"/>
            <w:rFonts w:ascii="Arial" w:hAnsi="Arial" w:cs="Arial"/>
            <w:color w:val="auto"/>
            <w:u w:val="none"/>
          </w:rPr>
          <w:t>https://www.frontiermyanmar.net/en/</w:t>
        </w:r>
      </w:hyperlink>
      <w:r w:rsidR="006A5403" w:rsidRPr="006A5403">
        <w:rPr>
          <w:rFonts w:ascii="Arial" w:hAnsi="Arial" w:cs="Arial"/>
        </w:rPr>
        <w:t xml:space="preserve"> </w:t>
      </w:r>
      <w:r w:rsidR="007C2094" w:rsidRPr="006A5403">
        <w:rPr>
          <w:rFonts w:ascii="Arial" w:hAnsi="Arial" w:cs="Arial"/>
        </w:rPr>
        <w:t>workers-struggle-to-make-ends-</w:t>
      </w:r>
      <w:r w:rsidR="006A5403" w:rsidRPr="006A5403">
        <w:rPr>
          <w:rFonts w:ascii="Arial" w:hAnsi="Arial" w:cs="Arial"/>
        </w:rPr>
        <w:t xml:space="preserve"> </w:t>
      </w:r>
      <w:r w:rsidR="007C2094" w:rsidRPr="006A5403">
        <w:rPr>
          <w:rFonts w:ascii="Arial" w:hAnsi="Arial" w:cs="Arial"/>
        </w:rPr>
        <w:t>meet-in-</w:t>
      </w:r>
      <w:proofErr w:type="spellStart"/>
      <w:r w:rsidR="007C2094" w:rsidRPr="006A5403">
        <w:rPr>
          <w:rFonts w:ascii="Arial" w:hAnsi="Arial" w:cs="Arial"/>
        </w:rPr>
        <w:t>myanmar</w:t>
      </w:r>
      <w:proofErr w:type="spellEnd"/>
      <w:r w:rsidR="007C2094" w:rsidRPr="006A5403">
        <w:rPr>
          <w:rFonts w:ascii="Arial" w:hAnsi="Arial" w:cs="Arial"/>
        </w:rPr>
        <w:t>/</w:t>
      </w:r>
    </w:p>
    <w:p w14:paraId="7BF21C37" w14:textId="77777777" w:rsidR="006A5403" w:rsidRPr="006A5403" w:rsidRDefault="006A5403" w:rsidP="007C2094">
      <w:pPr>
        <w:jc w:val="both"/>
        <w:rPr>
          <w:rFonts w:ascii="Arial" w:hAnsi="Arial" w:cs="Arial"/>
        </w:rPr>
      </w:pPr>
    </w:p>
    <w:p w14:paraId="0BD37F11" w14:textId="0465ED62" w:rsidR="007C2094" w:rsidRPr="006A5403" w:rsidRDefault="007C2094" w:rsidP="007C2094">
      <w:pPr>
        <w:jc w:val="both"/>
        <w:rPr>
          <w:rFonts w:ascii="Arial" w:hAnsi="Arial" w:cs="Arial"/>
        </w:rPr>
      </w:pPr>
      <w:r w:rsidRPr="006A5403">
        <w:rPr>
          <w:rFonts w:ascii="Arial" w:hAnsi="Arial" w:cs="Arial"/>
        </w:rPr>
        <w:t xml:space="preserve">International </w:t>
      </w:r>
      <w:proofErr w:type="spellStart"/>
      <w:r w:rsidRPr="006A5403">
        <w:rPr>
          <w:rFonts w:ascii="Arial" w:hAnsi="Arial" w:cs="Arial"/>
        </w:rPr>
        <w:t>Labour</w:t>
      </w:r>
      <w:proofErr w:type="spellEnd"/>
      <w:r w:rsidRPr="006A5403">
        <w:rPr>
          <w:rFonts w:ascii="Arial" w:hAnsi="Arial" w:cs="Arial"/>
        </w:rPr>
        <w:t xml:space="preserve"> Organization (ILO). (2019). Myanmar Garment Industry Report.</w:t>
      </w:r>
    </w:p>
    <w:p w14:paraId="4BBE64C0" w14:textId="77777777" w:rsidR="007C2094" w:rsidRPr="006A5403" w:rsidRDefault="00B80B4D" w:rsidP="007C2094">
      <w:pPr>
        <w:jc w:val="both"/>
        <w:rPr>
          <w:rFonts w:ascii="Arial" w:hAnsi="Arial" w:cs="Arial"/>
        </w:rPr>
      </w:pPr>
      <w:hyperlink r:id="rId27" w:history="1">
        <w:r w:rsidR="007C2094" w:rsidRPr="006A5403">
          <w:rPr>
            <w:rStyle w:val="Hyperlink"/>
            <w:rFonts w:ascii="Arial" w:hAnsi="Arial" w:cs="Arial"/>
            <w:color w:val="auto"/>
            <w:u w:val="none"/>
          </w:rPr>
          <w:t>https://www.ilo.org/publications/weaving-gender-challenges-and-opportunities-myanmar-garment-industry</w:t>
        </w:r>
      </w:hyperlink>
    </w:p>
    <w:p w14:paraId="0B560135" w14:textId="77777777" w:rsidR="006A5403" w:rsidRPr="006A5403" w:rsidRDefault="006A5403" w:rsidP="007C2094">
      <w:pPr>
        <w:jc w:val="both"/>
        <w:rPr>
          <w:rFonts w:ascii="Arial" w:hAnsi="Arial" w:cs="Arial"/>
        </w:rPr>
      </w:pPr>
    </w:p>
    <w:p w14:paraId="4A71E1EF" w14:textId="5550799B" w:rsidR="007C2094" w:rsidRPr="006A5403" w:rsidRDefault="007C2094" w:rsidP="007C2094">
      <w:pPr>
        <w:jc w:val="both"/>
        <w:rPr>
          <w:rFonts w:ascii="Arial" w:hAnsi="Arial" w:cs="Arial"/>
        </w:rPr>
      </w:pPr>
      <w:r w:rsidRPr="006A5403">
        <w:rPr>
          <w:rFonts w:ascii="Arial" w:hAnsi="Arial" w:cs="Arial"/>
        </w:rPr>
        <w:t>International Monetary Fund (IMF). (2017). Myanmar: Trade and Development Outlook.</w:t>
      </w:r>
    </w:p>
    <w:p w14:paraId="0DF5668B" w14:textId="77777777" w:rsidR="007C2094" w:rsidRPr="006A5403" w:rsidRDefault="00B80B4D" w:rsidP="007C2094">
      <w:pPr>
        <w:jc w:val="both"/>
        <w:rPr>
          <w:rFonts w:ascii="Arial" w:hAnsi="Arial" w:cs="Arial"/>
        </w:rPr>
      </w:pPr>
      <w:hyperlink r:id="rId28" w:history="1">
        <w:r w:rsidR="007C2094" w:rsidRPr="006A5403">
          <w:rPr>
            <w:rStyle w:val="Hyperlink"/>
            <w:rFonts w:ascii="Arial" w:hAnsi="Arial" w:cs="Arial"/>
            <w:color w:val="auto"/>
            <w:u w:val="none"/>
          </w:rPr>
          <w:t>https://www.imf.org/en/Publications/CR/Issues/2017/02/02/Myanmar-Selected-Issues-44613</w:t>
        </w:r>
      </w:hyperlink>
    </w:p>
    <w:p w14:paraId="2954F14D" w14:textId="77777777" w:rsidR="006A5403" w:rsidRPr="006A5403" w:rsidRDefault="006A5403" w:rsidP="007C2094">
      <w:pPr>
        <w:jc w:val="both"/>
        <w:rPr>
          <w:rFonts w:ascii="Arial" w:hAnsi="Arial" w:cs="Arial"/>
        </w:rPr>
      </w:pPr>
    </w:p>
    <w:p w14:paraId="1A6B985F" w14:textId="6FF4E50A" w:rsidR="007C2094" w:rsidRPr="006A5403" w:rsidRDefault="007C2094" w:rsidP="007C2094">
      <w:pPr>
        <w:jc w:val="both"/>
        <w:rPr>
          <w:rFonts w:ascii="Arial" w:hAnsi="Arial" w:cs="Arial"/>
        </w:rPr>
      </w:pPr>
      <w:r w:rsidRPr="006A5403">
        <w:rPr>
          <w:rFonts w:ascii="Arial" w:hAnsi="Arial" w:cs="Arial"/>
        </w:rPr>
        <w:t>Reuters. (2023). China’s CMEC Projects; Myanmar’s Shadow Trade.</w:t>
      </w:r>
    </w:p>
    <w:p w14:paraId="2CC13EFE" w14:textId="77777777" w:rsidR="007C2094" w:rsidRPr="006A5403" w:rsidRDefault="00B80B4D" w:rsidP="007C2094">
      <w:pPr>
        <w:jc w:val="both"/>
        <w:rPr>
          <w:rFonts w:ascii="Arial" w:hAnsi="Arial" w:cs="Arial"/>
        </w:rPr>
      </w:pPr>
      <w:hyperlink r:id="rId29" w:history="1">
        <w:r w:rsidR="007C2094" w:rsidRPr="006A5403">
          <w:rPr>
            <w:rStyle w:val="Hyperlink"/>
            <w:rFonts w:ascii="Arial" w:hAnsi="Arial" w:cs="Arial"/>
            <w:color w:val="auto"/>
            <w:u w:val="none"/>
          </w:rPr>
          <w:t>https://www.reuters.com/world/asia-pacific/china-calls-myanmar-maintain-stability-along-border-through-cooperation-2023-11-06/</w:t>
        </w:r>
      </w:hyperlink>
    </w:p>
    <w:p w14:paraId="25C37225" w14:textId="77777777" w:rsidR="006A5403" w:rsidRPr="006A5403" w:rsidRDefault="006A5403" w:rsidP="007C2094">
      <w:pPr>
        <w:jc w:val="both"/>
        <w:rPr>
          <w:rFonts w:ascii="Arial" w:hAnsi="Arial" w:cs="Arial"/>
        </w:rPr>
      </w:pPr>
    </w:p>
    <w:p w14:paraId="1936B7F4" w14:textId="2103B1A9" w:rsidR="007C2094" w:rsidRPr="006A5403" w:rsidRDefault="007C2094" w:rsidP="007C2094">
      <w:pPr>
        <w:jc w:val="both"/>
        <w:rPr>
          <w:rFonts w:ascii="Arial" w:hAnsi="Arial" w:cs="Arial"/>
        </w:rPr>
      </w:pPr>
      <w:r w:rsidRPr="006A5403">
        <w:rPr>
          <w:rFonts w:ascii="Arial" w:hAnsi="Arial" w:cs="Arial"/>
        </w:rPr>
        <w:t>U.S. Department of the Treasury. (2021). Sanctions on Myanmar Military Conglomerates.</w:t>
      </w:r>
    </w:p>
    <w:p w14:paraId="60986F3D" w14:textId="77777777" w:rsidR="007C2094" w:rsidRPr="006A5403" w:rsidRDefault="007C2094" w:rsidP="007C2094">
      <w:pPr>
        <w:jc w:val="both"/>
        <w:rPr>
          <w:rFonts w:ascii="Arial" w:hAnsi="Arial" w:cs="Arial"/>
        </w:rPr>
      </w:pPr>
      <w:r w:rsidRPr="006A5403">
        <w:rPr>
          <w:rFonts w:ascii="Arial" w:hAnsi="Arial" w:cs="Arial"/>
        </w:rPr>
        <w:t xml:space="preserve">https://home.treasury.gov/news/press-releases/jy0078 </w:t>
      </w:r>
    </w:p>
    <w:p w14:paraId="0A1F0589" w14:textId="55FEAF6F" w:rsidR="007C2094" w:rsidRPr="006A5403" w:rsidRDefault="007C2094" w:rsidP="007C2094">
      <w:pPr>
        <w:jc w:val="both"/>
        <w:rPr>
          <w:rFonts w:ascii="Arial" w:hAnsi="Arial" w:cs="Arial"/>
        </w:rPr>
      </w:pPr>
    </w:p>
    <w:p w14:paraId="63240281" w14:textId="4B952D21" w:rsidR="007C2094" w:rsidRPr="006A5403" w:rsidRDefault="007C2094" w:rsidP="007C2094">
      <w:pPr>
        <w:jc w:val="both"/>
        <w:rPr>
          <w:rFonts w:ascii="Arial" w:hAnsi="Arial" w:cs="Arial"/>
        </w:rPr>
      </w:pPr>
      <w:r w:rsidRPr="006A5403">
        <w:rPr>
          <w:rFonts w:ascii="Arial" w:hAnsi="Arial" w:cs="Arial"/>
        </w:rPr>
        <w:t>UN Comtrade. (2023). Myanmar Trade Data.</w:t>
      </w:r>
    </w:p>
    <w:p w14:paraId="7780EF5E" w14:textId="77777777" w:rsidR="007C2094" w:rsidRPr="006A5403" w:rsidRDefault="007C2094" w:rsidP="007C2094">
      <w:pPr>
        <w:jc w:val="both"/>
        <w:rPr>
          <w:rFonts w:ascii="Arial" w:hAnsi="Arial" w:cs="Arial"/>
        </w:rPr>
      </w:pPr>
      <w:r w:rsidRPr="006A5403">
        <w:rPr>
          <w:rFonts w:ascii="Arial" w:hAnsi="Arial" w:cs="Arial"/>
        </w:rPr>
        <w:t>https://comtradeplus.un.org/Myanmar</w:t>
      </w:r>
    </w:p>
    <w:p w14:paraId="286BE78E" w14:textId="77777777" w:rsidR="007C2094" w:rsidRPr="006A5403" w:rsidRDefault="007C2094" w:rsidP="007C2094">
      <w:pPr>
        <w:jc w:val="both"/>
        <w:rPr>
          <w:rFonts w:ascii="Arial" w:hAnsi="Arial" w:cs="Arial"/>
        </w:rPr>
      </w:pPr>
    </w:p>
    <w:p w14:paraId="4E9EF68C" w14:textId="77777777" w:rsidR="007C2094" w:rsidRPr="006A5403" w:rsidRDefault="007C2094" w:rsidP="007C2094">
      <w:pPr>
        <w:jc w:val="both"/>
        <w:rPr>
          <w:rFonts w:ascii="Arial" w:hAnsi="Arial" w:cs="Arial"/>
        </w:rPr>
      </w:pPr>
    </w:p>
    <w:p w14:paraId="43652908" w14:textId="77777777" w:rsidR="007C2094" w:rsidRPr="006A5403" w:rsidRDefault="007C2094" w:rsidP="007C2094">
      <w:pPr>
        <w:spacing w:after="160"/>
        <w:jc w:val="both"/>
        <w:rPr>
          <w:rFonts w:ascii="Arial" w:eastAsiaTheme="minorHAnsi" w:hAnsi="Arial" w:cs="Arial"/>
          <w:sz w:val="24"/>
          <w:szCs w:val="24"/>
        </w:rPr>
      </w:pPr>
    </w:p>
    <w:p w14:paraId="1AE3FF63" w14:textId="77777777" w:rsidR="007C2094" w:rsidRPr="006A5403" w:rsidRDefault="007C2094" w:rsidP="007C2094">
      <w:pPr>
        <w:jc w:val="both"/>
      </w:pPr>
    </w:p>
    <w:p w14:paraId="312CBCFB" w14:textId="77777777" w:rsidR="005F4196" w:rsidRPr="006A5403" w:rsidRDefault="005F4196" w:rsidP="007C2094">
      <w:pPr>
        <w:pStyle w:val="ReferHead"/>
        <w:spacing w:after="0" w:line="276" w:lineRule="auto"/>
        <w:jc w:val="both"/>
        <w:rPr>
          <w:rFonts w:ascii="Arial" w:hAnsi="Arial" w:cs="Arial"/>
          <w:sz w:val="20"/>
        </w:rPr>
      </w:pPr>
    </w:p>
    <w:p w14:paraId="02464F23" w14:textId="77777777" w:rsidR="00790ADA" w:rsidRPr="006A5403" w:rsidRDefault="00790ADA" w:rsidP="007C2094">
      <w:pPr>
        <w:pStyle w:val="ReferHead"/>
        <w:spacing w:after="0" w:line="276" w:lineRule="auto"/>
        <w:jc w:val="both"/>
        <w:rPr>
          <w:rFonts w:ascii="Arial" w:hAnsi="Arial" w:cs="Arial"/>
          <w:sz w:val="20"/>
        </w:rPr>
      </w:pPr>
    </w:p>
    <w:sectPr w:rsidR="00790ADA" w:rsidRPr="006A5403" w:rsidSect="004874E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B952B" w14:textId="77777777" w:rsidR="00B80B4D" w:rsidRDefault="00B80B4D" w:rsidP="00C37E61">
      <w:r>
        <w:separator/>
      </w:r>
    </w:p>
  </w:endnote>
  <w:endnote w:type="continuationSeparator" w:id="0">
    <w:p w14:paraId="43B9699A" w14:textId="77777777" w:rsidR="00B80B4D" w:rsidRDefault="00B80B4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C8B4" w14:textId="77777777" w:rsidR="006517FE" w:rsidRDefault="00651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BA9F" w14:textId="77777777" w:rsidR="006517FE" w:rsidRDefault="00651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45DE" w14:textId="2800A30B" w:rsidR="00754C9A" w:rsidRPr="006517FE" w:rsidRDefault="00754C9A" w:rsidP="006517FE">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3004A" w14:textId="77777777" w:rsidR="00B80B4D" w:rsidRDefault="00B80B4D" w:rsidP="00C37E61">
      <w:r>
        <w:separator/>
      </w:r>
    </w:p>
  </w:footnote>
  <w:footnote w:type="continuationSeparator" w:id="0">
    <w:p w14:paraId="36C5E664" w14:textId="77777777" w:rsidR="00B80B4D" w:rsidRDefault="00B80B4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EBC3" w14:textId="12E93F83" w:rsidR="006517FE" w:rsidRDefault="006517FE">
    <w:pPr>
      <w:pStyle w:val="Header"/>
    </w:pPr>
    <w:r>
      <w:rPr>
        <w:noProof/>
      </w:rPr>
      <w:pict w14:anchorId="0C50C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2674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8F79" w14:textId="08A2BF08" w:rsidR="003A5126" w:rsidRDefault="006517FE">
    <w:pPr>
      <w:pStyle w:val="Header"/>
      <w:jc w:val="center"/>
    </w:pPr>
    <w:r>
      <w:rPr>
        <w:noProof/>
      </w:rPr>
      <w:pict w14:anchorId="6AD50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267470"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sdt>
      <w:sdtPr>
        <w:id w:val="130222193"/>
        <w:docPartObj>
          <w:docPartGallery w:val="Page Numbers (Top of Page)"/>
          <w:docPartUnique/>
        </w:docPartObj>
      </w:sdtPr>
      <w:sdtEndPr>
        <w:rPr>
          <w:noProof/>
        </w:rPr>
      </w:sdtEndPr>
      <w:sdtContent>
        <w:r w:rsidR="003A5126">
          <w:fldChar w:fldCharType="begin"/>
        </w:r>
        <w:r w:rsidR="003A5126">
          <w:instrText xml:space="preserve"> PAGE   \* MERGEFORMAT </w:instrText>
        </w:r>
        <w:r w:rsidR="003A5126">
          <w:fldChar w:fldCharType="separate"/>
        </w:r>
        <w:r w:rsidR="003A5126">
          <w:rPr>
            <w:noProof/>
          </w:rPr>
          <w:t>2</w:t>
        </w:r>
        <w:r w:rsidR="003A5126">
          <w:rPr>
            <w:noProof/>
          </w:rPr>
          <w:fldChar w:fldCharType="end"/>
        </w:r>
      </w:sdtContent>
    </w:sdt>
  </w:p>
  <w:p w14:paraId="383E2176" w14:textId="77777777" w:rsidR="003A5126" w:rsidRDefault="003A5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A2C9" w14:textId="19C2A4F5" w:rsidR="00296529" w:rsidRPr="00296529" w:rsidRDefault="006517FE" w:rsidP="00296529">
    <w:pPr>
      <w:ind w:left="2160"/>
      <w:jc w:val="center"/>
      <w:rPr>
        <w:rFonts w:ascii="Times New Roman" w:eastAsia="Calibri" w:hAnsi="Times New Roman"/>
        <w:i/>
        <w:sz w:val="18"/>
        <w:szCs w:val="22"/>
      </w:rPr>
    </w:pPr>
    <w:r>
      <w:rPr>
        <w:noProof/>
      </w:rPr>
      <w:pict w14:anchorId="1CEBB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2674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22A8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B37C2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AE7AF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AF782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A1024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E21C2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52E2A"/>
    <w:multiLevelType w:val="multilevel"/>
    <w:tmpl w:val="8768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D43F5E"/>
    <w:multiLevelType w:val="multilevel"/>
    <w:tmpl w:val="A3080D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225DE"/>
    <w:multiLevelType w:val="multilevel"/>
    <w:tmpl w:val="EA5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2651B"/>
    <w:multiLevelType w:val="multilevel"/>
    <w:tmpl w:val="279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0AF2B89"/>
    <w:multiLevelType w:val="multilevel"/>
    <w:tmpl w:val="EA1E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930A3"/>
    <w:multiLevelType w:val="multilevel"/>
    <w:tmpl w:val="12AEE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CAA3645"/>
    <w:multiLevelType w:val="multilevel"/>
    <w:tmpl w:val="6E808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4CF2E6A"/>
    <w:multiLevelType w:val="multilevel"/>
    <w:tmpl w:val="94D2C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87C43"/>
    <w:multiLevelType w:val="multilevel"/>
    <w:tmpl w:val="AF5E2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5F6F02"/>
    <w:multiLevelType w:val="multilevel"/>
    <w:tmpl w:val="DFD69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4DBF6C34"/>
    <w:multiLevelType w:val="multilevel"/>
    <w:tmpl w:val="A3080D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D8B3676"/>
    <w:multiLevelType w:val="multilevel"/>
    <w:tmpl w:val="0224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5E70BD"/>
    <w:multiLevelType w:val="multilevel"/>
    <w:tmpl w:val="B2D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382DDD"/>
    <w:multiLevelType w:val="multilevel"/>
    <w:tmpl w:val="4BA8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3"/>
  </w:num>
  <w:num w:numId="6">
    <w:abstractNumId w:val="10"/>
  </w:num>
  <w:num w:numId="7">
    <w:abstractNumId w:val="2"/>
  </w:num>
  <w:num w:numId="8">
    <w:abstractNumId w:val="19"/>
  </w:num>
  <w:num w:numId="9">
    <w:abstractNumId w:val="37"/>
  </w:num>
  <w:num w:numId="10">
    <w:abstractNumId w:val="3"/>
  </w:num>
  <w:num w:numId="11">
    <w:abstractNumId w:val="29"/>
  </w:num>
  <w:num w:numId="12">
    <w:abstractNumId w:val="4"/>
  </w:num>
  <w:num w:numId="13">
    <w:abstractNumId w:val="28"/>
  </w:num>
  <w:num w:numId="14">
    <w:abstractNumId w:val="14"/>
  </w:num>
  <w:num w:numId="15">
    <w:abstractNumId w:val="33"/>
  </w:num>
  <w:num w:numId="16">
    <w:abstractNumId w:val="6"/>
  </w:num>
  <w:num w:numId="17">
    <w:abstractNumId w:val="34"/>
  </w:num>
  <w:num w:numId="18">
    <w:abstractNumId w:val="21"/>
  </w:num>
  <w:num w:numId="19">
    <w:abstractNumId w:val="42"/>
  </w:num>
  <w:num w:numId="20">
    <w:abstractNumId w:val="17"/>
  </w:num>
  <w:num w:numId="21">
    <w:abstractNumId w:val="15"/>
  </w:num>
  <w:num w:numId="22">
    <w:abstractNumId w:val="20"/>
  </w:num>
  <w:num w:numId="23">
    <w:abstractNumId w:val="31"/>
  </w:num>
  <w:num w:numId="24">
    <w:abstractNumId w:val="38"/>
  </w:num>
  <w:num w:numId="25">
    <w:abstractNumId w:val="5"/>
  </w:num>
  <w:num w:numId="26">
    <w:abstractNumId w:val="27"/>
  </w:num>
  <w:num w:numId="27">
    <w:abstractNumId w:val="32"/>
  </w:num>
  <w:num w:numId="28">
    <w:abstractNumId w:val="39"/>
  </w:num>
  <w:num w:numId="29">
    <w:abstractNumId w:val="36"/>
  </w:num>
  <w:num w:numId="30">
    <w:abstractNumId w:val="16"/>
  </w:num>
  <w:num w:numId="31">
    <w:abstractNumId w:val="30"/>
  </w:num>
  <w:num w:numId="32">
    <w:abstractNumId w:val="23"/>
  </w:num>
  <w:num w:numId="33">
    <w:abstractNumId w:val="9"/>
  </w:num>
  <w:num w:numId="34">
    <w:abstractNumId w:val="40"/>
  </w:num>
  <w:num w:numId="35">
    <w:abstractNumId w:val="1"/>
  </w:num>
  <w:num w:numId="36">
    <w:abstractNumId w:val="8"/>
  </w:num>
  <w:num w:numId="37">
    <w:abstractNumId w:val="11"/>
  </w:num>
  <w:num w:numId="38">
    <w:abstractNumId w:val="12"/>
  </w:num>
  <w:num w:numId="39">
    <w:abstractNumId w:val="24"/>
  </w:num>
  <w:num w:numId="40">
    <w:abstractNumId w:val="22"/>
  </w:num>
  <w:num w:numId="41">
    <w:abstractNumId w:val="18"/>
  </w:num>
  <w:num w:numId="42">
    <w:abstractNumId w:val="26"/>
  </w:num>
  <w:num w:numId="43">
    <w:abstractNumId w:val="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0DE"/>
    <w:rsid w:val="000114DF"/>
    <w:rsid w:val="00016A4A"/>
    <w:rsid w:val="00022FF5"/>
    <w:rsid w:val="0002680D"/>
    <w:rsid w:val="00030174"/>
    <w:rsid w:val="00040598"/>
    <w:rsid w:val="0004579C"/>
    <w:rsid w:val="000657A8"/>
    <w:rsid w:val="000A47FA"/>
    <w:rsid w:val="000A65D3"/>
    <w:rsid w:val="000B0492"/>
    <w:rsid w:val="000B1E33"/>
    <w:rsid w:val="000B71C9"/>
    <w:rsid w:val="000D689F"/>
    <w:rsid w:val="000E4FC2"/>
    <w:rsid w:val="000E7B7B"/>
    <w:rsid w:val="000E7D62"/>
    <w:rsid w:val="00103357"/>
    <w:rsid w:val="001209E0"/>
    <w:rsid w:val="0012118C"/>
    <w:rsid w:val="00123C9F"/>
    <w:rsid w:val="00126190"/>
    <w:rsid w:val="00130926"/>
    <w:rsid w:val="00130F17"/>
    <w:rsid w:val="001320BF"/>
    <w:rsid w:val="0015265E"/>
    <w:rsid w:val="0015766D"/>
    <w:rsid w:val="00163BC4"/>
    <w:rsid w:val="00172984"/>
    <w:rsid w:val="00177883"/>
    <w:rsid w:val="001804E3"/>
    <w:rsid w:val="00191062"/>
    <w:rsid w:val="0019148D"/>
    <w:rsid w:val="00192B72"/>
    <w:rsid w:val="001A29D8"/>
    <w:rsid w:val="001A5CAA"/>
    <w:rsid w:val="001B0427"/>
    <w:rsid w:val="001B5681"/>
    <w:rsid w:val="001C2DEA"/>
    <w:rsid w:val="001D3A51"/>
    <w:rsid w:val="001E10D2"/>
    <w:rsid w:val="001E25B4"/>
    <w:rsid w:val="001E44FE"/>
    <w:rsid w:val="001F0E36"/>
    <w:rsid w:val="001F3DC1"/>
    <w:rsid w:val="001F7D8F"/>
    <w:rsid w:val="00200595"/>
    <w:rsid w:val="00204835"/>
    <w:rsid w:val="00207A9A"/>
    <w:rsid w:val="002107DA"/>
    <w:rsid w:val="0021714C"/>
    <w:rsid w:val="00231920"/>
    <w:rsid w:val="0023195C"/>
    <w:rsid w:val="0024282C"/>
    <w:rsid w:val="002460DC"/>
    <w:rsid w:val="00250752"/>
    <w:rsid w:val="00250985"/>
    <w:rsid w:val="002556F6"/>
    <w:rsid w:val="002635CB"/>
    <w:rsid w:val="00283105"/>
    <w:rsid w:val="00283568"/>
    <w:rsid w:val="00284C4C"/>
    <w:rsid w:val="00287E68"/>
    <w:rsid w:val="00296529"/>
    <w:rsid w:val="002A0103"/>
    <w:rsid w:val="002B05B2"/>
    <w:rsid w:val="002B27FB"/>
    <w:rsid w:val="002B685A"/>
    <w:rsid w:val="002C2409"/>
    <w:rsid w:val="002C57D2"/>
    <w:rsid w:val="002E0D56"/>
    <w:rsid w:val="002F1A1F"/>
    <w:rsid w:val="00315186"/>
    <w:rsid w:val="00324A8C"/>
    <w:rsid w:val="0033343E"/>
    <w:rsid w:val="003512C2"/>
    <w:rsid w:val="00357857"/>
    <w:rsid w:val="00371FB6"/>
    <w:rsid w:val="003763C1"/>
    <w:rsid w:val="00376BBE"/>
    <w:rsid w:val="00377155"/>
    <w:rsid w:val="0039224F"/>
    <w:rsid w:val="00394967"/>
    <w:rsid w:val="00397081"/>
    <w:rsid w:val="003A3290"/>
    <w:rsid w:val="003A43A4"/>
    <w:rsid w:val="003A5126"/>
    <w:rsid w:val="003A7E18"/>
    <w:rsid w:val="003C4C86"/>
    <w:rsid w:val="003C6258"/>
    <w:rsid w:val="003D0312"/>
    <w:rsid w:val="003E1B07"/>
    <w:rsid w:val="003E2904"/>
    <w:rsid w:val="00401927"/>
    <w:rsid w:val="00405EBE"/>
    <w:rsid w:val="0041027F"/>
    <w:rsid w:val="00412475"/>
    <w:rsid w:val="00423789"/>
    <w:rsid w:val="00425D21"/>
    <w:rsid w:val="00432FA4"/>
    <w:rsid w:val="00440F43"/>
    <w:rsid w:val="00441B6F"/>
    <w:rsid w:val="0044495D"/>
    <w:rsid w:val="00446221"/>
    <w:rsid w:val="00447F79"/>
    <w:rsid w:val="00450E62"/>
    <w:rsid w:val="004539DB"/>
    <w:rsid w:val="00455433"/>
    <w:rsid w:val="00465F67"/>
    <w:rsid w:val="00471A80"/>
    <w:rsid w:val="004874E4"/>
    <w:rsid w:val="00487583"/>
    <w:rsid w:val="00494B0D"/>
    <w:rsid w:val="004A4683"/>
    <w:rsid w:val="004A7F8E"/>
    <w:rsid w:val="004C556B"/>
    <w:rsid w:val="004D305E"/>
    <w:rsid w:val="004D4277"/>
    <w:rsid w:val="004D5864"/>
    <w:rsid w:val="004E0661"/>
    <w:rsid w:val="004E0CA2"/>
    <w:rsid w:val="00502516"/>
    <w:rsid w:val="00505F06"/>
    <w:rsid w:val="00506828"/>
    <w:rsid w:val="005143B1"/>
    <w:rsid w:val="0053056E"/>
    <w:rsid w:val="00533495"/>
    <w:rsid w:val="0054379E"/>
    <w:rsid w:val="00544562"/>
    <w:rsid w:val="00554FDA"/>
    <w:rsid w:val="0055783B"/>
    <w:rsid w:val="00562437"/>
    <w:rsid w:val="00572BAD"/>
    <w:rsid w:val="00594770"/>
    <w:rsid w:val="005C7814"/>
    <w:rsid w:val="005C784C"/>
    <w:rsid w:val="005D17F6"/>
    <w:rsid w:val="005E0C31"/>
    <w:rsid w:val="005E5539"/>
    <w:rsid w:val="005E6EA1"/>
    <w:rsid w:val="005F4196"/>
    <w:rsid w:val="00602BF5"/>
    <w:rsid w:val="00617FDD"/>
    <w:rsid w:val="00624A71"/>
    <w:rsid w:val="00624CEC"/>
    <w:rsid w:val="00633614"/>
    <w:rsid w:val="00633F68"/>
    <w:rsid w:val="00636EB2"/>
    <w:rsid w:val="006375B8"/>
    <w:rsid w:val="0063772C"/>
    <w:rsid w:val="006517FE"/>
    <w:rsid w:val="0066510A"/>
    <w:rsid w:val="00673F9F"/>
    <w:rsid w:val="00680E9D"/>
    <w:rsid w:val="00684D82"/>
    <w:rsid w:val="00686953"/>
    <w:rsid w:val="00687DEA"/>
    <w:rsid w:val="00687E67"/>
    <w:rsid w:val="006967F7"/>
    <w:rsid w:val="006A20B1"/>
    <w:rsid w:val="006A250C"/>
    <w:rsid w:val="006A25A5"/>
    <w:rsid w:val="006A5403"/>
    <w:rsid w:val="006B21D3"/>
    <w:rsid w:val="006B3903"/>
    <w:rsid w:val="006B57D0"/>
    <w:rsid w:val="006C4F25"/>
    <w:rsid w:val="006C6ABD"/>
    <w:rsid w:val="006C6D39"/>
    <w:rsid w:val="006D30FF"/>
    <w:rsid w:val="006D6940"/>
    <w:rsid w:val="006F11EC"/>
    <w:rsid w:val="0070082C"/>
    <w:rsid w:val="0071088D"/>
    <w:rsid w:val="007135F1"/>
    <w:rsid w:val="0071404B"/>
    <w:rsid w:val="007166C5"/>
    <w:rsid w:val="007227FF"/>
    <w:rsid w:val="00723BFA"/>
    <w:rsid w:val="00734FB3"/>
    <w:rsid w:val="007369E6"/>
    <w:rsid w:val="007409CA"/>
    <w:rsid w:val="00746E59"/>
    <w:rsid w:val="00754C9A"/>
    <w:rsid w:val="0075599A"/>
    <w:rsid w:val="00755DDC"/>
    <w:rsid w:val="007611FE"/>
    <w:rsid w:val="00761D52"/>
    <w:rsid w:val="00763C70"/>
    <w:rsid w:val="00774FFB"/>
    <w:rsid w:val="0077749E"/>
    <w:rsid w:val="00784F43"/>
    <w:rsid w:val="00790ADA"/>
    <w:rsid w:val="007B6851"/>
    <w:rsid w:val="007C2094"/>
    <w:rsid w:val="007C451C"/>
    <w:rsid w:val="007D2288"/>
    <w:rsid w:val="007E088F"/>
    <w:rsid w:val="007F76A9"/>
    <w:rsid w:val="007F7B32"/>
    <w:rsid w:val="00804BC2"/>
    <w:rsid w:val="0081431A"/>
    <w:rsid w:val="00826CCF"/>
    <w:rsid w:val="0083216F"/>
    <w:rsid w:val="008337CC"/>
    <w:rsid w:val="008357DB"/>
    <w:rsid w:val="008418B3"/>
    <w:rsid w:val="00842AF8"/>
    <w:rsid w:val="008474AC"/>
    <w:rsid w:val="00860000"/>
    <w:rsid w:val="00863BD3"/>
    <w:rsid w:val="008641ED"/>
    <w:rsid w:val="00866D66"/>
    <w:rsid w:val="008671C6"/>
    <w:rsid w:val="008700B6"/>
    <w:rsid w:val="0087189B"/>
    <w:rsid w:val="00875803"/>
    <w:rsid w:val="00887BFF"/>
    <w:rsid w:val="0089126D"/>
    <w:rsid w:val="008915F6"/>
    <w:rsid w:val="008A14FE"/>
    <w:rsid w:val="008A72C3"/>
    <w:rsid w:val="008B459E"/>
    <w:rsid w:val="008D2B2D"/>
    <w:rsid w:val="008D4EEF"/>
    <w:rsid w:val="008E13AE"/>
    <w:rsid w:val="008E1506"/>
    <w:rsid w:val="008E710C"/>
    <w:rsid w:val="008F4916"/>
    <w:rsid w:val="008F69D6"/>
    <w:rsid w:val="00902823"/>
    <w:rsid w:val="00911BA3"/>
    <w:rsid w:val="00915CA6"/>
    <w:rsid w:val="00927834"/>
    <w:rsid w:val="00930CB7"/>
    <w:rsid w:val="009318F4"/>
    <w:rsid w:val="009375FD"/>
    <w:rsid w:val="0094353B"/>
    <w:rsid w:val="009500A6"/>
    <w:rsid w:val="00951BF6"/>
    <w:rsid w:val="00957C18"/>
    <w:rsid w:val="00965130"/>
    <w:rsid w:val="009659BA"/>
    <w:rsid w:val="00982FB5"/>
    <w:rsid w:val="00983040"/>
    <w:rsid w:val="00985B79"/>
    <w:rsid w:val="009A076B"/>
    <w:rsid w:val="009B2329"/>
    <w:rsid w:val="009B23B5"/>
    <w:rsid w:val="009B3FB9"/>
    <w:rsid w:val="009C2465"/>
    <w:rsid w:val="009D35A0"/>
    <w:rsid w:val="009D475D"/>
    <w:rsid w:val="009D7EB7"/>
    <w:rsid w:val="009E048A"/>
    <w:rsid w:val="009E08E9"/>
    <w:rsid w:val="009E3DB9"/>
    <w:rsid w:val="009E6E35"/>
    <w:rsid w:val="009F0EDA"/>
    <w:rsid w:val="009F7273"/>
    <w:rsid w:val="00A03B96"/>
    <w:rsid w:val="00A05B19"/>
    <w:rsid w:val="00A1134E"/>
    <w:rsid w:val="00A13C95"/>
    <w:rsid w:val="00A143D7"/>
    <w:rsid w:val="00A24E7E"/>
    <w:rsid w:val="00A258C3"/>
    <w:rsid w:val="00A347C0"/>
    <w:rsid w:val="00A36450"/>
    <w:rsid w:val="00A413D2"/>
    <w:rsid w:val="00A5126F"/>
    <w:rsid w:val="00A51431"/>
    <w:rsid w:val="00A539AD"/>
    <w:rsid w:val="00A6165B"/>
    <w:rsid w:val="00A6466C"/>
    <w:rsid w:val="00A815DD"/>
    <w:rsid w:val="00A858E9"/>
    <w:rsid w:val="00A8591D"/>
    <w:rsid w:val="00A87920"/>
    <w:rsid w:val="00A94063"/>
    <w:rsid w:val="00AA46FD"/>
    <w:rsid w:val="00AA6219"/>
    <w:rsid w:val="00AA74E0"/>
    <w:rsid w:val="00AB703F"/>
    <w:rsid w:val="00AC1C3C"/>
    <w:rsid w:val="00AC39D0"/>
    <w:rsid w:val="00AC6BB8"/>
    <w:rsid w:val="00AE008F"/>
    <w:rsid w:val="00AF3947"/>
    <w:rsid w:val="00B001BB"/>
    <w:rsid w:val="00B01FCD"/>
    <w:rsid w:val="00B173CE"/>
    <w:rsid w:val="00B1776C"/>
    <w:rsid w:val="00B227C8"/>
    <w:rsid w:val="00B40CB1"/>
    <w:rsid w:val="00B433D9"/>
    <w:rsid w:val="00B46965"/>
    <w:rsid w:val="00B52583"/>
    <w:rsid w:val="00B52896"/>
    <w:rsid w:val="00B64F83"/>
    <w:rsid w:val="00B80B4D"/>
    <w:rsid w:val="00B95236"/>
    <w:rsid w:val="00B96BD9"/>
    <w:rsid w:val="00BA1B01"/>
    <w:rsid w:val="00BA2641"/>
    <w:rsid w:val="00BA7024"/>
    <w:rsid w:val="00BB37AA"/>
    <w:rsid w:val="00BB5A7A"/>
    <w:rsid w:val="00BB7A6E"/>
    <w:rsid w:val="00BC53A0"/>
    <w:rsid w:val="00BD6D0C"/>
    <w:rsid w:val="00BD7BAB"/>
    <w:rsid w:val="00BE62AD"/>
    <w:rsid w:val="00BF00F7"/>
    <w:rsid w:val="00BF121F"/>
    <w:rsid w:val="00BF1F80"/>
    <w:rsid w:val="00BF6297"/>
    <w:rsid w:val="00C018F7"/>
    <w:rsid w:val="00C166EF"/>
    <w:rsid w:val="00C17EB0"/>
    <w:rsid w:val="00C20C99"/>
    <w:rsid w:val="00C27F5F"/>
    <w:rsid w:val="00C30A0F"/>
    <w:rsid w:val="00C343D7"/>
    <w:rsid w:val="00C37E61"/>
    <w:rsid w:val="00C54DBB"/>
    <w:rsid w:val="00C70F1B"/>
    <w:rsid w:val="00C71A47"/>
    <w:rsid w:val="00C740C3"/>
    <w:rsid w:val="00C7464C"/>
    <w:rsid w:val="00C83C39"/>
    <w:rsid w:val="00C85588"/>
    <w:rsid w:val="00C870D9"/>
    <w:rsid w:val="00CA349F"/>
    <w:rsid w:val="00CB610A"/>
    <w:rsid w:val="00CC5988"/>
    <w:rsid w:val="00CD3A01"/>
    <w:rsid w:val="00CD6755"/>
    <w:rsid w:val="00CD6856"/>
    <w:rsid w:val="00CE0089"/>
    <w:rsid w:val="00CE2813"/>
    <w:rsid w:val="00CE3DEC"/>
    <w:rsid w:val="00CE793C"/>
    <w:rsid w:val="00CF193C"/>
    <w:rsid w:val="00D13F8B"/>
    <w:rsid w:val="00D173F1"/>
    <w:rsid w:val="00D27E10"/>
    <w:rsid w:val="00D46EEE"/>
    <w:rsid w:val="00D5495A"/>
    <w:rsid w:val="00D67E30"/>
    <w:rsid w:val="00D74CB0"/>
    <w:rsid w:val="00D8295D"/>
    <w:rsid w:val="00D863CF"/>
    <w:rsid w:val="00DB5AB0"/>
    <w:rsid w:val="00DC2A65"/>
    <w:rsid w:val="00DC3146"/>
    <w:rsid w:val="00DD13AB"/>
    <w:rsid w:val="00DD1788"/>
    <w:rsid w:val="00DD3920"/>
    <w:rsid w:val="00DE15F0"/>
    <w:rsid w:val="00DE5388"/>
    <w:rsid w:val="00DE5663"/>
    <w:rsid w:val="00DE6E96"/>
    <w:rsid w:val="00DE78AA"/>
    <w:rsid w:val="00DF08CD"/>
    <w:rsid w:val="00DF66C3"/>
    <w:rsid w:val="00E053D0"/>
    <w:rsid w:val="00E15994"/>
    <w:rsid w:val="00E1649A"/>
    <w:rsid w:val="00E26B75"/>
    <w:rsid w:val="00E3114E"/>
    <w:rsid w:val="00E31A70"/>
    <w:rsid w:val="00E355B3"/>
    <w:rsid w:val="00E35B02"/>
    <w:rsid w:val="00E565E9"/>
    <w:rsid w:val="00E66496"/>
    <w:rsid w:val="00E66B35"/>
    <w:rsid w:val="00E66E10"/>
    <w:rsid w:val="00E769F6"/>
    <w:rsid w:val="00E8407C"/>
    <w:rsid w:val="00E84F3C"/>
    <w:rsid w:val="00EA012C"/>
    <w:rsid w:val="00EB3C92"/>
    <w:rsid w:val="00EC2A31"/>
    <w:rsid w:val="00EC6A55"/>
    <w:rsid w:val="00ED0288"/>
    <w:rsid w:val="00ED0542"/>
    <w:rsid w:val="00ED4C6C"/>
    <w:rsid w:val="00EE52CB"/>
    <w:rsid w:val="00EF53CE"/>
    <w:rsid w:val="00EF581D"/>
    <w:rsid w:val="00EF7FD8"/>
    <w:rsid w:val="00F04A7A"/>
    <w:rsid w:val="00F06F59"/>
    <w:rsid w:val="00F17988"/>
    <w:rsid w:val="00F2111F"/>
    <w:rsid w:val="00F469F0"/>
    <w:rsid w:val="00F51974"/>
    <w:rsid w:val="00F53273"/>
    <w:rsid w:val="00F60863"/>
    <w:rsid w:val="00F755E4"/>
    <w:rsid w:val="00F77D02"/>
    <w:rsid w:val="00F96046"/>
    <w:rsid w:val="00FB3A86"/>
    <w:rsid w:val="00FD36C8"/>
    <w:rsid w:val="00FD4A7F"/>
    <w:rsid w:val="00FE1E9A"/>
    <w:rsid w:val="00FF3E69"/>
    <w:rsid w:val="00FF5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5B1B5D"/>
  <w15:docId w15:val="{92B2AF6F-1561-4FC3-88D4-1A7540F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A25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6165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E565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A6165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C240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C2409"/>
    <w:rPr>
      <w:b/>
      <w:bCs/>
    </w:rPr>
  </w:style>
  <w:style w:type="paragraph" w:styleId="ListParagraph">
    <w:name w:val="List Paragraph"/>
    <w:basedOn w:val="Normal"/>
    <w:uiPriority w:val="34"/>
    <w:qFormat/>
    <w:rsid w:val="002C2409"/>
    <w:pPr>
      <w:ind w:left="720"/>
      <w:contextualSpacing/>
    </w:pPr>
  </w:style>
  <w:style w:type="character" w:customStyle="1" w:styleId="HeaderChar">
    <w:name w:val="Header Char"/>
    <w:basedOn w:val="DefaultParagraphFont"/>
    <w:link w:val="Header"/>
    <w:uiPriority w:val="99"/>
    <w:rsid w:val="003A5126"/>
    <w:rPr>
      <w:rFonts w:ascii="Helvetica" w:hAnsi="Helvetica"/>
    </w:rPr>
  </w:style>
  <w:style w:type="character" w:customStyle="1" w:styleId="Heading4Char">
    <w:name w:val="Heading 4 Char"/>
    <w:basedOn w:val="DefaultParagraphFont"/>
    <w:link w:val="Heading4"/>
    <w:semiHidden/>
    <w:rsid w:val="00E565E9"/>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semiHidden/>
    <w:rsid w:val="006A25A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9956249">
      <w:bodyDiv w:val="1"/>
      <w:marLeft w:val="0"/>
      <w:marRight w:val="0"/>
      <w:marTop w:val="0"/>
      <w:marBottom w:val="0"/>
      <w:divBdr>
        <w:top w:val="none" w:sz="0" w:space="0" w:color="auto"/>
        <w:left w:val="none" w:sz="0" w:space="0" w:color="auto"/>
        <w:bottom w:val="none" w:sz="0" w:space="0" w:color="auto"/>
        <w:right w:val="none" w:sz="0" w:space="0" w:color="auto"/>
      </w:divBdr>
      <w:divsChild>
        <w:div w:id="819661858">
          <w:marLeft w:val="0"/>
          <w:marRight w:val="0"/>
          <w:marTop w:val="100"/>
          <w:marBottom w:val="100"/>
          <w:divBdr>
            <w:top w:val="none" w:sz="0" w:space="0" w:color="auto"/>
            <w:left w:val="none" w:sz="0" w:space="0" w:color="auto"/>
            <w:bottom w:val="none" w:sz="0" w:space="0" w:color="auto"/>
            <w:right w:val="none" w:sz="0" w:space="0" w:color="auto"/>
          </w:divBdr>
          <w:divsChild>
            <w:div w:id="39134809">
              <w:marLeft w:val="0"/>
              <w:marRight w:val="0"/>
              <w:marTop w:val="0"/>
              <w:marBottom w:val="0"/>
              <w:divBdr>
                <w:top w:val="none" w:sz="0" w:space="0" w:color="auto"/>
                <w:left w:val="none" w:sz="0" w:space="0" w:color="auto"/>
                <w:bottom w:val="none" w:sz="0" w:space="0" w:color="auto"/>
                <w:right w:val="none" w:sz="0" w:space="0" w:color="auto"/>
              </w:divBdr>
              <w:divsChild>
                <w:div w:id="123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638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636308">
      <w:bodyDiv w:val="1"/>
      <w:marLeft w:val="0"/>
      <w:marRight w:val="0"/>
      <w:marTop w:val="0"/>
      <w:marBottom w:val="0"/>
      <w:divBdr>
        <w:top w:val="none" w:sz="0" w:space="0" w:color="auto"/>
        <w:left w:val="none" w:sz="0" w:space="0" w:color="auto"/>
        <w:bottom w:val="none" w:sz="0" w:space="0" w:color="auto"/>
        <w:right w:val="none" w:sz="0" w:space="0" w:color="auto"/>
      </w:divBdr>
      <w:divsChild>
        <w:div w:id="926113816">
          <w:marLeft w:val="0"/>
          <w:marRight w:val="0"/>
          <w:marTop w:val="0"/>
          <w:marBottom w:val="0"/>
          <w:divBdr>
            <w:top w:val="none" w:sz="0" w:space="0" w:color="auto"/>
            <w:left w:val="none" w:sz="0" w:space="0" w:color="auto"/>
            <w:bottom w:val="none" w:sz="0" w:space="0" w:color="auto"/>
            <w:right w:val="none" w:sz="0" w:space="0" w:color="auto"/>
          </w:divBdr>
          <w:divsChild>
            <w:div w:id="588775599">
              <w:marLeft w:val="0"/>
              <w:marRight w:val="0"/>
              <w:marTop w:val="0"/>
              <w:marBottom w:val="0"/>
              <w:divBdr>
                <w:top w:val="none" w:sz="0" w:space="0" w:color="auto"/>
                <w:left w:val="none" w:sz="0" w:space="0" w:color="auto"/>
                <w:bottom w:val="none" w:sz="0" w:space="0" w:color="auto"/>
                <w:right w:val="none" w:sz="0" w:space="0" w:color="auto"/>
              </w:divBdr>
              <w:divsChild>
                <w:div w:id="14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7607779">
      <w:bodyDiv w:val="1"/>
      <w:marLeft w:val="0"/>
      <w:marRight w:val="0"/>
      <w:marTop w:val="0"/>
      <w:marBottom w:val="0"/>
      <w:divBdr>
        <w:top w:val="none" w:sz="0" w:space="0" w:color="auto"/>
        <w:left w:val="none" w:sz="0" w:space="0" w:color="auto"/>
        <w:bottom w:val="none" w:sz="0" w:space="0" w:color="auto"/>
        <w:right w:val="none" w:sz="0" w:space="0" w:color="auto"/>
      </w:divBdr>
    </w:div>
    <w:div w:id="539247585">
      <w:bodyDiv w:val="1"/>
      <w:marLeft w:val="0"/>
      <w:marRight w:val="0"/>
      <w:marTop w:val="0"/>
      <w:marBottom w:val="0"/>
      <w:divBdr>
        <w:top w:val="none" w:sz="0" w:space="0" w:color="auto"/>
        <w:left w:val="none" w:sz="0" w:space="0" w:color="auto"/>
        <w:bottom w:val="none" w:sz="0" w:space="0" w:color="auto"/>
        <w:right w:val="none" w:sz="0" w:space="0" w:color="auto"/>
      </w:divBdr>
    </w:div>
    <w:div w:id="55150487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2431913">
      <w:bodyDiv w:val="1"/>
      <w:marLeft w:val="0"/>
      <w:marRight w:val="0"/>
      <w:marTop w:val="0"/>
      <w:marBottom w:val="0"/>
      <w:divBdr>
        <w:top w:val="none" w:sz="0" w:space="0" w:color="auto"/>
        <w:left w:val="none" w:sz="0" w:space="0" w:color="auto"/>
        <w:bottom w:val="none" w:sz="0" w:space="0" w:color="auto"/>
        <w:right w:val="none" w:sz="0" w:space="0" w:color="auto"/>
      </w:divBdr>
      <w:divsChild>
        <w:div w:id="357662468">
          <w:marLeft w:val="0"/>
          <w:marRight w:val="0"/>
          <w:marTop w:val="100"/>
          <w:marBottom w:val="100"/>
          <w:divBdr>
            <w:top w:val="none" w:sz="0" w:space="0" w:color="auto"/>
            <w:left w:val="none" w:sz="0" w:space="0" w:color="auto"/>
            <w:bottom w:val="none" w:sz="0" w:space="0" w:color="auto"/>
            <w:right w:val="none" w:sz="0" w:space="0" w:color="auto"/>
          </w:divBdr>
          <w:divsChild>
            <w:div w:id="809052400">
              <w:marLeft w:val="0"/>
              <w:marRight w:val="0"/>
              <w:marTop w:val="0"/>
              <w:marBottom w:val="0"/>
              <w:divBdr>
                <w:top w:val="none" w:sz="0" w:space="0" w:color="auto"/>
                <w:left w:val="none" w:sz="0" w:space="0" w:color="auto"/>
                <w:bottom w:val="none" w:sz="0" w:space="0" w:color="auto"/>
                <w:right w:val="none" w:sz="0" w:space="0" w:color="auto"/>
              </w:divBdr>
              <w:divsChild>
                <w:div w:id="7177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1953913">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5638308">
      <w:bodyDiv w:val="1"/>
      <w:marLeft w:val="0"/>
      <w:marRight w:val="0"/>
      <w:marTop w:val="0"/>
      <w:marBottom w:val="0"/>
      <w:divBdr>
        <w:top w:val="none" w:sz="0" w:space="0" w:color="auto"/>
        <w:left w:val="none" w:sz="0" w:space="0" w:color="auto"/>
        <w:bottom w:val="none" w:sz="0" w:space="0" w:color="auto"/>
        <w:right w:val="none" w:sz="0" w:space="0" w:color="auto"/>
      </w:divBdr>
    </w:div>
    <w:div w:id="110253197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1630818">
      <w:bodyDiv w:val="1"/>
      <w:marLeft w:val="0"/>
      <w:marRight w:val="0"/>
      <w:marTop w:val="0"/>
      <w:marBottom w:val="0"/>
      <w:divBdr>
        <w:top w:val="none" w:sz="0" w:space="0" w:color="auto"/>
        <w:left w:val="none" w:sz="0" w:space="0" w:color="auto"/>
        <w:bottom w:val="none" w:sz="0" w:space="0" w:color="auto"/>
        <w:right w:val="none" w:sz="0" w:space="0" w:color="auto"/>
      </w:divBdr>
    </w:div>
    <w:div w:id="1363480482">
      <w:bodyDiv w:val="1"/>
      <w:marLeft w:val="0"/>
      <w:marRight w:val="0"/>
      <w:marTop w:val="0"/>
      <w:marBottom w:val="0"/>
      <w:divBdr>
        <w:top w:val="none" w:sz="0" w:space="0" w:color="auto"/>
        <w:left w:val="none" w:sz="0" w:space="0" w:color="auto"/>
        <w:bottom w:val="none" w:sz="0" w:space="0" w:color="auto"/>
        <w:right w:val="none" w:sz="0" w:space="0" w:color="auto"/>
      </w:divBdr>
      <w:divsChild>
        <w:div w:id="1866020723">
          <w:marLeft w:val="0"/>
          <w:marRight w:val="0"/>
          <w:marTop w:val="0"/>
          <w:marBottom w:val="0"/>
          <w:divBdr>
            <w:top w:val="none" w:sz="0" w:space="0" w:color="auto"/>
            <w:left w:val="none" w:sz="0" w:space="0" w:color="auto"/>
            <w:bottom w:val="none" w:sz="0" w:space="0" w:color="auto"/>
            <w:right w:val="none" w:sz="0" w:space="0" w:color="auto"/>
          </w:divBdr>
          <w:divsChild>
            <w:div w:id="2125071800">
              <w:marLeft w:val="0"/>
              <w:marRight w:val="0"/>
              <w:marTop w:val="0"/>
              <w:marBottom w:val="0"/>
              <w:divBdr>
                <w:top w:val="none" w:sz="0" w:space="0" w:color="auto"/>
                <w:left w:val="none" w:sz="0" w:space="0" w:color="auto"/>
                <w:bottom w:val="none" w:sz="0" w:space="0" w:color="auto"/>
                <w:right w:val="none" w:sz="0" w:space="0" w:color="auto"/>
              </w:divBdr>
              <w:divsChild>
                <w:div w:id="20187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15758">
      <w:bodyDiv w:val="1"/>
      <w:marLeft w:val="0"/>
      <w:marRight w:val="0"/>
      <w:marTop w:val="0"/>
      <w:marBottom w:val="0"/>
      <w:divBdr>
        <w:top w:val="none" w:sz="0" w:space="0" w:color="auto"/>
        <w:left w:val="none" w:sz="0" w:space="0" w:color="auto"/>
        <w:bottom w:val="none" w:sz="0" w:space="0" w:color="auto"/>
        <w:right w:val="none" w:sz="0" w:space="0" w:color="auto"/>
      </w:divBdr>
    </w:div>
    <w:div w:id="1540240395">
      <w:bodyDiv w:val="1"/>
      <w:marLeft w:val="0"/>
      <w:marRight w:val="0"/>
      <w:marTop w:val="0"/>
      <w:marBottom w:val="0"/>
      <w:divBdr>
        <w:top w:val="none" w:sz="0" w:space="0" w:color="auto"/>
        <w:left w:val="none" w:sz="0" w:space="0" w:color="auto"/>
        <w:bottom w:val="none" w:sz="0" w:space="0" w:color="auto"/>
        <w:right w:val="none" w:sz="0" w:space="0" w:color="auto"/>
      </w:divBdr>
    </w:div>
    <w:div w:id="1599175197">
      <w:bodyDiv w:val="1"/>
      <w:marLeft w:val="0"/>
      <w:marRight w:val="0"/>
      <w:marTop w:val="0"/>
      <w:marBottom w:val="0"/>
      <w:divBdr>
        <w:top w:val="none" w:sz="0" w:space="0" w:color="auto"/>
        <w:left w:val="none" w:sz="0" w:space="0" w:color="auto"/>
        <w:bottom w:val="none" w:sz="0" w:space="0" w:color="auto"/>
        <w:right w:val="none" w:sz="0" w:space="0" w:color="auto"/>
      </w:divBdr>
    </w:div>
    <w:div w:id="1602570663">
      <w:bodyDiv w:val="1"/>
      <w:marLeft w:val="0"/>
      <w:marRight w:val="0"/>
      <w:marTop w:val="0"/>
      <w:marBottom w:val="0"/>
      <w:divBdr>
        <w:top w:val="none" w:sz="0" w:space="0" w:color="auto"/>
        <w:left w:val="none" w:sz="0" w:space="0" w:color="auto"/>
        <w:bottom w:val="none" w:sz="0" w:space="0" w:color="auto"/>
        <w:right w:val="none" w:sz="0" w:space="0" w:color="auto"/>
      </w:divBdr>
    </w:div>
    <w:div w:id="1677490921">
      <w:bodyDiv w:val="1"/>
      <w:marLeft w:val="0"/>
      <w:marRight w:val="0"/>
      <w:marTop w:val="0"/>
      <w:marBottom w:val="0"/>
      <w:divBdr>
        <w:top w:val="none" w:sz="0" w:space="0" w:color="auto"/>
        <w:left w:val="none" w:sz="0" w:space="0" w:color="auto"/>
        <w:bottom w:val="none" w:sz="0" w:space="0" w:color="auto"/>
        <w:right w:val="none" w:sz="0" w:space="0" w:color="auto"/>
      </w:divBdr>
    </w:div>
    <w:div w:id="17299150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7536359">
      <w:bodyDiv w:val="1"/>
      <w:marLeft w:val="0"/>
      <w:marRight w:val="0"/>
      <w:marTop w:val="0"/>
      <w:marBottom w:val="0"/>
      <w:divBdr>
        <w:top w:val="none" w:sz="0" w:space="0" w:color="auto"/>
        <w:left w:val="none" w:sz="0" w:space="0" w:color="auto"/>
        <w:bottom w:val="none" w:sz="0" w:space="0" w:color="auto"/>
        <w:right w:val="none" w:sz="0" w:space="0" w:color="auto"/>
      </w:divBdr>
    </w:div>
    <w:div w:id="1809934940">
      <w:bodyDiv w:val="1"/>
      <w:marLeft w:val="0"/>
      <w:marRight w:val="0"/>
      <w:marTop w:val="0"/>
      <w:marBottom w:val="0"/>
      <w:divBdr>
        <w:top w:val="none" w:sz="0" w:space="0" w:color="auto"/>
        <w:left w:val="none" w:sz="0" w:space="0" w:color="auto"/>
        <w:bottom w:val="none" w:sz="0" w:space="0" w:color="auto"/>
        <w:right w:val="none" w:sz="0" w:space="0" w:color="auto"/>
      </w:divBdr>
    </w:div>
    <w:div w:id="1862891964">
      <w:bodyDiv w:val="1"/>
      <w:marLeft w:val="0"/>
      <w:marRight w:val="0"/>
      <w:marTop w:val="0"/>
      <w:marBottom w:val="0"/>
      <w:divBdr>
        <w:top w:val="none" w:sz="0" w:space="0" w:color="auto"/>
        <w:left w:val="none" w:sz="0" w:space="0" w:color="auto"/>
        <w:bottom w:val="none" w:sz="0" w:space="0" w:color="auto"/>
        <w:right w:val="none" w:sz="0" w:space="0" w:color="auto"/>
      </w:divBdr>
    </w:div>
    <w:div w:id="1867016118">
      <w:bodyDiv w:val="1"/>
      <w:marLeft w:val="0"/>
      <w:marRight w:val="0"/>
      <w:marTop w:val="0"/>
      <w:marBottom w:val="0"/>
      <w:divBdr>
        <w:top w:val="none" w:sz="0" w:space="0" w:color="auto"/>
        <w:left w:val="none" w:sz="0" w:space="0" w:color="auto"/>
        <w:bottom w:val="none" w:sz="0" w:space="0" w:color="auto"/>
        <w:right w:val="none" w:sz="0" w:space="0" w:color="auto"/>
      </w:divBdr>
    </w:div>
    <w:div w:id="1926645027">
      <w:bodyDiv w:val="1"/>
      <w:marLeft w:val="0"/>
      <w:marRight w:val="0"/>
      <w:marTop w:val="0"/>
      <w:marBottom w:val="0"/>
      <w:divBdr>
        <w:top w:val="none" w:sz="0" w:space="0" w:color="auto"/>
        <w:left w:val="none" w:sz="0" w:space="0" w:color="auto"/>
        <w:bottom w:val="none" w:sz="0" w:space="0" w:color="auto"/>
        <w:right w:val="none" w:sz="0" w:space="0" w:color="auto"/>
      </w:divBdr>
    </w:div>
    <w:div w:id="19322708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mf.org/external/pubs/ft/scr/2015/cr15267.pdf" TargetMode="External"/><Relationship Id="rId26" Type="http://schemas.openxmlformats.org/officeDocument/2006/relationships/hyperlink" Target="https://www.frontiermyanmar.net/en/" TargetMode="External"/><Relationship Id="rId3" Type="http://schemas.openxmlformats.org/officeDocument/2006/relationships/styles" Target="styles.xml"/><Relationship Id="rId21" Type="http://schemas.openxmlformats.org/officeDocument/2006/relationships/hyperlink" Target="https://voyager.ce.fit.ac.jp/conf/%20cisis/2020/index.ph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db.org/news/myanmar-s-economic-growth-recover-improved-external-environment-continued-reforms" TargetMode="External"/><Relationship Id="rId25" Type="http://schemas.openxmlformats.org/officeDocument/2006/relationships/hyperlink" Target="https://www.bing.com/ck/a?!&amp;&amp;p=3875cd047a2abd3b0c09247dfe1a268053b456b1ebe0b8ddb2a573ab914bf59eJmltdHM9MTc1MjI3ODQwMA&amp;ptn=3&amp;ver=2&amp;hsh=4&amp;fclid=0502781e-c07d-6770-3da0-68dec14566e5&amp;u=a1aHR0cHM6Ly93d3cuZnJvbnRpZXJteWFubWFyLm5ldC9lbi93b3JrZXJzLXN0cnVnZ2xlLXRvLW1ha2UtZW5kcy1tZWV0LWluLW15YW5tYXIv&amp;ntb=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worldbank.org/en/country/myanmar/publication/myanmar-economic-monitor-reports" TargetMode="External"/><Relationship Id="rId29" Type="http://schemas.openxmlformats.org/officeDocument/2006/relationships/hyperlink" Target="https://www.reuters.com/world/asia-pacific/china-calls-myanmar-maintain-stability-along-border-through-cooperation-2023-1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db.org/documents/adb-annual-report-2016"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asean.org/wp-content/uploads/2023/12/AIR-Special-2023.pdf" TargetMode="External"/><Relationship Id="rId28" Type="http://schemas.openxmlformats.org/officeDocument/2006/relationships/hyperlink" Target="https://www.imf.org/en/Publications/CR/Issues/2017/02/02/Myanmar-Selected-Issues-44613" TargetMode="External"/><Relationship Id="rId10" Type="http://schemas.openxmlformats.org/officeDocument/2006/relationships/footer" Target="footer1.xml"/><Relationship Id="rId19" Type="http://schemas.openxmlformats.org/officeDocument/2006/relationships/hyperlink" Target="https://2021-2025.state.gov/imposing-sanctions-on-burmese-state-owned-enterpri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imf.org/en/Publications/WEO/weo-database/2022/October" TargetMode="External"/><Relationship Id="rId27" Type="http://schemas.openxmlformats.org/officeDocument/2006/relationships/hyperlink" Target="https://www.ilo.org/publications/weaving-gender-challenges-and-opportunities-myanmar-garment-industry"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E748-8A85-4727-966F-B98D8319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2704</TotalTime>
  <Pages>12</Pages>
  <Words>4116</Words>
  <Characters>23464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27525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1180</cp:lastModifiedBy>
  <cp:revision>25</cp:revision>
  <cp:lastPrinted>2025-07-20T10:25:00Z</cp:lastPrinted>
  <dcterms:created xsi:type="dcterms:W3CDTF">2025-06-22T16:08:00Z</dcterms:created>
  <dcterms:modified xsi:type="dcterms:W3CDTF">2025-07-21T06:52:00Z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f764ba88-e2d6-4e9c-91ac-75b276e2f56a</vt:lpwstr>
  </property>
</Properties>
</file>