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00048" w14:textId="77777777" w:rsidR="00A3578D" w:rsidRDefault="00A3578D">
      <w:pPr>
        <w:rPr>
          <w:b/>
          <w:bCs/>
          <w:sz w:val="24"/>
          <w:szCs w:val="24"/>
          <w:lang w:val="en-US"/>
        </w:rPr>
      </w:pPr>
      <w:bookmarkStart w:id="0" w:name="_GoBack"/>
      <w:bookmarkEnd w:id="0"/>
    </w:p>
    <w:p w14:paraId="3B177E02" w14:textId="77777777" w:rsidR="00C479E0" w:rsidRDefault="00A3578D">
      <w:pPr>
        <w:rPr>
          <w:b/>
          <w:i/>
          <w:iCs/>
          <w:sz w:val="24"/>
          <w:szCs w:val="24"/>
        </w:rPr>
      </w:pPr>
      <w:r>
        <w:rPr>
          <w:b/>
          <w:bCs/>
          <w:sz w:val="24"/>
          <w:szCs w:val="24"/>
          <w:lang w:val="en-US"/>
        </w:rPr>
        <w:t xml:space="preserve">Influence of accelerated ageing on physiological parameters of Sorghum seed </w:t>
      </w:r>
      <w:r w:rsidR="005256DB" w:rsidRPr="005256DB">
        <w:rPr>
          <w:b/>
          <w:sz w:val="24"/>
          <w:szCs w:val="24"/>
        </w:rPr>
        <w:t>[</w:t>
      </w:r>
      <w:r w:rsidR="005256DB" w:rsidRPr="005256DB">
        <w:rPr>
          <w:b/>
          <w:i/>
          <w:iCs/>
          <w:sz w:val="24"/>
          <w:szCs w:val="24"/>
        </w:rPr>
        <w:t xml:space="preserve">Sorghum </w:t>
      </w:r>
      <w:proofErr w:type="spellStart"/>
      <w:r w:rsidR="005256DB" w:rsidRPr="005256DB">
        <w:rPr>
          <w:b/>
          <w:i/>
          <w:iCs/>
          <w:sz w:val="24"/>
          <w:szCs w:val="24"/>
        </w:rPr>
        <w:t>bicolor</w:t>
      </w:r>
      <w:proofErr w:type="spellEnd"/>
      <w:r w:rsidR="005256DB" w:rsidRPr="005256DB">
        <w:rPr>
          <w:b/>
          <w:i/>
          <w:iCs/>
          <w:sz w:val="24"/>
          <w:szCs w:val="24"/>
        </w:rPr>
        <w:t xml:space="preserve"> (L.) Moench]</w:t>
      </w:r>
    </w:p>
    <w:p w14:paraId="0326C78E" w14:textId="77777777" w:rsidR="00E738E3" w:rsidRPr="00A3578D" w:rsidRDefault="00E738E3">
      <w:pPr>
        <w:rPr>
          <w:b/>
          <w:bCs/>
          <w:sz w:val="24"/>
          <w:szCs w:val="24"/>
          <w:lang w:val="en-US"/>
        </w:rPr>
      </w:pPr>
    </w:p>
    <w:p w14:paraId="42798A83" w14:textId="77777777" w:rsidR="005D6CD5" w:rsidRDefault="005D6CD5" w:rsidP="005256DB">
      <w:pPr>
        <w:pStyle w:val="NoSpacing"/>
      </w:pPr>
    </w:p>
    <w:p w14:paraId="4BC3ADD6" w14:textId="77777777" w:rsidR="005256DB" w:rsidRDefault="005256DB" w:rsidP="005256DB">
      <w:pPr>
        <w:pStyle w:val="NoSpacing"/>
      </w:pPr>
    </w:p>
    <w:p w14:paraId="2CF0DA50" w14:textId="77777777" w:rsidR="005256DB" w:rsidRDefault="00AC573F" w:rsidP="005256DB">
      <w:pPr>
        <w:pStyle w:val="NoSpacing"/>
        <w:rPr>
          <w:b/>
          <w:bCs/>
        </w:rPr>
      </w:pPr>
      <w:r>
        <w:rPr>
          <w:b/>
          <w:bCs/>
        </w:rPr>
        <w:t>Abstract</w:t>
      </w:r>
    </w:p>
    <w:p w14:paraId="2EF3F44C" w14:textId="77777777" w:rsidR="00AC573F" w:rsidRDefault="00AC573F" w:rsidP="00AC573F">
      <w:pPr>
        <w:pStyle w:val="BodyText"/>
        <w:spacing w:before="241"/>
        <w:ind w:right="248"/>
        <w:jc w:val="both"/>
      </w:pPr>
      <w:r>
        <w:t>The seed samples with different levels of initial</w:t>
      </w:r>
      <w:r>
        <w:rPr>
          <w:spacing w:val="-10"/>
        </w:rPr>
        <w:t xml:space="preserve"> </w:t>
      </w:r>
      <w:r>
        <w:t>seed</w:t>
      </w:r>
      <w:r>
        <w:rPr>
          <w:spacing w:val="-2"/>
        </w:rPr>
        <w:t xml:space="preserve"> </w:t>
      </w:r>
      <w:r>
        <w:t>of</w:t>
      </w:r>
      <w:r>
        <w:rPr>
          <w:spacing w:val="-2"/>
        </w:rPr>
        <w:t xml:space="preserve"> </w:t>
      </w:r>
      <w:r>
        <w:t>sorghum variety,</w:t>
      </w:r>
      <w:r>
        <w:rPr>
          <w:spacing w:val="-2"/>
        </w:rPr>
        <w:t xml:space="preserve"> </w:t>
      </w:r>
      <w:r>
        <w:t>CoFs-31 was</w:t>
      </w:r>
      <w:r>
        <w:rPr>
          <w:spacing w:val="-4"/>
        </w:rPr>
        <w:t xml:space="preserve"> </w:t>
      </w:r>
      <w:r>
        <w:t>subjected</w:t>
      </w:r>
      <w:r>
        <w:rPr>
          <w:spacing w:val="-2"/>
        </w:rPr>
        <w:t xml:space="preserve"> </w:t>
      </w:r>
      <w:r>
        <w:t>to</w:t>
      </w:r>
      <w:r>
        <w:rPr>
          <w:spacing w:val="-2"/>
        </w:rPr>
        <w:t xml:space="preserve"> </w:t>
      </w:r>
      <w:r>
        <w:t>accelerated</w:t>
      </w:r>
      <w:r>
        <w:rPr>
          <w:spacing w:val="-7"/>
        </w:rPr>
        <w:t xml:space="preserve"> </w:t>
      </w:r>
      <w:r>
        <w:t>aging</w:t>
      </w:r>
      <w:r>
        <w:rPr>
          <w:spacing w:val="-7"/>
        </w:rPr>
        <w:t xml:space="preserve"> </w:t>
      </w:r>
      <w:r>
        <w:t>for 24, 48, 72 and 96 hours. The physiological parameters of accelerated</w:t>
      </w:r>
      <w:r>
        <w:rPr>
          <w:spacing w:val="40"/>
        </w:rPr>
        <w:t xml:space="preserve"> </w:t>
      </w:r>
      <w:r>
        <w:t>aged seeds were tested along with control (unaged seed). The accelerated aging</w:t>
      </w:r>
      <w:r>
        <w:rPr>
          <w:spacing w:val="40"/>
        </w:rPr>
        <w:t xml:space="preserve"> </w:t>
      </w:r>
      <w:r>
        <w:t xml:space="preserve">caused highly significant decline in all the seed quality parameters </w:t>
      </w:r>
      <w:r>
        <w:rPr>
          <w:i/>
        </w:rPr>
        <w:t xml:space="preserve">viz., </w:t>
      </w:r>
      <w:r>
        <w:t xml:space="preserve">germination, seedling length, seedling </w:t>
      </w:r>
      <w:proofErr w:type="spellStart"/>
      <w:r>
        <w:t>vigour</w:t>
      </w:r>
      <w:proofErr w:type="spellEnd"/>
      <w:r>
        <w:t xml:space="preserve"> index, field emergence and electrical conductivity (EC) of seed leachates showed a highly significant increase with increase in the duration of accelerated aging. Maximum per cent decline in germination (39.55%), seedling length (24.79%) seedling </w:t>
      </w:r>
      <w:proofErr w:type="spellStart"/>
      <w:r>
        <w:t>vigour</w:t>
      </w:r>
      <w:proofErr w:type="spellEnd"/>
      <w:r>
        <w:t xml:space="preserve"> index (54.63%), field emergence (37.18%) over</w:t>
      </w:r>
      <w:r>
        <w:rPr>
          <w:spacing w:val="-1"/>
        </w:rPr>
        <w:t xml:space="preserve"> </w:t>
      </w:r>
      <w:r>
        <w:t>the</w:t>
      </w:r>
      <w:r>
        <w:rPr>
          <w:spacing w:val="-2"/>
        </w:rPr>
        <w:t xml:space="preserve"> </w:t>
      </w:r>
      <w:r>
        <w:t>control</w:t>
      </w:r>
      <w:r>
        <w:rPr>
          <w:spacing w:val="-6"/>
        </w:rPr>
        <w:t xml:space="preserve"> </w:t>
      </w:r>
      <w:r>
        <w:t>was observed with 96 h of accelerated aging.</w:t>
      </w:r>
    </w:p>
    <w:p w14:paraId="5FEFDB27" w14:textId="77777777" w:rsidR="00AC573F" w:rsidRDefault="00AC573F" w:rsidP="005256DB">
      <w:pPr>
        <w:pStyle w:val="NoSpacing"/>
      </w:pPr>
      <w:r>
        <w:rPr>
          <w:b/>
          <w:bCs/>
        </w:rPr>
        <w:t xml:space="preserve">Keywords: </w:t>
      </w:r>
      <w:r>
        <w:t>accelerated ageing, physiological parameters, seed quality.</w:t>
      </w:r>
    </w:p>
    <w:p w14:paraId="0FB75551" w14:textId="77777777" w:rsidR="00AC573F" w:rsidRDefault="00AC573F" w:rsidP="005256DB">
      <w:pPr>
        <w:pStyle w:val="NoSpacing"/>
      </w:pPr>
    </w:p>
    <w:p w14:paraId="0750B85B" w14:textId="77777777" w:rsidR="00AC573F" w:rsidRDefault="00AC573F" w:rsidP="005256DB">
      <w:pPr>
        <w:pStyle w:val="NoSpacing"/>
        <w:rPr>
          <w:b/>
          <w:bCs/>
        </w:rPr>
      </w:pPr>
      <w:r>
        <w:rPr>
          <w:b/>
          <w:bCs/>
        </w:rPr>
        <w:t>Introduction</w:t>
      </w:r>
    </w:p>
    <w:p w14:paraId="3EBD29D0" w14:textId="77777777" w:rsidR="00E84B99" w:rsidRPr="00E84B99" w:rsidRDefault="00E84B99" w:rsidP="00E84B99">
      <w:pPr>
        <w:pStyle w:val="BodyText"/>
        <w:spacing w:line="360" w:lineRule="auto"/>
        <w:ind w:right="246"/>
        <w:rPr>
          <w:sz w:val="22"/>
          <w:szCs w:val="22"/>
        </w:rPr>
      </w:pPr>
      <w:r w:rsidRPr="00E84B99">
        <w:rPr>
          <w:sz w:val="22"/>
          <w:szCs w:val="22"/>
        </w:rPr>
        <w:t>Sorghum</w:t>
      </w:r>
      <w:r w:rsidRPr="00E84B99">
        <w:rPr>
          <w:spacing w:val="-3"/>
          <w:sz w:val="22"/>
          <w:szCs w:val="22"/>
        </w:rPr>
        <w:t xml:space="preserve"> </w:t>
      </w:r>
      <w:r w:rsidRPr="00E84B99">
        <w:rPr>
          <w:sz w:val="22"/>
          <w:szCs w:val="22"/>
        </w:rPr>
        <w:t>(</w:t>
      </w:r>
      <w:r w:rsidRPr="00E84B99">
        <w:rPr>
          <w:i/>
          <w:sz w:val="22"/>
          <w:szCs w:val="22"/>
        </w:rPr>
        <w:t>Sorghum</w:t>
      </w:r>
      <w:r w:rsidRPr="00E84B99">
        <w:rPr>
          <w:i/>
          <w:spacing w:val="-6"/>
          <w:sz w:val="22"/>
          <w:szCs w:val="22"/>
        </w:rPr>
        <w:t xml:space="preserve"> </w:t>
      </w:r>
      <w:r w:rsidRPr="00E84B99">
        <w:rPr>
          <w:i/>
          <w:sz w:val="22"/>
          <w:szCs w:val="22"/>
        </w:rPr>
        <w:t>bicolor</w:t>
      </w:r>
      <w:r w:rsidRPr="00E84B99">
        <w:rPr>
          <w:i/>
          <w:spacing w:val="-4"/>
          <w:sz w:val="22"/>
          <w:szCs w:val="22"/>
        </w:rPr>
        <w:t xml:space="preserve"> </w:t>
      </w:r>
      <w:r w:rsidRPr="00E84B99">
        <w:rPr>
          <w:sz w:val="22"/>
          <w:szCs w:val="22"/>
        </w:rPr>
        <w:t>subsp.</w:t>
      </w:r>
      <w:r w:rsidRPr="00E84B99">
        <w:rPr>
          <w:spacing w:val="-4"/>
          <w:sz w:val="22"/>
          <w:szCs w:val="22"/>
        </w:rPr>
        <w:t xml:space="preserve"> </w:t>
      </w:r>
      <w:r w:rsidRPr="00E84B99">
        <w:rPr>
          <w:i/>
          <w:sz w:val="22"/>
          <w:szCs w:val="22"/>
        </w:rPr>
        <w:t>bicolor</w:t>
      </w:r>
      <w:r w:rsidRPr="00E84B99">
        <w:rPr>
          <w:sz w:val="22"/>
          <w:szCs w:val="22"/>
        </w:rPr>
        <w:t>) is a warm season drought resistant cereal crop that grows well in tropical and</w:t>
      </w:r>
      <w:r w:rsidRPr="00E84B99">
        <w:rPr>
          <w:spacing w:val="-2"/>
          <w:sz w:val="22"/>
          <w:szCs w:val="22"/>
        </w:rPr>
        <w:t xml:space="preserve"> </w:t>
      </w:r>
      <w:r w:rsidRPr="00E84B99">
        <w:rPr>
          <w:sz w:val="22"/>
          <w:szCs w:val="22"/>
        </w:rPr>
        <w:t>subtropical conditions</w:t>
      </w:r>
      <w:r w:rsidRPr="00E84B99">
        <w:rPr>
          <w:b/>
          <w:sz w:val="22"/>
          <w:szCs w:val="22"/>
        </w:rPr>
        <w:t xml:space="preserve">. </w:t>
      </w:r>
      <w:r w:rsidRPr="00E84B99">
        <w:rPr>
          <w:sz w:val="22"/>
          <w:szCs w:val="22"/>
        </w:rPr>
        <w:t>It is a major crop</w:t>
      </w:r>
      <w:r w:rsidRPr="00E84B99">
        <w:rPr>
          <w:spacing w:val="-1"/>
          <w:sz w:val="22"/>
          <w:szCs w:val="22"/>
        </w:rPr>
        <w:t xml:space="preserve"> </w:t>
      </w:r>
      <w:r w:rsidRPr="00E84B99">
        <w:rPr>
          <w:sz w:val="22"/>
          <w:szCs w:val="22"/>
        </w:rPr>
        <w:t>in USA, India, Argentina, Mexico, Africa, China and Australia. It is free of gluten and also an important source of nutraceuticals due to its high content of antioxidant phenolic compounds. Sorghum is a rich source of carbohydrates, protein content, fat and dietary. India is the second largest producer of sorghum in the world (http://</w:t>
      </w:r>
      <w:hyperlink r:id="rId6">
        <w:r w:rsidRPr="00E84B99">
          <w:rPr>
            <w:sz w:val="22"/>
            <w:szCs w:val="22"/>
            <w:u w:val="single"/>
          </w:rPr>
          <w:t>www.vikaspedia.in</w:t>
        </w:r>
      </w:hyperlink>
      <w:r w:rsidRPr="00E84B99">
        <w:rPr>
          <w:sz w:val="22"/>
          <w:szCs w:val="22"/>
        </w:rPr>
        <w:t xml:space="preserve">). In India, the area under sorghum is 5.62 </w:t>
      </w:r>
      <w:proofErr w:type="spellStart"/>
      <w:r w:rsidRPr="00E84B99">
        <w:rPr>
          <w:sz w:val="22"/>
          <w:szCs w:val="22"/>
        </w:rPr>
        <w:t>m.ha</w:t>
      </w:r>
      <w:proofErr w:type="spellEnd"/>
      <w:r w:rsidRPr="00E84B99">
        <w:rPr>
          <w:sz w:val="22"/>
          <w:szCs w:val="22"/>
        </w:rPr>
        <w:t>. The productivity of sorghum in India is 998 kg ha</w:t>
      </w:r>
      <w:r w:rsidRPr="00E84B99">
        <w:rPr>
          <w:sz w:val="22"/>
          <w:szCs w:val="22"/>
          <w:vertAlign w:val="superscript"/>
        </w:rPr>
        <w:t>-1</w:t>
      </w:r>
      <w:r w:rsidRPr="00E84B99">
        <w:rPr>
          <w:sz w:val="22"/>
          <w:szCs w:val="22"/>
        </w:rPr>
        <w:t xml:space="preserve"> and</w:t>
      </w:r>
      <w:r w:rsidRPr="00E84B99">
        <w:rPr>
          <w:spacing w:val="40"/>
          <w:sz w:val="22"/>
          <w:szCs w:val="22"/>
        </w:rPr>
        <w:t xml:space="preserve"> </w:t>
      </w:r>
      <w:r w:rsidRPr="00E84B99">
        <w:rPr>
          <w:sz w:val="22"/>
          <w:szCs w:val="22"/>
        </w:rPr>
        <w:t>is</w:t>
      </w:r>
      <w:r w:rsidRPr="00E84B99">
        <w:rPr>
          <w:spacing w:val="-1"/>
          <w:sz w:val="22"/>
          <w:szCs w:val="22"/>
        </w:rPr>
        <w:t xml:space="preserve"> </w:t>
      </w:r>
      <w:r w:rsidRPr="00E84B99">
        <w:rPr>
          <w:sz w:val="22"/>
          <w:szCs w:val="22"/>
        </w:rPr>
        <w:t>significantly</w:t>
      </w:r>
      <w:r w:rsidRPr="00E84B99">
        <w:rPr>
          <w:spacing w:val="-8"/>
          <w:sz w:val="22"/>
          <w:szCs w:val="22"/>
        </w:rPr>
        <w:t xml:space="preserve"> </w:t>
      </w:r>
      <w:r w:rsidRPr="00E84B99">
        <w:rPr>
          <w:sz w:val="22"/>
          <w:szCs w:val="22"/>
        </w:rPr>
        <w:t>low</w:t>
      </w:r>
      <w:r w:rsidRPr="00E84B99">
        <w:rPr>
          <w:spacing w:val="-1"/>
          <w:sz w:val="22"/>
          <w:szCs w:val="22"/>
        </w:rPr>
        <w:t xml:space="preserve"> </w:t>
      </w:r>
      <w:r w:rsidRPr="00E84B99">
        <w:rPr>
          <w:sz w:val="22"/>
          <w:szCs w:val="22"/>
        </w:rPr>
        <w:t>as</w:t>
      </w:r>
      <w:r w:rsidRPr="00E84B99">
        <w:rPr>
          <w:spacing w:val="-1"/>
          <w:sz w:val="22"/>
          <w:szCs w:val="22"/>
        </w:rPr>
        <w:t xml:space="preserve"> </w:t>
      </w:r>
      <w:r w:rsidRPr="00E84B99">
        <w:rPr>
          <w:sz w:val="22"/>
          <w:szCs w:val="22"/>
        </w:rPr>
        <w:t>compared to</w:t>
      </w:r>
      <w:r w:rsidRPr="00E84B99">
        <w:rPr>
          <w:spacing w:val="-4"/>
          <w:sz w:val="22"/>
          <w:szCs w:val="22"/>
        </w:rPr>
        <w:t xml:space="preserve"> </w:t>
      </w:r>
      <w:r w:rsidRPr="00E84B99">
        <w:rPr>
          <w:sz w:val="22"/>
          <w:szCs w:val="22"/>
        </w:rPr>
        <w:t>that of</w:t>
      </w:r>
      <w:r w:rsidRPr="00E84B99">
        <w:rPr>
          <w:spacing w:val="-3"/>
          <w:sz w:val="22"/>
          <w:szCs w:val="22"/>
        </w:rPr>
        <w:t xml:space="preserve"> </w:t>
      </w:r>
      <w:proofErr w:type="spellStart"/>
      <w:r w:rsidRPr="00E84B99">
        <w:rPr>
          <w:sz w:val="22"/>
          <w:szCs w:val="22"/>
        </w:rPr>
        <w:t>world‟s</w:t>
      </w:r>
      <w:proofErr w:type="spellEnd"/>
      <w:r w:rsidRPr="00E84B99">
        <w:rPr>
          <w:spacing w:val="-1"/>
          <w:sz w:val="22"/>
          <w:szCs w:val="22"/>
        </w:rPr>
        <w:t xml:space="preserve"> </w:t>
      </w:r>
      <w:r w:rsidRPr="00E84B99">
        <w:rPr>
          <w:sz w:val="22"/>
          <w:szCs w:val="22"/>
        </w:rPr>
        <w:t>average productivity</w:t>
      </w:r>
      <w:r w:rsidRPr="00E84B99">
        <w:rPr>
          <w:spacing w:val="-8"/>
          <w:sz w:val="22"/>
          <w:szCs w:val="22"/>
        </w:rPr>
        <w:t xml:space="preserve"> </w:t>
      </w:r>
      <w:r w:rsidRPr="00E84B99">
        <w:rPr>
          <w:sz w:val="22"/>
          <w:szCs w:val="22"/>
        </w:rPr>
        <w:t>which is</w:t>
      </w:r>
      <w:r w:rsidRPr="00E84B99">
        <w:rPr>
          <w:spacing w:val="-1"/>
          <w:sz w:val="22"/>
          <w:szCs w:val="22"/>
        </w:rPr>
        <w:t xml:space="preserve"> </w:t>
      </w:r>
      <w:r w:rsidRPr="00E84B99">
        <w:rPr>
          <w:sz w:val="22"/>
          <w:szCs w:val="22"/>
        </w:rPr>
        <w:t>1435 kg ha</w:t>
      </w:r>
      <w:r w:rsidRPr="00E84B99">
        <w:rPr>
          <w:sz w:val="22"/>
          <w:szCs w:val="22"/>
          <w:vertAlign w:val="superscript"/>
        </w:rPr>
        <w:t>-1</w:t>
      </w:r>
      <w:r w:rsidRPr="00E84B99">
        <w:rPr>
          <w:sz w:val="22"/>
          <w:szCs w:val="22"/>
        </w:rPr>
        <w:t xml:space="preserve"> (http://</w:t>
      </w:r>
      <w:hyperlink r:id="rId7">
        <w:r w:rsidRPr="00E84B99">
          <w:rPr>
            <w:sz w:val="22"/>
            <w:szCs w:val="22"/>
            <w:u w:val="single"/>
          </w:rPr>
          <w:t>www.indiastat.com</w:t>
        </w:r>
      </w:hyperlink>
      <w:r w:rsidRPr="00E84B99">
        <w:rPr>
          <w:sz w:val="22"/>
          <w:szCs w:val="22"/>
        </w:rPr>
        <w:t xml:space="preserve">). </w:t>
      </w:r>
    </w:p>
    <w:p w14:paraId="79F9F796" w14:textId="77777777" w:rsidR="00E84B99" w:rsidRPr="00E84B99" w:rsidRDefault="00E84B99" w:rsidP="00E84B99">
      <w:pPr>
        <w:pStyle w:val="BodyText"/>
        <w:spacing w:before="60" w:line="360" w:lineRule="auto"/>
        <w:ind w:right="247"/>
        <w:rPr>
          <w:sz w:val="22"/>
          <w:szCs w:val="22"/>
        </w:rPr>
      </w:pPr>
      <w:r w:rsidRPr="00E84B99">
        <w:rPr>
          <w:sz w:val="22"/>
          <w:szCs w:val="22"/>
        </w:rPr>
        <w:t>Seed aging results in reduced germination capacity and seedling growth causing reduction in seed viability. Solute leakage due to membrane degradation where in membrane lipids are attacked by the free radicals and leads to major disruption of viscosity</w:t>
      </w:r>
      <w:r w:rsidRPr="00E84B99">
        <w:rPr>
          <w:spacing w:val="-7"/>
          <w:sz w:val="22"/>
          <w:szCs w:val="22"/>
        </w:rPr>
        <w:t xml:space="preserve"> </w:t>
      </w:r>
      <w:r w:rsidRPr="00E84B99">
        <w:rPr>
          <w:sz w:val="22"/>
          <w:szCs w:val="22"/>
        </w:rPr>
        <w:t>and permeability. Biochemical processes occurring</w:t>
      </w:r>
      <w:r w:rsidRPr="00E84B99">
        <w:rPr>
          <w:spacing w:val="-3"/>
          <w:sz w:val="22"/>
          <w:szCs w:val="22"/>
        </w:rPr>
        <w:t xml:space="preserve"> </w:t>
      </w:r>
      <w:r w:rsidRPr="00E84B99">
        <w:rPr>
          <w:sz w:val="22"/>
          <w:szCs w:val="22"/>
        </w:rPr>
        <w:t xml:space="preserve">in grain are highly influenced by moisture content, temperature, ventilation and grain condition (degree of damage) during storage (Azadi and </w:t>
      </w:r>
      <w:proofErr w:type="spellStart"/>
      <w:r w:rsidRPr="00E84B99">
        <w:rPr>
          <w:sz w:val="22"/>
          <w:szCs w:val="22"/>
        </w:rPr>
        <w:t>Younesi</w:t>
      </w:r>
      <w:proofErr w:type="spellEnd"/>
      <w:r w:rsidRPr="00E84B99">
        <w:rPr>
          <w:sz w:val="22"/>
          <w:szCs w:val="22"/>
        </w:rPr>
        <w:t xml:space="preserve">, 2013). At the cellular level, seed aging is associated with various transformations including membrane disintegration that increases the seed leachates, greatly reduces the metabolism and also DNA degradation leading to deviation from the normal transcription process (Khan </w:t>
      </w:r>
      <w:r w:rsidRPr="00E84B99">
        <w:rPr>
          <w:i/>
          <w:sz w:val="22"/>
          <w:szCs w:val="22"/>
        </w:rPr>
        <w:t>et al</w:t>
      </w:r>
      <w:r w:rsidRPr="00E84B99">
        <w:rPr>
          <w:sz w:val="22"/>
          <w:szCs w:val="22"/>
        </w:rPr>
        <w:t xml:space="preserve">., 2016). However, the rate of seed deterioration varies greatly among the varieties with the same species (Mishra </w:t>
      </w:r>
      <w:r w:rsidRPr="00E84B99">
        <w:rPr>
          <w:i/>
          <w:sz w:val="22"/>
          <w:szCs w:val="22"/>
        </w:rPr>
        <w:t xml:space="preserve">et al., </w:t>
      </w:r>
      <w:r w:rsidRPr="00E84B99">
        <w:rPr>
          <w:sz w:val="22"/>
          <w:szCs w:val="22"/>
        </w:rPr>
        <w:t>2017).</w:t>
      </w:r>
    </w:p>
    <w:p w14:paraId="059C2C55" w14:textId="2C0642B4" w:rsidR="00E84B99" w:rsidRDefault="00E84B99" w:rsidP="00E84B99">
      <w:pPr>
        <w:pStyle w:val="BodyText"/>
        <w:spacing w:before="60" w:line="360" w:lineRule="auto"/>
        <w:ind w:right="247"/>
        <w:rPr>
          <w:sz w:val="22"/>
          <w:szCs w:val="22"/>
        </w:rPr>
      </w:pPr>
      <w:r w:rsidRPr="00E84B99">
        <w:rPr>
          <w:sz w:val="22"/>
          <w:szCs w:val="22"/>
        </w:rPr>
        <w:t>Seed quality is the most important factor in crop production. One of the important components of seed quality</w:t>
      </w:r>
      <w:r w:rsidRPr="00E84B99">
        <w:rPr>
          <w:spacing w:val="-3"/>
          <w:sz w:val="22"/>
          <w:szCs w:val="22"/>
        </w:rPr>
        <w:t xml:space="preserve"> </w:t>
      </w:r>
      <w:r w:rsidRPr="00E84B99">
        <w:rPr>
          <w:sz w:val="22"/>
          <w:szCs w:val="22"/>
        </w:rPr>
        <w:t xml:space="preserve">is seed </w:t>
      </w:r>
      <w:proofErr w:type="spellStart"/>
      <w:r w:rsidRPr="00E84B99">
        <w:rPr>
          <w:sz w:val="22"/>
          <w:szCs w:val="22"/>
        </w:rPr>
        <w:t>vigour</w:t>
      </w:r>
      <w:proofErr w:type="spellEnd"/>
      <w:r w:rsidRPr="00E84B99">
        <w:rPr>
          <w:sz w:val="22"/>
          <w:szCs w:val="22"/>
        </w:rPr>
        <w:t xml:space="preserve"> (</w:t>
      </w:r>
      <w:proofErr w:type="spellStart"/>
      <w:r w:rsidRPr="00E84B99">
        <w:rPr>
          <w:sz w:val="22"/>
          <w:szCs w:val="22"/>
        </w:rPr>
        <w:t>Ghahfarokhi</w:t>
      </w:r>
      <w:proofErr w:type="spellEnd"/>
      <w:r w:rsidRPr="00E84B99">
        <w:rPr>
          <w:sz w:val="22"/>
          <w:szCs w:val="22"/>
        </w:rPr>
        <w:t xml:space="preserve"> </w:t>
      </w:r>
      <w:r w:rsidRPr="00E84B99">
        <w:rPr>
          <w:i/>
          <w:sz w:val="22"/>
          <w:szCs w:val="22"/>
        </w:rPr>
        <w:t>et al</w:t>
      </w:r>
      <w:r w:rsidRPr="00E84B99">
        <w:rPr>
          <w:sz w:val="22"/>
          <w:szCs w:val="22"/>
        </w:rPr>
        <w:t xml:space="preserve">., 2014). Long storage conditions will affect the seed quality in terms of viability and </w:t>
      </w:r>
      <w:proofErr w:type="spellStart"/>
      <w:r w:rsidRPr="00E84B99">
        <w:rPr>
          <w:sz w:val="22"/>
          <w:szCs w:val="22"/>
        </w:rPr>
        <w:t>vigour</w:t>
      </w:r>
      <w:proofErr w:type="spellEnd"/>
      <w:r w:rsidRPr="00E84B99">
        <w:rPr>
          <w:sz w:val="22"/>
          <w:szCs w:val="22"/>
        </w:rPr>
        <w:t xml:space="preserve"> due to aging. Storage temperature, relative humidity and </w:t>
      </w:r>
      <w:r w:rsidRPr="00E84B99">
        <w:rPr>
          <w:sz w:val="22"/>
          <w:szCs w:val="22"/>
        </w:rPr>
        <w:lastRenderedPageBreak/>
        <w:t>seed moisture content plays a key role in determining the longevity</w:t>
      </w:r>
      <w:r w:rsidRPr="00E84B99">
        <w:rPr>
          <w:spacing w:val="-3"/>
          <w:sz w:val="22"/>
          <w:szCs w:val="22"/>
        </w:rPr>
        <w:t xml:space="preserve"> </w:t>
      </w:r>
      <w:r w:rsidRPr="00E84B99">
        <w:rPr>
          <w:sz w:val="22"/>
          <w:szCs w:val="22"/>
        </w:rPr>
        <w:t xml:space="preserve">in storage. Deterioration of seed can be described as the loss of </w:t>
      </w:r>
      <w:proofErr w:type="spellStart"/>
      <w:r w:rsidRPr="00E84B99">
        <w:rPr>
          <w:sz w:val="22"/>
          <w:szCs w:val="22"/>
        </w:rPr>
        <w:t>vigour</w:t>
      </w:r>
      <w:proofErr w:type="spellEnd"/>
      <w:r w:rsidRPr="00E84B99">
        <w:rPr>
          <w:sz w:val="22"/>
          <w:szCs w:val="22"/>
        </w:rPr>
        <w:t xml:space="preserve"> and viability either due to aging or effect of harsh environmental conditions.</w:t>
      </w:r>
      <w:r w:rsidR="00C864B8" w:rsidRPr="00C864B8">
        <w:t xml:space="preserve"> </w:t>
      </w:r>
      <w:r w:rsidR="00C864B8" w:rsidRPr="00C864B8">
        <w:rPr>
          <w:sz w:val="22"/>
          <w:szCs w:val="22"/>
        </w:rPr>
        <w:t xml:space="preserve">Seed aging results in reduced germination capacity and seedling growth causing reduction in seed viability. Solute leakage due to membrane degradation where in membrane lipids are attacked by the free radicals and leads to major disruption of viscosity and permeability. Biochemical processes occurring in grain are highly influenced by moisture content, temperature, ventilation and grain condition (degree of damage) during storage (Azadi and </w:t>
      </w:r>
      <w:proofErr w:type="spellStart"/>
      <w:r w:rsidR="00C864B8" w:rsidRPr="00C864B8">
        <w:rPr>
          <w:sz w:val="22"/>
          <w:szCs w:val="22"/>
        </w:rPr>
        <w:t>Younesi</w:t>
      </w:r>
      <w:proofErr w:type="spellEnd"/>
      <w:r w:rsidR="00C864B8" w:rsidRPr="00C864B8">
        <w:rPr>
          <w:sz w:val="22"/>
          <w:szCs w:val="22"/>
        </w:rPr>
        <w:t>, 2013). At the cellular level, seed aging is associated with various transformations including membrane disintegration that increases the seed leachates, greatly reduces the metabolism and also DNA degradation leading to deviation from the normal transcription process (Khan et al., 2016). However, the rate of seed deterioration varies greatly among the varieties with the same species (Mishra et al., 2017).</w:t>
      </w:r>
    </w:p>
    <w:p w14:paraId="59C26EFB" w14:textId="6D476410" w:rsidR="00C864B8" w:rsidRPr="00E84B99" w:rsidRDefault="00C864B8" w:rsidP="00E84B99">
      <w:pPr>
        <w:pStyle w:val="BodyText"/>
        <w:spacing w:before="60" w:line="360" w:lineRule="auto"/>
        <w:ind w:right="247"/>
        <w:rPr>
          <w:sz w:val="22"/>
          <w:szCs w:val="22"/>
        </w:rPr>
      </w:pPr>
      <w:r w:rsidRPr="00C864B8">
        <w:rPr>
          <w:sz w:val="22"/>
          <w:szCs w:val="22"/>
        </w:rPr>
        <w:t>During accelerated aging seeds are subjected to high temperature and high relative humidity. High temperature causes serious problems that result in stress which increases the accumulation of Reactive Oxygen Species (ROS) or free radicals causing oxidative stress that is considered as a key event which leads to the oxidative destruction of cells because of their highly reactive nature. ROSs affects the functioning and inactivation of different types of enzymes inside the cell and also it is responsible for Lipid Peroxidation (LP) (Sanghera and Thind, 2016). Enzymes such as catalase (CAT), ascorbate peroxidase (APX), peroxidase (POX), superoxide dismutase (SOD) and glutathione reductase (GR) evolve from the seed to scavenge free radicals and peroxide (Peng et al., 2011).</w:t>
      </w:r>
    </w:p>
    <w:p w14:paraId="535D6FA7" w14:textId="77777777" w:rsidR="00E84B99" w:rsidRDefault="00F9085D" w:rsidP="00E84B99">
      <w:pPr>
        <w:pStyle w:val="BodyText"/>
        <w:spacing w:line="360" w:lineRule="auto"/>
        <w:ind w:right="246"/>
        <w:rPr>
          <w:b/>
          <w:bCs/>
          <w:sz w:val="22"/>
          <w:szCs w:val="22"/>
        </w:rPr>
      </w:pPr>
      <w:r>
        <w:rPr>
          <w:b/>
          <w:bCs/>
          <w:sz w:val="22"/>
          <w:szCs w:val="22"/>
        </w:rPr>
        <w:t>Materials and Methods</w:t>
      </w:r>
    </w:p>
    <w:p w14:paraId="42912B0A" w14:textId="77777777" w:rsidR="00F9085D" w:rsidRDefault="00A3578D" w:rsidP="00E84B99">
      <w:pPr>
        <w:pStyle w:val="BodyText"/>
        <w:spacing w:line="360" w:lineRule="auto"/>
        <w:ind w:right="246"/>
        <w:rPr>
          <w:sz w:val="22"/>
          <w:szCs w:val="22"/>
        </w:rPr>
      </w:pPr>
      <w:r w:rsidRPr="00A3578D">
        <w:rPr>
          <w:sz w:val="22"/>
          <w:szCs w:val="22"/>
        </w:rPr>
        <w:t xml:space="preserve">The present investigation was carried out in the Department of Seed Science and Technology, Institute of Agricultural Sciences, Bundelkhand University, Jhansi (U.P.) during 2024-25 to assess the influence of accelerated aging on </w:t>
      </w:r>
      <w:r w:rsidR="004432F2" w:rsidRPr="00A3578D">
        <w:rPr>
          <w:sz w:val="22"/>
          <w:szCs w:val="22"/>
        </w:rPr>
        <w:t>physiological parameters</w:t>
      </w:r>
      <w:r w:rsidRPr="00A3578D">
        <w:rPr>
          <w:sz w:val="22"/>
          <w:szCs w:val="22"/>
        </w:rPr>
        <w:t xml:space="preserve"> of sorghum seed, variety CoFs-31 using accelerated aging test.</w:t>
      </w:r>
    </w:p>
    <w:p w14:paraId="17C63A4D" w14:textId="49BEA63B" w:rsidR="008E631D" w:rsidRDefault="003466F9" w:rsidP="008C00F0">
      <w:pPr>
        <w:pStyle w:val="BodyText"/>
        <w:spacing w:line="360" w:lineRule="auto"/>
        <w:ind w:right="246"/>
      </w:pPr>
      <w:r>
        <w:rPr>
          <w:sz w:val="22"/>
          <w:szCs w:val="22"/>
        </w:rPr>
        <w:t xml:space="preserve">   </w:t>
      </w:r>
      <w:r w:rsidRPr="003466F9">
        <w:rPr>
          <w:sz w:val="22"/>
          <w:szCs w:val="22"/>
        </w:rPr>
        <w:t>Seeds were subjected to accelerated aging in water jacketed accelerated aging (AA) chamber by procedure described by the Tekrony (2005). For accelerated aging the sorghum seeds were placed on a screen tray in uniform layer, which was inserted into a small plastic box containing 40 ml of water. The plastic box was placed into a water-jacketed AA chamber and the seeds were aged at a temperature 45°C and relative humidity 95±5 % for 24, 48, 72 and 96 h. During the aging period, the seeds absorbed moisture from the humid environment (95% RH) within the plastic box and were stressed by high temperature as seed moisture increased to a uniform level. Uniform temperature was maintained in the aging chamber throughout the aging period. After completion of specified aging period the seeds on screen trays were taken out of aging chamber and air dried in shade.</w:t>
      </w:r>
      <w:r w:rsidRPr="003466F9">
        <w:t xml:space="preserve"> </w:t>
      </w:r>
    </w:p>
    <w:p w14:paraId="03F2551B" w14:textId="77777777" w:rsidR="008C00F0" w:rsidRPr="008C00F0" w:rsidRDefault="008C00F0" w:rsidP="008C00F0">
      <w:pPr>
        <w:pStyle w:val="BodyText"/>
        <w:spacing w:line="360" w:lineRule="auto"/>
        <w:ind w:right="246"/>
        <w:rPr>
          <w:sz w:val="22"/>
          <w:szCs w:val="22"/>
        </w:rPr>
      </w:pPr>
      <w:r w:rsidRPr="008C00F0">
        <w:rPr>
          <w:sz w:val="22"/>
          <w:szCs w:val="22"/>
        </w:rPr>
        <w:lastRenderedPageBreak/>
        <w:t>Post-aging, seeds were air-dried and evaluated for physiological parameters including:</w:t>
      </w:r>
    </w:p>
    <w:p w14:paraId="02B7A29C" w14:textId="77777777" w:rsidR="008C00F0" w:rsidRPr="008C00F0" w:rsidRDefault="008C00F0" w:rsidP="008C00F0">
      <w:pPr>
        <w:pStyle w:val="BodyText"/>
        <w:spacing w:line="360" w:lineRule="auto"/>
        <w:ind w:right="246"/>
        <w:rPr>
          <w:sz w:val="22"/>
          <w:szCs w:val="22"/>
        </w:rPr>
      </w:pPr>
      <w:r w:rsidRPr="008C00F0">
        <w:rPr>
          <w:sz w:val="22"/>
          <w:szCs w:val="22"/>
        </w:rPr>
        <w:t>- Germination (%)</w:t>
      </w:r>
    </w:p>
    <w:p w14:paraId="59E5FE2E" w14:textId="77777777" w:rsidR="008C00F0" w:rsidRPr="008C00F0" w:rsidRDefault="008C00F0" w:rsidP="008C00F0">
      <w:pPr>
        <w:pStyle w:val="BodyText"/>
        <w:spacing w:line="360" w:lineRule="auto"/>
        <w:ind w:right="246"/>
        <w:rPr>
          <w:sz w:val="22"/>
          <w:szCs w:val="22"/>
        </w:rPr>
      </w:pPr>
      <w:r w:rsidRPr="008C00F0">
        <w:rPr>
          <w:sz w:val="22"/>
          <w:szCs w:val="22"/>
        </w:rPr>
        <w:t>- Seedling length (cm)</w:t>
      </w:r>
    </w:p>
    <w:p w14:paraId="67551DCD" w14:textId="77777777" w:rsidR="008C00F0" w:rsidRPr="008C00F0" w:rsidRDefault="008C00F0" w:rsidP="008C00F0">
      <w:pPr>
        <w:pStyle w:val="BodyText"/>
        <w:spacing w:line="360" w:lineRule="auto"/>
        <w:ind w:right="246"/>
        <w:rPr>
          <w:sz w:val="22"/>
          <w:szCs w:val="22"/>
        </w:rPr>
      </w:pPr>
      <w:r w:rsidRPr="008C00F0">
        <w:rPr>
          <w:sz w:val="22"/>
          <w:szCs w:val="22"/>
        </w:rPr>
        <w:t xml:space="preserve">- Seedling </w:t>
      </w:r>
      <w:proofErr w:type="spellStart"/>
      <w:r w:rsidRPr="008C00F0">
        <w:rPr>
          <w:sz w:val="22"/>
          <w:szCs w:val="22"/>
        </w:rPr>
        <w:t>vigour</w:t>
      </w:r>
      <w:proofErr w:type="spellEnd"/>
      <w:r w:rsidRPr="008C00F0">
        <w:rPr>
          <w:sz w:val="22"/>
          <w:szCs w:val="22"/>
        </w:rPr>
        <w:t xml:space="preserve"> index (SVI)</w:t>
      </w:r>
    </w:p>
    <w:p w14:paraId="47653251" w14:textId="77777777" w:rsidR="008C00F0" w:rsidRPr="008C00F0" w:rsidRDefault="008C00F0" w:rsidP="008C00F0">
      <w:pPr>
        <w:pStyle w:val="BodyText"/>
        <w:spacing w:line="360" w:lineRule="auto"/>
        <w:ind w:right="246"/>
        <w:rPr>
          <w:sz w:val="22"/>
          <w:szCs w:val="22"/>
        </w:rPr>
      </w:pPr>
      <w:r w:rsidRPr="008C00F0">
        <w:rPr>
          <w:sz w:val="22"/>
          <w:szCs w:val="22"/>
        </w:rPr>
        <w:t>- Field emergence (%)</w:t>
      </w:r>
    </w:p>
    <w:p w14:paraId="10481609" w14:textId="77777777" w:rsidR="008C00F0" w:rsidRPr="008C00F0" w:rsidRDefault="008C00F0" w:rsidP="008C00F0">
      <w:pPr>
        <w:pStyle w:val="BodyText"/>
        <w:spacing w:line="360" w:lineRule="auto"/>
        <w:ind w:right="246"/>
        <w:rPr>
          <w:sz w:val="22"/>
          <w:szCs w:val="22"/>
        </w:rPr>
      </w:pPr>
      <w:r w:rsidRPr="008C00F0">
        <w:rPr>
          <w:sz w:val="22"/>
          <w:szCs w:val="22"/>
        </w:rPr>
        <w:t>- Electrical conductivity (EC, µS cm⁻¹)</w:t>
      </w:r>
    </w:p>
    <w:p w14:paraId="38820B1F" w14:textId="77777777" w:rsidR="008C00F0" w:rsidRPr="008C00F0" w:rsidRDefault="008C00F0" w:rsidP="008C00F0">
      <w:pPr>
        <w:pStyle w:val="BodyText"/>
        <w:spacing w:line="360" w:lineRule="auto"/>
        <w:ind w:right="246"/>
        <w:rPr>
          <w:sz w:val="22"/>
          <w:szCs w:val="22"/>
        </w:rPr>
      </w:pPr>
    </w:p>
    <w:p w14:paraId="2A26E17E" w14:textId="170381D3" w:rsidR="008C00F0" w:rsidRDefault="008C00F0" w:rsidP="008C00F0">
      <w:pPr>
        <w:pStyle w:val="BodyText"/>
        <w:spacing w:line="360" w:lineRule="auto"/>
        <w:ind w:right="246"/>
        <w:rPr>
          <w:sz w:val="22"/>
          <w:szCs w:val="22"/>
        </w:rPr>
      </w:pPr>
      <w:r>
        <w:rPr>
          <w:sz w:val="22"/>
          <w:szCs w:val="22"/>
        </w:rPr>
        <w:t xml:space="preserve">   </w:t>
      </w:r>
      <w:r w:rsidRPr="008C00F0">
        <w:rPr>
          <w:sz w:val="22"/>
          <w:szCs w:val="22"/>
        </w:rPr>
        <w:t>The experiment followed a Completely Randomized Design (CRD) with four replications. Statistical analysis was conducted using SPSS v16.0.</w:t>
      </w:r>
      <w:r w:rsidRPr="008C00F0">
        <w:t xml:space="preserve"> </w:t>
      </w:r>
      <w:r w:rsidRPr="008C00F0">
        <w:rPr>
          <w:sz w:val="22"/>
          <w:szCs w:val="22"/>
        </w:rPr>
        <w:t xml:space="preserve">Statistical analysis was carried out for all the experiments as described by </w:t>
      </w:r>
      <w:proofErr w:type="spellStart"/>
      <w:r w:rsidRPr="008C00F0">
        <w:rPr>
          <w:sz w:val="22"/>
          <w:szCs w:val="22"/>
        </w:rPr>
        <w:t>Panse</w:t>
      </w:r>
      <w:proofErr w:type="spellEnd"/>
      <w:r w:rsidRPr="008C00F0">
        <w:rPr>
          <w:sz w:val="22"/>
          <w:szCs w:val="22"/>
        </w:rPr>
        <w:t xml:space="preserve"> and </w:t>
      </w:r>
      <w:proofErr w:type="spellStart"/>
      <w:r w:rsidRPr="008C00F0">
        <w:rPr>
          <w:sz w:val="22"/>
          <w:szCs w:val="22"/>
        </w:rPr>
        <w:t>Sukhatme</w:t>
      </w:r>
      <w:proofErr w:type="spellEnd"/>
      <w:r w:rsidRPr="008C00F0">
        <w:rPr>
          <w:sz w:val="22"/>
          <w:szCs w:val="22"/>
        </w:rPr>
        <w:t xml:space="preserve"> (1954). The standard error of difference was calculated at 5% probability level to compare the mean difference among the treatments. The differences between the means were compared using </w:t>
      </w:r>
      <w:proofErr w:type="spellStart"/>
      <w:r w:rsidRPr="008C00F0">
        <w:rPr>
          <w:sz w:val="22"/>
          <w:szCs w:val="22"/>
        </w:rPr>
        <w:t>Duncan‟s</w:t>
      </w:r>
      <w:proofErr w:type="spellEnd"/>
      <w:r w:rsidRPr="008C00F0">
        <w:rPr>
          <w:sz w:val="22"/>
          <w:szCs w:val="22"/>
        </w:rPr>
        <w:t xml:space="preserve"> Multiple Range Test (DMRT) (P &lt; 0.05). The data recorded as percentage and lower values were subjected to respective angular (arc-sine) before statistical analysis.</w:t>
      </w:r>
    </w:p>
    <w:p w14:paraId="2AB7663A" w14:textId="77777777" w:rsidR="008E631D" w:rsidRDefault="008E631D" w:rsidP="008E631D">
      <w:pPr>
        <w:pStyle w:val="BodyText"/>
        <w:spacing w:line="360" w:lineRule="auto"/>
        <w:ind w:right="246"/>
        <w:rPr>
          <w:b/>
          <w:bCs/>
          <w:sz w:val="22"/>
          <w:szCs w:val="22"/>
        </w:rPr>
      </w:pPr>
      <w:r>
        <w:rPr>
          <w:b/>
          <w:bCs/>
          <w:sz w:val="22"/>
          <w:szCs w:val="22"/>
        </w:rPr>
        <w:t>Results and Discussion</w:t>
      </w:r>
    </w:p>
    <w:p w14:paraId="417FC792" w14:textId="77777777" w:rsidR="000A15F6" w:rsidRPr="000A15F6" w:rsidRDefault="000A15F6" w:rsidP="000A15F6">
      <w:pPr>
        <w:pStyle w:val="BodyText"/>
        <w:spacing w:line="360" w:lineRule="auto"/>
        <w:ind w:right="246"/>
        <w:rPr>
          <w:sz w:val="22"/>
          <w:szCs w:val="22"/>
        </w:rPr>
      </w:pPr>
      <w:r w:rsidRPr="000A15F6">
        <w:rPr>
          <w:sz w:val="22"/>
          <w:szCs w:val="22"/>
        </w:rPr>
        <w:t xml:space="preserve">Accelerated ageing resulted in a significant decline in all major physiological parameters, including germination, seedling length, seedling </w:t>
      </w:r>
      <w:proofErr w:type="spellStart"/>
      <w:r w:rsidRPr="000A15F6">
        <w:rPr>
          <w:sz w:val="22"/>
          <w:szCs w:val="22"/>
        </w:rPr>
        <w:t>vigour</w:t>
      </w:r>
      <w:proofErr w:type="spellEnd"/>
      <w:r w:rsidRPr="000A15F6">
        <w:rPr>
          <w:sz w:val="22"/>
          <w:szCs w:val="22"/>
        </w:rPr>
        <w:t xml:space="preserve"> index, and field emergence. However, the electrical conductivity (EC) of seed leachates showed a highly significant increase with ageing duration.</w:t>
      </w:r>
    </w:p>
    <w:p w14:paraId="5E180C52" w14:textId="77777777" w:rsidR="000A15F6" w:rsidRPr="000A15F6" w:rsidRDefault="000A15F6" w:rsidP="000A15F6">
      <w:pPr>
        <w:pStyle w:val="BodyText"/>
        <w:spacing w:line="360" w:lineRule="auto"/>
        <w:ind w:right="246"/>
        <w:rPr>
          <w:sz w:val="22"/>
          <w:szCs w:val="22"/>
        </w:rPr>
      </w:pPr>
      <w:r w:rsidRPr="000A15F6">
        <w:rPr>
          <w:sz w:val="22"/>
          <w:szCs w:val="22"/>
        </w:rPr>
        <w:t xml:space="preserve">Germination of sorghum seeds decreased markedly from an initial 88.50% to 53.50% after 96 hours of accelerated ageing. Similar trends were observed by Badiger et al. (2013), who reported that one day of accelerated ageing in cotton simulated the effects of three to four months of natural ageing. Comparable results were also found by </w:t>
      </w:r>
      <w:proofErr w:type="spellStart"/>
      <w:r w:rsidRPr="000A15F6">
        <w:rPr>
          <w:sz w:val="22"/>
          <w:szCs w:val="22"/>
        </w:rPr>
        <w:t>Kurdikeri</w:t>
      </w:r>
      <w:proofErr w:type="spellEnd"/>
      <w:r w:rsidRPr="000A15F6">
        <w:rPr>
          <w:sz w:val="22"/>
          <w:szCs w:val="22"/>
        </w:rPr>
        <w:t xml:space="preserve"> et al. (1997) in wheat seeds stored under ambient conditions for 17 months and by Gupta et al. (2016; 2017) in pearl millet stored in cloth bags for 24 months. More recent studies (Sharma et al., 2021; Patel and Reddy, 2023) confirm the impact of accelerated ageing on seed viability.</w:t>
      </w:r>
    </w:p>
    <w:p w14:paraId="5B9D8F49" w14:textId="77777777" w:rsidR="000A15F6" w:rsidRPr="000A15F6" w:rsidRDefault="000A15F6" w:rsidP="000A15F6">
      <w:pPr>
        <w:pStyle w:val="BodyText"/>
        <w:spacing w:line="360" w:lineRule="auto"/>
        <w:ind w:right="246"/>
        <w:rPr>
          <w:sz w:val="22"/>
          <w:szCs w:val="22"/>
        </w:rPr>
      </w:pPr>
      <w:r w:rsidRPr="000A15F6">
        <w:rPr>
          <w:sz w:val="22"/>
          <w:szCs w:val="22"/>
        </w:rPr>
        <w:t>The mean seedling length also declined significantly, from 29.82 cm in unaged (control) seeds to 20.19 cm after 96 hours of accelerated ageing. A similar reduction in seedling length due to prolonged storage was reported in wheat (</w:t>
      </w:r>
      <w:proofErr w:type="spellStart"/>
      <w:r w:rsidRPr="000A15F6">
        <w:rPr>
          <w:sz w:val="22"/>
          <w:szCs w:val="22"/>
        </w:rPr>
        <w:t>Kurdikeri</w:t>
      </w:r>
      <w:proofErr w:type="spellEnd"/>
      <w:r w:rsidRPr="000A15F6">
        <w:rPr>
          <w:sz w:val="22"/>
          <w:szCs w:val="22"/>
        </w:rPr>
        <w:t xml:space="preserve"> et al., 1997) and in pea seeds stored under ambient conditions (</w:t>
      </w:r>
      <w:proofErr w:type="spellStart"/>
      <w:r w:rsidRPr="000A15F6">
        <w:rPr>
          <w:sz w:val="22"/>
          <w:szCs w:val="22"/>
        </w:rPr>
        <w:t>Malimath</w:t>
      </w:r>
      <w:proofErr w:type="spellEnd"/>
      <w:r w:rsidRPr="000A15F6">
        <w:rPr>
          <w:sz w:val="22"/>
          <w:szCs w:val="22"/>
        </w:rPr>
        <w:t xml:space="preserve"> and </w:t>
      </w:r>
      <w:proofErr w:type="spellStart"/>
      <w:r w:rsidRPr="000A15F6">
        <w:rPr>
          <w:sz w:val="22"/>
          <w:szCs w:val="22"/>
        </w:rPr>
        <w:t>Merwade</w:t>
      </w:r>
      <w:proofErr w:type="spellEnd"/>
      <w:r w:rsidRPr="000A15F6">
        <w:rPr>
          <w:sz w:val="22"/>
          <w:szCs w:val="22"/>
        </w:rPr>
        <w:t>, 2007; Verma et al., 2022).</w:t>
      </w:r>
    </w:p>
    <w:p w14:paraId="468EDA22" w14:textId="77777777" w:rsidR="000A15F6" w:rsidRPr="000A15F6" w:rsidRDefault="000A15F6" w:rsidP="000A15F6">
      <w:pPr>
        <w:pStyle w:val="BodyText"/>
        <w:spacing w:line="360" w:lineRule="auto"/>
        <w:ind w:right="246"/>
        <w:rPr>
          <w:sz w:val="22"/>
          <w:szCs w:val="22"/>
        </w:rPr>
      </w:pPr>
      <w:r w:rsidRPr="000A15F6">
        <w:rPr>
          <w:sz w:val="22"/>
          <w:szCs w:val="22"/>
        </w:rPr>
        <w:t xml:space="preserve">Seedling </w:t>
      </w:r>
      <w:proofErr w:type="spellStart"/>
      <w:r w:rsidRPr="000A15F6">
        <w:rPr>
          <w:sz w:val="22"/>
          <w:szCs w:val="22"/>
        </w:rPr>
        <w:t>vigour</w:t>
      </w:r>
      <w:proofErr w:type="spellEnd"/>
      <w:r w:rsidRPr="000A15F6">
        <w:rPr>
          <w:sz w:val="22"/>
          <w:szCs w:val="22"/>
        </w:rPr>
        <w:t xml:space="preserve"> index showed a sharp decline from 3423 in unaged seeds to 1553 after 96 hours of accelerated ageing. This trend aligns with earlier findings in pearl millet (Gupta et al., 2017), pea (</w:t>
      </w:r>
      <w:proofErr w:type="spellStart"/>
      <w:r w:rsidRPr="000A15F6">
        <w:rPr>
          <w:sz w:val="22"/>
          <w:szCs w:val="22"/>
        </w:rPr>
        <w:t>Malimath</w:t>
      </w:r>
      <w:proofErr w:type="spellEnd"/>
      <w:r w:rsidRPr="000A15F6">
        <w:rPr>
          <w:sz w:val="22"/>
          <w:szCs w:val="22"/>
        </w:rPr>
        <w:t xml:space="preserve"> and </w:t>
      </w:r>
      <w:proofErr w:type="spellStart"/>
      <w:r w:rsidRPr="000A15F6">
        <w:rPr>
          <w:sz w:val="22"/>
          <w:szCs w:val="22"/>
        </w:rPr>
        <w:t>Merwade</w:t>
      </w:r>
      <w:proofErr w:type="spellEnd"/>
      <w:r w:rsidRPr="000A15F6">
        <w:rPr>
          <w:sz w:val="22"/>
          <w:szCs w:val="22"/>
        </w:rPr>
        <w:t>, 2007), and onion seeds stored for extended periods (Brar et al., 2019a; Singh et al., 2020).</w:t>
      </w:r>
    </w:p>
    <w:p w14:paraId="7153126E" w14:textId="77777777" w:rsidR="000A15F6" w:rsidRPr="000A15F6" w:rsidRDefault="000A15F6" w:rsidP="000A15F6">
      <w:pPr>
        <w:pStyle w:val="BodyText"/>
        <w:spacing w:line="360" w:lineRule="auto"/>
        <w:ind w:right="246"/>
        <w:rPr>
          <w:sz w:val="22"/>
          <w:szCs w:val="22"/>
        </w:rPr>
      </w:pPr>
      <w:r w:rsidRPr="000A15F6">
        <w:rPr>
          <w:sz w:val="22"/>
          <w:szCs w:val="22"/>
        </w:rPr>
        <w:t>Field emergence was also negatively affected, decreasing from 86.75% in control seeds to 54.50% after 96 hours of accelerated ageing. The mean field emergence significantly reduced from 67.96% to 35.64%. These results corroborate findings from both earlier and recent research (e.g., Kumar et al., 2022; Rajan and Thomas, 2024).</w:t>
      </w:r>
    </w:p>
    <w:p w14:paraId="34026A07" w14:textId="1AF6FC20" w:rsidR="00B23F1C" w:rsidRDefault="000A15F6" w:rsidP="000A15F6">
      <w:pPr>
        <w:pStyle w:val="BodyText"/>
        <w:spacing w:line="360" w:lineRule="auto"/>
        <w:ind w:right="246"/>
        <w:rPr>
          <w:sz w:val="22"/>
          <w:szCs w:val="22"/>
        </w:rPr>
      </w:pPr>
      <w:r w:rsidRPr="000A15F6">
        <w:rPr>
          <w:sz w:val="22"/>
          <w:szCs w:val="22"/>
        </w:rPr>
        <w:lastRenderedPageBreak/>
        <w:t>A notable increase in the EC of seed leachates was observed, rising from 750 µS cm⁻¹ in unaged seeds to 1080.50 µS cm⁻¹ after 96 hours of accelerated ageing. This increase in membrane permeability reflects the deterioration in seed quality, as also reported in garden pea (</w:t>
      </w:r>
      <w:proofErr w:type="spellStart"/>
      <w:r w:rsidRPr="000A15F6">
        <w:rPr>
          <w:sz w:val="22"/>
          <w:szCs w:val="22"/>
        </w:rPr>
        <w:t>Malimath</w:t>
      </w:r>
      <w:proofErr w:type="spellEnd"/>
      <w:r w:rsidRPr="000A15F6">
        <w:rPr>
          <w:sz w:val="22"/>
          <w:szCs w:val="22"/>
        </w:rPr>
        <w:t xml:space="preserve"> and </w:t>
      </w:r>
      <w:proofErr w:type="spellStart"/>
      <w:r w:rsidRPr="000A15F6">
        <w:rPr>
          <w:sz w:val="22"/>
          <w:szCs w:val="22"/>
        </w:rPr>
        <w:t>Merwade</w:t>
      </w:r>
      <w:proofErr w:type="spellEnd"/>
      <w:r w:rsidRPr="000A15F6">
        <w:rPr>
          <w:sz w:val="22"/>
          <w:szCs w:val="22"/>
        </w:rPr>
        <w:t>, 2007) and onion (Brar et al., 2019a). Recent studies (Yadav et al., 2023) further validate EC as a reliable indicator of seed deterioration under ageing conditions.</w:t>
      </w:r>
    </w:p>
    <w:p w14:paraId="5BAA696E" w14:textId="77777777" w:rsidR="00B23F1C" w:rsidRDefault="00B23F1C" w:rsidP="00B23F1C">
      <w:pPr>
        <w:pStyle w:val="BodyText"/>
        <w:spacing w:line="360" w:lineRule="auto"/>
        <w:ind w:right="246"/>
        <w:rPr>
          <w:sz w:val="22"/>
          <w:szCs w:val="22"/>
        </w:rPr>
      </w:pPr>
    </w:p>
    <w:p w14:paraId="339B8777" w14:textId="77777777" w:rsidR="00B23F1C" w:rsidRDefault="00B23F1C" w:rsidP="00B23F1C">
      <w:pPr>
        <w:pStyle w:val="BodyText"/>
        <w:spacing w:line="360" w:lineRule="auto"/>
        <w:ind w:right="246"/>
        <w:rPr>
          <w:sz w:val="22"/>
          <w:szCs w:val="22"/>
        </w:rPr>
      </w:pPr>
    </w:p>
    <w:p w14:paraId="70A8A649" w14:textId="77777777" w:rsidR="00B23F1C" w:rsidRDefault="00B23F1C" w:rsidP="00B23F1C">
      <w:pPr>
        <w:pStyle w:val="BodyText"/>
        <w:spacing w:line="360" w:lineRule="auto"/>
        <w:ind w:right="246"/>
        <w:rPr>
          <w:sz w:val="22"/>
          <w:szCs w:val="22"/>
        </w:rPr>
      </w:pPr>
    </w:p>
    <w:p w14:paraId="1100385B" w14:textId="77777777" w:rsidR="00B23F1C" w:rsidRDefault="00B23F1C" w:rsidP="00B23F1C">
      <w:pPr>
        <w:pStyle w:val="BodyText"/>
        <w:spacing w:line="360" w:lineRule="auto"/>
        <w:ind w:right="246"/>
        <w:rPr>
          <w:sz w:val="22"/>
          <w:szCs w:val="22"/>
        </w:rPr>
      </w:pPr>
    </w:p>
    <w:p w14:paraId="507EBC05" w14:textId="77777777" w:rsidR="00B23F1C" w:rsidRDefault="00B23F1C" w:rsidP="00B23F1C">
      <w:pPr>
        <w:pStyle w:val="BodyText"/>
        <w:spacing w:line="360" w:lineRule="auto"/>
        <w:ind w:right="246"/>
        <w:rPr>
          <w:sz w:val="22"/>
          <w:szCs w:val="22"/>
        </w:rPr>
      </w:pPr>
    </w:p>
    <w:p w14:paraId="1A1EFA68" w14:textId="77777777" w:rsidR="002F1C85" w:rsidRDefault="002F1C85" w:rsidP="00B23F1C">
      <w:pPr>
        <w:pStyle w:val="BodyText"/>
        <w:spacing w:line="360" w:lineRule="auto"/>
        <w:ind w:right="246"/>
        <w:rPr>
          <w:sz w:val="22"/>
          <w:szCs w:val="22"/>
        </w:rPr>
      </w:pPr>
    </w:p>
    <w:p w14:paraId="10BB0643" w14:textId="77777777" w:rsidR="002F1C85" w:rsidRDefault="002F1C85" w:rsidP="00B23F1C">
      <w:pPr>
        <w:pStyle w:val="BodyText"/>
        <w:spacing w:line="360" w:lineRule="auto"/>
        <w:ind w:right="246"/>
        <w:rPr>
          <w:sz w:val="22"/>
          <w:szCs w:val="22"/>
        </w:rPr>
      </w:pPr>
    </w:p>
    <w:p w14:paraId="1CA9201C" w14:textId="77777777" w:rsidR="002F1C85" w:rsidRDefault="002F1C85" w:rsidP="00B23F1C">
      <w:pPr>
        <w:pStyle w:val="BodyText"/>
        <w:spacing w:line="360" w:lineRule="auto"/>
        <w:ind w:right="246"/>
        <w:rPr>
          <w:sz w:val="22"/>
          <w:szCs w:val="22"/>
        </w:rPr>
      </w:pPr>
    </w:p>
    <w:p w14:paraId="326E636C" w14:textId="77777777" w:rsidR="002F1C85" w:rsidRDefault="002F1C85" w:rsidP="00B23F1C">
      <w:pPr>
        <w:pStyle w:val="BodyText"/>
        <w:spacing w:line="360" w:lineRule="auto"/>
        <w:ind w:right="246"/>
        <w:rPr>
          <w:sz w:val="22"/>
          <w:szCs w:val="22"/>
        </w:rPr>
      </w:pPr>
    </w:p>
    <w:p w14:paraId="376CF951" w14:textId="77777777" w:rsidR="002F1C85" w:rsidRDefault="002F1C85" w:rsidP="00B23F1C">
      <w:pPr>
        <w:pStyle w:val="BodyText"/>
        <w:spacing w:line="360" w:lineRule="auto"/>
        <w:ind w:right="246"/>
        <w:rPr>
          <w:sz w:val="22"/>
          <w:szCs w:val="22"/>
        </w:rPr>
      </w:pPr>
    </w:p>
    <w:p w14:paraId="0149F38B" w14:textId="77777777" w:rsidR="002F1C85" w:rsidRDefault="002F1C85" w:rsidP="00B23F1C">
      <w:pPr>
        <w:pStyle w:val="BodyText"/>
        <w:spacing w:line="360" w:lineRule="auto"/>
        <w:ind w:right="246"/>
        <w:rPr>
          <w:sz w:val="22"/>
          <w:szCs w:val="22"/>
        </w:rPr>
      </w:pPr>
    </w:p>
    <w:p w14:paraId="593CF3FE" w14:textId="77777777" w:rsidR="002F1C85" w:rsidRDefault="002F1C85" w:rsidP="00B23F1C">
      <w:pPr>
        <w:pStyle w:val="BodyText"/>
        <w:spacing w:line="360" w:lineRule="auto"/>
        <w:ind w:right="246"/>
        <w:rPr>
          <w:sz w:val="22"/>
          <w:szCs w:val="22"/>
        </w:rPr>
      </w:pPr>
    </w:p>
    <w:p w14:paraId="67B21123" w14:textId="77777777" w:rsidR="002F1C85" w:rsidRDefault="002F1C85" w:rsidP="00B23F1C">
      <w:pPr>
        <w:pStyle w:val="BodyText"/>
        <w:spacing w:line="360" w:lineRule="auto"/>
        <w:ind w:right="246"/>
        <w:rPr>
          <w:sz w:val="22"/>
          <w:szCs w:val="22"/>
        </w:rPr>
      </w:pPr>
    </w:p>
    <w:p w14:paraId="3256169A" w14:textId="77777777" w:rsidR="002F1C85" w:rsidRDefault="002F1C85" w:rsidP="00B23F1C">
      <w:pPr>
        <w:pStyle w:val="BodyText"/>
        <w:spacing w:line="360" w:lineRule="auto"/>
        <w:ind w:right="246"/>
        <w:rPr>
          <w:sz w:val="22"/>
          <w:szCs w:val="22"/>
        </w:rPr>
      </w:pPr>
    </w:p>
    <w:p w14:paraId="48472632" w14:textId="77777777" w:rsidR="002F1C85" w:rsidRDefault="002F1C85" w:rsidP="00B23F1C">
      <w:pPr>
        <w:pStyle w:val="BodyText"/>
        <w:spacing w:line="360" w:lineRule="auto"/>
        <w:ind w:right="246"/>
        <w:rPr>
          <w:sz w:val="22"/>
          <w:szCs w:val="22"/>
        </w:rPr>
      </w:pPr>
    </w:p>
    <w:p w14:paraId="15945B3F" w14:textId="77777777" w:rsidR="002F1C85" w:rsidRDefault="002F1C85" w:rsidP="00B23F1C">
      <w:pPr>
        <w:pStyle w:val="BodyText"/>
        <w:spacing w:line="360" w:lineRule="auto"/>
        <w:ind w:right="246"/>
        <w:rPr>
          <w:sz w:val="22"/>
          <w:szCs w:val="22"/>
        </w:rPr>
      </w:pPr>
    </w:p>
    <w:p w14:paraId="28FFF82A" w14:textId="77777777" w:rsidR="00B23F1C" w:rsidRDefault="00B23F1C" w:rsidP="00B23F1C">
      <w:pPr>
        <w:pStyle w:val="BodyText"/>
        <w:spacing w:line="360" w:lineRule="auto"/>
        <w:ind w:right="246"/>
        <w:rPr>
          <w:sz w:val="22"/>
          <w:szCs w:val="22"/>
        </w:rPr>
      </w:pPr>
    </w:p>
    <w:p w14:paraId="74C51D20" w14:textId="77777777" w:rsidR="008C00F0" w:rsidRDefault="008C00F0" w:rsidP="00B23F1C">
      <w:pPr>
        <w:pStyle w:val="BodyText"/>
        <w:spacing w:line="360" w:lineRule="auto"/>
        <w:ind w:right="246"/>
        <w:rPr>
          <w:sz w:val="22"/>
          <w:szCs w:val="22"/>
        </w:rPr>
      </w:pPr>
    </w:p>
    <w:p w14:paraId="6943452E" w14:textId="77777777" w:rsidR="008C00F0" w:rsidRDefault="008C00F0" w:rsidP="00B23F1C">
      <w:pPr>
        <w:pStyle w:val="BodyText"/>
        <w:spacing w:line="360" w:lineRule="auto"/>
        <w:ind w:right="246"/>
        <w:rPr>
          <w:sz w:val="22"/>
          <w:szCs w:val="22"/>
        </w:rPr>
      </w:pPr>
    </w:p>
    <w:p w14:paraId="69765CDB" w14:textId="77777777" w:rsidR="002F1C85" w:rsidRDefault="002F1C85" w:rsidP="00B23F1C">
      <w:pPr>
        <w:pStyle w:val="BodyText"/>
        <w:spacing w:line="360" w:lineRule="auto"/>
        <w:ind w:right="246"/>
        <w:rPr>
          <w:sz w:val="22"/>
          <w:szCs w:val="22"/>
        </w:rPr>
      </w:pPr>
    </w:p>
    <w:p w14:paraId="167F2F43" w14:textId="77777777" w:rsidR="002F1C85" w:rsidRDefault="002F1C85" w:rsidP="00B23F1C">
      <w:pPr>
        <w:pStyle w:val="BodyText"/>
        <w:spacing w:line="360" w:lineRule="auto"/>
        <w:ind w:right="246"/>
        <w:rPr>
          <w:sz w:val="22"/>
          <w:szCs w:val="22"/>
        </w:rPr>
      </w:pPr>
    </w:p>
    <w:p w14:paraId="76980ABA" w14:textId="77777777" w:rsidR="002F1C85" w:rsidRDefault="002F1C85" w:rsidP="00B23F1C">
      <w:pPr>
        <w:pStyle w:val="BodyText"/>
        <w:spacing w:line="360" w:lineRule="auto"/>
        <w:ind w:right="246"/>
        <w:rPr>
          <w:sz w:val="22"/>
          <w:szCs w:val="22"/>
        </w:rPr>
      </w:pPr>
    </w:p>
    <w:p w14:paraId="5D1E97D4" w14:textId="77777777" w:rsidR="002F1C85" w:rsidRDefault="002F1C85" w:rsidP="00B23F1C">
      <w:pPr>
        <w:pStyle w:val="BodyText"/>
        <w:spacing w:line="360" w:lineRule="auto"/>
        <w:ind w:right="246"/>
        <w:rPr>
          <w:sz w:val="22"/>
          <w:szCs w:val="22"/>
        </w:rPr>
      </w:pPr>
    </w:p>
    <w:p w14:paraId="79F9C2D1" w14:textId="77777777" w:rsidR="002F1C85" w:rsidRDefault="002F1C85" w:rsidP="00B23F1C">
      <w:pPr>
        <w:pStyle w:val="BodyText"/>
        <w:spacing w:line="360" w:lineRule="auto"/>
        <w:ind w:right="246"/>
        <w:rPr>
          <w:sz w:val="22"/>
          <w:szCs w:val="22"/>
        </w:rPr>
      </w:pPr>
    </w:p>
    <w:p w14:paraId="0286A4BA" w14:textId="77777777" w:rsidR="002F1C85" w:rsidRDefault="002F1C85" w:rsidP="00B23F1C">
      <w:pPr>
        <w:pStyle w:val="BodyText"/>
        <w:spacing w:line="360" w:lineRule="auto"/>
        <w:ind w:right="246"/>
        <w:rPr>
          <w:sz w:val="22"/>
          <w:szCs w:val="22"/>
        </w:rPr>
        <w:sectPr w:rsidR="002F1C85" w:rsidSect="002F1C8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7382F890" w14:textId="77777777" w:rsidR="002F1C85" w:rsidRDefault="002F1C85" w:rsidP="00B23F1C">
      <w:pPr>
        <w:pStyle w:val="BodyText"/>
        <w:spacing w:line="360" w:lineRule="auto"/>
        <w:ind w:right="246"/>
        <w:rPr>
          <w:sz w:val="22"/>
          <w:szCs w:val="22"/>
        </w:rPr>
      </w:pPr>
    </w:p>
    <w:p w14:paraId="7EE02FC2" w14:textId="77777777" w:rsidR="00365276" w:rsidRDefault="00365276" w:rsidP="00B23F1C">
      <w:pPr>
        <w:pStyle w:val="BodyText"/>
        <w:spacing w:line="360" w:lineRule="auto"/>
        <w:ind w:right="246"/>
        <w:rPr>
          <w:sz w:val="22"/>
          <w:szCs w:val="22"/>
        </w:rPr>
      </w:pPr>
    </w:p>
    <w:p w14:paraId="799510C5" w14:textId="77777777" w:rsidR="00B23F1C" w:rsidRPr="00B23F1C" w:rsidRDefault="00B23F1C" w:rsidP="00B23F1C">
      <w:pPr>
        <w:pStyle w:val="BodyText"/>
        <w:spacing w:line="360" w:lineRule="auto"/>
        <w:ind w:right="246"/>
        <w:rPr>
          <w:sz w:val="22"/>
          <w:szCs w:val="22"/>
        </w:rPr>
      </w:pPr>
    </w:p>
    <w:p w14:paraId="66B159F6" w14:textId="77777777" w:rsidR="00D52759" w:rsidRDefault="00B23F1C" w:rsidP="00B23F1C">
      <w:pPr>
        <w:pStyle w:val="BodyText"/>
        <w:spacing w:line="360" w:lineRule="auto"/>
        <w:ind w:right="246"/>
        <w:rPr>
          <w:sz w:val="22"/>
          <w:szCs w:val="22"/>
        </w:rPr>
      </w:pPr>
      <w:r w:rsidRPr="00B23F1C">
        <w:rPr>
          <w:sz w:val="22"/>
          <w:szCs w:val="22"/>
        </w:rPr>
        <w:t>Table</w:t>
      </w:r>
      <w:r>
        <w:rPr>
          <w:sz w:val="22"/>
          <w:szCs w:val="22"/>
        </w:rPr>
        <w:t xml:space="preserve"> </w:t>
      </w:r>
      <w:r w:rsidRPr="00B23F1C">
        <w:rPr>
          <w:sz w:val="22"/>
          <w:szCs w:val="22"/>
        </w:rPr>
        <w:t>1. Analysis of variance for physiological parameters of accelerated aged seed of sorghum</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5"/>
        <w:gridCol w:w="1309"/>
        <w:gridCol w:w="1884"/>
        <w:gridCol w:w="1540"/>
        <w:gridCol w:w="1652"/>
        <w:gridCol w:w="1672"/>
        <w:gridCol w:w="2300"/>
      </w:tblGrid>
      <w:tr w:rsidR="00B23F1C" w14:paraId="6FCEDEEB" w14:textId="77777777" w:rsidTr="00AA221B">
        <w:trPr>
          <w:trHeight w:val="430"/>
        </w:trPr>
        <w:tc>
          <w:tcPr>
            <w:tcW w:w="2565" w:type="dxa"/>
            <w:vMerge w:val="restart"/>
          </w:tcPr>
          <w:p w14:paraId="3CD53112" w14:textId="77777777" w:rsidR="00B23F1C" w:rsidRDefault="00B23F1C" w:rsidP="00AA221B">
            <w:pPr>
              <w:pStyle w:val="TableParagraph"/>
              <w:spacing w:before="0"/>
              <w:ind w:left="0"/>
              <w:jc w:val="left"/>
              <w:rPr>
                <w:b/>
                <w:sz w:val="24"/>
              </w:rPr>
            </w:pPr>
            <w:bookmarkStart w:id="1" w:name="_Hlk183864524"/>
          </w:p>
          <w:p w14:paraId="59C85F4C" w14:textId="77777777" w:rsidR="00B23F1C" w:rsidRDefault="00B23F1C" w:rsidP="00AA221B">
            <w:pPr>
              <w:pStyle w:val="TableParagraph"/>
              <w:spacing w:before="139"/>
              <w:ind w:left="0"/>
              <w:jc w:val="left"/>
              <w:rPr>
                <w:b/>
                <w:sz w:val="24"/>
              </w:rPr>
            </w:pPr>
          </w:p>
          <w:p w14:paraId="76FCC5B1" w14:textId="77777777" w:rsidR="00B23F1C" w:rsidRDefault="00B23F1C" w:rsidP="00AA221B">
            <w:pPr>
              <w:pStyle w:val="TableParagraph"/>
              <w:spacing w:before="0"/>
              <w:ind w:left="4"/>
              <w:rPr>
                <w:b/>
                <w:sz w:val="24"/>
              </w:rPr>
            </w:pPr>
            <w:r>
              <w:rPr>
                <w:b/>
                <w:spacing w:val="-2"/>
                <w:sz w:val="24"/>
              </w:rPr>
              <w:t>Source</w:t>
            </w:r>
          </w:p>
        </w:tc>
        <w:tc>
          <w:tcPr>
            <w:tcW w:w="1309" w:type="dxa"/>
            <w:vMerge w:val="restart"/>
          </w:tcPr>
          <w:p w14:paraId="5A390465" w14:textId="77777777" w:rsidR="00B23F1C" w:rsidRDefault="00B23F1C" w:rsidP="00AA221B">
            <w:pPr>
              <w:pStyle w:val="TableParagraph"/>
              <w:spacing w:before="0"/>
              <w:ind w:left="0"/>
              <w:jc w:val="left"/>
              <w:rPr>
                <w:b/>
                <w:sz w:val="24"/>
              </w:rPr>
            </w:pPr>
          </w:p>
          <w:p w14:paraId="586A8283" w14:textId="77777777" w:rsidR="00B23F1C" w:rsidRDefault="00B23F1C" w:rsidP="00AA221B">
            <w:pPr>
              <w:pStyle w:val="TableParagraph"/>
              <w:spacing w:before="3"/>
              <w:ind w:left="0"/>
              <w:jc w:val="left"/>
              <w:rPr>
                <w:b/>
                <w:sz w:val="24"/>
              </w:rPr>
            </w:pPr>
          </w:p>
          <w:p w14:paraId="091DC40B" w14:textId="77777777" w:rsidR="00B23F1C" w:rsidRDefault="00B23F1C" w:rsidP="00AA221B">
            <w:pPr>
              <w:pStyle w:val="TableParagraph"/>
              <w:spacing w:before="0"/>
              <w:ind w:left="226" w:right="111" w:hanging="112"/>
              <w:jc w:val="left"/>
              <w:rPr>
                <w:b/>
                <w:sz w:val="24"/>
              </w:rPr>
            </w:pPr>
            <w:r>
              <w:rPr>
                <w:b/>
                <w:sz w:val="24"/>
              </w:rPr>
              <w:t>Degrees</w:t>
            </w:r>
            <w:r>
              <w:rPr>
                <w:b/>
                <w:spacing w:val="-15"/>
                <w:sz w:val="24"/>
              </w:rPr>
              <w:t xml:space="preserve"> </w:t>
            </w:r>
            <w:r>
              <w:rPr>
                <w:b/>
                <w:sz w:val="24"/>
              </w:rPr>
              <w:t xml:space="preserve">of </w:t>
            </w:r>
            <w:r>
              <w:rPr>
                <w:b/>
                <w:spacing w:val="-2"/>
                <w:sz w:val="24"/>
              </w:rPr>
              <w:t>freedom</w:t>
            </w:r>
          </w:p>
        </w:tc>
        <w:tc>
          <w:tcPr>
            <w:tcW w:w="9048" w:type="dxa"/>
            <w:gridSpan w:val="5"/>
          </w:tcPr>
          <w:p w14:paraId="55F6956A" w14:textId="77777777" w:rsidR="00B23F1C" w:rsidRDefault="00B23F1C" w:rsidP="00AA221B">
            <w:pPr>
              <w:pStyle w:val="TableParagraph"/>
              <w:spacing w:before="75"/>
              <w:ind w:left="0" w:right="2"/>
              <w:rPr>
                <w:b/>
                <w:sz w:val="24"/>
              </w:rPr>
            </w:pPr>
            <w:r>
              <w:rPr>
                <w:b/>
                <w:sz w:val="24"/>
              </w:rPr>
              <w:t>Mean</w:t>
            </w:r>
            <w:r>
              <w:rPr>
                <w:b/>
                <w:spacing w:val="-3"/>
                <w:sz w:val="24"/>
              </w:rPr>
              <w:t xml:space="preserve"> </w:t>
            </w:r>
            <w:r>
              <w:rPr>
                <w:b/>
                <w:sz w:val="24"/>
              </w:rPr>
              <w:t>sum</w:t>
            </w:r>
            <w:r>
              <w:rPr>
                <w:b/>
                <w:spacing w:val="-6"/>
                <w:sz w:val="24"/>
              </w:rPr>
              <w:t xml:space="preserve"> </w:t>
            </w:r>
            <w:r>
              <w:rPr>
                <w:b/>
                <w:sz w:val="24"/>
              </w:rPr>
              <w:t>of</w:t>
            </w:r>
            <w:r>
              <w:rPr>
                <w:b/>
                <w:spacing w:val="2"/>
                <w:sz w:val="24"/>
              </w:rPr>
              <w:t xml:space="preserve"> </w:t>
            </w:r>
            <w:r>
              <w:rPr>
                <w:b/>
                <w:spacing w:val="-2"/>
                <w:sz w:val="24"/>
              </w:rPr>
              <w:t>squares</w:t>
            </w:r>
          </w:p>
        </w:tc>
      </w:tr>
      <w:tr w:rsidR="00B23F1C" w14:paraId="47F1EE36" w14:textId="77777777" w:rsidTr="00AA221B">
        <w:trPr>
          <w:trHeight w:val="950"/>
        </w:trPr>
        <w:tc>
          <w:tcPr>
            <w:tcW w:w="2565" w:type="dxa"/>
            <w:vMerge/>
            <w:tcBorders>
              <w:top w:val="nil"/>
            </w:tcBorders>
          </w:tcPr>
          <w:p w14:paraId="6E4ACE49" w14:textId="77777777" w:rsidR="00B23F1C" w:rsidRDefault="00B23F1C" w:rsidP="00AA221B">
            <w:pPr>
              <w:rPr>
                <w:sz w:val="2"/>
                <w:szCs w:val="2"/>
              </w:rPr>
            </w:pPr>
          </w:p>
        </w:tc>
        <w:tc>
          <w:tcPr>
            <w:tcW w:w="1309" w:type="dxa"/>
            <w:vMerge/>
            <w:tcBorders>
              <w:top w:val="nil"/>
            </w:tcBorders>
          </w:tcPr>
          <w:p w14:paraId="46D8BC88" w14:textId="77777777" w:rsidR="00B23F1C" w:rsidRDefault="00B23F1C" w:rsidP="00AA221B">
            <w:pPr>
              <w:rPr>
                <w:sz w:val="2"/>
                <w:szCs w:val="2"/>
              </w:rPr>
            </w:pPr>
          </w:p>
        </w:tc>
        <w:tc>
          <w:tcPr>
            <w:tcW w:w="1884" w:type="dxa"/>
          </w:tcPr>
          <w:p w14:paraId="03C58A8C" w14:textId="77777777" w:rsidR="00B23F1C" w:rsidRDefault="00B23F1C" w:rsidP="00AA221B">
            <w:pPr>
              <w:pStyle w:val="TableParagraph"/>
              <w:spacing w:before="195"/>
              <w:ind w:left="738" w:hanging="460"/>
              <w:jc w:val="left"/>
              <w:rPr>
                <w:b/>
                <w:sz w:val="24"/>
              </w:rPr>
            </w:pPr>
            <w:r>
              <w:rPr>
                <w:b/>
                <w:spacing w:val="-2"/>
                <w:sz w:val="24"/>
              </w:rPr>
              <w:t xml:space="preserve">Germination </w:t>
            </w:r>
            <w:r>
              <w:rPr>
                <w:b/>
                <w:spacing w:val="-4"/>
                <w:sz w:val="24"/>
              </w:rPr>
              <w:t>(%)</w:t>
            </w:r>
          </w:p>
        </w:tc>
        <w:tc>
          <w:tcPr>
            <w:tcW w:w="1540" w:type="dxa"/>
          </w:tcPr>
          <w:p w14:paraId="4C60C7DE" w14:textId="77777777" w:rsidR="00B23F1C" w:rsidRDefault="00B23F1C" w:rsidP="00AA221B">
            <w:pPr>
              <w:pStyle w:val="TableParagraph"/>
              <w:spacing w:before="59"/>
              <w:ind w:left="247" w:right="243"/>
              <w:rPr>
                <w:b/>
                <w:sz w:val="24"/>
              </w:rPr>
            </w:pPr>
            <w:r>
              <w:rPr>
                <w:b/>
                <w:spacing w:val="-2"/>
                <w:sz w:val="24"/>
              </w:rPr>
              <w:t xml:space="preserve">Seedling length </w:t>
            </w:r>
            <w:r>
              <w:rPr>
                <w:b/>
                <w:spacing w:val="-4"/>
                <w:sz w:val="24"/>
              </w:rPr>
              <w:t>(cm)</w:t>
            </w:r>
          </w:p>
        </w:tc>
        <w:tc>
          <w:tcPr>
            <w:tcW w:w="1652" w:type="dxa"/>
          </w:tcPr>
          <w:p w14:paraId="37E07387" w14:textId="77777777" w:rsidR="00B23F1C" w:rsidRDefault="00B23F1C" w:rsidP="00AA221B">
            <w:pPr>
              <w:pStyle w:val="TableParagraph"/>
              <w:spacing w:before="195"/>
              <w:ind w:left="178" w:right="172" w:firstLine="212"/>
              <w:jc w:val="left"/>
              <w:rPr>
                <w:b/>
                <w:sz w:val="24"/>
              </w:rPr>
            </w:pPr>
            <w:r>
              <w:rPr>
                <w:b/>
                <w:spacing w:val="-2"/>
                <w:sz w:val="24"/>
              </w:rPr>
              <w:t xml:space="preserve">Seedling </w:t>
            </w:r>
            <w:proofErr w:type="spellStart"/>
            <w:r>
              <w:rPr>
                <w:b/>
                <w:sz w:val="24"/>
              </w:rPr>
              <w:t>vigour</w:t>
            </w:r>
            <w:proofErr w:type="spellEnd"/>
            <w:r>
              <w:rPr>
                <w:b/>
                <w:spacing w:val="-15"/>
                <w:sz w:val="24"/>
              </w:rPr>
              <w:t xml:space="preserve"> </w:t>
            </w:r>
            <w:r>
              <w:rPr>
                <w:b/>
                <w:sz w:val="24"/>
              </w:rPr>
              <w:t>index</w:t>
            </w:r>
          </w:p>
        </w:tc>
        <w:tc>
          <w:tcPr>
            <w:tcW w:w="1672" w:type="dxa"/>
          </w:tcPr>
          <w:p w14:paraId="38BCE0C1" w14:textId="77777777" w:rsidR="00B23F1C" w:rsidRDefault="00B23F1C" w:rsidP="00AA221B">
            <w:pPr>
              <w:pStyle w:val="TableParagraph"/>
              <w:spacing w:before="59"/>
              <w:ind w:left="258" w:right="255" w:firstLine="11"/>
              <w:rPr>
                <w:b/>
                <w:sz w:val="24"/>
              </w:rPr>
            </w:pPr>
            <w:r>
              <w:rPr>
                <w:b/>
                <w:spacing w:val="-2"/>
                <w:sz w:val="24"/>
              </w:rPr>
              <w:t xml:space="preserve">Field Emergence </w:t>
            </w:r>
            <w:r>
              <w:rPr>
                <w:b/>
                <w:spacing w:val="-4"/>
                <w:sz w:val="24"/>
              </w:rPr>
              <w:t>(%)</w:t>
            </w:r>
          </w:p>
        </w:tc>
        <w:tc>
          <w:tcPr>
            <w:tcW w:w="2300" w:type="dxa"/>
          </w:tcPr>
          <w:p w14:paraId="4107165E" w14:textId="77777777" w:rsidR="00B23F1C" w:rsidRDefault="00B23F1C" w:rsidP="00AA221B">
            <w:pPr>
              <w:pStyle w:val="TableParagraph"/>
              <w:spacing w:before="59"/>
              <w:ind w:left="576" w:right="577" w:firstLine="2"/>
              <w:rPr>
                <w:b/>
                <w:sz w:val="24"/>
              </w:rPr>
            </w:pPr>
            <w:r>
              <w:rPr>
                <w:b/>
                <w:spacing w:val="-2"/>
                <w:sz w:val="24"/>
              </w:rPr>
              <w:t xml:space="preserve">Electrical conductivity </w:t>
            </w:r>
            <w:r>
              <w:rPr>
                <w:b/>
                <w:sz w:val="24"/>
              </w:rPr>
              <w:t>(µS cm</w:t>
            </w:r>
            <w:r>
              <w:rPr>
                <w:b/>
                <w:sz w:val="24"/>
                <w:vertAlign w:val="superscript"/>
              </w:rPr>
              <w:t>-1</w:t>
            </w:r>
            <w:r>
              <w:rPr>
                <w:b/>
                <w:sz w:val="24"/>
              </w:rPr>
              <w:t>)</w:t>
            </w:r>
          </w:p>
        </w:tc>
      </w:tr>
      <w:tr w:rsidR="00B23F1C" w14:paraId="570FB65D" w14:textId="77777777" w:rsidTr="00AA221B">
        <w:trPr>
          <w:trHeight w:val="1018"/>
        </w:trPr>
        <w:tc>
          <w:tcPr>
            <w:tcW w:w="2565" w:type="dxa"/>
          </w:tcPr>
          <w:p w14:paraId="274C7432" w14:textId="77777777" w:rsidR="00B23F1C" w:rsidRDefault="00B23F1C" w:rsidP="00AA221B">
            <w:pPr>
              <w:pStyle w:val="TableParagraph"/>
              <w:spacing w:before="90"/>
              <w:ind w:left="0"/>
              <w:jc w:val="left"/>
              <w:rPr>
                <w:b/>
                <w:sz w:val="24"/>
              </w:rPr>
            </w:pPr>
          </w:p>
          <w:p w14:paraId="3B126F31" w14:textId="77777777" w:rsidR="00B23F1C" w:rsidRDefault="00B23F1C" w:rsidP="00AA221B">
            <w:pPr>
              <w:pStyle w:val="TableParagraph"/>
              <w:spacing w:before="1"/>
              <w:ind w:left="4" w:right="2"/>
              <w:rPr>
                <w:b/>
                <w:sz w:val="24"/>
              </w:rPr>
            </w:pPr>
            <w:r>
              <w:rPr>
                <w:b/>
                <w:spacing w:val="-2"/>
                <w:sz w:val="24"/>
              </w:rPr>
              <w:t>Treatment</w:t>
            </w:r>
          </w:p>
        </w:tc>
        <w:tc>
          <w:tcPr>
            <w:tcW w:w="1309" w:type="dxa"/>
          </w:tcPr>
          <w:p w14:paraId="4D407A26" w14:textId="77777777" w:rsidR="00B23F1C" w:rsidRDefault="00B23F1C" w:rsidP="00AA221B">
            <w:pPr>
              <w:pStyle w:val="TableParagraph"/>
              <w:spacing w:before="86"/>
              <w:ind w:left="0"/>
              <w:jc w:val="left"/>
              <w:rPr>
                <w:b/>
                <w:sz w:val="24"/>
              </w:rPr>
            </w:pPr>
          </w:p>
          <w:p w14:paraId="3D9AEB5B" w14:textId="77777777" w:rsidR="00B23F1C" w:rsidRDefault="00B23F1C" w:rsidP="00AA221B">
            <w:pPr>
              <w:pStyle w:val="TableParagraph"/>
              <w:spacing w:before="1"/>
              <w:ind w:left="2"/>
              <w:rPr>
                <w:sz w:val="24"/>
              </w:rPr>
            </w:pPr>
            <w:r>
              <w:rPr>
                <w:spacing w:val="-10"/>
                <w:sz w:val="24"/>
              </w:rPr>
              <w:t>4</w:t>
            </w:r>
          </w:p>
        </w:tc>
        <w:tc>
          <w:tcPr>
            <w:tcW w:w="1884" w:type="dxa"/>
          </w:tcPr>
          <w:p w14:paraId="7B43DCF1" w14:textId="77777777" w:rsidR="00B23F1C" w:rsidRDefault="00B23F1C" w:rsidP="00AA221B">
            <w:pPr>
              <w:pStyle w:val="TableParagraph"/>
              <w:spacing w:before="86"/>
              <w:ind w:left="0"/>
              <w:jc w:val="left"/>
              <w:rPr>
                <w:b/>
                <w:sz w:val="24"/>
              </w:rPr>
            </w:pPr>
          </w:p>
          <w:p w14:paraId="7580166A" w14:textId="77777777" w:rsidR="00B23F1C" w:rsidRDefault="00B23F1C" w:rsidP="00AA221B">
            <w:pPr>
              <w:pStyle w:val="TableParagraph"/>
              <w:spacing w:before="1"/>
              <w:ind w:left="5"/>
              <w:rPr>
                <w:sz w:val="24"/>
              </w:rPr>
            </w:pPr>
            <w:r>
              <w:rPr>
                <w:spacing w:val="-2"/>
                <w:sz w:val="24"/>
              </w:rPr>
              <w:t>323.969</w:t>
            </w:r>
            <w:r>
              <w:rPr>
                <w:spacing w:val="-2"/>
                <w:sz w:val="24"/>
                <w:vertAlign w:val="superscript"/>
              </w:rPr>
              <w:t>**</w:t>
            </w:r>
          </w:p>
        </w:tc>
        <w:tc>
          <w:tcPr>
            <w:tcW w:w="1540" w:type="dxa"/>
          </w:tcPr>
          <w:p w14:paraId="4DE8CCEE" w14:textId="77777777" w:rsidR="00B23F1C" w:rsidRDefault="00B23F1C" w:rsidP="00AA221B">
            <w:pPr>
              <w:pStyle w:val="TableParagraph"/>
              <w:spacing w:before="86"/>
              <w:ind w:left="0"/>
              <w:jc w:val="left"/>
              <w:rPr>
                <w:b/>
                <w:sz w:val="24"/>
              </w:rPr>
            </w:pPr>
          </w:p>
          <w:p w14:paraId="770A9A01" w14:textId="77777777" w:rsidR="00B23F1C" w:rsidRDefault="00B23F1C" w:rsidP="00AA221B">
            <w:pPr>
              <w:pStyle w:val="TableParagraph"/>
              <w:spacing w:before="1"/>
              <w:ind w:left="250" w:right="243"/>
              <w:rPr>
                <w:sz w:val="24"/>
              </w:rPr>
            </w:pPr>
            <w:r>
              <w:rPr>
                <w:spacing w:val="-2"/>
                <w:sz w:val="24"/>
              </w:rPr>
              <w:t>58.532</w:t>
            </w:r>
            <w:r>
              <w:rPr>
                <w:spacing w:val="-2"/>
                <w:sz w:val="24"/>
                <w:vertAlign w:val="superscript"/>
              </w:rPr>
              <w:t>**</w:t>
            </w:r>
          </w:p>
        </w:tc>
        <w:tc>
          <w:tcPr>
            <w:tcW w:w="1652" w:type="dxa"/>
          </w:tcPr>
          <w:p w14:paraId="6CC30681" w14:textId="77777777" w:rsidR="00B23F1C" w:rsidRDefault="00B23F1C" w:rsidP="00AA221B">
            <w:pPr>
              <w:pStyle w:val="TableParagraph"/>
              <w:spacing w:before="86"/>
              <w:ind w:left="0"/>
              <w:jc w:val="left"/>
              <w:rPr>
                <w:b/>
                <w:sz w:val="24"/>
              </w:rPr>
            </w:pPr>
          </w:p>
          <w:p w14:paraId="10DD83AB" w14:textId="77777777" w:rsidR="00B23F1C" w:rsidRDefault="00B23F1C" w:rsidP="00AA221B">
            <w:pPr>
              <w:pStyle w:val="TableParagraph"/>
              <w:spacing w:before="1"/>
              <w:ind w:left="7" w:right="4"/>
              <w:rPr>
                <w:sz w:val="24"/>
              </w:rPr>
            </w:pPr>
            <w:r>
              <w:rPr>
                <w:spacing w:val="-2"/>
                <w:sz w:val="24"/>
              </w:rPr>
              <w:t>2,103,481</w:t>
            </w:r>
            <w:r>
              <w:rPr>
                <w:spacing w:val="-2"/>
                <w:sz w:val="24"/>
                <w:vertAlign w:val="superscript"/>
              </w:rPr>
              <w:t>**</w:t>
            </w:r>
          </w:p>
        </w:tc>
        <w:tc>
          <w:tcPr>
            <w:tcW w:w="1672" w:type="dxa"/>
          </w:tcPr>
          <w:p w14:paraId="1D10F3E4" w14:textId="77777777" w:rsidR="00B23F1C" w:rsidRDefault="00B23F1C" w:rsidP="00AA221B">
            <w:pPr>
              <w:pStyle w:val="TableParagraph"/>
              <w:spacing w:before="86"/>
              <w:ind w:left="0"/>
              <w:jc w:val="left"/>
              <w:rPr>
                <w:b/>
                <w:sz w:val="24"/>
              </w:rPr>
            </w:pPr>
          </w:p>
          <w:p w14:paraId="2E693138" w14:textId="77777777" w:rsidR="00B23F1C" w:rsidRDefault="00B23F1C" w:rsidP="00AA221B">
            <w:pPr>
              <w:pStyle w:val="TableParagraph"/>
              <w:spacing w:before="1"/>
              <w:ind w:left="11" w:right="7"/>
              <w:rPr>
                <w:sz w:val="24"/>
              </w:rPr>
            </w:pPr>
            <w:r>
              <w:rPr>
                <w:spacing w:val="-2"/>
                <w:sz w:val="24"/>
              </w:rPr>
              <w:t>253.380</w:t>
            </w:r>
            <w:r>
              <w:rPr>
                <w:spacing w:val="-2"/>
                <w:sz w:val="24"/>
                <w:vertAlign w:val="superscript"/>
              </w:rPr>
              <w:t>**</w:t>
            </w:r>
          </w:p>
        </w:tc>
        <w:tc>
          <w:tcPr>
            <w:tcW w:w="2300" w:type="dxa"/>
          </w:tcPr>
          <w:p w14:paraId="1491FE73" w14:textId="77777777" w:rsidR="00B23F1C" w:rsidRDefault="00B23F1C" w:rsidP="00AA221B">
            <w:pPr>
              <w:pStyle w:val="TableParagraph"/>
              <w:spacing w:before="86"/>
              <w:ind w:left="0"/>
              <w:jc w:val="left"/>
              <w:rPr>
                <w:b/>
                <w:sz w:val="24"/>
              </w:rPr>
            </w:pPr>
          </w:p>
          <w:p w14:paraId="3FDB31BB" w14:textId="77777777" w:rsidR="00B23F1C" w:rsidRDefault="00B23F1C" w:rsidP="00AA221B">
            <w:pPr>
              <w:pStyle w:val="TableParagraph"/>
              <w:spacing w:before="1"/>
              <w:ind w:left="4" w:right="4"/>
              <w:rPr>
                <w:sz w:val="24"/>
              </w:rPr>
            </w:pPr>
            <w:r>
              <w:rPr>
                <w:spacing w:val="-2"/>
                <w:sz w:val="24"/>
              </w:rPr>
              <w:t>84579.950</w:t>
            </w:r>
            <w:r>
              <w:rPr>
                <w:spacing w:val="-2"/>
                <w:sz w:val="24"/>
                <w:vertAlign w:val="superscript"/>
              </w:rPr>
              <w:t>**</w:t>
            </w:r>
          </w:p>
        </w:tc>
      </w:tr>
      <w:tr w:rsidR="00B23F1C" w14:paraId="4D0BA237" w14:textId="77777777" w:rsidTr="00AA221B">
        <w:trPr>
          <w:trHeight w:val="1122"/>
        </w:trPr>
        <w:tc>
          <w:tcPr>
            <w:tcW w:w="2565" w:type="dxa"/>
          </w:tcPr>
          <w:p w14:paraId="10D3E90D" w14:textId="77777777" w:rsidR="00B23F1C" w:rsidRDefault="00B23F1C" w:rsidP="00AA221B">
            <w:pPr>
              <w:pStyle w:val="TableParagraph"/>
              <w:spacing w:before="142"/>
              <w:ind w:left="0"/>
              <w:jc w:val="left"/>
              <w:rPr>
                <w:b/>
                <w:sz w:val="24"/>
              </w:rPr>
            </w:pPr>
          </w:p>
          <w:p w14:paraId="2CA05457" w14:textId="77777777" w:rsidR="00B23F1C" w:rsidRDefault="00B23F1C" w:rsidP="00AA221B">
            <w:pPr>
              <w:pStyle w:val="TableParagraph"/>
              <w:spacing w:before="1"/>
              <w:ind w:left="4" w:right="3"/>
              <w:rPr>
                <w:b/>
                <w:sz w:val="24"/>
              </w:rPr>
            </w:pPr>
            <w:r>
              <w:rPr>
                <w:b/>
                <w:spacing w:val="-2"/>
                <w:sz w:val="24"/>
              </w:rPr>
              <w:t>Error</w:t>
            </w:r>
          </w:p>
        </w:tc>
        <w:tc>
          <w:tcPr>
            <w:tcW w:w="1309" w:type="dxa"/>
          </w:tcPr>
          <w:p w14:paraId="1DD0656D" w14:textId="77777777" w:rsidR="00B23F1C" w:rsidRDefault="00B23F1C" w:rsidP="00AA221B">
            <w:pPr>
              <w:pStyle w:val="TableParagraph"/>
              <w:spacing w:before="138"/>
              <w:ind w:left="0"/>
              <w:jc w:val="left"/>
              <w:rPr>
                <w:b/>
                <w:sz w:val="24"/>
              </w:rPr>
            </w:pPr>
          </w:p>
          <w:p w14:paraId="5ECFB593" w14:textId="77777777" w:rsidR="00B23F1C" w:rsidRDefault="00B23F1C" w:rsidP="00AA221B">
            <w:pPr>
              <w:pStyle w:val="TableParagraph"/>
              <w:spacing w:before="1"/>
              <w:ind w:left="2"/>
              <w:rPr>
                <w:sz w:val="24"/>
              </w:rPr>
            </w:pPr>
            <w:r>
              <w:rPr>
                <w:spacing w:val="-5"/>
                <w:sz w:val="24"/>
              </w:rPr>
              <w:t>15</w:t>
            </w:r>
          </w:p>
        </w:tc>
        <w:tc>
          <w:tcPr>
            <w:tcW w:w="1884" w:type="dxa"/>
          </w:tcPr>
          <w:p w14:paraId="6175C455" w14:textId="77777777" w:rsidR="00B23F1C" w:rsidRDefault="00B23F1C" w:rsidP="00AA221B">
            <w:pPr>
              <w:pStyle w:val="TableParagraph"/>
              <w:spacing w:before="138"/>
              <w:ind w:left="0"/>
              <w:jc w:val="left"/>
              <w:rPr>
                <w:b/>
                <w:sz w:val="24"/>
              </w:rPr>
            </w:pPr>
          </w:p>
          <w:p w14:paraId="7DF9DB59" w14:textId="77777777" w:rsidR="00B23F1C" w:rsidRDefault="00B23F1C" w:rsidP="00AA221B">
            <w:pPr>
              <w:pStyle w:val="TableParagraph"/>
              <w:spacing w:before="1"/>
              <w:ind w:left="5"/>
              <w:rPr>
                <w:sz w:val="24"/>
              </w:rPr>
            </w:pPr>
            <w:r>
              <w:rPr>
                <w:spacing w:val="-2"/>
                <w:sz w:val="24"/>
              </w:rPr>
              <w:t>7.297</w:t>
            </w:r>
          </w:p>
        </w:tc>
        <w:tc>
          <w:tcPr>
            <w:tcW w:w="1540" w:type="dxa"/>
          </w:tcPr>
          <w:p w14:paraId="7560E9CD" w14:textId="77777777" w:rsidR="00B23F1C" w:rsidRDefault="00B23F1C" w:rsidP="00AA221B">
            <w:pPr>
              <w:pStyle w:val="TableParagraph"/>
              <w:spacing w:before="138"/>
              <w:ind w:left="0"/>
              <w:jc w:val="left"/>
              <w:rPr>
                <w:b/>
                <w:sz w:val="24"/>
              </w:rPr>
            </w:pPr>
          </w:p>
          <w:p w14:paraId="21F66312" w14:textId="77777777" w:rsidR="00B23F1C" w:rsidRDefault="00B23F1C" w:rsidP="00AA221B">
            <w:pPr>
              <w:pStyle w:val="TableParagraph"/>
              <w:spacing w:before="1"/>
              <w:ind w:left="250" w:right="243"/>
              <w:rPr>
                <w:sz w:val="24"/>
              </w:rPr>
            </w:pPr>
            <w:r>
              <w:rPr>
                <w:spacing w:val="-2"/>
                <w:sz w:val="24"/>
              </w:rPr>
              <w:t>1.346</w:t>
            </w:r>
          </w:p>
        </w:tc>
        <w:tc>
          <w:tcPr>
            <w:tcW w:w="1652" w:type="dxa"/>
          </w:tcPr>
          <w:p w14:paraId="04437E49" w14:textId="77777777" w:rsidR="00B23F1C" w:rsidRDefault="00B23F1C" w:rsidP="00AA221B">
            <w:pPr>
              <w:pStyle w:val="TableParagraph"/>
              <w:spacing w:before="138"/>
              <w:ind w:left="0"/>
              <w:jc w:val="left"/>
              <w:rPr>
                <w:b/>
                <w:sz w:val="24"/>
              </w:rPr>
            </w:pPr>
          </w:p>
          <w:p w14:paraId="2C507AB5" w14:textId="77777777" w:rsidR="00B23F1C" w:rsidRDefault="00B23F1C" w:rsidP="00AA221B">
            <w:pPr>
              <w:pStyle w:val="TableParagraph"/>
              <w:spacing w:before="1"/>
              <w:ind w:left="7"/>
              <w:rPr>
                <w:sz w:val="24"/>
              </w:rPr>
            </w:pPr>
            <w:r>
              <w:rPr>
                <w:spacing w:val="-2"/>
                <w:sz w:val="24"/>
              </w:rPr>
              <w:t>40,211</w:t>
            </w:r>
          </w:p>
        </w:tc>
        <w:tc>
          <w:tcPr>
            <w:tcW w:w="1672" w:type="dxa"/>
          </w:tcPr>
          <w:p w14:paraId="26803079" w14:textId="77777777" w:rsidR="00B23F1C" w:rsidRDefault="00B23F1C" w:rsidP="00AA221B">
            <w:pPr>
              <w:pStyle w:val="TableParagraph"/>
              <w:spacing w:before="138"/>
              <w:ind w:left="0"/>
              <w:jc w:val="left"/>
              <w:rPr>
                <w:b/>
                <w:sz w:val="24"/>
              </w:rPr>
            </w:pPr>
          </w:p>
          <w:p w14:paraId="1ED046B5" w14:textId="77777777" w:rsidR="00B23F1C" w:rsidRDefault="00B23F1C" w:rsidP="00AA221B">
            <w:pPr>
              <w:pStyle w:val="TableParagraph"/>
              <w:spacing w:before="1"/>
              <w:ind w:left="11" w:right="7"/>
              <w:rPr>
                <w:sz w:val="24"/>
              </w:rPr>
            </w:pPr>
            <w:r>
              <w:rPr>
                <w:spacing w:val="-2"/>
                <w:sz w:val="24"/>
              </w:rPr>
              <w:t>3.328</w:t>
            </w:r>
          </w:p>
        </w:tc>
        <w:tc>
          <w:tcPr>
            <w:tcW w:w="2300" w:type="dxa"/>
          </w:tcPr>
          <w:p w14:paraId="373562CC" w14:textId="77777777" w:rsidR="00B23F1C" w:rsidRDefault="00B23F1C" w:rsidP="00AA221B">
            <w:pPr>
              <w:pStyle w:val="TableParagraph"/>
              <w:spacing w:before="138"/>
              <w:ind w:left="0"/>
              <w:jc w:val="left"/>
              <w:rPr>
                <w:b/>
                <w:sz w:val="24"/>
              </w:rPr>
            </w:pPr>
          </w:p>
          <w:p w14:paraId="161C0C2C" w14:textId="77777777" w:rsidR="00B23F1C" w:rsidRDefault="00B23F1C" w:rsidP="00AA221B">
            <w:pPr>
              <w:pStyle w:val="TableParagraph"/>
              <w:spacing w:before="1"/>
              <w:ind w:left="4" w:right="4"/>
              <w:rPr>
                <w:sz w:val="24"/>
              </w:rPr>
            </w:pPr>
            <w:r>
              <w:rPr>
                <w:spacing w:val="-2"/>
                <w:sz w:val="24"/>
              </w:rPr>
              <w:t>741.917</w:t>
            </w:r>
          </w:p>
        </w:tc>
      </w:tr>
      <w:bookmarkEnd w:id="1"/>
    </w:tbl>
    <w:p w14:paraId="525AF497" w14:textId="77777777" w:rsidR="00B23F1C" w:rsidRDefault="00B23F1C" w:rsidP="00B23F1C">
      <w:pPr>
        <w:pStyle w:val="BodyText"/>
        <w:spacing w:line="360" w:lineRule="auto"/>
        <w:ind w:right="246"/>
        <w:rPr>
          <w:sz w:val="22"/>
          <w:szCs w:val="22"/>
        </w:rPr>
      </w:pPr>
    </w:p>
    <w:p w14:paraId="0666322E" w14:textId="77777777" w:rsidR="00540CEF" w:rsidRDefault="00540CEF" w:rsidP="00540CEF">
      <w:pPr>
        <w:pStyle w:val="BodyText"/>
        <w:spacing w:before="191"/>
        <w:ind w:left="216"/>
      </w:pPr>
      <w:r>
        <w:t>**</w:t>
      </w:r>
      <w:r>
        <w:rPr>
          <w:spacing w:val="-6"/>
        </w:rPr>
        <w:t xml:space="preserve"> </w:t>
      </w:r>
      <w:r>
        <w:t>Significant</w:t>
      </w:r>
      <w:r>
        <w:rPr>
          <w:spacing w:val="-2"/>
        </w:rPr>
        <w:t xml:space="preserve"> </w:t>
      </w:r>
      <w:r>
        <w:t>difference</w:t>
      </w:r>
      <w:r>
        <w:rPr>
          <w:spacing w:val="-1"/>
        </w:rPr>
        <w:t xml:space="preserve"> </w:t>
      </w:r>
      <w:r>
        <w:t>at</w:t>
      </w:r>
      <w:r>
        <w:rPr>
          <w:spacing w:val="2"/>
        </w:rPr>
        <w:t xml:space="preserve"> </w:t>
      </w:r>
      <w:r>
        <w:t>1%</w:t>
      </w:r>
      <w:r>
        <w:rPr>
          <w:spacing w:val="-2"/>
        </w:rPr>
        <w:t xml:space="preserve"> </w:t>
      </w:r>
      <w:r>
        <w:t>probability</w:t>
      </w:r>
      <w:r>
        <w:rPr>
          <w:spacing w:val="-6"/>
        </w:rPr>
        <w:t xml:space="preserve"> </w:t>
      </w:r>
      <w:r>
        <w:rPr>
          <w:spacing w:val="-4"/>
        </w:rPr>
        <w:t>level</w:t>
      </w:r>
    </w:p>
    <w:p w14:paraId="199FC2B7" w14:textId="77777777" w:rsidR="00540CEF" w:rsidRDefault="00540CEF" w:rsidP="00540CEF">
      <w:pPr>
        <w:pStyle w:val="BodyText"/>
        <w:spacing w:before="240"/>
        <w:ind w:left="216"/>
        <w:rPr>
          <w:spacing w:val="-4"/>
        </w:rPr>
      </w:pPr>
      <w:r>
        <w:t>*</w:t>
      </w:r>
      <w:r>
        <w:rPr>
          <w:spacing w:val="-7"/>
        </w:rPr>
        <w:t xml:space="preserve"> </w:t>
      </w:r>
      <w:r>
        <w:t>Significant</w:t>
      </w:r>
      <w:r>
        <w:rPr>
          <w:spacing w:val="-1"/>
        </w:rPr>
        <w:t xml:space="preserve"> </w:t>
      </w:r>
      <w:r>
        <w:t>difference</w:t>
      </w:r>
      <w:r>
        <w:rPr>
          <w:spacing w:val="-1"/>
        </w:rPr>
        <w:t xml:space="preserve"> </w:t>
      </w:r>
      <w:r>
        <w:t>at</w:t>
      </w:r>
      <w:r>
        <w:rPr>
          <w:spacing w:val="-2"/>
        </w:rPr>
        <w:t xml:space="preserve"> </w:t>
      </w:r>
      <w:r>
        <w:t>5%</w:t>
      </w:r>
      <w:r>
        <w:rPr>
          <w:spacing w:val="-1"/>
        </w:rPr>
        <w:t xml:space="preserve"> </w:t>
      </w:r>
      <w:r>
        <w:t>probability</w:t>
      </w:r>
      <w:r>
        <w:rPr>
          <w:spacing w:val="-6"/>
        </w:rPr>
        <w:t xml:space="preserve"> </w:t>
      </w:r>
      <w:r>
        <w:rPr>
          <w:spacing w:val="-4"/>
        </w:rPr>
        <w:t>level</w:t>
      </w:r>
    </w:p>
    <w:p w14:paraId="20FD9C35" w14:textId="77777777" w:rsidR="00540CEF" w:rsidRDefault="00540CEF" w:rsidP="00540CEF">
      <w:pPr>
        <w:pStyle w:val="Heading6"/>
      </w:pPr>
    </w:p>
    <w:p w14:paraId="3C5E59CC" w14:textId="77777777" w:rsidR="00540CEF" w:rsidRDefault="00540CEF" w:rsidP="00540CEF">
      <w:pPr>
        <w:pStyle w:val="Heading6"/>
        <w:rPr>
          <w:b w:val="0"/>
          <w:bCs w:val="0"/>
          <w:spacing w:val="-2"/>
        </w:rPr>
      </w:pPr>
      <w:r w:rsidRPr="00540CEF">
        <w:rPr>
          <w:b w:val="0"/>
          <w:bCs w:val="0"/>
        </w:rPr>
        <w:t>Table</w:t>
      </w:r>
      <w:r w:rsidRPr="00540CEF">
        <w:rPr>
          <w:b w:val="0"/>
          <w:bCs w:val="0"/>
          <w:spacing w:val="-5"/>
        </w:rPr>
        <w:t xml:space="preserve"> </w:t>
      </w:r>
      <w:r w:rsidRPr="00540CEF">
        <w:rPr>
          <w:b w:val="0"/>
          <w:bCs w:val="0"/>
        </w:rPr>
        <w:t>2.</w:t>
      </w:r>
      <w:r w:rsidRPr="00540CEF">
        <w:rPr>
          <w:b w:val="0"/>
          <w:bCs w:val="0"/>
          <w:spacing w:val="-4"/>
        </w:rPr>
        <w:t xml:space="preserve"> </w:t>
      </w:r>
      <w:r w:rsidRPr="00540CEF">
        <w:rPr>
          <w:b w:val="0"/>
          <w:bCs w:val="0"/>
        </w:rPr>
        <w:t>Influence</w:t>
      </w:r>
      <w:r w:rsidRPr="00540CEF">
        <w:rPr>
          <w:b w:val="0"/>
          <w:bCs w:val="0"/>
          <w:spacing w:val="1"/>
        </w:rPr>
        <w:t xml:space="preserve"> </w:t>
      </w:r>
      <w:r w:rsidRPr="00540CEF">
        <w:rPr>
          <w:b w:val="0"/>
          <w:bCs w:val="0"/>
        </w:rPr>
        <w:t>of duration</w:t>
      </w:r>
      <w:r w:rsidRPr="00540CEF">
        <w:rPr>
          <w:b w:val="0"/>
          <w:bCs w:val="0"/>
          <w:spacing w:val="1"/>
        </w:rPr>
        <w:t xml:space="preserve"> </w:t>
      </w:r>
      <w:r w:rsidRPr="00540CEF">
        <w:rPr>
          <w:b w:val="0"/>
          <w:bCs w:val="0"/>
        </w:rPr>
        <w:t>of</w:t>
      </w:r>
      <w:r w:rsidRPr="00540CEF">
        <w:rPr>
          <w:b w:val="0"/>
          <w:bCs w:val="0"/>
          <w:spacing w:val="-4"/>
        </w:rPr>
        <w:t xml:space="preserve"> </w:t>
      </w:r>
      <w:r w:rsidRPr="00540CEF">
        <w:rPr>
          <w:b w:val="0"/>
          <w:bCs w:val="0"/>
        </w:rPr>
        <w:t>accelerated</w:t>
      </w:r>
      <w:r w:rsidRPr="00540CEF">
        <w:rPr>
          <w:b w:val="0"/>
          <w:bCs w:val="0"/>
          <w:spacing w:val="-9"/>
        </w:rPr>
        <w:t xml:space="preserve"> </w:t>
      </w:r>
      <w:r w:rsidRPr="00540CEF">
        <w:rPr>
          <w:b w:val="0"/>
          <w:bCs w:val="0"/>
        </w:rPr>
        <w:t>aging</w:t>
      </w:r>
      <w:r w:rsidRPr="00540CEF">
        <w:rPr>
          <w:b w:val="0"/>
          <w:bCs w:val="0"/>
          <w:spacing w:val="-4"/>
        </w:rPr>
        <w:t xml:space="preserve"> </w:t>
      </w:r>
      <w:r w:rsidRPr="00540CEF">
        <w:rPr>
          <w:b w:val="0"/>
          <w:bCs w:val="0"/>
        </w:rPr>
        <w:t>on</w:t>
      </w:r>
      <w:r w:rsidRPr="00540CEF">
        <w:rPr>
          <w:b w:val="0"/>
          <w:bCs w:val="0"/>
          <w:spacing w:val="-1"/>
        </w:rPr>
        <w:t xml:space="preserve"> </w:t>
      </w:r>
      <w:r w:rsidRPr="00540CEF">
        <w:rPr>
          <w:b w:val="0"/>
          <w:bCs w:val="0"/>
        </w:rPr>
        <w:t>physiological</w:t>
      </w:r>
      <w:r w:rsidRPr="00540CEF">
        <w:rPr>
          <w:b w:val="0"/>
          <w:bCs w:val="0"/>
          <w:spacing w:val="2"/>
        </w:rPr>
        <w:t xml:space="preserve"> </w:t>
      </w:r>
      <w:r w:rsidRPr="00540CEF">
        <w:rPr>
          <w:b w:val="0"/>
          <w:bCs w:val="0"/>
        </w:rPr>
        <w:t>parameters</w:t>
      </w:r>
      <w:r w:rsidRPr="00540CEF">
        <w:rPr>
          <w:b w:val="0"/>
          <w:bCs w:val="0"/>
          <w:spacing w:val="-6"/>
        </w:rPr>
        <w:t xml:space="preserve"> </w:t>
      </w:r>
      <w:r w:rsidRPr="00540CEF">
        <w:rPr>
          <w:b w:val="0"/>
          <w:bCs w:val="0"/>
        </w:rPr>
        <w:t>of</w:t>
      </w:r>
      <w:r w:rsidRPr="00540CEF">
        <w:rPr>
          <w:b w:val="0"/>
          <w:bCs w:val="0"/>
          <w:spacing w:val="-3"/>
        </w:rPr>
        <w:t xml:space="preserve"> </w:t>
      </w:r>
      <w:r w:rsidRPr="00540CEF">
        <w:rPr>
          <w:b w:val="0"/>
          <w:bCs w:val="0"/>
          <w:spacing w:val="-2"/>
        </w:rPr>
        <w:t>sorghum</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048"/>
        <w:gridCol w:w="1792"/>
        <w:gridCol w:w="1756"/>
        <w:gridCol w:w="2048"/>
        <w:gridCol w:w="2284"/>
      </w:tblGrid>
      <w:tr w:rsidR="00540CEF" w14:paraId="2534A1AD" w14:textId="77777777" w:rsidTr="00AA221B">
        <w:trPr>
          <w:trHeight w:val="1130"/>
        </w:trPr>
        <w:tc>
          <w:tcPr>
            <w:tcW w:w="2388" w:type="dxa"/>
          </w:tcPr>
          <w:p w14:paraId="0AA7B7F6" w14:textId="77777777" w:rsidR="00540CEF" w:rsidRDefault="00540CEF" w:rsidP="00AA221B">
            <w:pPr>
              <w:pStyle w:val="TableParagraph"/>
              <w:spacing w:before="99"/>
              <w:ind w:left="303" w:right="298" w:firstLine="5"/>
              <w:rPr>
                <w:b/>
                <w:sz w:val="24"/>
              </w:rPr>
            </w:pPr>
            <w:r>
              <w:rPr>
                <w:b/>
                <w:sz w:val="24"/>
              </w:rPr>
              <w:t>Duration of accelerated</w:t>
            </w:r>
            <w:r>
              <w:rPr>
                <w:b/>
                <w:spacing w:val="-15"/>
                <w:sz w:val="24"/>
              </w:rPr>
              <w:t xml:space="preserve"> </w:t>
            </w:r>
            <w:r>
              <w:rPr>
                <w:b/>
                <w:sz w:val="24"/>
              </w:rPr>
              <w:t>aging</w:t>
            </w:r>
          </w:p>
          <w:p w14:paraId="5F490B77" w14:textId="77777777" w:rsidR="00540CEF" w:rsidRDefault="00540CEF" w:rsidP="00AA221B">
            <w:pPr>
              <w:pStyle w:val="TableParagraph"/>
              <w:spacing w:before="100"/>
              <w:ind w:left="68" w:right="5"/>
              <w:rPr>
                <w:b/>
                <w:sz w:val="24"/>
              </w:rPr>
            </w:pPr>
            <w:r>
              <w:rPr>
                <w:b/>
                <w:spacing w:val="-5"/>
                <w:sz w:val="24"/>
              </w:rPr>
              <w:t>(A)</w:t>
            </w:r>
          </w:p>
        </w:tc>
        <w:tc>
          <w:tcPr>
            <w:tcW w:w="2048" w:type="dxa"/>
          </w:tcPr>
          <w:p w14:paraId="1049CFCA" w14:textId="77777777" w:rsidR="00540CEF" w:rsidRDefault="00540CEF" w:rsidP="00AA221B">
            <w:pPr>
              <w:pStyle w:val="TableParagraph"/>
              <w:spacing w:before="235" w:line="326" w:lineRule="auto"/>
              <w:ind w:left="823" w:right="146" w:hanging="460"/>
              <w:jc w:val="left"/>
              <w:rPr>
                <w:b/>
                <w:sz w:val="24"/>
              </w:rPr>
            </w:pPr>
            <w:r>
              <w:rPr>
                <w:b/>
                <w:spacing w:val="-2"/>
                <w:sz w:val="24"/>
              </w:rPr>
              <w:t xml:space="preserve">Germination </w:t>
            </w:r>
            <w:r>
              <w:rPr>
                <w:b/>
                <w:spacing w:val="-4"/>
                <w:sz w:val="24"/>
              </w:rPr>
              <w:t>(%)</w:t>
            </w:r>
          </w:p>
        </w:tc>
        <w:tc>
          <w:tcPr>
            <w:tcW w:w="1792" w:type="dxa"/>
          </w:tcPr>
          <w:p w14:paraId="7AB54003" w14:textId="77777777" w:rsidR="00540CEF" w:rsidRDefault="00540CEF" w:rsidP="00AA221B">
            <w:pPr>
              <w:pStyle w:val="TableParagraph"/>
              <w:spacing w:before="235" w:line="326" w:lineRule="auto"/>
              <w:ind w:left="659" w:right="103" w:hanging="552"/>
              <w:jc w:val="left"/>
              <w:rPr>
                <w:b/>
                <w:sz w:val="24"/>
              </w:rPr>
            </w:pPr>
            <w:r>
              <w:rPr>
                <w:b/>
                <w:sz w:val="24"/>
              </w:rPr>
              <w:t>Seedling</w:t>
            </w:r>
            <w:r>
              <w:rPr>
                <w:b/>
                <w:spacing w:val="-15"/>
                <w:sz w:val="24"/>
              </w:rPr>
              <w:t xml:space="preserve"> </w:t>
            </w:r>
            <w:r>
              <w:rPr>
                <w:b/>
                <w:sz w:val="24"/>
              </w:rPr>
              <w:t xml:space="preserve">length </w:t>
            </w:r>
            <w:r>
              <w:rPr>
                <w:b/>
                <w:spacing w:val="-4"/>
                <w:sz w:val="24"/>
              </w:rPr>
              <w:t>(cm)</w:t>
            </w:r>
          </w:p>
        </w:tc>
        <w:tc>
          <w:tcPr>
            <w:tcW w:w="1756" w:type="dxa"/>
          </w:tcPr>
          <w:p w14:paraId="1665A5CF" w14:textId="77777777" w:rsidR="00540CEF" w:rsidRDefault="00540CEF" w:rsidP="00AA221B">
            <w:pPr>
              <w:pStyle w:val="TableParagraph"/>
              <w:spacing w:before="10"/>
              <w:ind w:left="0"/>
              <w:jc w:val="left"/>
              <w:rPr>
                <w:b/>
                <w:sz w:val="24"/>
              </w:rPr>
            </w:pPr>
          </w:p>
          <w:p w14:paraId="5496AD45" w14:textId="77777777" w:rsidR="00540CEF" w:rsidRDefault="00540CEF" w:rsidP="00AA221B">
            <w:pPr>
              <w:pStyle w:val="TableParagraph"/>
              <w:spacing w:before="1"/>
              <w:ind w:left="232" w:right="222" w:firstLine="212"/>
              <w:jc w:val="left"/>
              <w:rPr>
                <w:b/>
                <w:sz w:val="24"/>
              </w:rPr>
            </w:pPr>
            <w:r>
              <w:rPr>
                <w:b/>
                <w:spacing w:val="-2"/>
                <w:sz w:val="24"/>
              </w:rPr>
              <w:t xml:space="preserve">Seedling </w:t>
            </w:r>
            <w:proofErr w:type="spellStart"/>
            <w:r>
              <w:rPr>
                <w:b/>
                <w:sz w:val="24"/>
              </w:rPr>
              <w:t>vigour</w:t>
            </w:r>
            <w:proofErr w:type="spellEnd"/>
            <w:r>
              <w:rPr>
                <w:b/>
                <w:spacing w:val="-15"/>
                <w:sz w:val="24"/>
              </w:rPr>
              <w:t xml:space="preserve"> </w:t>
            </w:r>
            <w:r>
              <w:rPr>
                <w:b/>
                <w:sz w:val="24"/>
              </w:rPr>
              <w:t>index</w:t>
            </w:r>
          </w:p>
        </w:tc>
        <w:tc>
          <w:tcPr>
            <w:tcW w:w="2048" w:type="dxa"/>
          </w:tcPr>
          <w:p w14:paraId="33821D50" w14:textId="77777777" w:rsidR="00540CEF" w:rsidRDefault="00540CEF" w:rsidP="00AA221B">
            <w:pPr>
              <w:pStyle w:val="TableParagraph"/>
              <w:spacing w:before="10"/>
              <w:ind w:left="0"/>
              <w:jc w:val="left"/>
              <w:rPr>
                <w:b/>
                <w:sz w:val="24"/>
              </w:rPr>
            </w:pPr>
          </w:p>
          <w:p w14:paraId="21AB5976" w14:textId="77777777" w:rsidR="00540CEF" w:rsidRDefault="00540CEF" w:rsidP="00AA221B">
            <w:pPr>
              <w:pStyle w:val="TableParagraph"/>
              <w:spacing w:before="1"/>
              <w:ind w:left="824" w:right="146" w:hanging="664"/>
              <w:jc w:val="left"/>
              <w:rPr>
                <w:b/>
                <w:sz w:val="24"/>
              </w:rPr>
            </w:pPr>
            <w:r>
              <w:rPr>
                <w:b/>
                <w:sz w:val="24"/>
              </w:rPr>
              <w:t>Field</w:t>
            </w:r>
            <w:r>
              <w:rPr>
                <w:b/>
                <w:spacing w:val="-15"/>
                <w:sz w:val="24"/>
              </w:rPr>
              <w:t xml:space="preserve"> </w:t>
            </w:r>
            <w:r>
              <w:rPr>
                <w:b/>
                <w:sz w:val="24"/>
              </w:rPr>
              <w:t xml:space="preserve">Emergence </w:t>
            </w:r>
            <w:r>
              <w:rPr>
                <w:b/>
                <w:spacing w:val="-4"/>
                <w:sz w:val="24"/>
              </w:rPr>
              <w:t>(%)</w:t>
            </w:r>
          </w:p>
        </w:tc>
        <w:tc>
          <w:tcPr>
            <w:tcW w:w="2284" w:type="dxa"/>
          </w:tcPr>
          <w:p w14:paraId="4593BDB6" w14:textId="77777777" w:rsidR="00540CEF" w:rsidRDefault="00540CEF" w:rsidP="00AA221B">
            <w:pPr>
              <w:pStyle w:val="TableParagraph"/>
              <w:spacing w:before="99"/>
              <w:ind w:left="506" w:firstLine="140"/>
              <w:jc w:val="left"/>
              <w:rPr>
                <w:b/>
                <w:sz w:val="24"/>
              </w:rPr>
            </w:pPr>
            <w:r>
              <w:rPr>
                <w:b/>
                <w:spacing w:val="-2"/>
                <w:sz w:val="24"/>
              </w:rPr>
              <w:t>Electrical conductivity</w:t>
            </w:r>
          </w:p>
          <w:p w14:paraId="4FE1D1A6" w14:textId="77777777" w:rsidR="00540CEF" w:rsidRDefault="00540CEF" w:rsidP="00AA221B">
            <w:pPr>
              <w:pStyle w:val="TableParagraph"/>
              <w:spacing w:before="100"/>
              <w:ind w:left="673"/>
              <w:jc w:val="left"/>
              <w:rPr>
                <w:b/>
                <w:sz w:val="24"/>
              </w:rPr>
            </w:pPr>
            <w:r>
              <w:rPr>
                <w:b/>
                <w:sz w:val="24"/>
              </w:rPr>
              <w:t>(µS</w:t>
            </w:r>
            <w:r>
              <w:rPr>
                <w:b/>
                <w:spacing w:val="-8"/>
                <w:sz w:val="24"/>
              </w:rPr>
              <w:t xml:space="preserve"> </w:t>
            </w:r>
            <w:r>
              <w:rPr>
                <w:b/>
                <w:sz w:val="24"/>
              </w:rPr>
              <w:t>cm</w:t>
            </w:r>
            <w:r>
              <w:rPr>
                <w:b/>
                <w:sz w:val="24"/>
                <w:vertAlign w:val="superscript"/>
              </w:rPr>
              <w:t>-</w:t>
            </w:r>
            <w:r>
              <w:rPr>
                <w:b/>
                <w:spacing w:val="-5"/>
                <w:sz w:val="24"/>
                <w:vertAlign w:val="superscript"/>
              </w:rPr>
              <w:t>1</w:t>
            </w:r>
            <w:r>
              <w:rPr>
                <w:b/>
                <w:spacing w:val="-5"/>
                <w:sz w:val="24"/>
              </w:rPr>
              <w:t>)</w:t>
            </w:r>
          </w:p>
        </w:tc>
      </w:tr>
      <w:tr w:rsidR="00540CEF" w14:paraId="3EDDFF0E" w14:textId="77777777" w:rsidTr="00AA221B">
        <w:trPr>
          <w:trHeight w:val="473"/>
        </w:trPr>
        <w:tc>
          <w:tcPr>
            <w:tcW w:w="2388" w:type="dxa"/>
          </w:tcPr>
          <w:p w14:paraId="6F2B318D" w14:textId="77777777" w:rsidR="00540CEF" w:rsidRDefault="00540CEF" w:rsidP="00AA221B">
            <w:pPr>
              <w:pStyle w:val="TableParagraph"/>
              <w:spacing w:before="94"/>
              <w:ind w:left="63" w:right="54"/>
              <w:rPr>
                <w:b/>
                <w:sz w:val="24"/>
              </w:rPr>
            </w:pPr>
            <w:r>
              <w:rPr>
                <w:b/>
                <w:spacing w:val="-5"/>
                <w:sz w:val="24"/>
              </w:rPr>
              <w:t>0h</w:t>
            </w:r>
          </w:p>
        </w:tc>
        <w:tc>
          <w:tcPr>
            <w:tcW w:w="2048" w:type="dxa"/>
          </w:tcPr>
          <w:p w14:paraId="6718E7E7" w14:textId="77777777" w:rsidR="00540CEF" w:rsidRDefault="00540CEF" w:rsidP="00AA221B">
            <w:pPr>
              <w:pStyle w:val="TableParagraph"/>
              <w:spacing w:before="90"/>
              <w:ind w:left="11" w:right="11"/>
              <w:rPr>
                <w:sz w:val="24"/>
              </w:rPr>
            </w:pPr>
            <w:r>
              <w:rPr>
                <w:spacing w:val="-2"/>
                <w:sz w:val="24"/>
              </w:rPr>
              <w:t>88.50(70.</w:t>
            </w:r>
            <w:proofErr w:type="gramStart"/>
            <w:r>
              <w:rPr>
                <w:spacing w:val="-2"/>
                <w:sz w:val="24"/>
              </w:rPr>
              <w:t>61)</w:t>
            </w:r>
            <w:r>
              <w:rPr>
                <w:spacing w:val="-2"/>
                <w:sz w:val="24"/>
                <w:vertAlign w:val="superscript"/>
              </w:rPr>
              <w:t>*</w:t>
            </w:r>
            <w:proofErr w:type="gramEnd"/>
            <w:r>
              <w:rPr>
                <w:spacing w:val="-2"/>
                <w:sz w:val="24"/>
                <w:vertAlign w:val="superscript"/>
              </w:rPr>
              <w:t>a</w:t>
            </w:r>
          </w:p>
        </w:tc>
        <w:tc>
          <w:tcPr>
            <w:tcW w:w="1792" w:type="dxa"/>
          </w:tcPr>
          <w:p w14:paraId="41858885" w14:textId="77777777" w:rsidR="00540CEF" w:rsidRDefault="00540CEF" w:rsidP="00AA221B">
            <w:pPr>
              <w:pStyle w:val="TableParagraph"/>
              <w:spacing w:before="90"/>
              <w:ind w:left="6" w:right="2"/>
              <w:rPr>
                <w:sz w:val="24"/>
              </w:rPr>
            </w:pPr>
            <w:r>
              <w:rPr>
                <w:spacing w:val="-2"/>
                <w:sz w:val="24"/>
              </w:rPr>
              <w:t>38.58</w:t>
            </w:r>
            <w:r>
              <w:rPr>
                <w:spacing w:val="-2"/>
                <w:sz w:val="24"/>
                <w:vertAlign w:val="superscript"/>
              </w:rPr>
              <w:t>a</w:t>
            </w:r>
          </w:p>
        </w:tc>
        <w:tc>
          <w:tcPr>
            <w:tcW w:w="1756" w:type="dxa"/>
          </w:tcPr>
          <w:p w14:paraId="3AD33CF8" w14:textId="77777777" w:rsidR="00540CEF" w:rsidRDefault="00540CEF" w:rsidP="00AA221B">
            <w:pPr>
              <w:pStyle w:val="TableParagraph"/>
              <w:spacing w:before="90"/>
              <w:ind w:left="7" w:right="1"/>
              <w:rPr>
                <w:sz w:val="24"/>
              </w:rPr>
            </w:pPr>
            <w:r>
              <w:rPr>
                <w:spacing w:val="-2"/>
                <w:sz w:val="24"/>
              </w:rPr>
              <w:t>3423</w:t>
            </w:r>
            <w:r>
              <w:rPr>
                <w:spacing w:val="-2"/>
                <w:sz w:val="24"/>
                <w:vertAlign w:val="superscript"/>
              </w:rPr>
              <w:t>a</w:t>
            </w:r>
          </w:p>
        </w:tc>
        <w:tc>
          <w:tcPr>
            <w:tcW w:w="2048" w:type="dxa"/>
          </w:tcPr>
          <w:p w14:paraId="54D6CA16" w14:textId="77777777" w:rsidR="00540CEF" w:rsidRDefault="00540CEF" w:rsidP="00AA221B">
            <w:pPr>
              <w:pStyle w:val="TableParagraph"/>
              <w:spacing w:before="90"/>
              <w:ind w:left="11" w:right="8"/>
              <w:rPr>
                <w:sz w:val="24"/>
              </w:rPr>
            </w:pPr>
            <w:r>
              <w:rPr>
                <w:spacing w:val="-2"/>
                <w:sz w:val="24"/>
              </w:rPr>
              <w:t>86.75(68.</w:t>
            </w:r>
            <w:proofErr w:type="gramStart"/>
            <w:r>
              <w:rPr>
                <w:spacing w:val="-2"/>
                <w:sz w:val="24"/>
              </w:rPr>
              <w:t>72)</w:t>
            </w:r>
            <w:r>
              <w:rPr>
                <w:spacing w:val="-2"/>
                <w:sz w:val="24"/>
                <w:vertAlign w:val="superscript"/>
              </w:rPr>
              <w:t>*</w:t>
            </w:r>
            <w:proofErr w:type="gramEnd"/>
            <w:r>
              <w:rPr>
                <w:spacing w:val="-2"/>
                <w:sz w:val="24"/>
                <w:vertAlign w:val="superscript"/>
              </w:rPr>
              <w:t>a</w:t>
            </w:r>
          </w:p>
        </w:tc>
        <w:tc>
          <w:tcPr>
            <w:tcW w:w="2284" w:type="dxa"/>
          </w:tcPr>
          <w:p w14:paraId="4F139F95" w14:textId="77777777" w:rsidR="00540CEF" w:rsidRDefault="00540CEF" w:rsidP="00AA221B">
            <w:pPr>
              <w:pStyle w:val="TableParagraph"/>
              <w:spacing w:before="90"/>
              <w:ind w:left="6" w:right="2"/>
              <w:rPr>
                <w:sz w:val="24"/>
              </w:rPr>
            </w:pPr>
            <w:r>
              <w:rPr>
                <w:spacing w:val="-2"/>
                <w:sz w:val="24"/>
              </w:rPr>
              <w:t>750.00</w:t>
            </w:r>
            <w:r>
              <w:rPr>
                <w:spacing w:val="-2"/>
                <w:sz w:val="24"/>
                <w:vertAlign w:val="superscript"/>
              </w:rPr>
              <w:t>a</w:t>
            </w:r>
          </w:p>
        </w:tc>
      </w:tr>
      <w:tr w:rsidR="00540CEF" w14:paraId="530A371C" w14:textId="77777777" w:rsidTr="00AA221B">
        <w:trPr>
          <w:trHeight w:val="478"/>
        </w:trPr>
        <w:tc>
          <w:tcPr>
            <w:tcW w:w="2388" w:type="dxa"/>
          </w:tcPr>
          <w:p w14:paraId="658E9373" w14:textId="77777777" w:rsidR="00540CEF" w:rsidRDefault="00540CEF" w:rsidP="00AA221B">
            <w:pPr>
              <w:pStyle w:val="TableParagraph"/>
              <w:spacing w:before="99"/>
              <w:ind w:left="63" w:right="54"/>
              <w:rPr>
                <w:b/>
                <w:sz w:val="24"/>
              </w:rPr>
            </w:pPr>
            <w:r>
              <w:rPr>
                <w:b/>
                <w:spacing w:val="-5"/>
                <w:sz w:val="24"/>
              </w:rPr>
              <w:lastRenderedPageBreak/>
              <w:t>24h</w:t>
            </w:r>
          </w:p>
        </w:tc>
        <w:tc>
          <w:tcPr>
            <w:tcW w:w="2048" w:type="dxa"/>
          </w:tcPr>
          <w:p w14:paraId="29BB9B0A" w14:textId="77777777" w:rsidR="00540CEF" w:rsidRDefault="00540CEF" w:rsidP="00AA221B">
            <w:pPr>
              <w:pStyle w:val="TableParagraph"/>
              <w:spacing w:before="95"/>
              <w:ind w:left="11" w:right="2"/>
              <w:rPr>
                <w:sz w:val="24"/>
              </w:rPr>
            </w:pPr>
            <w:r>
              <w:rPr>
                <w:spacing w:val="-2"/>
                <w:sz w:val="24"/>
              </w:rPr>
              <w:t>75.25(60.</w:t>
            </w:r>
            <w:proofErr w:type="gramStart"/>
            <w:r>
              <w:rPr>
                <w:spacing w:val="-2"/>
                <w:sz w:val="24"/>
              </w:rPr>
              <w:t>16)</w:t>
            </w:r>
            <w:r>
              <w:rPr>
                <w:spacing w:val="-2"/>
                <w:sz w:val="24"/>
                <w:vertAlign w:val="superscript"/>
              </w:rPr>
              <w:t>b</w:t>
            </w:r>
            <w:proofErr w:type="gramEnd"/>
          </w:p>
        </w:tc>
        <w:tc>
          <w:tcPr>
            <w:tcW w:w="1792" w:type="dxa"/>
          </w:tcPr>
          <w:p w14:paraId="1D379691" w14:textId="77777777" w:rsidR="00540CEF" w:rsidRDefault="00540CEF" w:rsidP="00AA221B">
            <w:pPr>
              <w:pStyle w:val="TableParagraph"/>
              <w:spacing w:before="95"/>
              <w:ind w:left="6"/>
              <w:rPr>
                <w:sz w:val="24"/>
              </w:rPr>
            </w:pPr>
            <w:r>
              <w:rPr>
                <w:spacing w:val="-2"/>
                <w:sz w:val="24"/>
              </w:rPr>
              <w:t>36.06</w:t>
            </w:r>
            <w:r>
              <w:rPr>
                <w:spacing w:val="-2"/>
                <w:sz w:val="24"/>
                <w:vertAlign w:val="superscript"/>
              </w:rPr>
              <w:t>b</w:t>
            </w:r>
          </w:p>
        </w:tc>
        <w:tc>
          <w:tcPr>
            <w:tcW w:w="1756" w:type="dxa"/>
          </w:tcPr>
          <w:p w14:paraId="7897FA89" w14:textId="77777777" w:rsidR="00540CEF" w:rsidRDefault="00540CEF" w:rsidP="00AA221B">
            <w:pPr>
              <w:pStyle w:val="TableParagraph"/>
              <w:spacing w:before="95"/>
              <w:ind w:left="7"/>
              <w:rPr>
                <w:sz w:val="24"/>
              </w:rPr>
            </w:pPr>
            <w:r>
              <w:rPr>
                <w:spacing w:val="-2"/>
                <w:sz w:val="24"/>
              </w:rPr>
              <w:t>2714</w:t>
            </w:r>
            <w:r>
              <w:rPr>
                <w:spacing w:val="-2"/>
                <w:sz w:val="24"/>
                <w:vertAlign w:val="superscript"/>
              </w:rPr>
              <w:t>b</w:t>
            </w:r>
          </w:p>
        </w:tc>
        <w:tc>
          <w:tcPr>
            <w:tcW w:w="2048" w:type="dxa"/>
          </w:tcPr>
          <w:p w14:paraId="79734D02" w14:textId="77777777" w:rsidR="00540CEF" w:rsidRDefault="00540CEF" w:rsidP="00AA221B">
            <w:pPr>
              <w:pStyle w:val="TableParagraph"/>
              <w:spacing w:before="95"/>
              <w:ind w:left="11"/>
              <w:rPr>
                <w:sz w:val="24"/>
              </w:rPr>
            </w:pPr>
            <w:r>
              <w:rPr>
                <w:spacing w:val="-2"/>
                <w:sz w:val="24"/>
              </w:rPr>
              <w:t>72.25(58.</w:t>
            </w:r>
            <w:proofErr w:type="gramStart"/>
            <w:r>
              <w:rPr>
                <w:spacing w:val="-2"/>
                <w:sz w:val="24"/>
              </w:rPr>
              <w:t>20)</w:t>
            </w:r>
            <w:r>
              <w:rPr>
                <w:spacing w:val="-2"/>
                <w:sz w:val="24"/>
                <w:vertAlign w:val="superscript"/>
              </w:rPr>
              <w:t>b</w:t>
            </w:r>
            <w:proofErr w:type="gramEnd"/>
          </w:p>
        </w:tc>
        <w:tc>
          <w:tcPr>
            <w:tcW w:w="2284" w:type="dxa"/>
          </w:tcPr>
          <w:p w14:paraId="575E2DA7" w14:textId="77777777" w:rsidR="00540CEF" w:rsidRDefault="00540CEF" w:rsidP="00AA221B">
            <w:pPr>
              <w:pStyle w:val="TableParagraph"/>
              <w:spacing w:before="95"/>
              <w:ind w:left="6"/>
              <w:rPr>
                <w:sz w:val="24"/>
              </w:rPr>
            </w:pPr>
            <w:r>
              <w:rPr>
                <w:spacing w:val="-2"/>
                <w:sz w:val="24"/>
              </w:rPr>
              <w:t>787.50</w:t>
            </w:r>
            <w:r>
              <w:rPr>
                <w:spacing w:val="-2"/>
                <w:sz w:val="24"/>
                <w:vertAlign w:val="superscript"/>
              </w:rPr>
              <w:t>b</w:t>
            </w:r>
          </w:p>
        </w:tc>
      </w:tr>
      <w:tr w:rsidR="00540CEF" w14:paraId="02906589" w14:textId="77777777" w:rsidTr="00AA221B">
        <w:trPr>
          <w:trHeight w:val="474"/>
        </w:trPr>
        <w:tc>
          <w:tcPr>
            <w:tcW w:w="2388" w:type="dxa"/>
          </w:tcPr>
          <w:p w14:paraId="49F10609" w14:textId="77777777" w:rsidR="00540CEF" w:rsidRDefault="00540CEF" w:rsidP="00AA221B">
            <w:pPr>
              <w:pStyle w:val="TableParagraph"/>
              <w:spacing w:before="95"/>
              <w:ind w:left="63" w:right="54"/>
              <w:rPr>
                <w:b/>
                <w:sz w:val="24"/>
              </w:rPr>
            </w:pPr>
            <w:r>
              <w:rPr>
                <w:b/>
                <w:spacing w:val="-5"/>
                <w:sz w:val="24"/>
              </w:rPr>
              <w:t>48h</w:t>
            </w:r>
          </w:p>
        </w:tc>
        <w:tc>
          <w:tcPr>
            <w:tcW w:w="2048" w:type="dxa"/>
          </w:tcPr>
          <w:p w14:paraId="3E817171" w14:textId="77777777" w:rsidR="00540CEF" w:rsidRDefault="00540CEF" w:rsidP="00AA221B">
            <w:pPr>
              <w:pStyle w:val="TableParagraph"/>
              <w:spacing w:before="91"/>
              <w:ind w:left="11" w:right="3"/>
              <w:rPr>
                <w:sz w:val="24"/>
              </w:rPr>
            </w:pPr>
            <w:r>
              <w:rPr>
                <w:spacing w:val="-2"/>
                <w:sz w:val="24"/>
              </w:rPr>
              <w:t>68.50(55.</w:t>
            </w:r>
            <w:proofErr w:type="gramStart"/>
            <w:r>
              <w:rPr>
                <w:spacing w:val="-2"/>
                <w:sz w:val="24"/>
              </w:rPr>
              <w:t>84)</w:t>
            </w:r>
            <w:r>
              <w:rPr>
                <w:spacing w:val="-2"/>
                <w:sz w:val="24"/>
                <w:vertAlign w:val="superscript"/>
              </w:rPr>
              <w:t>c</w:t>
            </w:r>
            <w:proofErr w:type="gramEnd"/>
          </w:p>
        </w:tc>
        <w:tc>
          <w:tcPr>
            <w:tcW w:w="1792" w:type="dxa"/>
          </w:tcPr>
          <w:p w14:paraId="06E9E4A8" w14:textId="77777777" w:rsidR="00540CEF" w:rsidRDefault="00540CEF" w:rsidP="00AA221B">
            <w:pPr>
              <w:pStyle w:val="TableParagraph"/>
              <w:spacing w:before="91"/>
              <w:ind w:left="6" w:right="2"/>
              <w:rPr>
                <w:sz w:val="24"/>
              </w:rPr>
            </w:pPr>
            <w:r>
              <w:rPr>
                <w:spacing w:val="-2"/>
                <w:sz w:val="24"/>
              </w:rPr>
              <w:t>33.97</w:t>
            </w:r>
            <w:r>
              <w:rPr>
                <w:spacing w:val="-2"/>
                <w:sz w:val="24"/>
                <w:vertAlign w:val="superscript"/>
              </w:rPr>
              <w:t>c</w:t>
            </w:r>
          </w:p>
        </w:tc>
        <w:tc>
          <w:tcPr>
            <w:tcW w:w="1756" w:type="dxa"/>
          </w:tcPr>
          <w:p w14:paraId="55F5A406" w14:textId="77777777" w:rsidR="00540CEF" w:rsidRDefault="00540CEF" w:rsidP="00AA221B">
            <w:pPr>
              <w:pStyle w:val="TableParagraph"/>
              <w:spacing w:before="91"/>
              <w:ind w:left="7" w:right="1"/>
              <w:rPr>
                <w:sz w:val="24"/>
              </w:rPr>
            </w:pPr>
            <w:r>
              <w:rPr>
                <w:spacing w:val="-2"/>
                <w:sz w:val="24"/>
              </w:rPr>
              <w:t>2328</w:t>
            </w:r>
            <w:r>
              <w:rPr>
                <w:spacing w:val="-2"/>
                <w:sz w:val="24"/>
                <w:vertAlign w:val="superscript"/>
              </w:rPr>
              <w:t>c</w:t>
            </w:r>
          </w:p>
        </w:tc>
        <w:tc>
          <w:tcPr>
            <w:tcW w:w="2048" w:type="dxa"/>
          </w:tcPr>
          <w:p w14:paraId="4BA24D5A" w14:textId="77777777" w:rsidR="00540CEF" w:rsidRDefault="00540CEF" w:rsidP="00AA221B">
            <w:pPr>
              <w:pStyle w:val="TableParagraph"/>
              <w:spacing w:before="91"/>
              <w:ind w:left="11"/>
              <w:rPr>
                <w:sz w:val="24"/>
              </w:rPr>
            </w:pPr>
            <w:r>
              <w:rPr>
                <w:spacing w:val="-2"/>
                <w:sz w:val="24"/>
              </w:rPr>
              <w:t>67.25(55.</w:t>
            </w:r>
            <w:proofErr w:type="gramStart"/>
            <w:r>
              <w:rPr>
                <w:spacing w:val="-2"/>
                <w:sz w:val="24"/>
              </w:rPr>
              <w:t>10)</w:t>
            </w:r>
            <w:r>
              <w:rPr>
                <w:spacing w:val="-2"/>
                <w:sz w:val="24"/>
                <w:vertAlign w:val="superscript"/>
              </w:rPr>
              <w:t>c</w:t>
            </w:r>
            <w:proofErr w:type="gramEnd"/>
          </w:p>
        </w:tc>
        <w:tc>
          <w:tcPr>
            <w:tcW w:w="2284" w:type="dxa"/>
          </w:tcPr>
          <w:p w14:paraId="2C7E4100" w14:textId="77777777" w:rsidR="00540CEF" w:rsidRDefault="00540CEF" w:rsidP="00AA221B">
            <w:pPr>
              <w:pStyle w:val="TableParagraph"/>
              <w:spacing w:before="91"/>
              <w:ind w:left="6" w:right="2"/>
              <w:rPr>
                <w:sz w:val="24"/>
              </w:rPr>
            </w:pPr>
            <w:r>
              <w:rPr>
                <w:spacing w:val="-2"/>
                <w:sz w:val="24"/>
              </w:rPr>
              <w:t>960.00</w:t>
            </w:r>
            <w:r>
              <w:rPr>
                <w:spacing w:val="-2"/>
                <w:sz w:val="24"/>
                <w:vertAlign w:val="superscript"/>
              </w:rPr>
              <w:t>c</w:t>
            </w:r>
          </w:p>
        </w:tc>
      </w:tr>
      <w:tr w:rsidR="00540CEF" w14:paraId="3D545A75" w14:textId="77777777" w:rsidTr="00AA221B">
        <w:trPr>
          <w:trHeight w:val="478"/>
        </w:trPr>
        <w:tc>
          <w:tcPr>
            <w:tcW w:w="2388" w:type="dxa"/>
          </w:tcPr>
          <w:p w14:paraId="7893E5A6" w14:textId="77777777" w:rsidR="00540CEF" w:rsidRDefault="00540CEF" w:rsidP="00AA221B">
            <w:pPr>
              <w:pStyle w:val="TableParagraph"/>
              <w:spacing w:before="99"/>
              <w:ind w:left="63" w:right="54"/>
              <w:rPr>
                <w:b/>
                <w:sz w:val="24"/>
              </w:rPr>
            </w:pPr>
            <w:r>
              <w:rPr>
                <w:b/>
                <w:spacing w:val="-5"/>
                <w:sz w:val="24"/>
              </w:rPr>
              <w:t>72h</w:t>
            </w:r>
          </w:p>
        </w:tc>
        <w:tc>
          <w:tcPr>
            <w:tcW w:w="2048" w:type="dxa"/>
          </w:tcPr>
          <w:p w14:paraId="5CDE09F1" w14:textId="77777777" w:rsidR="00540CEF" w:rsidRDefault="00540CEF" w:rsidP="00AA221B">
            <w:pPr>
              <w:pStyle w:val="TableParagraph"/>
              <w:spacing w:before="95"/>
              <w:ind w:left="11" w:right="2"/>
              <w:rPr>
                <w:sz w:val="24"/>
              </w:rPr>
            </w:pPr>
            <w:r>
              <w:rPr>
                <w:spacing w:val="-2"/>
                <w:sz w:val="24"/>
              </w:rPr>
              <w:t>61.75(51.</w:t>
            </w:r>
            <w:proofErr w:type="gramStart"/>
            <w:r>
              <w:rPr>
                <w:spacing w:val="-2"/>
                <w:sz w:val="24"/>
              </w:rPr>
              <w:t>78)</w:t>
            </w:r>
            <w:r>
              <w:rPr>
                <w:spacing w:val="-2"/>
                <w:sz w:val="24"/>
                <w:vertAlign w:val="superscript"/>
              </w:rPr>
              <w:t>d</w:t>
            </w:r>
            <w:proofErr w:type="gramEnd"/>
          </w:p>
        </w:tc>
        <w:tc>
          <w:tcPr>
            <w:tcW w:w="1792" w:type="dxa"/>
          </w:tcPr>
          <w:p w14:paraId="4D303E0A" w14:textId="77777777" w:rsidR="00540CEF" w:rsidRDefault="00540CEF" w:rsidP="00AA221B">
            <w:pPr>
              <w:pStyle w:val="TableParagraph"/>
              <w:spacing w:before="95"/>
              <w:ind w:left="6"/>
              <w:rPr>
                <w:sz w:val="24"/>
              </w:rPr>
            </w:pPr>
            <w:r>
              <w:rPr>
                <w:spacing w:val="-2"/>
                <w:sz w:val="24"/>
              </w:rPr>
              <w:t>31.03</w:t>
            </w:r>
            <w:r>
              <w:rPr>
                <w:spacing w:val="-2"/>
                <w:sz w:val="24"/>
                <w:vertAlign w:val="superscript"/>
              </w:rPr>
              <w:t>d</w:t>
            </w:r>
          </w:p>
        </w:tc>
        <w:tc>
          <w:tcPr>
            <w:tcW w:w="1756" w:type="dxa"/>
          </w:tcPr>
          <w:p w14:paraId="4EC8D727" w14:textId="77777777" w:rsidR="00540CEF" w:rsidRDefault="00540CEF" w:rsidP="00AA221B">
            <w:pPr>
              <w:pStyle w:val="TableParagraph"/>
              <w:spacing w:before="95"/>
              <w:ind w:left="7"/>
              <w:rPr>
                <w:sz w:val="24"/>
              </w:rPr>
            </w:pPr>
            <w:r>
              <w:rPr>
                <w:spacing w:val="-2"/>
                <w:sz w:val="24"/>
              </w:rPr>
              <w:t>1915</w:t>
            </w:r>
            <w:r>
              <w:rPr>
                <w:spacing w:val="-2"/>
                <w:sz w:val="24"/>
                <w:vertAlign w:val="superscript"/>
              </w:rPr>
              <w:t>d</w:t>
            </w:r>
          </w:p>
        </w:tc>
        <w:tc>
          <w:tcPr>
            <w:tcW w:w="2048" w:type="dxa"/>
          </w:tcPr>
          <w:p w14:paraId="09F2E4FD" w14:textId="77777777" w:rsidR="00540CEF" w:rsidRDefault="00540CEF" w:rsidP="00AA221B">
            <w:pPr>
              <w:pStyle w:val="TableParagraph"/>
              <w:spacing w:before="95"/>
              <w:ind w:left="11"/>
              <w:rPr>
                <w:sz w:val="24"/>
              </w:rPr>
            </w:pPr>
            <w:r>
              <w:rPr>
                <w:spacing w:val="-2"/>
                <w:sz w:val="24"/>
              </w:rPr>
              <w:t>62.25(52.</w:t>
            </w:r>
            <w:proofErr w:type="gramStart"/>
            <w:r>
              <w:rPr>
                <w:spacing w:val="-2"/>
                <w:sz w:val="24"/>
              </w:rPr>
              <w:t>07)</w:t>
            </w:r>
            <w:r>
              <w:rPr>
                <w:spacing w:val="-2"/>
                <w:sz w:val="24"/>
                <w:vertAlign w:val="superscript"/>
              </w:rPr>
              <w:t>d</w:t>
            </w:r>
            <w:proofErr w:type="gramEnd"/>
          </w:p>
        </w:tc>
        <w:tc>
          <w:tcPr>
            <w:tcW w:w="2284" w:type="dxa"/>
          </w:tcPr>
          <w:p w14:paraId="46476E04" w14:textId="77777777" w:rsidR="00540CEF" w:rsidRDefault="00540CEF" w:rsidP="00AA221B">
            <w:pPr>
              <w:pStyle w:val="TableParagraph"/>
              <w:spacing w:before="95"/>
              <w:ind w:left="6"/>
              <w:rPr>
                <w:sz w:val="24"/>
              </w:rPr>
            </w:pPr>
            <w:r>
              <w:rPr>
                <w:spacing w:val="-2"/>
                <w:sz w:val="24"/>
              </w:rPr>
              <w:t>1023.75</w:t>
            </w:r>
            <w:r>
              <w:rPr>
                <w:spacing w:val="-2"/>
                <w:sz w:val="24"/>
                <w:vertAlign w:val="superscript"/>
              </w:rPr>
              <w:t>d</w:t>
            </w:r>
          </w:p>
        </w:tc>
      </w:tr>
      <w:tr w:rsidR="00540CEF" w14:paraId="08BB36CA" w14:textId="77777777" w:rsidTr="00AA221B">
        <w:trPr>
          <w:trHeight w:val="473"/>
        </w:trPr>
        <w:tc>
          <w:tcPr>
            <w:tcW w:w="2388" w:type="dxa"/>
          </w:tcPr>
          <w:p w14:paraId="681F0D86" w14:textId="77777777" w:rsidR="00540CEF" w:rsidRDefault="00540CEF" w:rsidP="00AA221B">
            <w:pPr>
              <w:pStyle w:val="TableParagraph"/>
              <w:spacing w:before="95"/>
              <w:ind w:left="63" w:right="54"/>
              <w:rPr>
                <w:b/>
                <w:sz w:val="24"/>
              </w:rPr>
            </w:pPr>
            <w:r>
              <w:rPr>
                <w:b/>
                <w:spacing w:val="-5"/>
                <w:sz w:val="24"/>
              </w:rPr>
              <w:t>96h</w:t>
            </w:r>
          </w:p>
        </w:tc>
        <w:tc>
          <w:tcPr>
            <w:tcW w:w="2048" w:type="dxa"/>
          </w:tcPr>
          <w:p w14:paraId="0A56B16A" w14:textId="77777777" w:rsidR="00540CEF" w:rsidRDefault="00540CEF" w:rsidP="00AA221B">
            <w:pPr>
              <w:pStyle w:val="TableParagraph"/>
              <w:spacing w:before="91"/>
              <w:ind w:left="11" w:right="3"/>
              <w:rPr>
                <w:sz w:val="24"/>
              </w:rPr>
            </w:pPr>
            <w:r>
              <w:rPr>
                <w:spacing w:val="-2"/>
                <w:sz w:val="24"/>
              </w:rPr>
              <w:t>53.50(46.</w:t>
            </w:r>
            <w:proofErr w:type="gramStart"/>
            <w:r>
              <w:rPr>
                <w:spacing w:val="-2"/>
                <w:sz w:val="24"/>
              </w:rPr>
              <w:t>99)</w:t>
            </w:r>
            <w:r>
              <w:rPr>
                <w:spacing w:val="-2"/>
                <w:sz w:val="24"/>
                <w:vertAlign w:val="superscript"/>
              </w:rPr>
              <w:t>e</w:t>
            </w:r>
            <w:proofErr w:type="gramEnd"/>
          </w:p>
        </w:tc>
        <w:tc>
          <w:tcPr>
            <w:tcW w:w="1792" w:type="dxa"/>
          </w:tcPr>
          <w:p w14:paraId="3AE0D9EB" w14:textId="77777777" w:rsidR="00540CEF" w:rsidRDefault="00540CEF" w:rsidP="00AA221B">
            <w:pPr>
              <w:pStyle w:val="TableParagraph"/>
              <w:spacing w:before="91"/>
              <w:ind w:left="6" w:right="2"/>
              <w:rPr>
                <w:sz w:val="24"/>
              </w:rPr>
            </w:pPr>
            <w:r>
              <w:rPr>
                <w:spacing w:val="-2"/>
                <w:sz w:val="24"/>
              </w:rPr>
              <w:t>29.02</w:t>
            </w:r>
            <w:r>
              <w:rPr>
                <w:spacing w:val="-2"/>
                <w:sz w:val="24"/>
                <w:vertAlign w:val="superscript"/>
              </w:rPr>
              <w:t>e</w:t>
            </w:r>
          </w:p>
        </w:tc>
        <w:tc>
          <w:tcPr>
            <w:tcW w:w="1756" w:type="dxa"/>
          </w:tcPr>
          <w:p w14:paraId="5F14DEDE" w14:textId="77777777" w:rsidR="00540CEF" w:rsidRDefault="00540CEF" w:rsidP="00AA221B">
            <w:pPr>
              <w:pStyle w:val="TableParagraph"/>
              <w:spacing w:before="91"/>
              <w:ind w:left="7" w:right="1"/>
              <w:rPr>
                <w:sz w:val="24"/>
              </w:rPr>
            </w:pPr>
            <w:r>
              <w:rPr>
                <w:spacing w:val="-2"/>
                <w:sz w:val="24"/>
              </w:rPr>
              <w:t>1553</w:t>
            </w:r>
            <w:r>
              <w:rPr>
                <w:spacing w:val="-2"/>
                <w:sz w:val="24"/>
                <w:vertAlign w:val="superscript"/>
              </w:rPr>
              <w:t>e</w:t>
            </w:r>
          </w:p>
        </w:tc>
        <w:tc>
          <w:tcPr>
            <w:tcW w:w="2048" w:type="dxa"/>
          </w:tcPr>
          <w:p w14:paraId="3EB6C3F7" w14:textId="77777777" w:rsidR="00540CEF" w:rsidRDefault="00540CEF" w:rsidP="00AA221B">
            <w:pPr>
              <w:pStyle w:val="TableParagraph"/>
              <w:spacing w:before="91"/>
              <w:ind w:left="11"/>
              <w:rPr>
                <w:sz w:val="24"/>
              </w:rPr>
            </w:pPr>
            <w:r>
              <w:rPr>
                <w:spacing w:val="-2"/>
                <w:sz w:val="24"/>
              </w:rPr>
              <w:t>54.50(47.</w:t>
            </w:r>
            <w:proofErr w:type="gramStart"/>
            <w:r>
              <w:rPr>
                <w:spacing w:val="-2"/>
                <w:sz w:val="24"/>
              </w:rPr>
              <w:t>56)</w:t>
            </w:r>
            <w:r>
              <w:rPr>
                <w:spacing w:val="-2"/>
                <w:sz w:val="24"/>
                <w:vertAlign w:val="superscript"/>
              </w:rPr>
              <w:t>e</w:t>
            </w:r>
            <w:proofErr w:type="gramEnd"/>
          </w:p>
        </w:tc>
        <w:tc>
          <w:tcPr>
            <w:tcW w:w="2284" w:type="dxa"/>
          </w:tcPr>
          <w:p w14:paraId="0488A1FE" w14:textId="77777777" w:rsidR="00540CEF" w:rsidRDefault="00540CEF" w:rsidP="00AA221B">
            <w:pPr>
              <w:pStyle w:val="TableParagraph"/>
              <w:spacing w:before="91"/>
              <w:ind w:left="6" w:right="2"/>
              <w:rPr>
                <w:sz w:val="24"/>
              </w:rPr>
            </w:pPr>
            <w:r>
              <w:rPr>
                <w:spacing w:val="-2"/>
                <w:sz w:val="24"/>
              </w:rPr>
              <w:t>1080.50</w:t>
            </w:r>
            <w:r>
              <w:rPr>
                <w:spacing w:val="-2"/>
                <w:sz w:val="24"/>
                <w:vertAlign w:val="superscript"/>
              </w:rPr>
              <w:t>e</w:t>
            </w:r>
          </w:p>
        </w:tc>
      </w:tr>
      <w:tr w:rsidR="00540CEF" w14:paraId="57AFBA2A" w14:textId="77777777" w:rsidTr="00AA221B">
        <w:trPr>
          <w:trHeight w:val="478"/>
        </w:trPr>
        <w:tc>
          <w:tcPr>
            <w:tcW w:w="2388" w:type="dxa"/>
          </w:tcPr>
          <w:p w14:paraId="113188A0" w14:textId="77777777" w:rsidR="00540CEF" w:rsidRDefault="00540CEF" w:rsidP="00AA221B">
            <w:pPr>
              <w:pStyle w:val="TableParagraph"/>
              <w:spacing w:before="99"/>
              <w:ind w:left="63" w:right="54"/>
              <w:rPr>
                <w:b/>
                <w:sz w:val="24"/>
              </w:rPr>
            </w:pPr>
            <w:r>
              <w:rPr>
                <w:b/>
                <w:spacing w:val="-4"/>
                <w:sz w:val="24"/>
              </w:rPr>
              <w:t>Mean</w:t>
            </w:r>
          </w:p>
        </w:tc>
        <w:tc>
          <w:tcPr>
            <w:tcW w:w="2048" w:type="dxa"/>
          </w:tcPr>
          <w:p w14:paraId="3453202B" w14:textId="77777777" w:rsidR="00540CEF" w:rsidRDefault="00540CEF" w:rsidP="00AA221B">
            <w:pPr>
              <w:pStyle w:val="TableParagraph"/>
              <w:spacing w:before="95"/>
              <w:ind w:left="11" w:right="3"/>
              <w:rPr>
                <w:sz w:val="24"/>
              </w:rPr>
            </w:pPr>
            <w:r>
              <w:rPr>
                <w:spacing w:val="-2"/>
                <w:sz w:val="24"/>
              </w:rPr>
              <w:t>69.50(57.08)</w:t>
            </w:r>
          </w:p>
        </w:tc>
        <w:tc>
          <w:tcPr>
            <w:tcW w:w="1792" w:type="dxa"/>
          </w:tcPr>
          <w:p w14:paraId="7405D461" w14:textId="77777777" w:rsidR="00540CEF" w:rsidRDefault="00540CEF" w:rsidP="00AA221B">
            <w:pPr>
              <w:pStyle w:val="TableParagraph"/>
              <w:spacing w:before="95"/>
              <w:ind w:left="6"/>
              <w:rPr>
                <w:sz w:val="24"/>
              </w:rPr>
            </w:pPr>
            <w:r>
              <w:rPr>
                <w:spacing w:val="-2"/>
                <w:sz w:val="24"/>
              </w:rPr>
              <w:t>33.73</w:t>
            </w:r>
          </w:p>
        </w:tc>
        <w:tc>
          <w:tcPr>
            <w:tcW w:w="1756" w:type="dxa"/>
          </w:tcPr>
          <w:p w14:paraId="1EB18760" w14:textId="77777777" w:rsidR="00540CEF" w:rsidRDefault="00540CEF" w:rsidP="00AA221B">
            <w:pPr>
              <w:pStyle w:val="TableParagraph"/>
              <w:spacing w:before="95"/>
              <w:ind w:left="7"/>
              <w:rPr>
                <w:sz w:val="24"/>
              </w:rPr>
            </w:pPr>
            <w:r>
              <w:rPr>
                <w:spacing w:val="-4"/>
                <w:sz w:val="24"/>
              </w:rPr>
              <w:t>2386</w:t>
            </w:r>
          </w:p>
        </w:tc>
        <w:tc>
          <w:tcPr>
            <w:tcW w:w="2048" w:type="dxa"/>
          </w:tcPr>
          <w:p w14:paraId="1BA3245A" w14:textId="77777777" w:rsidR="00540CEF" w:rsidRDefault="00540CEF" w:rsidP="00AA221B">
            <w:pPr>
              <w:pStyle w:val="TableParagraph"/>
              <w:spacing w:before="95"/>
              <w:ind w:left="11"/>
              <w:rPr>
                <w:sz w:val="24"/>
              </w:rPr>
            </w:pPr>
            <w:r>
              <w:rPr>
                <w:spacing w:val="-2"/>
                <w:sz w:val="24"/>
              </w:rPr>
              <w:t>68.60(56.33)</w:t>
            </w:r>
          </w:p>
        </w:tc>
        <w:tc>
          <w:tcPr>
            <w:tcW w:w="2284" w:type="dxa"/>
          </w:tcPr>
          <w:p w14:paraId="5CB64631" w14:textId="77777777" w:rsidR="00540CEF" w:rsidRDefault="00540CEF" w:rsidP="00AA221B">
            <w:pPr>
              <w:pStyle w:val="TableParagraph"/>
              <w:spacing w:before="95"/>
              <w:ind w:left="6"/>
              <w:rPr>
                <w:sz w:val="24"/>
              </w:rPr>
            </w:pPr>
            <w:r>
              <w:rPr>
                <w:spacing w:val="-2"/>
                <w:sz w:val="24"/>
              </w:rPr>
              <w:t>920.35</w:t>
            </w:r>
          </w:p>
        </w:tc>
      </w:tr>
      <w:tr w:rsidR="00540CEF" w14:paraId="1F4900A4" w14:textId="77777777" w:rsidTr="00AA221B">
        <w:trPr>
          <w:trHeight w:val="474"/>
        </w:trPr>
        <w:tc>
          <w:tcPr>
            <w:tcW w:w="2388" w:type="dxa"/>
          </w:tcPr>
          <w:p w14:paraId="0B85BA79" w14:textId="77777777" w:rsidR="00540CEF" w:rsidRDefault="00540CEF" w:rsidP="00AA221B">
            <w:pPr>
              <w:pStyle w:val="TableParagraph"/>
              <w:spacing w:before="95"/>
              <w:ind w:left="63" w:right="63"/>
              <w:rPr>
                <w:b/>
                <w:sz w:val="24"/>
              </w:rPr>
            </w:pPr>
            <w:r>
              <w:rPr>
                <w:b/>
                <w:sz w:val="24"/>
              </w:rPr>
              <w:t>S</w:t>
            </w:r>
            <w:r>
              <w:rPr>
                <w:b/>
                <w:spacing w:val="-1"/>
                <w:sz w:val="24"/>
              </w:rPr>
              <w:t xml:space="preserve"> </w:t>
            </w:r>
            <w:r>
              <w:rPr>
                <w:b/>
                <w:sz w:val="24"/>
              </w:rPr>
              <w:t>Em</w:t>
            </w:r>
            <w:r>
              <w:rPr>
                <w:b/>
                <w:spacing w:val="-6"/>
                <w:sz w:val="24"/>
              </w:rPr>
              <w:t xml:space="preserve"> </w:t>
            </w:r>
            <w:r>
              <w:rPr>
                <w:b/>
                <w:spacing w:val="-10"/>
                <w:sz w:val="24"/>
              </w:rPr>
              <w:t>±</w:t>
            </w:r>
          </w:p>
        </w:tc>
        <w:tc>
          <w:tcPr>
            <w:tcW w:w="2048" w:type="dxa"/>
          </w:tcPr>
          <w:p w14:paraId="244F65F0" w14:textId="77777777" w:rsidR="00540CEF" w:rsidRDefault="00540CEF" w:rsidP="00AA221B">
            <w:pPr>
              <w:pStyle w:val="TableParagraph"/>
              <w:spacing w:before="91"/>
              <w:ind w:left="11" w:right="6"/>
              <w:rPr>
                <w:sz w:val="24"/>
              </w:rPr>
            </w:pPr>
            <w:r>
              <w:rPr>
                <w:spacing w:val="-4"/>
                <w:sz w:val="24"/>
              </w:rPr>
              <w:t>1.35</w:t>
            </w:r>
          </w:p>
        </w:tc>
        <w:tc>
          <w:tcPr>
            <w:tcW w:w="1792" w:type="dxa"/>
          </w:tcPr>
          <w:p w14:paraId="15066196" w14:textId="77777777" w:rsidR="00540CEF" w:rsidRDefault="00540CEF" w:rsidP="00AA221B">
            <w:pPr>
              <w:pStyle w:val="TableParagraph"/>
              <w:spacing w:before="91"/>
              <w:ind w:left="6"/>
              <w:rPr>
                <w:sz w:val="24"/>
              </w:rPr>
            </w:pPr>
            <w:r>
              <w:rPr>
                <w:spacing w:val="-4"/>
                <w:sz w:val="24"/>
              </w:rPr>
              <w:t>0.58</w:t>
            </w:r>
          </w:p>
        </w:tc>
        <w:tc>
          <w:tcPr>
            <w:tcW w:w="1756" w:type="dxa"/>
          </w:tcPr>
          <w:p w14:paraId="30DA7037" w14:textId="77777777" w:rsidR="00540CEF" w:rsidRDefault="00540CEF" w:rsidP="00AA221B">
            <w:pPr>
              <w:pStyle w:val="TableParagraph"/>
              <w:spacing w:before="91"/>
              <w:ind w:left="7" w:right="4"/>
              <w:rPr>
                <w:sz w:val="24"/>
              </w:rPr>
            </w:pPr>
            <w:r>
              <w:rPr>
                <w:spacing w:val="-2"/>
                <w:sz w:val="24"/>
              </w:rPr>
              <w:t>100.26</w:t>
            </w:r>
          </w:p>
        </w:tc>
        <w:tc>
          <w:tcPr>
            <w:tcW w:w="2048" w:type="dxa"/>
          </w:tcPr>
          <w:p w14:paraId="470FB4B6" w14:textId="77777777" w:rsidR="00540CEF" w:rsidRDefault="00540CEF" w:rsidP="00AA221B">
            <w:pPr>
              <w:pStyle w:val="TableParagraph"/>
              <w:spacing w:before="91"/>
              <w:ind w:left="11" w:right="3"/>
              <w:rPr>
                <w:sz w:val="24"/>
              </w:rPr>
            </w:pPr>
            <w:r>
              <w:rPr>
                <w:spacing w:val="-4"/>
                <w:sz w:val="24"/>
              </w:rPr>
              <w:t>0.91</w:t>
            </w:r>
          </w:p>
        </w:tc>
        <w:tc>
          <w:tcPr>
            <w:tcW w:w="2284" w:type="dxa"/>
          </w:tcPr>
          <w:p w14:paraId="409495F0" w14:textId="77777777" w:rsidR="00540CEF" w:rsidRDefault="00540CEF" w:rsidP="00AA221B">
            <w:pPr>
              <w:pStyle w:val="TableParagraph"/>
              <w:spacing w:before="91"/>
              <w:ind w:left="6"/>
              <w:rPr>
                <w:sz w:val="24"/>
              </w:rPr>
            </w:pPr>
            <w:r>
              <w:rPr>
                <w:spacing w:val="-2"/>
                <w:sz w:val="24"/>
              </w:rPr>
              <w:t>13.62</w:t>
            </w:r>
          </w:p>
        </w:tc>
      </w:tr>
      <w:tr w:rsidR="00540CEF" w14:paraId="405EF8EE" w14:textId="77777777" w:rsidTr="00AA221B">
        <w:trPr>
          <w:trHeight w:val="477"/>
        </w:trPr>
        <w:tc>
          <w:tcPr>
            <w:tcW w:w="2388" w:type="dxa"/>
          </w:tcPr>
          <w:p w14:paraId="4EAA4EFF" w14:textId="77777777" w:rsidR="00540CEF" w:rsidRDefault="00540CEF" w:rsidP="00AA221B">
            <w:pPr>
              <w:pStyle w:val="TableParagraph"/>
              <w:spacing w:before="99"/>
              <w:ind w:left="63" w:right="63"/>
              <w:rPr>
                <w:b/>
                <w:sz w:val="24"/>
              </w:rPr>
            </w:pPr>
            <w:r>
              <w:rPr>
                <w:b/>
                <w:sz w:val="24"/>
              </w:rPr>
              <w:t>CD</w:t>
            </w:r>
            <w:r>
              <w:rPr>
                <w:b/>
                <w:spacing w:val="-4"/>
                <w:sz w:val="24"/>
              </w:rPr>
              <w:t xml:space="preserve"> (5%)</w:t>
            </w:r>
          </w:p>
        </w:tc>
        <w:tc>
          <w:tcPr>
            <w:tcW w:w="2048" w:type="dxa"/>
          </w:tcPr>
          <w:p w14:paraId="76A5680C" w14:textId="77777777" w:rsidR="00540CEF" w:rsidRDefault="00540CEF" w:rsidP="00AA221B">
            <w:pPr>
              <w:pStyle w:val="TableParagraph"/>
              <w:spacing w:before="95"/>
              <w:ind w:left="11" w:right="6"/>
              <w:rPr>
                <w:sz w:val="24"/>
              </w:rPr>
            </w:pPr>
            <w:r>
              <w:rPr>
                <w:spacing w:val="-4"/>
                <w:sz w:val="24"/>
              </w:rPr>
              <w:t>4.11</w:t>
            </w:r>
          </w:p>
        </w:tc>
        <w:tc>
          <w:tcPr>
            <w:tcW w:w="1792" w:type="dxa"/>
          </w:tcPr>
          <w:p w14:paraId="42958547" w14:textId="77777777" w:rsidR="00540CEF" w:rsidRDefault="00540CEF" w:rsidP="00AA221B">
            <w:pPr>
              <w:pStyle w:val="TableParagraph"/>
              <w:spacing w:before="95"/>
              <w:ind w:left="6"/>
              <w:rPr>
                <w:sz w:val="24"/>
              </w:rPr>
            </w:pPr>
            <w:r>
              <w:rPr>
                <w:spacing w:val="-4"/>
                <w:sz w:val="24"/>
              </w:rPr>
              <w:t>1.77</w:t>
            </w:r>
          </w:p>
        </w:tc>
        <w:tc>
          <w:tcPr>
            <w:tcW w:w="1756" w:type="dxa"/>
          </w:tcPr>
          <w:p w14:paraId="7D26C470" w14:textId="77777777" w:rsidR="00540CEF" w:rsidRDefault="00540CEF" w:rsidP="00AA221B">
            <w:pPr>
              <w:pStyle w:val="TableParagraph"/>
              <w:spacing w:before="95"/>
              <w:ind w:left="7" w:right="4"/>
              <w:rPr>
                <w:sz w:val="24"/>
              </w:rPr>
            </w:pPr>
            <w:r>
              <w:rPr>
                <w:spacing w:val="-2"/>
                <w:sz w:val="24"/>
              </w:rPr>
              <w:t>304.98</w:t>
            </w:r>
          </w:p>
        </w:tc>
        <w:tc>
          <w:tcPr>
            <w:tcW w:w="2048" w:type="dxa"/>
          </w:tcPr>
          <w:p w14:paraId="534B001C" w14:textId="77777777" w:rsidR="00540CEF" w:rsidRDefault="00540CEF" w:rsidP="00AA221B">
            <w:pPr>
              <w:pStyle w:val="TableParagraph"/>
              <w:spacing w:before="95"/>
              <w:ind w:left="11" w:right="3"/>
              <w:rPr>
                <w:sz w:val="24"/>
              </w:rPr>
            </w:pPr>
            <w:r>
              <w:rPr>
                <w:spacing w:val="-4"/>
                <w:sz w:val="24"/>
              </w:rPr>
              <w:t>2.78</w:t>
            </w:r>
          </w:p>
        </w:tc>
        <w:tc>
          <w:tcPr>
            <w:tcW w:w="2284" w:type="dxa"/>
          </w:tcPr>
          <w:p w14:paraId="7F502316" w14:textId="77777777" w:rsidR="00540CEF" w:rsidRDefault="00540CEF" w:rsidP="00AA221B">
            <w:pPr>
              <w:pStyle w:val="TableParagraph"/>
              <w:spacing w:before="95"/>
              <w:ind w:left="6"/>
              <w:rPr>
                <w:sz w:val="24"/>
              </w:rPr>
            </w:pPr>
            <w:r>
              <w:rPr>
                <w:spacing w:val="-2"/>
                <w:sz w:val="24"/>
              </w:rPr>
              <w:t>41.43</w:t>
            </w:r>
          </w:p>
        </w:tc>
      </w:tr>
      <w:tr w:rsidR="00540CEF" w14:paraId="597DD45A" w14:textId="77777777" w:rsidTr="00AA221B">
        <w:trPr>
          <w:trHeight w:val="478"/>
        </w:trPr>
        <w:tc>
          <w:tcPr>
            <w:tcW w:w="2388" w:type="dxa"/>
          </w:tcPr>
          <w:p w14:paraId="168098B5" w14:textId="77777777" w:rsidR="00540CEF" w:rsidRDefault="00540CEF" w:rsidP="00AA221B">
            <w:pPr>
              <w:pStyle w:val="TableParagraph"/>
              <w:spacing w:before="95"/>
              <w:ind w:left="63" w:right="63"/>
              <w:rPr>
                <w:b/>
                <w:sz w:val="24"/>
              </w:rPr>
            </w:pPr>
            <w:r>
              <w:rPr>
                <w:b/>
                <w:sz w:val="24"/>
              </w:rPr>
              <w:t>CV</w:t>
            </w:r>
            <w:r>
              <w:rPr>
                <w:b/>
                <w:spacing w:val="-4"/>
                <w:sz w:val="24"/>
              </w:rPr>
              <w:t xml:space="preserve"> </w:t>
            </w:r>
            <w:r>
              <w:rPr>
                <w:b/>
                <w:spacing w:val="-5"/>
                <w:sz w:val="24"/>
              </w:rPr>
              <w:t>(%)</w:t>
            </w:r>
          </w:p>
        </w:tc>
        <w:tc>
          <w:tcPr>
            <w:tcW w:w="2048" w:type="dxa"/>
          </w:tcPr>
          <w:p w14:paraId="5E6F0DDA" w14:textId="77777777" w:rsidR="00540CEF" w:rsidRDefault="00540CEF" w:rsidP="00AA221B">
            <w:pPr>
              <w:pStyle w:val="TableParagraph"/>
              <w:spacing w:before="91"/>
              <w:ind w:left="11" w:right="6"/>
              <w:rPr>
                <w:sz w:val="24"/>
              </w:rPr>
            </w:pPr>
            <w:r>
              <w:rPr>
                <w:spacing w:val="-4"/>
                <w:sz w:val="24"/>
              </w:rPr>
              <w:t>4.73</w:t>
            </w:r>
          </w:p>
        </w:tc>
        <w:tc>
          <w:tcPr>
            <w:tcW w:w="1792" w:type="dxa"/>
          </w:tcPr>
          <w:p w14:paraId="65734394" w14:textId="77777777" w:rsidR="00540CEF" w:rsidRDefault="00540CEF" w:rsidP="00AA221B">
            <w:pPr>
              <w:pStyle w:val="TableParagraph"/>
              <w:spacing w:before="91"/>
              <w:ind w:left="6"/>
              <w:rPr>
                <w:sz w:val="24"/>
              </w:rPr>
            </w:pPr>
            <w:r>
              <w:rPr>
                <w:spacing w:val="-4"/>
                <w:sz w:val="24"/>
              </w:rPr>
              <w:t>3.44</w:t>
            </w:r>
          </w:p>
        </w:tc>
        <w:tc>
          <w:tcPr>
            <w:tcW w:w="1756" w:type="dxa"/>
          </w:tcPr>
          <w:p w14:paraId="11F46760" w14:textId="77777777" w:rsidR="00540CEF" w:rsidRDefault="00540CEF" w:rsidP="00AA221B">
            <w:pPr>
              <w:pStyle w:val="TableParagraph"/>
              <w:spacing w:before="91"/>
              <w:ind w:left="7" w:right="4"/>
              <w:rPr>
                <w:sz w:val="24"/>
              </w:rPr>
            </w:pPr>
            <w:r>
              <w:rPr>
                <w:spacing w:val="-4"/>
                <w:sz w:val="24"/>
              </w:rPr>
              <w:t>8.40</w:t>
            </w:r>
          </w:p>
        </w:tc>
        <w:tc>
          <w:tcPr>
            <w:tcW w:w="2048" w:type="dxa"/>
          </w:tcPr>
          <w:p w14:paraId="682E82D9" w14:textId="77777777" w:rsidR="00540CEF" w:rsidRDefault="00540CEF" w:rsidP="00AA221B">
            <w:pPr>
              <w:pStyle w:val="TableParagraph"/>
              <w:spacing w:before="91"/>
              <w:ind w:left="11" w:right="3"/>
              <w:rPr>
                <w:sz w:val="24"/>
              </w:rPr>
            </w:pPr>
            <w:r>
              <w:rPr>
                <w:spacing w:val="-4"/>
                <w:sz w:val="24"/>
              </w:rPr>
              <w:t>3.24</w:t>
            </w:r>
          </w:p>
        </w:tc>
        <w:tc>
          <w:tcPr>
            <w:tcW w:w="2284" w:type="dxa"/>
          </w:tcPr>
          <w:p w14:paraId="5B5EA8C7" w14:textId="77777777" w:rsidR="00540CEF" w:rsidRDefault="00540CEF" w:rsidP="00AA221B">
            <w:pPr>
              <w:pStyle w:val="TableParagraph"/>
              <w:spacing w:before="91"/>
              <w:ind w:left="6"/>
              <w:rPr>
                <w:sz w:val="24"/>
              </w:rPr>
            </w:pPr>
            <w:r>
              <w:rPr>
                <w:spacing w:val="-4"/>
                <w:sz w:val="24"/>
              </w:rPr>
              <w:t>2.96</w:t>
            </w:r>
          </w:p>
        </w:tc>
      </w:tr>
    </w:tbl>
    <w:p w14:paraId="4B48566A" w14:textId="77777777" w:rsidR="00540CEF" w:rsidRDefault="00540CEF" w:rsidP="00540CEF">
      <w:pPr>
        <w:pStyle w:val="BodyText"/>
        <w:spacing w:before="115"/>
        <w:ind w:left="140"/>
      </w:pPr>
      <w:r>
        <w:t>*Values</w:t>
      </w:r>
      <w:r>
        <w:rPr>
          <w:spacing w:val="-6"/>
        </w:rPr>
        <w:t xml:space="preserve"> </w:t>
      </w:r>
      <w:r>
        <w:t>in</w:t>
      </w:r>
      <w:r>
        <w:rPr>
          <w:spacing w:val="-2"/>
        </w:rPr>
        <w:t xml:space="preserve"> </w:t>
      </w:r>
      <w:r>
        <w:t>the</w:t>
      </w:r>
      <w:r>
        <w:rPr>
          <w:spacing w:val="-1"/>
        </w:rPr>
        <w:t xml:space="preserve"> </w:t>
      </w:r>
      <w:r>
        <w:t>parenthesis</w:t>
      </w:r>
      <w:r>
        <w:rPr>
          <w:spacing w:val="-4"/>
        </w:rPr>
        <w:t xml:space="preserve"> </w:t>
      </w:r>
      <w:r>
        <w:t>indicate</w:t>
      </w:r>
      <w:r>
        <w:rPr>
          <w:spacing w:val="2"/>
        </w:rPr>
        <w:t xml:space="preserve"> </w:t>
      </w:r>
      <w:r>
        <w:t>arc-sine</w:t>
      </w:r>
      <w:r>
        <w:rPr>
          <w:spacing w:val="-1"/>
        </w:rPr>
        <w:t xml:space="preserve"> </w:t>
      </w:r>
      <w:r>
        <w:t>transformed</w:t>
      </w:r>
      <w:r>
        <w:rPr>
          <w:spacing w:val="-2"/>
        </w:rPr>
        <w:t xml:space="preserve"> values</w:t>
      </w:r>
    </w:p>
    <w:p w14:paraId="3127F28E" w14:textId="77777777" w:rsidR="00540CEF" w:rsidRDefault="00540CEF" w:rsidP="00540CEF">
      <w:pPr>
        <w:pStyle w:val="BodyText"/>
        <w:ind w:left="200" w:right="5183" w:hanging="60"/>
      </w:pPr>
      <w:r>
        <w:t>The</w:t>
      </w:r>
      <w:r>
        <w:rPr>
          <w:spacing w:val="-1"/>
        </w:rPr>
        <w:t xml:space="preserve"> </w:t>
      </w:r>
      <w:r>
        <w:t>values</w:t>
      </w:r>
      <w:r>
        <w:rPr>
          <w:spacing w:val="-4"/>
        </w:rPr>
        <w:t xml:space="preserve"> </w:t>
      </w:r>
      <w:r>
        <w:t>in</w:t>
      </w:r>
      <w:r>
        <w:rPr>
          <w:spacing w:val="-2"/>
        </w:rPr>
        <w:t xml:space="preserve"> </w:t>
      </w:r>
      <w:r>
        <w:t>the</w:t>
      </w:r>
      <w:r>
        <w:rPr>
          <w:spacing w:val="-1"/>
        </w:rPr>
        <w:t xml:space="preserve"> </w:t>
      </w:r>
      <w:r>
        <w:t>same</w:t>
      </w:r>
      <w:r>
        <w:rPr>
          <w:spacing w:val="-5"/>
        </w:rPr>
        <w:t xml:space="preserve"> </w:t>
      </w:r>
      <w:r>
        <w:t>column</w:t>
      </w:r>
      <w:r>
        <w:rPr>
          <w:spacing w:val="-2"/>
        </w:rPr>
        <w:t xml:space="preserve"> </w:t>
      </w:r>
      <w:r>
        <w:t>with</w:t>
      </w:r>
      <w:r>
        <w:rPr>
          <w:spacing w:val="-2"/>
        </w:rPr>
        <w:t xml:space="preserve"> </w:t>
      </w:r>
      <w:r>
        <w:t>the</w:t>
      </w:r>
      <w:r>
        <w:rPr>
          <w:spacing w:val="-1"/>
        </w:rPr>
        <w:t xml:space="preserve"> </w:t>
      </w:r>
      <w:r>
        <w:t>same</w:t>
      </w:r>
      <w:r>
        <w:rPr>
          <w:spacing w:val="-1"/>
        </w:rPr>
        <w:t xml:space="preserve"> </w:t>
      </w:r>
      <w:r>
        <w:t>alphabet</w:t>
      </w:r>
      <w:r>
        <w:rPr>
          <w:spacing w:val="-6"/>
        </w:rPr>
        <w:t xml:space="preserve"> </w:t>
      </w:r>
      <w:r>
        <w:t>are</w:t>
      </w:r>
      <w:r>
        <w:rPr>
          <w:spacing w:val="-1"/>
        </w:rPr>
        <w:t xml:space="preserve"> </w:t>
      </w:r>
      <w:r>
        <w:t>not</w:t>
      </w:r>
      <w:r>
        <w:rPr>
          <w:spacing w:val="-2"/>
        </w:rPr>
        <w:t xml:space="preserve"> </w:t>
      </w:r>
      <w:r>
        <w:t>significantly different</w:t>
      </w:r>
      <w:r>
        <w:rPr>
          <w:spacing w:val="-2"/>
        </w:rPr>
        <w:t xml:space="preserve"> </w:t>
      </w:r>
      <w:r>
        <w:t>as</w:t>
      </w:r>
      <w:r>
        <w:rPr>
          <w:spacing w:val="-4"/>
        </w:rPr>
        <w:t xml:space="preserve"> </w:t>
      </w:r>
      <w:r>
        <w:t>per DMRT (P &lt; 0.01).</w:t>
      </w:r>
    </w:p>
    <w:p w14:paraId="3CD34FC2" w14:textId="77777777" w:rsidR="002F1C85" w:rsidRDefault="002F1C85" w:rsidP="00540CEF">
      <w:pPr>
        <w:pStyle w:val="BodyText"/>
        <w:ind w:left="200" w:right="5183" w:hanging="60"/>
      </w:pPr>
    </w:p>
    <w:p w14:paraId="67975E94" w14:textId="77777777" w:rsidR="002F1C85" w:rsidRDefault="002F1C85" w:rsidP="00540CEF">
      <w:pPr>
        <w:pStyle w:val="BodyText"/>
        <w:ind w:left="200" w:right="5183" w:hanging="60"/>
      </w:pPr>
    </w:p>
    <w:p w14:paraId="6753895C" w14:textId="77777777" w:rsidR="002F1C85" w:rsidRDefault="002F1C85" w:rsidP="00540CEF">
      <w:pPr>
        <w:pStyle w:val="BodyText"/>
        <w:ind w:left="200" w:right="5183" w:hanging="60"/>
      </w:pPr>
    </w:p>
    <w:p w14:paraId="6E60A51A" w14:textId="77777777" w:rsidR="002F1C85" w:rsidRDefault="002F1C85" w:rsidP="00540CEF">
      <w:pPr>
        <w:pStyle w:val="BodyText"/>
        <w:ind w:left="200" w:right="5183" w:hanging="60"/>
      </w:pPr>
    </w:p>
    <w:p w14:paraId="0D087D60" w14:textId="77777777" w:rsidR="002F1C85" w:rsidRDefault="002F1C85" w:rsidP="00540CEF">
      <w:pPr>
        <w:pStyle w:val="BodyText"/>
        <w:ind w:left="200" w:right="5183" w:hanging="60"/>
      </w:pPr>
    </w:p>
    <w:p w14:paraId="3A6525AC" w14:textId="77777777" w:rsidR="002F1C85" w:rsidRDefault="002F1C85" w:rsidP="00540CEF">
      <w:pPr>
        <w:pStyle w:val="BodyText"/>
        <w:ind w:left="200" w:right="5183" w:hanging="60"/>
      </w:pPr>
    </w:p>
    <w:p w14:paraId="53C4D886" w14:textId="77777777" w:rsidR="002F1C85" w:rsidRDefault="002F1C85" w:rsidP="00540CEF">
      <w:pPr>
        <w:pStyle w:val="BodyText"/>
        <w:ind w:left="200" w:right="5183" w:hanging="60"/>
      </w:pPr>
    </w:p>
    <w:p w14:paraId="1AB2EB04" w14:textId="77777777" w:rsidR="002F1C85" w:rsidRDefault="002F1C85" w:rsidP="00540CEF">
      <w:pPr>
        <w:pStyle w:val="BodyText"/>
        <w:ind w:left="200" w:right="5183" w:hanging="60"/>
      </w:pPr>
    </w:p>
    <w:p w14:paraId="4E4058DC" w14:textId="77777777" w:rsidR="002F1C85" w:rsidRDefault="002F1C85" w:rsidP="00540CEF">
      <w:pPr>
        <w:pStyle w:val="BodyText"/>
        <w:ind w:left="200" w:right="5183" w:hanging="60"/>
      </w:pPr>
    </w:p>
    <w:p w14:paraId="7A7915D9" w14:textId="77777777" w:rsidR="002F1C85" w:rsidRDefault="002F1C85" w:rsidP="002F1C85">
      <w:pPr>
        <w:pStyle w:val="BodyText"/>
        <w:ind w:right="5183"/>
        <w:sectPr w:rsidR="002F1C85" w:rsidSect="002F1C85">
          <w:pgSz w:w="16838" w:h="11906" w:orient="landscape"/>
          <w:pgMar w:top="1440" w:right="1440" w:bottom="1440" w:left="1440" w:header="708" w:footer="708" w:gutter="0"/>
          <w:cols w:space="708"/>
          <w:docGrid w:linePitch="360"/>
        </w:sectPr>
      </w:pPr>
    </w:p>
    <w:p w14:paraId="19D00408" w14:textId="77777777" w:rsidR="002F1C85" w:rsidRDefault="002F1C85" w:rsidP="002F1C85">
      <w:pPr>
        <w:pStyle w:val="BodyText"/>
        <w:ind w:right="5183"/>
      </w:pPr>
    </w:p>
    <w:p w14:paraId="5502F735" w14:textId="77777777" w:rsidR="002F1C85" w:rsidRDefault="002F1C85" w:rsidP="00540CEF">
      <w:pPr>
        <w:pStyle w:val="BodyText"/>
        <w:ind w:left="200" w:right="5183" w:hanging="60"/>
      </w:pPr>
    </w:p>
    <w:p w14:paraId="44548B84" w14:textId="77777777" w:rsidR="002F1C85" w:rsidRDefault="002F1C85" w:rsidP="00540CEF">
      <w:pPr>
        <w:pStyle w:val="BodyText"/>
        <w:ind w:left="200" w:right="5183" w:hanging="60"/>
      </w:pPr>
    </w:p>
    <w:p w14:paraId="64910774" w14:textId="77777777" w:rsidR="00540CEF" w:rsidRDefault="00540CEF" w:rsidP="00540CEF">
      <w:pPr>
        <w:pStyle w:val="Heading6"/>
        <w:rPr>
          <w:b w:val="0"/>
          <w:bCs w:val="0"/>
        </w:rPr>
      </w:pPr>
    </w:p>
    <w:p w14:paraId="2AD7CD20" w14:textId="77777777" w:rsidR="00DF1FDB" w:rsidRDefault="00DF1FDB" w:rsidP="00540CEF">
      <w:pPr>
        <w:pStyle w:val="Heading6"/>
      </w:pPr>
      <w:r>
        <w:t>Conclusion</w:t>
      </w:r>
    </w:p>
    <w:p w14:paraId="33E51240" w14:textId="77777777" w:rsidR="00DF1FDB" w:rsidRPr="00DF1FDB" w:rsidRDefault="00DF1FDB" w:rsidP="00540CEF">
      <w:pPr>
        <w:pStyle w:val="Heading6"/>
        <w:rPr>
          <w:b w:val="0"/>
          <w:bCs w:val="0"/>
        </w:rPr>
      </w:pPr>
    </w:p>
    <w:p w14:paraId="132AE722" w14:textId="353C7547" w:rsidR="00540CEF" w:rsidRPr="000658C6" w:rsidRDefault="000D2469" w:rsidP="00B23F1C">
      <w:pPr>
        <w:pStyle w:val="BodyText"/>
        <w:spacing w:line="360" w:lineRule="auto"/>
        <w:ind w:right="246"/>
        <w:rPr>
          <w:sz w:val="22"/>
          <w:szCs w:val="22"/>
        </w:rPr>
      </w:pPr>
      <w:r>
        <w:t xml:space="preserve">The present study clearly demonstrates that accelerated ageing has a detrimental effect on the physiological quality of sorghum seeds. A significant decrease was observed in all key physiological parameters, including germination percentage, seedling length, seedling </w:t>
      </w:r>
      <w:proofErr w:type="spellStart"/>
      <w:r>
        <w:t>vigour</w:t>
      </w:r>
      <w:proofErr w:type="spellEnd"/>
      <w:r>
        <w:t xml:space="preserve"> index, and field emergence, with increasing duration of accelerated ageing. This decline is indicative of the progressive deterioration of seed quality, which can negatively impact crop establishment and productivity. Conversely, the electrical conductivity (EC) of seed leachates exhibited a highly significant increase with prolonged ageing, suggesting enhanced membrane damage and leaching of cellular electrolytes. These findings highlight the importance of monitoring seed ageing in storage and reinforce the need for proper seed handling and storage conditions to maintain viability and </w:t>
      </w:r>
      <w:proofErr w:type="spellStart"/>
      <w:r>
        <w:t>vigour</w:t>
      </w:r>
      <w:proofErr w:type="spellEnd"/>
      <w:r>
        <w:t>. Understanding the physiological responses of seeds under accelerated ageing conditions can aid in predicting seed performance and developing strategies for seed longevity and quality preservation</w:t>
      </w:r>
    </w:p>
    <w:p w14:paraId="6FF1BB05" w14:textId="77777777" w:rsidR="00AC573F" w:rsidRDefault="00176FD3" w:rsidP="005256DB">
      <w:pPr>
        <w:pStyle w:val="NoSpacing"/>
        <w:rPr>
          <w:b/>
          <w:bCs/>
        </w:rPr>
      </w:pPr>
      <w:r>
        <w:rPr>
          <w:b/>
          <w:bCs/>
        </w:rPr>
        <w:t>References</w:t>
      </w:r>
    </w:p>
    <w:p w14:paraId="6631274E" w14:textId="46E8BEF9" w:rsidR="008F54DA" w:rsidRDefault="00067606" w:rsidP="005256DB">
      <w:pPr>
        <w:pStyle w:val="NoSpacing"/>
      </w:pPr>
      <w:r w:rsidRPr="00067606">
        <w:t xml:space="preserve">Azadi, M.S and </w:t>
      </w:r>
      <w:proofErr w:type="spellStart"/>
      <w:r w:rsidRPr="00067606">
        <w:t>Younesi</w:t>
      </w:r>
      <w:proofErr w:type="spellEnd"/>
      <w:r w:rsidRPr="00067606">
        <w:t>, E. 2013. The effects of storage on germination characteristics and enzyme activity of sorghum seeds. Journal of Stress Physiology and Biochemistry. 9(4): 289-298.</w:t>
      </w:r>
    </w:p>
    <w:p w14:paraId="5A2AC75A" w14:textId="77777777" w:rsidR="000F3954" w:rsidRDefault="000F3954" w:rsidP="005256DB">
      <w:pPr>
        <w:pStyle w:val="NoSpacing"/>
      </w:pPr>
    </w:p>
    <w:p w14:paraId="362EB8D7" w14:textId="77777777" w:rsidR="000F3954" w:rsidRDefault="000F3954" w:rsidP="005256DB">
      <w:pPr>
        <w:pStyle w:val="NoSpacing"/>
      </w:pPr>
      <w:r w:rsidRPr="000F3954">
        <w:t>Badiger, B., Patil, S and Rajaput, S. 2013. Influence of accelerated aging on determination of naturally aged cotton seed viability. International Journal of Green and Herbal Chemistry. 2(4): 1037-1040.</w:t>
      </w:r>
    </w:p>
    <w:p w14:paraId="3975CE39" w14:textId="77777777" w:rsidR="008A27B6" w:rsidRDefault="008A27B6" w:rsidP="005256DB">
      <w:pPr>
        <w:pStyle w:val="NoSpacing"/>
      </w:pPr>
    </w:p>
    <w:p w14:paraId="77752A6F" w14:textId="77777777" w:rsidR="008A27B6" w:rsidRDefault="008A27B6" w:rsidP="005256DB">
      <w:pPr>
        <w:pStyle w:val="NoSpacing"/>
      </w:pPr>
      <w:r w:rsidRPr="008A27B6">
        <w:t>Brar, N.S., Kaushik, P and Dudi, B.S. 2019a. Assessment of natural aging related physio-biochemical changes in onion seed. Agriculture. 9(163): 1-15.</w:t>
      </w:r>
    </w:p>
    <w:p w14:paraId="64E9DA56" w14:textId="77777777" w:rsidR="00067606" w:rsidRDefault="00067606" w:rsidP="005256DB">
      <w:pPr>
        <w:pStyle w:val="NoSpacing"/>
      </w:pPr>
    </w:p>
    <w:p w14:paraId="7A69F260" w14:textId="77777777" w:rsidR="00067606" w:rsidRDefault="00067606" w:rsidP="005256DB">
      <w:pPr>
        <w:pStyle w:val="NoSpacing"/>
      </w:pPr>
      <w:r w:rsidRPr="00067606">
        <w:t>Khan, F.A., Maqbool, R., Narayan, S., Bhat S.A., Narayan, R and Khan, F.U. 2016. Reversal of age- induced seed deterioration through priming in vegetable crops- A Review. Advances in Plants and Agriculture Research. 4(6): 1-9.</w:t>
      </w:r>
    </w:p>
    <w:p w14:paraId="25D5C006" w14:textId="77777777" w:rsidR="008F54DA" w:rsidRDefault="008F54DA" w:rsidP="005256DB">
      <w:pPr>
        <w:pStyle w:val="NoSpacing"/>
      </w:pPr>
    </w:p>
    <w:p w14:paraId="5B4D2862" w14:textId="685C2ADE" w:rsidR="008F54DA" w:rsidRDefault="008F54DA" w:rsidP="005256DB">
      <w:pPr>
        <w:pStyle w:val="NoSpacing"/>
      </w:pPr>
      <w:proofErr w:type="spellStart"/>
      <w:r w:rsidRPr="008F54DA">
        <w:t>Kurdikeri</w:t>
      </w:r>
      <w:proofErr w:type="spellEnd"/>
      <w:r w:rsidRPr="008F54DA">
        <w:t xml:space="preserve">, M. B., </w:t>
      </w:r>
      <w:proofErr w:type="spellStart"/>
      <w:r w:rsidRPr="008F54DA">
        <w:t>Hunje</w:t>
      </w:r>
      <w:proofErr w:type="spellEnd"/>
      <w:r w:rsidRPr="008F54DA">
        <w:t xml:space="preserve">, R., &amp; </w:t>
      </w:r>
      <w:proofErr w:type="spellStart"/>
      <w:r w:rsidRPr="008F54DA">
        <w:t>Nandagavi</w:t>
      </w:r>
      <w:proofErr w:type="spellEnd"/>
      <w:r w:rsidRPr="008F54DA">
        <w:t>, R. A. (1997). Seed quality deterioration during storage of wheat under ambient conditions. Seed Research, 25(2), 167-170.</w:t>
      </w:r>
    </w:p>
    <w:p w14:paraId="4D84449C" w14:textId="77777777" w:rsidR="00B95129" w:rsidRDefault="00B95129" w:rsidP="005256DB">
      <w:pPr>
        <w:pStyle w:val="NoSpacing"/>
      </w:pPr>
    </w:p>
    <w:p w14:paraId="6648F8B3" w14:textId="77777777" w:rsidR="00B95129" w:rsidRDefault="00B95129" w:rsidP="005256DB">
      <w:pPr>
        <w:pStyle w:val="NoSpacing"/>
      </w:pPr>
      <w:proofErr w:type="spellStart"/>
      <w:r w:rsidRPr="00B95129">
        <w:t>Ghahfarokhi</w:t>
      </w:r>
      <w:proofErr w:type="spellEnd"/>
      <w:r w:rsidRPr="00B95129">
        <w:t xml:space="preserve">, M.G., </w:t>
      </w:r>
      <w:proofErr w:type="spellStart"/>
      <w:r w:rsidRPr="00B95129">
        <w:t>Ghasemi</w:t>
      </w:r>
      <w:proofErr w:type="spellEnd"/>
      <w:r w:rsidRPr="00B95129">
        <w:t>, E., Saeidi, M and Kazafi, Z.H. 2014. Effect of accelerated aging on germination characteristics, seed reserve utilization and malondialdehyde content of two wheat cultivars. Journal of Stress Physiology and Biochemistry. 10(2): 15-23.</w:t>
      </w:r>
    </w:p>
    <w:p w14:paraId="1879D7AD" w14:textId="77777777" w:rsidR="005E7555" w:rsidRDefault="005E7555" w:rsidP="005256DB">
      <w:pPr>
        <w:pStyle w:val="NoSpacing"/>
      </w:pPr>
    </w:p>
    <w:p w14:paraId="1553C9DD" w14:textId="77777777" w:rsidR="005E7555" w:rsidRDefault="005E7555" w:rsidP="005256DB">
      <w:pPr>
        <w:pStyle w:val="NoSpacing"/>
      </w:pPr>
      <w:r w:rsidRPr="005E7555">
        <w:t xml:space="preserve">Gupta, A., </w:t>
      </w:r>
      <w:proofErr w:type="spellStart"/>
      <w:r w:rsidRPr="005E7555">
        <w:t>Punia</w:t>
      </w:r>
      <w:proofErr w:type="spellEnd"/>
      <w:r w:rsidRPr="005E7555">
        <w:t xml:space="preserve">, R.C and </w:t>
      </w:r>
      <w:proofErr w:type="spellStart"/>
      <w:r w:rsidRPr="005E7555">
        <w:t>Dhaiya</w:t>
      </w:r>
      <w:proofErr w:type="spellEnd"/>
      <w:r w:rsidRPr="005E7555">
        <w:t xml:space="preserve">, O.S. 2017. Seed aging and deterioration during storage of </w:t>
      </w:r>
      <w:proofErr w:type="spellStart"/>
      <w:r w:rsidRPr="005E7555">
        <w:t>pearlmillet</w:t>
      </w:r>
      <w:proofErr w:type="spellEnd"/>
      <w:r w:rsidRPr="005E7555">
        <w:t xml:space="preserve"> hybrid along with their parental line. Research in Environment and Life Sciences. 10(6): 554-556.</w:t>
      </w:r>
    </w:p>
    <w:p w14:paraId="30F92FD9" w14:textId="77777777" w:rsidR="008F54DA" w:rsidRDefault="008F54DA" w:rsidP="000A15F6">
      <w:pPr>
        <w:pStyle w:val="NoSpacing"/>
      </w:pPr>
    </w:p>
    <w:p w14:paraId="658F664A" w14:textId="7A7D38CE" w:rsidR="000A15F6" w:rsidRDefault="000A15F6" w:rsidP="000A15F6">
      <w:pPr>
        <w:pStyle w:val="NoSpacing"/>
      </w:pPr>
      <w:r w:rsidRPr="000A15F6">
        <w:t>Gupta, S. K., Singh, B., &amp; Meena, R. (2016). Seed quality deterioration in pearl millet as influenced by storage containers and environments. Journal of Seed Science and Technology, 44(1), 19-25.</w:t>
      </w:r>
    </w:p>
    <w:p w14:paraId="4A73D7BC" w14:textId="77777777" w:rsidR="00B95129" w:rsidRDefault="00B95129" w:rsidP="005256DB">
      <w:pPr>
        <w:pStyle w:val="NoSpacing"/>
      </w:pPr>
    </w:p>
    <w:p w14:paraId="592826D4" w14:textId="77777777" w:rsidR="00546A3D" w:rsidRDefault="00546A3D" w:rsidP="005256DB">
      <w:pPr>
        <w:pStyle w:val="NoSpacing"/>
      </w:pPr>
      <w:r w:rsidRPr="00546A3D">
        <w:t xml:space="preserve">Gupta, V., Arya, L., Pandy, C and Kak, A. 2005. Effect of accelerated aging on seed vigour in </w:t>
      </w:r>
      <w:proofErr w:type="spellStart"/>
      <w:r w:rsidRPr="00546A3D">
        <w:t>pearlmillet</w:t>
      </w:r>
      <w:proofErr w:type="spellEnd"/>
      <w:r w:rsidRPr="00546A3D">
        <w:t xml:space="preserve"> (</w:t>
      </w:r>
      <w:proofErr w:type="spellStart"/>
      <w:r w:rsidRPr="00546A3D">
        <w:t>Pennisetum</w:t>
      </w:r>
      <w:proofErr w:type="spellEnd"/>
      <w:r w:rsidRPr="00546A3D">
        <w:t xml:space="preserve"> </w:t>
      </w:r>
      <w:proofErr w:type="spellStart"/>
      <w:r w:rsidRPr="00546A3D">
        <w:t>glaucum</w:t>
      </w:r>
      <w:proofErr w:type="spellEnd"/>
      <w:r w:rsidRPr="00546A3D">
        <w:t>) hybrids and their parents. Indian Journal Agricultural Sciences. 75: 346-347.</w:t>
      </w:r>
    </w:p>
    <w:p w14:paraId="7466838E" w14:textId="77777777" w:rsidR="00546A3D" w:rsidRDefault="00546A3D" w:rsidP="005256DB">
      <w:pPr>
        <w:pStyle w:val="NoSpacing"/>
      </w:pPr>
    </w:p>
    <w:p w14:paraId="1BD1D80C" w14:textId="77777777" w:rsidR="00EC5695" w:rsidRDefault="00EC5695" w:rsidP="005256DB">
      <w:pPr>
        <w:pStyle w:val="NoSpacing"/>
      </w:pPr>
      <w:proofErr w:type="spellStart"/>
      <w:r w:rsidRPr="00EC5695">
        <w:t>Malimath</w:t>
      </w:r>
      <w:proofErr w:type="spellEnd"/>
      <w:r w:rsidRPr="00EC5695">
        <w:t xml:space="preserve">, S.D and </w:t>
      </w:r>
      <w:proofErr w:type="spellStart"/>
      <w:r w:rsidRPr="00EC5695">
        <w:t>Merwade</w:t>
      </w:r>
      <w:proofErr w:type="spellEnd"/>
      <w:r w:rsidRPr="00EC5695">
        <w:t>, M.N. 2007. Effect of storage containers on seed storability of garden pea (Pisum sativum L.). Karnataka Journal of Agricultural Sciences. 20(2): 384-385.</w:t>
      </w:r>
    </w:p>
    <w:p w14:paraId="5C5A08C4" w14:textId="77777777" w:rsidR="00EC5695" w:rsidRDefault="00EC5695" w:rsidP="005256DB">
      <w:pPr>
        <w:pStyle w:val="NoSpacing"/>
      </w:pPr>
    </w:p>
    <w:p w14:paraId="050F4131" w14:textId="77777777" w:rsidR="00B95129" w:rsidRDefault="00B95129" w:rsidP="005256DB">
      <w:pPr>
        <w:pStyle w:val="NoSpacing"/>
      </w:pPr>
      <w:r w:rsidRPr="00B95129">
        <w:t>Mishra, A., Kumar, V., Sharma, A.D and Srinivasan, K. 2017. Evaluation of seed quality of barley varieties through controlled deterioration test. International Journal of Current Microbiology and Applied Sciences. 6(6): 3123-3131.</w:t>
      </w:r>
    </w:p>
    <w:p w14:paraId="35449D30" w14:textId="77777777" w:rsidR="00067606" w:rsidRPr="00067606" w:rsidRDefault="00067606" w:rsidP="005256DB">
      <w:pPr>
        <w:pStyle w:val="NoSpacing"/>
      </w:pPr>
    </w:p>
    <w:p w14:paraId="244F109B" w14:textId="77777777" w:rsidR="00067606" w:rsidRPr="00067606" w:rsidRDefault="00067606" w:rsidP="00067606">
      <w:pPr>
        <w:pStyle w:val="NoSpacing"/>
      </w:pPr>
      <w:r w:rsidRPr="00067606">
        <w:t>http://www.indiastat.com</w:t>
      </w:r>
    </w:p>
    <w:p w14:paraId="083CDFCE" w14:textId="77777777" w:rsidR="00067606" w:rsidRPr="00067606" w:rsidRDefault="00067606" w:rsidP="00067606">
      <w:pPr>
        <w:pStyle w:val="NoSpacing"/>
      </w:pPr>
    </w:p>
    <w:p w14:paraId="22629EFB" w14:textId="77777777" w:rsidR="00067606" w:rsidRDefault="005B7AFC" w:rsidP="00067606">
      <w:pPr>
        <w:pStyle w:val="NoSpacing"/>
      </w:pPr>
      <w:hyperlink r:id="rId14" w:history="1">
        <w:r w:rsidR="004432F2" w:rsidRPr="008F3150">
          <w:rPr>
            <w:rStyle w:val="Hyperlink"/>
          </w:rPr>
          <w:t>http://www.vikaspedia.in</w:t>
        </w:r>
      </w:hyperlink>
    </w:p>
    <w:p w14:paraId="3B11B958" w14:textId="77777777" w:rsidR="008F54DA" w:rsidRDefault="008F54DA" w:rsidP="008F54DA">
      <w:pPr>
        <w:pStyle w:val="NoSpacing"/>
      </w:pPr>
      <w:r>
        <w:t>Patel, D. R., &amp; Reddy, B. S. (2023). Effect of ageing on seed quality of maize hybrids under controlled conditions. Journal of Seed Science and Technology, 51(4), 324-331.</w:t>
      </w:r>
    </w:p>
    <w:p w14:paraId="1D2A509C" w14:textId="77777777" w:rsidR="008F54DA" w:rsidRDefault="008F54DA" w:rsidP="008F54DA">
      <w:pPr>
        <w:pStyle w:val="NoSpacing"/>
      </w:pPr>
    </w:p>
    <w:p w14:paraId="3200416E" w14:textId="77777777" w:rsidR="008F54DA" w:rsidRDefault="008F54DA" w:rsidP="008F54DA">
      <w:pPr>
        <w:pStyle w:val="NoSpacing"/>
      </w:pPr>
      <w:r>
        <w:t>Rajan, R., &amp; Thomas, G. (2024). Physiological changes in seed germination and vigour under accelerated ageing stress. Indian Journal of Plant Physiology, 29(1), 50-57.</w:t>
      </w:r>
    </w:p>
    <w:p w14:paraId="2A485F9C" w14:textId="77777777" w:rsidR="008F54DA" w:rsidRDefault="008F54DA" w:rsidP="008F54DA">
      <w:pPr>
        <w:pStyle w:val="NoSpacing"/>
      </w:pPr>
    </w:p>
    <w:p w14:paraId="4EDAF858" w14:textId="77777777" w:rsidR="008F54DA" w:rsidRDefault="008F54DA" w:rsidP="008F54DA">
      <w:pPr>
        <w:pStyle w:val="NoSpacing"/>
      </w:pPr>
      <w:r>
        <w:t>Sharma, A., Singh, P., &amp; Tiwari, R. (2021). Impact of storage duration on germination and seedling vigour of soybean. Legume Research, 44(10), 1200-1204.</w:t>
      </w:r>
    </w:p>
    <w:p w14:paraId="5779B7AD" w14:textId="77777777" w:rsidR="008F54DA" w:rsidRDefault="008F54DA" w:rsidP="008F54DA">
      <w:pPr>
        <w:pStyle w:val="NoSpacing"/>
      </w:pPr>
    </w:p>
    <w:p w14:paraId="3C79BF0D" w14:textId="41762A93" w:rsidR="004062A8" w:rsidRDefault="008F54DA" w:rsidP="008F54DA">
      <w:pPr>
        <w:pStyle w:val="NoSpacing"/>
      </w:pPr>
      <w:r>
        <w:t>Singh, K., Verma, R. K., &amp; Sinha, S. (2020). Seed quality evaluation of onion under different storage durations and containers. Journal of Pharmacognosy and Phytochemistry, 9(2), 2514-2518.</w:t>
      </w:r>
    </w:p>
    <w:p w14:paraId="05EFEB9D" w14:textId="77777777" w:rsidR="004432F2" w:rsidRDefault="004432F2" w:rsidP="00067606">
      <w:pPr>
        <w:pStyle w:val="NoSpacing"/>
      </w:pPr>
    </w:p>
    <w:p w14:paraId="602EA6FF" w14:textId="77777777" w:rsidR="004432F2" w:rsidRDefault="004432F2" w:rsidP="00067606">
      <w:pPr>
        <w:pStyle w:val="NoSpacing"/>
      </w:pPr>
      <w:r w:rsidRPr="004432F2">
        <w:t>Tekrony, D.M. 2005. Accelerated aging test: Principles and procedures. Seed Technology. 27 (1): 135-146.</w:t>
      </w:r>
    </w:p>
    <w:p w14:paraId="4DCB7ECA" w14:textId="77777777" w:rsidR="008F54DA" w:rsidRDefault="008F54DA" w:rsidP="00067606">
      <w:pPr>
        <w:pStyle w:val="NoSpacing"/>
      </w:pPr>
    </w:p>
    <w:p w14:paraId="0E46AE5F" w14:textId="77777777" w:rsidR="008F54DA" w:rsidRDefault="008F54DA" w:rsidP="008F54DA">
      <w:pPr>
        <w:pStyle w:val="NoSpacing"/>
      </w:pPr>
      <w:r>
        <w:t>Verma, R. K., Tiwari, P., &amp; Sinha, N. (2022). Effect of ambient storage on seed quality parameters of pea. Journal of Applied and Natural Science, 14(3), 923-928.</w:t>
      </w:r>
    </w:p>
    <w:p w14:paraId="731CF528" w14:textId="77777777" w:rsidR="008F54DA" w:rsidRDefault="008F54DA" w:rsidP="008F54DA">
      <w:pPr>
        <w:pStyle w:val="NoSpacing"/>
      </w:pPr>
    </w:p>
    <w:p w14:paraId="13179177" w14:textId="489C24DD" w:rsidR="008F54DA" w:rsidRPr="00067606" w:rsidRDefault="008F54DA" w:rsidP="008F54DA">
      <w:pPr>
        <w:pStyle w:val="NoSpacing"/>
      </w:pPr>
      <w:r>
        <w:t>Yadav, M., Chauhan, R. P., &amp; Mehta, S. (2023). Electrical conductivity as a marker for seed deterioration in pulses. Indian Journal of Agricultural Sciences, 93(2), 234-238.</w:t>
      </w:r>
    </w:p>
    <w:sectPr w:rsidR="008F54DA" w:rsidRPr="00067606" w:rsidSect="002F1C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66498" w14:textId="77777777" w:rsidR="005B7AFC" w:rsidRDefault="005B7AFC" w:rsidP="002811E8">
      <w:pPr>
        <w:spacing w:after="0" w:line="240" w:lineRule="auto"/>
      </w:pPr>
      <w:r>
        <w:separator/>
      </w:r>
    </w:p>
  </w:endnote>
  <w:endnote w:type="continuationSeparator" w:id="0">
    <w:p w14:paraId="5D6C579C" w14:textId="77777777" w:rsidR="005B7AFC" w:rsidRDefault="005B7AFC" w:rsidP="00281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5F396" w14:textId="77777777" w:rsidR="002811E8" w:rsidRDefault="00281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4646" w14:textId="77777777" w:rsidR="002811E8" w:rsidRDefault="002811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50DB" w14:textId="77777777" w:rsidR="002811E8" w:rsidRDefault="00281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E3BBD" w14:textId="77777777" w:rsidR="005B7AFC" w:rsidRDefault="005B7AFC" w:rsidP="002811E8">
      <w:pPr>
        <w:spacing w:after="0" w:line="240" w:lineRule="auto"/>
      </w:pPr>
      <w:r>
        <w:separator/>
      </w:r>
    </w:p>
  </w:footnote>
  <w:footnote w:type="continuationSeparator" w:id="0">
    <w:p w14:paraId="047B843E" w14:textId="77777777" w:rsidR="005B7AFC" w:rsidRDefault="005B7AFC" w:rsidP="00281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AB25E" w14:textId="745CC381" w:rsidR="002811E8" w:rsidRDefault="002811E8">
    <w:pPr>
      <w:pStyle w:val="Header"/>
    </w:pPr>
    <w:r>
      <w:rPr>
        <w:noProof/>
      </w:rPr>
      <w:pict w14:anchorId="5BBCC8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25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B71C0" w14:textId="0EBD377D" w:rsidR="002811E8" w:rsidRDefault="002811E8">
    <w:pPr>
      <w:pStyle w:val="Header"/>
    </w:pPr>
    <w:r>
      <w:rPr>
        <w:noProof/>
      </w:rPr>
      <w:pict w14:anchorId="2A86C1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25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810C2" w14:textId="5362F1B0" w:rsidR="002811E8" w:rsidRDefault="002811E8">
    <w:pPr>
      <w:pStyle w:val="Header"/>
    </w:pPr>
    <w:r>
      <w:rPr>
        <w:noProof/>
      </w:rPr>
      <w:pict w14:anchorId="5D8506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25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DB"/>
    <w:rsid w:val="00064969"/>
    <w:rsid w:val="000658C6"/>
    <w:rsid w:val="00067606"/>
    <w:rsid w:val="00067CB8"/>
    <w:rsid w:val="00087A8A"/>
    <w:rsid w:val="000A15F6"/>
    <w:rsid w:val="000B3961"/>
    <w:rsid w:val="000D2469"/>
    <w:rsid w:val="000F3954"/>
    <w:rsid w:val="000F4F78"/>
    <w:rsid w:val="001124B0"/>
    <w:rsid w:val="00176FD3"/>
    <w:rsid w:val="001B6B5E"/>
    <w:rsid w:val="001E56DE"/>
    <w:rsid w:val="002568B5"/>
    <w:rsid w:val="002811E8"/>
    <w:rsid w:val="002F1C85"/>
    <w:rsid w:val="003466F9"/>
    <w:rsid w:val="00365276"/>
    <w:rsid w:val="00377663"/>
    <w:rsid w:val="004062A8"/>
    <w:rsid w:val="004127D9"/>
    <w:rsid w:val="004431B9"/>
    <w:rsid w:val="004432F2"/>
    <w:rsid w:val="00443EB3"/>
    <w:rsid w:val="00471796"/>
    <w:rsid w:val="004B46F7"/>
    <w:rsid w:val="005256DB"/>
    <w:rsid w:val="00540CEF"/>
    <w:rsid w:val="00546A3D"/>
    <w:rsid w:val="0057054A"/>
    <w:rsid w:val="005B7AFC"/>
    <w:rsid w:val="005D6CD5"/>
    <w:rsid w:val="005E7555"/>
    <w:rsid w:val="0062107C"/>
    <w:rsid w:val="007100A4"/>
    <w:rsid w:val="00753EB1"/>
    <w:rsid w:val="008A27B6"/>
    <w:rsid w:val="008C00F0"/>
    <w:rsid w:val="008E631D"/>
    <w:rsid w:val="008F54DA"/>
    <w:rsid w:val="00A008E1"/>
    <w:rsid w:val="00A07713"/>
    <w:rsid w:val="00A3578D"/>
    <w:rsid w:val="00A960B1"/>
    <w:rsid w:val="00AC3403"/>
    <w:rsid w:val="00AC573F"/>
    <w:rsid w:val="00B2278F"/>
    <w:rsid w:val="00B23F1C"/>
    <w:rsid w:val="00B426EC"/>
    <w:rsid w:val="00B56A11"/>
    <w:rsid w:val="00B95129"/>
    <w:rsid w:val="00C479E0"/>
    <w:rsid w:val="00C864B8"/>
    <w:rsid w:val="00CD0AC0"/>
    <w:rsid w:val="00D52759"/>
    <w:rsid w:val="00D82827"/>
    <w:rsid w:val="00DF1FDB"/>
    <w:rsid w:val="00E738E3"/>
    <w:rsid w:val="00E7395E"/>
    <w:rsid w:val="00E84B99"/>
    <w:rsid w:val="00EC5695"/>
    <w:rsid w:val="00F908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E44E04"/>
  <w15:chartTrackingRefBased/>
  <w15:docId w15:val="{73A32D94-5A49-4939-98DC-0FD71F8B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link w:val="Heading6Char"/>
    <w:uiPriority w:val="9"/>
    <w:unhideWhenUsed/>
    <w:qFormat/>
    <w:rsid w:val="00540CEF"/>
    <w:pPr>
      <w:widowControl w:val="0"/>
      <w:autoSpaceDE w:val="0"/>
      <w:autoSpaceDN w:val="0"/>
      <w:spacing w:after="0" w:line="240" w:lineRule="auto"/>
      <w:ind w:left="20"/>
      <w:outlineLvl w:val="5"/>
    </w:pPr>
    <w:rPr>
      <w:rFonts w:ascii="Times New Roman" w:eastAsia="Times New Roman" w:hAnsi="Times New Roman"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56DB"/>
    <w:pPr>
      <w:spacing w:after="0" w:line="240" w:lineRule="auto"/>
    </w:pPr>
  </w:style>
  <w:style w:type="character" w:styleId="Hyperlink">
    <w:name w:val="Hyperlink"/>
    <w:basedOn w:val="DefaultParagraphFont"/>
    <w:uiPriority w:val="99"/>
    <w:unhideWhenUsed/>
    <w:rsid w:val="005256DB"/>
    <w:rPr>
      <w:color w:val="0563C1" w:themeColor="hyperlink"/>
      <w:u w:val="single"/>
    </w:rPr>
  </w:style>
  <w:style w:type="character" w:styleId="UnresolvedMention">
    <w:name w:val="Unresolved Mention"/>
    <w:basedOn w:val="DefaultParagraphFont"/>
    <w:uiPriority w:val="99"/>
    <w:semiHidden/>
    <w:unhideWhenUsed/>
    <w:rsid w:val="005256DB"/>
    <w:rPr>
      <w:color w:val="605E5C"/>
      <w:shd w:val="clear" w:color="auto" w:fill="E1DFDD"/>
    </w:rPr>
  </w:style>
  <w:style w:type="paragraph" w:styleId="BodyText">
    <w:name w:val="Body Text"/>
    <w:basedOn w:val="Normal"/>
    <w:link w:val="BodyTextChar"/>
    <w:uiPriority w:val="1"/>
    <w:qFormat/>
    <w:rsid w:val="00AC573F"/>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AC573F"/>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B23F1C"/>
    <w:pPr>
      <w:widowControl w:val="0"/>
      <w:autoSpaceDE w:val="0"/>
      <w:autoSpaceDN w:val="0"/>
      <w:spacing w:before="35" w:after="0" w:line="240" w:lineRule="auto"/>
      <w:ind w:left="9"/>
      <w:jc w:val="center"/>
    </w:pPr>
    <w:rPr>
      <w:rFonts w:ascii="Times New Roman" w:eastAsia="Times New Roman" w:hAnsi="Times New Roman" w:cs="Times New Roman"/>
      <w:kern w:val="0"/>
      <w:lang w:val="en-US"/>
      <w14:ligatures w14:val="none"/>
    </w:rPr>
  </w:style>
  <w:style w:type="character" w:customStyle="1" w:styleId="Heading6Char">
    <w:name w:val="Heading 6 Char"/>
    <w:basedOn w:val="DefaultParagraphFont"/>
    <w:link w:val="Heading6"/>
    <w:uiPriority w:val="9"/>
    <w:rsid w:val="00540CEF"/>
    <w:rPr>
      <w:rFonts w:ascii="Times New Roman" w:eastAsia="Times New Roman" w:hAnsi="Times New Roman" w:cs="Times New Roman"/>
      <w:b/>
      <w:bCs/>
      <w:kern w:val="0"/>
      <w:sz w:val="24"/>
      <w:szCs w:val="24"/>
      <w:lang w:val="en-US"/>
      <w14:ligatures w14:val="none"/>
    </w:rPr>
  </w:style>
  <w:style w:type="paragraph" w:styleId="Header">
    <w:name w:val="header"/>
    <w:basedOn w:val="Normal"/>
    <w:link w:val="HeaderChar"/>
    <w:uiPriority w:val="99"/>
    <w:unhideWhenUsed/>
    <w:rsid w:val="00281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E8"/>
  </w:style>
  <w:style w:type="paragraph" w:styleId="Footer">
    <w:name w:val="footer"/>
    <w:basedOn w:val="Normal"/>
    <w:link w:val="FooterChar"/>
    <w:uiPriority w:val="99"/>
    <w:unhideWhenUsed/>
    <w:rsid w:val="00281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indiastat.com/"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vikaspedia.i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www.vikaspedi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8</Pages>
  <Words>2261</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Mousmi Syed</dc:creator>
  <cp:keywords/>
  <dc:description/>
  <cp:lastModifiedBy>SDI 1084</cp:lastModifiedBy>
  <cp:revision>46</cp:revision>
  <dcterms:created xsi:type="dcterms:W3CDTF">2024-11-30T04:49:00Z</dcterms:created>
  <dcterms:modified xsi:type="dcterms:W3CDTF">2025-06-18T11:44:00Z</dcterms:modified>
</cp:coreProperties>
</file>