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EADAF" w14:textId="77777777" w:rsidR="00754C9A" w:rsidRDefault="00754C9A" w:rsidP="00441B6F">
      <w:pPr>
        <w:pStyle w:val="Title"/>
        <w:spacing w:after="0"/>
        <w:jc w:val="both"/>
        <w:rPr>
          <w:rFonts w:ascii="Arial" w:hAnsi="Arial" w:cs="Arial"/>
        </w:rPr>
      </w:pPr>
    </w:p>
    <w:p w14:paraId="608A00F1" w14:textId="5BF8FD42" w:rsidR="00163BC4" w:rsidRPr="00163BC4" w:rsidRDefault="009A45CE" w:rsidP="00441B6F">
      <w:pPr>
        <w:pStyle w:val="Author"/>
        <w:spacing w:line="240" w:lineRule="auto"/>
        <w:rPr>
          <w:rFonts w:ascii="Arial" w:hAnsi="Arial" w:cs="Arial"/>
          <w:bCs/>
          <w:iCs/>
          <w:kern w:val="28"/>
          <w:sz w:val="36"/>
        </w:rPr>
      </w:pPr>
      <w:r>
        <w:rPr>
          <w:rFonts w:ascii="Arial" w:hAnsi="Arial" w:cs="Arial"/>
          <w:bCs/>
          <w:iCs/>
          <w:kern w:val="28"/>
          <w:sz w:val="36"/>
        </w:rPr>
        <w:t xml:space="preserve">A Comparison of SARIMA and Holt-Winters Models </w:t>
      </w:r>
      <w:r w:rsidR="00632BAA">
        <w:rPr>
          <w:rFonts w:ascii="Arial" w:hAnsi="Arial" w:cs="Arial"/>
          <w:bCs/>
          <w:iCs/>
          <w:kern w:val="28"/>
          <w:sz w:val="36"/>
        </w:rPr>
        <w:t>in</w:t>
      </w:r>
      <w:r>
        <w:rPr>
          <w:rFonts w:ascii="Arial" w:hAnsi="Arial" w:cs="Arial"/>
          <w:bCs/>
          <w:iCs/>
          <w:kern w:val="28"/>
          <w:sz w:val="36"/>
        </w:rPr>
        <w:t xml:space="preserve"> Forecasting</w:t>
      </w:r>
      <w:r w:rsidR="0071022C">
        <w:rPr>
          <w:rFonts w:ascii="Arial" w:hAnsi="Arial" w:cs="Arial"/>
          <w:bCs/>
          <w:iCs/>
          <w:kern w:val="28"/>
          <w:sz w:val="36"/>
        </w:rPr>
        <w:t xml:space="preserve"> Motor Insurance</w:t>
      </w:r>
      <w:r w:rsidR="00632BAA">
        <w:rPr>
          <w:rFonts w:ascii="Arial" w:hAnsi="Arial" w:cs="Arial"/>
          <w:bCs/>
          <w:iCs/>
          <w:kern w:val="28"/>
          <w:sz w:val="36"/>
        </w:rPr>
        <w:t xml:space="preserve"> Claims</w:t>
      </w:r>
      <w:r w:rsidR="0071022C">
        <w:rPr>
          <w:rFonts w:ascii="Arial" w:hAnsi="Arial" w:cs="Arial"/>
          <w:bCs/>
          <w:iCs/>
          <w:kern w:val="28"/>
          <w:sz w:val="36"/>
        </w:rPr>
        <w:t>:</w:t>
      </w:r>
      <w:r w:rsidR="00E93AA2">
        <w:rPr>
          <w:rFonts w:ascii="Arial" w:hAnsi="Arial" w:cs="Arial"/>
          <w:bCs/>
          <w:iCs/>
          <w:kern w:val="28"/>
          <w:sz w:val="36"/>
        </w:rPr>
        <w:t xml:space="preserve"> </w:t>
      </w:r>
      <w:r>
        <w:rPr>
          <w:rFonts w:ascii="Arial" w:hAnsi="Arial" w:cs="Arial"/>
          <w:bCs/>
          <w:iCs/>
          <w:kern w:val="28"/>
          <w:sz w:val="36"/>
        </w:rPr>
        <w:t>A Case Study of Kenya</w:t>
      </w:r>
    </w:p>
    <w:p w14:paraId="29530CD2" w14:textId="77777777" w:rsidR="00A258C3" w:rsidRPr="00790ADA" w:rsidRDefault="00A258C3" w:rsidP="00441B6F">
      <w:pPr>
        <w:pStyle w:val="Author"/>
        <w:spacing w:line="240" w:lineRule="auto"/>
        <w:jc w:val="both"/>
        <w:rPr>
          <w:rFonts w:ascii="Arial" w:hAnsi="Arial" w:cs="Arial"/>
          <w:sz w:val="36"/>
        </w:rPr>
      </w:pPr>
    </w:p>
    <w:p w14:paraId="675595B7" w14:textId="77777777" w:rsidR="00790ADA" w:rsidRDefault="00790ADA" w:rsidP="00441B6F">
      <w:pPr>
        <w:pStyle w:val="Affiliation"/>
        <w:spacing w:after="0" w:line="240" w:lineRule="auto"/>
        <w:jc w:val="both"/>
        <w:rPr>
          <w:rFonts w:ascii="Arial" w:hAnsi="Arial" w:cs="Arial"/>
        </w:rPr>
      </w:pPr>
    </w:p>
    <w:p w14:paraId="595D6D63" w14:textId="77777777" w:rsidR="002C57D2" w:rsidRPr="00FB3A86" w:rsidRDefault="002C57D2" w:rsidP="00441B6F">
      <w:pPr>
        <w:pStyle w:val="Affiliation"/>
        <w:spacing w:after="0" w:line="240" w:lineRule="auto"/>
        <w:jc w:val="both"/>
        <w:rPr>
          <w:rFonts w:ascii="Arial" w:hAnsi="Arial" w:cs="Arial"/>
        </w:rPr>
      </w:pPr>
    </w:p>
    <w:p w14:paraId="703A5BFC" w14:textId="77777777" w:rsidR="00B01FCD" w:rsidRPr="00FB3A86" w:rsidRDefault="00DB68FD" w:rsidP="00441B6F">
      <w:pPr>
        <w:pStyle w:val="Copyright"/>
        <w:spacing w:after="0" w:line="240" w:lineRule="auto"/>
        <w:jc w:val="both"/>
        <w:rPr>
          <w:rFonts w:ascii="Arial" w:hAnsi="Arial" w:cs="Arial"/>
        </w:rPr>
        <w:sectPr w:rsidR="00B01FCD" w:rsidRPr="00FB3A86" w:rsidSect="00617A0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F822932" wp14:editId="4F734A31">
                <wp:extent cx="5303520" cy="635"/>
                <wp:effectExtent l="15240" t="15240" r="15240" b="13335"/>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08A953B" id="_x0000_t32" coordsize="21600,21600" o:spt="32" o:oned="t" path="m,l21600,21600e" filled="f">
                <v:path arrowok="t" fillok="f" o:connecttype="none"/>
                <o:lock v:ext="edit" shapetype="t"/>
              </v:shapetype>
              <v:shape id="AutoShape 4"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9HgIAADw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igP4xmMKyCqUlsbGqRH9WqeNf3ukNJVR1TLY/DbyUBuFjKSdynh4gwU2Q1fNIMYAvhx&#10;VsfG9gESpoCOUZLTTRJ+9IjCx9k0nc4moBy9+hJSXBONdf4z1z0KRomdt0S0na+0UiC8tlksQw7P&#10;zgdapLgmhKpKb4SUUX+p0ADcF+ksjRlOS8GCN8Q52+4qadGBhBWKv9gkeO7DrN4rFtE6Ttj6Ynsi&#10;5NmG6lIFPOgM+Fys8478WKSL9Xw9z0f55GE9ytO6Hj1tqnz0sMk+zeppXVV19jNQy/KiE4xxFdhd&#10;9zXL/24fLi/nvGm3jb3NIXmPHgcGZK//kXSUNqh53oudZqetvUoOKxqDL88pvIH7O9j3j371Cw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D/A+9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09E7B767"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1973B0C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0158D320" w14:textId="77777777" w:rsidTr="001E44FE">
        <w:tc>
          <w:tcPr>
            <w:tcW w:w="9576" w:type="dxa"/>
            <w:shd w:val="clear" w:color="auto" w:fill="F2F2F2"/>
          </w:tcPr>
          <w:p w14:paraId="06518B47" w14:textId="77777777" w:rsidR="00505F06" w:rsidRPr="00036F8A" w:rsidRDefault="003E756B" w:rsidP="00036F8A">
            <w:pPr>
              <w:spacing w:after="200"/>
              <w:rPr>
                <w:rFonts w:ascii="Arial" w:eastAsia="MS Mincho" w:hAnsi="Arial" w:cs="Arial"/>
              </w:rPr>
            </w:pPr>
            <w:r w:rsidRPr="00036F8A">
              <w:rPr>
                <w:rFonts w:ascii="Arial" w:eastAsia="MS Mincho" w:hAnsi="Arial" w:cs="Arial"/>
              </w:rPr>
              <w:t>This paper compared two time series, the SARIMA and Holt-Winters multiplicative models, in the context of forecasting Kenya's motor insurance claims. Secondary data was sourced from the Insurance Regulatory Authority (IRA). The time series plot showed seasonality in the data, making it necessary to use models that capture seasonal components. The SARIMA (1, 1,</w:t>
            </w:r>
            <w:proofErr w:type="gramStart"/>
            <w:r w:rsidRPr="00036F8A">
              <w:rPr>
                <w:rFonts w:ascii="Arial" w:eastAsia="MS Mincho" w:hAnsi="Arial" w:cs="Arial"/>
              </w:rPr>
              <w:t>0)(</w:t>
            </w:r>
            <w:proofErr w:type="gramEnd"/>
            <w:r w:rsidRPr="00036F8A">
              <w:rPr>
                <w:rFonts w:ascii="Arial" w:eastAsia="MS Mincho" w:hAnsi="Arial" w:cs="Arial"/>
              </w:rPr>
              <w:t>0,1,0)[4] model and the Holt-Winters multiplicative model with parameters α = 0.70, β = 0.10, and γ = 0.01 were selected as optimal models for forecasting</w:t>
            </w:r>
            <w:r w:rsidR="00884111">
              <w:rPr>
                <w:rFonts w:ascii="Arial" w:eastAsia="MS Mincho" w:hAnsi="Arial" w:cs="Arial"/>
              </w:rPr>
              <w:t>. Upon fitting the two models with</w:t>
            </w:r>
            <w:r w:rsidRPr="00036F8A">
              <w:rPr>
                <w:rFonts w:ascii="Arial" w:eastAsia="MS Mincho" w:hAnsi="Arial" w:cs="Arial"/>
              </w:rPr>
              <w:t xml:space="preserve"> the underlying data, graphical results showed that both aligned clo</w:t>
            </w:r>
            <w:r w:rsidR="00554105">
              <w:rPr>
                <w:rFonts w:ascii="Arial" w:eastAsia="MS Mincho" w:hAnsi="Arial" w:cs="Arial"/>
              </w:rPr>
              <w:t>sely with the actual claims</w:t>
            </w:r>
            <w:r w:rsidRPr="00036F8A">
              <w:rPr>
                <w:rFonts w:ascii="Arial" w:eastAsia="MS Mincho" w:hAnsi="Arial" w:cs="Arial"/>
              </w:rPr>
              <w:t>, effectively capturing the seasonal and trend components present in the data. However, to supplement the visual analysis, further evaluation using RMSE, MAE, and MAPE was conducted. The results revealed that the Holt-Winters multiplicative model achieved lower values in all three metrics, indicating superior predictive performance. While the Holt-Winters model outperformed SARIMA, the SARIMA model nonetheless delivered satisfactory results and still can be considered as its suitable alternative.</w:t>
            </w:r>
          </w:p>
        </w:tc>
      </w:tr>
    </w:tbl>
    <w:p w14:paraId="47A82C2B" w14:textId="77777777" w:rsidR="00636EB2" w:rsidRDefault="00636EB2" w:rsidP="00441B6F">
      <w:pPr>
        <w:pStyle w:val="Body"/>
        <w:spacing w:after="0"/>
        <w:rPr>
          <w:rFonts w:ascii="Arial" w:hAnsi="Arial" w:cs="Arial"/>
          <w:i/>
        </w:rPr>
      </w:pPr>
    </w:p>
    <w:p w14:paraId="19B35AA5" w14:textId="77777777" w:rsidR="00505F06" w:rsidRDefault="00A24E7E" w:rsidP="00441B6F">
      <w:pPr>
        <w:pStyle w:val="Body"/>
        <w:spacing w:after="0"/>
        <w:rPr>
          <w:rFonts w:ascii="Arial" w:hAnsi="Arial" w:cs="Arial"/>
          <w:i/>
        </w:rPr>
      </w:pPr>
      <w:r>
        <w:rPr>
          <w:rFonts w:ascii="Arial" w:hAnsi="Arial" w:cs="Arial"/>
          <w:i/>
        </w:rPr>
        <w:t xml:space="preserve">Keywords: </w:t>
      </w:r>
      <w:r w:rsidR="001B3998">
        <w:rPr>
          <w:rFonts w:ascii="Arial" w:hAnsi="Arial" w:cs="Arial"/>
          <w:i/>
        </w:rPr>
        <w:t xml:space="preserve">SARIMA, Holt-Winters, Forecasting, Insurance Claims. </w:t>
      </w:r>
    </w:p>
    <w:p w14:paraId="10A935E6" w14:textId="77777777" w:rsidR="001B3998" w:rsidRPr="00A24E7E" w:rsidRDefault="001B3998" w:rsidP="00441B6F">
      <w:pPr>
        <w:pStyle w:val="Body"/>
        <w:spacing w:after="0"/>
        <w:rPr>
          <w:rFonts w:ascii="Arial" w:hAnsi="Arial" w:cs="Arial"/>
          <w:i/>
        </w:rPr>
      </w:pPr>
    </w:p>
    <w:p w14:paraId="468576BF"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1B3998">
        <w:rPr>
          <w:rFonts w:ascii="Arial" w:hAnsi="Arial" w:cs="Arial"/>
        </w:rPr>
        <w:t xml:space="preserve"> </w:t>
      </w:r>
    </w:p>
    <w:p w14:paraId="09294E17" w14:textId="77777777" w:rsidR="00790ADA" w:rsidRPr="00FB3A86" w:rsidRDefault="00790ADA" w:rsidP="00441B6F">
      <w:pPr>
        <w:pStyle w:val="AbstHead"/>
        <w:spacing w:after="0"/>
        <w:jc w:val="both"/>
        <w:rPr>
          <w:rFonts w:ascii="Arial" w:hAnsi="Arial" w:cs="Arial"/>
        </w:rPr>
      </w:pPr>
    </w:p>
    <w:p w14:paraId="10A56D86" w14:textId="77777777" w:rsidR="00036F8A" w:rsidRDefault="00036F8A" w:rsidP="00036F8A">
      <w:pPr>
        <w:rPr>
          <w:rFonts w:ascii="Arial" w:hAnsi="Arial" w:cs="Arial"/>
        </w:rPr>
      </w:pPr>
      <w:r w:rsidRPr="00036F8A">
        <w:rPr>
          <w:rFonts w:ascii="Arial" w:hAnsi="Arial" w:cs="Arial"/>
        </w:rPr>
        <w:t xml:space="preserve">Claims play one of the major roles in the insurance industry.  An insurer is obliged to reimburse any valid claim.  Thus, it is necessary that insurance companies have a good understanding of the amounts of claims they should anticipate. This is especially true for the motor insurance class of business which typically experiences a high frequency and volume of claims. </w:t>
      </w:r>
    </w:p>
    <w:p w14:paraId="356764C1" w14:textId="77777777" w:rsidR="009B1811" w:rsidRPr="00036F8A" w:rsidRDefault="009B1811" w:rsidP="00036F8A">
      <w:pPr>
        <w:rPr>
          <w:rFonts w:ascii="Arial" w:hAnsi="Arial" w:cs="Arial"/>
        </w:rPr>
      </w:pPr>
    </w:p>
    <w:p w14:paraId="5A9106FF" w14:textId="77777777" w:rsidR="00036F8A" w:rsidRDefault="00036F8A" w:rsidP="00036F8A">
      <w:pPr>
        <w:rPr>
          <w:rFonts w:ascii="Times New Roman" w:hAnsi="Times New Roman"/>
          <w:sz w:val="24"/>
          <w:szCs w:val="24"/>
        </w:rPr>
      </w:pPr>
      <w:r w:rsidRPr="00036F8A">
        <w:rPr>
          <w:rFonts w:ascii="Arial" w:hAnsi="Arial" w:cs="Arial"/>
        </w:rPr>
        <w:t>Without reliable forecasts, insurance providers may either under-reserve or over-reserve, leading to insufficient capital allocation. Insurers need to leverage more reliable forecasting methods.  Generally, many forecasting techniques exist among which we get the SARIMA and Holt-Winters. These two machine algorithms are not only more accurate but also suitable for handling seasonal data. This article compares the two models in the context of the Kenyan motor industry. Main</w:t>
      </w:r>
      <w:r w:rsidR="00046C10">
        <w:rPr>
          <w:rFonts w:ascii="Arial" w:hAnsi="Arial" w:cs="Arial"/>
        </w:rPr>
        <w:t>ly, the study tries to find out</w:t>
      </w:r>
      <w:r w:rsidRPr="00036F8A">
        <w:rPr>
          <w:rFonts w:ascii="Arial" w:hAnsi="Arial" w:cs="Arial"/>
        </w:rPr>
        <w:t xml:space="preserve"> the most accurate model to anticipate seasonal claims</w:t>
      </w:r>
      <w:r>
        <w:rPr>
          <w:rFonts w:ascii="Times New Roman" w:hAnsi="Times New Roman"/>
          <w:sz w:val="24"/>
          <w:szCs w:val="24"/>
        </w:rPr>
        <w:t xml:space="preserve">. </w:t>
      </w:r>
    </w:p>
    <w:p w14:paraId="08C63809" w14:textId="77777777" w:rsidR="00790ADA" w:rsidRPr="00FB3A86" w:rsidRDefault="00790ADA" w:rsidP="00441B6F">
      <w:pPr>
        <w:pStyle w:val="Body"/>
        <w:spacing w:after="0"/>
        <w:rPr>
          <w:rFonts w:ascii="Arial" w:hAnsi="Arial" w:cs="Arial"/>
        </w:rPr>
      </w:pPr>
    </w:p>
    <w:p w14:paraId="37606B1D" w14:textId="77777777" w:rsidR="009B1811" w:rsidRDefault="00902823" w:rsidP="00441B6F">
      <w:pPr>
        <w:pStyle w:val="AbstHead"/>
        <w:spacing w:after="0"/>
        <w:jc w:val="both"/>
        <w:rPr>
          <w:rFonts w:ascii="Arial" w:hAnsi="Arial" w:cs="Arial"/>
        </w:rPr>
      </w:pPr>
      <w:r>
        <w:rPr>
          <w:rFonts w:ascii="Arial" w:hAnsi="Arial" w:cs="Arial"/>
        </w:rPr>
        <w:t xml:space="preserve">2. </w:t>
      </w:r>
      <w:r w:rsidR="009B1811">
        <w:rPr>
          <w:rFonts w:ascii="Arial" w:hAnsi="Arial" w:cs="Arial"/>
        </w:rPr>
        <w:t>literature review</w:t>
      </w:r>
    </w:p>
    <w:p w14:paraId="08FA1A12" w14:textId="77777777" w:rsidR="009B1811" w:rsidRDefault="009B1811" w:rsidP="00441B6F">
      <w:pPr>
        <w:pStyle w:val="AbstHead"/>
        <w:spacing w:after="0"/>
        <w:jc w:val="both"/>
        <w:rPr>
          <w:rFonts w:ascii="Arial" w:hAnsi="Arial" w:cs="Arial"/>
        </w:rPr>
      </w:pPr>
    </w:p>
    <w:p w14:paraId="7DC6D28B" w14:textId="77777777" w:rsidR="009B1811" w:rsidRDefault="009B1811" w:rsidP="009B1811">
      <w:pPr>
        <w:rPr>
          <w:rFonts w:ascii="Arial" w:hAnsi="Arial" w:cs="Arial"/>
        </w:rPr>
      </w:pPr>
      <w:r w:rsidRPr="009B1811">
        <w:rPr>
          <w:rFonts w:ascii="Arial" w:hAnsi="Arial" w:cs="Arial"/>
        </w:rPr>
        <w:t>The development of time series forecasting models has risen significantly over the last century, with key contributions from scholars aiming to improve prediction accuracy.</w:t>
      </w:r>
    </w:p>
    <w:p w14:paraId="4F880C91" w14:textId="77777777" w:rsidR="009B1811" w:rsidRPr="009B1811" w:rsidRDefault="009B1811" w:rsidP="009B1811">
      <w:pPr>
        <w:rPr>
          <w:rFonts w:ascii="Arial" w:hAnsi="Arial" w:cs="Arial"/>
        </w:rPr>
      </w:pPr>
    </w:p>
    <w:p w14:paraId="3156EA12" w14:textId="77777777" w:rsidR="009B1811" w:rsidRPr="009B1811" w:rsidRDefault="009B1811" w:rsidP="009B1811">
      <w:pPr>
        <w:rPr>
          <w:rFonts w:ascii="Arial" w:hAnsi="Arial" w:cs="Arial"/>
        </w:rPr>
      </w:pPr>
      <w:r w:rsidRPr="009B1811">
        <w:rPr>
          <w:rFonts w:ascii="Arial" w:hAnsi="Arial" w:cs="Arial"/>
        </w:rPr>
        <w:t xml:space="preserve">While SARIMA dates its origin in the 1970s, it gained popularity in the 1980s. George Box and Gwilym laid out structured and practical methods of implementing ARIMA models. Because of seasonality in many real-world data, the model morphed into SARIMA. </w:t>
      </w:r>
    </w:p>
    <w:p w14:paraId="6E5E94BF" w14:textId="77777777" w:rsidR="009B1811" w:rsidRDefault="009B1811" w:rsidP="009B1811">
      <w:pPr>
        <w:rPr>
          <w:rFonts w:ascii="Arial" w:hAnsi="Arial" w:cs="Arial"/>
        </w:rPr>
      </w:pPr>
    </w:p>
    <w:p w14:paraId="3D7D45EB" w14:textId="77777777" w:rsidR="009B1811" w:rsidRPr="009B1811" w:rsidRDefault="009B1811" w:rsidP="009B1811">
      <w:pPr>
        <w:rPr>
          <w:rFonts w:ascii="Arial" w:hAnsi="Arial" w:cs="Arial"/>
        </w:rPr>
      </w:pPr>
      <w:r w:rsidRPr="009B1811">
        <w:rPr>
          <w:rFonts w:ascii="Arial" w:hAnsi="Arial" w:cs="Arial"/>
        </w:rPr>
        <w:lastRenderedPageBreak/>
        <w:t>Holt-Winters on the other hand is a time series model that was developed in the mid-20</w:t>
      </w:r>
      <w:r w:rsidRPr="009B1811">
        <w:rPr>
          <w:rFonts w:ascii="Arial" w:hAnsi="Arial" w:cs="Arial"/>
          <w:vertAlign w:val="superscript"/>
        </w:rPr>
        <w:t>th</w:t>
      </w:r>
      <w:r w:rsidRPr="009B1811">
        <w:rPr>
          <w:rFonts w:ascii="Arial" w:hAnsi="Arial" w:cs="Arial"/>
        </w:rPr>
        <w:t xml:space="preserve"> century to capture seasonality in the data. This technique is founded on the principles of exponential smoothing that incorporate components such as trend, seasonality, and level. </w:t>
      </w:r>
    </w:p>
    <w:p w14:paraId="09F01CD2" w14:textId="77777777" w:rsidR="009B1811" w:rsidRDefault="009B1811" w:rsidP="009B1811">
      <w:pPr>
        <w:rPr>
          <w:rFonts w:ascii="Arial" w:hAnsi="Arial" w:cs="Arial"/>
        </w:rPr>
      </w:pPr>
      <w:r w:rsidRPr="009B1811">
        <w:rPr>
          <w:rFonts w:ascii="Arial" w:hAnsi="Arial" w:cs="Arial"/>
        </w:rPr>
        <w:t xml:space="preserve">Since the two modeling techniques handle data with seasonality, various studies have been conducted in the insurance industry to compare their performances. </w:t>
      </w:r>
    </w:p>
    <w:p w14:paraId="5B8E4C99" w14:textId="77777777" w:rsidR="009B1811" w:rsidRPr="009B1811" w:rsidRDefault="009B1811" w:rsidP="009B1811">
      <w:pPr>
        <w:rPr>
          <w:rFonts w:ascii="Arial" w:hAnsi="Arial" w:cs="Arial"/>
        </w:rPr>
      </w:pPr>
    </w:p>
    <w:p w14:paraId="7D1D7F24" w14:textId="77777777" w:rsidR="009B1811" w:rsidRDefault="009B1811" w:rsidP="009B1811">
      <w:pPr>
        <w:rPr>
          <w:rFonts w:ascii="Arial" w:hAnsi="Arial" w:cs="Arial"/>
        </w:rPr>
      </w:pPr>
      <w:r w:rsidRPr="009B1811">
        <w:rPr>
          <w:rFonts w:ascii="Arial" w:hAnsi="Arial" w:cs="Arial"/>
        </w:rPr>
        <w:t>First, Pires et. at (2022) modelled monthly time series data using SARIMA and Holt-Winters techniques for claim frequencies of home insurance data. The study compared the performance of the two models using metrics such as MSE, MAPE, and RSME. The results demonstrated that SARIMA was more superior. Still, with good performance, the Holt-Winters could also be considered a possible alternative.</w:t>
      </w:r>
    </w:p>
    <w:p w14:paraId="6FA3880E" w14:textId="77777777" w:rsidR="009B1811" w:rsidRPr="009B1811" w:rsidRDefault="009B1811" w:rsidP="009B1811">
      <w:pPr>
        <w:rPr>
          <w:rFonts w:ascii="Arial" w:hAnsi="Arial" w:cs="Arial"/>
        </w:rPr>
      </w:pPr>
    </w:p>
    <w:p w14:paraId="6FA76437" w14:textId="77777777" w:rsidR="009B1811" w:rsidRDefault="009B1811" w:rsidP="009B1811">
      <w:pPr>
        <w:rPr>
          <w:rFonts w:ascii="Arial" w:hAnsi="Arial" w:cs="Arial"/>
        </w:rPr>
      </w:pPr>
      <w:r w:rsidRPr="009B1811">
        <w:rPr>
          <w:rFonts w:ascii="Arial" w:hAnsi="Arial" w:cs="Arial"/>
        </w:rPr>
        <w:t xml:space="preserve">According to Kopani and Kopani (2025), SARIMA outperforms Holt-Winters in predicting Albania’s life insurance premiums </w:t>
      </w:r>
      <w:r w:rsidR="00EF2A0E">
        <w:rPr>
          <w:rFonts w:ascii="Arial" w:hAnsi="Arial" w:cs="Arial"/>
        </w:rPr>
        <w:t xml:space="preserve">for long-term accuracy </w:t>
      </w:r>
      <w:r w:rsidR="003B1D11">
        <w:rPr>
          <w:rFonts w:ascii="Arial" w:hAnsi="Arial" w:cs="Arial"/>
        </w:rPr>
        <w:t>while Holt</w:t>
      </w:r>
      <w:r w:rsidRPr="009B1811">
        <w:rPr>
          <w:rFonts w:ascii="Arial" w:hAnsi="Arial" w:cs="Arial"/>
        </w:rPr>
        <w:t xml:space="preserve">-Winters did pretty well on short-term projections.  The research highlighted the importance of aligning forecasting methods with the specific goals of the insurance companies.  </w:t>
      </w:r>
    </w:p>
    <w:p w14:paraId="03BC77D0" w14:textId="77777777" w:rsidR="009B1811" w:rsidRPr="009B1811" w:rsidRDefault="009B1811" w:rsidP="009B1811">
      <w:pPr>
        <w:rPr>
          <w:rFonts w:ascii="Arial" w:hAnsi="Arial" w:cs="Arial"/>
        </w:rPr>
      </w:pPr>
    </w:p>
    <w:p w14:paraId="704D1457" w14:textId="77777777" w:rsidR="009B1811" w:rsidRDefault="009B1811" w:rsidP="009B1811">
      <w:pPr>
        <w:rPr>
          <w:rFonts w:ascii="Arial" w:hAnsi="Arial" w:cs="Arial"/>
        </w:rPr>
      </w:pPr>
      <w:proofErr w:type="spellStart"/>
      <w:r w:rsidRPr="009B1811">
        <w:rPr>
          <w:rFonts w:ascii="Arial" w:hAnsi="Arial" w:cs="Arial"/>
        </w:rPr>
        <w:t>Peovski</w:t>
      </w:r>
      <w:proofErr w:type="spellEnd"/>
      <w:r w:rsidRPr="009B1811">
        <w:rPr>
          <w:rFonts w:ascii="Arial" w:hAnsi="Arial" w:cs="Arial"/>
        </w:rPr>
        <w:t xml:space="preserve"> &amp; </w:t>
      </w:r>
      <w:proofErr w:type="spellStart"/>
      <w:r w:rsidRPr="009B1811">
        <w:rPr>
          <w:rFonts w:ascii="Arial" w:hAnsi="Arial" w:cs="Arial"/>
        </w:rPr>
        <w:t>Ivanovksi</w:t>
      </w:r>
      <w:proofErr w:type="spellEnd"/>
      <w:r w:rsidRPr="009B1811">
        <w:rPr>
          <w:rFonts w:ascii="Arial" w:hAnsi="Arial" w:cs="Arial"/>
        </w:rPr>
        <w:t xml:space="preserve"> (2024) carried out another research using non-life insurance data-including claims. They realized that SARIMA still outdoes Holt-Winters in several statistical metrics. Although the latter could occasionally produce better results, SARIMA demonstrated overall superiority in the test period. </w:t>
      </w:r>
    </w:p>
    <w:p w14:paraId="58124D22" w14:textId="77777777" w:rsidR="009B1811" w:rsidRPr="009B1811" w:rsidRDefault="009B1811" w:rsidP="009B1811">
      <w:pPr>
        <w:rPr>
          <w:rFonts w:ascii="Arial" w:hAnsi="Arial" w:cs="Arial"/>
        </w:rPr>
      </w:pPr>
    </w:p>
    <w:p w14:paraId="5125F12F" w14:textId="77777777" w:rsidR="009B1811" w:rsidRDefault="009B1811" w:rsidP="009B1811">
      <w:pPr>
        <w:rPr>
          <w:rFonts w:ascii="Times New Roman" w:hAnsi="Times New Roman"/>
          <w:sz w:val="24"/>
          <w:szCs w:val="24"/>
        </w:rPr>
      </w:pPr>
      <w:r w:rsidRPr="009B1811">
        <w:rPr>
          <w:rFonts w:ascii="Arial" w:hAnsi="Arial" w:cs="Arial"/>
        </w:rPr>
        <w:t xml:space="preserve">In Kenya, only a few studies such as the one by Rotich and </w:t>
      </w:r>
      <w:proofErr w:type="spellStart"/>
      <w:r w:rsidRPr="009B1811">
        <w:rPr>
          <w:rFonts w:ascii="Arial" w:hAnsi="Arial" w:cs="Arial"/>
        </w:rPr>
        <w:t>Apaka</w:t>
      </w:r>
      <w:proofErr w:type="spellEnd"/>
      <w:r w:rsidRPr="009B1811">
        <w:rPr>
          <w:rFonts w:ascii="Arial" w:hAnsi="Arial" w:cs="Arial"/>
        </w:rPr>
        <w:t xml:space="preserve"> (2025) have applied seasonal time series models such as SARIMA to model motor insurance data; however, comparative examination wi</w:t>
      </w:r>
      <w:r w:rsidR="003B1D11">
        <w:rPr>
          <w:rFonts w:ascii="Arial" w:hAnsi="Arial" w:cs="Arial"/>
        </w:rPr>
        <w:t xml:space="preserve">th Holt-winters remains </w:t>
      </w:r>
      <w:proofErr w:type="spellStart"/>
      <w:proofErr w:type="gramStart"/>
      <w:r w:rsidR="003B1D11">
        <w:rPr>
          <w:rFonts w:ascii="Arial" w:hAnsi="Arial" w:cs="Arial"/>
        </w:rPr>
        <w:t>scanty.</w:t>
      </w:r>
      <w:r w:rsidRPr="009B1811">
        <w:rPr>
          <w:rFonts w:ascii="Arial" w:hAnsi="Arial" w:cs="Arial"/>
        </w:rPr>
        <w:t>The</w:t>
      </w:r>
      <w:proofErr w:type="spellEnd"/>
      <w:proofErr w:type="gramEnd"/>
      <w:r w:rsidRPr="009B1811">
        <w:rPr>
          <w:rFonts w:ascii="Arial" w:hAnsi="Arial" w:cs="Arial"/>
        </w:rPr>
        <w:t xml:space="preserve"> research bridges this gap by evaluating the accuracy of the two models in forecasting Kenya’s motor insurance claims</w:t>
      </w:r>
      <w:r>
        <w:rPr>
          <w:rFonts w:ascii="Times New Roman" w:hAnsi="Times New Roman"/>
          <w:sz w:val="24"/>
          <w:szCs w:val="24"/>
        </w:rPr>
        <w:t xml:space="preserve">. </w:t>
      </w:r>
    </w:p>
    <w:p w14:paraId="37A27E21" w14:textId="77777777" w:rsidR="009B1811" w:rsidRDefault="009B1811" w:rsidP="00441B6F">
      <w:pPr>
        <w:pStyle w:val="AbstHead"/>
        <w:spacing w:after="0"/>
        <w:jc w:val="both"/>
        <w:rPr>
          <w:rFonts w:ascii="Arial" w:hAnsi="Arial" w:cs="Arial"/>
        </w:rPr>
      </w:pPr>
    </w:p>
    <w:p w14:paraId="6FCD7A99" w14:textId="77777777" w:rsidR="007F7B32" w:rsidRDefault="009B1811" w:rsidP="00441B6F">
      <w:pPr>
        <w:pStyle w:val="AbstHead"/>
        <w:spacing w:after="0"/>
        <w:jc w:val="both"/>
        <w:rPr>
          <w:rFonts w:ascii="Arial" w:hAnsi="Arial" w:cs="Arial"/>
        </w:rPr>
      </w:pPr>
      <w:r>
        <w:rPr>
          <w:rFonts w:ascii="Arial" w:hAnsi="Arial" w:cs="Arial"/>
        </w:rPr>
        <w:t>3.</w:t>
      </w:r>
      <w:r w:rsidR="006B57D0">
        <w:rPr>
          <w:rFonts w:ascii="Arial" w:hAnsi="Arial" w:cs="Arial"/>
        </w:rPr>
        <w:t xml:space="preserve"> methodology</w:t>
      </w:r>
      <w:r w:rsidR="00EE5355">
        <w:rPr>
          <w:rFonts w:ascii="Arial" w:hAnsi="Arial" w:cs="Arial"/>
        </w:rPr>
        <w:t xml:space="preserve"> </w:t>
      </w:r>
    </w:p>
    <w:p w14:paraId="38E52BC7" w14:textId="77777777" w:rsidR="00790ADA" w:rsidRPr="00FB3A86" w:rsidRDefault="00790ADA" w:rsidP="00441B6F">
      <w:pPr>
        <w:pStyle w:val="AbstHead"/>
        <w:spacing w:after="0"/>
        <w:jc w:val="both"/>
        <w:rPr>
          <w:rFonts w:ascii="Arial" w:hAnsi="Arial" w:cs="Arial"/>
        </w:rPr>
      </w:pPr>
    </w:p>
    <w:p w14:paraId="4ACD5639" w14:textId="77777777" w:rsidR="009F48B8" w:rsidRPr="009F48B8" w:rsidRDefault="009F48B8" w:rsidP="009F48B8">
      <w:pPr>
        <w:rPr>
          <w:rFonts w:ascii="Arial" w:hAnsi="Arial" w:cs="Arial"/>
          <w:b/>
          <w:sz w:val="22"/>
          <w:szCs w:val="22"/>
        </w:rPr>
      </w:pPr>
      <w:r w:rsidRPr="009F48B8">
        <w:rPr>
          <w:rFonts w:ascii="Arial" w:hAnsi="Arial" w:cs="Arial"/>
          <w:b/>
          <w:sz w:val="22"/>
          <w:szCs w:val="22"/>
        </w:rPr>
        <w:t>3.1 Data description</w:t>
      </w:r>
    </w:p>
    <w:p w14:paraId="427195E2" w14:textId="77777777" w:rsidR="009F48B8" w:rsidRDefault="009F48B8" w:rsidP="009F48B8">
      <w:pPr>
        <w:rPr>
          <w:rFonts w:ascii="Times New Roman" w:hAnsi="Times New Roman"/>
          <w:sz w:val="24"/>
          <w:szCs w:val="24"/>
        </w:rPr>
      </w:pPr>
      <w:r>
        <w:rPr>
          <w:rFonts w:ascii="Times New Roman" w:hAnsi="Times New Roman"/>
          <w:sz w:val="24"/>
          <w:szCs w:val="24"/>
        </w:rPr>
        <w:t xml:space="preserve">Secondary data from the Insurance Regulatory Authority of Kenya is used in the analysis of the study. In specific, motor insurance claims are extracted from 2017-2024 and modelled using SARIMA and Holt-Winters. </w:t>
      </w:r>
    </w:p>
    <w:p w14:paraId="1A8FDC64" w14:textId="77777777" w:rsidR="009F48B8" w:rsidRPr="009F48B8" w:rsidRDefault="009F48B8" w:rsidP="009F48B8">
      <w:pPr>
        <w:rPr>
          <w:rFonts w:ascii="Arial" w:hAnsi="Arial" w:cs="Arial"/>
          <w:b/>
          <w:bCs/>
          <w:sz w:val="22"/>
          <w:szCs w:val="22"/>
        </w:rPr>
      </w:pPr>
      <w:r w:rsidRPr="009F48B8">
        <w:rPr>
          <w:rFonts w:ascii="Arial" w:hAnsi="Arial" w:cs="Arial"/>
          <w:b/>
          <w:bCs/>
          <w:sz w:val="22"/>
          <w:szCs w:val="22"/>
        </w:rPr>
        <w:t>3.2 SARIMA Model</w:t>
      </w:r>
    </w:p>
    <w:p w14:paraId="1C06A147" w14:textId="77777777" w:rsidR="009F48B8" w:rsidRPr="009F48B8" w:rsidRDefault="009F48B8" w:rsidP="009F48B8">
      <w:pPr>
        <w:rPr>
          <w:rFonts w:ascii="Arial" w:hAnsi="Arial" w:cs="Arial"/>
        </w:rPr>
      </w:pPr>
      <w:r w:rsidRPr="009F48B8">
        <w:rPr>
          <w:rFonts w:ascii="Arial" w:hAnsi="Arial" w:cs="Arial"/>
        </w:rPr>
        <w:t xml:space="preserve">The SARIMA model is denoted as: </w:t>
      </w:r>
      <w:proofErr w:type="gramStart"/>
      <w:r w:rsidRPr="009F48B8">
        <w:rPr>
          <w:rFonts w:ascii="Arial" w:hAnsi="Arial" w:cs="Arial"/>
          <w:b/>
          <w:bCs/>
          <w:i/>
          <w:iCs/>
        </w:rPr>
        <w:t>SARIMA(</w:t>
      </w:r>
      <w:proofErr w:type="gramEnd"/>
      <w:r w:rsidRPr="009F48B8">
        <w:rPr>
          <w:rFonts w:ascii="Arial" w:hAnsi="Arial" w:cs="Arial"/>
          <w:b/>
          <w:bCs/>
          <w:i/>
          <w:iCs/>
        </w:rPr>
        <w:t>p, d, q)(P, D, Q)s</w:t>
      </w:r>
    </w:p>
    <w:p w14:paraId="4565D611" w14:textId="77777777" w:rsidR="009F48B8" w:rsidRPr="009F48B8" w:rsidRDefault="009F48B8" w:rsidP="009F48B8">
      <w:pPr>
        <w:rPr>
          <w:rFonts w:ascii="Arial" w:hAnsi="Arial" w:cs="Arial"/>
        </w:rPr>
      </w:pPr>
      <w:r w:rsidRPr="009F48B8">
        <w:rPr>
          <w:rFonts w:ascii="Arial" w:hAnsi="Arial" w:cs="Arial"/>
        </w:rPr>
        <w:t>Where:</w:t>
      </w:r>
    </w:p>
    <w:p w14:paraId="6ED229A2" w14:textId="77777777" w:rsidR="009F48B8" w:rsidRPr="009F48B8" w:rsidRDefault="009F48B8" w:rsidP="009F48B8">
      <w:pPr>
        <w:rPr>
          <w:rFonts w:ascii="Arial" w:hAnsi="Arial" w:cs="Arial"/>
        </w:rPr>
      </w:pPr>
      <w:r w:rsidRPr="009F48B8">
        <w:rPr>
          <w:rFonts w:ascii="Arial" w:hAnsi="Arial" w:cs="Arial"/>
        </w:rPr>
        <w:t>- p: AR terms</w:t>
      </w:r>
    </w:p>
    <w:p w14:paraId="0F94156E" w14:textId="77777777" w:rsidR="009F48B8" w:rsidRPr="009F48B8" w:rsidRDefault="009F48B8" w:rsidP="009F48B8">
      <w:pPr>
        <w:rPr>
          <w:rFonts w:ascii="Arial" w:hAnsi="Arial" w:cs="Arial"/>
        </w:rPr>
      </w:pPr>
      <w:r w:rsidRPr="009F48B8">
        <w:rPr>
          <w:rFonts w:ascii="Arial" w:hAnsi="Arial" w:cs="Arial"/>
        </w:rPr>
        <w:t>- d: Non-seasonal differences</w:t>
      </w:r>
    </w:p>
    <w:p w14:paraId="3F06CDE4" w14:textId="77777777" w:rsidR="009F48B8" w:rsidRPr="009F48B8" w:rsidRDefault="009F48B8" w:rsidP="009F48B8">
      <w:pPr>
        <w:rPr>
          <w:rFonts w:ascii="Arial" w:hAnsi="Arial" w:cs="Arial"/>
        </w:rPr>
      </w:pPr>
      <w:r w:rsidRPr="009F48B8">
        <w:rPr>
          <w:rFonts w:ascii="Arial" w:hAnsi="Arial" w:cs="Arial"/>
        </w:rPr>
        <w:t>- q: Lagged forecast errors</w:t>
      </w:r>
    </w:p>
    <w:p w14:paraId="03156EC3" w14:textId="77777777" w:rsidR="009F48B8" w:rsidRPr="009F48B8" w:rsidRDefault="009F48B8" w:rsidP="009F48B8">
      <w:pPr>
        <w:rPr>
          <w:rFonts w:ascii="Arial" w:hAnsi="Arial" w:cs="Arial"/>
        </w:rPr>
      </w:pPr>
      <w:r w:rsidRPr="009F48B8">
        <w:rPr>
          <w:rFonts w:ascii="Arial" w:hAnsi="Arial" w:cs="Arial"/>
        </w:rPr>
        <w:t>- P: Seasonal AR terms</w:t>
      </w:r>
    </w:p>
    <w:p w14:paraId="6846D487" w14:textId="77777777" w:rsidR="009F48B8" w:rsidRPr="009F48B8" w:rsidRDefault="009F48B8" w:rsidP="009F48B8">
      <w:pPr>
        <w:rPr>
          <w:rFonts w:ascii="Arial" w:hAnsi="Arial" w:cs="Arial"/>
        </w:rPr>
      </w:pPr>
      <w:r w:rsidRPr="009F48B8">
        <w:rPr>
          <w:rFonts w:ascii="Arial" w:hAnsi="Arial" w:cs="Arial"/>
        </w:rPr>
        <w:t>- D: Seasonal differences</w:t>
      </w:r>
    </w:p>
    <w:p w14:paraId="005426E6" w14:textId="77777777" w:rsidR="009F48B8" w:rsidRPr="009F48B8" w:rsidRDefault="009F48B8" w:rsidP="009F48B8">
      <w:pPr>
        <w:rPr>
          <w:rFonts w:ascii="Arial" w:hAnsi="Arial" w:cs="Arial"/>
        </w:rPr>
      </w:pPr>
      <w:r w:rsidRPr="009F48B8">
        <w:rPr>
          <w:rFonts w:ascii="Arial" w:hAnsi="Arial" w:cs="Arial"/>
        </w:rPr>
        <w:t>- Q: Seasonal MA terms</w:t>
      </w:r>
    </w:p>
    <w:p w14:paraId="37650698" w14:textId="77777777" w:rsidR="009F48B8" w:rsidRDefault="009F48B8" w:rsidP="009F48B8">
      <w:pPr>
        <w:rPr>
          <w:rFonts w:ascii="Arial" w:hAnsi="Arial" w:cs="Arial"/>
        </w:rPr>
      </w:pPr>
      <w:r w:rsidRPr="009F48B8">
        <w:rPr>
          <w:rFonts w:ascii="Arial" w:hAnsi="Arial" w:cs="Arial"/>
        </w:rPr>
        <w:t>- s: Seasonal cycle</w:t>
      </w:r>
    </w:p>
    <w:p w14:paraId="39BAC22C" w14:textId="77777777" w:rsidR="009F48B8" w:rsidRPr="009F48B8" w:rsidRDefault="009F48B8" w:rsidP="009F48B8">
      <w:pPr>
        <w:rPr>
          <w:rFonts w:ascii="Arial" w:hAnsi="Arial" w:cs="Arial"/>
        </w:rPr>
      </w:pPr>
    </w:p>
    <w:p w14:paraId="4CB7E8C0" w14:textId="77777777" w:rsidR="009F48B8" w:rsidRPr="009F48B8" w:rsidRDefault="009F48B8" w:rsidP="009F48B8">
      <w:pPr>
        <w:rPr>
          <w:rFonts w:ascii="Arial" w:hAnsi="Arial" w:cs="Arial"/>
        </w:rPr>
      </w:pPr>
      <w:r w:rsidRPr="009F48B8">
        <w:rPr>
          <w:rFonts w:ascii="Arial" w:hAnsi="Arial" w:cs="Arial"/>
        </w:rPr>
        <w:t>Its general form is written as:</w:t>
      </w:r>
    </w:p>
    <w:p w14:paraId="4668F4A0" w14:textId="77777777" w:rsidR="009F48B8" w:rsidRDefault="009F48B8" w:rsidP="009F48B8">
      <w:pPr>
        <w:rPr>
          <w:rFonts w:ascii="Arial" w:hAnsi="Arial" w:cs="Arial"/>
        </w:rPr>
      </w:pPr>
      <w:proofErr w:type="spellStart"/>
      <w:r w:rsidRPr="009F48B8">
        <w:rPr>
          <w:rFonts w:ascii="Arial" w:hAnsi="Arial" w:cs="Arial"/>
        </w:rPr>
        <w:t>Φ_p</w:t>
      </w:r>
      <w:proofErr w:type="spellEnd"/>
      <w:r w:rsidRPr="009F48B8">
        <w:rPr>
          <w:rFonts w:ascii="Arial" w:hAnsi="Arial" w:cs="Arial"/>
        </w:rPr>
        <w:t>(B)Φ_P(B^</w:t>
      </w:r>
      <w:proofErr w:type="gramStart"/>
      <w:r w:rsidRPr="009F48B8">
        <w:rPr>
          <w:rFonts w:ascii="Arial" w:hAnsi="Arial" w:cs="Arial"/>
        </w:rPr>
        <w:t>s)(</w:t>
      </w:r>
      <w:proofErr w:type="gramEnd"/>
      <w:r w:rsidRPr="009F48B8">
        <w:rPr>
          <w:rFonts w:ascii="Arial" w:hAnsi="Arial" w:cs="Arial"/>
        </w:rPr>
        <w:t xml:space="preserve">1−B)^d(1−B^s)^D </w:t>
      </w:r>
      <w:proofErr w:type="spellStart"/>
      <w:r w:rsidRPr="009F48B8">
        <w:rPr>
          <w:rFonts w:ascii="Arial" w:hAnsi="Arial" w:cs="Arial"/>
        </w:rPr>
        <w:t>y_t</w:t>
      </w:r>
      <w:proofErr w:type="spellEnd"/>
      <w:r w:rsidRPr="009F48B8">
        <w:rPr>
          <w:rFonts w:ascii="Arial" w:hAnsi="Arial" w:cs="Arial"/>
        </w:rPr>
        <w:t xml:space="preserve"> = </w:t>
      </w:r>
      <w:proofErr w:type="spellStart"/>
      <w:r w:rsidRPr="009F48B8">
        <w:rPr>
          <w:rFonts w:ascii="Arial" w:hAnsi="Arial" w:cs="Arial"/>
        </w:rPr>
        <w:t>Θ_q</w:t>
      </w:r>
      <w:proofErr w:type="spellEnd"/>
      <w:r w:rsidRPr="009F48B8">
        <w:rPr>
          <w:rFonts w:ascii="Arial" w:hAnsi="Arial" w:cs="Arial"/>
        </w:rPr>
        <w:t>(B)Θ_Q(B^s)</w:t>
      </w:r>
      <w:proofErr w:type="spellStart"/>
      <w:r w:rsidRPr="009F48B8">
        <w:rPr>
          <w:rFonts w:ascii="Arial" w:hAnsi="Arial" w:cs="Arial"/>
        </w:rPr>
        <w:t>ε_t</w:t>
      </w:r>
      <w:proofErr w:type="spellEnd"/>
    </w:p>
    <w:p w14:paraId="437D8706" w14:textId="77777777" w:rsidR="009F48B8" w:rsidRPr="009F48B8" w:rsidRDefault="009F48B8" w:rsidP="009F48B8">
      <w:pPr>
        <w:rPr>
          <w:rFonts w:ascii="Arial" w:hAnsi="Arial" w:cs="Arial"/>
        </w:rPr>
      </w:pPr>
    </w:p>
    <w:p w14:paraId="41B1D668" w14:textId="77777777" w:rsidR="009F48B8" w:rsidRPr="009F48B8" w:rsidRDefault="009F48B8" w:rsidP="009F48B8">
      <w:pPr>
        <w:rPr>
          <w:rFonts w:ascii="Arial" w:hAnsi="Arial" w:cs="Arial"/>
        </w:rPr>
      </w:pPr>
      <w:r w:rsidRPr="009F48B8">
        <w:rPr>
          <w:rFonts w:ascii="Arial" w:hAnsi="Arial" w:cs="Arial"/>
        </w:rPr>
        <w:t>Where:</w:t>
      </w:r>
    </w:p>
    <w:p w14:paraId="5E7B3CD4" w14:textId="77777777" w:rsidR="009F48B8" w:rsidRPr="009F48B8" w:rsidRDefault="009F48B8" w:rsidP="009F48B8">
      <w:pPr>
        <w:rPr>
          <w:rFonts w:ascii="Arial" w:hAnsi="Arial" w:cs="Arial"/>
        </w:rPr>
      </w:pPr>
      <w:r w:rsidRPr="009F48B8">
        <w:rPr>
          <w:rFonts w:ascii="Arial" w:hAnsi="Arial" w:cs="Arial"/>
        </w:rPr>
        <w:t xml:space="preserve">- B: Backshift operator </w:t>
      </w:r>
    </w:p>
    <w:p w14:paraId="38D9842E" w14:textId="77777777" w:rsidR="009F48B8" w:rsidRPr="009F48B8" w:rsidRDefault="009F48B8" w:rsidP="009F48B8">
      <w:pPr>
        <w:rPr>
          <w:rFonts w:ascii="Arial" w:hAnsi="Arial" w:cs="Arial"/>
        </w:rPr>
      </w:pPr>
      <w:r w:rsidRPr="009F48B8">
        <w:rPr>
          <w:rFonts w:ascii="Arial" w:hAnsi="Arial" w:cs="Arial"/>
        </w:rPr>
        <w:t xml:space="preserve">- </w:t>
      </w:r>
      <w:proofErr w:type="spellStart"/>
      <w:r w:rsidRPr="009F48B8">
        <w:rPr>
          <w:rFonts w:ascii="Arial" w:hAnsi="Arial" w:cs="Arial"/>
        </w:rPr>
        <w:t>y_t</w:t>
      </w:r>
      <w:proofErr w:type="spellEnd"/>
      <w:r w:rsidRPr="009F48B8">
        <w:rPr>
          <w:rFonts w:ascii="Arial" w:hAnsi="Arial" w:cs="Arial"/>
        </w:rPr>
        <w:t xml:space="preserve"> is the observed value at t</w:t>
      </w:r>
    </w:p>
    <w:p w14:paraId="0BB0B986" w14:textId="77777777" w:rsidR="009F48B8" w:rsidRPr="009F48B8" w:rsidRDefault="009F48B8" w:rsidP="009F48B8">
      <w:pPr>
        <w:rPr>
          <w:rFonts w:ascii="Arial" w:hAnsi="Arial" w:cs="Arial"/>
        </w:rPr>
      </w:pPr>
      <w:r w:rsidRPr="009F48B8">
        <w:rPr>
          <w:rFonts w:ascii="Arial" w:hAnsi="Arial" w:cs="Arial"/>
        </w:rPr>
        <w:t xml:space="preserve">- </w:t>
      </w:r>
      <w:proofErr w:type="spellStart"/>
      <w:r w:rsidRPr="009F48B8">
        <w:rPr>
          <w:rFonts w:ascii="Arial" w:hAnsi="Arial" w:cs="Arial"/>
        </w:rPr>
        <w:t>ε_t</w:t>
      </w:r>
      <w:proofErr w:type="spellEnd"/>
      <w:r w:rsidRPr="009F48B8">
        <w:rPr>
          <w:rFonts w:ascii="Arial" w:hAnsi="Arial" w:cs="Arial"/>
        </w:rPr>
        <w:t xml:space="preserve"> is white noise</w:t>
      </w:r>
    </w:p>
    <w:p w14:paraId="15C9F0DF" w14:textId="77777777" w:rsidR="009F48B8" w:rsidRDefault="009F48B8" w:rsidP="009F48B8">
      <w:pPr>
        <w:rPr>
          <w:rFonts w:ascii="Arial" w:hAnsi="Arial" w:cs="Arial"/>
        </w:rPr>
      </w:pPr>
      <w:r w:rsidRPr="009F48B8">
        <w:rPr>
          <w:rFonts w:ascii="Arial" w:hAnsi="Arial" w:cs="Arial"/>
        </w:rPr>
        <w:t>- Φ and Θ represent polynomials for AR and MA components</w:t>
      </w:r>
    </w:p>
    <w:p w14:paraId="7F2A4E69" w14:textId="77777777" w:rsidR="009F48B8" w:rsidRPr="009F48B8" w:rsidRDefault="009F48B8" w:rsidP="009F48B8">
      <w:pPr>
        <w:rPr>
          <w:rFonts w:ascii="Arial" w:hAnsi="Arial" w:cs="Arial"/>
        </w:rPr>
      </w:pPr>
    </w:p>
    <w:p w14:paraId="150F0337" w14:textId="77777777" w:rsidR="009F48B8" w:rsidRDefault="00C34EEA" w:rsidP="009F48B8">
      <w:pPr>
        <w:rPr>
          <w:rFonts w:ascii="Arial" w:hAnsi="Arial" w:cs="Arial"/>
          <w:b/>
          <w:sz w:val="22"/>
          <w:szCs w:val="22"/>
          <w:u w:val="single"/>
        </w:rPr>
      </w:pPr>
      <w:r w:rsidRPr="00091585">
        <w:rPr>
          <w:rFonts w:ascii="Arial" w:hAnsi="Arial" w:cs="Arial"/>
          <w:b/>
          <w:sz w:val="22"/>
          <w:szCs w:val="22"/>
          <w:u w:val="single"/>
        </w:rPr>
        <w:t xml:space="preserve">3.2.1 </w:t>
      </w:r>
      <w:r w:rsidR="00091585">
        <w:rPr>
          <w:rFonts w:ascii="Arial" w:hAnsi="Arial" w:cs="Arial"/>
          <w:b/>
          <w:sz w:val="22"/>
          <w:szCs w:val="22"/>
          <w:u w:val="single"/>
        </w:rPr>
        <w:t>Assumptions of SARIMA model</w:t>
      </w:r>
    </w:p>
    <w:p w14:paraId="7BFB0C33" w14:textId="77777777" w:rsidR="00091585" w:rsidRPr="00091585" w:rsidRDefault="00091585" w:rsidP="009F48B8">
      <w:pPr>
        <w:rPr>
          <w:rFonts w:ascii="Arial" w:hAnsi="Arial" w:cs="Arial"/>
          <w:b/>
          <w:sz w:val="22"/>
          <w:szCs w:val="22"/>
          <w:u w:val="single"/>
        </w:rPr>
      </w:pPr>
    </w:p>
    <w:p w14:paraId="690FFBB5" w14:textId="77777777" w:rsidR="009F48B8" w:rsidRPr="00091585" w:rsidRDefault="00C34EEA" w:rsidP="009F48B8">
      <w:pPr>
        <w:rPr>
          <w:rFonts w:ascii="Arial" w:hAnsi="Arial" w:cs="Arial"/>
          <w:b/>
          <w:i/>
        </w:rPr>
      </w:pPr>
      <w:r w:rsidRPr="00091585">
        <w:rPr>
          <w:rFonts w:ascii="Arial" w:hAnsi="Arial" w:cs="Arial"/>
          <w:b/>
          <w:i/>
        </w:rPr>
        <w:t xml:space="preserve">3.2.1.1 </w:t>
      </w:r>
      <w:r w:rsidR="009F48B8" w:rsidRPr="00091585">
        <w:rPr>
          <w:rFonts w:ascii="Arial" w:hAnsi="Arial" w:cs="Arial"/>
          <w:b/>
          <w:i/>
        </w:rPr>
        <w:t>Normality</w:t>
      </w:r>
    </w:p>
    <w:p w14:paraId="25384046" w14:textId="77777777" w:rsidR="009F48B8" w:rsidRPr="009F48B8" w:rsidRDefault="009F48B8" w:rsidP="009F48B8">
      <w:pPr>
        <w:rPr>
          <w:rFonts w:ascii="Arial" w:hAnsi="Arial" w:cs="Arial"/>
        </w:rPr>
      </w:pPr>
      <w:r w:rsidRPr="009F48B8">
        <w:rPr>
          <w:rFonts w:ascii="Arial" w:hAnsi="Arial" w:cs="Arial"/>
        </w:rPr>
        <w:t xml:space="preserve">One of the most basic methods of assessing whether the time series is normal is by plotting the histogram. If the data is not normal, then there is a high chance of getting the wrong parameter. </w:t>
      </w:r>
    </w:p>
    <w:p w14:paraId="7A067805" w14:textId="77777777" w:rsidR="009F48B8" w:rsidRPr="00091585" w:rsidRDefault="00C34EEA" w:rsidP="009F48B8">
      <w:pPr>
        <w:tabs>
          <w:tab w:val="left" w:pos="1680"/>
        </w:tabs>
        <w:rPr>
          <w:rFonts w:ascii="Arial" w:hAnsi="Arial" w:cs="Arial"/>
          <w:b/>
          <w:i/>
        </w:rPr>
      </w:pPr>
      <w:r w:rsidRPr="00091585">
        <w:rPr>
          <w:rFonts w:ascii="Arial" w:hAnsi="Arial" w:cs="Arial"/>
          <w:b/>
          <w:i/>
        </w:rPr>
        <w:t xml:space="preserve">3.2.1.2 </w:t>
      </w:r>
      <w:r w:rsidR="009F48B8" w:rsidRPr="00091585">
        <w:rPr>
          <w:rFonts w:ascii="Arial" w:hAnsi="Arial" w:cs="Arial"/>
          <w:b/>
          <w:i/>
        </w:rPr>
        <w:t>Stationarity</w:t>
      </w:r>
      <w:r w:rsidR="009F48B8" w:rsidRPr="00091585">
        <w:rPr>
          <w:rFonts w:ascii="Arial" w:hAnsi="Arial" w:cs="Arial"/>
          <w:b/>
          <w:i/>
        </w:rPr>
        <w:tab/>
      </w:r>
    </w:p>
    <w:p w14:paraId="653759AA" w14:textId="77777777" w:rsidR="009F48B8" w:rsidRPr="009F48B8" w:rsidRDefault="009F48B8" w:rsidP="009F48B8">
      <w:pPr>
        <w:tabs>
          <w:tab w:val="left" w:pos="1680"/>
        </w:tabs>
        <w:rPr>
          <w:rFonts w:ascii="Arial" w:hAnsi="Arial" w:cs="Arial"/>
        </w:rPr>
      </w:pPr>
      <w:r w:rsidRPr="009F48B8">
        <w:rPr>
          <w:rFonts w:ascii="Arial" w:hAnsi="Arial" w:cs="Arial"/>
        </w:rPr>
        <w:t xml:space="preserve">To prevent the researcher from obtaining spurious results, data is assumed to be stationary. This implies that the time series has a constant mean, autocorrelation, and variance.  This assumption can be verified by carrying out the ADF test. Usually, for data that is not stationary, either differencing or power transformation is applied. This stabilizes the variance and removes the trend. </w:t>
      </w:r>
    </w:p>
    <w:p w14:paraId="1777C6B9" w14:textId="77777777" w:rsidR="009F48B8" w:rsidRPr="00091585" w:rsidRDefault="00C34EEA" w:rsidP="009F48B8">
      <w:pPr>
        <w:tabs>
          <w:tab w:val="left" w:pos="1680"/>
        </w:tabs>
        <w:rPr>
          <w:rFonts w:ascii="Arial" w:hAnsi="Arial" w:cs="Arial"/>
          <w:b/>
          <w:i/>
        </w:rPr>
      </w:pPr>
      <w:r w:rsidRPr="00091585">
        <w:rPr>
          <w:rFonts w:ascii="Arial" w:hAnsi="Arial" w:cs="Arial"/>
          <w:b/>
          <w:i/>
        </w:rPr>
        <w:t xml:space="preserve">3.2.1.3. </w:t>
      </w:r>
      <w:r w:rsidR="009F48B8" w:rsidRPr="00091585">
        <w:rPr>
          <w:rFonts w:ascii="Arial" w:hAnsi="Arial" w:cs="Arial"/>
          <w:b/>
          <w:i/>
        </w:rPr>
        <w:t xml:space="preserve">Independence </w:t>
      </w:r>
    </w:p>
    <w:p w14:paraId="690F5343" w14:textId="77777777" w:rsidR="009F48B8" w:rsidRDefault="009F48B8" w:rsidP="009F48B8">
      <w:pPr>
        <w:tabs>
          <w:tab w:val="left" w:pos="1680"/>
        </w:tabs>
        <w:rPr>
          <w:rFonts w:ascii="Arial" w:hAnsi="Arial" w:cs="Arial"/>
        </w:rPr>
      </w:pPr>
      <w:r w:rsidRPr="009F48B8">
        <w:rPr>
          <w:rFonts w:ascii="Arial" w:hAnsi="Arial" w:cs="Arial"/>
        </w:rPr>
        <w:lastRenderedPageBreak/>
        <w:t xml:space="preserve">There must be no autocorrelation, that is, the data values should not affect other data points of the dataset. This assumption is evaluated by ACF and PACF plots. </w:t>
      </w:r>
    </w:p>
    <w:p w14:paraId="0BFA2A0E" w14:textId="77777777" w:rsidR="00091585" w:rsidRPr="009F48B8" w:rsidRDefault="00091585" w:rsidP="009F48B8">
      <w:pPr>
        <w:tabs>
          <w:tab w:val="left" w:pos="1680"/>
        </w:tabs>
        <w:rPr>
          <w:rFonts w:ascii="Arial" w:hAnsi="Arial" w:cs="Arial"/>
        </w:rPr>
      </w:pPr>
    </w:p>
    <w:p w14:paraId="172C001A" w14:textId="77777777" w:rsidR="009F48B8" w:rsidRPr="00091585" w:rsidRDefault="00E706BF" w:rsidP="009F48B8">
      <w:pPr>
        <w:tabs>
          <w:tab w:val="left" w:pos="1680"/>
        </w:tabs>
        <w:rPr>
          <w:rFonts w:ascii="Arial" w:hAnsi="Arial" w:cs="Arial"/>
          <w:b/>
          <w:sz w:val="22"/>
          <w:szCs w:val="22"/>
          <w:u w:val="single"/>
        </w:rPr>
      </w:pPr>
      <w:r w:rsidRPr="00091585">
        <w:rPr>
          <w:rFonts w:ascii="Arial" w:hAnsi="Arial" w:cs="Arial"/>
          <w:b/>
          <w:sz w:val="22"/>
          <w:szCs w:val="22"/>
          <w:u w:val="single"/>
        </w:rPr>
        <w:t xml:space="preserve">3.2.2 </w:t>
      </w:r>
      <w:r w:rsidR="009F48B8" w:rsidRPr="00091585">
        <w:rPr>
          <w:rFonts w:ascii="Arial" w:hAnsi="Arial" w:cs="Arial"/>
          <w:b/>
          <w:sz w:val="22"/>
          <w:szCs w:val="22"/>
          <w:u w:val="single"/>
        </w:rPr>
        <w:t>Box-Jenkins Methodology</w:t>
      </w:r>
    </w:p>
    <w:p w14:paraId="0E0CB4F3" w14:textId="77777777" w:rsidR="00091585" w:rsidRPr="00091585" w:rsidRDefault="00091585" w:rsidP="009F48B8">
      <w:pPr>
        <w:tabs>
          <w:tab w:val="left" w:pos="1680"/>
        </w:tabs>
        <w:rPr>
          <w:rFonts w:ascii="Arial" w:hAnsi="Arial" w:cs="Arial"/>
          <w:b/>
          <w:u w:val="single"/>
        </w:rPr>
      </w:pPr>
    </w:p>
    <w:p w14:paraId="1886770B" w14:textId="77777777" w:rsidR="009F48B8" w:rsidRDefault="009F48B8" w:rsidP="009F48B8">
      <w:pPr>
        <w:tabs>
          <w:tab w:val="left" w:pos="1680"/>
        </w:tabs>
        <w:rPr>
          <w:rFonts w:ascii="Arial" w:hAnsi="Arial" w:cs="Arial"/>
        </w:rPr>
      </w:pPr>
      <w:r w:rsidRPr="009F48B8">
        <w:rPr>
          <w:rFonts w:ascii="Arial" w:hAnsi="Arial" w:cs="Arial"/>
        </w:rPr>
        <w:t xml:space="preserve">This is an iterative process involving model identification, parameter estimation, and model verification. The objective of these steps is to obtain the most reliable model that captures patterns in the historical data while minimizing the risk of overfitting. </w:t>
      </w:r>
    </w:p>
    <w:p w14:paraId="79918D47" w14:textId="77777777" w:rsidR="00091585" w:rsidRPr="009F48B8" w:rsidRDefault="00091585" w:rsidP="009F48B8">
      <w:pPr>
        <w:tabs>
          <w:tab w:val="left" w:pos="1680"/>
        </w:tabs>
        <w:rPr>
          <w:rFonts w:ascii="Arial" w:hAnsi="Arial" w:cs="Arial"/>
        </w:rPr>
      </w:pPr>
    </w:p>
    <w:p w14:paraId="5FE5C40B" w14:textId="77777777" w:rsidR="009F48B8" w:rsidRPr="009F48B8" w:rsidRDefault="009F48B8" w:rsidP="009F48B8">
      <w:pPr>
        <w:tabs>
          <w:tab w:val="left" w:pos="1680"/>
        </w:tabs>
        <w:rPr>
          <w:rFonts w:ascii="Arial" w:hAnsi="Arial" w:cs="Arial"/>
        </w:rPr>
      </w:pPr>
      <w:r w:rsidRPr="009F48B8">
        <w:rPr>
          <w:rFonts w:ascii="Arial" w:hAnsi="Arial" w:cs="Arial"/>
        </w:rPr>
        <w:t xml:space="preserve">The initial step, model identification, involves determining the most appropriate parameters of the model. The traditional way of doing this is using ACF and PACF plots. However, this approach is sometimes subjective and time-consuming. Grid search offers an automated alternative that is free from human error. </w:t>
      </w:r>
    </w:p>
    <w:p w14:paraId="0C9EBF87" w14:textId="77777777" w:rsidR="009F48B8" w:rsidRDefault="009F48B8" w:rsidP="009F48B8">
      <w:pPr>
        <w:tabs>
          <w:tab w:val="left" w:pos="1680"/>
        </w:tabs>
        <w:rPr>
          <w:rFonts w:ascii="Arial" w:hAnsi="Arial" w:cs="Arial"/>
        </w:rPr>
      </w:pPr>
      <w:r w:rsidRPr="009F48B8">
        <w:rPr>
          <w:rFonts w:ascii="Arial" w:hAnsi="Arial" w:cs="Arial"/>
        </w:rPr>
        <w:t xml:space="preserve">Secondly, parameter estimation uses methods such as MLE and LSE to minimize the difference between the actual data and the model forecast. </w:t>
      </w:r>
    </w:p>
    <w:p w14:paraId="4126563D" w14:textId="77777777" w:rsidR="00091585" w:rsidRPr="009F48B8" w:rsidRDefault="00091585" w:rsidP="009F48B8">
      <w:pPr>
        <w:tabs>
          <w:tab w:val="left" w:pos="1680"/>
        </w:tabs>
        <w:rPr>
          <w:rFonts w:ascii="Arial" w:hAnsi="Arial" w:cs="Arial"/>
        </w:rPr>
      </w:pPr>
    </w:p>
    <w:p w14:paraId="76C744D6" w14:textId="77777777" w:rsidR="009F48B8" w:rsidRPr="009F48B8" w:rsidRDefault="009F48B8" w:rsidP="009F48B8">
      <w:pPr>
        <w:tabs>
          <w:tab w:val="left" w:pos="1680"/>
        </w:tabs>
        <w:rPr>
          <w:rFonts w:ascii="Arial" w:hAnsi="Arial" w:cs="Arial"/>
        </w:rPr>
      </w:pPr>
      <w:r w:rsidRPr="009F48B8">
        <w:rPr>
          <w:rFonts w:ascii="Arial" w:hAnsi="Arial" w:cs="Arial"/>
        </w:rPr>
        <w:t xml:space="preserve">Finally, model verification validates whether the model adequately captures the structure of the time series. Also, it helps in determining whether the assumptions are satisfied, ensuring the model is statistically valid. Once the model passes all these steps, it is now ready to be used in forecasting future values. </w:t>
      </w:r>
    </w:p>
    <w:p w14:paraId="55A8CE69" w14:textId="77777777" w:rsidR="00B95236" w:rsidRDefault="00B95236" w:rsidP="00441B6F">
      <w:pPr>
        <w:pStyle w:val="Body"/>
        <w:spacing w:after="0"/>
        <w:rPr>
          <w:rFonts w:ascii="Arial" w:hAnsi="Arial" w:cs="Arial"/>
        </w:rPr>
      </w:pPr>
    </w:p>
    <w:p w14:paraId="480377F9" w14:textId="77777777" w:rsidR="00561E61" w:rsidRDefault="00561E61" w:rsidP="00561E61">
      <w:pPr>
        <w:rPr>
          <w:rFonts w:ascii="Arial" w:hAnsi="Arial" w:cs="Arial"/>
          <w:b/>
          <w:bCs/>
          <w:sz w:val="22"/>
          <w:szCs w:val="22"/>
        </w:rPr>
      </w:pPr>
      <w:r>
        <w:rPr>
          <w:rFonts w:ascii="Arial" w:hAnsi="Arial" w:cs="Arial"/>
          <w:b/>
          <w:bCs/>
          <w:sz w:val="22"/>
          <w:szCs w:val="22"/>
        </w:rPr>
        <w:t>3</w:t>
      </w:r>
      <w:r w:rsidRPr="00561E61">
        <w:rPr>
          <w:rFonts w:ascii="Arial" w:hAnsi="Arial" w:cs="Arial"/>
          <w:b/>
          <w:bCs/>
          <w:sz w:val="22"/>
          <w:szCs w:val="22"/>
        </w:rPr>
        <w:t>.</w:t>
      </w:r>
      <w:r w:rsidR="00E706BF">
        <w:rPr>
          <w:rFonts w:ascii="Arial" w:hAnsi="Arial" w:cs="Arial"/>
          <w:b/>
          <w:bCs/>
          <w:sz w:val="22"/>
          <w:szCs w:val="22"/>
        </w:rPr>
        <w:t>3</w:t>
      </w:r>
      <w:r w:rsidRPr="00561E61">
        <w:rPr>
          <w:rFonts w:ascii="Arial" w:hAnsi="Arial" w:cs="Arial"/>
          <w:b/>
          <w:bCs/>
          <w:sz w:val="22"/>
          <w:szCs w:val="22"/>
        </w:rPr>
        <w:t xml:space="preserve"> The Ho</w:t>
      </w:r>
      <w:r w:rsidR="002C3F3B">
        <w:rPr>
          <w:rFonts w:ascii="Arial" w:hAnsi="Arial" w:cs="Arial"/>
          <w:b/>
          <w:bCs/>
          <w:sz w:val="22"/>
          <w:szCs w:val="22"/>
        </w:rPr>
        <w:t>lt-Winters Model</w:t>
      </w:r>
    </w:p>
    <w:p w14:paraId="481E5F87" w14:textId="77777777" w:rsidR="00091585" w:rsidRPr="00561E61" w:rsidRDefault="00091585" w:rsidP="00561E61">
      <w:pPr>
        <w:rPr>
          <w:rFonts w:ascii="Arial" w:hAnsi="Arial" w:cs="Arial"/>
          <w:b/>
          <w:bCs/>
          <w:sz w:val="22"/>
          <w:szCs w:val="22"/>
        </w:rPr>
      </w:pPr>
    </w:p>
    <w:p w14:paraId="5043903D" w14:textId="77777777" w:rsidR="00561E61" w:rsidRPr="00561E61" w:rsidRDefault="00561E61" w:rsidP="00561E61">
      <w:pPr>
        <w:rPr>
          <w:rFonts w:ascii="Arial" w:hAnsi="Arial" w:cs="Arial"/>
        </w:rPr>
      </w:pPr>
      <w:r w:rsidRPr="00561E61">
        <w:rPr>
          <w:rFonts w:ascii="Arial" w:hAnsi="Arial" w:cs="Arial"/>
        </w:rPr>
        <w:t xml:space="preserve">The Holt-Winters model comes in two versions depending on the nature of the seasonality. The Additive Holt-Winters is usually applied for seasonal variations that do not grow or shrink with time while the Multiplicative Holt-Winters performs well on seasonal fluctuations that either increase or decrease with time. Since Kenya's motor insurance claims grow, the Multiplicative Holt-Winters model is the most appropriate. It is made up of the following three smoothing equations and forecasts. </w:t>
      </w:r>
    </w:p>
    <w:p w14:paraId="4B0157F7" w14:textId="77777777" w:rsidR="00561E61" w:rsidRPr="00561E61" w:rsidRDefault="00561E61" w:rsidP="00561E61">
      <w:pPr>
        <w:spacing w:after="200"/>
        <w:rPr>
          <w:rFonts w:ascii="Arial" w:eastAsia="MS Mincho" w:hAnsi="Arial" w:cs="Arial"/>
        </w:rPr>
      </w:pPr>
      <w:r w:rsidRPr="00561E61">
        <w:rPr>
          <w:rFonts w:ascii="Arial" w:eastAsia="MS Mincho" w:hAnsi="Arial" w:cs="Arial"/>
        </w:rPr>
        <w:t>1. Level:</w:t>
      </w:r>
    </w:p>
    <w:p w14:paraId="0D98767A" w14:textId="77777777" w:rsidR="00561E61" w:rsidRPr="00561E61" w:rsidRDefault="00561E61" w:rsidP="00561E61">
      <w:pPr>
        <w:spacing w:after="200"/>
        <w:rPr>
          <w:rFonts w:ascii="Arial" w:eastAsia="MS Mincho" w:hAnsi="Arial" w:cs="Arial"/>
        </w:rPr>
      </w:pPr>
      <w:r w:rsidRPr="00561E61">
        <w:rPr>
          <w:rFonts w:ascii="Arial" w:eastAsia="MS Mincho" w:hAnsi="Arial" w:cs="Arial"/>
        </w:rPr>
        <w:t xml:space="preserve">   L</w:t>
      </w:r>
      <w:r w:rsidRPr="00561E61">
        <w:rPr>
          <w:rFonts w:ascii="Cambria Math" w:eastAsia="MS Mincho" w:hAnsi="Cambria Math" w:cs="Cambria Math"/>
        </w:rPr>
        <w:t>ₜ</w:t>
      </w:r>
      <w:r w:rsidRPr="00561E61">
        <w:rPr>
          <w:rFonts w:ascii="Arial" w:eastAsia="MS Mincho" w:hAnsi="Arial" w:cs="Arial"/>
        </w:rPr>
        <w:t xml:space="preserve"> = α * (y</w:t>
      </w:r>
      <w:r w:rsidRPr="00561E61">
        <w:rPr>
          <w:rFonts w:ascii="Cambria Math" w:eastAsia="MS Mincho" w:hAnsi="Cambria Math" w:cs="Cambria Math"/>
        </w:rPr>
        <w:t>ₜ</w:t>
      </w:r>
      <w:r w:rsidRPr="00561E61">
        <w:rPr>
          <w:rFonts w:ascii="Arial" w:eastAsia="MS Mincho" w:hAnsi="Arial" w:cs="Arial"/>
        </w:rPr>
        <w:t xml:space="preserve"> / S</w:t>
      </w:r>
      <w:r w:rsidRPr="00561E61">
        <w:rPr>
          <w:rFonts w:ascii="Cambria Math" w:eastAsia="MS Mincho" w:hAnsi="Cambria Math" w:cs="Cambria Math"/>
        </w:rPr>
        <w:t>ₜ₋ₛ</w:t>
      </w:r>
      <w:r w:rsidRPr="00561E61">
        <w:rPr>
          <w:rFonts w:ascii="Arial" w:eastAsia="MS Mincho" w:hAnsi="Arial" w:cs="Arial"/>
        </w:rPr>
        <w:t>) + (1 - α) * (L</w:t>
      </w:r>
      <w:r w:rsidRPr="00561E61">
        <w:rPr>
          <w:rFonts w:ascii="Cambria Math" w:eastAsia="MS Mincho" w:hAnsi="Cambria Math" w:cs="Cambria Math"/>
        </w:rPr>
        <w:t>ₜ₋₁</w:t>
      </w:r>
      <w:r w:rsidRPr="00561E61">
        <w:rPr>
          <w:rFonts w:ascii="Arial" w:eastAsia="MS Mincho" w:hAnsi="Arial" w:cs="Arial"/>
        </w:rPr>
        <w:t xml:space="preserve"> + T</w:t>
      </w:r>
      <w:r w:rsidRPr="00561E61">
        <w:rPr>
          <w:rFonts w:ascii="Cambria Math" w:eastAsia="MS Mincho" w:hAnsi="Cambria Math" w:cs="Cambria Math"/>
        </w:rPr>
        <w:t>ₜ₋₁</w:t>
      </w:r>
      <w:r w:rsidRPr="00561E61">
        <w:rPr>
          <w:rFonts w:ascii="Arial" w:eastAsia="MS Mincho" w:hAnsi="Arial" w:cs="Arial"/>
        </w:rPr>
        <w:t>)</w:t>
      </w:r>
    </w:p>
    <w:p w14:paraId="2D05CE55" w14:textId="77777777" w:rsidR="00561E61" w:rsidRPr="00561E61" w:rsidRDefault="00561E61" w:rsidP="00561E61">
      <w:pPr>
        <w:spacing w:after="200"/>
        <w:rPr>
          <w:rFonts w:ascii="Arial" w:eastAsia="MS Mincho" w:hAnsi="Arial" w:cs="Arial"/>
        </w:rPr>
      </w:pPr>
      <w:r w:rsidRPr="00561E61">
        <w:rPr>
          <w:rFonts w:ascii="Arial" w:eastAsia="MS Mincho" w:hAnsi="Arial" w:cs="Arial"/>
        </w:rPr>
        <w:t>2. Trend:</w:t>
      </w:r>
    </w:p>
    <w:p w14:paraId="52C96C91" w14:textId="77777777" w:rsidR="00561E61" w:rsidRPr="00561E61" w:rsidRDefault="00561E61" w:rsidP="00561E61">
      <w:pPr>
        <w:spacing w:after="200"/>
        <w:rPr>
          <w:rFonts w:ascii="Arial" w:eastAsia="MS Mincho" w:hAnsi="Arial" w:cs="Arial"/>
        </w:rPr>
      </w:pPr>
      <w:r w:rsidRPr="00561E61">
        <w:rPr>
          <w:rFonts w:ascii="Arial" w:eastAsia="MS Mincho" w:hAnsi="Arial" w:cs="Arial"/>
        </w:rPr>
        <w:t xml:space="preserve">   T</w:t>
      </w:r>
      <w:r w:rsidRPr="00561E61">
        <w:rPr>
          <w:rFonts w:ascii="Cambria Math" w:eastAsia="MS Mincho" w:hAnsi="Cambria Math" w:cs="Cambria Math"/>
        </w:rPr>
        <w:t>ₜ</w:t>
      </w:r>
      <w:r w:rsidRPr="00561E61">
        <w:rPr>
          <w:rFonts w:ascii="Arial" w:eastAsia="MS Mincho" w:hAnsi="Arial" w:cs="Arial"/>
        </w:rPr>
        <w:t xml:space="preserve"> = β * (L</w:t>
      </w:r>
      <w:r w:rsidRPr="00561E61">
        <w:rPr>
          <w:rFonts w:ascii="Cambria Math" w:eastAsia="MS Mincho" w:hAnsi="Cambria Math" w:cs="Cambria Math"/>
        </w:rPr>
        <w:t>ₜ</w:t>
      </w:r>
      <w:r w:rsidRPr="00561E61">
        <w:rPr>
          <w:rFonts w:ascii="Arial" w:eastAsia="MS Mincho" w:hAnsi="Arial" w:cs="Arial"/>
        </w:rPr>
        <w:t xml:space="preserve"> - L</w:t>
      </w:r>
      <w:r w:rsidRPr="00561E61">
        <w:rPr>
          <w:rFonts w:ascii="Cambria Math" w:eastAsia="MS Mincho" w:hAnsi="Cambria Math" w:cs="Cambria Math"/>
        </w:rPr>
        <w:t>ₜ₋₁</w:t>
      </w:r>
      <w:r w:rsidRPr="00561E61">
        <w:rPr>
          <w:rFonts w:ascii="Arial" w:eastAsia="MS Mincho" w:hAnsi="Arial" w:cs="Arial"/>
        </w:rPr>
        <w:t>) + (1 - β) * T</w:t>
      </w:r>
      <w:r w:rsidRPr="00561E61">
        <w:rPr>
          <w:rFonts w:ascii="Cambria Math" w:eastAsia="MS Mincho" w:hAnsi="Cambria Math" w:cs="Cambria Math"/>
        </w:rPr>
        <w:t>ₜ₋₁</w:t>
      </w:r>
    </w:p>
    <w:p w14:paraId="1456E0C7" w14:textId="77777777" w:rsidR="00561E61" w:rsidRPr="00561E61" w:rsidRDefault="00561E61" w:rsidP="00561E61">
      <w:pPr>
        <w:spacing w:after="200"/>
        <w:rPr>
          <w:rFonts w:ascii="Arial" w:eastAsia="MS Mincho" w:hAnsi="Arial" w:cs="Arial"/>
        </w:rPr>
      </w:pPr>
      <w:r w:rsidRPr="00561E61">
        <w:rPr>
          <w:rFonts w:ascii="Arial" w:eastAsia="MS Mincho" w:hAnsi="Arial" w:cs="Arial"/>
        </w:rPr>
        <w:t>3. Seasonal:</w:t>
      </w:r>
    </w:p>
    <w:p w14:paraId="63F9ED8F" w14:textId="77777777" w:rsidR="00561E61" w:rsidRPr="00561E61" w:rsidRDefault="00561E61" w:rsidP="00561E61">
      <w:pPr>
        <w:spacing w:after="200"/>
        <w:rPr>
          <w:rFonts w:ascii="Arial" w:eastAsia="MS Mincho" w:hAnsi="Arial" w:cs="Arial"/>
        </w:rPr>
      </w:pPr>
      <w:r w:rsidRPr="00561E61">
        <w:rPr>
          <w:rFonts w:ascii="Arial" w:eastAsia="MS Mincho" w:hAnsi="Arial" w:cs="Arial"/>
        </w:rPr>
        <w:t xml:space="preserve">   S</w:t>
      </w:r>
      <w:r w:rsidRPr="00561E61">
        <w:rPr>
          <w:rFonts w:ascii="Cambria Math" w:eastAsia="MS Mincho" w:hAnsi="Cambria Math" w:cs="Cambria Math"/>
        </w:rPr>
        <w:t>ₜ</w:t>
      </w:r>
      <w:r w:rsidRPr="00561E61">
        <w:rPr>
          <w:rFonts w:ascii="Arial" w:eastAsia="MS Mincho" w:hAnsi="Arial" w:cs="Arial"/>
        </w:rPr>
        <w:t xml:space="preserve"> = γ * (y</w:t>
      </w:r>
      <w:r w:rsidRPr="00561E61">
        <w:rPr>
          <w:rFonts w:ascii="Cambria Math" w:eastAsia="MS Mincho" w:hAnsi="Cambria Math" w:cs="Cambria Math"/>
        </w:rPr>
        <w:t>ₜ</w:t>
      </w:r>
      <w:r w:rsidRPr="00561E61">
        <w:rPr>
          <w:rFonts w:ascii="Arial" w:eastAsia="MS Mincho" w:hAnsi="Arial" w:cs="Arial"/>
        </w:rPr>
        <w:t xml:space="preserve"> / L</w:t>
      </w:r>
      <w:r w:rsidRPr="00561E61">
        <w:rPr>
          <w:rFonts w:ascii="Cambria Math" w:eastAsia="MS Mincho" w:hAnsi="Cambria Math" w:cs="Cambria Math"/>
        </w:rPr>
        <w:t>ₜ</w:t>
      </w:r>
      <w:r w:rsidRPr="00561E61">
        <w:rPr>
          <w:rFonts w:ascii="Arial" w:eastAsia="MS Mincho" w:hAnsi="Arial" w:cs="Arial"/>
        </w:rPr>
        <w:t>) + (1 - γ) * S</w:t>
      </w:r>
      <w:r w:rsidRPr="00561E61">
        <w:rPr>
          <w:rFonts w:ascii="Cambria Math" w:eastAsia="MS Mincho" w:hAnsi="Cambria Math" w:cs="Cambria Math"/>
        </w:rPr>
        <w:t>ₜ₋ₛ</w:t>
      </w:r>
    </w:p>
    <w:p w14:paraId="061B7ACB" w14:textId="77777777" w:rsidR="00561E61" w:rsidRPr="00561E61" w:rsidRDefault="00561E61" w:rsidP="00561E61">
      <w:pPr>
        <w:spacing w:after="200"/>
        <w:rPr>
          <w:rFonts w:ascii="Arial" w:eastAsia="MS Mincho" w:hAnsi="Arial" w:cs="Arial"/>
        </w:rPr>
      </w:pPr>
      <w:r w:rsidRPr="00561E61">
        <w:rPr>
          <w:rFonts w:ascii="Arial" w:eastAsia="MS Mincho" w:hAnsi="Arial" w:cs="Arial"/>
        </w:rPr>
        <w:t>4. Forecast:</w:t>
      </w:r>
    </w:p>
    <w:p w14:paraId="67426A2D" w14:textId="77777777" w:rsidR="00561E61" w:rsidRPr="00561E61" w:rsidRDefault="00561E61" w:rsidP="00561E61">
      <w:pPr>
        <w:spacing w:after="200"/>
        <w:rPr>
          <w:rFonts w:ascii="Arial" w:eastAsia="MS Mincho" w:hAnsi="Arial" w:cs="Arial"/>
        </w:rPr>
      </w:pPr>
      <w:r w:rsidRPr="00561E61">
        <w:rPr>
          <w:rFonts w:ascii="Arial" w:eastAsia="MS Mincho" w:hAnsi="Arial" w:cs="Arial"/>
        </w:rPr>
        <w:t xml:space="preserve">   ŷ</w:t>
      </w:r>
      <w:r w:rsidRPr="00561E61">
        <w:rPr>
          <w:rFonts w:ascii="Cambria Math" w:eastAsia="MS Mincho" w:hAnsi="Cambria Math" w:cs="Cambria Math"/>
        </w:rPr>
        <w:t>ₜ₊ₘ</w:t>
      </w:r>
      <w:r w:rsidRPr="00561E61">
        <w:rPr>
          <w:rFonts w:ascii="Arial" w:eastAsia="MS Mincho" w:hAnsi="Arial" w:cs="Arial"/>
        </w:rPr>
        <w:t xml:space="preserve"> = (L</w:t>
      </w:r>
      <w:r w:rsidRPr="00561E61">
        <w:rPr>
          <w:rFonts w:ascii="Cambria Math" w:eastAsia="MS Mincho" w:hAnsi="Cambria Math" w:cs="Cambria Math"/>
        </w:rPr>
        <w:t>ₜ</w:t>
      </w:r>
      <w:r w:rsidRPr="00561E61">
        <w:rPr>
          <w:rFonts w:ascii="Arial" w:eastAsia="MS Mincho" w:hAnsi="Arial" w:cs="Arial"/>
        </w:rPr>
        <w:t xml:space="preserve"> + m * T</w:t>
      </w:r>
      <w:r w:rsidRPr="00561E61">
        <w:rPr>
          <w:rFonts w:ascii="Cambria Math" w:eastAsia="MS Mincho" w:hAnsi="Cambria Math" w:cs="Cambria Math"/>
        </w:rPr>
        <w:t>ₜ</w:t>
      </w:r>
      <w:r w:rsidRPr="00561E61">
        <w:rPr>
          <w:rFonts w:ascii="Arial" w:eastAsia="MS Mincho" w:hAnsi="Arial" w:cs="Arial"/>
        </w:rPr>
        <w:t>) * S</w:t>
      </w:r>
      <w:r w:rsidRPr="00561E61">
        <w:rPr>
          <w:rFonts w:ascii="Cambria Math" w:eastAsia="MS Mincho" w:hAnsi="Cambria Math" w:cs="Cambria Math"/>
        </w:rPr>
        <w:t>ₜ₋ₛ₊ₘ</w:t>
      </w:r>
    </w:p>
    <w:p w14:paraId="79F03588" w14:textId="77777777" w:rsidR="00561E61" w:rsidRPr="00091585" w:rsidRDefault="00E706BF" w:rsidP="00561E61">
      <w:pPr>
        <w:rPr>
          <w:rFonts w:ascii="Arial" w:hAnsi="Arial" w:cs="Arial"/>
          <w:b/>
          <w:u w:val="single"/>
        </w:rPr>
      </w:pPr>
      <w:r w:rsidRPr="00091585">
        <w:rPr>
          <w:rFonts w:ascii="Arial" w:hAnsi="Arial" w:cs="Arial"/>
          <w:b/>
          <w:u w:val="single"/>
        </w:rPr>
        <w:t xml:space="preserve">3.3.1 </w:t>
      </w:r>
      <w:r w:rsidR="00561E61" w:rsidRPr="00091585">
        <w:rPr>
          <w:rFonts w:ascii="Arial" w:hAnsi="Arial" w:cs="Arial"/>
          <w:b/>
          <w:u w:val="single"/>
        </w:rPr>
        <w:t>Parameters</w:t>
      </w:r>
    </w:p>
    <w:p w14:paraId="0F42A5E9" w14:textId="77777777" w:rsidR="00561E61" w:rsidRPr="00561E61" w:rsidRDefault="00561E61" w:rsidP="00561E61">
      <w:pPr>
        <w:spacing w:after="200"/>
        <w:rPr>
          <w:rFonts w:ascii="Arial" w:eastAsia="MS Mincho" w:hAnsi="Arial" w:cs="Arial"/>
        </w:rPr>
      </w:pPr>
      <w:r w:rsidRPr="00561E61">
        <w:rPr>
          <w:rFonts w:ascii="Arial" w:eastAsia="MS Mincho" w:hAnsi="Arial" w:cs="Arial"/>
        </w:rPr>
        <w:t xml:space="preserve">α, β, γ: Smoothing parameters for level, trend, and seasonality respectively (0 &lt; α, β, γ &lt; 1). </w:t>
      </w:r>
    </w:p>
    <w:p w14:paraId="0AE386BB" w14:textId="77777777" w:rsidR="00561E61" w:rsidRPr="00561E61" w:rsidRDefault="00561E61" w:rsidP="00561E61">
      <w:pPr>
        <w:spacing w:after="200"/>
        <w:rPr>
          <w:rFonts w:ascii="Arial" w:eastAsia="MS Mincho" w:hAnsi="Arial" w:cs="Arial"/>
        </w:rPr>
      </w:pPr>
      <w:r w:rsidRPr="00561E61">
        <w:rPr>
          <w:rFonts w:ascii="Arial" w:eastAsia="MS Mincho" w:hAnsi="Arial" w:cs="Arial"/>
        </w:rPr>
        <w:t xml:space="preserve">These values are obtained by minimizing the sum of squared errors. </w:t>
      </w:r>
    </w:p>
    <w:p w14:paraId="55B4786B" w14:textId="77777777" w:rsidR="00561E61" w:rsidRPr="00561E61" w:rsidRDefault="00561E61" w:rsidP="00561E61">
      <w:pPr>
        <w:spacing w:after="200"/>
        <w:rPr>
          <w:rFonts w:ascii="Arial" w:eastAsia="MS Mincho" w:hAnsi="Arial" w:cs="Arial"/>
        </w:rPr>
      </w:pPr>
      <w:r w:rsidRPr="00561E61">
        <w:rPr>
          <w:rFonts w:ascii="Arial" w:eastAsia="MS Mincho" w:hAnsi="Arial" w:cs="Arial"/>
        </w:rPr>
        <w:t>s: Length of the seasonal period</w:t>
      </w:r>
    </w:p>
    <w:p w14:paraId="077C7B77" w14:textId="77777777" w:rsidR="00561E61" w:rsidRPr="00561E61" w:rsidRDefault="00561E61" w:rsidP="00561E61">
      <w:pPr>
        <w:spacing w:after="200"/>
        <w:rPr>
          <w:rFonts w:ascii="Arial" w:eastAsia="MS Mincho" w:hAnsi="Arial" w:cs="Arial"/>
        </w:rPr>
      </w:pPr>
      <w:r w:rsidRPr="00561E61">
        <w:rPr>
          <w:rFonts w:ascii="Arial" w:eastAsia="MS Mincho" w:hAnsi="Arial" w:cs="Arial"/>
        </w:rPr>
        <w:t>m: Number of periods ahead to forecast</w:t>
      </w:r>
    </w:p>
    <w:p w14:paraId="4D99287F" w14:textId="77777777" w:rsidR="00561E61" w:rsidRPr="00561E61" w:rsidRDefault="00561E61" w:rsidP="00561E61">
      <w:pPr>
        <w:rPr>
          <w:rFonts w:ascii="Arial" w:hAnsi="Arial" w:cs="Arial"/>
        </w:rPr>
      </w:pPr>
      <w:r w:rsidRPr="00561E61">
        <w:rPr>
          <w:rFonts w:ascii="Arial" w:hAnsi="Arial" w:cs="Arial"/>
        </w:rPr>
        <w:t>y</w:t>
      </w:r>
      <w:r w:rsidRPr="00561E61">
        <w:rPr>
          <w:rFonts w:ascii="Cambria Math" w:hAnsi="Cambria Math" w:cs="Cambria Math"/>
        </w:rPr>
        <w:t>ₜ</w:t>
      </w:r>
      <w:r w:rsidRPr="00561E61">
        <w:rPr>
          <w:rFonts w:ascii="Arial" w:hAnsi="Arial" w:cs="Arial"/>
        </w:rPr>
        <w:t xml:space="preserve"> is the actual value at time t,</w:t>
      </w:r>
    </w:p>
    <w:p w14:paraId="07B366AF" w14:textId="77777777" w:rsidR="009F48B8" w:rsidRPr="00561E61" w:rsidRDefault="009F48B8" w:rsidP="00441B6F">
      <w:pPr>
        <w:pStyle w:val="Body"/>
        <w:spacing w:after="0"/>
        <w:rPr>
          <w:rFonts w:ascii="Arial" w:hAnsi="Arial" w:cs="Arial"/>
        </w:rPr>
      </w:pPr>
    </w:p>
    <w:p w14:paraId="0876F330" w14:textId="77777777" w:rsidR="00B57B05" w:rsidRDefault="00E706BF" w:rsidP="00B57B05">
      <w:pPr>
        <w:pStyle w:val="Head1"/>
        <w:spacing w:after="0"/>
        <w:jc w:val="both"/>
        <w:rPr>
          <w:rFonts w:ascii="Arial" w:hAnsi="Arial" w:cs="Arial"/>
        </w:rPr>
      </w:pPr>
      <w:r>
        <w:rPr>
          <w:rFonts w:ascii="Arial" w:hAnsi="Arial" w:cs="Arial"/>
        </w:rPr>
        <w:t>4</w:t>
      </w:r>
      <w:r w:rsidR="00CE5785">
        <w:rPr>
          <w:rFonts w:ascii="Arial" w:hAnsi="Arial" w:cs="Arial"/>
        </w:rPr>
        <w:t>. results and discussion</w:t>
      </w:r>
    </w:p>
    <w:p w14:paraId="565C20F9" w14:textId="77777777" w:rsidR="00E706BF" w:rsidRDefault="00E706BF" w:rsidP="00B57B05">
      <w:pPr>
        <w:pStyle w:val="Head1"/>
        <w:spacing w:after="0"/>
        <w:jc w:val="both"/>
        <w:rPr>
          <w:rFonts w:ascii="Arial" w:hAnsi="Arial" w:cs="Arial"/>
        </w:rPr>
      </w:pPr>
    </w:p>
    <w:p w14:paraId="2769D490" w14:textId="77777777" w:rsidR="00E706BF" w:rsidRDefault="00E706BF" w:rsidP="00B57B05">
      <w:pPr>
        <w:pStyle w:val="Body"/>
        <w:spacing w:after="0"/>
        <w:rPr>
          <w:rFonts w:ascii="Arial" w:hAnsi="Arial" w:cs="Arial"/>
          <w:b/>
          <w:sz w:val="22"/>
          <w:szCs w:val="22"/>
        </w:rPr>
      </w:pPr>
      <w:r w:rsidRPr="00E706BF">
        <w:rPr>
          <w:rFonts w:ascii="Arial" w:hAnsi="Arial" w:cs="Arial"/>
          <w:b/>
          <w:sz w:val="22"/>
          <w:szCs w:val="22"/>
        </w:rPr>
        <w:t>4.1 Time Series Plot</w:t>
      </w:r>
    </w:p>
    <w:p w14:paraId="220C6591" w14:textId="77777777" w:rsidR="00E706BF" w:rsidRPr="00E706BF" w:rsidRDefault="00E706BF" w:rsidP="00B57B05">
      <w:pPr>
        <w:pStyle w:val="Body"/>
        <w:spacing w:after="0"/>
        <w:rPr>
          <w:rFonts w:ascii="Arial" w:hAnsi="Arial" w:cs="Arial"/>
          <w:b/>
          <w:sz w:val="22"/>
          <w:szCs w:val="22"/>
        </w:rPr>
      </w:pPr>
    </w:p>
    <w:p w14:paraId="50A12991" w14:textId="77777777" w:rsidR="00B57B05" w:rsidRPr="00B57B05" w:rsidRDefault="00B57B05" w:rsidP="00B57B05">
      <w:pPr>
        <w:pStyle w:val="Body"/>
        <w:spacing w:after="0"/>
        <w:rPr>
          <w:rFonts w:ascii="Arial" w:hAnsi="Arial" w:cs="Arial"/>
        </w:rPr>
      </w:pPr>
      <w:r w:rsidRPr="00B57B05">
        <w:rPr>
          <w:rFonts w:ascii="Arial" w:hAnsi="Arial" w:cs="Arial"/>
        </w:rPr>
        <w:t xml:space="preserve">First, we determine the seasonality of the data by generating the time series plot. </w:t>
      </w:r>
    </w:p>
    <w:p w14:paraId="51C47ADD" w14:textId="77777777" w:rsidR="007F57A8" w:rsidRDefault="00B57B05" w:rsidP="007F57A8">
      <w:pPr>
        <w:pStyle w:val="Body"/>
        <w:keepNext/>
        <w:spacing w:after="0"/>
      </w:pPr>
      <w:r w:rsidRPr="00B57B05">
        <w:rPr>
          <w:rFonts w:ascii="Arial" w:hAnsi="Arial" w:cs="Arial"/>
          <w:noProof/>
        </w:rPr>
        <w:lastRenderedPageBreak/>
        <w:drawing>
          <wp:inline distT="0" distB="0" distL="0" distR="0" wp14:anchorId="14F20A47" wp14:editId="2480FC6B">
            <wp:extent cx="4298315" cy="1847215"/>
            <wp:effectExtent l="0" t="0" r="6985" b="635"/>
            <wp:docPr id="1026" name="Picture 2"/>
            <wp:cNvGraphicFramePr/>
            <a:graphic xmlns:a="http://schemas.openxmlformats.org/drawingml/2006/main">
              <a:graphicData uri="http://schemas.openxmlformats.org/drawingml/2006/picture">
                <pic:pic xmlns:pic="http://schemas.openxmlformats.org/drawingml/2006/picture">
                  <pic:nvPicPr>
                    <pic:cNvPr id="1026" name="Picture 2"/>
                    <pic:cNvPicPr/>
                  </pic:nvPicPr>
                  <pic:blipFill>
                    <a:blip r:embed="rId14" cstate="print"/>
                    <a:stretch>
                      <a:fillRect/>
                    </a:stretch>
                  </pic:blipFill>
                  <pic:spPr>
                    <a:xfrm>
                      <a:off x="0" y="0"/>
                      <a:ext cx="4298315" cy="1847215"/>
                    </a:xfrm>
                    <a:prstGeom prst="rect">
                      <a:avLst/>
                    </a:prstGeom>
                  </pic:spPr>
                </pic:pic>
              </a:graphicData>
            </a:graphic>
          </wp:inline>
        </w:drawing>
      </w:r>
    </w:p>
    <w:p w14:paraId="79AA4C4B" w14:textId="77777777" w:rsidR="00B57B05" w:rsidRPr="00DA2212" w:rsidRDefault="007F57A8" w:rsidP="007F57A8">
      <w:pPr>
        <w:pStyle w:val="Caption"/>
        <w:jc w:val="both"/>
        <w:rPr>
          <w:rFonts w:ascii="Arial" w:hAnsi="Arial" w:cs="Arial"/>
          <w:b/>
          <w:i w:val="0"/>
          <w:color w:val="auto"/>
        </w:rPr>
      </w:pPr>
      <w:r w:rsidRPr="00DA2212">
        <w:rPr>
          <w:rFonts w:ascii="Arial" w:hAnsi="Arial" w:cs="Arial"/>
          <w:b/>
          <w:i w:val="0"/>
          <w:color w:val="auto"/>
        </w:rPr>
        <w:t xml:space="preserve">Figure </w:t>
      </w:r>
      <w:r w:rsidR="00041DC5" w:rsidRPr="00DA2212">
        <w:rPr>
          <w:rFonts w:ascii="Arial" w:hAnsi="Arial" w:cs="Arial"/>
          <w:b/>
          <w:i w:val="0"/>
          <w:color w:val="auto"/>
        </w:rPr>
        <w:fldChar w:fldCharType="begin"/>
      </w:r>
      <w:r w:rsidR="00041DC5" w:rsidRPr="00DA2212">
        <w:rPr>
          <w:rFonts w:ascii="Arial" w:hAnsi="Arial" w:cs="Arial"/>
          <w:b/>
          <w:i w:val="0"/>
          <w:color w:val="auto"/>
        </w:rPr>
        <w:instrText xml:space="preserve"> SEQ Figure \* ARABIC </w:instrText>
      </w:r>
      <w:r w:rsidR="00041DC5" w:rsidRPr="00DA2212">
        <w:rPr>
          <w:rFonts w:ascii="Arial" w:hAnsi="Arial" w:cs="Arial"/>
          <w:b/>
          <w:i w:val="0"/>
          <w:color w:val="auto"/>
        </w:rPr>
        <w:fldChar w:fldCharType="separate"/>
      </w:r>
      <w:r w:rsidRPr="00DA2212">
        <w:rPr>
          <w:rFonts w:ascii="Arial" w:hAnsi="Arial" w:cs="Arial"/>
          <w:b/>
          <w:i w:val="0"/>
          <w:noProof/>
          <w:color w:val="auto"/>
        </w:rPr>
        <w:t>1</w:t>
      </w:r>
      <w:r w:rsidR="00041DC5" w:rsidRPr="00DA2212">
        <w:rPr>
          <w:rFonts w:ascii="Arial" w:hAnsi="Arial" w:cs="Arial"/>
          <w:b/>
          <w:i w:val="0"/>
          <w:noProof/>
          <w:color w:val="auto"/>
        </w:rPr>
        <w:fldChar w:fldCharType="end"/>
      </w:r>
      <w:r w:rsidRPr="00DA2212">
        <w:rPr>
          <w:rFonts w:ascii="Arial" w:hAnsi="Arial" w:cs="Arial"/>
          <w:b/>
          <w:i w:val="0"/>
          <w:color w:val="auto"/>
        </w:rPr>
        <w:t xml:space="preserve"> Time Series Plot for Insurance Claims</w:t>
      </w:r>
    </w:p>
    <w:p w14:paraId="153DDB8D" w14:textId="77777777" w:rsidR="00B57B05" w:rsidRPr="00B57B05" w:rsidRDefault="00B57B05" w:rsidP="00B57B05">
      <w:pPr>
        <w:pStyle w:val="Body"/>
        <w:spacing w:after="0"/>
        <w:rPr>
          <w:rFonts w:ascii="Arial" w:hAnsi="Arial" w:cs="Arial"/>
        </w:rPr>
      </w:pPr>
      <w:r w:rsidRPr="00B57B05">
        <w:rPr>
          <w:rFonts w:ascii="Arial" w:hAnsi="Arial" w:cs="Arial"/>
        </w:rPr>
        <w:t xml:space="preserve">It is noted that Kenya’s motor insurance claims data exhibits a rising trend with clear seasonal peaks happening in the last quarter of each year. This implies that claims have generally been rising over time. Based on these, the SARIMA and Holt-Winters Multiplicative models are the most appropriate ones to use. </w:t>
      </w:r>
    </w:p>
    <w:p w14:paraId="011C5EE8" w14:textId="77777777" w:rsidR="00B57B05" w:rsidRPr="00B57B05" w:rsidRDefault="00B57B05" w:rsidP="00B57B05">
      <w:pPr>
        <w:pStyle w:val="Body"/>
        <w:spacing w:after="0"/>
        <w:rPr>
          <w:rFonts w:ascii="Arial" w:hAnsi="Arial" w:cs="Arial"/>
        </w:rPr>
      </w:pPr>
    </w:p>
    <w:p w14:paraId="3871A3FA" w14:textId="77777777" w:rsidR="00B57B05" w:rsidRPr="002B3025" w:rsidRDefault="00B57B05" w:rsidP="00E706BF">
      <w:pPr>
        <w:pStyle w:val="Body"/>
        <w:numPr>
          <w:ilvl w:val="1"/>
          <w:numId w:val="37"/>
        </w:numPr>
        <w:spacing w:after="0"/>
        <w:rPr>
          <w:rFonts w:ascii="Arial" w:hAnsi="Arial" w:cs="Arial"/>
          <w:b/>
          <w:sz w:val="22"/>
          <w:szCs w:val="22"/>
        </w:rPr>
      </w:pPr>
      <w:r w:rsidRPr="002B3025">
        <w:rPr>
          <w:rFonts w:ascii="Arial" w:hAnsi="Arial" w:cs="Arial"/>
          <w:b/>
          <w:sz w:val="22"/>
          <w:szCs w:val="22"/>
        </w:rPr>
        <w:t>The SARIMA Model</w:t>
      </w:r>
    </w:p>
    <w:p w14:paraId="7AAC826A" w14:textId="77777777" w:rsidR="002B3025" w:rsidRPr="00B57B05" w:rsidRDefault="002B3025" w:rsidP="002B3025">
      <w:pPr>
        <w:pStyle w:val="Body"/>
        <w:spacing w:after="0"/>
        <w:ind w:left="360"/>
        <w:rPr>
          <w:rFonts w:ascii="Arial" w:hAnsi="Arial" w:cs="Arial"/>
          <w:b/>
        </w:rPr>
      </w:pPr>
    </w:p>
    <w:p w14:paraId="47140495" w14:textId="77777777" w:rsidR="00B57B05" w:rsidRDefault="00E706BF" w:rsidP="00E706BF">
      <w:pPr>
        <w:pStyle w:val="Body"/>
        <w:spacing w:after="0"/>
        <w:rPr>
          <w:rFonts w:ascii="Arial" w:hAnsi="Arial" w:cs="Arial"/>
          <w:b/>
          <w:u w:val="single"/>
        </w:rPr>
      </w:pPr>
      <w:r>
        <w:rPr>
          <w:rFonts w:ascii="Arial" w:hAnsi="Arial" w:cs="Arial"/>
          <w:b/>
          <w:u w:val="single"/>
        </w:rPr>
        <w:t>4.2.1 Model</w:t>
      </w:r>
      <w:r w:rsidR="00B57B05" w:rsidRPr="002B3025">
        <w:rPr>
          <w:rFonts w:ascii="Arial" w:hAnsi="Arial" w:cs="Arial"/>
          <w:b/>
          <w:u w:val="single"/>
        </w:rPr>
        <w:t xml:space="preserve"> Selection and Identification</w:t>
      </w:r>
    </w:p>
    <w:p w14:paraId="6600AD81" w14:textId="77777777" w:rsidR="002B3025" w:rsidRPr="002B3025" w:rsidRDefault="002B3025" w:rsidP="002B3025">
      <w:pPr>
        <w:pStyle w:val="Body"/>
        <w:spacing w:after="0"/>
        <w:rPr>
          <w:rFonts w:ascii="Arial" w:hAnsi="Arial" w:cs="Arial"/>
          <w:b/>
          <w:u w:val="single"/>
        </w:rPr>
      </w:pPr>
    </w:p>
    <w:p w14:paraId="430D24D9" w14:textId="77777777" w:rsidR="00B57B05" w:rsidRDefault="00B57B05" w:rsidP="002B3025">
      <w:pPr>
        <w:pStyle w:val="Body"/>
        <w:spacing w:after="0"/>
        <w:rPr>
          <w:rFonts w:ascii="Arial" w:hAnsi="Arial" w:cs="Arial"/>
        </w:rPr>
      </w:pPr>
      <w:r w:rsidRPr="00B57B05">
        <w:rPr>
          <w:rFonts w:ascii="Arial" w:hAnsi="Arial" w:cs="Arial"/>
        </w:rPr>
        <w:t xml:space="preserve">In order to select the most appropriate model, grid search optimization was used. The process involves fitting SARIMA models across a range of parameter combinations for seasonal and non-seasonal components. That is, setting d=1 to remove the trend and D=1 to address quarterly seasonality. Other parameters, </w:t>
      </w:r>
      <w:proofErr w:type="spellStart"/>
      <w:proofErr w:type="gramStart"/>
      <w:r w:rsidRPr="00B57B05">
        <w:rPr>
          <w:rFonts w:ascii="Arial" w:hAnsi="Arial" w:cs="Arial"/>
        </w:rPr>
        <w:t>p,d</w:t>
      </w:r>
      <w:proofErr w:type="spellEnd"/>
      <w:proofErr w:type="gramEnd"/>
      <w:r w:rsidRPr="00B57B05">
        <w:rPr>
          <w:rFonts w:ascii="Arial" w:hAnsi="Arial" w:cs="Arial"/>
        </w:rPr>
        <w:t xml:space="preserve">, P, and Q are changed within a range of 0 and 2 during the search. After this, different combinations are evaluated using the Akaike Information </w:t>
      </w:r>
      <w:proofErr w:type="gramStart"/>
      <w:r w:rsidRPr="00B57B05">
        <w:rPr>
          <w:rFonts w:ascii="Arial" w:hAnsi="Arial" w:cs="Arial"/>
        </w:rPr>
        <w:t>Criterion(</w:t>
      </w:r>
      <w:proofErr w:type="gramEnd"/>
      <w:r w:rsidRPr="00B57B05">
        <w:rPr>
          <w:rFonts w:ascii="Arial" w:hAnsi="Arial" w:cs="Arial"/>
        </w:rPr>
        <w:t xml:space="preserve">AIC). Always, the model with the lowest AIC is chosen. </w:t>
      </w:r>
    </w:p>
    <w:p w14:paraId="6A4B83C1" w14:textId="77777777" w:rsidR="002B3025" w:rsidRPr="002B3025" w:rsidRDefault="002B3025" w:rsidP="002B3025">
      <w:pPr>
        <w:pStyle w:val="Body"/>
        <w:spacing w:after="0"/>
        <w:rPr>
          <w:rFonts w:ascii="Arial" w:hAnsi="Arial" w:cs="Arial"/>
        </w:rPr>
      </w:pPr>
    </w:p>
    <w:p w14:paraId="6E0A64AB" w14:textId="77777777" w:rsidR="006A29C0" w:rsidRPr="00DA2212" w:rsidRDefault="006A29C0" w:rsidP="006A29C0">
      <w:pPr>
        <w:pStyle w:val="Caption"/>
        <w:keepNext/>
        <w:rPr>
          <w:rFonts w:ascii="Arial" w:hAnsi="Arial" w:cs="Arial"/>
          <w:b/>
          <w:i w:val="0"/>
          <w:color w:val="auto"/>
          <w:sz w:val="20"/>
          <w:szCs w:val="20"/>
        </w:rPr>
      </w:pPr>
      <w:r w:rsidRPr="00DA2212">
        <w:rPr>
          <w:rFonts w:ascii="Arial" w:hAnsi="Arial" w:cs="Arial"/>
          <w:b/>
          <w:i w:val="0"/>
          <w:color w:val="auto"/>
          <w:sz w:val="20"/>
          <w:szCs w:val="20"/>
        </w:rPr>
        <w:t xml:space="preserve">Table </w:t>
      </w:r>
      <w:r w:rsidRPr="00DA2212">
        <w:rPr>
          <w:rFonts w:ascii="Arial" w:hAnsi="Arial" w:cs="Arial"/>
          <w:b/>
          <w:i w:val="0"/>
          <w:color w:val="auto"/>
          <w:sz w:val="20"/>
          <w:szCs w:val="20"/>
        </w:rPr>
        <w:fldChar w:fldCharType="begin"/>
      </w:r>
      <w:r w:rsidRPr="00DA2212">
        <w:rPr>
          <w:rFonts w:ascii="Arial" w:hAnsi="Arial" w:cs="Arial"/>
          <w:b/>
          <w:i w:val="0"/>
          <w:color w:val="auto"/>
          <w:sz w:val="20"/>
          <w:szCs w:val="20"/>
        </w:rPr>
        <w:instrText xml:space="preserve"> SEQ Table \* ARABIC </w:instrText>
      </w:r>
      <w:r w:rsidRPr="00DA2212">
        <w:rPr>
          <w:rFonts w:ascii="Arial" w:hAnsi="Arial" w:cs="Arial"/>
          <w:b/>
          <w:i w:val="0"/>
          <w:color w:val="auto"/>
          <w:sz w:val="20"/>
          <w:szCs w:val="20"/>
        </w:rPr>
        <w:fldChar w:fldCharType="separate"/>
      </w:r>
      <w:r w:rsidRPr="00DA2212">
        <w:rPr>
          <w:rFonts w:ascii="Arial" w:hAnsi="Arial" w:cs="Arial"/>
          <w:b/>
          <w:i w:val="0"/>
          <w:noProof/>
          <w:color w:val="auto"/>
          <w:sz w:val="20"/>
          <w:szCs w:val="20"/>
        </w:rPr>
        <w:t>1</w:t>
      </w:r>
      <w:r w:rsidRPr="00DA2212">
        <w:rPr>
          <w:rFonts w:ascii="Arial" w:hAnsi="Arial" w:cs="Arial"/>
          <w:b/>
          <w:i w:val="0"/>
          <w:color w:val="auto"/>
          <w:sz w:val="20"/>
          <w:szCs w:val="20"/>
        </w:rPr>
        <w:fldChar w:fldCharType="end"/>
      </w:r>
      <w:r w:rsidRPr="00DA2212">
        <w:rPr>
          <w:rFonts w:ascii="Arial" w:hAnsi="Arial" w:cs="Arial"/>
          <w:b/>
          <w:i w:val="0"/>
          <w:color w:val="auto"/>
          <w:sz w:val="20"/>
          <w:szCs w:val="20"/>
        </w:rPr>
        <w:t xml:space="preserve"> The Comparison of Different SARIMA Models</w:t>
      </w:r>
    </w:p>
    <w:tbl>
      <w:tblPr>
        <w:tblStyle w:val="TableGrid"/>
        <w:tblW w:w="0" w:type="auto"/>
        <w:jc w:val="center"/>
        <w:tblLook w:val="04A0" w:firstRow="1" w:lastRow="0" w:firstColumn="1" w:lastColumn="0" w:noHBand="0" w:noVBand="1"/>
      </w:tblPr>
      <w:tblGrid>
        <w:gridCol w:w="2101"/>
        <w:gridCol w:w="2105"/>
        <w:gridCol w:w="2116"/>
        <w:gridCol w:w="2102"/>
      </w:tblGrid>
      <w:tr w:rsidR="00B57B05" w:rsidRPr="00B57B05" w14:paraId="1F806E8A" w14:textId="77777777" w:rsidTr="006A29C0">
        <w:trPr>
          <w:jc w:val="center"/>
        </w:trPr>
        <w:tc>
          <w:tcPr>
            <w:tcW w:w="2101" w:type="dxa"/>
          </w:tcPr>
          <w:p w14:paraId="1FC4E0FF" w14:textId="77777777" w:rsidR="00B57B05" w:rsidRPr="00B57B05" w:rsidRDefault="00B57B05" w:rsidP="00B57B05">
            <w:pPr>
              <w:pStyle w:val="Body"/>
              <w:rPr>
                <w:rFonts w:ascii="Arial" w:eastAsia="Times New Roman" w:hAnsi="Arial" w:cs="Arial"/>
                <w:sz w:val="20"/>
                <w:lang w:val="en-IN"/>
              </w:rPr>
            </w:pPr>
            <w:r w:rsidRPr="00B57B05">
              <w:rPr>
                <w:rFonts w:ascii="Arial" w:eastAsia="Times New Roman" w:hAnsi="Arial" w:cs="Arial"/>
                <w:sz w:val="20"/>
                <w:lang w:val="en-IN"/>
              </w:rPr>
              <w:t>Rank</w:t>
            </w:r>
          </w:p>
        </w:tc>
        <w:tc>
          <w:tcPr>
            <w:tcW w:w="2105" w:type="dxa"/>
          </w:tcPr>
          <w:p w14:paraId="5EF84743" w14:textId="77777777" w:rsidR="00B57B05" w:rsidRPr="00B57B05" w:rsidRDefault="00B57B05" w:rsidP="00B57B05">
            <w:pPr>
              <w:pStyle w:val="Body"/>
              <w:rPr>
                <w:rFonts w:ascii="Arial" w:eastAsia="Times New Roman" w:hAnsi="Arial" w:cs="Arial"/>
                <w:sz w:val="20"/>
                <w:lang w:val="en-IN"/>
              </w:rPr>
            </w:pPr>
            <w:r w:rsidRPr="00B57B05">
              <w:rPr>
                <w:rFonts w:ascii="Arial" w:eastAsia="Times New Roman" w:hAnsi="Arial" w:cs="Arial"/>
                <w:sz w:val="20"/>
                <w:lang w:val="en-IN"/>
              </w:rPr>
              <w:t>(</w:t>
            </w:r>
            <w:proofErr w:type="spellStart"/>
            <w:proofErr w:type="gramStart"/>
            <w:r w:rsidRPr="00B57B05">
              <w:rPr>
                <w:rFonts w:ascii="Arial" w:eastAsia="Times New Roman" w:hAnsi="Arial" w:cs="Arial"/>
                <w:sz w:val="20"/>
                <w:lang w:val="en-IN"/>
              </w:rPr>
              <w:t>p,d</w:t>
            </w:r>
            <w:proofErr w:type="gramEnd"/>
            <w:r w:rsidRPr="00B57B05">
              <w:rPr>
                <w:rFonts w:ascii="Arial" w:eastAsia="Times New Roman" w:hAnsi="Arial" w:cs="Arial"/>
                <w:sz w:val="20"/>
                <w:lang w:val="en-IN"/>
              </w:rPr>
              <w:t>,q</w:t>
            </w:r>
            <w:proofErr w:type="spellEnd"/>
            <w:r w:rsidRPr="00B57B05">
              <w:rPr>
                <w:rFonts w:ascii="Arial" w:eastAsia="Times New Roman" w:hAnsi="Arial" w:cs="Arial"/>
                <w:sz w:val="20"/>
                <w:lang w:val="en-IN"/>
              </w:rPr>
              <w:t>)</w:t>
            </w:r>
          </w:p>
        </w:tc>
        <w:tc>
          <w:tcPr>
            <w:tcW w:w="2116" w:type="dxa"/>
          </w:tcPr>
          <w:p w14:paraId="75D2D11E" w14:textId="77777777" w:rsidR="00B57B05" w:rsidRPr="00B57B05" w:rsidRDefault="00B57B05" w:rsidP="00B57B05">
            <w:pPr>
              <w:pStyle w:val="Body"/>
              <w:rPr>
                <w:rFonts w:ascii="Arial" w:eastAsia="Times New Roman" w:hAnsi="Arial" w:cs="Arial"/>
                <w:sz w:val="20"/>
                <w:lang w:val="en-IN"/>
              </w:rPr>
            </w:pPr>
            <w:r w:rsidRPr="00B57B05">
              <w:rPr>
                <w:rFonts w:ascii="Arial" w:eastAsia="Times New Roman" w:hAnsi="Arial" w:cs="Arial"/>
                <w:sz w:val="20"/>
                <w:lang w:val="en-IN"/>
              </w:rPr>
              <w:t>(</w:t>
            </w:r>
            <w:proofErr w:type="gramStart"/>
            <w:r w:rsidRPr="00B57B05">
              <w:rPr>
                <w:rFonts w:ascii="Arial" w:eastAsia="Times New Roman" w:hAnsi="Arial" w:cs="Arial"/>
                <w:sz w:val="20"/>
                <w:lang w:val="en-IN"/>
              </w:rPr>
              <w:t>P,D</w:t>
            </w:r>
            <w:proofErr w:type="gramEnd"/>
            <w:r w:rsidRPr="00B57B05">
              <w:rPr>
                <w:rFonts w:ascii="Arial" w:eastAsia="Times New Roman" w:hAnsi="Arial" w:cs="Arial"/>
                <w:sz w:val="20"/>
                <w:lang w:val="en-IN"/>
              </w:rPr>
              <w:t>,Q,s)</w:t>
            </w:r>
          </w:p>
        </w:tc>
        <w:tc>
          <w:tcPr>
            <w:tcW w:w="2102" w:type="dxa"/>
          </w:tcPr>
          <w:p w14:paraId="33AD6ECD" w14:textId="77777777" w:rsidR="00B57B05" w:rsidRPr="00B57B05" w:rsidRDefault="00B57B05" w:rsidP="00B57B05">
            <w:pPr>
              <w:pStyle w:val="Body"/>
              <w:rPr>
                <w:rFonts w:ascii="Arial" w:eastAsia="Times New Roman" w:hAnsi="Arial" w:cs="Arial"/>
                <w:sz w:val="20"/>
                <w:lang w:val="en-IN"/>
              </w:rPr>
            </w:pPr>
            <w:r w:rsidRPr="00B57B05">
              <w:rPr>
                <w:rFonts w:ascii="Arial" w:eastAsia="Times New Roman" w:hAnsi="Arial" w:cs="Arial"/>
                <w:sz w:val="20"/>
                <w:lang w:val="en-IN"/>
              </w:rPr>
              <w:t>AIC</w:t>
            </w:r>
          </w:p>
        </w:tc>
      </w:tr>
      <w:tr w:rsidR="00B57B05" w:rsidRPr="00B57B05" w14:paraId="186AFF41" w14:textId="77777777" w:rsidTr="006A29C0">
        <w:trPr>
          <w:jc w:val="center"/>
        </w:trPr>
        <w:tc>
          <w:tcPr>
            <w:tcW w:w="2101" w:type="dxa"/>
          </w:tcPr>
          <w:p w14:paraId="1D1D633A" w14:textId="77777777" w:rsidR="00B57B05" w:rsidRPr="00B57B05" w:rsidRDefault="00B57B05" w:rsidP="00B57B05">
            <w:pPr>
              <w:pStyle w:val="Body"/>
              <w:rPr>
                <w:rFonts w:ascii="Arial" w:eastAsia="Times New Roman" w:hAnsi="Arial" w:cs="Arial"/>
                <w:sz w:val="20"/>
                <w:lang w:val="en-IN"/>
              </w:rPr>
            </w:pPr>
            <w:r w:rsidRPr="00B57B05">
              <w:rPr>
                <w:rFonts w:ascii="Arial" w:eastAsia="Times New Roman" w:hAnsi="Arial" w:cs="Arial"/>
                <w:sz w:val="20"/>
                <w:lang w:val="en-IN"/>
              </w:rPr>
              <w:t>1</w:t>
            </w:r>
          </w:p>
        </w:tc>
        <w:tc>
          <w:tcPr>
            <w:tcW w:w="2105" w:type="dxa"/>
          </w:tcPr>
          <w:p w14:paraId="0B74594D" w14:textId="77777777" w:rsidR="00B57B05" w:rsidRPr="00B57B05" w:rsidRDefault="00B57B05" w:rsidP="00B57B05">
            <w:pPr>
              <w:pStyle w:val="Body"/>
              <w:rPr>
                <w:rFonts w:ascii="Arial" w:eastAsia="Times New Roman" w:hAnsi="Arial" w:cs="Arial"/>
                <w:sz w:val="20"/>
                <w:lang w:val="en-IN"/>
              </w:rPr>
            </w:pPr>
            <w:r w:rsidRPr="00B57B05">
              <w:rPr>
                <w:rFonts w:ascii="Arial" w:eastAsia="Times New Roman" w:hAnsi="Arial" w:cs="Arial"/>
                <w:sz w:val="20"/>
                <w:lang w:val="en-IN"/>
              </w:rPr>
              <w:t>(1, 1, 1)</w:t>
            </w:r>
          </w:p>
        </w:tc>
        <w:tc>
          <w:tcPr>
            <w:tcW w:w="2116" w:type="dxa"/>
          </w:tcPr>
          <w:p w14:paraId="09929F6A" w14:textId="77777777" w:rsidR="00B57B05" w:rsidRPr="00B57B05" w:rsidRDefault="00B57B05" w:rsidP="00B57B05">
            <w:pPr>
              <w:pStyle w:val="Body"/>
              <w:rPr>
                <w:rFonts w:ascii="Arial" w:eastAsia="Times New Roman" w:hAnsi="Arial" w:cs="Arial"/>
                <w:sz w:val="20"/>
                <w:lang w:val="en-IN"/>
              </w:rPr>
            </w:pPr>
            <w:r w:rsidRPr="00B57B05">
              <w:rPr>
                <w:rFonts w:ascii="Arial" w:eastAsia="Times New Roman" w:hAnsi="Arial" w:cs="Arial"/>
                <w:sz w:val="20"/>
                <w:lang w:val="en-IN"/>
              </w:rPr>
              <w:t>(1, 1, 0,4)</w:t>
            </w:r>
          </w:p>
        </w:tc>
        <w:tc>
          <w:tcPr>
            <w:tcW w:w="2102" w:type="dxa"/>
          </w:tcPr>
          <w:p w14:paraId="58FA6113" w14:textId="77777777" w:rsidR="00B57B05" w:rsidRPr="00B57B05" w:rsidRDefault="00B57B05" w:rsidP="00B57B05">
            <w:pPr>
              <w:pStyle w:val="Body"/>
              <w:rPr>
                <w:rFonts w:ascii="Arial" w:eastAsia="Times New Roman" w:hAnsi="Arial" w:cs="Arial"/>
                <w:sz w:val="20"/>
                <w:lang w:val="en-IN"/>
              </w:rPr>
            </w:pPr>
            <w:r w:rsidRPr="00B57B05">
              <w:rPr>
                <w:rFonts w:ascii="Arial" w:eastAsia="Times New Roman" w:hAnsi="Arial" w:cs="Arial"/>
                <w:sz w:val="20"/>
                <w:lang w:val="en-IN"/>
              </w:rPr>
              <w:t>320.5</w:t>
            </w:r>
          </w:p>
        </w:tc>
      </w:tr>
      <w:tr w:rsidR="00B57B05" w:rsidRPr="00B57B05" w14:paraId="3C3F8989" w14:textId="77777777" w:rsidTr="006A29C0">
        <w:trPr>
          <w:jc w:val="center"/>
        </w:trPr>
        <w:tc>
          <w:tcPr>
            <w:tcW w:w="2101" w:type="dxa"/>
          </w:tcPr>
          <w:p w14:paraId="5BCF22EC" w14:textId="77777777" w:rsidR="00B57B05" w:rsidRPr="00B57B05" w:rsidRDefault="00B57B05" w:rsidP="00B57B05">
            <w:pPr>
              <w:pStyle w:val="Body"/>
              <w:rPr>
                <w:rFonts w:ascii="Arial" w:eastAsia="Times New Roman" w:hAnsi="Arial" w:cs="Arial"/>
                <w:sz w:val="20"/>
                <w:lang w:val="en-IN"/>
              </w:rPr>
            </w:pPr>
            <w:r w:rsidRPr="00B57B05">
              <w:rPr>
                <w:rFonts w:ascii="Arial" w:eastAsia="Times New Roman" w:hAnsi="Arial" w:cs="Arial"/>
                <w:sz w:val="20"/>
                <w:lang w:val="en-IN"/>
              </w:rPr>
              <w:t>2</w:t>
            </w:r>
          </w:p>
        </w:tc>
        <w:tc>
          <w:tcPr>
            <w:tcW w:w="2105" w:type="dxa"/>
          </w:tcPr>
          <w:p w14:paraId="347BAE6C" w14:textId="77777777" w:rsidR="00B57B05" w:rsidRPr="00B57B05" w:rsidRDefault="00B57B05" w:rsidP="00B57B05">
            <w:pPr>
              <w:pStyle w:val="Body"/>
              <w:rPr>
                <w:rFonts w:ascii="Arial" w:eastAsia="Times New Roman" w:hAnsi="Arial" w:cs="Arial"/>
                <w:sz w:val="20"/>
                <w:lang w:val="en-IN"/>
              </w:rPr>
            </w:pPr>
            <w:r w:rsidRPr="00B57B05">
              <w:rPr>
                <w:rFonts w:ascii="Arial" w:eastAsia="Times New Roman" w:hAnsi="Arial" w:cs="Arial"/>
                <w:sz w:val="20"/>
                <w:lang w:val="en-IN"/>
              </w:rPr>
              <w:t>(2, 1, 1)</w:t>
            </w:r>
          </w:p>
        </w:tc>
        <w:tc>
          <w:tcPr>
            <w:tcW w:w="2116" w:type="dxa"/>
          </w:tcPr>
          <w:p w14:paraId="07DF344A" w14:textId="77777777" w:rsidR="00B57B05" w:rsidRPr="00B57B05" w:rsidRDefault="00B57B05" w:rsidP="00B57B05">
            <w:pPr>
              <w:pStyle w:val="Body"/>
              <w:rPr>
                <w:rFonts w:ascii="Arial" w:eastAsia="Times New Roman" w:hAnsi="Arial" w:cs="Arial"/>
                <w:sz w:val="20"/>
                <w:lang w:val="en-IN"/>
              </w:rPr>
            </w:pPr>
            <w:r w:rsidRPr="00B57B05">
              <w:rPr>
                <w:rFonts w:ascii="Arial" w:eastAsia="Times New Roman" w:hAnsi="Arial" w:cs="Arial"/>
                <w:sz w:val="20"/>
                <w:lang w:val="en-IN"/>
              </w:rPr>
              <w:t>(1, 1, 0,4)</w:t>
            </w:r>
          </w:p>
        </w:tc>
        <w:tc>
          <w:tcPr>
            <w:tcW w:w="2102" w:type="dxa"/>
          </w:tcPr>
          <w:p w14:paraId="18E5A033" w14:textId="77777777" w:rsidR="00B57B05" w:rsidRPr="00B57B05" w:rsidRDefault="00B57B05" w:rsidP="00B57B05">
            <w:pPr>
              <w:pStyle w:val="Body"/>
              <w:rPr>
                <w:rFonts w:ascii="Arial" w:eastAsia="Times New Roman" w:hAnsi="Arial" w:cs="Arial"/>
                <w:sz w:val="20"/>
                <w:lang w:val="en-IN"/>
              </w:rPr>
            </w:pPr>
            <w:r w:rsidRPr="00B57B05">
              <w:rPr>
                <w:rFonts w:ascii="Arial" w:eastAsia="Times New Roman" w:hAnsi="Arial" w:cs="Arial"/>
                <w:sz w:val="20"/>
                <w:lang w:val="en-IN"/>
              </w:rPr>
              <w:t>322.1</w:t>
            </w:r>
          </w:p>
        </w:tc>
      </w:tr>
      <w:tr w:rsidR="00B57B05" w:rsidRPr="00B57B05" w14:paraId="2DAC5BEE" w14:textId="77777777" w:rsidTr="006A29C0">
        <w:trPr>
          <w:jc w:val="center"/>
        </w:trPr>
        <w:tc>
          <w:tcPr>
            <w:tcW w:w="2101" w:type="dxa"/>
          </w:tcPr>
          <w:p w14:paraId="6C8C31C5" w14:textId="77777777" w:rsidR="00B57B05" w:rsidRPr="00B57B05" w:rsidRDefault="00B57B05" w:rsidP="00B57B05">
            <w:pPr>
              <w:pStyle w:val="Body"/>
              <w:rPr>
                <w:rFonts w:ascii="Arial" w:eastAsia="Times New Roman" w:hAnsi="Arial" w:cs="Arial"/>
                <w:sz w:val="20"/>
                <w:lang w:val="en-IN"/>
              </w:rPr>
            </w:pPr>
            <w:r w:rsidRPr="00B57B05">
              <w:rPr>
                <w:rFonts w:ascii="Arial" w:eastAsia="Times New Roman" w:hAnsi="Arial" w:cs="Arial"/>
                <w:sz w:val="20"/>
                <w:lang w:val="en-IN"/>
              </w:rPr>
              <w:t>3</w:t>
            </w:r>
          </w:p>
        </w:tc>
        <w:tc>
          <w:tcPr>
            <w:tcW w:w="2105" w:type="dxa"/>
          </w:tcPr>
          <w:p w14:paraId="595E4D13" w14:textId="77777777" w:rsidR="00B57B05" w:rsidRPr="00B57B05" w:rsidRDefault="00B57B05" w:rsidP="00B57B05">
            <w:pPr>
              <w:pStyle w:val="Body"/>
              <w:rPr>
                <w:rFonts w:ascii="Arial" w:eastAsia="Times New Roman" w:hAnsi="Arial" w:cs="Arial"/>
                <w:sz w:val="20"/>
                <w:lang w:val="en-IN"/>
              </w:rPr>
            </w:pPr>
            <w:r w:rsidRPr="00B57B05">
              <w:rPr>
                <w:rFonts w:ascii="Arial" w:eastAsia="Times New Roman" w:hAnsi="Arial" w:cs="Arial"/>
                <w:sz w:val="20"/>
                <w:lang w:val="en-IN"/>
              </w:rPr>
              <w:t>(1, 1, 2)</w:t>
            </w:r>
          </w:p>
        </w:tc>
        <w:tc>
          <w:tcPr>
            <w:tcW w:w="2116" w:type="dxa"/>
          </w:tcPr>
          <w:p w14:paraId="11BFAB25" w14:textId="77777777" w:rsidR="00B57B05" w:rsidRPr="00B57B05" w:rsidRDefault="00B57B05" w:rsidP="00B57B05">
            <w:pPr>
              <w:pStyle w:val="Body"/>
              <w:rPr>
                <w:rFonts w:ascii="Arial" w:eastAsia="Times New Roman" w:hAnsi="Arial" w:cs="Arial"/>
                <w:sz w:val="20"/>
                <w:lang w:val="en-IN"/>
              </w:rPr>
            </w:pPr>
            <w:r w:rsidRPr="00B57B05">
              <w:rPr>
                <w:rFonts w:ascii="Arial" w:eastAsia="Times New Roman" w:hAnsi="Arial" w:cs="Arial"/>
                <w:sz w:val="20"/>
                <w:lang w:val="en-IN"/>
              </w:rPr>
              <w:t>(1, 1, 0,4)</w:t>
            </w:r>
          </w:p>
        </w:tc>
        <w:tc>
          <w:tcPr>
            <w:tcW w:w="2102" w:type="dxa"/>
          </w:tcPr>
          <w:p w14:paraId="01156ABC" w14:textId="77777777" w:rsidR="00B57B05" w:rsidRPr="00B57B05" w:rsidRDefault="00B57B05" w:rsidP="00B57B05">
            <w:pPr>
              <w:pStyle w:val="Body"/>
              <w:rPr>
                <w:rFonts w:ascii="Arial" w:eastAsia="Times New Roman" w:hAnsi="Arial" w:cs="Arial"/>
                <w:sz w:val="20"/>
                <w:lang w:val="en-IN"/>
              </w:rPr>
            </w:pPr>
            <w:r w:rsidRPr="00B57B05">
              <w:rPr>
                <w:rFonts w:ascii="Arial" w:eastAsia="Times New Roman" w:hAnsi="Arial" w:cs="Arial"/>
                <w:sz w:val="20"/>
                <w:lang w:val="en-IN"/>
              </w:rPr>
              <w:t>323.8</w:t>
            </w:r>
          </w:p>
        </w:tc>
      </w:tr>
      <w:tr w:rsidR="00B57B05" w:rsidRPr="00B57B05" w14:paraId="5A90CAAD" w14:textId="77777777" w:rsidTr="006A29C0">
        <w:trPr>
          <w:jc w:val="center"/>
        </w:trPr>
        <w:tc>
          <w:tcPr>
            <w:tcW w:w="2101" w:type="dxa"/>
          </w:tcPr>
          <w:p w14:paraId="484F84B1" w14:textId="77777777" w:rsidR="00B57B05" w:rsidRPr="00B57B05" w:rsidRDefault="00B57B05" w:rsidP="00B57B05">
            <w:pPr>
              <w:pStyle w:val="Body"/>
              <w:rPr>
                <w:rFonts w:ascii="Arial" w:eastAsia="Times New Roman" w:hAnsi="Arial" w:cs="Arial"/>
                <w:sz w:val="20"/>
                <w:lang w:val="en-IN"/>
              </w:rPr>
            </w:pPr>
            <w:r w:rsidRPr="00B57B05">
              <w:rPr>
                <w:rFonts w:ascii="Arial" w:eastAsia="Times New Roman" w:hAnsi="Arial" w:cs="Arial"/>
                <w:sz w:val="20"/>
                <w:lang w:val="en-IN"/>
              </w:rPr>
              <w:t>4</w:t>
            </w:r>
          </w:p>
        </w:tc>
        <w:tc>
          <w:tcPr>
            <w:tcW w:w="2105" w:type="dxa"/>
          </w:tcPr>
          <w:p w14:paraId="2DA2475E" w14:textId="77777777" w:rsidR="00B57B05" w:rsidRPr="00B57B05" w:rsidRDefault="00B57B05" w:rsidP="00B57B05">
            <w:pPr>
              <w:pStyle w:val="Body"/>
              <w:rPr>
                <w:rFonts w:ascii="Arial" w:eastAsia="Times New Roman" w:hAnsi="Arial" w:cs="Arial"/>
                <w:sz w:val="20"/>
                <w:lang w:val="en-IN"/>
              </w:rPr>
            </w:pPr>
            <w:r w:rsidRPr="00B57B05">
              <w:rPr>
                <w:rFonts w:ascii="Arial" w:eastAsia="Times New Roman" w:hAnsi="Arial" w:cs="Arial"/>
                <w:sz w:val="20"/>
                <w:lang w:val="en-IN"/>
              </w:rPr>
              <w:t>(2, 1, 2)</w:t>
            </w:r>
          </w:p>
        </w:tc>
        <w:tc>
          <w:tcPr>
            <w:tcW w:w="2116" w:type="dxa"/>
          </w:tcPr>
          <w:p w14:paraId="4598A0D6" w14:textId="77777777" w:rsidR="00B57B05" w:rsidRPr="00B57B05" w:rsidRDefault="00B57B05" w:rsidP="00B57B05">
            <w:pPr>
              <w:pStyle w:val="Body"/>
              <w:rPr>
                <w:rFonts w:ascii="Arial" w:eastAsia="Times New Roman" w:hAnsi="Arial" w:cs="Arial"/>
                <w:sz w:val="20"/>
                <w:lang w:val="en-IN"/>
              </w:rPr>
            </w:pPr>
            <w:r w:rsidRPr="00B57B05">
              <w:rPr>
                <w:rFonts w:ascii="Arial" w:eastAsia="Times New Roman" w:hAnsi="Arial" w:cs="Arial"/>
                <w:sz w:val="20"/>
                <w:lang w:val="en-IN"/>
              </w:rPr>
              <w:t>(1, 1, 0,4)</w:t>
            </w:r>
          </w:p>
        </w:tc>
        <w:tc>
          <w:tcPr>
            <w:tcW w:w="2102" w:type="dxa"/>
          </w:tcPr>
          <w:p w14:paraId="0B5F1AB8" w14:textId="77777777" w:rsidR="00B57B05" w:rsidRPr="00B57B05" w:rsidRDefault="00B57B05" w:rsidP="00B57B05">
            <w:pPr>
              <w:pStyle w:val="Body"/>
              <w:rPr>
                <w:rFonts w:ascii="Arial" w:eastAsia="Times New Roman" w:hAnsi="Arial" w:cs="Arial"/>
                <w:sz w:val="20"/>
                <w:lang w:val="en-IN"/>
              </w:rPr>
            </w:pPr>
            <w:r w:rsidRPr="00B57B05">
              <w:rPr>
                <w:rFonts w:ascii="Arial" w:eastAsia="Times New Roman" w:hAnsi="Arial" w:cs="Arial"/>
                <w:sz w:val="20"/>
                <w:lang w:val="en-IN"/>
              </w:rPr>
              <w:t>325.4</w:t>
            </w:r>
          </w:p>
        </w:tc>
      </w:tr>
      <w:tr w:rsidR="00B57B05" w:rsidRPr="00B57B05" w14:paraId="3CDC8CA6" w14:textId="77777777" w:rsidTr="006A29C0">
        <w:trPr>
          <w:jc w:val="center"/>
        </w:trPr>
        <w:tc>
          <w:tcPr>
            <w:tcW w:w="2101" w:type="dxa"/>
          </w:tcPr>
          <w:p w14:paraId="7FBC33C6" w14:textId="77777777" w:rsidR="00B57B05" w:rsidRPr="00B57B05" w:rsidRDefault="00B57B05" w:rsidP="00B57B05">
            <w:pPr>
              <w:pStyle w:val="Body"/>
              <w:rPr>
                <w:rFonts w:ascii="Arial" w:eastAsia="Times New Roman" w:hAnsi="Arial" w:cs="Arial"/>
                <w:sz w:val="20"/>
                <w:lang w:val="en-IN"/>
              </w:rPr>
            </w:pPr>
            <w:r w:rsidRPr="00B57B05">
              <w:rPr>
                <w:rFonts w:ascii="Arial" w:eastAsia="Times New Roman" w:hAnsi="Arial" w:cs="Arial"/>
                <w:sz w:val="20"/>
                <w:lang w:val="en-IN"/>
              </w:rPr>
              <w:t>5</w:t>
            </w:r>
          </w:p>
        </w:tc>
        <w:tc>
          <w:tcPr>
            <w:tcW w:w="2105" w:type="dxa"/>
          </w:tcPr>
          <w:p w14:paraId="721B2677" w14:textId="77777777" w:rsidR="00B57B05" w:rsidRPr="00B57B05" w:rsidRDefault="00B57B05" w:rsidP="00B57B05">
            <w:pPr>
              <w:pStyle w:val="Body"/>
              <w:rPr>
                <w:rFonts w:ascii="Arial" w:eastAsia="Times New Roman" w:hAnsi="Arial" w:cs="Arial"/>
                <w:sz w:val="20"/>
                <w:lang w:val="en-IN"/>
              </w:rPr>
            </w:pPr>
            <w:r w:rsidRPr="00B57B05">
              <w:rPr>
                <w:rFonts w:ascii="Arial" w:eastAsia="Times New Roman" w:hAnsi="Arial" w:cs="Arial"/>
                <w:sz w:val="20"/>
                <w:lang w:val="en-IN"/>
              </w:rPr>
              <w:t>(1, 1, 1)</w:t>
            </w:r>
          </w:p>
        </w:tc>
        <w:tc>
          <w:tcPr>
            <w:tcW w:w="2116" w:type="dxa"/>
          </w:tcPr>
          <w:p w14:paraId="169FA708" w14:textId="77777777" w:rsidR="00B57B05" w:rsidRPr="00B57B05" w:rsidRDefault="00B57B05" w:rsidP="00B57B05">
            <w:pPr>
              <w:pStyle w:val="Body"/>
              <w:rPr>
                <w:rFonts w:ascii="Arial" w:eastAsia="Times New Roman" w:hAnsi="Arial" w:cs="Arial"/>
                <w:sz w:val="20"/>
                <w:lang w:val="en-IN"/>
              </w:rPr>
            </w:pPr>
            <w:r w:rsidRPr="00B57B05">
              <w:rPr>
                <w:rFonts w:ascii="Arial" w:eastAsia="Times New Roman" w:hAnsi="Arial" w:cs="Arial"/>
                <w:sz w:val="20"/>
                <w:lang w:val="en-IN"/>
              </w:rPr>
              <w:t>(2, 1, 0,4)</w:t>
            </w:r>
          </w:p>
        </w:tc>
        <w:tc>
          <w:tcPr>
            <w:tcW w:w="2102" w:type="dxa"/>
          </w:tcPr>
          <w:p w14:paraId="05D7A4DE" w14:textId="77777777" w:rsidR="00B57B05" w:rsidRPr="00B57B05" w:rsidRDefault="00B57B05" w:rsidP="00B57B05">
            <w:pPr>
              <w:pStyle w:val="Body"/>
              <w:rPr>
                <w:rFonts w:ascii="Arial" w:eastAsia="Times New Roman" w:hAnsi="Arial" w:cs="Arial"/>
                <w:sz w:val="20"/>
                <w:lang w:val="en-IN"/>
              </w:rPr>
            </w:pPr>
            <w:r w:rsidRPr="00B57B05">
              <w:rPr>
                <w:rFonts w:ascii="Arial" w:eastAsia="Times New Roman" w:hAnsi="Arial" w:cs="Arial"/>
                <w:sz w:val="20"/>
                <w:lang w:val="en-IN"/>
              </w:rPr>
              <w:t>326.0</w:t>
            </w:r>
          </w:p>
        </w:tc>
      </w:tr>
    </w:tbl>
    <w:p w14:paraId="740C9864" w14:textId="77777777" w:rsidR="00B57B05" w:rsidRPr="00B57B05" w:rsidRDefault="00B57B05" w:rsidP="00B57B05">
      <w:pPr>
        <w:pStyle w:val="Body"/>
        <w:spacing w:after="0"/>
        <w:rPr>
          <w:rFonts w:ascii="Arial" w:hAnsi="Arial" w:cs="Arial"/>
        </w:rPr>
      </w:pPr>
    </w:p>
    <w:p w14:paraId="223F173C" w14:textId="77777777" w:rsidR="00B57B05" w:rsidRDefault="00B57B05" w:rsidP="00B57B05">
      <w:pPr>
        <w:pStyle w:val="Body"/>
        <w:spacing w:after="0"/>
        <w:rPr>
          <w:rFonts w:ascii="Arial" w:hAnsi="Arial" w:cs="Arial"/>
        </w:rPr>
      </w:pPr>
      <w:r w:rsidRPr="00B57B05">
        <w:rPr>
          <w:rFonts w:ascii="Arial" w:hAnsi="Arial" w:cs="Arial"/>
        </w:rPr>
        <w:t xml:space="preserve">Based on the table above, the </w:t>
      </w:r>
      <w:proofErr w:type="gramStart"/>
      <w:r w:rsidRPr="00B57B05">
        <w:rPr>
          <w:rFonts w:ascii="Arial" w:hAnsi="Arial" w:cs="Arial"/>
        </w:rPr>
        <w:t>SARIMA(</w:t>
      </w:r>
      <w:proofErr w:type="gramEnd"/>
      <w:r w:rsidRPr="00B57B05">
        <w:rPr>
          <w:rFonts w:ascii="Arial" w:hAnsi="Arial" w:cs="Arial"/>
        </w:rPr>
        <w:t xml:space="preserve">1,1,1)(1,1,0,4) model is selected. </w:t>
      </w:r>
    </w:p>
    <w:p w14:paraId="696B29A4" w14:textId="77777777" w:rsidR="00632BAA" w:rsidRPr="00B57B05" w:rsidRDefault="00632BAA" w:rsidP="00B57B05">
      <w:pPr>
        <w:pStyle w:val="Body"/>
        <w:spacing w:after="0"/>
        <w:rPr>
          <w:rFonts w:ascii="Arial" w:hAnsi="Arial" w:cs="Arial"/>
        </w:rPr>
      </w:pPr>
    </w:p>
    <w:p w14:paraId="4F297868" w14:textId="77777777" w:rsidR="00B57B05" w:rsidRDefault="00E706BF" w:rsidP="00E706BF">
      <w:pPr>
        <w:pStyle w:val="Body"/>
        <w:spacing w:after="0"/>
        <w:rPr>
          <w:rFonts w:ascii="Arial" w:hAnsi="Arial" w:cs="Arial"/>
          <w:b/>
          <w:u w:val="single"/>
        </w:rPr>
      </w:pPr>
      <w:r>
        <w:rPr>
          <w:rFonts w:ascii="Arial" w:hAnsi="Arial" w:cs="Arial"/>
          <w:b/>
          <w:u w:val="single"/>
        </w:rPr>
        <w:t xml:space="preserve">4.2.2 </w:t>
      </w:r>
      <w:r w:rsidR="00B57B05" w:rsidRPr="002B3025">
        <w:rPr>
          <w:rFonts w:ascii="Arial" w:hAnsi="Arial" w:cs="Arial"/>
          <w:b/>
          <w:u w:val="single"/>
        </w:rPr>
        <w:t>Model Diagnosis</w:t>
      </w:r>
    </w:p>
    <w:p w14:paraId="04FD02FB" w14:textId="77777777" w:rsidR="002B3025" w:rsidRPr="002B3025" w:rsidRDefault="002B3025" w:rsidP="002B3025">
      <w:pPr>
        <w:pStyle w:val="Body"/>
        <w:spacing w:after="0"/>
        <w:rPr>
          <w:rFonts w:ascii="Arial" w:hAnsi="Arial" w:cs="Arial"/>
          <w:b/>
          <w:u w:val="single"/>
        </w:rPr>
      </w:pPr>
    </w:p>
    <w:p w14:paraId="7967F873" w14:textId="77777777" w:rsidR="00B57B05" w:rsidRDefault="00B57B05" w:rsidP="00B57B05">
      <w:pPr>
        <w:pStyle w:val="Body"/>
        <w:spacing w:after="0"/>
        <w:rPr>
          <w:rFonts w:ascii="Arial" w:hAnsi="Arial" w:cs="Arial"/>
        </w:rPr>
      </w:pPr>
      <w:r w:rsidRPr="00B57B05">
        <w:rPr>
          <w:rFonts w:ascii="Arial" w:hAnsi="Arial" w:cs="Arial"/>
        </w:rPr>
        <w:t xml:space="preserve">Before fitting the selected model to the data, diagnostic checks </w:t>
      </w:r>
      <w:proofErr w:type="gramStart"/>
      <w:r w:rsidRPr="00B57B05">
        <w:rPr>
          <w:rFonts w:ascii="Arial" w:hAnsi="Arial" w:cs="Arial"/>
        </w:rPr>
        <w:t>is</w:t>
      </w:r>
      <w:proofErr w:type="gramEnd"/>
      <w:r w:rsidRPr="00B57B05">
        <w:rPr>
          <w:rFonts w:ascii="Arial" w:hAnsi="Arial" w:cs="Arial"/>
        </w:rPr>
        <w:t xml:space="preserve"> done to assess its validity. </w:t>
      </w:r>
    </w:p>
    <w:p w14:paraId="24B3467F" w14:textId="77777777" w:rsidR="002B3025" w:rsidRPr="00B57B05" w:rsidRDefault="002B3025" w:rsidP="00B57B05">
      <w:pPr>
        <w:pStyle w:val="Body"/>
        <w:spacing w:after="0"/>
        <w:rPr>
          <w:rFonts w:ascii="Arial" w:hAnsi="Arial" w:cs="Arial"/>
        </w:rPr>
      </w:pPr>
    </w:p>
    <w:p w14:paraId="0CA42D36" w14:textId="77777777" w:rsidR="00B57B05" w:rsidRPr="002B3025" w:rsidRDefault="00B57B05" w:rsidP="00091585">
      <w:pPr>
        <w:pStyle w:val="Body"/>
        <w:numPr>
          <w:ilvl w:val="3"/>
          <w:numId w:val="38"/>
        </w:numPr>
        <w:spacing w:after="0"/>
        <w:rPr>
          <w:rFonts w:ascii="Arial" w:hAnsi="Arial" w:cs="Arial"/>
          <w:b/>
          <w:i/>
        </w:rPr>
      </w:pPr>
      <w:r w:rsidRPr="002B3025">
        <w:rPr>
          <w:rFonts w:ascii="Arial" w:hAnsi="Arial" w:cs="Arial"/>
          <w:b/>
          <w:i/>
        </w:rPr>
        <w:t>Stationarity</w:t>
      </w:r>
    </w:p>
    <w:p w14:paraId="11673781" w14:textId="77777777" w:rsidR="00B57B05" w:rsidRPr="00B57B05" w:rsidRDefault="00B57B05" w:rsidP="00B57B05">
      <w:pPr>
        <w:pStyle w:val="Body"/>
        <w:spacing w:after="0"/>
        <w:rPr>
          <w:rFonts w:ascii="Arial" w:hAnsi="Arial" w:cs="Arial"/>
        </w:rPr>
      </w:pPr>
      <w:r w:rsidRPr="00B57B05">
        <w:rPr>
          <w:rFonts w:ascii="Arial" w:hAnsi="Arial" w:cs="Arial"/>
        </w:rPr>
        <w:t>The Augmented Dickey-Fuller test is used to determine the stationarity of the time series. The test has the following hypothesis:</w:t>
      </w:r>
    </w:p>
    <w:p w14:paraId="3FC8FCE5" w14:textId="77777777" w:rsidR="00B57B05" w:rsidRPr="00B57B05" w:rsidRDefault="00B57B05" w:rsidP="00B57B05">
      <w:pPr>
        <w:pStyle w:val="Body"/>
        <w:numPr>
          <w:ilvl w:val="0"/>
          <w:numId w:val="33"/>
        </w:numPr>
        <w:spacing w:after="0"/>
        <w:rPr>
          <w:rFonts w:ascii="Arial" w:hAnsi="Arial" w:cs="Arial"/>
          <w:lang w:val="en-GB"/>
        </w:rPr>
      </w:pPr>
      <w:r w:rsidRPr="00B57B05">
        <w:rPr>
          <w:rFonts w:ascii="Arial" w:hAnsi="Arial" w:cs="Arial"/>
          <w:lang w:val="en-GB"/>
        </w:rPr>
        <w:t>H</w:t>
      </w:r>
      <w:r w:rsidRPr="00B57B05">
        <w:rPr>
          <w:rFonts w:ascii="Arial" w:hAnsi="Arial" w:cs="Arial"/>
          <w:vertAlign w:val="subscript"/>
          <w:lang w:val="en-GB"/>
        </w:rPr>
        <w:t>0</w:t>
      </w:r>
      <w:r w:rsidRPr="00B57B05">
        <w:rPr>
          <w:rFonts w:ascii="Arial" w:hAnsi="Arial" w:cs="Arial"/>
          <w:lang w:val="en-GB"/>
        </w:rPr>
        <w:t>: Time series is non-stationary.</w:t>
      </w:r>
    </w:p>
    <w:p w14:paraId="1C9ABD67" w14:textId="77777777" w:rsidR="00B57B05" w:rsidRPr="00B57B05" w:rsidRDefault="00B57B05" w:rsidP="00B57B05">
      <w:pPr>
        <w:pStyle w:val="Body"/>
        <w:numPr>
          <w:ilvl w:val="0"/>
          <w:numId w:val="33"/>
        </w:numPr>
        <w:spacing w:after="0"/>
        <w:rPr>
          <w:rFonts w:ascii="Arial" w:hAnsi="Arial" w:cs="Arial"/>
          <w:lang w:val="en-GB"/>
        </w:rPr>
      </w:pPr>
      <w:r w:rsidRPr="00B57B05">
        <w:rPr>
          <w:rFonts w:ascii="Arial" w:hAnsi="Arial" w:cs="Arial"/>
          <w:lang w:val="en-GB"/>
        </w:rPr>
        <w:t>H</w:t>
      </w:r>
      <w:r w:rsidRPr="00B57B05">
        <w:rPr>
          <w:rFonts w:ascii="Arial" w:hAnsi="Arial" w:cs="Arial"/>
          <w:vertAlign w:val="subscript"/>
          <w:lang w:val="en-GB"/>
        </w:rPr>
        <w:t>1</w:t>
      </w:r>
      <w:r w:rsidRPr="00B57B05">
        <w:rPr>
          <w:rFonts w:ascii="Arial" w:hAnsi="Arial" w:cs="Arial"/>
          <w:lang w:val="en-GB"/>
        </w:rPr>
        <w:t>: Time series is stationary.</w:t>
      </w:r>
    </w:p>
    <w:p w14:paraId="7760D495" w14:textId="77777777" w:rsidR="00B57B05" w:rsidRPr="00B57B05" w:rsidRDefault="00B57B05" w:rsidP="00B57B05">
      <w:pPr>
        <w:pStyle w:val="Body"/>
        <w:spacing w:after="0"/>
        <w:rPr>
          <w:rFonts w:ascii="Arial" w:hAnsi="Arial" w:cs="Arial"/>
        </w:rPr>
      </w:pPr>
      <w:r w:rsidRPr="00B57B05">
        <w:rPr>
          <w:rFonts w:ascii="Arial" w:hAnsi="Arial" w:cs="Arial"/>
          <w:noProof/>
        </w:rPr>
        <w:drawing>
          <wp:inline distT="0" distB="0" distL="0" distR="0" wp14:anchorId="03605850" wp14:editId="22289476">
            <wp:extent cx="2475230" cy="567055"/>
            <wp:effectExtent l="0" t="0" r="1270" b="4445"/>
            <wp:docPr id="1027" name="Picture 3"/>
            <wp:cNvGraphicFramePr/>
            <a:graphic xmlns:a="http://schemas.openxmlformats.org/drawingml/2006/main">
              <a:graphicData uri="http://schemas.openxmlformats.org/drawingml/2006/picture">
                <pic:pic xmlns:pic="http://schemas.openxmlformats.org/drawingml/2006/picture">
                  <pic:nvPicPr>
                    <pic:cNvPr id="1027" name="Picture 3"/>
                    <pic:cNvPicPr/>
                  </pic:nvPicPr>
                  <pic:blipFill>
                    <a:blip r:embed="rId15" cstate="print"/>
                    <a:stretch>
                      <a:fillRect/>
                    </a:stretch>
                  </pic:blipFill>
                  <pic:spPr>
                    <a:xfrm>
                      <a:off x="0" y="0"/>
                      <a:ext cx="2475230" cy="567055"/>
                    </a:xfrm>
                    <a:prstGeom prst="rect">
                      <a:avLst/>
                    </a:prstGeom>
                  </pic:spPr>
                </pic:pic>
              </a:graphicData>
            </a:graphic>
          </wp:inline>
        </w:drawing>
      </w:r>
    </w:p>
    <w:p w14:paraId="58C852DC" w14:textId="77777777" w:rsidR="00B57B05" w:rsidRDefault="00B57B05" w:rsidP="00B57B05">
      <w:pPr>
        <w:pStyle w:val="Body"/>
        <w:spacing w:after="0"/>
        <w:rPr>
          <w:rFonts w:ascii="Arial" w:hAnsi="Arial" w:cs="Arial"/>
        </w:rPr>
      </w:pPr>
      <w:r w:rsidRPr="00B57B05">
        <w:rPr>
          <w:rFonts w:ascii="Arial" w:hAnsi="Arial" w:cs="Arial"/>
        </w:rPr>
        <w:lastRenderedPageBreak/>
        <w:t>With a p-value of 0.954, the original time series is not stationary. However, after first-order differencing, this value becomes less than 0.05, indicating the series is now stationary. This is noted on parameter d=1 on the model.</w:t>
      </w:r>
    </w:p>
    <w:p w14:paraId="181FB025" w14:textId="77777777" w:rsidR="002B3025" w:rsidRPr="00B57B05" w:rsidRDefault="002B3025" w:rsidP="00B57B05">
      <w:pPr>
        <w:pStyle w:val="Body"/>
        <w:spacing w:after="0"/>
        <w:rPr>
          <w:rFonts w:ascii="Arial" w:hAnsi="Arial" w:cs="Arial"/>
        </w:rPr>
      </w:pPr>
    </w:p>
    <w:p w14:paraId="12B53657" w14:textId="77777777" w:rsidR="00B57B05" w:rsidRPr="002B3025" w:rsidRDefault="00B57B05" w:rsidP="00091585">
      <w:pPr>
        <w:pStyle w:val="Body"/>
        <w:numPr>
          <w:ilvl w:val="3"/>
          <w:numId w:val="38"/>
        </w:numPr>
        <w:spacing w:after="0"/>
        <w:rPr>
          <w:rFonts w:ascii="Arial" w:hAnsi="Arial" w:cs="Arial"/>
          <w:b/>
          <w:i/>
        </w:rPr>
      </w:pPr>
      <w:r w:rsidRPr="002B3025">
        <w:rPr>
          <w:rFonts w:ascii="Arial" w:hAnsi="Arial" w:cs="Arial"/>
          <w:b/>
          <w:i/>
        </w:rPr>
        <w:t>Normality</w:t>
      </w:r>
    </w:p>
    <w:p w14:paraId="4CF2523D" w14:textId="77777777" w:rsidR="007F57A8" w:rsidRDefault="00B57B05" w:rsidP="007F57A8">
      <w:pPr>
        <w:pStyle w:val="Body"/>
        <w:keepNext/>
        <w:spacing w:after="0"/>
      </w:pPr>
      <w:r w:rsidRPr="00B57B05">
        <w:rPr>
          <w:rFonts w:ascii="Arial" w:hAnsi="Arial" w:cs="Arial"/>
          <w:noProof/>
        </w:rPr>
        <w:drawing>
          <wp:inline distT="0" distB="0" distL="0" distR="0" wp14:anchorId="09D42A78" wp14:editId="2B6DE887">
            <wp:extent cx="3011805" cy="1572895"/>
            <wp:effectExtent l="0" t="0" r="0" b="8255"/>
            <wp:docPr id="1028" name="Picture 4"/>
            <wp:cNvGraphicFramePr/>
            <a:graphic xmlns:a="http://schemas.openxmlformats.org/drawingml/2006/main">
              <a:graphicData uri="http://schemas.openxmlformats.org/drawingml/2006/picture">
                <pic:pic xmlns:pic="http://schemas.openxmlformats.org/drawingml/2006/picture">
                  <pic:nvPicPr>
                    <pic:cNvPr id="1028" name="Picture 4"/>
                    <pic:cNvPicPr/>
                  </pic:nvPicPr>
                  <pic:blipFill>
                    <a:blip r:embed="rId16" cstate="print"/>
                    <a:stretch>
                      <a:fillRect/>
                    </a:stretch>
                  </pic:blipFill>
                  <pic:spPr>
                    <a:xfrm>
                      <a:off x="0" y="0"/>
                      <a:ext cx="3011805" cy="1572895"/>
                    </a:xfrm>
                    <a:prstGeom prst="rect">
                      <a:avLst/>
                    </a:prstGeom>
                  </pic:spPr>
                </pic:pic>
              </a:graphicData>
            </a:graphic>
          </wp:inline>
        </w:drawing>
      </w:r>
    </w:p>
    <w:p w14:paraId="0749D591" w14:textId="77777777" w:rsidR="00B57B05" w:rsidRPr="00DA2212" w:rsidRDefault="007F57A8" w:rsidP="007F57A8">
      <w:pPr>
        <w:pStyle w:val="Caption"/>
        <w:jc w:val="both"/>
        <w:rPr>
          <w:rFonts w:ascii="Arial" w:hAnsi="Arial" w:cs="Arial"/>
          <w:b/>
          <w:i w:val="0"/>
          <w:color w:val="auto"/>
          <w:sz w:val="20"/>
          <w:szCs w:val="20"/>
        </w:rPr>
      </w:pPr>
      <w:r w:rsidRPr="00DA2212">
        <w:rPr>
          <w:rFonts w:ascii="Arial" w:hAnsi="Arial" w:cs="Arial"/>
          <w:b/>
          <w:i w:val="0"/>
          <w:color w:val="auto"/>
          <w:sz w:val="20"/>
          <w:szCs w:val="20"/>
        </w:rPr>
        <w:t xml:space="preserve">Figure </w:t>
      </w:r>
      <w:r w:rsidR="00041DC5" w:rsidRPr="00DA2212">
        <w:rPr>
          <w:rFonts w:ascii="Arial" w:hAnsi="Arial" w:cs="Arial"/>
          <w:b/>
          <w:i w:val="0"/>
          <w:color w:val="auto"/>
          <w:sz w:val="20"/>
          <w:szCs w:val="20"/>
        </w:rPr>
        <w:fldChar w:fldCharType="begin"/>
      </w:r>
      <w:r w:rsidR="00041DC5" w:rsidRPr="00DA2212">
        <w:rPr>
          <w:rFonts w:ascii="Arial" w:hAnsi="Arial" w:cs="Arial"/>
          <w:b/>
          <w:i w:val="0"/>
          <w:color w:val="auto"/>
          <w:sz w:val="20"/>
          <w:szCs w:val="20"/>
        </w:rPr>
        <w:instrText xml:space="preserve"> SEQ Figure \* ARABIC </w:instrText>
      </w:r>
      <w:r w:rsidR="00041DC5" w:rsidRPr="00DA2212">
        <w:rPr>
          <w:rFonts w:ascii="Arial" w:hAnsi="Arial" w:cs="Arial"/>
          <w:b/>
          <w:i w:val="0"/>
          <w:color w:val="auto"/>
          <w:sz w:val="20"/>
          <w:szCs w:val="20"/>
        </w:rPr>
        <w:fldChar w:fldCharType="separate"/>
      </w:r>
      <w:r w:rsidRPr="00DA2212">
        <w:rPr>
          <w:rFonts w:ascii="Arial" w:hAnsi="Arial" w:cs="Arial"/>
          <w:b/>
          <w:i w:val="0"/>
          <w:noProof/>
          <w:color w:val="auto"/>
          <w:sz w:val="20"/>
          <w:szCs w:val="20"/>
        </w:rPr>
        <w:t>2</w:t>
      </w:r>
      <w:r w:rsidR="00041DC5" w:rsidRPr="00DA2212">
        <w:rPr>
          <w:rFonts w:ascii="Arial" w:hAnsi="Arial" w:cs="Arial"/>
          <w:b/>
          <w:i w:val="0"/>
          <w:noProof/>
          <w:color w:val="auto"/>
          <w:sz w:val="20"/>
          <w:szCs w:val="20"/>
        </w:rPr>
        <w:fldChar w:fldCharType="end"/>
      </w:r>
      <w:r w:rsidRPr="00DA2212">
        <w:rPr>
          <w:rFonts w:ascii="Arial" w:hAnsi="Arial" w:cs="Arial"/>
          <w:b/>
          <w:i w:val="0"/>
          <w:color w:val="auto"/>
          <w:sz w:val="20"/>
          <w:szCs w:val="20"/>
        </w:rPr>
        <w:t xml:space="preserve"> Histogram of Residuals</w:t>
      </w:r>
    </w:p>
    <w:p w14:paraId="3692C244" w14:textId="77777777" w:rsidR="00B57B05" w:rsidRDefault="00B57B05" w:rsidP="00B57B05">
      <w:pPr>
        <w:pStyle w:val="Body"/>
        <w:spacing w:after="0"/>
        <w:rPr>
          <w:rFonts w:ascii="Arial" w:hAnsi="Arial" w:cs="Arial"/>
        </w:rPr>
      </w:pPr>
      <w:r w:rsidRPr="00B57B05">
        <w:rPr>
          <w:rFonts w:ascii="Arial" w:hAnsi="Arial" w:cs="Arial"/>
        </w:rPr>
        <w:t xml:space="preserve">The visual inspection of residuals appears approximately bell-shaped which is actually a near-normal distribution. </w:t>
      </w:r>
    </w:p>
    <w:p w14:paraId="37337316" w14:textId="77777777" w:rsidR="002B3025" w:rsidRPr="00B57B05" w:rsidRDefault="002B3025" w:rsidP="00B57B05">
      <w:pPr>
        <w:pStyle w:val="Body"/>
        <w:spacing w:after="0"/>
        <w:rPr>
          <w:rFonts w:ascii="Arial" w:hAnsi="Arial" w:cs="Arial"/>
        </w:rPr>
      </w:pPr>
    </w:p>
    <w:p w14:paraId="4BD2D84D" w14:textId="77777777" w:rsidR="00B57B05" w:rsidRPr="002B3025" w:rsidRDefault="00B57B05" w:rsidP="00091585">
      <w:pPr>
        <w:pStyle w:val="Body"/>
        <w:numPr>
          <w:ilvl w:val="3"/>
          <w:numId w:val="38"/>
        </w:numPr>
        <w:spacing w:after="0"/>
        <w:rPr>
          <w:rFonts w:ascii="Arial" w:hAnsi="Arial" w:cs="Arial"/>
          <w:b/>
          <w:i/>
        </w:rPr>
      </w:pPr>
      <w:r w:rsidRPr="002B3025">
        <w:rPr>
          <w:rFonts w:ascii="Arial" w:hAnsi="Arial" w:cs="Arial"/>
          <w:b/>
          <w:i/>
        </w:rPr>
        <w:t>Independence</w:t>
      </w:r>
    </w:p>
    <w:p w14:paraId="72C0DC7C" w14:textId="77777777" w:rsidR="007F57A8" w:rsidRDefault="00B57B05" w:rsidP="007F57A8">
      <w:pPr>
        <w:pStyle w:val="Body"/>
        <w:keepNext/>
        <w:spacing w:after="0"/>
      </w:pPr>
      <w:r w:rsidRPr="00B57B05">
        <w:rPr>
          <w:rFonts w:ascii="Arial" w:hAnsi="Arial" w:cs="Arial"/>
          <w:noProof/>
        </w:rPr>
        <w:drawing>
          <wp:inline distT="0" distB="0" distL="0" distR="0" wp14:anchorId="327E5FF5" wp14:editId="3533F679">
            <wp:extent cx="4352925" cy="1579245"/>
            <wp:effectExtent l="0" t="0" r="9525" b="1905"/>
            <wp:docPr id="1029" name="Picture 5"/>
            <wp:cNvGraphicFramePr/>
            <a:graphic xmlns:a="http://schemas.openxmlformats.org/drawingml/2006/main">
              <a:graphicData uri="http://schemas.openxmlformats.org/drawingml/2006/picture">
                <pic:pic xmlns:pic="http://schemas.openxmlformats.org/drawingml/2006/picture">
                  <pic:nvPicPr>
                    <pic:cNvPr id="1029" name="Picture 5"/>
                    <pic:cNvPicPr/>
                  </pic:nvPicPr>
                  <pic:blipFill>
                    <a:blip r:embed="rId17" cstate="print"/>
                    <a:stretch>
                      <a:fillRect/>
                    </a:stretch>
                  </pic:blipFill>
                  <pic:spPr>
                    <a:xfrm>
                      <a:off x="0" y="0"/>
                      <a:ext cx="4352925" cy="1579245"/>
                    </a:xfrm>
                    <a:prstGeom prst="rect">
                      <a:avLst/>
                    </a:prstGeom>
                  </pic:spPr>
                </pic:pic>
              </a:graphicData>
            </a:graphic>
          </wp:inline>
        </w:drawing>
      </w:r>
    </w:p>
    <w:p w14:paraId="6BD76B11" w14:textId="77777777" w:rsidR="00B57B05" w:rsidRPr="00187B5C" w:rsidRDefault="007F57A8" w:rsidP="007F57A8">
      <w:pPr>
        <w:pStyle w:val="Caption"/>
        <w:jc w:val="both"/>
        <w:rPr>
          <w:rFonts w:ascii="Arial" w:hAnsi="Arial" w:cs="Arial"/>
          <w:b/>
          <w:i w:val="0"/>
          <w:color w:val="auto"/>
          <w:sz w:val="20"/>
          <w:szCs w:val="20"/>
        </w:rPr>
      </w:pPr>
      <w:r w:rsidRPr="00187B5C">
        <w:rPr>
          <w:rFonts w:ascii="Arial" w:hAnsi="Arial" w:cs="Arial"/>
          <w:b/>
          <w:i w:val="0"/>
          <w:color w:val="auto"/>
          <w:sz w:val="20"/>
          <w:szCs w:val="20"/>
        </w:rPr>
        <w:t xml:space="preserve">Figure </w:t>
      </w:r>
      <w:r w:rsidR="00041DC5" w:rsidRPr="00187B5C">
        <w:rPr>
          <w:rFonts w:ascii="Arial" w:hAnsi="Arial" w:cs="Arial"/>
          <w:b/>
          <w:i w:val="0"/>
          <w:color w:val="auto"/>
          <w:sz w:val="20"/>
          <w:szCs w:val="20"/>
        </w:rPr>
        <w:fldChar w:fldCharType="begin"/>
      </w:r>
      <w:r w:rsidR="00041DC5" w:rsidRPr="00187B5C">
        <w:rPr>
          <w:rFonts w:ascii="Arial" w:hAnsi="Arial" w:cs="Arial"/>
          <w:b/>
          <w:i w:val="0"/>
          <w:color w:val="auto"/>
          <w:sz w:val="20"/>
          <w:szCs w:val="20"/>
        </w:rPr>
        <w:instrText xml:space="preserve"> SEQ Figure \* ARABIC </w:instrText>
      </w:r>
      <w:r w:rsidR="00041DC5" w:rsidRPr="00187B5C">
        <w:rPr>
          <w:rFonts w:ascii="Arial" w:hAnsi="Arial" w:cs="Arial"/>
          <w:b/>
          <w:i w:val="0"/>
          <w:color w:val="auto"/>
          <w:sz w:val="20"/>
          <w:szCs w:val="20"/>
        </w:rPr>
        <w:fldChar w:fldCharType="separate"/>
      </w:r>
      <w:r w:rsidRPr="00187B5C">
        <w:rPr>
          <w:rFonts w:ascii="Arial" w:hAnsi="Arial" w:cs="Arial"/>
          <w:b/>
          <w:i w:val="0"/>
          <w:noProof/>
          <w:color w:val="auto"/>
          <w:sz w:val="20"/>
          <w:szCs w:val="20"/>
        </w:rPr>
        <w:t>3</w:t>
      </w:r>
      <w:r w:rsidR="00041DC5" w:rsidRPr="00187B5C">
        <w:rPr>
          <w:rFonts w:ascii="Arial" w:hAnsi="Arial" w:cs="Arial"/>
          <w:b/>
          <w:i w:val="0"/>
          <w:noProof/>
          <w:color w:val="auto"/>
          <w:sz w:val="20"/>
          <w:szCs w:val="20"/>
        </w:rPr>
        <w:fldChar w:fldCharType="end"/>
      </w:r>
      <w:r w:rsidRPr="00187B5C">
        <w:rPr>
          <w:rFonts w:ascii="Arial" w:hAnsi="Arial" w:cs="Arial"/>
          <w:b/>
          <w:i w:val="0"/>
          <w:color w:val="auto"/>
          <w:sz w:val="20"/>
          <w:szCs w:val="20"/>
        </w:rPr>
        <w:t xml:space="preserve"> ACF and PACF plots</w:t>
      </w:r>
    </w:p>
    <w:p w14:paraId="42336C47" w14:textId="77777777" w:rsidR="00B57B05" w:rsidRDefault="00B57B05" w:rsidP="00B57B05">
      <w:pPr>
        <w:pStyle w:val="Body"/>
        <w:spacing w:after="0"/>
        <w:rPr>
          <w:rFonts w:ascii="Arial" w:hAnsi="Arial" w:cs="Arial"/>
        </w:rPr>
      </w:pPr>
      <w:r w:rsidRPr="00B57B05">
        <w:rPr>
          <w:rFonts w:ascii="Arial" w:hAnsi="Arial" w:cs="Arial"/>
        </w:rPr>
        <w:t>The two plots clearly show there is no significant spike, that is, no autocorrelation exists. This further confirms the model is suitable to fit with the data.</w:t>
      </w:r>
    </w:p>
    <w:p w14:paraId="49CDB86F" w14:textId="77777777" w:rsidR="00D32EEE" w:rsidRPr="00B57B05" w:rsidRDefault="00D32EEE" w:rsidP="00B57B05">
      <w:pPr>
        <w:pStyle w:val="Body"/>
        <w:spacing w:after="0"/>
        <w:rPr>
          <w:rFonts w:ascii="Arial" w:hAnsi="Arial" w:cs="Arial"/>
        </w:rPr>
      </w:pPr>
    </w:p>
    <w:p w14:paraId="74294F97" w14:textId="77777777" w:rsidR="00B57B05" w:rsidRPr="002B3025" w:rsidRDefault="00B66A02" w:rsidP="00B57B05">
      <w:pPr>
        <w:pStyle w:val="Body"/>
        <w:spacing w:after="0"/>
        <w:rPr>
          <w:rFonts w:ascii="Arial" w:hAnsi="Arial" w:cs="Arial"/>
          <w:b/>
          <w:u w:val="single"/>
        </w:rPr>
      </w:pPr>
      <w:r>
        <w:rPr>
          <w:rFonts w:ascii="Arial" w:hAnsi="Arial" w:cs="Arial"/>
          <w:b/>
          <w:u w:val="single"/>
        </w:rPr>
        <w:t>4.2</w:t>
      </w:r>
      <w:r w:rsidR="00D32EEE" w:rsidRPr="002B3025">
        <w:rPr>
          <w:rFonts w:ascii="Arial" w:hAnsi="Arial" w:cs="Arial"/>
          <w:b/>
          <w:u w:val="single"/>
        </w:rPr>
        <w:t xml:space="preserve">.3 </w:t>
      </w:r>
      <w:r w:rsidR="00B57B05" w:rsidRPr="002B3025">
        <w:rPr>
          <w:rFonts w:ascii="Arial" w:hAnsi="Arial" w:cs="Arial"/>
          <w:b/>
          <w:u w:val="single"/>
        </w:rPr>
        <w:t>Model fitting</w:t>
      </w:r>
    </w:p>
    <w:p w14:paraId="6FDF48D1" w14:textId="77777777" w:rsidR="00D32EEE" w:rsidRPr="00B57B05" w:rsidRDefault="00D32EEE" w:rsidP="00B57B05">
      <w:pPr>
        <w:pStyle w:val="Body"/>
        <w:spacing w:after="0"/>
        <w:rPr>
          <w:rFonts w:ascii="Arial" w:hAnsi="Arial" w:cs="Arial"/>
        </w:rPr>
      </w:pPr>
    </w:p>
    <w:p w14:paraId="63F96898" w14:textId="77777777" w:rsidR="00B57B05" w:rsidRPr="00B57B05" w:rsidRDefault="00B57B05" w:rsidP="00B57B05">
      <w:pPr>
        <w:pStyle w:val="Body"/>
        <w:spacing w:after="0"/>
        <w:rPr>
          <w:rFonts w:ascii="Arial" w:hAnsi="Arial" w:cs="Arial"/>
        </w:rPr>
      </w:pPr>
      <w:r w:rsidRPr="00B57B05">
        <w:rPr>
          <w:rFonts w:ascii="Arial" w:hAnsi="Arial" w:cs="Arial"/>
        </w:rPr>
        <w:t xml:space="preserve">The figure below shows the comparison of the fitted model versus actual data.   </w:t>
      </w:r>
    </w:p>
    <w:p w14:paraId="722E73FF" w14:textId="77777777" w:rsidR="00B57B05" w:rsidRPr="00B57B05" w:rsidRDefault="00DB68FD" w:rsidP="00B57B05">
      <w:pPr>
        <w:pStyle w:val="Body"/>
        <w:spacing w:after="0"/>
        <w:rPr>
          <w:rFonts w:ascii="Arial" w:hAnsi="Arial" w:cs="Arial"/>
        </w:rPr>
      </w:pPr>
      <w:r>
        <w:rPr>
          <w:noProof/>
        </w:rPr>
        <mc:AlternateContent>
          <mc:Choice Requires="wps">
            <w:drawing>
              <wp:anchor distT="0" distB="0" distL="114300" distR="114300" simplePos="0" relativeHeight="251660800" behindDoc="0" locked="0" layoutInCell="1" allowOverlap="1" wp14:anchorId="258349D7" wp14:editId="38B47454">
                <wp:simplePos x="0" y="0"/>
                <wp:positionH relativeFrom="column">
                  <wp:posOffset>0</wp:posOffset>
                </wp:positionH>
                <wp:positionV relativeFrom="paragraph">
                  <wp:posOffset>1837055</wp:posOffset>
                </wp:positionV>
                <wp:extent cx="3688080" cy="258445"/>
                <wp:effectExtent l="0" t="0" r="0" b="63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8080"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EA2E68" w14:textId="77777777" w:rsidR="007F57A8" w:rsidRPr="00187B5C" w:rsidRDefault="007F57A8" w:rsidP="007F57A8">
                            <w:pPr>
                              <w:pStyle w:val="Caption"/>
                              <w:rPr>
                                <w:rFonts w:ascii="Arial" w:hAnsi="Arial" w:cs="Arial"/>
                                <w:b/>
                                <w:i w:val="0"/>
                                <w:sz w:val="20"/>
                                <w:szCs w:val="20"/>
                              </w:rPr>
                            </w:pPr>
                            <w:r w:rsidRPr="00187B5C">
                              <w:rPr>
                                <w:rFonts w:ascii="Arial" w:hAnsi="Arial" w:cs="Arial"/>
                                <w:b/>
                                <w:i w:val="0"/>
                                <w:sz w:val="20"/>
                                <w:szCs w:val="20"/>
                              </w:rPr>
                              <w:t xml:space="preserve">Figure </w:t>
                            </w:r>
                            <w:r w:rsidR="00041DC5" w:rsidRPr="00187B5C">
                              <w:rPr>
                                <w:rFonts w:ascii="Arial" w:hAnsi="Arial" w:cs="Arial"/>
                                <w:b/>
                                <w:i w:val="0"/>
                                <w:sz w:val="20"/>
                                <w:szCs w:val="20"/>
                              </w:rPr>
                              <w:fldChar w:fldCharType="begin"/>
                            </w:r>
                            <w:r w:rsidR="00041DC5" w:rsidRPr="00187B5C">
                              <w:rPr>
                                <w:rFonts w:ascii="Arial" w:hAnsi="Arial" w:cs="Arial"/>
                                <w:b/>
                                <w:i w:val="0"/>
                                <w:sz w:val="20"/>
                                <w:szCs w:val="20"/>
                              </w:rPr>
                              <w:instrText xml:space="preserve"> SEQ Figure \* ARABIC </w:instrText>
                            </w:r>
                            <w:r w:rsidR="00041DC5" w:rsidRPr="00187B5C">
                              <w:rPr>
                                <w:rFonts w:ascii="Arial" w:hAnsi="Arial" w:cs="Arial"/>
                                <w:b/>
                                <w:i w:val="0"/>
                                <w:sz w:val="20"/>
                                <w:szCs w:val="20"/>
                              </w:rPr>
                              <w:fldChar w:fldCharType="separate"/>
                            </w:r>
                            <w:r w:rsidRPr="00187B5C">
                              <w:rPr>
                                <w:rFonts w:ascii="Arial" w:hAnsi="Arial" w:cs="Arial"/>
                                <w:b/>
                                <w:i w:val="0"/>
                                <w:noProof/>
                                <w:sz w:val="20"/>
                                <w:szCs w:val="20"/>
                              </w:rPr>
                              <w:t>4</w:t>
                            </w:r>
                            <w:r w:rsidR="00041DC5" w:rsidRPr="00187B5C">
                              <w:rPr>
                                <w:rFonts w:ascii="Arial" w:hAnsi="Arial" w:cs="Arial"/>
                                <w:b/>
                                <w:i w:val="0"/>
                                <w:noProof/>
                                <w:sz w:val="20"/>
                                <w:szCs w:val="20"/>
                              </w:rPr>
                              <w:fldChar w:fldCharType="end"/>
                            </w:r>
                            <w:r w:rsidRPr="00187B5C">
                              <w:rPr>
                                <w:rFonts w:ascii="Arial" w:hAnsi="Arial" w:cs="Arial"/>
                                <w:b/>
                                <w:i w:val="0"/>
                                <w:sz w:val="20"/>
                                <w:szCs w:val="20"/>
                              </w:rPr>
                              <w:t xml:space="preserve"> The Graph of Fitted </w:t>
                            </w:r>
                            <w:proofErr w:type="gramStart"/>
                            <w:r w:rsidRPr="00187B5C">
                              <w:rPr>
                                <w:rFonts w:ascii="Arial" w:hAnsi="Arial" w:cs="Arial"/>
                                <w:b/>
                                <w:i w:val="0"/>
                                <w:sz w:val="20"/>
                                <w:szCs w:val="20"/>
                              </w:rPr>
                              <w:t>The</w:t>
                            </w:r>
                            <w:proofErr w:type="gramEnd"/>
                            <w:r w:rsidRPr="00187B5C">
                              <w:rPr>
                                <w:rFonts w:ascii="Arial" w:hAnsi="Arial" w:cs="Arial"/>
                                <w:b/>
                                <w:i w:val="0"/>
                                <w:sz w:val="20"/>
                                <w:szCs w:val="20"/>
                              </w:rPr>
                              <w:t xml:space="preserve"> </w:t>
                            </w:r>
                            <w:r w:rsidRPr="00187B5C">
                              <w:rPr>
                                <w:rFonts w:ascii="Arial" w:hAnsi="Arial" w:cs="Arial"/>
                                <w:b/>
                                <w:i w:val="0"/>
                                <w:color w:val="auto"/>
                                <w:sz w:val="20"/>
                                <w:szCs w:val="20"/>
                              </w:rPr>
                              <w:t>Model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8349D7" id="_x0000_t202" coordsize="21600,21600" o:spt="202" path="m,l,21600r21600,l21600,xe">
                <v:stroke joinstyle="miter"/>
                <v:path gradientshapeok="t" o:connecttype="rect"/>
              </v:shapetype>
              <v:shape id="Text Box 3" o:spid="_x0000_s1026" type="#_x0000_t202" style="position:absolute;left:0;text-align:left;margin-left:0;margin-top:144.65pt;width:290.4pt;height:20.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G9JegIAAP8EAAAOAAAAZHJzL2Uyb0RvYy54bWysVF1v2yAUfZ+0/4B4T22nTmpbcaqmnadJ&#10;3YfU7gcQwDGaDQxI7K7af98Fx2n28TBN8wO+wOVw7r3nsroeuhYduLFCyRInFzFGXFLFhNyV+PNj&#10;Ncswso5IRloleYmfuMXX69evVr0u+Fw1qmXcIACRtuh1iRvndBFFlja8I/ZCaS5hs1amIw6mZhcx&#10;Q3pA79poHsfLqFeGaaMotxZW78ZNvA74dc2p+1jXljvUlhi4uTCaMG79GK1XpNgZohtBjzTIP7Do&#10;iJBw6QnqjjiC9kb8BtUJapRVtbugqotUXQvKQwwQTRL/Es1DQzQPsUByrD6lyf4/WPrh8MkgwaB2&#10;GEnSQYke+eDQRg3o0men17YApwcNbm6AZe/pI7X6XtEvFkl12xC54zfGqL7hhAG7xJ+Mzo6OONaD&#10;bPv3isE1ZO9UABpq03lASAYCdKjS06kyngqFxctllsUZbFHYmy+yNF2EK0gxndbGurdcdcgbJTZQ&#10;+YBODvfWeTakmFwCe9UKVom2DROz2962Bh0IqKQK3xHdnru10jtL5Y+NiOMKkIQ7/J6nG6r+nCfz&#10;NN7M81m1zK5maZUuZvlVnM3iJN/kyzjN07vquyeYpEUjGOPyXkg+KTBJ/67Cx14YtRM0iPoS54v5&#10;YizROXt7HmQcvj8F2QkHDdmKrsTZyYkUvrBvJIOwSeGIaEc7+pl+yDLkYPqHrAQZ+MqPGnDDdgAU&#10;r42tYk8gCKOgXlBaeEXAaJT5hlEPHVli+3VPDMeofSdBVL59J8NMxnYyiKRwtMQOo9G8dWOb77UR&#10;uwaQJ9negPAqETTxwuIoV+iyQP74Ivg2Pp8Hr5d3a/0DAAD//wMAUEsDBBQABgAIAAAAIQA8yAtA&#10;4AAAAAgBAAAPAAAAZHJzL2Rvd25yZXYueG1sTI8xT8MwEIV3JP6DdUgsiNo0pUrTOFVVwQBLRejC&#10;5sbXOBDbke204d9zTDCe3um97ys3k+3ZGUPsvJPwMBPA0DVed66VcHh/vs+BxaScVr13KOEbI2yq&#10;66tSFdpf3Bue69QyKnGxUBJMSkPBeWwMWhVnfkBH2ckHqxKdoeU6qAuV257PhVhyqzpHC0YNuDPY&#10;fNWjlbBffOzN3Xh6et0usvByGHfLz7aW8vZm2q6BJZzS3zP84hM6VMR09KPTkfUSSCRJmOerDBjF&#10;j7kgk6OELBMCeFXy/wLVDwAAAP//AwBQSwECLQAUAAYACAAAACEAtoM4kv4AAADhAQAAEwAAAAAA&#10;AAAAAAAAAAAAAAAAW0NvbnRlbnRfVHlwZXNdLnhtbFBLAQItABQABgAIAAAAIQA4/SH/1gAAAJQB&#10;AAALAAAAAAAAAAAAAAAAAC8BAABfcmVscy8ucmVsc1BLAQItABQABgAIAAAAIQBeFG9JegIAAP8E&#10;AAAOAAAAAAAAAAAAAAAAAC4CAABkcnMvZTJvRG9jLnhtbFBLAQItABQABgAIAAAAIQA8yAtA4AAA&#10;AAgBAAAPAAAAAAAAAAAAAAAAANQEAABkcnMvZG93bnJldi54bWxQSwUGAAAAAAQABADzAAAA4QUA&#10;AAAA&#10;" stroked="f">
                <v:textbox style="mso-fit-shape-to-text:t" inset="0,0,0,0">
                  <w:txbxContent>
                    <w:p w14:paraId="14EA2E68" w14:textId="77777777" w:rsidR="007F57A8" w:rsidRPr="00187B5C" w:rsidRDefault="007F57A8" w:rsidP="007F57A8">
                      <w:pPr>
                        <w:pStyle w:val="Caption"/>
                        <w:rPr>
                          <w:rFonts w:ascii="Arial" w:hAnsi="Arial" w:cs="Arial"/>
                          <w:b/>
                          <w:i w:val="0"/>
                          <w:sz w:val="20"/>
                          <w:szCs w:val="20"/>
                        </w:rPr>
                      </w:pPr>
                      <w:r w:rsidRPr="00187B5C">
                        <w:rPr>
                          <w:rFonts w:ascii="Arial" w:hAnsi="Arial" w:cs="Arial"/>
                          <w:b/>
                          <w:i w:val="0"/>
                          <w:sz w:val="20"/>
                          <w:szCs w:val="20"/>
                        </w:rPr>
                        <w:t xml:space="preserve">Figure </w:t>
                      </w:r>
                      <w:r w:rsidR="00041DC5" w:rsidRPr="00187B5C">
                        <w:rPr>
                          <w:rFonts w:ascii="Arial" w:hAnsi="Arial" w:cs="Arial"/>
                          <w:b/>
                          <w:i w:val="0"/>
                          <w:sz w:val="20"/>
                          <w:szCs w:val="20"/>
                        </w:rPr>
                        <w:fldChar w:fldCharType="begin"/>
                      </w:r>
                      <w:r w:rsidR="00041DC5" w:rsidRPr="00187B5C">
                        <w:rPr>
                          <w:rFonts w:ascii="Arial" w:hAnsi="Arial" w:cs="Arial"/>
                          <w:b/>
                          <w:i w:val="0"/>
                          <w:sz w:val="20"/>
                          <w:szCs w:val="20"/>
                        </w:rPr>
                        <w:instrText xml:space="preserve"> SEQ Figure \* ARABIC </w:instrText>
                      </w:r>
                      <w:r w:rsidR="00041DC5" w:rsidRPr="00187B5C">
                        <w:rPr>
                          <w:rFonts w:ascii="Arial" w:hAnsi="Arial" w:cs="Arial"/>
                          <w:b/>
                          <w:i w:val="0"/>
                          <w:sz w:val="20"/>
                          <w:szCs w:val="20"/>
                        </w:rPr>
                        <w:fldChar w:fldCharType="separate"/>
                      </w:r>
                      <w:r w:rsidRPr="00187B5C">
                        <w:rPr>
                          <w:rFonts w:ascii="Arial" w:hAnsi="Arial" w:cs="Arial"/>
                          <w:b/>
                          <w:i w:val="0"/>
                          <w:noProof/>
                          <w:sz w:val="20"/>
                          <w:szCs w:val="20"/>
                        </w:rPr>
                        <w:t>4</w:t>
                      </w:r>
                      <w:r w:rsidR="00041DC5" w:rsidRPr="00187B5C">
                        <w:rPr>
                          <w:rFonts w:ascii="Arial" w:hAnsi="Arial" w:cs="Arial"/>
                          <w:b/>
                          <w:i w:val="0"/>
                          <w:noProof/>
                          <w:sz w:val="20"/>
                          <w:szCs w:val="20"/>
                        </w:rPr>
                        <w:fldChar w:fldCharType="end"/>
                      </w:r>
                      <w:r w:rsidRPr="00187B5C">
                        <w:rPr>
                          <w:rFonts w:ascii="Arial" w:hAnsi="Arial" w:cs="Arial"/>
                          <w:b/>
                          <w:i w:val="0"/>
                          <w:sz w:val="20"/>
                          <w:szCs w:val="20"/>
                        </w:rPr>
                        <w:t xml:space="preserve"> The Graph of Fitted </w:t>
                      </w:r>
                      <w:proofErr w:type="gramStart"/>
                      <w:r w:rsidRPr="00187B5C">
                        <w:rPr>
                          <w:rFonts w:ascii="Arial" w:hAnsi="Arial" w:cs="Arial"/>
                          <w:b/>
                          <w:i w:val="0"/>
                          <w:sz w:val="20"/>
                          <w:szCs w:val="20"/>
                        </w:rPr>
                        <w:t>The</w:t>
                      </w:r>
                      <w:proofErr w:type="gramEnd"/>
                      <w:r w:rsidRPr="00187B5C">
                        <w:rPr>
                          <w:rFonts w:ascii="Arial" w:hAnsi="Arial" w:cs="Arial"/>
                          <w:b/>
                          <w:i w:val="0"/>
                          <w:sz w:val="20"/>
                          <w:szCs w:val="20"/>
                        </w:rPr>
                        <w:t xml:space="preserve"> </w:t>
                      </w:r>
                      <w:r w:rsidRPr="00187B5C">
                        <w:rPr>
                          <w:rFonts w:ascii="Arial" w:hAnsi="Arial" w:cs="Arial"/>
                          <w:b/>
                          <w:i w:val="0"/>
                          <w:color w:val="auto"/>
                          <w:sz w:val="20"/>
                          <w:szCs w:val="20"/>
                        </w:rPr>
                        <w:t>Model</w:t>
                      </w:r>
                    </w:p>
                  </w:txbxContent>
                </v:textbox>
                <w10:wrap type="square"/>
              </v:shape>
            </w:pict>
          </mc:Fallback>
        </mc:AlternateContent>
      </w:r>
      <w:r w:rsidR="00B57B05" w:rsidRPr="00B57B05">
        <w:rPr>
          <w:rFonts w:ascii="Arial" w:hAnsi="Arial" w:cs="Arial"/>
          <w:noProof/>
        </w:rPr>
        <w:drawing>
          <wp:anchor distT="0" distB="0" distL="114300" distR="114300" simplePos="0" relativeHeight="251657216" behindDoc="0" locked="0" layoutInCell="1" allowOverlap="1" wp14:anchorId="7DDF8F55" wp14:editId="048AA166">
            <wp:simplePos x="0" y="0"/>
            <wp:positionH relativeFrom="column">
              <wp:align>left</wp:align>
            </wp:positionH>
            <wp:positionV relativeFrom="paragraph">
              <wp:align>top</wp:align>
            </wp:positionV>
            <wp:extent cx="3688714" cy="1779905"/>
            <wp:effectExtent l="0" t="0" r="6985" b="0"/>
            <wp:wrapSquare wrapText="bothSides"/>
            <wp:docPr id="1030" name="Picture 6"/>
            <wp:cNvGraphicFramePr/>
            <a:graphic xmlns:a="http://schemas.openxmlformats.org/drawingml/2006/main">
              <a:graphicData uri="http://schemas.openxmlformats.org/drawingml/2006/picture">
                <pic:pic xmlns:pic="http://schemas.openxmlformats.org/drawingml/2006/picture">
                  <pic:nvPicPr>
                    <pic:cNvPr id="1030" name="Picture 6"/>
                    <pic:cNvPicPr/>
                  </pic:nvPicPr>
                  <pic:blipFill>
                    <a:blip r:embed="rId18" cstate="print"/>
                    <a:stretch>
                      <a:fillRect/>
                    </a:stretch>
                  </pic:blipFill>
                  <pic:spPr>
                    <a:xfrm>
                      <a:off x="0" y="0"/>
                      <a:ext cx="3688714" cy="1779905"/>
                    </a:xfrm>
                    <a:prstGeom prst="rect">
                      <a:avLst/>
                    </a:prstGeom>
                  </pic:spPr>
                </pic:pic>
              </a:graphicData>
            </a:graphic>
          </wp:anchor>
        </w:drawing>
      </w:r>
    </w:p>
    <w:p w14:paraId="7B24E33C" w14:textId="77777777" w:rsidR="00B57B05" w:rsidRPr="00B57B05" w:rsidRDefault="00B57B05" w:rsidP="00B57B05">
      <w:pPr>
        <w:pStyle w:val="Body"/>
        <w:spacing w:after="0"/>
        <w:rPr>
          <w:rFonts w:ascii="Arial" w:hAnsi="Arial" w:cs="Arial"/>
        </w:rPr>
      </w:pPr>
    </w:p>
    <w:p w14:paraId="512E80B0" w14:textId="77777777" w:rsidR="00B57B05" w:rsidRPr="00B57B05" w:rsidRDefault="00B57B05" w:rsidP="00B57B05">
      <w:pPr>
        <w:pStyle w:val="Body"/>
        <w:spacing w:after="0"/>
        <w:rPr>
          <w:rFonts w:ascii="Arial" w:hAnsi="Arial" w:cs="Arial"/>
        </w:rPr>
      </w:pPr>
    </w:p>
    <w:p w14:paraId="000BBE93" w14:textId="77777777" w:rsidR="00B57B05" w:rsidRPr="00B57B05" w:rsidRDefault="00B57B05" w:rsidP="00B57B05">
      <w:pPr>
        <w:pStyle w:val="Body"/>
        <w:spacing w:after="0"/>
        <w:rPr>
          <w:rFonts w:ascii="Arial" w:hAnsi="Arial" w:cs="Arial"/>
        </w:rPr>
      </w:pPr>
    </w:p>
    <w:p w14:paraId="5D9AD0B0" w14:textId="77777777" w:rsidR="00B57B05" w:rsidRPr="00B57B05" w:rsidRDefault="00B57B05" w:rsidP="00B57B05">
      <w:pPr>
        <w:pStyle w:val="Body"/>
        <w:spacing w:after="0"/>
        <w:rPr>
          <w:rFonts w:ascii="Arial" w:hAnsi="Arial" w:cs="Arial"/>
        </w:rPr>
      </w:pPr>
    </w:p>
    <w:p w14:paraId="1744CE20" w14:textId="77777777" w:rsidR="00B57B05" w:rsidRPr="00B57B05" w:rsidRDefault="00B57B05" w:rsidP="00B57B05">
      <w:pPr>
        <w:pStyle w:val="Body"/>
        <w:spacing w:after="0"/>
        <w:rPr>
          <w:rFonts w:ascii="Arial" w:hAnsi="Arial" w:cs="Arial"/>
        </w:rPr>
      </w:pPr>
    </w:p>
    <w:p w14:paraId="45A46F1A" w14:textId="77777777" w:rsidR="00B57B05" w:rsidRPr="00B57B05" w:rsidRDefault="00B57B05" w:rsidP="00B57B05">
      <w:pPr>
        <w:pStyle w:val="Body"/>
        <w:spacing w:after="0"/>
        <w:rPr>
          <w:rFonts w:ascii="Arial" w:hAnsi="Arial" w:cs="Arial"/>
        </w:rPr>
      </w:pPr>
    </w:p>
    <w:p w14:paraId="50470B3E" w14:textId="77777777" w:rsidR="004A4864" w:rsidRDefault="004A4864" w:rsidP="00B57B05">
      <w:pPr>
        <w:pStyle w:val="Body"/>
        <w:spacing w:after="0"/>
        <w:rPr>
          <w:rFonts w:ascii="Arial" w:hAnsi="Arial" w:cs="Arial"/>
        </w:rPr>
      </w:pPr>
    </w:p>
    <w:p w14:paraId="50871859" w14:textId="77777777" w:rsidR="004A4864" w:rsidRDefault="004A4864" w:rsidP="00B57B05">
      <w:pPr>
        <w:pStyle w:val="Body"/>
        <w:spacing w:after="0"/>
        <w:rPr>
          <w:rFonts w:ascii="Arial" w:hAnsi="Arial" w:cs="Arial"/>
        </w:rPr>
      </w:pPr>
    </w:p>
    <w:p w14:paraId="69BDEB77" w14:textId="77777777" w:rsidR="004A4864" w:rsidRDefault="004A4864" w:rsidP="00B57B05">
      <w:pPr>
        <w:pStyle w:val="Body"/>
        <w:spacing w:after="0"/>
        <w:rPr>
          <w:rFonts w:ascii="Arial" w:hAnsi="Arial" w:cs="Arial"/>
        </w:rPr>
      </w:pPr>
    </w:p>
    <w:p w14:paraId="35FF2BF8" w14:textId="77777777" w:rsidR="004A4864" w:rsidRDefault="004A4864" w:rsidP="00B57B05">
      <w:pPr>
        <w:pStyle w:val="Body"/>
        <w:spacing w:after="0"/>
        <w:rPr>
          <w:rFonts w:ascii="Arial" w:hAnsi="Arial" w:cs="Arial"/>
        </w:rPr>
      </w:pPr>
    </w:p>
    <w:p w14:paraId="1946869D" w14:textId="77777777" w:rsidR="004A4864" w:rsidRDefault="004A4864" w:rsidP="00B57B05">
      <w:pPr>
        <w:pStyle w:val="Body"/>
        <w:spacing w:after="0"/>
        <w:rPr>
          <w:rFonts w:ascii="Arial" w:hAnsi="Arial" w:cs="Arial"/>
        </w:rPr>
      </w:pPr>
    </w:p>
    <w:p w14:paraId="41A6ED62" w14:textId="77777777" w:rsidR="004A4864" w:rsidRDefault="004A4864" w:rsidP="00B57B05">
      <w:pPr>
        <w:pStyle w:val="Body"/>
        <w:spacing w:after="0"/>
        <w:rPr>
          <w:rFonts w:ascii="Arial" w:hAnsi="Arial" w:cs="Arial"/>
        </w:rPr>
      </w:pPr>
    </w:p>
    <w:p w14:paraId="3BED92DB" w14:textId="77777777" w:rsidR="007F57A8" w:rsidRDefault="007F57A8" w:rsidP="00B57B05">
      <w:pPr>
        <w:pStyle w:val="Body"/>
        <w:spacing w:after="0"/>
        <w:rPr>
          <w:rFonts w:ascii="Arial" w:hAnsi="Arial" w:cs="Arial"/>
        </w:rPr>
      </w:pPr>
    </w:p>
    <w:p w14:paraId="2427B5A0" w14:textId="77777777" w:rsidR="007F57A8" w:rsidRDefault="007F57A8" w:rsidP="00B57B05">
      <w:pPr>
        <w:pStyle w:val="Body"/>
        <w:spacing w:after="0"/>
        <w:rPr>
          <w:rFonts w:ascii="Arial" w:hAnsi="Arial" w:cs="Arial"/>
        </w:rPr>
      </w:pPr>
    </w:p>
    <w:p w14:paraId="226F7B57" w14:textId="77777777" w:rsidR="00B57B05" w:rsidRDefault="00B57B05" w:rsidP="00B57B05">
      <w:pPr>
        <w:pStyle w:val="Body"/>
        <w:spacing w:after="0"/>
        <w:rPr>
          <w:rFonts w:ascii="Arial" w:hAnsi="Arial" w:cs="Arial"/>
        </w:rPr>
      </w:pPr>
      <w:r w:rsidRPr="00B57B05">
        <w:rPr>
          <w:rFonts w:ascii="Arial" w:hAnsi="Arial" w:cs="Arial"/>
        </w:rPr>
        <w:t xml:space="preserve">While the model struggles to capture the actual trend in the first year, it progressively aligns more closely in the subsequent years. Generally, it is effective in tracking motor insurance patterns, making it suitable for predictions. </w:t>
      </w:r>
    </w:p>
    <w:p w14:paraId="29DB85A2" w14:textId="77777777" w:rsidR="00187B5C" w:rsidRPr="00B57B05" w:rsidRDefault="00187B5C" w:rsidP="00B57B05">
      <w:pPr>
        <w:pStyle w:val="Body"/>
        <w:spacing w:after="0"/>
        <w:rPr>
          <w:rFonts w:ascii="Arial" w:hAnsi="Arial" w:cs="Arial"/>
        </w:rPr>
      </w:pPr>
    </w:p>
    <w:p w14:paraId="65A26733" w14:textId="77777777" w:rsidR="00B57B05" w:rsidRPr="00187B5C" w:rsidRDefault="00187B5C" w:rsidP="00187B5C">
      <w:pPr>
        <w:pStyle w:val="Body"/>
        <w:spacing w:after="0"/>
        <w:rPr>
          <w:rFonts w:ascii="Arial" w:hAnsi="Arial" w:cs="Arial"/>
          <w:b/>
          <w:u w:val="single"/>
        </w:rPr>
      </w:pPr>
      <w:r>
        <w:rPr>
          <w:rFonts w:ascii="Arial" w:hAnsi="Arial" w:cs="Arial"/>
          <w:b/>
          <w:u w:val="single"/>
        </w:rPr>
        <w:t xml:space="preserve">4.2.4 </w:t>
      </w:r>
      <w:r w:rsidR="00B57B05" w:rsidRPr="00187B5C">
        <w:rPr>
          <w:rFonts w:ascii="Arial" w:hAnsi="Arial" w:cs="Arial"/>
          <w:b/>
          <w:u w:val="single"/>
        </w:rPr>
        <w:t xml:space="preserve">Forecasting </w:t>
      </w:r>
    </w:p>
    <w:p w14:paraId="225DF715" w14:textId="77777777" w:rsidR="00187B5C" w:rsidRPr="00B57B05" w:rsidRDefault="00187B5C" w:rsidP="00187B5C">
      <w:pPr>
        <w:pStyle w:val="Body"/>
        <w:spacing w:after="0"/>
        <w:ind w:left="720"/>
        <w:rPr>
          <w:rFonts w:ascii="Arial" w:hAnsi="Arial" w:cs="Arial"/>
        </w:rPr>
      </w:pPr>
    </w:p>
    <w:p w14:paraId="09DC9528" w14:textId="77777777" w:rsidR="00B57B05" w:rsidRPr="00B57B05" w:rsidRDefault="00B57B05" w:rsidP="00B57B05">
      <w:pPr>
        <w:pStyle w:val="Body"/>
        <w:spacing w:after="0"/>
        <w:rPr>
          <w:rFonts w:ascii="Arial" w:hAnsi="Arial" w:cs="Arial"/>
        </w:rPr>
      </w:pPr>
      <w:r w:rsidRPr="00B57B05">
        <w:rPr>
          <w:rFonts w:ascii="Arial" w:hAnsi="Arial" w:cs="Arial"/>
        </w:rPr>
        <w:t>A 2-year forecast was developed to anticipate future claims patterns as shown below.</w:t>
      </w:r>
    </w:p>
    <w:p w14:paraId="6E52DFAB" w14:textId="77777777" w:rsidR="007F57A8" w:rsidRDefault="00B57B05" w:rsidP="007F57A8">
      <w:pPr>
        <w:pStyle w:val="Body"/>
        <w:keepNext/>
        <w:spacing w:after="0"/>
      </w:pPr>
      <w:r w:rsidRPr="00B57B05">
        <w:rPr>
          <w:rFonts w:ascii="Arial" w:hAnsi="Arial" w:cs="Arial"/>
          <w:noProof/>
        </w:rPr>
        <w:lastRenderedPageBreak/>
        <w:drawing>
          <wp:inline distT="0" distB="0" distL="0" distR="0" wp14:anchorId="555E80B9" wp14:editId="257D1BAA">
            <wp:extent cx="4389755" cy="2194560"/>
            <wp:effectExtent l="0" t="0" r="0" b="0"/>
            <wp:docPr id="1031" name="Picture 7"/>
            <wp:cNvGraphicFramePr/>
            <a:graphic xmlns:a="http://schemas.openxmlformats.org/drawingml/2006/main">
              <a:graphicData uri="http://schemas.openxmlformats.org/drawingml/2006/picture">
                <pic:pic xmlns:pic="http://schemas.openxmlformats.org/drawingml/2006/picture">
                  <pic:nvPicPr>
                    <pic:cNvPr id="1031" name="Picture 7"/>
                    <pic:cNvPicPr/>
                  </pic:nvPicPr>
                  <pic:blipFill>
                    <a:blip r:embed="rId19" cstate="print"/>
                    <a:stretch>
                      <a:fillRect/>
                    </a:stretch>
                  </pic:blipFill>
                  <pic:spPr>
                    <a:xfrm>
                      <a:off x="0" y="0"/>
                      <a:ext cx="4389755" cy="2194560"/>
                    </a:xfrm>
                    <a:prstGeom prst="rect">
                      <a:avLst/>
                    </a:prstGeom>
                  </pic:spPr>
                </pic:pic>
              </a:graphicData>
            </a:graphic>
          </wp:inline>
        </w:drawing>
      </w:r>
    </w:p>
    <w:p w14:paraId="7C5B8F8A" w14:textId="77777777" w:rsidR="00B57B05" w:rsidRPr="00187B5C" w:rsidRDefault="007F57A8" w:rsidP="007F57A8">
      <w:pPr>
        <w:pStyle w:val="Caption"/>
        <w:jc w:val="both"/>
        <w:rPr>
          <w:rFonts w:ascii="Arial" w:hAnsi="Arial" w:cs="Arial"/>
          <w:b/>
          <w:i w:val="0"/>
          <w:color w:val="auto"/>
          <w:sz w:val="20"/>
          <w:szCs w:val="20"/>
        </w:rPr>
      </w:pPr>
      <w:r w:rsidRPr="00187B5C">
        <w:rPr>
          <w:rFonts w:ascii="Arial" w:hAnsi="Arial" w:cs="Arial"/>
          <w:b/>
          <w:i w:val="0"/>
          <w:color w:val="auto"/>
          <w:sz w:val="20"/>
          <w:szCs w:val="20"/>
        </w:rPr>
        <w:t xml:space="preserve">Figure </w:t>
      </w:r>
      <w:r w:rsidR="00041DC5" w:rsidRPr="00187B5C">
        <w:rPr>
          <w:rFonts w:ascii="Arial" w:hAnsi="Arial" w:cs="Arial"/>
          <w:b/>
          <w:i w:val="0"/>
          <w:color w:val="auto"/>
          <w:sz w:val="20"/>
          <w:szCs w:val="20"/>
        </w:rPr>
        <w:fldChar w:fldCharType="begin"/>
      </w:r>
      <w:r w:rsidR="00041DC5" w:rsidRPr="00187B5C">
        <w:rPr>
          <w:rFonts w:ascii="Arial" w:hAnsi="Arial" w:cs="Arial"/>
          <w:b/>
          <w:i w:val="0"/>
          <w:color w:val="auto"/>
          <w:sz w:val="20"/>
          <w:szCs w:val="20"/>
        </w:rPr>
        <w:instrText xml:space="preserve"> SEQ Figure \* ARABIC </w:instrText>
      </w:r>
      <w:r w:rsidR="00041DC5" w:rsidRPr="00187B5C">
        <w:rPr>
          <w:rFonts w:ascii="Arial" w:hAnsi="Arial" w:cs="Arial"/>
          <w:b/>
          <w:i w:val="0"/>
          <w:color w:val="auto"/>
          <w:sz w:val="20"/>
          <w:szCs w:val="20"/>
        </w:rPr>
        <w:fldChar w:fldCharType="separate"/>
      </w:r>
      <w:r w:rsidRPr="00187B5C">
        <w:rPr>
          <w:rFonts w:ascii="Arial" w:hAnsi="Arial" w:cs="Arial"/>
          <w:b/>
          <w:i w:val="0"/>
          <w:noProof/>
          <w:color w:val="auto"/>
          <w:sz w:val="20"/>
          <w:szCs w:val="20"/>
        </w:rPr>
        <w:t>5</w:t>
      </w:r>
      <w:r w:rsidR="00041DC5" w:rsidRPr="00187B5C">
        <w:rPr>
          <w:rFonts w:ascii="Arial" w:hAnsi="Arial" w:cs="Arial"/>
          <w:b/>
          <w:i w:val="0"/>
          <w:noProof/>
          <w:color w:val="auto"/>
          <w:sz w:val="20"/>
          <w:szCs w:val="20"/>
        </w:rPr>
        <w:fldChar w:fldCharType="end"/>
      </w:r>
      <w:r w:rsidRPr="00187B5C">
        <w:rPr>
          <w:rFonts w:ascii="Arial" w:hAnsi="Arial" w:cs="Arial"/>
          <w:b/>
          <w:i w:val="0"/>
          <w:color w:val="auto"/>
          <w:sz w:val="20"/>
          <w:szCs w:val="20"/>
        </w:rPr>
        <w:t xml:space="preserve"> A 2-Year Forecast</w:t>
      </w:r>
    </w:p>
    <w:p w14:paraId="5F9E9B0A" w14:textId="77777777" w:rsidR="00B57B05" w:rsidRPr="00B57B05" w:rsidRDefault="00B57B05" w:rsidP="00B57B05">
      <w:pPr>
        <w:pStyle w:val="Body"/>
        <w:spacing w:after="0"/>
        <w:rPr>
          <w:rFonts w:ascii="Arial" w:hAnsi="Arial" w:cs="Arial"/>
        </w:rPr>
      </w:pPr>
      <w:r w:rsidRPr="00B57B05">
        <w:rPr>
          <w:rFonts w:ascii="Arial" w:hAnsi="Arial" w:cs="Arial"/>
        </w:rPr>
        <w:t xml:space="preserve">The forecasts show continued trends observed in the historical data. There are also clear seasonal peaks in the fourth quarters that aligns with the actual data. The outcomes suggest the SARIMA model can be effectively applied in forecasting motor insurance claims. Having established this, it is also important to explore the Holt-Winters approach before comparing their performance. </w:t>
      </w:r>
    </w:p>
    <w:p w14:paraId="62AEBCDA" w14:textId="77777777" w:rsidR="00B57B05" w:rsidRPr="00B57B05" w:rsidRDefault="00B57B05" w:rsidP="00B57B05">
      <w:pPr>
        <w:pStyle w:val="Body"/>
        <w:spacing w:after="0"/>
        <w:rPr>
          <w:rFonts w:ascii="Arial" w:hAnsi="Arial" w:cs="Arial"/>
        </w:rPr>
      </w:pPr>
    </w:p>
    <w:p w14:paraId="648FD873" w14:textId="77777777" w:rsidR="00B57B05" w:rsidRPr="002B3025" w:rsidRDefault="00B57B05" w:rsidP="00091585">
      <w:pPr>
        <w:pStyle w:val="Body"/>
        <w:numPr>
          <w:ilvl w:val="1"/>
          <w:numId w:val="38"/>
        </w:numPr>
        <w:spacing w:after="0"/>
        <w:rPr>
          <w:rFonts w:ascii="Arial" w:hAnsi="Arial" w:cs="Arial"/>
          <w:b/>
          <w:sz w:val="22"/>
          <w:szCs w:val="22"/>
        </w:rPr>
      </w:pPr>
      <w:r w:rsidRPr="002B3025">
        <w:rPr>
          <w:rFonts w:ascii="Arial" w:hAnsi="Arial" w:cs="Arial"/>
          <w:b/>
          <w:sz w:val="22"/>
          <w:szCs w:val="22"/>
        </w:rPr>
        <w:t>The Holt-Winters</w:t>
      </w:r>
    </w:p>
    <w:p w14:paraId="7D6FAB22" w14:textId="77777777" w:rsidR="00D32EEE" w:rsidRDefault="00D32EEE" w:rsidP="00D32EEE">
      <w:pPr>
        <w:pStyle w:val="Body"/>
        <w:spacing w:after="0"/>
        <w:rPr>
          <w:rFonts w:ascii="Arial" w:hAnsi="Arial" w:cs="Arial"/>
          <w:b/>
        </w:rPr>
      </w:pPr>
    </w:p>
    <w:p w14:paraId="4005451E" w14:textId="77777777" w:rsidR="00D32EEE" w:rsidRPr="002B3025" w:rsidRDefault="00091585" w:rsidP="002B3025">
      <w:pPr>
        <w:pStyle w:val="Body"/>
        <w:spacing w:after="0"/>
        <w:rPr>
          <w:rFonts w:ascii="Arial" w:hAnsi="Arial" w:cs="Arial"/>
          <w:b/>
          <w:u w:val="single"/>
        </w:rPr>
      </w:pPr>
      <w:r>
        <w:rPr>
          <w:rFonts w:ascii="Arial" w:hAnsi="Arial" w:cs="Arial"/>
          <w:b/>
          <w:u w:val="single"/>
        </w:rPr>
        <w:t>4.3.1 Parameter</w:t>
      </w:r>
      <w:r w:rsidR="00D32EEE" w:rsidRPr="002B3025">
        <w:rPr>
          <w:rFonts w:ascii="Arial" w:hAnsi="Arial" w:cs="Arial"/>
          <w:b/>
          <w:u w:val="single"/>
        </w:rPr>
        <w:t xml:space="preserve"> Selection</w:t>
      </w:r>
    </w:p>
    <w:p w14:paraId="25395CDA" w14:textId="77777777" w:rsidR="002B3025" w:rsidRPr="00D32EEE" w:rsidRDefault="002B3025" w:rsidP="002B3025">
      <w:pPr>
        <w:pStyle w:val="Body"/>
        <w:spacing w:after="0"/>
        <w:rPr>
          <w:rFonts w:ascii="Arial" w:hAnsi="Arial" w:cs="Arial"/>
          <w:b/>
        </w:rPr>
      </w:pPr>
    </w:p>
    <w:p w14:paraId="24ABDF94" w14:textId="77777777" w:rsidR="00B57B05" w:rsidRDefault="00B57B05" w:rsidP="00B57B05">
      <w:pPr>
        <w:pStyle w:val="Body"/>
        <w:spacing w:after="0"/>
        <w:rPr>
          <w:rFonts w:ascii="Arial" w:hAnsi="Arial" w:cs="Arial"/>
        </w:rPr>
      </w:pPr>
      <w:r w:rsidRPr="00B57B05">
        <w:rPr>
          <w:rFonts w:ascii="Arial" w:hAnsi="Arial" w:cs="Arial"/>
        </w:rPr>
        <w:t xml:space="preserve">Before fitting the model with the data, it is crucial to find the appropriate values for smoothing parameters: level, trend, and seasonality. These values should be between 0 and 1. This testing is also done using a grid search procedure. The Root Mean Square </w:t>
      </w:r>
      <w:proofErr w:type="gramStart"/>
      <w:r w:rsidRPr="00B57B05">
        <w:rPr>
          <w:rFonts w:ascii="Arial" w:hAnsi="Arial" w:cs="Arial"/>
        </w:rPr>
        <w:t>Error(</w:t>
      </w:r>
      <w:proofErr w:type="gramEnd"/>
      <w:r w:rsidRPr="00B57B05">
        <w:rPr>
          <w:rFonts w:ascii="Arial" w:hAnsi="Arial" w:cs="Arial"/>
        </w:rPr>
        <w:t xml:space="preserve">RMSE) is used as an evaluation metric.  </w:t>
      </w:r>
    </w:p>
    <w:p w14:paraId="70ACF612" w14:textId="77777777" w:rsidR="004A4864" w:rsidRPr="00B57B05" w:rsidRDefault="004A4864" w:rsidP="00B57B05">
      <w:pPr>
        <w:pStyle w:val="Body"/>
        <w:spacing w:after="0"/>
        <w:rPr>
          <w:rFonts w:ascii="Arial" w:hAnsi="Arial" w:cs="Arial"/>
        </w:rPr>
      </w:pPr>
    </w:p>
    <w:p w14:paraId="3669116B" w14:textId="77777777" w:rsidR="00B57B05" w:rsidRDefault="00B57B05" w:rsidP="00B57B05">
      <w:pPr>
        <w:pStyle w:val="Body"/>
        <w:spacing w:after="0"/>
        <w:rPr>
          <w:rFonts w:ascii="Arial" w:hAnsi="Arial" w:cs="Arial"/>
        </w:rPr>
      </w:pPr>
      <w:r w:rsidRPr="00B57B05">
        <w:rPr>
          <w:rFonts w:ascii="Arial" w:hAnsi="Arial" w:cs="Arial"/>
        </w:rPr>
        <w:t>The following table presents the candidate models from the Holt-Winters.</w:t>
      </w:r>
    </w:p>
    <w:p w14:paraId="77CDF987" w14:textId="77777777" w:rsidR="00632BAA" w:rsidRPr="00B57B05" w:rsidRDefault="00632BAA" w:rsidP="00B57B05">
      <w:pPr>
        <w:pStyle w:val="Body"/>
        <w:spacing w:after="0"/>
        <w:rPr>
          <w:rFonts w:ascii="Arial" w:hAnsi="Arial" w:cs="Arial"/>
        </w:rPr>
      </w:pPr>
    </w:p>
    <w:p w14:paraId="33EAB112" w14:textId="77777777" w:rsidR="004A4864" w:rsidRPr="00187B5C" w:rsidRDefault="004A4864" w:rsidP="004A4864">
      <w:pPr>
        <w:pStyle w:val="Caption"/>
        <w:keepNext/>
        <w:rPr>
          <w:rFonts w:ascii="Arial" w:hAnsi="Arial" w:cs="Arial"/>
          <w:b/>
          <w:i w:val="0"/>
          <w:color w:val="auto"/>
          <w:sz w:val="20"/>
          <w:szCs w:val="20"/>
        </w:rPr>
      </w:pPr>
      <w:r w:rsidRPr="00187B5C">
        <w:rPr>
          <w:rFonts w:ascii="Arial" w:hAnsi="Arial" w:cs="Arial"/>
          <w:b/>
          <w:i w:val="0"/>
          <w:color w:val="auto"/>
          <w:sz w:val="20"/>
          <w:szCs w:val="20"/>
        </w:rPr>
        <w:t xml:space="preserve">Table </w:t>
      </w:r>
      <w:r w:rsidRPr="00187B5C">
        <w:rPr>
          <w:rFonts w:ascii="Arial" w:hAnsi="Arial" w:cs="Arial"/>
          <w:b/>
          <w:i w:val="0"/>
          <w:color w:val="auto"/>
          <w:sz w:val="20"/>
          <w:szCs w:val="20"/>
        </w:rPr>
        <w:fldChar w:fldCharType="begin"/>
      </w:r>
      <w:r w:rsidRPr="00187B5C">
        <w:rPr>
          <w:rFonts w:ascii="Arial" w:hAnsi="Arial" w:cs="Arial"/>
          <w:b/>
          <w:i w:val="0"/>
          <w:color w:val="auto"/>
          <w:sz w:val="20"/>
          <w:szCs w:val="20"/>
        </w:rPr>
        <w:instrText xml:space="preserve"> SEQ Table \* ARABIC </w:instrText>
      </w:r>
      <w:r w:rsidRPr="00187B5C">
        <w:rPr>
          <w:rFonts w:ascii="Arial" w:hAnsi="Arial" w:cs="Arial"/>
          <w:b/>
          <w:i w:val="0"/>
          <w:color w:val="auto"/>
          <w:sz w:val="20"/>
          <w:szCs w:val="20"/>
        </w:rPr>
        <w:fldChar w:fldCharType="separate"/>
      </w:r>
      <w:r w:rsidR="006A29C0" w:rsidRPr="00187B5C">
        <w:rPr>
          <w:rFonts w:ascii="Arial" w:hAnsi="Arial" w:cs="Arial"/>
          <w:b/>
          <w:i w:val="0"/>
          <w:noProof/>
          <w:color w:val="auto"/>
          <w:sz w:val="20"/>
          <w:szCs w:val="20"/>
        </w:rPr>
        <w:t>2</w:t>
      </w:r>
      <w:r w:rsidRPr="00187B5C">
        <w:rPr>
          <w:rFonts w:ascii="Arial" w:hAnsi="Arial" w:cs="Arial"/>
          <w:b/>
          <w:i w:val="0"/>
          <w:color w:val="auto"/>
          <w:sz w:val="20"/>
          <w:szCs w:val="20"/>
        </w:rPr>
        <w:fldChar w:fldCharType="end"/>
      </w:r>
      <w:r w:rsidRPr="00187B5C">
        <w:rPr>
          <w:rFonts w:ascii="Arial" w:hAnsi="Arial" w:cs="Arial"/>
          <w:b/>
          <w:i w:val="0"/>
          <w:color w:val="auto"/>
          <w:sz w:val="20"/>
          <w:szCs w:val="20"/>
        </w:rPr>
        <w:t xml:space="preserve"> Candidate Models for Holt-Winters</w:t>
      </w:r>
    </w:p>
    <w:tbl>
      <w:tblPr>
        <w:tblStyle w:val="TableGrid"/>
        <w:tblW w:w="0" w:type="auto"/>
        <w:jc w:val="center"/>
        <w:tblLook w:val="04A0" w:firstRow="1" w:lastRow="0" w:firstColumn="1" w:lastColumn="0" w:noHBand="0" w:noVBand="1"/>
      </w:tblPr>
      <w:tblGrid>
        <w:gridCol w:w="2087"/>
        <w:gridCol w:w="2082"/>
        <w:gridCol w:w="2095"/>
        <w:gridCol w:w="2112"/>
      </w:tblGrid>
      <w:tr w:rsidR="00B57B05" w:rsidRPr="00B57B05" w14:paraId="3A87F20A" w14:textId="77777777" w:rsidTr="00632BAA">
        <w:trPr>
          <w:trHeight w:val="402"/>
          <w:jc w:val="center"/>
        </w:trPr>
        <w:tc>
          <w:tcPr>
            <w:tcW w:w="2087" w:type="dxa"/>
          </w:tcPr>
          <w:p w14:paraId="4D97D149" w14:textId="77777777" w:rsidR="00B57B05" w:rsidRPr="00B57B05" w:rsidRDefault="00B57B05" w:rsidP="00B57B05">
            <w:pPr>
              <w:pStyle w:val="Body"/>
              <w:rPr>
                <w:rFonts w:ascii="Arial" w:hAnsi="Arial" w:cs="Arial"/>
                <w:sz w:val="20"/>
              </w:rPr>
            </w:pPr>
            <w:r w:rsidRPr="00B57B05">
              <w:rPr>
                <w:rFonts w:ascii="Arial" w:hAnsi="Arial" w:cs="Arial"/>
                <w:sz w:val="20"/>
              </w:rPr>
              <w:t>Alpha</w:t>
            </w:r>
          </w:p>
        </w:tc>
        <w:tc>
          <w:tcPr>
            <w:tcW w:w="2082" w:type="dxa"/>
          </w:tcPr>
          <w:p w14:paraId="5444BDE0" w14:textId="77777777" w:rsidR="00B57B05" w:rsidRPr="00B57B05" w:rsidRDefault="00B57B05" w:rsidP="00B57B05">
            <w:pPr>
              <w:pStyle w:val="Body"/>
              <w:rPr>
                <w:rFonts w:ascii="Arial" w:hAnsi="Arial" w:cs="Arial"/>
                <w:sz w:val="20"/>
              </w:rPr>
            </w:pPr>
            <w:r w:rsidRPr="00B57B05">
              <w:rPr>
                <w:rFonts w:ascii="Arial" w:hAnsi="Arial" w:cs="Arial"/>
                <w:sz w:val="20"/>
              </w:rPr>
              <w:t>Beta</w:t>
            </w:r>
          </w:p>
        </w:tc>
        <w:tc>
          <w:tcPr>
            <w:tcW w:w="2095" w:type="dxa"/>
          </w:tcPr>
          <w:p w14:paraId="6C352AD7" w14:textId="77777777" w:rsidR="00B57B05" w:rsidRPr="00B57B05" w:rsidRDefault="00B57B05" w:rsidP="00B57B05">
            <w:pPr>
              <w:pStyle w:val="Body"/>
              <w:rPr>
                <w:rFonts w:ascii="Arial" w:hAnsi="Arial" w:cs="Arial"/>
                <w:sz w:val="20"/>
              </w:rPr>
            </w:pPr>
            <w:r w:rsidRPr="00B57B05">
              <w:rPr>
                <w:rFonts w:ascii="Arial" w:hAnsi="Arial" w:cs="Arial"/>
                <w:sz w:val="20"/>
              </w:rPr>
              <w:t>Gamma</w:t>
            </w:r>
          </w:p>
        </w:tc>
        <w:tc>
          <w:tcPr>
            <w:tcW w:w="2112" w:type="dxa"/>
          </w:tcPr>
          <w:p w14:paraId="4EB96C98" w14:textId="77777777" w:rsidR="00B57B05" w:rsidRPr="00B57B05" w:rsidRDefault="00B57B05" w:rsidP="00B57B05">
            <w:pPr>
              <w:pStyle w:val="Body"/>
              <w:rPr>
                <w:rFonts w:ascii="Arial" w:hAnsi="Arial" w:cs="Arial"/>
                <w:sz w:val="20"/>
              </w:rPr>
            </w:pPr>
            <w:r w:rsidRPr="00B57B05">
              <w:rPr>
                <w:rFonts w:ascii="Arial" w:hAnsi="Arial" w:cs="Arial"/>
                <w:sz w:val="20"/>
              </w:rPr>
              <w:t xml:space="preserve">    RMSE(KES)</w:t>
            </w:r>
          </w:p>
        </w:tc>
      </w:tr>
      <w:tr w:rsidR="00B57B05" w:rsidRPr="00B57B05" w14:paraId="1285CDB3" w14:textId="77777777" w:rsidTr="00632BAA">
        <w:trPr>
          <w:trHeight w:val="402"/>
          <w:jc w:val="center"/>
        </w:trPr>
        <w:tc>
          <w:tcPr>
            <w:tcW w:w="2087" w:type="dxa"/>
          </w:tcPr>
          <w:p w14:paraId="0C5D35EA" w14:textId="77777777" w:rsidR="00B57B05" w:rsidRPr="00B57B05" w:rsidRDefault="00B57B05" w:rsidP="00B57B05">
            <w:pPr>
              <w:pStyle w:val="Body"/>
              <w:rPr>
                <w:rFonts w:ascii="Arial" w:hAnsi="Arial" w:cs="Arial"/>
                <w:sz w:val="20"/>
              </w:rPr>
            </w:pPr>
            <w:r w:rsidRPr="00B57B05">
              <w:rPr>
                <w:rFonts w:ascii="Arial" w:hAnsi="Arial" w:cs="Arial"/>
                <w:sz w:val="20"/>
              </w:rPr>
              <w:t>0.7</w:t>
            </w:r>
          </w:p>
        </w:tc>
        <w:tc>
          <w:tcPr>
            <w:tcW w:w="2082" w:type="dxa"/>
          </w:tcPr>
          <w:p w14:paraId="6EEA0209" w14:textId="77777777" w:rsidR="00B57B05" w:rsidRPr="00B57B05" w:rsidRDefault="00B57B05" w:rsidP="00B57B05">
            <w:pPr>
              <w:pStyle w:val="Body"/>
              <w:rPr>
                <w:rFonts w:ascii="Arial" w:hAnsi="Arial" w:cs="Arial"/>
                <w:sz w:val="20"/>
              </w:rPr>
            </w:pPr>
            <w:r w:rsidRPr="00B57B05">
              <w:rPr>
                <w:rFonts w:ascii="Arial" w:hAnsi="Arial" w:cs="Arial"/>
                <w:sz w:val="20"/>
              </w:rPr>
              <w:t>0.10</w:t>
            </w:r>
          </w:p>
        </w:tc>
        <w:tc>
          <w:tcPr>
            <w:tcW w:w="2095" w:type="dxa"/>
          </w:tcPr>
          <w:p w14:paraId="225CFDAB" w14:textId="77777777" w:rsidR="00B57B05" w:rsidRPr="00B57B05" w:rsidRDefault="00B57B05" w:rsidP="00B57B05">
            <w:pPr>
              <w:pStyle w:val="Body"/>
              <w:rPr>
                <w:rFonts w:ascii="Arial" w:hAnsi="Arial" w:cs="Arial"/>
                <w:sz w:val="20"/>
              </w:rPr>
            </w:pPr>
            <w:r w:rsidRPr="00B57B05">
              <w:rPr>
                <w:rFonts w:ascii="Arial" w:hAnsi="Arial" w:cs="Arial"/>
                <w:sz w:val="20"/>
              </w:rPr>
              <w:t>0.01</w:t>
            </w:r>
          </w:p>
        </w:tc>
        <w:tc>
          <w:tcPr>
            <w:tcW w:w="2112" w:type="dxa"/>
          </w:tcPr>
          <w:p w14:paraId="647C6043" w14:textId="77777777" w:rsidR="00B57B05" w:rsidRPr="00B57B05" w:rsidRDefault="00B57B05" w:rsidP="00B57B05">
            <w:pPr>
              <w:pStyle w:val="Body"/>
              <w:rPr>
                <w:rFonts w:ascii="Arial" w:hAnsi="Arial" w:cs="Arial"/>
                <w:sz w:val="20"/>
              </w:rPr>
            </w:pPr>
            <w:r w:rsidRPr="00B57B05">
              <w:rPr>
                <w:rFonts w:ascii="Arial" w:hAnsi="Arial" w:cs="Arial"/>
                <w:sz w:val="20"/>
              </w:rPr>
              <w:t>242,162.46</w:t>
            </w:r>
          </w:p>
        </w:tc>
      </w:tr>
      <w:tr w:rsidR="00B57B05" w:rsidRPr="00B57B05" w14:paraId="2F438CB6" w14:textId="77777777" w:rsidTr="00632BAA">
        <w:trPr>
          <w:trHeight w:val="402"/>
          <w:jc w:val="center"/>
        </w:trPr>
        <w:tc>
          <w:tcPr>
            <w:tcW w:w="2087" w:type="dxa"/>
          </w:tcPr>
          <w:p w14:paraId="3230F9F6" w14:textId="77777777" w:rsidR="00B57B05" w:rsidRPr="00B57B05" w:rsidRDefault="00B57B05" w:rsidP="00B57B05">
            <w:pPr>
              <w:pStyle w:val="Body"/>
              <w:rPr>
                <w:rFonts w:ascii="Arial" w:hAnsi="Arial" w:cs="Arial"/>
                <w:sz w:val="20"/>
              </w:rPr>
            </w:pPr>
            <w:r w:rsidRPr="00B57B05">
              <w:rPr>
                <w:rFonts w:ascii="Arial" w:hAnsi="Arial" w:cs="Arial"/>
                <w:sz w:val="20"/>
              </w:rPr>
              <w:t>0.5</w:t>
            </w:r>
          </w:p>
        </w:tc>
        <w:tc>
          <w:tcPr>
            <w:tcW w:w="2082" w:type="dxa"/>
          </w:tcPr>
          <w:p w14:paraId="1BF2131C" w14:textId="77777777" w:rsidR="00B57B05" w:rsidRPr="00B57B05" w:rsidRDefault="00B57B05" w:rsidP="00B57B05">
            <w:pPr>
              <w:pStyle w:val="Body"/>
              <w:rPr>
                <w:rFonts w:ascii="Arial" w:hAnsi="Arial" w:cs="Arial"/>
                <w:sz w:val="20"/>
              </w:rPr>
            </w:pPr>
            <w:r w:rsidRPr="00B57B05">
              <w:rPr>
                <w:rFonts w:ascii="Arial" w:hAnsi="Arial" w:cs="Arial"/>
                <w:sz w:val="20"/>
              </w:rPr>
              <w:t>0.20</w:t>
            </w:r>
          </w:p>
        </w:tc>
        <w:tc>
          <w:tcPr>
            <w:tcW w:w="2095" w:type="dxa"/>
          </w:tcPr>
          <w:p w14:paraId="30D3CA40" w14:textId="77777777" w:rsidR="00B57B05" w:rsidRPr="00B57B05" w:rsidRDefault="00B57B05" w:rsidP="00B57B05">
            <w:pPr>
              <w:pStyle w:val="Body"/>
              <w:rPr>
                <w:rFonts w:ascii="Arial" w:hAnsi="Arial" w:cs="Arial"/>
                <w:sz w:val="20"/>
              </w:rPr>
            </w:pPr>
            <w:r w:rsidRPr="00B57B05">
              <w:rPr>
                <w:rFonts w:ascii="Arial" w:hAnsi="Arial" w:cs="Arial"/>
                <w:sz w:val="20"/>
              </w:rPr>
              <w:t>0.01</w:t>
            </w:r>
          </w:p>
        </w:tc>
        <w:tc>
          <w:tcPr>
            <w:tcW w:w="2112" w:type="dxa"/>
          </w:tcPr>
          <w:p w14:paraId="4802D21D" w14:textId="77777777" w:rsidR="00B57B05" w:rsidRPr="00B57B05" w:rsidRDefault="00B57B05" w:rsidP="00B57B05">
            <w:pPr>
              <w:pStyle w:val="Body"/>
              <w:rPr>
                <w:rFonts w:ascii="Arial" w:hAnsi="Arial" w:cs="Arial"/>
                <w:sz w:val="20"/>
              </w:rPr>
            </w:pPr>
            <w:r w:rsidRPr="00B57B05">
              <w:rPr>
                <w:rFonts w:ascii="Arial" w:hAnsi="Arial" w:cs="Arial"/>
                <w:sz w:val="20"/>
              </w:rPr>
              <w:t>252,428.66</w:t>
            </w:r>
          </w:p>
        </w:tc>
      </w:tr>
      <w:tr w:rsidR="00B57B05" w:rsidRPr="00B57B05" w14:paraId="3E81937C" w14:textId="77777777" w:rsidTr="00632BAA">
        <w:trPr>
          <w:trHeight w:val="402"/>
          <w:jc w:val="center"/>
        </w:trPr>
        <w:tc>
          <w:tcPr>
            <w:tcW w:w="2087" w:type="dxa"/>
          </w:tcPr>
          <w:p w14:paraId="4D79E45A" w14:textId="77777777" w:rsidR="00B57B05" w:rsidRPr="00B57B05" w:rsidRDefault="00B57B05" w:rsidP="00B57B05">
            <w:pPr>
              <w:pStyle w:val="Body"/>
              <w:rPr>
                <w:rFonts w:ascii="Arial" w:hAnsi="Arial" w:cs="Arial"/>
                <w:sz w:val="20"/>
              </w:rPr>
            </w:pPr>
            <w:r w:rsidRPr="00B57B05">
              <w:rPr>
                <w:rFonts w:ascii="Arial" w:hAnsi="Arial" w:cs="Arial"/>
                <w:sz w:val="20"/>
              </w:rPr>
              <w:t>0.7</w:t>
            </w:r>
          </w:p>
        </w:tc>
        <w:tc>
          <w:tcPr>
            <w:tcW w:w="2082" w:type="dxa"/>
          </w:tcPr>
          <w:p w14:paraId="583A406A" w14:textId="77777777" w:rsidR="00B57B05" w:rsidRPr="00B57B05" w:rsidRDefault="00B57B05" w:rsidP="00B57B05">
            <w:pPr>
              <w:pStyle w:val="Body"/>
              <w:rPr>
                <w:rFonts w:ascii="Arial" w:hAnsi="Arial" w:cs="Arial"/>
                <w:sz w:val="20"/>
              </w:rPr>
            </w:pPr>
            <w:r w:rsidRPr="00B57B05">
              <w:rPr>
                <w:rFonts w:ascii="Arial" w:hAnsi="Arial" w:cs="Arial"/>
                <w:sz w:val="20"/>
              </w:rPr>
              <w:t>0.10</w:t>
            </w:r>
          </w:p>
        </w:tc>
        <w:tc>
          <w:tcPr>
            <w:tcW w:w="2095" w:type="dxa"/>
          </w:tcPr>
          <w:p w14:paraId="4DC5F5AD" w14:textId="77777777" w:rsidR="00B57B05" w:rsidRPr="00B57B05" w:rsidRDefault="00B57B05" w:rsidP="00B57B05">
            <w:pPr>
              <w:pStyle w:val="Body"/>
              <w:rPr>
                <w:rFonts w:ascii="Arial" w:hAnsi="Arial" w:cs="Arial"/>
                <w:sz w:val="20"/>
              </w:rPr>
            </w:pPr>
            <w:r w:rsidRPr="00B57B05">
              <w:rPr>
                <w:rFonts w:ascii="Arial" w:hAnsi="Arial" w:cs="Arial"/>
                <w:sz w:val="20"/>
              </w:rPr>
              <w:t>0.05</w:t>
            </w:r>
          </w:p>
        </w:tc>
        <w:tc>
          <w:tcPr>
            <w:tcW w:w="2112" w:type="dxa"/>
          </w:tcPr>
          <w:p w14:paraId="3E6EDF84" w14:textId="77777777" w:rsidR="00B57B05" w:rsidRPr="00B57B05" w:rsidRDefault="00B57B05" w:rsidP="00B57B05">
            <w:pPr>
              <w:pStyle w:val="Body"/>
              <w:rPr>
                <w:rFonts w:ascii="Arial" w:hAnsi="Arial" w:cs="Arial"/>
                <w:sz w:val="20"/>
              </w:rPr>
            </w:pPr>
            <w:r w:rsidRPr="00B57B05">
              <w:rPr>
                <w:rFonts w:ascii="Arial" w:hAnsi="Arial" w:cs="Arial"/>
                <w:sz w:val="20"/>
              </w:rPr>
              <w:t>268,584.07</w:t>
            </w:r>
          </w:p>
        </w:tc>
      </w:tr>
      <w:tr w:rsidR="00B57B05" w:rsidRPr="00B57B05" w14:paraId="291A398D" w14:textId="77777777" w:rsidTr="00632BAA">
        <w:trPr>
          <w:trHeight w:val="402"/>
          <w:jc w:val="center"/>
        </w:trPr>
        <w:tc>
          <w:tcPr>
            <w:tcW w:w="2087" w:type="dxa"/>
          </w:tcPr>
          <w:p w14:paraId="0C03CF4C" w14:textId="77777777" w:rsidR="00B57B05" w:rsidRPr="00B57B05" w:rsidRDefault="00B57B05" w:rsidP="00B57B05">
            <w:pPr>
              <w:pStyle w:val="Body"/>
              <w:rPr>
                <w:rFonts w:ascii="Arial" w:hAnsi="Arial" w:cs="Arial"/>
                <w:sz w:val="20"/>
              </w:rPr>
            </w:pPr>
            <w:r w:rsidRPr="00B57B05">
              <w:rPr>
                <w:rFonts w:ascii="Arial" w:hAnsi="Arial" w:cs="Arial"/>
                <w:sz w:val="20"/>
              </w:rPr>
              <w:t>0.5</w:t>
            </w:r>
          </w:p>
        </w:tc>
        <w:tc>
          <w:tcPr>
            <w:tcW w:w="2082" w:type="dxa"/>
          </w:tcPr>
          <w:p w14:paraId="09344285" w14:textId="77777777" w:rsidR="00B57B05" w:rsidRPr="00B57B05" w:rsidRDefault="00B57B05" w:rsidP="00B57B05">
            <w:pPr>
              <w:pStyle w:val="Body"/>
              <w:rPr>
                <w:rFonts w:ascii="Arial" w:hAnsi="Arial" w:cs="Arial"/>
                <w:sz w:val="20"/>
              </w:rPr>
            </w:pPr>
            <w:r w:rsidRPr="00B57B05">
              <w:rPr>
                <w:rFonts w:ascii="Arial" w:hAnsi="Arial" w:cs="Arial"/>
                <w:sz w:val="20"/>
              </w:rPr>
              <w:t>0.20</w:t>
            </w:r>
          </w:p>
        </w:tc>
        <w:tc>
          <w:tcPr>
            <w:tcW w:w="2095" w:type="dxa"/>
          </w:tcPr>
          <w:p w14:paraId="34E8ACBA" w14:textId="77777777" w:rsidR="00B57B05" w:rsidRPr="00B57B05" w:rsidRDefault="00B57B05" w:rsidP="00B57B05">
            <w:pPr>
              <w:pStyle w:val="Body"/>
              <w:rPr>
                <w:rFonts w:ascii="Arial" w:hAnsi="Arial" w:cs="Arial"/>
                <w:sz w:val="20"/>
              </w:rPr>
            </w:pPr>
            <w:r w:rsidRPr="00B57B05">
              <w:rPr>
                <w:rFonts w:ascii="Arial" w:hAnsi="Arial" w:cs="Arial"/>
                <w:sz w:val="20"/>
              </w:rPr>
              <w:t>0.05</w:t>
            </w:r>
          </w:p>
        </w:tc>
        <w:tc>
          <w:tcPr>
            <w:tcW w:w="2112" w:type="dxa"/>
          </w:tcPr>
          <w:p w14:paraId="5D372F30" w14:textId="77777777" w:rsidR="00B57B05" w:rsidRPr="00B57B05" w:rsidRDefault="00B57B05" w:rsidP="00B57B05">
            <w:pPr>
              <w:pStyle w:val="Body"/>
              <w:rPr>
                <w:rFonts w:ascii="Arial" w:hAnsi="Arial" w:cs="Arial"/>
                <w:sz w:val="20"/>
              </w:rPr>
            </w:pPr>
            <w:r w:rsidRPr="00B57B05">
              <w:rPr>
                <w:rFonts w:ascii="Arial" w:hAnsi="Arial" w:cs="Arial"/>
                <w:sz w:val="20"/>
              </w:rPr>
              <w:t>277,981.54</w:t>
            </w:r>
          </w:p>
        </w:tc>
      </w:tr>
      <w:tr w:rsidR="00B57B05" w:rsidRPr="00B57B05" w14:paraId="13B5AC93" w14:textId="77777777" w:rsidTr="00632BAA">
        <w:trPr>
          <w:trHeight w:val="402"/>
          <w:jc w:val="center"/>
        </w:trPr>
        <w:tc>
          <w:tcPr>
            <w:tcW w:w="2087" w:type="dxa"/>
          </w:tcPr>
          <w:p w14:paraId="6E1EAC63" w14:textId="77777777" w:rsidR="00B57B05" w:rsidRPr="00B57B05" w:rsidRDefault="00B57B05" w:rsidP="00B57B05">
            <w:pPr>
              <w:pStyle w:val="Body"/>
              <w:rPr>
                <w:rFonts w:ascii="Arial" w:hAnsi="Arial" w:cs="Arial"/>
                <w:sz w:val="20"/>
              </w:rPr>
            </w:pPr>
            <w:r w:rsidRPr="00B57B05">
              <w:rPr>
                <w:rFonts w:ascii="Arial" w:hAnsi="Arial" w:cs="Arial"/>
                <w:sz w:val="20"/>
              </w:rPr>
              <w:t>0.7</w:t>
            </w:r>
          </w:p>
        </w:tc>
        <w:tc>
          <w:tcPr>
            <w:tcW w:w="2082" w:type="dxa"/>
          </w:tcPr>
          <w:p w14:paraId="29C84DD3" w14:textId="77777777" w:rsidR="00B57B05" w:rsidRPr="00B57B05" w:rsidRDefault="00B57B05" w:rsidP="00B57B05">
            <w:pPr>
              <w:pStyle w:val="Body"/>
              <w:rPr>
                <w:rFonts w:ascii="Arial" w:hAnsi="Arial" w:cs="Arial"/>
                <w:sz w:val="20"/>
              </w:rPr>
            </w:pPr>
            <w:r w:rsidRPr="00B57B05">
              <w:rPr>
                <w:rFonts w:ascii="Arial" w:hAnsi="Arial" w:cs="Arial"/>
                <w:sz w:val="20"/>
              </w:rPr>
              <w:t>0.10</w:t>
            </w:r>
          </w:p>
        </w:tc>
        <w:tc>
          <w:tcPr>
            <w:tcW w:w="2095" w:type="dxa"/>
          </w:tcPr>
          <w:p w14:paraId="045E54DF" w14:textId="77777777" w:rsidR="00B57B05" w:rsidRPr="00B57B05" w:rsidRDefault="00B57B05" w:rsidP="00B57B05">
            <w:pPr>
              <w:pStyle w:val="Body"/>
              <w:rPr>
                <w:rFonts w:ascii="Arial" w:hAnsi="Arial" w:cs="Arial"/>
                <w:sz w:val="20"/>
              </w:rPr>
            </w:pPr>
            <w:r w:rsidRPr="00B57B05">
              <w:rPr>
                <w:rFonts w:ascii="Arial" w:hAnsi="Arial" w:cs="Arial"/>
                <w:sz w:val="20"/>
              </w:rPr>
              <w:t xml:space="preserve"> 0.10</w:t>
            </w:r>
          </w:p>
        </w:tc>
        <w:tc>
          <w:tcPr>
            <w:tcW w:w="2112" w:type="dxa"/>
          </w:tcPr>
          <w:p w14:paraId="31EAB1D9" w14:textId="77777777" w:rsidR="00B57B05" w:rsidRPr="00B57B05" w:rsidRDefault="00B57B05" w:rsidP="00B57B05">
            <w:pPr>
              <w:pStyle w:val="Body"/>
              <w:rPr>
                <w:rFonts w:ascii="Arial" w:hAnsi="Arial" w:cs="Arial"/>
                <w:sz w:val="20"/>
              </w:rPr>
            </w:pPr>
            <w:r w:rsidRPr="00B57B05">
              <w:rPr>
                <w:rFonts w:ascii="Arial" w:hAnsi="Arial" w:cs="Arial"/>
                <w:sz w:val="20"/>
              </w:rPr>
              <w:t>292,635.29</w:t>
            </w:r>
          </w:p>
        </w:tc>
      </w:tr>
      <w:tr w:rsidR="00B57B05" w:rsidRPr="00B57B05" w14:paraId="4651561E" w14:textId="77777777" w:rsidTr="00632BAA">
        <w:trPr>
          <w:trHeight w:val="402"/>
          <w:jc w:val="center"/>
        </w:trPr>
        <w:tc>
          <w:tcPr>
            <w:tcW w:w="2087" w:type="dxa"/>
          </w:tcPr>
          <w:p w14:paraId="3BAA359B" w14:textId="77777777" w:rsidR="00B57B05" w:rsidRPr="00B57B05" w:rsidRDefault="00B57B05" w:rsidP="00B57B05">
            <w:pPr>
              <w:pStyle w:val="Body"/>
              <w:rPr>
                <w:rFonts w:ascii="Arial" w:hAnsi="Arial" w:cs="Arial"/>
                <w:sz w:val="20"/>
              </w:rPr>
            </w:pPr>
            <w:r w:rsidRPr="00B57B05">
              <w:rPr>
                <w:rFonts w:ascii="Arial" w:hAnsi="Arial" w:cs="Arial"/>
                <w:sz w:val="20"/>
              </w:rPr>
              <w:t>0.5</w:t>
            </w:r>
          </w:p>
        </w:tc>
        <w:tc>
          <w:tcPr>
            <w:tcW w:w="2082" w:type="dxa"/>
          </w:tcPr>
          <w:p w14:paraId="0BD7499D" w14:textId="77777777" w:rsidR="00B57B05" w:rsidRPr="00B57B05" w:rsidRDefault="00B57B05" w:rsidP="00B57B05">
            <w:pPr>
              <w:pStyle w:val="Body"/>
              <w:rPr>
                <w:rFonts w:ascii="Arial" w:hAnsi="Arial" w:cs="Arial"/>
                <w:sz w:val="20"/>
              </w:rPr>
            </w:pPr>
            <w:r w:rsidRPr="00B57B05">
              <w:rPr>
                <w:rFonts w:ascii="Arial" w:hAnsi="Arial" w:cs="Arial"/>
                <w:sz w:val="20"/>
              </w:rPr>
              <w:t>0.20</w:t>
            </w:r>
          </w:p>
        </w:tc>
        <w:tc>
          <w:tcPr>
            <w:tcW w:w="2095" w:type="dxa"/>
          </w:tcPr>
          <w:p w14:paraId="5D2FB864" w14:textId="77777777" w:rsidR="00B57B05" w:rsidRPr="00B57B05" w:rsidRDefault="00B57B05" w:rsidP="00B57B05">
            <w:pPr>
              <w:pStyle w:val="Body"/>
              <w:rPr>
                <w:rFonts w:ascii="Arial" w:hAnsi="Arial" w:cs="Arial"/>
                <w:sz w:val="20"/>
              </w:rPr>
            </w:pPr>
            <w:r w:rsidRPr="00B57B05">
              <w:rPr>
                <w:rFonts w:ascii="Arial" w:hAnsi="Arial" w:cs="Arial"/>
                <w:sz w:val="20"/>
              </w:rPr>
              <w:t>0.10</w:t>
            </w:r>
          </w:p>
        </w:tc>
        <w:tc>
          <w:tcPr>
            <w:tcW w:w="2112" w:type="dxa"/>
          </w:tcPr>
          <w:p w14:paraId="0AC1C28D" w14:textId="77777777" w:rsidR="00B57B05" w:rsidRPr="00B57B05" w:rsidRDefault="00B57B05" w:rsidP="00B57B05">
            <w:pPr>
              <w:pStyle w:val="Body"/>
              <w:rPr>
                <w:rFonts w:ascii="Arial" w:hAnsi="Arial" w:cs="Arial"/>
                <w:sz w:val="20"/>
              </w:rPr>
            </w:pPr>
            <w:r w:rsidRPr="00B57B05">
              <w:rPr>
                <w:rFonts w:ascii="Arial" w:hAnsi="Arial" w:cs="Arial"/>
                <w:sz w:val="20"/>
              </w:rPr>
              <w:t xml:space="preserve"> 299,635.29</w:t>
            </w:r>
          </w:p>
        </w:tc>
      </w:tr>
      <w:tr w:rsidR="00B57B05" w:rsidRPr="00B57B05" w14:paraId="1CA60455" w14:textId="77777777" w:rsidTr="00632BAA">
        <w:trPr>
          <w:trHeight w:val="402"/>
          <w:jc w:val="center"/>
        </w:trPr>
        <w:tc>
          <w:tcPr>
            <w:tcW w:w="2087" w:type="dxa"/>
          </w:tcPr>
          <w:p w14:paraId="39618DE6" w14:textId="77777777" w:rsidR="00B57B05" w:rsidRPr="00B57B05" w:rsidRDefault="00B57B05" w:rsidP="00B57B05">
            <w:pPr>
              <w:pStyle w:val="Body"/>
              <w:rPr>
                <w:rFonts w:ascii="Arial" w:hAnsi="Arial" w:cs="Arial"/>
                <w:sz w:val="20"/>
              </w:rPr>
            </w:pPr>
            <w:r w:rsidRPr="00B57B05">
              <w:rPr>
                <w:rFonts w:ascii="Arial" w:hAnsi="Arial" w:cs="Arial"/>
                <w:sz w:val="20"/>
              </w:rPr>
              <w:t>0.7</w:t>
            </w:r>
          </w:p>
        </w:tc>
        <w:tc>
          <w:tcPr>
            <w:tcW w:w="2082" w:type="dxa"/>
          </w:tcPr>
          <w:p w14:paraId="6E8D7197" w14:textId="77777777" w:rsidR="00B57B05" w:rsidRPr="00B57B05" w:rsidRDefault="00B57B05" w:rsidP="00B57B05">
            <w:pPr>
              <w:pStyle w:val="Body"/>
              <w:rPr>
                <w:rFonts w:ascii="Arial" w:hAnsi="Arial" w:cs="Arial"/>
                <w:sz w:val="20"/>
              </w:rPr>
            </w:pPr>
            <w:r w:rsidRPr="00B57B05">
              <w:rPr>
                <w:rFonts w:ascii="Arial" w:hAnsi="Arial" w:cs="Arial"/>
                <w:sz w:val="20"/>
              </w:rPr>
              <w:t>0.10</w:t>
            </w:r>
          </w:p>
        </w:tc>
        <w:tc>
          <w:tcPr>
            <w:tcW w:w="2095" w:type="dxa"/>
          </w:tcPr>
          <w:p w14:paraId="434BA12C" w14:textId="77777777" w:rsidR="00B57B05" w:rsidRPr="00B57B05" w:rsidRDefault="00B57B05" w:rsidP="00B57B05">
            <w:pPr>
              <w:pStyle w:val="Body"/>
              <w:rPr>
                <w:rFonts w:ascii="Arial" w:hAnsi="Arial" w:cs="Arial"/>
                <w:sz w:val="20"/>
              </w:rPr>
            </w:pPr>
            <w:r w:rsidRPr="00B57B05">
              <w:rPr>
                <w:rFonts w:ascii="Arial" w:hAnsi="Arial" w:cs="Arial"/>
                <w:sz w:val="20"/>
              </w:rPr>
              <w:t>0.20</w:t>
            </w:r>
          </w:p>
        </w:tc>
        <w:tc>
          <w:tcPr>
            <w:tcW w:w="2112" w:type="dxa"/>
          </w:tcPr>
          <w:p w14:paraId="4772DD71" w14:textId="77777777" w:rsidR="00B57B05" w:rsidRPr="00B57B05" w:rsidRDefault="00B57B05" w:rsidP="00B57B05">
            <w:pPr>
              <w:pStyle w:val="Body"/>
              <w:rPr>
                <w:rFonts w:ascii="Arial" w:hAnsi="Arial" w:cs="Arial"/>
                <w:sz w:val="20"/>
              </w:rPr>
            </w:pPr>
            <w:r w:rsidRPr="00B57B05">
              <w:rPr>
                <w:rFonts w:ascii="Arial" w:hAnsi="Arial" w:cs="Arial"/>
                <w:sz w:val="20"/>
              </w:rPr>
              <w:t>309,990.20</w:t>
            </w:r>
          </w:p>
        </w:tc>
      </w:tr>
    </w:tbl>
    <w:p w14:paraId="2800E0E9" w14:textId="77777777" w:rsidR="00B57B05" w:rsidRPr="00B57B05" w:rsidRDefault="00B57B05" w:rsidP="00B57B05">
      <w:pPr>
        <w:pStyle w:val="Body"/>
        <w:spacing w:after="0"/>
        <w:rPr>
          <w:rFonts w:ascii="Arial" w:hAnsi="Arial" w:cs="Arial"/>
        </w:rPr>
      </w:pPr>
    </w:p>
    <w:p w14:paraId="44C10EAE" w14:textId="77777777" w:rsidR="00B57B05" w:rsidRPr="00B57B05" w:rsidRDefault="00B57B05" w:rsidP="00B57B05">
      <w:pPr>
        <w:pStyle w:val="Body"/>
        <w:spacing w:after="0"/>
        <w:rPr>
          <w:rFonts w:ascii="Arial" w:hAnsi="Arial" w:cs="Arial"/>
        </w:rPr>
      </w:pPr>
      <w:r w:rsidRPr="00B57B05">
        <w:rPr>
          <w:rFonts w:ascii="Arial" w:hAnsi="Arial" w:cs="Arial"/>
        </w:rPr>
        <w:t xml:space="preserve"> From the table, it can be seen that the smallest values for RMSE is obtained when alpha=0.70, Beta=0.10, and Gamma=0.01. Next, with these parameters, is fitting the model.</w:t>
      </w:r>
    </w:p>
    <w:p w14:paraId="3D5D005A" w14:textId="77777777" w:rsidR="00B57B05" w:rsidRPr="00B57B05" w:rsidRDefault="00B57B05" w:rsidP="00B57B05">
      <w:pPr>
        <w:pStyle w:val="Body"/>
        <w:spacing w:after="0"/>
        <w:rPr>
          <w:rFonts w:ascii="Arial" w:hAnsi="Arial" w:cs="Arial"/>
        </w:rPr>
      </w:pPr>
    </w:p>
    <w:p w14:paraId="33E3600D" w14:textId="77777777" w:rsidR="00B57B05" w:rsidRPr="002B3025" w:rsidRDefault="00091585" w:rsidP="00B57B05">
      <w:pPr>
        <w:pStyle w:val="Body"/>
        <w:spacing w:after="0"/>
        <w:rPr>
          <w:rFonts w:ascii="Arial" w:hAnsi="Arial" w:cs="Arial"/>
          <w:b/>
          <w:u w:val="single"/>
        </w:rPr>
      </w:pPr>
      <w:proofErr w:type="gramStart"/>
      <w:r>
        <w:rPr>
          <w:rFonts w:ascii="Arial" w:hAnsi="Arial" w:cs="Arial"/>
          <w:b/>
          <w:u w:val="single"/>
        </w:rPr>
        <w:t xml:space="preserve">4.3.2  </w:t>
      </w:r>
      <w:r w:rsidRPr="002B3025">
        <w:rPr>
          <w:rFonts w:ascii="Arial" w:hAnsi="Arial" w:cs="Arial"/>
          <w:b/>
          <w:u w:val="single"/>
        </w:rPr>
        <w:t>Model</w:t>
      </w:r>
      <w:proofErr w:type="gramEnd"/>
      <w:r w:rsidR="00B57B05" w:rsidRPr="002B3025">
        <w:rPr>
          <w:rFonts w:ascii="Arial" w:hAnsi="Arial" w:cs="Arial"/>
          <w:b/>
          <w:u w:val="single"/>
        </w:rPr>
        <w:t xml:space="preserve"> Fitting </w:t>
      </w:r>
    </w:p>
    <w:p w14:paraId="34E8A705" w14:textId="77777777" w:rsidR="007F57A8" w:rsidRDefault="00B57B05" w:rsidP="007F57A8">
      <w:pPr>
        <w:pStyle w:val="Body"/>
        <w:keepNext/>
        <w:spacing w:after="0"/>
      </w:pPr>
      <w:r w:rsidRPr="00B57B05">
        <w:rPr>
          <w:rFonts w:ascii="Arial" w:hAnsi="Arial" w:cs="Arial"/>
          <w:noProof/>
        </w:rPr>
        <w:lastRenderedPageBreak/>
        <w:drawing>
          <wp:inline distT="0" distB="0" distL="0" distR="0" wp14:anchorId="4B9B1629" wp14:editId="17ADEEBA">
            <wp:extent cx="4705350" cy="2181225"/>
            <wp:effectExtent l="0" t="0" r="0" b="9525"/>
            <wp:docPr id="1032" name="Picture 8" descr="C:\Users\Abie G\AppData\Local\Microsoft\Windows\INetCache\Content.Word\holt_winters_multiplicative_plot.png"/>
            <wp:cNvGraphicFramePr/>
            <a:graphic xmlns:a="http://schemas.openxmlformats.org/drawingml/2006/main">
              <a:graphicData uri="http://schemas.openxmlformats.org/drawingml/2006/picture">
                <pic:pic xmlns:pic="http://schemas.openxmlformats.org/drawingml/2006/picture">
                  <pic:nvPicPr>
                    <pic:cNvPr id="1032" name="Picture 8"/>
                    <pic:cNvPicPr/>
                  </pic:nvPicPr>
                  <pic:blipFill>
                    <a:blip r:embed="rId20" cstate="print"/>
                    <a:stretch>
                      <a:fillRect/>
                    </a:stretch>
                  </pic:blipFill>
                  <pic:spPr>
                    <a:xfrm>
                      <a:off x="0" y="0"/>
                      <a:ext cx="4705350" cy="2181225"/>
                    </a:xfrm>
                    <a:prstGeom prst="rect">
                      <a:avLst/>
                    </a:prstGeom>
                    <a:ln>
                      <a:noFill/>
                    </a:ln>
                  </pic:spPr>
                </pic:pic>
              </a:graphicData>
            </a:graphic>
          </wp:inline>
        </w:drawing>
      </w:r>
    </w:p>
    <w:p w14:paraId="5C5C2B8E" w14:textId="77777777" w:rsidR="00B57B05" w:rsidRPr="00187B5C" w:rsidRDefault="007F57A8" w:rsidP="007F57A8">
      <w:pPr>
        <w:pStyle w:val="Caption"/>
        <w:jc w:val="both"/>
        <w:rPr>
          <w:rFonts w:ascii="Arial" w:hAnsi="Arial" w:cs="Arial"/>
          <w:b/>
          <w:i w:val="0"/>
          <w:color w:val="auto"/>
          <w:sz w:val="20"/>
          <w:szCs w:val="20"/>
        </w:rPr>
      </w:pPr>
      <w:r w:rsidRPr="00187B5C">
        <w:rPr>
          <w:rFonts w:ascii="Arial" w:hAnsi="Arial" w:cs="Arial"/>
          <w:b/>
          <w:i w:val="0"/>
          <w:color w:val="auto"/>
          <w:sz w:val="20"/>
          <w:szCs w:val="20"/>
        </w:rPr>
        <w:t xml:space="preserve">Figure </w:t>
      </w:r>
      <w:r w:rsidR="00041DC5" w:rsidRPr="00187B5C">
        <w:rPr>
          <w:rFonts w:ascii="Arial" w:hAnsi="Arial" w:cs="Arial"/>
          <w:b/>
          <w:i w:val="0"/>
          <w:color w:val="auto"/>
          <w:sz w:val="20"/>
          <w:szCs w:val="20"/>
        </w:rPr>
        <w:fldChar w:fldCharType="begin"/>
      </w:r>
      <w:r w:rsidR="00041DC5" w:rsidRPr="00187B5C">
        <w:rPr>
          <w:rFonts w:ascii="Arial" w:hAnsi="Arial" w:cs="Arial"/>
          <w:b/>
          <w:i w:val="0"/>
          <w:color w:val="auto"/>
          <w:sz w:val="20"/>
          <w:szCs w:val="20"/>
        </w:rPr>
        <w:instrText xml:space="preserve"> SEQ Figure \* ARABIC </w:instrText>
      </w:r>
      <w:r w:rsidR="00041DC5" w:rsidRPr="00187B5C">
        <w:rPr>
          <w:rFonts w:ascii="Arial" w:hAnsi="Arial" w:cs="Arial"/>
          <w:b/>
          <w:i w:val="0"/>
          <w:color w:val="auto"/>
          <w:sz w:val="20"/>
          <w:szCs w:val="20"/>
        </w:rPr>
        <w:fldChar w:fldCharType="separate"/>
      </w:r>
      <w:r w:rsidRPr="00187B5C">
        <w:rPr>
          <w:rFonts w:ascii="Arial" w:hAnsi="Arial" w:cs="Arial"/>
          <w:b/>
          <w:i w:val="0"/>
          <w:noProof/>
          <w:color w:val="auto"/>
          <w:sz w:val="20"/>
          <w:szCs w:val="20"/>
        </w:rPr>
        <w:t>6</w:t>
      </w:r>
      <w:r w:rsidR="00041DC5" w:rsidRPr="00187B5C">
        <w:rPr>
          <w:rFonts w:ascii="Arial" w:hAnsi="Arial" w:cs="Arial"/>
          <w:b/>
          <w:i w:val="0"/>
          <w:noProof/>
          <w:color w:val="auto"/>
          <w:sz w:val="20"/>
          <w:szCs w:val="20"/>
        </w:rPr>
        <w:fldChar w:fldCharType="end"/>
      </w:r>
      <w:r w:rsidRPr="00187B5C">
        <w:rPr>
          <w:rFonts w:ascii="Arial" w:hAnsi="Arial" w:cs="Arial"/>
          <w:b/>
          <w:i w:val="0"/>
          <w:color w:val="auto"/>
          <w:sz w:val="20"/>
          <w:szCs w:val="20"/>
        </w:rPr>
        <w:t xml:space="preserve"> Holt-Winters Fitted Model Graph</w:t>
      </w:r>
    </w:p>
    <w:p w14:paraId="56FFBE07" w14:textId="77777777" w:rsidR="00B57B05" w:rsidRDefault="00B57B05" w:rsidP="00B57B05">
      <w:pPr>
        <w:pStyle w:val="Body"/>
        <w:spacing w:after="0"/>
        <w:rPr>
          <w:rFonts w:ascii="Arial" w:hAnsi="Arial" w:cs="Arial"/>
        </w:rPr>
      </w:pPr>
      <w:r w:rsidRPr="00B57B05">
        <w:rPr>
          <w:rFonts w:ascii="Arial" w:hAnsi="Arial" w:cs="Arial"/>
        </w:rPr>
        <w:t xml:space="preserve">Just like the first model, the Holt-Winters Multiplicative model still performs well in capturing the overall trend and quarterly seasonality of the data. </w:t>
      </w:r>
    </w:p>
    <w:p w14:paraId="2C29EB69" w14:textId="77777777" w:rsidR="002B3025" w:rsidRPr="00B57B05" w:rsidRDefault="002B3025" w:rsidP="00B57B05">
      <w:pPr>
        <w:pStyle w:val="Body"/>
        <w:spacing w:after="0"/>
        <w:rPr>
          <w:rFonts w:ascii="Arial" w:hAnsi="Arial" w:cs="Arial"/>
        </w:rPr>
      </w:pPr>
    </w:p>
    <w:p w14:paraId="5F38DEF4" w14:textId="77777777" w:rsidR="00B57B05" w:rsidRPr="002B3025" w:rsidRDefault="00091585" w:rsidP="00B57B05">
      <w:pPr>
        <w:pStyle w:val="Body"/>
        <w:spacing w:after="0"/>
        <w:rPr>
          <w:rFonts w:ascii="Arial" w:hAnsi="Arial" w:cs="Arial"/>
          <w:b/>
          <w:u w:val="single"/>
        </w:rPr>
      </w:pPr>
      <w:r>
        <w:rPr>
          <w:rFonts w:ascii="Arial" w:hAnsi="Arial" w:cs="Arial"/>
          <w:b/>
          <w:u w:val="single"/>
        </w:rPr>
        <w:t xml:space="preserve">4.3.3 </w:t>
      </w:r>
      <w:r w:rsidRPr="002B3025">
        <w:rPr>
          <w:rFonts w:ascii="Arial" w:hAnsi="Arial" w:cs="Arial"/>
          <w:b/>
          <w:u w:val="single"/>
        </w:rPr>
        <w:t>Model</w:t>
      </w:r>
      <w:r w:rsidR="00B57B05" w:rsidRPr="002B3025">
        <w:rPr>
          <w:rFonts w:ascii="Arial" w:hAnsi="Arial" w:cs="Arial"/>
          <w:b/>
          <w:u w:val="single"/>
        </w:rPr>
        <w:t xml:space="preserve"> Forecasting </w:t>
      </w:r>
    </w:p>
    <w:p w14:paraId="23CE1F3E" w14:textId="77777777" w:rsidR="007F57A8" w:rsidRDefault="00B57B05" w:rsidP="007F57A8">
      <w:pPr>
        <w:pStyle w:val="Body"/>
        <w:keepNext/>
        <w:spacing w:after="0"/>
      </w:pPr>
      <w:r w:rsidRPr="00B57B05">
        <w:rPr>
          <w:rFonts w:ascii="Arial" w:hAnsi="Arial" w:cs="Arial"/>
          <w:noProof/>
        </w:rPr>
        <w:drawing>
          <wp:inline distT="0" distB="0" distL="0" distR="0" wp14:anchorId="06AC0228" wp14:editId="0FDB6EEF">
            <wp:extent cx="4791075" cy="2324100"/>
            <wp:effectExtent l="0" t="0" r="9525" b="0"/>
            <wp:docPr id="1033" name="Picture 9" descr="C:\Users\Abie G\AppData\Local\Microsoft\Windows\INetCache\Content.Word\holt_winters_multiplicative_2year_forecast.png"/>
            <wp:cNvGraphicFramePr/>
            <a:graphic xmlns:a="http://schemas.openxmlformats.org/drawingml/2006/main">
              <a:graphicData uri="http://schemas.openxmlformats.org/drawingml/2006/picture">
                <pic:pic xmlns:pic="http://schemas.openxmlformats.org/drawingml/2006/picture">
                  <pic:nvPicPr>
                    <pic:cNvPr id="1033" name="Picture 9"/>
                    <pic:cNvPicPr/>
                  </pic:nvPicPr>
                  <pic:blipFill>
                    <a:blip r:embed="rId21" cstate="print"/>
                    <a:stretch>
                      <a:fillRect/>
                    </a:stretch>
                  </pic:blipFill>
                  <pic:spPr>
                    <a:xfrm>
                      <a:off x="0" y="0"/>
                      <a:ext cx="4791075" cy="2324100"/>
                    </a:xfrm>
                    <a:prstGeom prst="rect">
                      <a:avLst/>
                    </a:prstGeom>
                    <a:ln>
                      <a:noFill/>
                    </a:ln>
                  </pic:spPr>
                </pic:pic>
              </a:graphicData>
            </a:graphic>
          </wp:inline>
        </w:drawing>
      </w:r>
    </w:p>
    <w:p w14:paraId="359156E1" w14:textId="77777777" w:rsidR="00B57B05" w:rsidRPr="00187B5C" w:rsidRDefault="007F57A8" w:rsidP="007F57A8">
      <w:pPr>
        <w:pStyle w:val="Caption"/>
        <w:jc w:val="both"/>
        <w:rPr>
          <w:rFonts w:ascii="Arial" w:hAnsi="Arial" w:cs="Arial"/>
          <w:b/>
          <w:i w:val="0"/>
          <w:color w:val="auto"/>
          <w:sz w:val="20"/>
          <w:szCs w:val="20"/>
        </w:rPr>
      </w:pPr>
      <w:r w:rsidRPr="00187B5C">
        <w:rPr>
          <w:rFonts w:ascii="Arial" w:hAnsi="Arial" w:cs="Arial"/>
          <w:b/>
          <w:i w:val="0"/>
          <w:color w:val="auto"/>
          <w:sz w:val="20"/>
          <w:szCs w:val="20"/>
        </w:rPr>
        <w:t xml:space="preserve">Figure </w:t>
      </w:r>
      <w:r w:rsidR="00041DC5" w:rsidRPr="00187B5C">
        <w:rPr>
          <w:rFonts w:ascii="Arial" w:hAnsi="Arial" w:cs="Arial"/>
          <w:b/>
          <w:i w:val="0"/>
          <w:color w:val="auto"/>
          <w:sz w:val="20"/>
          <w:szCs w:val="20"/>
        </w:rPr>
        <w:fldChar w:fldCharType="begin"/>
      </w:r>
      <w:r w:rsidR="00041DC5" w:rsidRPr="00187B5C">
        <w:rPr>
          <w:rFonts w:ascii="Arial" w:hAnsi="Arial" w:cs="Arial"/>
          <w:b/>
          <w:i w:val="0"/>
          <w:color w:val="auto"/>
          <w:sz w:val="20"/>
          <w:szCs w:val="20"/>
        </w:rPr>
        <w:instrText xml:space="preserve"> SEQ Figure \* ARABIC </w:instrText>
      </w:r>
      <w:r w:rsidR="00041DC5" w:rsidRPr="00187B5C">
        <w:rPr>
          <w:rFonts w:ascii="Arial" w:hAnsi="Arial" w:cs="Arial"/>
          <w:b/>
          <w:i w:val="0"/>
          <w:color w:val="auto"/>
          <w:sz w:val="20"/>
          <w:szCs w:val="20"/>
        </w:rPr>
        <w:fldChar w:fldCharType="separate"/>
      </w:r>
      <w:r w:rsidRPr="00187B5C">
        <w:rPr>
          <w:rFonts w:ascii="Arial" w:hAnsi="Arial" w:cs="Arial"/>
          <w:b/>
          <w:i w:val="0"/>
          <w:noProof/>
          <w:color w:val="auto"/>
          <w:sz w:val="20"/>
          <w:szCs w:val="20"/>
        </w:rPr>
        <w:t>7</w:t>
      </w:r>
      <w:r w:rsidR="00041DC5" w:rsidRPr="00187B5C">
        <w:rPr>
          <w:rFonts w:ascii="Arial" w:hAnsi="Arial" w:cs="Arial"/>
          <w:b/>
          <w:i w:val="0"/>
          <w:noProof/>
          <w:color w:val="auto"/>
          <w:sz w:val="20"/>
          <w:szCs w:val="20"/>
        </w:rPr>
        <w:fldChar w:fldCharType="end"/>
      </w:r>
      <w:r w:rsidRPr="00187B5C">
        <w:rPr>
          <w:rFonts w:ascii="Arial" w:hAnsi="Arial" w:cs="Arial"/>
          <w:b/>
          <w:i w:val="0"/>
          <w:color w:val="auto"/>
          <w:sz w:val="20"/>
          <w:szCs w:val="20"/>
        </w:rPr>
        <w:t xml:space="preserve"> A 2-year Forecast Using Holt-Winters</w:t>
      </w:r>
    </w:p>
    <w:p w14:paraId="23BEC8E9" w14:textId="77777777" w:rsidR="00B57B05" w:rsidRPr="00B57B05" w:rsidRDefault="00B57B05" w:rsidP="00B57B05">
      <w:pPr>
        <w:pStyle w:val="Body"/>
        <w:spacing w:after="0"/>
        <w:rPr>
          <w:rFonts w:ascii="Arial" w:hAnsi="Arial" w:cs="Arial"/>
        </w:rPr>
      </w:pPr>
      <w:r w:rsidRPr="00B57B05">
        <w:rPr>
          <w:rFonts w:ascii="Arial" w:hAnsi="Arial" w:cs="Arial"/>
        </w:rPr>
        <w:t xml:space="preserve">Based on the figure above, it is noted that there is still an upward trend in the forecast which is consistent with the historical data. </w:t>
      </w:r>
    </w:p>
    <w:p w14:paraId="692E5DF2" w14:textId="77777777" w:rsidR="00B57B05" w:rsidRPr="00B57B05" w:rsidRDefault="00B57B05" w:rsidP="00B57B05">
      <w:pPr>
        <w:pStyle w:val="Body"/>
        <w:spacing w:after="0"/>
        <w:rPr>
          <w:rFonts w:ascii="Arial" w:hAnsi="Arial" w:cs="Arial"/>
        </w:rPr>
      </w:pPr>
    </w:p>
    <w:p w14:paraId="32D6FBCF" w14:textId="77777777" w:rsidR="00B57B05" w:rsidRDefault="00B57B05" w:rsidP="00091585">
      <w:pPr>
        <w:pStyle w:val="Body"/>
        <w:numPr>
          <w:ilvl w:val="1"/>
          <w:numId w:val="38"/>
        </w:numPr>
        <w:spacing w:after="0"/>
        <w:rPr>
          <w:rFonts w:ascii="Arial" w:hAnsi="Arial" w:cs="Arial"/>
          <w:b/>
          <w:sz w:val="22"/>
          <w:szCs w:val="22"/>
        </w:rPr>
      </w:pPr>
      <w:r w:rsidRPr="002B3025">
        <w:rPr>
          <w:rFonts w:ascii="Arial" w:hAnsi="Arial" w:cs="Arial"/>
          <w:b/>
          <w:sz w:val="22"/>
          <w:szCs w:val="22"/>
        </w:rPr>
        <w:t>Comparison of</w:t>
      </w:r>
      <w:r w:rsidR="002B3025">
        <w:rPr>
          <w:rFonts w:ascii="Arial" w:hAnsi="Arial" w:cs="Arial"/>
          <w:b/>
          <w:sz w:val="22"/>
          <w:szCs w:val="22"/>
        </w:rPr>
        <w:t xml:space="preserve"> SARIMA and Holt-Winters Models</w:t>
      </w:r>
    </w:p>
    <w:p w14:paraId="7C870771" w14:textId="77777777" w:rsidR="002B3025" w:rsidRPr="002B3025" w:rsidRDefault="002B3025" w:rsidP="002B3025">
      <w:pPr>
        <w:pStyle w:val="Body"/>
        <w:spacing w:after="0"/>
        <w:ind w:left="360"/>
        <w:rPr>
          <w:rFonts w:ascii="Arial" w:hAnsi="Arial" w:cs="Arial"/>
          <w:b/>
          <w:sz w:val="22"/>
          <w:szCs w:val="22"/>
        </w:rPr>
      </w:pPr>
    </w:p>
    <w:p w14:paraId="633572AF" w14:textId="77777777" w:rsidR="00B57B05" w:rsidRPr="00B57B05" w:rsidRDefault="00B57B05" w:rsidP="00B57B05">
      <w:pPr>
        <w:pStyle w:val="Body"/>
        <w:spacing w:after="0"/>
        <w:rPr>
          <w:rFonts w:ascii="Arial" w:hAnsi="Arial" w:cs="Arial"/>
        </w:rPr>
      </w:pPr>
      <w:r w:rsidRPr="00B57B05">
        <w:rPr>
          <w:rFonts w:ascii="Arial" w:hAnsi="Arial" w:cs="Arial"/>
        </w:rPr>
        <w:t xml:space="preserve">Because the two models appear to yield the same results when visualized on graphs, it is important to supplement visual representation with statistical metrics. Here, the RMSE, MAE, and MAPE are employed to compare further their performance. </w:t>
      </w:r>
    </w:p>
    <w:p w14:paraId="147D8E80" w14:textId="77777777" w:rsidR="00B57B05" w:rsidRPr="00B57B05" w:rsidRDefault="00B57B05" w:rsidP="00B57B05">
      <w:pPr>
        <w:pStyle w:val="Body"/>
        <w:spacing w:after="0"/>
        <w:rPr>
          <w:rFonts w:ascii="Arial" w:hAnsi="Arial" w:cs="Arial"/>
        </w:rPr>
      </w:pPr>
    </w:p>
    <w:p w14:paraId="2FD07FB2" w14:textId="77777777" w:rsidR="004A4864" w:rsidRPr="007F57A8" w:rsidRDefault="004A4864" w:rsidP="004A4864">
      <w:pPr>
        <w:pStyle w:val="Caption"/>
        <w:keepNext/>
        <w:rPr>
          <w:rFonts w:ascii="Arial" w:hAnsi="Arial" w:cs="Arial"/>
          <w:b/>
          <w:i w:val="0"/>
          <w:color w:val="auto"/>
          <w:sz w:val="20"/>
          <w:szCs w:val="20"/>
        </w:rPr>
      </w:pPr>
      <w:r w:rsidRPr="007F57A8">
        <w:rPr>
          <w:rFonts w:ascii="Arial" w:hAnsi="Arial" w:cs="Arial"/>
          <w:b/>
          <w:i w:val="0"/>
          <w:color w:val="auto"/>
          <w:sz w:val="20"/>
          <w:szCs w:val="20"/>
        </w:rPr>
        <w:t xml:space="preserve">Table </w:t>
      </w:r>
      <w:r w:rsidRPr="007F57A8">
        <w:rPr>
          <w:rFonts w:ascii="Arial" w:hAnsi="Arial" w:cs="Arial"/>
          <w:b/>
          <w:i w:val="0"/>
          <w:color w:val="auto"/>
          <w:sz w:val="20"/>
          <w:szCs w:val="20"/>
        </w:rPr>
        <w:fldChar w:fldCharType="begin"/>
      </w:r>
      <w:r w:rsidRPr="007F57A8">
        <w:rPr>
          <w:rFonts w:ascii="Arial" w:hAnsi="Arial" w:cs="Arial"/>
          <w:b/>
          <w:i w:val="0"/>
          <w:color w:val="auto"/>
          <w:sz w:val="20"/>
          <w:szCs w:val="20"/>
        </w:rPr>
        <w:instrText xml:space="preserve"> SEQ Table \* ARABIC </w:instrText>
      </w:r>
      <w:r w:rsidRPr="007F57A8">
        <w:rPr>
          <w:rFonts w:ascii="Arial" w:hAnsi="Arial" w:cs="Arial"/>
          <w:b/>
          <w:i w:val="0"/>
          <w:color w:val="auto"/>
          <w:sz w:val="20"/>
          <w:szCs w:val="20"/>
        </w:rPr>
        <w:fldChar w:fldCharType="separate"/>
      </w:r>
      <w:r w:rsidR="006A29C0" w:rsidRPr="007F57A8">
        <w:rPr>
          <w:rFonts w:ascii="Arial" w:hAnsi="Arial" w:cs="Arial"/>
          <w:b/>
          <w:i w:val="0"/>
          <w:noProof/>
          <w:color w:val="auto"/>
          <w:sz w:val="20"/>
          <w:szCs w:val="20"/>
        </w:rPr>
        <w:t>3</w:t>
      </w:r>
      <w:r w:rsidRPr="007F57A8">
        <w:rPr>
          <w:rFonts w:ascii="Arial" w:hAnsi="Arial" w:cs="Arial"/>
          <w:b/>
          <w:i w:val="0"/>
          <w:color w:val="auto"/>
          <w:sz w:val="20"/>
          <w:szCs w:val="20"/>
        </w:rPr>
        <w:fldChar w:fldCharType="end"/>
      </w:r>
      <w:r w:rsidRPr="007F57A8">
        <w:rPr>
          <w:rFonts w:ascii="Arial" w:hAnsi="Arial" w:cs="Arial"/>
          <w:b/>
          <w:i w:val="0"/>
          <w:color w:val="auto"/>
          <w:sz w:val="20"/>
          <w:szCs w:val="20"/>
        </w:rPr>
        <w:t xml:space="preserve"> Statistical Metrics of The Two models</w:t>
      </w:r>
    </w:p>
    <w:tbl>
      <w:tblPr>
        <w:tblStyle w:val="TableGrid"/>
        <w:tblW w:w="0" w:type="auto"/>
        <w:jc w:val="center"/>
        <w:tblLook w:val="04A0" w:firstRow="1" w:lastRow="0" w:firstColumn="1" w:lastColumn="0" w:noHBand="0" w:noVBand="1"/>
      </w:tblPr>
      <w:tblGrid>
        <w:gridCol w:w="2500"/>
        <w:gridCol w:w="2809"/>
        <w:gridCol w:w="2500"/>
      </w:tblGrid>
      <w:tr w:rsidR="00B57B05" w:rsidRPr="00B57B05" w14:paraId="20C27ECF" w14:textId="77777777" w:rsidTr="00E12953">
        <w:trPr>
          <w:trHeight w:val="603"/>
          <w:jc w:val="center"/>
        </w:trPr>
        <w:tc>
          <w:tcPr>
            <w:tcW w:w="2500" w:type="dxa"/>
          </w:tcPr>
          <w:p w14:paraId="6CBF962B" w14:textId="77777777" w:rsidR="00B57B05" w:rsidRPr="00B57B05" w:rsidRDefault="00B57B05" w:rsidP="00B57B05">
            <w:pPr>
              <w:pStyle w:val="Body"/>
              <w:rPr>
                <w:rFonts w:ascii="Arial" w:eastAsia="Times New Roman" w:hAnsi="Arial" w:cs="Arial"/>
                <w:sz w:val="20"/>
                <w:lang w:val="en-IN"/>
              </w:rPr>
            </w:pPr>
            <w:r w:rsidRPr="00B57B05">
              <w:rPr>
                <w:rFonts w:ascii="Arial" w:eastAsia="Times New Roman" w:hAnsi="Arial" w:cs="Arial"/>
                <w:sz w:val="20"/>
                <w:lang w:val="en-IN"/>
              </w:rPr>
              <w:t>Metric</w:t>
            </w:r>
          </w:p>
        </w:tc>
        <w:tc>
          <w:tcPr>
            <w:tcW w:w="2809" w:type="dxa"/>
          </w:tcPr>
          <w:p w14:paraId="0CF0ECE8" w14:textId="77777777" w:rsidR="00B57B05" w:rsidRPr="00B57B05" w:rsidRDefault="00B57B05" w:rsidP="00B57B05">
            <w:pPr>
              <w:pStyle w:val="Body"/>
              <w:rPr>
                <w:rFonts w:ascii="Arial" w:eastAsia="Times New Roman" w:hAnsi="Arial" w:cs="Arial"/>
                <w:sz w:val="20"/>
                <w:lang w:val="en-IN"/>
              </w:rPr>
            </w:pPr>
            <w:proofErr w:type="gramStart"/>
            <w:r w:rsidRPr="00B57B05">
              <w:rPr>
                <w:rFonts w:ascii="Arial" w:eastAsia="Times New Roman" w:hAnsi="Arial" w:cs="Arial"/>
                <w:sz w:val="20"/>
                <w:lang w:val="en-IN"/>
              </w:rPr>
              <w:t>SARIMA(</w:t>
            </w:r>
            <w:proofErr w:type="gramEnd"/>
            <w:r w:rsidRPr="00B57B05">
              <w:rPr>
                <w:rFonts w:ascii="Arial" w:eastAsia="Times New Roman" w:hAnsi="Arial" w:cs="Arial"/>
                <w:sz w:val="20"/>
                <w:lang w:val="en-IN"/>
              </w:rPr>
              <w:t>1,1,1)(1,1,0,4)</w:t>
            </w:r>
          </w:p>
        </w:tc>
        <w:tc>
          <w:tcPr>
            <w:tcW w:w="2500" w:type="dxa"/>
          </w:tcPr>
          <w:p w14:paraId="11BD285F" w14:textId="77777777" w:rsidR="00B57B05" w:rsidRPr="00B57B05" w:rsidRDefault="00B57B05" w:rsidP="00B57B05">
            <w:pPr>
              <w:pStyle w:val="Body"/>
              <w:rPr>
                <w:rFonts w:ascii="Arial" w:eastAsia="Times New Roman" w:hAnsi="Arial" w:cs="Arial"/>
                <w:sz w:val="20"/>
                <w:lang w:val="en-IN"/>
              </w:rPr>
            </w:pPr>
            <w:r w:rsidRPr="00B57B05">
              <w:rPr>
                <w:rFonts w:ascii="Arial" w:eastAsia="Times New Roman" w:hAnsi="Arial" w:cs="Arial"/>
                <w:sz w:val="20"/>
                <w:lang w:val="en-IN"/>
              </w:rPr>
              <w:t xml:space="preserve"> Holt-Winters Multiplicative</w:t>
            </w:r>
          </w:p>
        </w:tc>
      </w:tr>
      <w:tr w:rsidR="00B57B05" w:rsidRPr="00B57B05" w14:paraId="2EAB9DD4" w14:textId="77777777" w:rsidTr="00E12953">
        <w:trPr>
          <w:trHeight w:val="301"/>
          <w:jc w:val="center"/>
        </w:trPr>
        <w:tc>
          <w:tcPr>
            <w:tcW w:w="2500" w:type="dxa"/>
          </w:tcPr>
          <w:p w14:paraId="60878AD0" w14:textId="77777777" w:rsidR="00B57B05" w:rsidRPr="00B57B05" w:rsidRDefault="00B57B05" w:rsidP="00B57B05">
            <w:pPr>
              <w:pStyle w:val="Body"/>
              <w:rPr>
                <w:rFonts w:ascii="Arial" w:eastAsia="Times New Roman" w:hAnsi="Arial" w:cs="Arial"/>
                <w:sz w:val="20"/>
                <w:lang w:val="en-IN"/>
              </w:rPr>
            </w:pPr>
            <w:r w:rsidRPr="00B57B05">
              <w:rPr>
                <w:rFonts w:ascii="Arial" w:eastAsia="Times New Roman" w:hAnsi="Arial" w:cs="Arial"/>
                <w:sz w:val="20"/>
                <w:lang w:val="en-IN"/>
              </w:rPr>
              <w:t>RMSE</w:t>
            </w:r>
          </w:p>
        </w:tc>
        <w:tc>
          <w:tcPr>
            <w:tcW w:w="2809" w:type="dxa"/>
          </w:tcPr>
          <w:p w14:paraId="4AE52F92" w14:textId="77777777" w:rsidR="00B57B05" w:rsidRPr="00B57B05" w:rsidRDefault="00B57B05" w:rsidP="00B57B05">
            <w:pPr>
              <w:pStyle w:val="Body"/>
              <w:rPr>
                <w:rFonts w:ascii="Arial" w:eastAsia="Times New Roman" w:hAnsi="Arial" w:cs="Arial"/>
                <w:sz w:val="20"/>
                <w:lang w:val="en-IN"/>
              </w:rPr>
            </w:pPr>
            <w:proofErr w:type="spellStart"/>
            <w:r w:rsidRPr="00B57B05">
              <w:rPr>
                <w:rFonts w:ascii="Arial" w:eastAsia="Times New Roman" w:hAnsi="Arial" w:cs="Arial"/>
                <w:sz w:val="20"/>
                <w:lang w:val="en-IN"/>
              </w:rPr>
              <w:t>KSh</w:t>
            </w:r>
            <w:proofErr w:type="spellEnd"/>
            <w:r w:rsidRPr="00B57B05">
              <w:rPr>
                <w:rFonts w:ascii="Arial" w:eastAsia="Times New Roman" w:hAnsi="Arial" w:cs="Arial"/>
                <w:sz w:val="20"/>
                <w:lang w:val="en-IN"/>
              </w:rPr>
              <w:t>. 785,107.04</w:t>
            </w:r>
          </w:p>
        </w:tc>
        <w:tc>
          <w:tcPr>
            <w:tcW w:w="2500" w:type="dxa"/>
          </w:tcPr>
          <w:p w14:paraId="555EBDFE" w14:textId="77777777" w:rsidR="00B57B05" w:rsidRPr="00B57B05" w:rsidRDefault="00B57B05" w:rsidP="00B57B05">
            <w:pPr>
              <w:pStyle w:val="Body"/>
              <w:rPr>
                <w:rFonts w:ascii="Arial" w:eastAsia="Times New Roman" w:hAnsi="Arial" w:cs="Arial"/>
                <w:sz w:val="20"/>
                <w:lang w:val="en-IN"/>
              </w:rPr>
            </w:pPr>
            <w:proofErr w:type="spellStart"/>
            <w:r w:rsidRPr="00B57B05">
              <w:rPr>
                <w:rFonts w:ascii="Arial" w:eastAsia="Times New Roman" w:hAnsi="Arial" w:cs="Arial"/>
                <w:sz w:val="20"/>
                <w:lang w:val="en-IN"/>
              </w:rPr>
              <w:t>KSh</w:t>
            </w:r>
            <w:proofErr w:type="spellEnd"/>
            <w:r w:rsidRPr="00B57B05">
              <w:rPr>
                <w:rFonts w:ascii="Arial" w:eastAsia="Times New Roman" w:hAnsi="Arial" w:cs="Arial"/>
                <w:sz w:val="20"/>
                <w:lang w:val="en-IN"/>
              </w:rPr>
              <w:t>. 639,881.77</w:t>
            </w:r>
          </w:p>
        </w:tc>
      </w:tr>
      <w:tr w:rsidR="00B57B05" w:rsidRPr="00B57B05" w14:paraId="20906224" w14:textId="77777777" w:rsidTr="00E12953">
        <w:trPr>
          <w:trHeight w:val="301"/>
          <w:jc w:val="center"/>
        </w:trPr>
        <w:tc>
          <w:tcPr>
            <w:tcW w:w="2500" w:type="dxa"/>
          </w:tcPr>
          <w:p w14:paraId="08D29EB8" w14:textId="77777777" w:rsidR="00B57B05" w:rsidRPr="00B57B05" w:rsidRDefault="00B57B05" w:rsidP="00B57B05">
            <w:pPr>
              <w:pStyle w:val="Body"/>
              <w:rPr>
                <w:rFonts w:ascii="Arial" w:eastAsia="Times New Roman" w:hAnsi="Arial" w:cs="Arial"/>
                <w:sz w:val="20"/>
                <w:lang w:val="en-IN"/>
              </w:rPr>
            </w:pPr>
            <w:r w:rsidRPr="00B57B05">
              <w:rPr>
                <w:rFonts w:ascii="Arial" w:eastAsia="Times New Roman" w:hAnsi="Arial" w:cs="Arial"/>
                <w:sz w:val="20"/>
                <w:lang w:val="en-IN"/>
              </w:rPr>
              <w:t>MAE</w:t>
            </w:r>
          </w:p>
        </w:tc>
        <w:tc>
          <w:tcPr>
            <w:tcW w:w="2809" w:type="dxa"/>
          </w:tcPr>
          <w:p w14:paraId="131F9E03" w14:textId="77777777" w:rsidR="00B57B05" w:rsidRPr="00B57B05" w:rsidRDefault="00B57B05" w:rsidP="00B57B05">
            <w:pPr>
              <w:pStyle w:val="Body"/>
              <w:rPr>
                <w:rFonts w:ascii="Arial" w:eastAsia="Times New Roman" w:hAnsi="Arial" w:cs="Arial"/>
                <w:sz w:val="20"/>
                <w:lang w:val="en-IN"/>
              </w:rPr>
            </w:pPr>
            <w:proofErr w:type="spellStart"/>
            <w:r w:rsidRPr="00B57B05">
              <w:rPr>
                <w:rFonts w:ascii="Arial" w:eastAsia="Times New Roman" w:hAnsi="Arial" w:cs="Arial"/>
                <w:sz w:val="20"/>
                <w:lang w:val="en-IN"/>
              </w:rPr>
              <w:t>KSh</w:t>
            </w:r>
            <w:proofErr w:type="spellEnd"/>
            <w:r w:rsidRPr="00B57B05">
              <w:rPr>
                <w:rFonts w:ascii="Arial" w:eastAsia="Times New Roman" w:hAnsi="Arial" w:cs="Arial"/>
                <w:sz w:val="20"/>
                <w:lang w:val="en-IN"/>
              </w:rPr>
              <w:t>. 655,829.66</w:t>
            </w:r>
          </w:p>
        </w:tc>
        <w:tc>
          <w:tcPr>
            <w:tcW w:w="2500" w:type="dxa"/>
          </w:tcPr>
          <w:p w14:paraId="3EFD902A" w14:textId="77777777" w:rsidR="00B57B05" w:rsidRPr="00B57B05" w:rsidRDefault="00B57B05" w:rsidP="00B57B05">
            <w:pPr>
              <w:pStyle w:val="Body"/>
              <w:rPr>
                <w:rFonts w:ascii="Arial" w:eastAsia="Times New Roman" w:hAnsi="Arial" w:cs="Arial"/>
                <w:sz w:val="20"/>
                <w:lang w:val="en-IN"/>
              </w:rPr>
            </w:pPr>
            <w:proofErr w:type="spellStart"/>
            <w:r w:rsidRPr="00B57B05">
              <w:rPr>
                <w:rFonts w:ascii="Arial" w:eastAsia="Times New Roman" w:hAnsi="Arial" w:cs="Arial"/>
                <w:sz w:val="20"/>
                <w:lang w:val="en-IN"/>
              </w:rPr>
              <w:t>KSh</w:t>
            </w:r>
            <w:proofErr w:type="spellEnd"/>
            <w:r w:rsidRPr="00B57B05">
              <w:rPr>
                <w:rFonts w:ascii="Arial" w:eastAsia="Times New Roman" w:hAnsi="Arial" w:cs="Arial"/>
                <w:sz w:val="20"/>
                <w:lang w:val="en-IN"/>
              </w:rPr>
              <w:t>. 553,740.31</w:t>
            </w:r>
          </w:p>
        </w:tc>
      </w:tr>
      <w:tr w:rsidR="00B57B05" w:rsidRPr="00B57B05" w14:paraId="500C1ED4" w14:textId="77777777" w:rsidTr="00E12953">
        <w:trPr>
          <w:trHeight w:val="301"/>
          <w:jc w:val="center"/>
        </w:trPr>
        <w:tc>
          <w:tcPr>
            <w:tcW w:w="2500" w:type="dxa"/>
          </w:tcPr>
          <w:p w14:paraId="5E11D279" w14:textId="77777777" w:rsidR="00B57B05" w:rsidRPr="00B57B05" w:rsidRDefault="00B57B05" w:rsidP="00B57B05">
            <w:pPr>
              <w:pStyle w:val="Body"/>
              <w:rPr>
                <w:rFonts w:ascii="Arial" w:eastAsia="Times New Roman" w:hAnsi="Arial" w:cs="Arial"/>
                <w:sz w:val="20"/>
                <w:lang w:val="en-IN"/>
              </w:rPr>
            </w:pPr>
            <w:r w:rsidRPr="00B57B05">
              <w:rPr>
                <w:rFonts w:ascii="Arial" w:eastAsia="Times New Roman" w:hAnsi="Arial" w:cs="Arial"/>
                <w:sz w:val="20"/>
                <w:lang w:val="en-IN"/>
              </w:rPr>
              <w:t>MAPE</w:t>
            </w:r>
          </w:p>
        </w:tc>
        <w:tc>
          <w:tcPr>
            <w:tcW w:w="2809" w:type="dxa"/>
          </w:tcPr>
          <w:p w14:paraId="6CC44C2A" w14:textId="77777777" w:rsidR="00B57B05" w:rsidRPr="00B57B05" w:rsidRDefault="00B57B05" w:rsidP="00B57B05">
            <w:pPr>
              <w:pStyle w:val="Body"/>
              <w:rPr>
                <w:rFonts w:ascii="Arial" w:eastAsia="Times New Roman" w:hAnsi="Arial" w:cs="Arial"/>
                <w:sz w:val="20"/>
                <w:lang w:val="en-IN"/>
              </w:rPr>
            </w:pPr>
            <w:r w:rsidRPr="00B57B05">
              <w:rPr>
                <w:rFonts w:ascii="Arial" w:eastAsia="Times New Roman" w:hAnsi="Arial" w:cs="Arial"/>
                <w:sz w:val="20"/>
                <w:lang w:val="en-IN"/>
              </w:rPr>
              <w:t>10.05%</w:t>
            </w:r>
          </w:p>
        </w:tc>
        <w:tc>
          <w:tcPr>
            <w:tcW w:w="2500" w:type="dxa"/>
          </w:tcPr>
          <w:p w14:paraId="41AAC9CA" w14:textId="77777777" w:rsidR="00B57B05" w:rsidRPr="00B57B05" w:rsidRDefault="00B57B05" w:rsidP="00B57B05">
            <w:pPr>
              <w:pStyle w:val="Body"/>
              <w:rPr>
                <w:rFonts w:ascii="Arial" w:eastAsia="Times New Roman" w:hAnsi="Arial" w:cs="Arial"/>
                <w:sz w:val="20"/>
                <w:lang w:val="en-IN"/>
              </w:rPr>
            </w:pPr>
            <w:r w:rsidRPr="00B57B05">
              <w:rPr>
                <w:rFonts w:ascii="Arial" w:eastAsia="Times New Roman" w:hAnsi="Arial" w:cs="Arial"/>
                <w:sz w:val="20"/>
                <w:lang w:val="en-IN"/>
              </w:rPr>
              <w:t>6.74%</w:t>
            </w:r>
          </w:p>
        </w:tc>
      </w:tr>
    </w:tbl>
    <w:p w14:paraId="7C0779B0" w14:textId="77777777" w:rsidR="00B57B05" w:rsidRPr="00B57B05" w:rsidRDefault="00B57B05" w:rsidP="00B57B05">
      <w:pPr>
        <w:pStyle w:val="Body"/>
        <w:spacing w:after="0"/>
        <w:rPr>
          <w:rFonts w:ascii="Arial" w:hAnsi="Arial" w:cs="Arial"/>
        </w:rPr>
      </w:pPr>
    </w:p>
    <w:p w14:paraId="45D44A80" w14:textId="77777777" w:rsidR="00B57B05" w:rsidRPr="00B57B05" w:rsidRDefault="00B57B05" w:rsidP="00B57B05">
      <w:pPr>
        <w:pStyle w:val="Body"/>
        <w:spacing w:after="0"/>
        <w:rPr>
          <w:rFonts w:ascii="Arial" w:hAnsi="Arial" w:cs="Arial"/>
        </w:rPr>
      </w:pPr>
      <w:r w:rsidRPr="00B57B05">
        <w:rPr>
          <w:rFonts w:ascii="Arial" w:hAnsi="Arial" w:cs="Arial"/>
        </w:rPr>
        <w:lastRenderedPageBreak/>
        <w:t xml:space="preserve">Based on these results, the Holt-Winters model outperforms the SARIMA across all three metrics. That is, it has lower RMSE, lower MAE, and lower MAPE. This suggests that the Hot-Winters multiplicative model captures motor insurance seasonal patterns more accurately. </w:t>
      </w:r>
    </w:p>
    <w:p w14:paraId="7C3AEA30" w14:textId="77777777" w:rsidR="00E053D0" w:rsidRDefault="00E053D0" w:rsidP="00441B6F">
      <w:pPr>
        <w:pStyle w:val="Body"/>
        <w:spacing w:after="0"/>
        <w:rPr>
          <w:rFonts w:ascii="Arial" w:hAnsi="Arial" w:cs="Arial"/>
        </w:rPr>
      </w:pPr>
    </w:p>
    <w:p w14:paraId="7B371D88" w14:textId="77777777" w:rsidR="00790ADA" w:rsidRPr="00FB3A86" w:rsidRDefault="00790ADA" w:rsidP="00441B6F">
      <w:pPr>
        <w:pStyle w:val="Body"/>
        <w:spacing w:after="0"/>
        <w:rPr>
          <w:rFonts w:ascii="Arial" w:hAnsi="Arial" w:cs="Arial"/>
        </w:rPr>
      </w:pPr>
    </w:p>
    <w:p w14:paraId="0C74F268" w14:textId="77777777" w:rsidR="00B01FCD" w:rsidRDefault="00B66A02"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7D8426F7" w14:textId="77777777" w:rsidR="00790ADA" w:rsidRPr="00FB3A86" w:rsidRDefault="00790ADA" w:rsidP="00441B6F">
      <w:pPr>
        <w:pStyle w:val="ConcHead"/>
        <w:spacing w:after="0"/>
        <w:jc w:val="both"/>
        <w:rPr>
          <w:rFonts w:ascii="Arial" w:hAnsi="Arial" w:cs="Arial"/>
        </w:rPr>
      </w:pPr>
    </w:p>
    <w:p w14:paraId="51D7D1DB" w14:textId="77777777" w:rsidR="006071E7" w:rsidRDefault="006071E7" w:rsidP="006071E7">
      <w:pPr>
        <w:pStyle w:val="Body"/>
        <w:spacing w:after="0"/>
        <w:rPr>
          <w:rFonts w:ascii="Arial" w:hAnsi="Arial" w:cs="Arial"/>
        </w:rPr>
      </w:pPr>
      <w:r w:rsidRPr="006071E7">
        <w:rPr>
          <w:rFonts w:ascii="Arial" w:hAnsi="Arial" w:cs="Arial"/>
        </w:rPr>
        <w:t xml:space="preserve">The study aims to forecast motor insurance claims in Kenya using the SARIMA and the Holt-Winters Multiplicative Model. It focuses on capturing the rising trend and seasonality, which are present in the IRA’s motor insurance claims data. The initial time series plot confirms these patterns, justifying the application of the two models. </w:t>
      </w:r>
    </w:p>
    <w:p w14:paraId="5F9AAFC6" w14:textId="77777777" w:rsidR="002B3025" w:rsidRPr="006071E7" w:rsidRDefault="002B3025" w:rsidP="006071E7">
      <w:pPr>
        <w:pStyle w:val="Body"/>
        <w:spacing w:after="0"/>
        <w:rPr>
          <w:rFonts w:ascii="Arial" w:hAnsi="Arial" w:cs="Arial"/>
        </w:rPr>
      </w:pPr>
    </w:p>
    <w:p w14:paraId="4C562A60" w14:textId="77777777" w:rsidR="006071E7" w:rsidRDefault="006071E7" w:rsidP="006071E7">
      <w:pPr>
        <w:pStyle w:val="Body"/>
        <w:spacing w:after="0"/>
        <w:rPr>
          <w:rFonts w:ascii="Arial" w:hAnsi="Arial" w:cs="Arial"/>
        </w:rPr>
      </w:pPr>
      <w:r w:rsidRPr="006071E7">
        <w:rPr>
          <w:rFonts w:ascii="Arial" w:hAnsi="Arial" w:cs="Arial"/>
        </w:rPr>
        <w:t>The SARIMA (1,1,1) (1,1,0,4) model was identified as the most appropriate parameter and fitted with the data.  Its performance was satisfactory, capturing the upward trend and seasonality in the data. Like the SARIMA model, the Holt-Winters Multiplicative Model was fitted with the same data using parameters determined through the same approach. The model yielded si</w:t>
      </w:r>
      <w:r w:rsidR="00A51861">
        <w:rPr>
          <w:rFonts w:ascii="Arial" w:hAnsi="Arial" w:cs="Arial"/>
        </w:rPr>
        <w:t>milar outcomes.</w:t>
      </w:r>
      <w:r w:rsidRPr="006071E7">
        <w:rPr>
          <w:rFonts w:ascii="Arial" w:hAnsi="Arial" w:cs="Arial"/>
        </w:rPr>
        <w:t xml:space="preserve"> </w:t>
      </w:r>
    </w:p>
    <w:p w14:paraId="20A490D9" w14:textId="77777777" w:rsidR="002B3025" w:rsidRPr="006071E7" w:rsidRDefault="002B3025" w:rsidP="006071E7">
      <w:pPr>
        <w:pStyle w:val="Body"/>
        <w:spacing w:after="0"/>
        <w:rPr>
          <w:rFonts w:ascii="Arial" w:hAnsi="Arial" w:cs="Arial"/>
        </w:rPr>
      </w:pPr>
    </w:p>
    <w:p w14:paraId="6455A4DB" w14:textId="77777777" w:rsidR="006071E7" w:rsidRDefault="006071E7" w:rsidP="006071E7">
      <w:pPr>
        <w:pStyle w:val="Body"/>
        <w:spacing w:after="0"/>
        <w:rPr>
          <w:rFonts w:ascii="Arial" w:hAnsi="Arial" w:cs="Arial"/>
        </w:rPr>
      </w:pPr>
      <w:r w:rsidRPr="006071E7">
        <w:rPr>
          <w:rFonts w:ascii="Arial" w:hAnsi="Arial" w:cs="Arial"/>
        </w:rPr>
        <w:t>While the graphical inspection portrayed that both models produced similar results/forecasts, further evaluation showed slight differences. By the use of RMSE, MAE, and MAPE, the quantitative comparison revealed that the Holt-Winters Multiplicative Model performs better than the SARIMA model in forecasting motor insurance. However, since there is not much difference in their performance, the SARIMA model can still be considered as an alternative to the Holt-Winters multiplicative model to forecast Kenya’s motor insurance claims.</w:t>
      </w:r>
    </w:p>
    <w:p w14:paraId="44A23F19" w14:textId="77777777" w:rsidR="00830FC1" w:rsidRDefault="00830FC1" w:rsidP="006071E7">
      <w:pPr>
        <w:pStyle w:val="Body"/>
        <w:spacing w:after="0"/>
        <w:rPr>
          <w:rFonts w:ascii="Arial" w:hAnsi="Arial" w:cs="Arial"/>
        </w:rPr>
      </w:pPr>
    </w:p>
    <w:p w14:paraId="1F5B7E3F" w14:textId="77777777" w:rsidR="00830FC1" w:rsidRDefault="00830FC1" w:rsidP="006071E7">
      <w:pPr>
        <w:pStyle w:val="Body"/>
        <w:spacing w:after="0"/>
        <w:rPr>
          <w:rFonts w:ascii="Arial" w:hAnsi="Arial" w:cs="Arial"/>
        </w:rPr>
      </w:pPr>
    </w:p>
    <w:p w14:paraId="1406FA66" w14:textId="77777777" w:rsidR="00830FC1" w:rsidRDefault="00830FC1" w:rsidP="006071E7">
      <w:pPr>
        <w:pStyle w:val="Body"/>
        <w:spacing w:after="0"/>
        <w:rPr>
          <w:rFonts w:ascii="Arial" w:hAnsi="Arial" w:cs="Arial"/>
        </w:rPr>
      </w:pPr>
    </w:p>
    <w:p w14:paraId="6AC0E7C7" w14:textId="77777777" w:rsidR="00830FC1" w:rsidRPr="00830FC1" w:rsidRDefault="00830FC1" w:rsidP="006071E7">
      <w:pPr>
        <w:pStyle w:val="Body"/>
        <w:spacing w:after="0"/>
        <w:rPr>
          <w:rFonts w:ascii="Arial" w:hAnsi="Arial" w:cs="Arial"/>
          <w:b/>
          <w:sz w:val="22"/>
          <w:szCs w:val="22"/>
        </w:rPr>
      </w:pPr>
      <w:r w:rsidRPr="00830FC1">
        <w:rPr>
          <w:rFonts w:ascii="Arial" w:hAnsi="Arial" w:cs="Arial"/>
          <w:b/>
          <w:sz w:val="22"/>
          <w:szCs w:val="22"/>
        </w:rPr>
        <w:t xml:space="preserve">ABBREVIATIONS </w:t>
      </w:r>
    </w:p>
    <w:p w14:paraId="0588BD80" w14:textId="77777777" w:rsidR="00830FC1" w:rsidRDefault="00830FC1" w:rsidP="006071E7">
      <w:pPr>
        <w:pStyle w:val="Body"/>
        <w:spacing w:after="0"/>
        <w:rPr>
          <w:rFonts w:ascii="Arial" w:hAnsi="Arial" w:cs="Arial"/>
        </w:rPr>
      </w:pPr>
    </w:p>
    <w:p w14:paraId="69DA82CE" w14:textId="77777777" w:rsidR="00830FC1" w:rsidRDefault="00830FC1" w:rsidP="006071E7">
      <w:pPr>
        <w:pStyle w:val="Body"/>
        <w:spacing w:after="0"/>
        <w:rPr>
          <w:rFonts w:ascii="Arial" w:hAnsi="Arial" w:cs="Arial"/>
        </w:rPr>
      </w:pPr>
      <w:r w:rsidRPr="00830FC1">
        <w:rPr>
          <w:rFonts w:ascii="Arial" w:hAnsi="Arial" w:cs="Arial"/>
          <w:b/>
        </w:rPr>
        <w:t>RMSE</w:t>
      </w:r>
      <w:r>
        <w:rPr>
          <w:rFonts w:ascii="Arial" w:hAnsi="Arial" w:cs="Arial"/>
        </w:rPr>
        <w:t xml:space="preserve">: Root Mean </w:t>
      </w:r>
      <w:r w:rsidR="00D8035D">
        <w:rPr>
          <w:rFonts w:ascii="Arial" w:hAnsi="Arial" w:cs="Arial"/>
        </w:rPr>
        <w:t>Square</w:t>
      </w:r>
      <w:r>
        <w:rPr>
          <w:rFonts w:ascii="Arial" w:hAnsi="Arial" w:cs="Arial"/>
        </w:rPr>
        <w:t xml:space="preserve"> Error</w:t>
      </w:r>
    </w:p>
    <w:p w14:paraId="7ED91896" w14:textId="77777777" w:rsidR="00830FC1" w:rsidRDefault="00830FC1" w:rsidP="006071E7">
      <w:pPr>
        <w:pStyle w:val="Body"/>
        <w:spacing w:after="0"/>
        <w:rPr>
          <w:rFonts w:ascii="Arial" w:hAnsi="Arial" w:cs="Arial"/>
        </w:rPr>
      </w:pPr>
      <w:r w:rsidRPr="00830FC1">
        <w:rPr>
          <w:rFonts w:ascii="Arial" w:hAnsi="Arial" w:cs="Arial"/>
          <w:b/>
        </w:rPr>
        <w:t>MAE</w:t>
      </w:r>
      <w:r>
        <w:rPr>
          <w:rFonts w:ascii="Arial" w:hAnsi="Arial" w:cs="Arial"/>
        </w:rPr>
        <w:t>: Mean Absolute Error</w:t>
      </w:r>
    </w:p>
    <w:p w14:paraId="69912714" w14:textId="77777777" w:rsidR="00315186" w:rsidRPr="00830FC1" w:rsidRDefault="00830FC1" w:rsidP="00830FC1">
      <w:pPr>
        <w:pStyle w:val="Body"/>
        <w:spacing w:after="0"/>
        <w:rPr>
          <w:rFonts w:ascii="Arial" w:hAnsi="Arial" w:cs="Arial"/>
        </w:rPr>
      </w:pPr>
      <w:r w:rsidRPr="00830FC1">
        <w:rPr>
          <w:rFonts w:ascii="Arial" w:hAnsi="Arial" w:cs="Arial"/>
          <w:b/>
        </w:rPr>
        <w:t>MAPE</w:t>
      </w:r>
      <w:r>
        <w:rPr>
          <w:rFonts w:ascii="Arial" w:hAnsi="Arial" w:cs="Arial"/>
        </w:rPr>
        <w:t>: Mean Absolute Percentage Error</w:t>
      </w:r>
    </w:p>
    <w:p w14:paraId="6BBA51C4" w14:textId="77777777" w:rsidR="0041027F" w:rsidRDefault="0041027F" w:rsidP="00441B6F">
      <w:pPr>
        <w:pStyle w:val="ReferHead"/>
        <w:spacing w:after="0"/>
        <w:jc w:val="both"/>
        <w:rPr>
          <w:rFonts w:ascii="Arial" w:hAnsi="Arial" w:cs="Arial"/>
          <w:b w:val="0"/>
          <w:caps w:val="0"/>
          <w:sz w:val="20"/>
        </w:rPr>
      </w:pPr>
    </w:p>
    <w:p w14:paraId="65DFC2BD" w14:textId="77777777" w:rsidR="00860000" w:rsidRDefault="00860000" w:rsidP="00441B6F">
      <w:pPr>
        <w:pStyle w:val="ReferHead"/>
        <w:spacing w:after="0"/>
        <w:jc w:val="both"/>
        <w:rPr>
          <w:rFonts w:ascii="Arial" w:hAnsi="Arial" w:cs="Arial"/>
        </w:rPr>
      </w:pPr>
    </w:p>
    <w:p w14:paraId="543EB449"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4973661" w14:textId="77777777" w:rsidR="00790ADA" w:rsidRDefault="00790ADA" w:rsidP="00441B6F">
      <w:pPr>
        <w:pStyle w:val="ReferHead"/>
        <w:spacing w:after="0"/>
        <w:jc w:val="both"/>
        <w:rPr>
          <w:rFonts w:ascii="Arial" w:hAnsi="Arial" w:cs="Arial"/>
        </w:rPr>
      </w:pPr>
    </w:p>
    <w:p w14:paraId="380DE342" w14:textId="77777777" w:rsidR="00636914" w:rsidRDefault="00636914" w:rsidP="00636914">
      <w:pPr>
        <w:numPr>
          <w:ilvl w:val="0"/>
          <w:numId w:val="34"/>
        </w:numPr>
        <w:spacing w:after="200" w:line="259" w:lineRule="auto"/>
        <w:contextualSpacing/>
        <w:rPr>
          <w:rFonts w:ascii="Arial" w:eastAsia="MS Mincho" w:hAnsi="Arial" w:cs="Arial"/>
        </w:rPr>
      </w:pPr>
      <w:r w:rsidRPr="00636914">
        <w:rPr>
          <w:rFonts w:ascii="Arial" w:eastAsia="MS Mincho" w:hAnsi="Arial" w:cs="Arial"/>
        </w:rPr>
        <w:t>Box, G. E. P., &amp; Jenkins, G. M. (1976). Time Series Analysis: Forecasting and Control. Holden-Day.</w:t>
      </w:r>
    </w:p>
    <w:p w14:paraId="07D4216A" w14:textId="77777777" w:rsidR="00D8035D" w:rsidRPr="00636914" w:rsidRDefault="00D8035D" w:rsidP="00D8035D">
      <w:pPr>
        <w:spacing w:after="200" w:line="259" w:lineRule="auto"/>
        <w:ind w:left="720"/>
        <w:contextualSpacing/>
        <w:rPr>
          <w:rFonts w:ascii="Arial" w:eastAsia="MS Mincho" w:hAnsi="Arial" w:cs="Arial"/>
        </w:rPr>
      </w:pPr>
    </w:p>
    <w:p w14:paraId="70128917" w14:textId="77777777" w:rsidR="00636914" w:rsidRPr="00D8035D" w:rsidRDefault="00636914" w:rsidP="00636914">
      <w:pPr>
        <w:numPr>
          <w:ilvl w:val="0"/>
          <w:numId w:val="34"/>
        </w:numPr>
        <w:spacing w:after="200" w:line="259" w:lineRule="auto"/>
        <w:contextualSpacing/>
        <w:rPr>
          <w:rFonts w:ascii="Arial" w:eastAsia="MS Mincho" w:hAnsi="Arial" w:cs="Arial"/>
        </w:rPr>
      </w:pPr>
      <w:r w:rsidRPr="00636914">
        <w:rPr>
          <w:rFonts w:ascii="Arial" w:eastAsia="MS Mincho" w:hAnsi="Arial" w:cs="Arial"/>
        </w:rPr>
        <w:t xml:space="preserve">Hyndman, R. J., &amp; Athanasopoulos, G. (2021). </w:t>
      </w:r>
      <w:r w:rsidRPr="00636914">
        <w:rPr>
          <w:rFonts w:ascii="Arial" w:eastAsia="MS Mincho" w:hAnsi="Arial" w:cs="Arial"/>
          <w:i/>
        </w:rPr>
        <w:t>Forecasting: Principles and Practice</w:t>
      </w:r>
      <w:r w:rsidRPr="00636914">
        <w:rPr>
          <w:rFonts w:ascii="Arial" w:eastAsia="MS Mincho" w:hAnsi="Arial" w:cs="Arial"/>
        </w:rPr>
        <w:t xml:space="preserve"> (3rd ed.). </w:t>
      </w:r>
      <w:proofErr w:type="spellStart"/>
      <w:r w:rsidRPr="00636914">
        <w:rPr>
          <w:rFonts w:ascii="Arial" w:eastAsia="MS Mincho" w:hAnsi="Arial" w:cs="Arial"/>
        </w:rPr>
        <w:t>OTexts</w:t>
      </w:r>
      <w:proofErr w:type="spellEnd"/>
      <w:r w:rsidRPr="00636914">
        <w:rPr>
          <w:rFonts w:ascii="Arial" w:eastAsia="MS Mincho" w:hAnsi="Arial" w:cs="Arial"/>
        </w:rPr>
        <w:t xml:space="preserve">. </w:t>
      </w:r>
      <w:hyperlink r:id="rId22" w:history="1">
        <w:r w:rsidR="008409C8" w:rsidRPr="00636914">
          <w:rPr>
            <w:rFonts w:ascii="Arial" w:eastAsia="MS Mincho" w:hAnsi="Arial" w:cs="Arial"/>
            <w:color w:val="0000FF"/>
            <w:u w:val="single"/>
          </w:rPr>
          <w:t>https://otexts.com/fpp3/</w:t>
        </w:r>
      </w:hyperlink>
    </w:p>
    <w:p w14:paraId="1222304B" w14:textId="77777777" w:rsidR="00D8035D" w:rsidRPr="00187B5C" w:rsidRDefault="00D8035D" w:rsidP="00D8035D">
      <w:pPr>
        <w:spacing w:after="200" w:line="259" w:lineRule="auto"/>
        <w:ind w:left="720"/>
        <w:contextualSpacing/>
        <w:rPr>
          <w:rFonts w:ascii="Arial" w:eastAsia="MS Mincho" w:hAnsi="Arial" w:cs="Arial"/>
        </w:rPr>
      </w:pPr>
    </w:p>
    <w:p w14:paraId="44A36751" w14:textId="77777777" w:rsidR="00187B5C" w:rsidRPr="00D8035D" w:rsidRDefault="00187B5C" w:rsidP="00187B5C">
      <w:pPr>
        <w:numPr>
          <w:ilvl w:val="0"/>
          <w:numId w:val="34"/>
        </w:numPr>
        <w:spacing w:after="200" w:line="259" w:lineRule="auto"/>
        <w:contextualSpacing/>
        <w:rPr>
          <w:rFonts w:ascii="Arial" w:eastAsia="MS Mincho" w:hAnsi="Arial" w:cs="Arial"/>
        </w:rPr>
      </w:pPr>
      <w:r w:rsidRPr="00636914">
        <w:rPr>
          <w:rFonts w:ascii="Arial" w:eastAsia="MS Mincho" w:hAnsi="Arial" w:cs="Arial"/>
        </w:rPr>
        <w:t xml:space="preserve">Insurance Regulatory Authority of Kenya. (2024). </w:t>
      </w:r>
      <w:r w:rsidRPr="00636914">
        <w:rPr>
          <w:rFonts w:ascii="Arial" w:eastAsia="MS Mincho" w:hAnsi="Arial" w:cs="Arial"/>
          <w:i/>
        </w:rPr>
        <w:t>Annual Insurance Industry Report 2024</w:t>
      </w:r>
      <w:r w:rsidRPr="00636914">
        <w:rPr>
          <w:rFonts w:ascii="Arial" w:eastAsia="MS Mincho" w:hAnsi="Arial" w:cs="Arial"/>
        </w:rPr>
        <w:t xml:space="preserve">. Nairobi: IRA Kenya. Retrieved from </w:t>
      </w:r>
      <w:hyperlink r:id="rId23" w:history="1">
        <w:r w:rsidRPr="00636914">
          <w:rPr>
            <w:rFonts w:ascii="Arial" w:eastAsia="MS Mincho" w:hAnsi="Arial" w:cs="Arial"/>
            <w:color w:val="0000FF"/>
            <w:u w:val="single"/>
          </w:rPr>
          <w:t>https://www.ira.go.ke/</w:t>
        </w:r>
      </w:hyperlink>
    </w:p>
    <w:p w14:paraId="4BBF5F7F" w14:textId="77777777" w:rsidR="00D8035D" w:rsidRPr="00187B5C" w:rsidRDefault="00D8035D" w:rsidP="00D8035D">
      <w:pPr>
        <w:spacing w:after="200" w:line="259" w:lineRule="auto"/>
        <w:contextualSpacing/>
        <w:rPr>
          <w:rFonts w:ascii="Arial" w:eastAsia="MS Mincho" w:hAnsi="Arial" w:cs="Arial"/>
        </w:rPr>
      </w:pPr>
    </w:p>
    <w:p w14:paraId="07BF7983" w14:textId="77777777" w:rsidR="00636914" w:rsidRPr="00D8035D" w:rsidRDefault="00636914" w:rsidP="00636914">
      <w:pPr>
        <w:numPr>
          <w:ilvl w:val="0"/>
          <w:numId w:val="34"/>
        </w:numPr>
        <w:spacing w:after="200" w:line="259" w:lineRule="auto"/>
        <w:contextualSpacing/>
        <w:rPr>
          <w:rFonts w:ascii="Arial" w:eastAsia="Calibri" w:hAnsi="Arial" w:cs="Arial"/>
        </w:rPr>
      </w:pPr>
      <w:r w:rsidRPr="00636914">
        <w:rPr>
          <w:rFonts w:ascii="Arial" w:eastAsia="Calibri" w:hAnsi="Arial" w:cs="Arial"/>
        </w:rPr>
        <w:t xml:space="preserve">Pires, L. F., Gonçalves, A. M., Ferreira, L. F., &amp; Maranhão, L. (2022). Forecasting Models: An Application to Home Insurance. In Proceedings of the 18th International Conference on Computational and Financial Econometrics (CFE 2022). </w:t>
      </w:r>
      <w:proofErr w:type="spellStart"/>
      <w:r w:rsidRPr="00636914">
        <w:rPr>
          <w:rFonts w:ascii="Arial" w:eastAsia="Calibri" w:hAnsi="Arial" w:cs="Arial"/>
        </w:rPr>
        <w:t>Universidade</w:t>
      </w:r>
      <w:proofErr w:type="spellEnd"/>
      <w:r w:rsidRPr="00636914">
        <w:rPr>
          <w:rFonts w:ascii="Arial" w:eastAsia="Calibri" w:hAnsi="Arial" w:cs="Arial"/>
        </w:rPr>
        <w:t xml:space="preserve"> do Minho. Retrieved from </w:t>
      </w:r>
      <w:hyperlink r:id="rId24" w:tgtFrame="_new" w:history="1">
        <w:r w:rsidR="008409C8" w:rsidRPr="00636914">
          <w:rPr>
            <w:rFonts w:ascii="Arial" w:eastAsia="Calibri" w:hAnsi="Arial" w:cs="Arial"/>
            <w:color w:val="0000FF"/>
            <w:u w:val="single"/>
          </w:rPr>
          <w:t>https://repositorium.sdum.uminho.pt/handle/1822/87989</w:t>
        </w:r>
      </w:hyperlink>
    </w:p>
    <w:p w14:paraId="57A5390E" w14:textId="77777777" w:rsidR="00D8035D" w:rsidRPr="00636914" w:rsidRDefault="00D8035D" w:rsidP="00D8035D">
      <w:pPr>
        <w:spacing w:after="200" w:line="259" w:lineRule="auto"/>
        <w:contextualSpacing/>
        <w:rPr>
          <w:rFonts w:ascii="Arial" w:eastAsia="Calibri" w:hAnsi="Arial" w:cs="Arial"/>
        </w:rPr>
      </w:pPr>
    </w:p>
    <w:p w14:paraId="788ABD34" w14:textId="77777777" w:rsidR="00636914" w:rsidRDefault="00636914" w:rsidP="00A51861">
      <w:pPr>
        <w:numPr>
          <w:ilvl w:val="0"/>
          <w:numId w:val="34"/>
        </w:numPr>
        <w:spacing w:after="200" w:line="259" w:lineRule="auto"/>
        <w:contextualSpacing/>
        <w:rPr>
          <w:rFonts w:ascii="Arial" w:eastAsia="Calibri" w:hAnsi="Arial" w:cs="Arial"/>
        </w:rPr>
      </w:pPr>
      <w:r w:rsidRPr="00636914">
        <w:rPr>
          <w:rFonts w:ascii="Arial" w:eastAsia="Calibri" w:hAnsi="Arial" w:cs="Arial"/>
        </w:rPr>
        <w:t xml:space="preserve">Peovski, F., &amp; Ivanovski, I. (2022). </w:t>
      </w:r>
      <w:r w:rsidR="008409C8" w:rsidRPr="00636914">
        <w:rPr>
          <w:rFonts w:ascii="Arial" w:eastAsia="Calibri" w:hAnsi="Arial" w:cs="Arial"/>
          <w:i/>
          <w:iCs/>
        </w:rPr>
        <w:t>Forecasting models: An application to home insurance</w:t>
      </w:r>
      <w:r w:rsidRPr="00636914">
        <w:rPr>
          <w:rFonts w:ascii="Arial" w:eastAsia="Calibri" w:hAnsi="Arial" w:cs="Arial"/>
        </w:rPr>
        <w:t>.</w:t>
      </w:r>
    </w:p>
    <w:p w14:paraId="7D895C0A" w14:textId="77777777" w:rsidR="00D8035D" w:rsidRDefault="00D8035D" w:rsidP="00D8035D">
      <w:pPr>
        <w:pStyle w:val="ListParagraph"/>
        <w:rPr>
          <w:rFonts w:ascii="Arial" w:eastAsia="Calibri" w:hAnsi="Arial" w:cs="Arial"/>
        </w:rPr>
      </w:pPr>
    </w:p>
    <w:p w14:paraId="199CD80F" w14:textId="77777777" w:rsidR="00D8035D" w:rsidRPr="00636914" w:rsidRDefault="00D8035D" w:rsidP="00D8035D">
      <w:pPr>
        <w:spacing w:after="200" w:line="259" w:lineRule="auto"/>
        <w:ind w:left="720"/>
        <w:contextualSpacing/>
        <w:rPr>
          <w:rFonts w:ascii="Arial" w:eastAsia="Calibri" w:hAnsi="Arial" w:cs="Arial"/>
        </w:rPr>
      </w:pPr>
    </w:p>
    <w:p w14:paraId="311964A2" w14:textId="77777777" w:rsidR="00636914" w:rsidRPr="00636914" w:rsidRDefault="00636914" w:rsidP="00636914">
      <w:pPr>
        <w:numPr>
          <w:ilvl w:val="0"/>
          <w:numId w:val="34"/>
        </w:numPr>
        <w:spacing w:after="200" w:line="259" w:lineRule="auto"/>
        <w:contextualSpacing/>
        <w:rPr>
          <w:rFonts w:ascii="Arial" w:eastAsia="Calibri" w:hAnsi="Arial" w:cs="Arial"/>
        </w:rPr>
      </w:pPr>
      <w:r w:rsidRPr="00636914">
        <w:rPr>
          <w:rFonts w:ascii="Arial" w:eastAsia="Calibri" w:hAnsi="Arial" w:cs="Arial"/>
        </w:rPr>
        <w:t xml:space="preserve">Rotich, K., &amp; </w:t>
      </w:r>
      <w:proofErr w:type="spellStart"/>
      <w:r w:rsidRPr="00636914">
        <w:rPr>
          <w:rFonts w:ascii="Arial" w:eastAsia="Calibri" w:hAnsi="Arial" w:cs="Arial"/>
        </w:rPr>
        <w:t>Apaka</w:t>
      </w:r>
      <w:proofErr w:type="spellEnd"/>
      <w:r w:rsidRPr="00636914">
        <w:rPr>
          <w:rFonts w:ascii="Arial" w:eastAsia="Calibri" w:hAnsi="Arial" w:cs="Arial"/>
        </w:rPr>
        <w:t xml:space="preserve">, R. (2025). Forecasting motor insurance claims in Kenya using SARIMA model. </w:t>
      </w:r>
      <w:r w:rsidR="008409C8" w:rsidRPr="00636914">
        <w:rPr>
          <w:rFonts w:ascii="Arial" w:eastAsia="Calibri" w:hAnsi="Arial" w:cs="Arial"/>
          <w:i/>
          <w:iCs/>
        </w:rPr>
        <w:t>International Advanced Research Journal in Science, Engineering and Technology (IARJSET)</w:t>
      </w:r>
      <w:r w:rsidRPr="00636914">
        <w:rPr>
          <w:rFonts w:ascii="Arial" w:eastAsia="Calibri" w:hAnsi="Arial" w:cs="Arial"/>
        </w:rPr>
        <w:t xml:space="preserve">, 12(6), 45–52. </w:t>
      </w:r>
      <w:hyperlink r:id="rId25" w:tgtFrame="_new" w:history="1">
        <w:r w:rsidR="008409C8" w:rsidRPr="00636914">
          <w:rPr>
            <w:rFonts w:ascii="Arial" w:eastAsia="Calibri" w:hAnsi="Arial" w:cs="Arial"/>
            <w:color w:val="0000FF"/>
            <w:u w:val="single"/>
          </w:rPr>
          <w:t>https://iarjset.com/wp-content/uploads/2025/06/IARJSET.2025.12611.pdf</w:t>
        </w:r>
      </w:hyperlink>
    </w:p>
    <w:p w14:paraId="363662A2" w14:textId="77777777" w:rsidR="00636914" w:rsidRDefault="00636914" w:rsidP="00441B6F">
      <w:pPr>
        <w:pStyle w:val="ReferHead"/>
        <w:spacing w:after="0"/>
        <w:jc w:val="both"/>
        <w:rPr>
          <w:rFonts w:ascii="Arial" w:hAnsi="Arial" w:cs="Arial"/>
        </w:rPr>
      </w:pPr>
    </w:p>
    <w:p w14:paraId="5F72BB23" w14:textId="77777777" w:rsidR="00B01FCD" w:rsidRPr="00FB3A86" w:rsidRDefault="00B01FCD" w:rsidP="00441B6F">
      <w:pPr>
        <w:pStyle w:val="Appendix"/>
        <w:spacing w:after="0"/>
        <w:jc w:val="both"/>
        <w:rPr>
          <w:rFonts w:ascii="Arial" w:hAnsi="Arial" w:cs="Arial"/>
          <w:b w:val="0"/>
        </w:rPr>
      </w:pPr>
    </w:p>
    <w:sectPr w:rsidR="00B01FCD" w:rsidRPr="00FB3A86" w:rsidSect="00617A0C">
      <w:headerReference w:type="even" r:id="rId26"/>
      <w:headerReference w:type="default" r:id="rId27"/>
      <w:footerReference w:type="default" r:id="rId28"/>
      <w:headerReference w:type="first" r:id="rId2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F4C1A" w14:textId="77777777" w:rsidR="00A17CFE" w:rsidRDefault="00A17CFE" w:rsidP="00C37E61">
      <w:r>
        <w:separator/>
      </w:r>
    </w:p>
  </w:endnote>
  <w:endnote w:type="continuationSeparator" w:id="0">
    <w:p w14:paraId="14FD1CC7" w14:textId="77777777" w:rsidR="00A17CFE" w:rsidRDefault="00A17CF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6BFF9" w14:textId="77777777" w:rsidR="00617A0C" w:rsidRDefault="00617A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558C3" w14:textId="77777777" w:rsidR="00617A0C" w:rsidRDefault="00617A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E9E68" w14:textId="08E75931" w:rsidR="00754C9A" w:rsidRPr="00617A0C" w:rsidRDefault="00754C9A" w:rsidP="00617A0C">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46CE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1350E" w14:textId="77777777" w:rsidR="00A17CFE" w:rsidRDefault="00A17CFE" w:rsidP="00C37E61">
      <w:r>
        <w:separator/>
      </w:r>
    </w:p>
  </w:footnote>
  <w:footnote w:type="continuationSeparator" w:id="0">
    <w:p w14:paraId="79F7667C" w14:textId="77777777" w:rsidR="00A17CFE" w:rsidRDefault="00A17CF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0B78C" w14:textId="39260AE8" w:rsidR="00617A0C" w:rsidRDefault="00617A0C">
    <w:pPr>
      <w:pStyle w:val="Header"/>
    </w:pPr>
    <w:r>
      <w:rPr>
        <w:noProof/>
      </w:rPr>
      <w:pict w14:anchorId="53929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188141"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82C14" w14:textId="2FD034D4" w:rsidR="00617A0C" w:rsidRDefault="00617A0C">
    <w:pPr>
      <w:pStyle w:val="Header"/>
    </w:pPr>
    <w:r>
      <w:rPr>
        <w:noProof/>
      </w:rPr>
      <w:pict w14:anchorId="50142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188142"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DC7E9" w14:textId="4E8FFA95" w:rsidR="00296529" w:rsidRPr="00296529" w:rsidRDefault="00617A0C" w:rsidP="00296529">
    <w:pPr>
      <w:ind w:left="2160"/>
      <w:jc w:val="center"/>
      <w:rPr>
        <w:rFonts w:ascii="Times New Roman" w:eastAsia="Calibri" w:hAnsi="Times New Roman"/>
        <w:i/>
        <w:sz w:val="18"/>
        <w:szCs w:val="22"/>
      </w:rPr>
    </w:pPr>
    <w:r>
      <w:rPr>
        <w:noProof/>
      </w:rPr>
      <w:pict w14:anchorId="4A0F78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188140"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53B02E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3EAEF7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6F0C399"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D8CC6F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CB980F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3947286"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6EDCB" w14:textId="054A93AF" w:rsidR="00617A0C" w:rsidRDefault="00617A0C">
    <w:pPr>
      <w:pStyle w:val="Header"/>
    </w:pPr>
    <w:r>
      <w:rPr>
        <w:noProof/>
      </w:rPr>
      <w:pict w14:anchorId="138C37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188144"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1DB98" w14:textId="77E0FB2F" w:rsidR="00617A0C" w:rsidRDefault="00617A0C">
    <w:pPr>
      <w:pStyle w:val="Header"/>
    </w:pPr>
    <w:r>
      <w:rPr>
        <w:noProof/>
      </w:rPr>
      <w:pict w14:anchorId="1DF5C0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188145"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ECB88" w14:textId="128AB94E" w:rsidR="00617A0C" w:rsidRDefault="00617A0C">
    <w:pPr>
      <w:pStyle w:val="Header"/>
    </w:pPr>
    <w:r>
      <w:rPr>
        <w:noProof/>
      </w:rPr>
      <w:pict w14:anchorId="0BE95C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188143"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63504E62"/>
    <w:lvl w:ilvl="0" w:tplc="C72A1E7E">
      <w:start w:val="1"/>
      <w:numFmt w:val="decimal"/>
      <w:lvlText w:val="%1."/>
      <w:lvlJc w:val="left"/>
      <w:pPr>
        <w:ind w:left="720" w:hanging="360"/>
      </w:pPr>
      <w:rPr>
        <w:rFonts w:hint="default"/>
      </w:rPr>
    </w:lvl>
    <w:lvl w:ilvl="1" w:tplc="24A2DBEA" w:tentative="1">
      <w:start w:val="1"/>
      <w:numFmt w:val="lowerLetter"/>
      <w:lvlText w:val="%2."/>
      <w:lvlJc w:val="left"/>
      <w:pPr>
        <w:ind w:left="1440" w:hanging="360"/>
      </w:pPr>
    </w:lvl>
    <w:lvl w:ilvl="2" w:tplc="23E2E33A" w:tentative="1">
      <w:start w:val="1"/>
      <w:numFmt w:val="lowerRoman"/>
      <w:lvlText w:val="%3."/>
      <w:lvlJc w:val="right"/>
      <w:pPr>
        <w:ind w:left="2160" w:hanging="180"/>
      </w:pPr>
    </w:lvl>
    <w:lvl w:ilvl="3" w:tplc="C1149B6A" w:tentative="1">
      <w:start w:val="1"/>
      <w:numFmt w:val="decimal"/>
      <w:lvlText w:val="%4."/>
      <w:lvlJc w:val="left"/>
      <w:pPr>
        <w:ind w:left="2880" w:hanging="360"/>
      </w:pPr>
    </w:lvl>
    <w:lvl w:ilvl="4" w:tplc="DA4070B6" w:tentative="1">
      <w:start w:val="1"/>
      <w:numFmt w:val="lowerLetter"/>
      <w:lvlText w:val="%5."/>
      <w:lvlJc w:val="left"/>
      <w:pPr>
        <w:ind w:left="3600" w:hanging="360"/>
      </w:pPr>
    </w:lvl>
    <w:lvl w:ilvl="5" w:tplc="73C01452" w:tentative="1">
      <w:start w:val="1"/>
      <w:numFmt w:val="lowerRoman"/>
      <w:lvlText w:val="%6."/>
      <w:lvlJc w:val="right"/>
      <w:pPr>
        <w:ind w:left="4320" w:hanging="180"/>
      </w:pPr>
    </w:lvl>
    <w:lvl w:ilvl="6" w:tplc="DC347424" w:tentative="1">
      <w:start w:val="1"/>
      <w:numFmt w:val="decimal"/>
      <w:lvlText w:val="%7."/>
      <w:lvlJc w:val="left"/>
      <w:pPr>
        <w:ind w:left="5040" w:hanging="360"/>
      </w:pPr>
    </w:lvl>
    <w:lvl w:ilvl="7" w:tplc="FAA407AE" w:tentative="1">
      <w:start w:val="1"/>
      <w:numFmt w:val="lowerLetter"/>
      <w:lvlText w:val="%8."/>
      <w:lvlJc w:val="left"/>
      <w:pPr>
        <w:ind w:left="5760" w:hanging="360"/>
      </w:pPr>
    </w:lvl>
    <w:lvl w:ilvl="8" w:tplc="04DE3A76" w:tentative="1">
      <w:start w:val="1"/>
      <w:numFmt w:val="lowerRoman"/>
      <w:lvlText w:val="%9."/>
      <w:lvlJc w:val="right"/>
      <w:pPr>
        <w:ind w:left="6480" w:hanging="180"/>
      </w:pPr>
    </w:lvl>
  </w:abstractNum>
  <w:abstractNum w:abstractNumId="2" w15:restartNumberingAfterBreak="0">
    <w:nsid w:val="00000002"/>
    <w:multiLevelType w:val="hybridMultilevel"/>
    <w:tmpl w:val="5B74CE88"/>
    <w:lvl w:ilvl="0" w:tplc="AB9AE89E">
      <w:start w:val="1"/>
      <w:numFmt w:val="bullet"/>
      <w:lvlText w:val=""/>
      <w:lvlJc w:val="left"/>
      <w:pPr>
        <w:ind w:left="720" w:hanging="360"/>
      </w:pPr>
      <w:rPr>
        <w:rFonts w:ascii="Symbol" w:hAnsi="Symbol" w:hint="default"/>
      </w:rPr>
    </w:lvl>
    <w:lvl w:ilvl="1" w:tplc="834A392C" w:tentative="1">
      <w:start w:val="1"/>
      <w:numFmt w:val="bullet"/>
      <w:lvlText w:val="o"/>
      <w:lvlJc w:val="left"/>
      <w:pPr>
        <w:ind w:left="1440" w:hanging="360"/>
      </w:pPr>
      <w:rPr>
        <w:rFonts w:ascii="Courier New" w:hAnsi="Courier New" w:cs="Courier New" w:hint="default"/>
      </w:rPr>
    </w:lvl>
    <w:lvl w:ilvl="2" w:tplc="AE34A19E" w:tentative="1">
      <w:start w:val="1"/>
      <w:numFmt w:val="bullet"/>
      <w:lvlText w:val=""/>
      <w:lvlJc w:val="left"/>
      <w:pPr>
        <w:ind w:left="2160" w:hanging="360"/>
      </w:pPr>
      <w:rPr>
        <w:rFonts w:ascii="Wingdings" w:hAnsi="Wingdings" w:hint="default"/>
      </w:rPr>
    </w:lvl>
    <w:lvl w:ilvl="3" w:tplc="B2AAB094" w:tentative="1">
      <w:start w:val="1"/>
      <w:numFmt w:val="bullet"/>
      <w:lvlText w:val=""/>
      <w:lvlJc w:val="left"/>
      <w:pPr>
        <w:ind w:left="2880" w:hanging="360"/>
      </w:pPr>
      <w:rPr>
        <w:rFonts w:ascii="Symbol" w:hAnsi="Symbol" w:hint="default"/>
      </w:rPr>
    </w:lvl>
    <w:lvl w:ilvl="4" w:tplc="8CF651B2" w:tentative="1">
      <w:start w:val="1"/>
      <w:numFmt w:val="bullet"/>
      <w:lvlText w:val="o"/>
      <w:lvlJc w:val="left"/>
      <w:pPr>
        <w:ind w:left="3600" w:hanging="360"/>
      </w:pPr>
      <w:rPr>
        <w:rFonts w:ascii="Courier New" w:hAnsi="Courier New" w:cs="Courier New" w:hint="default"/>
      </w:rPr>
    </w:lvl>
    <w:lvl w:ilvl="5" w:tplc="98FA46DE" w:tentative="1">
      <w:start w:val="1"/>
      <w:numFmt w:val="bullet"/>
      <w:lvlText w:val=""/>
      <w:lvlJc w:val="left"/>
      <w:pPr>
        <w:ind w:left="4320" w:hanging="360"/>
      </w:pPr>
      <w:rPr>
        <w:rFonts w:ascii="Wingdings" w:hAnsi="Wingdings" w:hint="default"/>
      </w:rPr>
    </w:lvl>
    <w:lvl w:ilvl="6" w:tplc="341CA1C0" w:tentative="1">
      <w:start w:val="1"/>
      <w:numFmt w:val="bullet"/>
      <w:lvlText w:val=""/>
      <w:lvlJc w:val="left"/>
      <w:pPr>
        <w:ind w:left="5040" w:hanging="360"/>
      </w:pPr>
      <w:rPr>
        <w:rFonts w:ascii="Symbol" w:hAnsi="Symbol" w:hint="default"/>
      </w:rPr>
    </w:lvl>
    <w:lvl w:ilvl="7" w:tplc="E180662E" w:tentative="1">
      <w:start w:val="1"/>
      <w:numFmt w:val="bullet"/>
      <w:lvlText w:val="o"/>
      <w:lvlJc w:val="left"/>
      <w:pPr>
        <w:ind w:left="5760" w:hanging="360"/>
      </w:pPr>
      <w:rPr>
        <w:rFonts w:ascii="Courier New" w:hAnsi="Courier New" w:cs="Courier New" w:hint="default"/>
      </w:rPr>
    </w:lvl>
    <w:lvl w:ilvl="8" w:tplc="616AA662" w:tentative="1">
      <w:start w:val="1"/>
      <w:numFmt w:val="bullet"/>
      <w:lvlText w:val=""/>
      <w:lvlJc w:val="left"/>
      <w:pPr>
        <w:ind w:left="6480" w:hanging="360"/>
      </w:pPr>
      <w:rPr>
        <w:rFonts w:ascii="Wingdings" w:hAnsi="Wingdings" w:hint="default"/>
      </w:rPr>
    </w:lvl>
  </w:abstractNum>
  <w:abstractNum w:abstractNumId="3"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878E10"/>
    <w:multiLevelType w:val="hybridMultilevel"/>
    <w:tmpl w:val="87E4DADE"/>
    <w:lvl w:ilvl="0" w:tplc="FF1C6562">
      <w:start w:val="1"/>
      <w:numFmt w:val="lowerRoman"/>
      <w:lvlText w:val="%1)"/>
      <w:lvlJc w:val="left"/>
      <w:pPr>
        <w:ind w:left="720" w:hanging="360"/>
      </w:pPr>
      <w:rPr>
        <w:rFonts w:hint="default"/>
      </w:rPr>
    </w:lvl>
    <w:lvl w:ilvl="1" w:tplc="E6C23AE2" w:tentative="1">
      <w:start w:val="1"/>
      <w:numFmt w:val="lowerLetter"/>
      <w:lvlText w:val="%2."/>
      <w:lvlJc w:val="left"/>
      <w:pPr>
        <w:ind w:left="1440" w:hanging="360"/>
      </w:pPr>
    </w:lvl>
    <w:lvl w:ilvl="2" w:tplc="793C8DE8" w:tentative="1">
      <w:start w:val="1"/>
      <w:numFmt w:val="lowerRoman"/>
      <w:lvlText w:val="%3."/>
      <w:lvlJc w:val="right"/>
      <w:pPr>
        <w:ind w:left="2160" w:hanging="180"/>
      </w:pPr>
    </w:lvl>
    <w:lvl w:ilvl="3" w:tplc="7D36EB28" w:tentative="1">
      <w:start w:val="1"/>
      <w:numFmt w:val="decimal"/>
      <w:lvlText w:val="%4."/>
      <w:lvlJc w:val="left"/>
      <w:pPr>
        <w:ind w:left="2880" w:hanging="360"/>
      </w:pPr>
    </w:lvl>
    <w:lvl w:ilvl="4" w:tplc="E272F23A" w:tentative="1">
      <w:start w:val="1"/>
      <w:numFmt w:val="lowerLetter"/>
      <w:lvlText w:val="%5."/>
      <w:lvlJc w:val="left"/>
      <w:pPr>
        <w:ind w:left="3600" w:hanging="360"/>
      </w:pPr>
    </w:lvl>
    <w:lvl w:ilvl="5" w:tplc="4C7455DC" w:tentative="1">
      <w:start w:val="1"/>
      <w:numFmt w:val="lowerRoman"/>
      <w:lvlText w:val="%6."/>
      <w:lvlJc w:val="right"/>
      <w:pPr>
        <w:ind w:left="4320" w:hanging="180"/>
      </w:pPr>
    </w:lvl>
    <w:lvl w:ilvl="6" w:tplc="40F2092E" w:tentative="1">
      <w:start w:val="1"/>
      <w:numFmt w:val="decimal"/>
      <w:lvlText w:val="%7."/>
      <w:lvlJc w:val="left"/>
      <w:pPr>
        <w:ind w:left="5040" w:hanging="360"/>
      </w:pPr>
    </w:lvl>
    <w:lvl w:ilvl="7" w:tplc="A0C89316" w:tentative="1">
      <w:start w:val="1"/>
      <w:numFmt w:val="lowerLetter"/>
      <w:lvlText w:val="%8."/>
      <w:lvlJc w:val="left"/>
      <w:pPr>
        <w:ind w:left="5760" w:hanging="360"/>
      </w:pPr>
    </w:lvl>
    <w:lvl w:ilvl="8" w:tplc="61D005A0" w:tentative="1">
      <w:start w:val="1"/>
      <w:numFmt w:val="lowerRoman"/>
      <w:lvlText w:val="%9."/>
      <w:lvlJc w:val="right"/>
      <w:pPr>
        <w:ind w:left="6480" w:hanging="180"/>
      </w:p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BA730C8"/>
    <w:multiLevelType w:val="multilevel"/>
    <w:tmpl w:val="34D681E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F1257D"/>
    <w:multiLevelType w:val="multilevel"/>
    <w:tmpl w:val="ECFE5FBE"/>
    <w:lvl w:ilvl="0">
      <w:start w:val="3"/>
      <w:numFmt w:val="decimal"/>
      <w:lvlText w:val="%1"/>
      <w:lvlJc w:val="left"/>
      <w:pPr>
        <w:ind w:left="600" w:hanging="600"/>
      </w:pPr>
      <w:rPr>
        <w:rFonts w:hint="default"/>
      </w:rPr>
    </w:lvl>
    <w:lvl w:ilvl="1">
      <w:start w:val="2"/>
      <w:numFmt w:val="decimal"/>
      <w:lvlText w:val="%1.%2"/>
      <w:lvlJc w:val="left"/>
      <w:pPr>
        <w:ind w:left="720" w:hanging="600"/>
      </w:pPr>
      <w:rPr>
        <w:rFonts w:hint="default"/>
      </w:rPr>
    </w:lvl>
    <w:lvl w:ilvl="2">
      <w:start w:val="2"/>
      <w:numFmt w:val="decimal"/>
      <w:lvlText w:val="%1.%2.%3"/>
      <w:lvlJc w:val="left"/>
      <w:pPr>
        <w:ind w:left="960" w:hanging="720"/>
      </w:pPr>
      <w:rPr>
        <w:rFonts w:hint="default"/>
      </w:rPr>
    </w:lvl>
    <w:lvl w:ilvl="3">
      <w:start w:val="3"/>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F008BA"/>
    <w:multiLevelType w:val="hybridMultilevel"/>
    <w:tmpl w:val="4AC01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19A6659"/>
    <w:multiLevelType w:val="multilevel"/>
    <w:tmpl w:val="82A452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9"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1" w15:restartNumberingAfterBreak="0">
    <w:nsid w:val="752A128D"/>
    <w:multiLevelType w:val="multilevel"/>
    <w:tmpl w:val="9C42F564"/>
    <w:lvl w:ilvl="0">
      <w:start w:val="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30"/>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8"/>
  </w:num>
  <w:num w:numId="7">
    <w:abstractNumId w:val="3"/>
  </w:num>
  <w:num w:numId="8">
    <w:abstractNumId w:val="15"/>
  </w:num>
  <w:num w:numId="9">
    <w:abstractNumId w:val="33"/>
  </w:num>
  <w:num w:numId="10">
    <w:abstractNumId w:val="4"/>
  </w:num>
  <w:num w:numId="11">
    <w:abstractNumId w:val="24"/>
  </w:num>
  <w:num w:numId="12">
    <w:abstractNumId w:val="5"/>
  </w:num>
  <w:num w:numId="13">
    <w:abstractNumId w:val="23"/>
  </w:num>
  <w:num w:numId="14">
    <w:abstractNumId w:val="10"/>
  </w:num>
  <w:num w:numId="15">
    <w:abstractNumId w:val="28"/>
  </w:num>
  <w:num w:numId="16">
    <w:abstractNumId w:val="7"/>
  </w:num>
  <w:num w:numId="17">
    <w:abstractNumId w:val="29"/>
  </w:num>
  <w:num w:numId="18">
    <w:abstractNumId w:val="17"/>
  </w:num>
  <w:num w:numId="19">
    <w:abstractNumId w:val="36"/>
  </w:num>
  <w:num w:numId="20">
    <w:abstractNumId w:val="14"/>
  </w:num>
  <w:num w:numId="21">
    <w:abstractNumId w:val="11"/>
  </w:num>
  <w:num w:numId="22">
    <w:abstractNumId w:val="16"/>
  </w:num>
  <w:num w:numId="23">
    <w:abstractNumId w:val="25"/>
  </w:num>
  <w:num w:numId="24">
    <w:abstractNumId w:val="34"/>
  </w:num>
  <w:num w:numId="25">
    <w:abstractNumId w:val="6"/>
  </w:num>
  <w:num w:numId="26">
    <w:abstractNumId w:val="21"/>
  </w:num>
  <w:num w:numId="27">
    <w:abstractNumId w:val="27"/>
  </w:num>
  <w:num w:numId="28">
    <w:abstractNumId w:val="35"/>
  </w:num>
  <w:num w:numId="29">
    <w:abstractNumId w:val="32"/>
  </w:num>
  <w:num w:numId="30">
    <w:abstractNumId w:val="12"/>
  </w:num>
  <w:num w:numId="31">
    <w:abstractNumId w:val="1"/>
  </w:num>
  <w:num w:numId="32">
    <w:abstractNumId w:val="13"/>
  </w:num>
  <w:num w:numId="33">
    <w:abstractNumId w:val="2"/>
  </w:num>
  <w:num w:numId="34">
    <w:abstractNumId w:val="22"/>
  </w:num>
  <w:num w:numId="35">
    <w:abstractNumId w:val="26"/>
  </w:num>
  <w:num w:numId="36">
    <w:abstractNumId w:val="19"/>
  </w:num>
  <w:num w:numId="37">
    <w:abstractNumId w:val="18"/>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3687D"/>
    <w:rsid w:val="00036F8A"/>
    <w:rsid w:val="00041DC5"/>
    <w:rsid w:val="00044F81"/>
    <w:rsid w:val="0004579C"/>
    <w:rsid w:val="00046C10"/>
    <w:rsid w:val="000611C8"/>
    <w:rsid w:val="00091585"/>
    <w:rsid w:val="000A47FA"/>
    <w:rsid w:val="000A65D3"/>
    <w:rsid w:val="000B1E33"/>
    <w:rsid w:val="000D689F"/>
    <w:rsid w:val="000E7B7B"/>
    <w:rsid w:val="000E7D62"/>
    <w:rsid w:val="00103357"/>
    <w:rsid w:val="00123C9F"/>
    <w:rsid w:val="00126190"/>
    <w:rsid w:val="00130F17"/>
    <w:rsid w:val="001320BF"/>
    <w:rsid w:val="00163BC4"/>
    <w:rsid w:val="00187B5C"/>
    <w:rsid w:val="00191062"/>
    <w:rsid w:val="00192B72"/>
    <w:rsid w:val="001A29D8"/>
    <w:rsid w:val="001A5CAA"/>
    <w:rsid w:val="001B0427"/>
    <w:rsid w:val="001B3998"/>
    <w:rsid w:val="001C239F"/>
    <w:rsid w:val="001D3A51"/>
    <w:rsid w:val="001E10D2"/>
    <w:rsid w:val="001E25B4"/>
    <w:rsid w:val="001E44FE"/>
    <w:rsid w:val="00200595"/>
    <w:rsid w:val="002031B2"/>
    <w:rsid w:val="00204835"/>
    <w:rsid w:val="00231920"/>
    <w:rsid w:val="0023195C"/>
    <w:rsid w:val="0024282C"/>
    <w:rsid w:val="002460DC"/>
    <w:rsid w:val="00250985"/>
    <w:rsid w:val="002556F6"/>
    <w:rsid w:val="00283105"/>
    <w:rsid w:val="00284C4C"/>
    <w:rsid w:val="00287E68"/>
    <w:rsid w:val="00296529"/>
    <w:rsid w:val="002B1A73"/>
    <w:rsid w:val="002B27FB"/>
    <w:rsid w:val="002B3025"/>
    <w:rsid w:val="002B685A"/>
    <w:rsid w:val="002C3F3B"/>
    <w:rsid w:val="002C57D2"/>
    <w:rsid w:val="002E0D56"/>
    <w:rsid w:val="00315186"/>
    <w:rsid w:val="0033343E"/>
    <w:rsid w:val="003512C2"/>
    <w:rsid w:val="00371FB6"/>
    <w:rsid w:val="003763C1"/>
    <w:rsid w:val="00376BBE"/>
    <w:rsid w:val="0039224F"/>
    <w:rsid w:val="003A43A4"/>
    <w:rsid w:val="003A7E18"/>
    <w:rsid w:val="003B1D11"/>
    <w:rsid w:val="003C4C86"/>
    <w:rsid w:val="003C6258"/>
    <w:rsid w:val="003E2904"/>
    <w:rsid w:val="003E756B"/>
    <w:rsid w:val="00401927"/>
    <w:rsid w:val="0041027F"/>
    <w:rsid w:val="00412475"/>
    <w:rsid w:val="00423789"/>
    <w:rsid w:val="00440F43"/>
    <w:rsid w:val="00441B6F"/>
    <w:rsid w:val="00446221"/>
    <w:rsid w:val="00450E62"/>
    <w:rsid w:val="004539DB"/>
    <w:rsid w:val="00471A80"/>
    <w:rsid w:val="004A4864"/>
    <w:rsid w:val="004D305E"/>
    <w:rsid w:val="004D4277"/>
    <w:rsid w:val="004F0C6D"/>
    <w:rsid w:val="00502516"/>
    <w:rsid w:val="00505F06"/>
    <w:rsid w:val="00506828"/>
    <w:rsid w:val="0053056E"/>
    <w:rsid w:val="00554105"/>
    <w:rsid w:val="00554FDA"/>
    <w:rsid w:val="00561E61"/>
    <w:rsid w:val="005C784C"/>
    <w:rsid w:val="005D17F6"/>
    <w:rsid w:val="005E5539"/>
    <w:rsid w:val="00602BF5"/>
    <w:rsid w:val="006071E7"/>
    <w:rsid w:val="00617A0C"/>
    <w:rsid w:val="00617FDD"/>
    <w:rsid w:val="00632BAA"/>
    <w:rsid w:val="00633614"/>
    <w:rsid w:val="00633F68"/>
    <w:rsid w:val="00636914"/>
    <w:rsid w:val="00636EB2"/>
    <w:rsid w:val="006375B8"/>
    <w:rsid w:val="0066510A"/>
    <w:rsid w:val="00673F9F"/>
    <w:rsid w:val="00686953"/>
    <w:rsid w:val="00687DEA"/>
    <w:rsid w:val="00687E67"/>
    <w:rsid w:val="006967F7"/>
    <w:rsid w:val="006A250C"/>
    <w:rsid w:val="006A29C0"/>
    <w:rsid w:val="006B21D3"/>
    <w:rsid w:val="006B57D0"/>
    <w:rsid w:val="006D30FF"/>
    <w:rsid w:val="006D6940"/>
    <w:rsid w:val="006F11EC"/>
    <w:rsid w:val="0070082C"/>
    <w:rsid w:val="0071022C"/>
    <w:rsid w:val="007369E6"/>
    <w:rsid w:val="00746E59"/>
    <w:rsid w:val="00754C9A"/>
    <w:rsid w:val="0075599A"/>
    <w:rsid w:val="00761D52"/>
    <w:rsid w:val="007656D8"/>
    <w:rsid w:val="0077749E"/>
    <w:rsid w:val="00790ADA"/>
    <w:rsid w:val="007D2288"/>
    <w:rsid w:val="007E088F"/>
    <w:rsid w:val="007F57A8"/>
    <w:rsid w:val="007F7B32"/>
    <w:rsid w:val="00804BC2"/>
    <w:rsid w:val="0081431A"/>
    <w:rsid w:val="00830FC1"/>
    <w:rsid w:val="0083216F"/>
    <w:rsid w:val="008409C8"/>
    <w:rsid w:val="00860000"/>
    <w:rsid w:val="00863BD3"/>
    <w:rsid w:val="008641ED"/>
    <w:rsid w:val="00866D66"/>
    <w:rsid w:val="008671C6"/>
    <w:rsid w:val="00867AD0"/>
    <w:rsid w:val="00875803"/>
    <w:rsid w:val="00884111"/>
    <w:rsid w:val="008B459E"/>
    <w:rsid w:val="008E13AE"/>
    <w:rsid w:val="008E1506"/>
    <w:rsid w:val="008E710C"/>
    <w:rsid w:val="008F69D6"/>
    <w:rsid w:val="00902823"/>
    <w:rsid w:val="00915CA6"/>
    <w:rsid w:val="00927834"/>
    <w:rsid w:val="009354A9"/>
    <w:rsid w:val="009500A6"/>
    <w:rsid w:val="00957C18"/>
    <w:rsid w:val="009659BA"/>
    <w:rsid w:val="00983040"/>
    <w:rsid w:val="009A45CE"/>
    <w:rsid w:val="009B1811"/>
    <w:rsid w:val="009B3FB9"/>
    <w:rsid w:val="009C2465"/>
    <w:rsid w:val="009D35A0"/>
    <w:rsid w:val="009D7EB7"/>
    <w:rsid w:val="009E048A"/>
    <w:rsid w:val="009E08E9"/>
    <w:rsid w:val="009E3DB9"/>
    <w:rsid w:val="009E6E35"/>
    <w:rsid w:val="009F0EDA"/>
    <w:rsid w:val="009F48B8"/>
    <w:rsid w:val="00A03B96"/>
    <w:rsid w:val="00A05B19"/>
    <w:rsid w:val="00A1134E"/>
    <w:rsid w:val="00A17CFE"/>
    <w:rsid w:val="00A24E7E"/>
    <w:rsid w:val="00A258C3"/>
    <w:rsid w:val="00A347C0"/>
    <w:rsid w:val="00A51431"/>
    <w:rsid w:val="00A51861"/>
    <w:rsid w:val="00A539AD"/>
    <w:rsid w:val="00A66EAC"/>
    <w:rsid w:val="00A94063"/>
    <w:rsid w:val="00AA6219"/>
    <w:rsid w:val="00AA74E0"/>
    <w:rsid w:val="00AB703F"/>
    <w:rsid w:val="00AC6BB8"/>
    <w:rsid w:val="00AE008F"/>
    <w:rsid w:val="00B01FCD"/>
    <w:rsid w:val="00B1776C"/>
    <w:rsid w:val="00B52583"/>
    <w:rsid w:val="00B52896"/>
    <w:rsid w:val="00B57B05"/>
    <w:rsid w:val="00B66A02"/>
    <w:rsid w:val="00B95236"/>
    <w:rsid w:val="00B96BD9"/>
    <w:rsid w:val="00BA1B01"/>
    <w:rsid w:val="00BA2641"/>
    <w:rsid w:val="00BB37AA"/>
    <w:rsid w:val="00BC53A0"/>
    <w:rsid w:val="00BE62AD"/>
    <w:rsid w:val="00BF121F"/>
    <w:rsid w:val="00BF1F80"/>
    <w:rsid w:val="00C11C21"/>
    <w:rsid w:val="00C166EF"/>
    <w:rsid w:val="00C17EB0"/>
    <w:rsid w:val="00C27F5F"/>
    <w:rsid w:val="00C30A0F"/>
    <w:rsid w:val="00C34EEA"/>
    <w:rsid w:val="00C37E61"/>
    <w:rsid w:val="00C70F1B"/>
    <w:rsid w:val="00C71A47"/>
    <w:rsid w:val="00C7464C"/>
    <w:rsid w:val="00C85588"/>
    <w:rsid w:val="00CD6755"/>
    <w:rsid w:val="00CD6856"/>
    <w:rsid w:val="00CE0089"/>
    <w:rsid w:val="00CE5785"/>
    <w:rsid w:val="00CE793C"/>
    <w:rsid w:val="00CF193C"/>
    <w:rsid w:val="00D173F1"/>
    <w:rsid w:val="00D32EEE"/>
    <w:rsid w:val="00D74CB0"/>
    <w:rsid w:val="00D75F0C"/>
    <w:rsid w:val="00D8035D"/>
    <w:rsid w:val="00D8295D"/>
    <w:rsid w:val="00D87E4C"/>
    <w:rsid w:val="00DA1F85"/>
    <w:rsid w:val="00DA2212"/>
    <w:rsid w:val="00DB68FD"/>
    <w:rsid w:val="00DC2A65"/>
    <w:rsid w:val="00DE15F0"/>
    <w:rsid w:val="00DE5663"/>
    <w:rsid w:val="00DE78AA"/>
    <w:rsid w:val="00E053D0"/>
    <w:rsid w:val="00E15994"/>
    <w:rsid w:val="00E3114E"/>
    <w:rsid w:val="00E31A70"/>
    <w:rsid w:val="00E35B02"/>
    <w:rsid w:val="00E66496"/>
    <w:rsid w:val="00E66B35"/>
    <w:rsid w:val="00E66E10"/>
    <w:rsid w:val="00E706BF"/>
    <w:rsid w:val="00E769F6"/>
    <w:rsid w:val="00E8407C"/>
    <w:rsid w:val="00E84F3C"/>
    <w:rsid w:val="00E93AA2"/>
    <w:rsid w:val="00EA012C"/>
    <w:rsid w:val="00EC6A55"/>
    <w:rsid w:val="00ED0288"/>
    <w:rsid w:val="00EE52CB"/>
    <w:rsid w:val="00EE5355"/>
    <w:rsid w:val="00EF2A0E"/>
    <w:rsid w:val="00EF581D"/>
    <w:rsid w:val="00EF7FD8"/>
    <w:rsid w:val="00F06F59"/>
    <w:rsid w:val="00F17988"/>
    <w:rsid w:val="00F469F0"/>
    <w:rsid w:val="00F53273"/>
    <w:rsid w:val="00F755E4"/>
    <w:rsid w:val="00F77D02"/>
    <w:rsid w:val="00F83F11"/>
    <w:rsid w:val="00FB3A86"/>
    <w:rsid w:val="00FB7435"/>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1800D9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Caption">
    <w:name w:val="caption"/>
    <w:basedOn w:val="Normal"/>
    <w:next w:val="Normal"/>
    <w:unhideWhenUsed/>
    <w:qFormat/>
    <w:rsid w:val="004A4864"/>
    <w:pPr>
      <w:spacing w:after="200"/>
    </w:pPr>
    <w:rPr>
      <w:i/>
      <w:iCs/>
      <w:color w:val="1F497D" w:themeColor="text2"/>
      <w:sz w:val="18"/>
      <w:szCs w:val="18"/>
    </w:rPr>
  </w:style>
  <w:style w:type="paragraph" w:styleId="ListParagraph">
    <w:name w:val="List Paragraph"/>
    <w:basedOn w:val="Normal"/>
    <w:uiPriority w:val="34"/>
    <w:qFormat/>
    <w:rsid w:val="00D8035D"/>
    <w:pPr>
      <w:ind w:left="720"/>
      <w:contextualSpacing/>
    </w:pPr>
  </w:style>
  <w:style w:type="character" w:styleId="UnresolvedMention">
    <w:name w:val="Unresolved Mention"/>
    <w:basedOn w:val="DefaultParagraphFont"/>
    <w:uiPriority w:val="99"/>
    <w:semiHidden/>
    <w:unhideWhenUsed/>
    <w:rsid w:val="001C2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yperlink" Target="https://iarjset.com/wp-content/uploads/2025/06/IARJSET.2025.12611.pdf"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repositorium.sdum.uminho.pt/handle/1822/87989"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ira.go.ke/"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otexts.com/fpp3/" TargetMode="External"/><Relationship Id="rId27" Type="http://schemas.openxmlformats.org/officeDocument/2006/relationships/header" Target="head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FC1F7-B4A1-4E73-96B6-2136467DB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39</TotalTime>
  <Pages>8</Pages>
  <Words>2453</Words>
  <Characters>13983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16404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14</cp:revision>
  <cp:lastPrinted>1999-07-06T11:00:00Z</cp:lastPrinted>
  <dcterms:created xsi:type="dcterms:W3CDTF">2024-06-05T06:21:00Z</dcterms:created>
  <dcterms:modified xsi:type="dcterms:W3CDTF">2025-07-09T09:41:00Z</dcterms:modified>
</cp:coreProperties>
</file>