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C23" w:rsidRDefault="00AA7FBB">
      <w:pPr>
        <w:spacing w:line="360" w:lineRule="auto"/>
        <w:ind w:left="720"/>
        <w:jc w:val="right"/>
        <w:rPr>
          <w:rFonts w:ascii="Times New Roman" w:hAnsi="Times New Roman" w:cs="Times New Roman"/>
          <w:b/>
          <w:sz w:val="24"/>
          <w:szCs w:val="24"/>
        </w:rPr>
      </w:pPr>
      <w:r>
        <w:rPr>
          <w:rFonts w:ascii="Times New Roman" w:hAnsi="Times New Roman" w:cs="Times New Roman"/>
          <w:b/>
          <w:sz w:val="24"/>
          <w:szCs w:val="24"/>
        </w:rPr>
        <w:t>Original Research Article</w:t>
      </w:r>
    </w:p>
    <w:p w:rsidR="00882C23" w:rsidRDefault="00AA7FBB">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An Impact Study on Nifty Index through Quantile Regression</w:t>
      </w:r>
    </w:p>
    <w:p w:rsidR="00882C23" w:rsidRDefault="00882C23">
      <w:pPr>
        <w:pStyle w:val="NoSpacing"/>
        <w:tabs>
          <w:tab w:val="left" w:pos="7316"/>
        </w:tabs>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AA7FB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examines the effects of global and domestic factors on the Nifty 50 index, using weekly data from November 1995 to October 2024. The approach u</w:t>
      </w:r>
      <w:r>
        <w:rPr>
          <w:rFonts w:ascii="Times New Roman" w:hAnsi="Times New Roman" w:cs="Times New Roman"/>
          <w:sz w:val="24"/>
          <w:szCs w:val="24"/>
        </w:rPr>
        <w:t>ses quantile regression to capture the varied correlations across different market quantiles. Findings demonstrate that the Dow Jones exerts a considerable impact across all quantiles, signify the interdependence of global markets. Gold and the US bond yie</w:t>
      </w:r>
      <w:r>
        <w:rPr>
          <w:rFonts w:ascii="Times New Roman" w:hAnsi="Times New Roman" w:cs="Times New Roman"/>
          <w:sz w:val="24"/>
          <w:szCs w:val="24"/>
        </w:rPr>
        <w:t xml:space="preserve">ld are other significant influences, whereas the Dollar Index has mixed effects. Interestingly, WTI crude oil has no substantial impact. The study provides vital insights for investors and policymakers, emphasising the role of global trends in determining </w:t>
      </w:r>
      <w:r>
        <w:rPr>
          <w:rFonts w:ascii="Times New Roman" w:hAnsi="Times New Roman" w:cs="Times New Roman"/>
          <w:sz w:val="24"/>
          <w:szCs w:val="24"/>
        </w:rPr>
        <w:t>India's stock market.</w:t>
      </w:r>
    </w:p>
    <w:p w:rsidR="00882C23" w:rsidRDefault="00AA7FBB">
      <w:pPr>
        <w:tabs>
          <w:tab w:val="left" w:pos="6999"/>
        </w:tabs>
        <w:spacing w:line="360" w:lineRule="auto"/>
        <w:jc w:val="both"/>
        <w:rPr>
          <w:rFonts w:ascii="Times New Roman" w:hAnsi="Times New Roman" w:cs="Times New Roman"/>
          <w:sz w:val="24"/>
          <w:szCs w:val="24"/>
        </w:rPr>
      </w:pPr>
      <w:r>
        <w:rPr>
          <w:rFonts w:ascii="Times New Roman" w:hAnsi="Times New Roman" w:cs="Times New Roman"/>
          <w:b/>
          <w:sz w:val="24"/>
          <w:szCs w:val="24"/>
        </w:rPr>
        <w:t>1. Introduction:</w:t>
      </w:r>
      <w:r>
        <w:rPr>
          <w:rFonts w:ascii="Times New Roman" w:hAnsi="Times New Roman" w:cs="Times New Roman"/>
          <w:b/>
          <w:sz w:val="24"/>
          <w:szCs w:val="24"/>
        </w:rPr>
        <w:tab/>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Nifty and Dow Jones are both popular stock market indices that provide insights into the performance of the stock markets in their respective countries. Nifty as a list of the top 50 companies in India. The National </w:t>
      </w:r>
      <w:r>
        <w:rPr>
          <w:rFonts w:ascii="Times New Roman" w:hAnsi="Times New Roman" w:cs="Times New Roman"/>
          <w:sz w:val="24"/>
          <w:szCs w:val="24"/>
        </w:rPr>
        <w:t>Stock Exchange’s stock market index is known by its official name, Nifty 50. The Nifty 50 is the most active trade index in India, representing a variety of stock from various industries. Dow Jones Industrial Average, often referred to as Dow Jones or DJIA</w:t>
      </w:r>
      <w:r>
        <w:rPr>
          <w:rFonts w:ascii="Times New Roman" w:hAnsi="Times New Roman" w:cs="Times New Roman"/>
          <w:sz w:val="24"/>
          <w:szCs w:val="24"/>
        </w:rPr>
        <w:t>. It provides insight into how these 30 significant American companies are performing in the stock market. Essentially, it's like a pulse check for the U.S. stock market, giving a glimpse of its overall health and indicating the direction of U.S. market. I</w:t>
      </w:r>
      <w:r>
        <w:rPr>
          <w:rFonts w:ascii="Times New Roman" w:hAnsi="Times New Roman" w:cs="Times New Roman"/>
          <w:sz w:val="24"/>
          <w:szCs w:val="24"/>
        </w:rPr>
        <w:t>nvestors, analysts, and anybody else with an interest in finance closely follow these indices since they are vital resources for comprehending the functioning of the stock market. A unique kind of oil, West Texas Intermediate (WTI) crude oil is mostly extr</w:t>
      </w:r>
      <w:r>
        <w:rPr>
          <w:rFonts w:ascii="Times New Roman" w:hAnsi="Times New Roman" w:cs="Times New Roman"/>
          <w:sz w:val="24"/>
          <w:szCs w:val="24"/>
        </w:rPr>
        <w:t>acted in the United States, with Texas serving as a significant production hub.  It holds a prominent position as one of the most actively traded and well-known forms of crude oil across the globe. The connections between Nifty 50, WTI crude oil, and other</w:t>
      </w:r>
      <w:r>
        <w:rPr>
          <w:rFonts w:ascii="Times New Roman" w:hAnsi="Times New Roman" w:cs="Times New Roman"/>
          <w:sz w:val="24"/>
          <w:szCs w:val="24"/>
        </w:rPr>
        <w:t xml:space="preserve"> economic indicators are quite tangled. When oil prices change, it can affect the profitability of companies in Nifty 50, which, in turn, can influence the stock market. There's an interesting relationship between gold and the Nifty 50. An increase in gold</w:t>
      </w:r>
      <w:r>
        <w:rPr>
          <w:rFonts w:ascii="Times New Roman" w:hAnsi="Times New Roman" w:cs="Times New Roman"/>
          <w:sz w:val="24"/>
          <w:szCs w:val="24"/>
        </w:rPr>
        <w:t xml:space="preserve"> prices may cause investors to seek out gold as a safe haven, which could result in a decrease in their </w:t>
      </w:r>
      <w:r>
        <w:rPr>
          <w:rFonts w:ascii="Times New Roman" w:hAnsi="Times New Roman" w:cs="Times New Roman"/>
          <w:sz w:val="24"/>
          <w:szCs w:val="24"/>
        </w:rPr>
        <w:lastRenderedPageBreak/>
        <w:t xml:space="preserve">investment in equities, particularly those in the Nifty 50. US bond yields are the actual return a bond holder will get when the buyer of the bond sale </w:t>
      </w:r>
      <w:r>
        <w:rPr>
          <w:rFonts w:ascii="Times New Roman" w:hAnsi="Times New Roman" w:cs="Times New Roman"/>
          <w:sz w:val="24"/>
          <w:szCs w:val="24"/>
        </w:rPr>
        <w:t>their holdings in the market. The bond yields are changed frequently throughout the market hour. When these yields go up, it often makes investing in bonds more attractive, which can draw money away from stocks like those in Nifty 50. Conversely, when bond</w:t>
      </w:r>
      <w:r>
        <w:rPr>
          <w:rFonts w:ascii="Times New Roman" w:hAnsi="Times New Roman" w:cs="Times New Roman"/>
          <w:sz w:val="24"/>
          <w:szCs w:val="24"/>
        </w:rPr>
        <w:t xml:space="preserve"> yields drop, stocks may become a more appealing option, potentially benefiting Nifty 50. The strength of the US dollar relative to six other important foreign currencies is gauged by the Dollar Index. An increase in the Dollar Index may draw investors' at</w:t>
      </w:r>
      <w:r>
        <w:rPr>
          <w:rFonts w:ascii="Times New Roman" w:hAnsi="Times New Roman" w:cs="Times New Roman"/>
          <w:sz w:val="24"/>
          <w:szCs w:val="24"/>
        </w:rPr>
        <w:t xml:space="preserve">tention away from emerging markets like India and toward U.S. assets, which could have an effect on the Nifty 50.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it is imperative to study these variable impact on nifty index so that investors can know which variable is more important for Indi</w:t>
      </w:r>
      <w:r>
        <w:rPr>
          <w:rFonts w:ascii="Times New Roman" w:hAnsi="Times New Roman" w:cs="Times New Roman"/>
          <w:sz w:val="24"/>
          <w:szCs w:val="24"/>
        </w:rPr>
        <w:t>an stock market.</w:t>
      </w:r>
    </w:p>
    <w:p w:rsidR="00882C23" w:rsidRDefault="00AA7FBB">
      <w:pPr>
        <w:spacing w:line="360" w:lineRule="auto"/>
        <w:jc w:val="both"/>
        <w:rPr>
          <w:rFonts w:ascii="Times New Roman" w:hAnsi="Times New Roman" w:cs="Times New Roman"/>
          <w:b/>
          <w:sz w:val="24"/>
          <w:szCs w:val="24"/>
        </w:rPr>
      </w:pPr>
      <w:r>
        <w:rPr>
          <w:rFonts w:ascii="Times New Roman" w:hAnsi="Times New Roman" w:cs="Times New Roman"/>
          <w:b/>
          <w:sz w:val="24"/>
          <w:szCs w:val="24"/>
        </w:rPr>
        <w:t>2. Review of literature:</w:t>
      </w:r>
    </w:p>
    <w:p w:rsidR="00882C23" w:rsidRDefault="00AA7FBB">
      <w:pPr>
        <w:pStyle w:val="NormalWeb"/>
        <w:spacing w:line="360" w:lineRule="auto"/>
        <w:jc w:val="both"/>
        <w:rPr>
          <w:color w:val="252525"/>
        </w:rPr>
      </w:pPr>
      <w:r>
        <w:rPr>
          <w:color w:val="252525"/>
        </w:rPr>
        <w:t>The Indian stock market and US bond yields are inversely correlated. Indian stock markets typically see a dip in response to an increase in US bond yields, and vice versa when those yields collapse.  Bond yields an</w:t>
      </w:r>
      <w:r>
        <w:rPr>
          <w:color w:val="252525"/>
        </w:rPr>
        <w:t xml:space="preserve">d the stock market frequently move in direct opposition to one another. Equity markets often perform worse when bond yields increase and better when bond yields decrease. This relationship may not last for very long, but after around five to ten years, it </w:t>
      </w:r>
      <w:r>
        <w:rPr>
          <w:color w:val="252525"/>
        </w:rPr>
        <w:t>becomes apparent. Bond yields have been typically used by analysts and investors as an important leading indicator</w:t>
      </w:r>
      <w:r>
        <w:rPr>
          <w:color w:val="252525"/>
        </w:rPr>
        <w:fldChar w:fldCharType="begin"/>
      </w:r>
      <w:r>
        <w:rPr>
          <w:color w:val="252525"/>
        </w:rPr>
        <w:instrText xml:space="preserve"> ADDIN ZOTERO_ITEM CSL_CITATION {"citationID":"u8Q9ANEC","properties":{"formattedCitation":"(Paul &amp; Reddy, 2022)","plainCitation":"(Paul &amp; Red</w:instrText>
      </w:r>
      <w:r>
        <w:rPr>
          <w:color w:val="252525"/>
        </w:rPr>
        <w:instrText>dy, 2022)","noteIndex":0},"citationItems":[{"id":9962,"uris":["http://zotero.org/users/8869343/items/Q9TH2UU4"],"itemData":{"id":9962,"type":"article-journal","abstract":"This paper examines the long- and short-run spillover effects of US quantitative easi</w:instrText>
      </w:r>
      <w:r>
        <w:rPr>
          <w:color w:val="252525"/>
        </w:rPr>
        <w:instrText xml:space="preserve">ng (QE) on the benchmark 10-year Indian government bond (IGB) yield by Autoregressive Distributed Lag (ARDL) bounds testing co-integration approach using monthly data from September 2008 to June 2019. The results show that a 10%-point rise in US QE led to </w:instrText>
      </w:r>
      <w:r>
        <w:rPr>
          <w:color w:val="252525"/>
        </w:rPr>
        <w:instrText xml:space="preserve">a 4 bp rise in yields. The counterfactual analysis shows that volatility of the yields would have been less without the QE. During the episodes of QE, the Reserve Bank of India (RBI) had to alter its policy rate and engage in open-market operations (OMOs) </w:instrText>
      </w:r>
      <w:r>
        <w:rPr>
          <w:color w:val="252525"/>
        </w:rPr>
        <w:instrText>to simultaneously maintain liquidity in the system and reduce the volatility of interest rates. Spillover on the debt yield leads to mispricing of assets and partial loss of the monetary-policy autonomy of the RBI.","container-title":"Journal of Quantitati</w:instrText>
      </w:r>
      <w:r>
        <w:rPr>
          <w:color w:val="252525"/>
        </w:rPr>
        <w:instrText>ve Economics","DOI":"10.1007/s40953-021-00257-9","ISSN":"2364-1045","issue":"1","journalAbbreviation":"Journal of Quantitative Economics","page":"137-157","title":"US QE and the Indian Bond Market","volume":"20","author":[{"family":"Paul","given":"Moumita"</w:instrText>
      </w:r>
      <w:r>
        <w:rPr>
          <w:color w:val="252525"/>
        </w:rPr>
        <w:instrText xml:space="preserve">},{"family":"Reddy","given":"Kalluru Siva"}],"issued":{"date-parts":[["2022",3,1]]}}}],"schema":"https://github.com/citation-style-language/schema/raw/master/csl-citation.json"} </w:instrText>
      </w:r>
      <w:r>
        <w:rPr>
          <w:color w:val="252525"/>
        </w:rPr>
        <w:fldChar w:fldCharType="separate"/>
      </w:r>
      <w:r>
        <w:t>(Paul &amp; Reddy, 2022)</w:t>
      </w:r>
      <w:r>
        <w:rPr>
          <w:color w:val="252525"/>
        </w:rPr>
        <w:fldChar w:fldCharType="end"/>
      </w:r>
      <w:r>
        <w:rPr>
          <w:color w:val="252525"/>
        </w:rPr>
        <w:t xml:space="preserve">. However, a study </w:t>
      </w:r>
      <w:r>
        <w:rPr>
          <w:color w:val="252525"/>
        </w:rPr>
        <w:fldChar w:fldCharType="begin"/>
      </w:r>
      <w:r>
        <w:rPr>
          <w:color w:val="252525"/>
        </w:rPr>
        <w:instrText xml:space="preserve"> ADDIN ZOTERO_ITEM CSL_CITATION {"ci</w:instrText>
      </w:r>
      <w:r>
        <w:rPr>
          <w:color w:val="252525"/>
        </w:rPr>
        <w:instrText>tationID":"Wlr5FmZw","properties":{"formattedCitation":"(Balakrishnan &amp; Rahman, 2022)","plainCitation":"(Balakrishnan &amp; Rahman, 2022)","noteIndex":0},"citationItems":[{"id":9960,"uris":["http://zotero.org/users/8869343/items/DBAB44J9"],"itemData":{"id":996</w:instrText>
      </w:r>
      <w:r>
        <w:rPr>
          <w:color w:val="252525"/>
        </w:rPr>
        <w:instrText>0,"type":"article-journal","abstract":"We investigate the extent to which the United States (US) bond yield affects foreign institutional investor (FII) inflows and the performance of the Indian stock market using monthly time-series data from 2002 to 2021</w:instrText>
      </w:r>
      <w:r>
        <w:rPr>
          <w:color w:val="252525"/>
        </w:rPr>
        <w:instrText>. We use the vector autoregressive model and apply the Granger causality test to investigate this relationship. We find no short- and long-run relationships among the US bond yield, FII inflows, and India’s stock market performance.","container-title":"Asi</w:instrText>
      </w:r>
      <w:r>
        <w:rPr>
          <w:color w:val="252525"/>
        </w:rPr>
        <w:instrText>an Economics Letters","DOI":"10.46557/001c.37526","ISSN":"2652-8681","issue":"4","language":"en","source":"DOI.org (Crossref)","title":"Does the United States Bond Yield Affect Foreign Institutional Investor Inflows to India and Indian Stock Market?","URL"</w:instrText>
      </w:r>
      <w:r>
        <w:rPr>
          <w:color w:val="252525"/>
        </w:rPr>
        <w:instrText>:"https://a-e-l.scholasticahq.com/article/37526-does-the-united-states-bond-yield-affect-foreign-institutional-investor-inflows-to-india-and-indian-stock-market","volume":"3","author":[{"family":"Balakrishnan","given":"Charumathi"},{"family":"Rahman","give</w:instrText>
      </w:r>
      <w:r>
        <w:rPr>
          <w:color w:val="252525"/>
        </w:rPr>
        <w:instrText xml:space="preserve">n":"Habeebu"}],"accessed":{"date-parts":[["2023",10,4]]},"issued":{"date-parts":[["2022",10,30]]}}}],"schema":"https://github.com/citation-style-language/schema/raw/master/csl-citation.json"} </w:instrText>
      </w:r>
      <w:r>
        <w:rPr>
          <w:color w:val="252525"/>
        </w:rPr>
        <w:fldChar w:fldCharType="separate"/>
      </w:r>
      <w:r>
        <w:t>(Balakrishnan &amp; Rahman, 2022)</w:t>
      </w:r>
      <w:r>
        <w:rPr>
          <w:color w:val="252525"/>
        </w:rPr>
        <w:fldChar w:fldCharType="end"/>
      </w:r>
      <w:r>
        <w:rPr>
          <w:color w:val="252525"/>
        </w:rPr>
        <w:t>found that the US bond yield doe</w:t>
      </w:r>
      <w:r>
        <w:rPr>
          <w:color w:val="252525"/>
        </w:rPr>
        <w:t xml:space="preserve">s not affect foreign institutional investor (FII) inflows or the Indian stock market performance. In recent research conducted by </w:t>
      </w:r>
      <w:r>
        <w:rPr>
          <w:color w:val="252525"/>
        </w:rPr>
        <w:fldChar w:fldCharType="begin"/>
      </w:r>
      <w:r>
        <w:rPr>
          <w:color w:val="252525"/>
        </w:rPr>
        <w:instrText xml:space="preserve"> ADDIN ZOTERO_ITEM CSL_CITATION {"citationID":"aFcdoQ9r","properties":{"formattedCitation":"(Paul &amp; Reddy, 2022)","plainCitati</w:instrText>
      </w:r>
      <w:r>
        <w:rPr>
          <w:color w:val="252525"/>
        </w:rPr>
        <w:instrText>on":"(Paul &amp; Reddy, 2022)","noteIndex":0},"citationItems":[{"id":9962,"uris":["http://zotero.org/users/8869343/items/Q9TH2UU4"],"itemData":{"id":9962,"type":"article-journal","abstract":"This paper examines the long- and short-run spillover effects of US q</w:instrText>
      </w:r>
      <w:r>
        <w:rPr>
          <w:color w:val="252525"/>
        </w:rPr>
        <w:instrText xml:space="preserve">uantitative easing (QE) on the benchmark 10-year Indian government bond (IGB) yield by Autoregressive Distributed Lag (ARDL) bounds testing co-integration approach using monthly data from September 2008 to June 2019. The results show that a 10%-point rise </w:instrText>
      </w:r>
      <w:r>
        <w:rPr>
          <w:color w:val="252525"/>
        </w:rPr>
        <w:instrText>in US QE led to a 4 bp rise in yields. The counterfactual analysis shows that volatility of the yields would have been less without the QE. During the episodes of QE, the Reserve Bank of India (RBI) had to alter its policy rate and engage in open-market op</w:instrText>
      </w:r>
      <w:r>
        <w:rPr>
          <w:color w:val="252525"/>
        </w:rPr>
        <w:instrText>erations (OMOs) to simultaneously maintain liquidity in the system and reduce the volatility of interest rates. Spillover on the debt yield leads to mispricing of assets and partial loss of the monetary-policy autonomy of the RBI.","container-title":"Journ</w:instrText>
      </w:r>
      <w:r>
        <w:rPr>
          <w:color w:val="252525"/>
        </w:rPr>
        <w:instrText>al of Quantitative Economics","DOI":"10.1007/s40953-021-00257-9","ISSN":"2364-1045","issue":"1","journalAbbreviation":"Journal of Quantitative Economics","page":"137-157","title":"US QE and the Indian Bond Market","volume":"20","author":[{"family":"Paul","</w:instrText>
      </w:r>
      <w:r>
        <w:rPr>
          <w:color w:val="252525"/>
        </w:rPr>
        <w:instrText xml:space="preserve">given":"Moumita"},{"family":"Reddy","given":"Kalluru Siva"}],"issued":{"date-parts":[["2022",3,1]]}}}],"schema":"https://github.com/citation-style-language/schema/raw/master/csl-citation.json"} </w:instrText>
      </w:r>
      <w:r>
        <w:rPr>
          <w:color w:val="252525"/>
        </w:rPr>
        <w:fldChar w:fldCharType="separate"/>
      </w:r>
      <w:r>
        <w:t>(Paul &amp; Reddy, 2022)</w:t>
      </w:r>
      <w:r>
        <w:rPr>
          <w:color w:val="252525"/>
        </w:rPr>
        <w:fldChar w:fldCharType="end"/>
      </w:r>
      <w:r>
        <w:rPr>
          <w:color w:val="252525"/>
        </w:rPr>
        <w:t xml:space="preserve">, an in-depth analysis was carried out </w:t>
      </w:r>
      <w:r>
        <w:rPr>
          <w:color w:val="252525"/>
        </w:rPr>
        <w:t>to understand how US quantitative easing (QE) influences the 10-year Indian government bond in both the short and long terms. The findings from this study shed light on the substantial impact that US QE has on the Indian bond market.</w:t>
      </w:r>
    </w:p>
    <w:p w:rsidR="00882C23" w:rsidRDefault="00AA7FBB">
      <w:pPr>
        <w:pStyle w:val="NormalWeb"/>
        <w:spacing w:line="360" w:lineRule="auto"/>
        <w:jc w:val="both"/>
        <w:rPr>
          <w:color w:val="252525"/>
        </w:rPr>
      </w:pPr>
      <w:r>
        <w:rPr>
          <w:color w:val="252525"/>
        </w:rPr>
        <w:t xml:space="preserve">The US dollar index has a major impact on the performance of the Indian stock market. An upsurge in the dollar index frequently triggers a decline in the Indian stock markets, impacting sentiments related to trade and investments, and vice versa. A study </w:t>
      </w:r>
      <w:r>
        <w:rPr>
          <w:color w:val="252525"/>
        </w:rPr>
        <w:fldChar w:fldCharType="begin"/>
      </w:r>
      <w:r>
        <w:rPr>
          <w:color w:val="252525"/>
        </w:rPr>
        <w:instrText xml:space="preserve"> </w:instrText>
      </w:r>
      <w:r>
        <w:rPr>
          <w:color w:val="252525"/>
        </w:rPr>
        <w:instrText>ADDIN ZOTERO_ITEM CSL_CITATION {"citationID":"HyOOAbCF","properties":{"formattedCitation":"(Kumar &amp; Robiyanto, 2021)","plainCitation":"(Kumar &amp; Robiyanto, 2021)","noteIndex":0},"citationItems":[{"id":9841,"uris":["http://zotero.org/users/8869343/items/GAWN</w:instrText>
      </w:r>
      <w:r>
        <w:rPr>
          <w:color w:val="252525"/>
        </w:rPr>
        <w:instrText>PHKT"],"itemData":{"id":9841,"type":"article-journal","abstract":"This literature aims to analyze the impact of the Dollar Index and Gold Price returns and volatility on stock market volatility of India and China, viz., Shanghai Stock Exchange and Bombay S</w:instrText>
      </w:r>
      <w:r>
        <w:rPr>
          <w:color w:val="252525"/>
        </w:rPr>
        <w:instrText>tock Exchange Sensex, during the period of Covid-19. This study employs daily time-series data from January up to August for 2019, 2020, and a merged data of 2019-2020, i.e., Pre-Pandemic, Mid-Pandemic and Pre through Mid-Pandemic periods, respectively; to</w:instrText>
      </w:r>
      <w:r>
        <w:rPr>
          <w:color w:val="252525"/>
        </w:rPr>
        <w:instrText xml:space="preserve"> avoid possible abnormalities and heteroscedasticity, the GARCH (1,1) model is utilized to scrutinize the data depending on which distribution is more acceptable, GED or Gaussian, which is decided based on the Unit-Root and normality test results. The find</w:instrText>
      </w:r>
      <w:r>
        <w:rPr>
          <w:color w:val="252525"/>
        </w:rPr>
        <w:instrText>ings of this study prove that Gold Price mostly does have a significant effect on both markets, especially during times of financial crisis like the Covid-19 epidemic. Whereas Dollar Index has a significant impact on emerging markets such as India and Chin</w:instrText>
      </w:r>
      <w:r>
        <w:rPr>
          <w:color w:val="252525"/>
        </w:rPr>
        <w:instrText>a though significant effects persist in some cases, it is not valid in most cases.DOI: 10.26905/jkdp.v25i3.5142","container-title":"Jurnal Keuangan dan Perbankan","DOI":"10.26905/jkdp.v25i3.5142","ISSN":"1410-8089","issue":"3","page":"508–531","title":"The</w:instrText>
      </w:r>
      <w:r>
        <w:rPr>
          <w:color w:val="252525"/>
        </w:rPr>
        <w:instrText xml:space="preserve"> Impact of Gold Price and Us Dollar Index: The Volatile Case of Shanghai Stock Exchange and Bombay Stock Exchange During the Crisis of Covid-19","volume":"25","author":[{"family":"Kumar","given":"Joseph John Allwyn"},{"family":"Robiyanto","given":"Robiyant</w:instrText>
      </w:r>
      <w:r>
        <w:rPr>
          <w:color w:val="252525"/>
        </w:rPr>
        <w:instrText xml:space="preserve">o"}],"issued":{"date-parts":[["2021"]]}}}],"schema":"https://github.com/citation-style-language/schema/raw/master/csl-citation.json"} </w:instrText>
      </w:r>
      <w:r>
        <w:rPr>
          <w:color w:val="252525"/>
        </w:rPr>
        <w:fldChar w:fldCharType="separate"/>
      </w:r>
      <w:r>
        <w:t>(Kumar &amp; Robiyanto, 2021)</w:t>
      </w:r>
      <w:r>
        <w:rPr>
          <w:color w:val="252525"/>
        </w:rPr>
        <w:fldChar w:fldCharType="end"/>
      </w:r>
      <w:r>
        <w:rPr>
          <w:color w:val="252525"/>
        </w:rPr>
        <w:t xml:space="preserve"> found that the influence of the dollar index on emerging markets like India and China is inde</w:t>
      </w:r>
      <w:r>
        <w:rPr>
          <w:color w:val="252525"/>
        </w:rPr>
        <w:t xml:space="preserve">ed notable. However, it's important to recognize that while this impact remains substantial in specific instances, it may not hold true universally across the board. The effects vary, and what's significant in some cases may not be as prevalent in others. </w:t>
      </w:r>
      <w:r>
        <w:rPr>
          <w:color w:val="252525"/>
        </w:rPr>
        <w:t xml:space="preserve">Another study </w:t>
      </w:r>
      <w:r>
        <w:rPr>
          <w:color w:val="252525"/>
        </w:rPr>
        <w:fldChar w:fldCharType="begin"/>
      </w:r>
      <w:r>
        <w:rPr>
          <w:color w:val="252525"/>
        </w:rPr>
        <w:instrText xml:space="preserve"> ADDIN ZOTERO_ITEM CSL_CITATION {"citationID":"ni3mUzpt","properties":{"formattedCitation":"(Tran &amp; Nguyen, 2022)","plainCitation":"(Tran &amp; Nguyen, 2022)","noteIndex":0},"citationItems":[{"id":9975,"uris":["http://zotero.org/users/8869343/ite</w:instrText>
      </w:r>
      <w:r>
        <w:rPr>
          <w:color w:val="252525"/>
        </w:rPr>
        <w:instrText>ms/Q7XIVDQL"],"itemData":{"id":9975,"type":"article-journal","container-title":"Cogent Economics &amp; Finance","DOI":"10.1080/23322039.2022.2127483","ISSN":"null","issue":"1","journalAbbreviation":"Cogent Economics &amp; Finance","note":"publisher: Cogent OA","pa</w:instrText>
      </w:r>
      <w:r>
        <w:rPr>
          <w:color w:val="252525"/>
        </w:rPr>
        <w:instrText>ge":"2127483","title":"The interdependence of gold, US dollar and stock market in the context of COVID-19 pandemic: an insight into analysis in Asia and Europe","volume":"10","author":[{"family":"Tran","given":"Oanh"},{"family":"Nguyen","given":"Ha"}],"iss</w:instrText>
      </w:r>
      <w:r>
        <w:rPr>
          <w:color w:val="252525"/>
        </w:rPr>
        <w:instrText xml:space="preserve">ued":{"date-parts":[["2022",12,31]]}}}],"schema":"https://github.com/citation-style-language/schema/raw/master/csl-citation.json"} </w:instrText>
      </w:r>
      <w:r>
        <w:rPr>
          <w:color w:val="252525"/>
        </w:rPr>
        <w:fldChar w:fldCharType="separate"/>
      </w:r>
      <w:r>
        <w:t>(Tran &amp; Nguyen, 2022)</w:t>
      </w:r>
      <w:r>
        <w:rPr>
          <w:color w:val="252525"/>
        </w:rPr>
        <w:fldChar w:fldCharType="end"/>
      </w:r>
      <w:r>
        <w:rPr>
          <w:color w:val="252525"/>
        </w:rPr>
        <w:t xml:space="preserve"> explored the correlation among the stock market, gold prices, and the US dollar </w:t>
      </w:r>
      <w:r>
        <w:rPr>
          <w:color w:val="252525"/>
        </w:rPr>
        <w:lastRenderedPageBreak/>
        <w:t xml:space="preserve">(USD) using a Panel </w:t>
      </w:r>
      <w:r>
        <w:rPr>
          <w:color w:val="252525"/>
        </w:rPr>
        <w:t>Data Vector Auto-Regression (PVAR) model. The investigation revealed a noteworthy finding: during the COVID-19 pandemic, the US dollar index exhibited a dynamic interdependence with the stock market.</w:t>
      </w:r>
    </w:p>
    <w:p w:rsidR="00882C23" w:rsidRDefault="00AA7FBB">
      <w:pPr>
        <w:pStyle w:val="NormalWeb"/>
        <w:spacing w:line="360" w:lineRule="auto"/>
        <w:jc w:val="both"/>
      </w:pPr>
      <w:r>
        <w:t>Gold and the Indian stock market often have an inverse r</w:t>
      </w:r>
      <w:r>
        <w:t xml:space="preserve">elationship. During economic uncertainty, investors may flock to gold as a safe-haven asset, causing a decline in the stock market. Conversely, a stable stock market can reduce the appeal of gold for investors.  </w:t>
      </w:r>
      <w:r>
        <w:fldChar w:fldCharType="begin"/>
      </w:r>
      <w:r>
        <w:instrText xml:space="preserve"> ADDIN ZOTERO_ITEM CSL_CITATION {"citationID</w:instrText>
      </w:r>
      <w:r>
        <w:instrText>":"rms3AHEd","properties":{"formattedCitation":"(Tripathy, 2016)","plainCitation":"(Tripathy, 2016)","noteIndex":0},"citationItems":[{"id":9981,"uris":["http://zotero.org/users/8869343/items/F5KHXURM"],"itemData":{"id":9981,"type":"article-journal","contai</w:instrText>
      </w:r>
      <w:r>
        <w:instrText>ner-title":"European Journal of Economics, Finance and Administrative Sciences","journalAbbreviation":"European Journal of Economics, Finance and Administrative Sciences","title":"A Study on Dynamic Relationship between Gold Price and Stock Market Price in</w:instrText>
      </w:r>
      <w:r>
        <w:instrText xml:space="preserve"> India","author":[{"family":"Tripathy","given":"Naliniprava"}],"issued":{"date-parts":[["2016",7,1]]}}}],"schema":"https://github.com/citation-style-language/schema/raw/master/csl-citation.json"} </w:instrText>
      </w:r>
      <w:r>
        <w:fldChar w:fldCharType="separate"/>
      </w:r>
      <w:r>
        <w:t>(Tripathy, 2016)</w:t>
      </w:r>
      <w:r>
        <w:fldChar w:fldCharType="end"/>
      </w:r>
      <w:r>
        <w:t xml:space="preserve"> explored the evolving connection between</w:t>
      </w:r>
      <w:r>
        <w:t xml:space="preserve"> gold prices and stock market prices in India. Notably, the study uncovered a crucial observation there appears to be no causal relationship between gold prices and stock market prices in the short term. </w:t>
      </w:r>
      <w:r>
        <w:fldChar w:fldCharType="begin"/>
      </w:r>
      <w:r>
        <w:instrText xml:space="preserve"> ADDIN ZOTERO_ITEM CSL_CITATION {"citationID":"Tp7pl</w:instrText>
      </w:r>
      <w:r>
        <w:instrText>ckW","properties":{"formattedCitation":"(Afsal &amp; Haque, 2016)","plainCitation":"(Afsal &amp; Haque, 2016)","noteIndex":0},"citationItems":[{"id":9983,"uris":["http://zotero.org/users/8869343/items/UBLXNVXS"],"itemData":{"id":9983,"type":"article-journal","abst</w:instrText>
      </w:r>
      <w:r>
        <w:instrText>ract":"The price movements in gold market are considered to detect non-linear dependencies with stock market in the Saudi Arabian context. Both the univariate and multivariate models of generalized autoregressive conditional heteroskedasticity (GARCH) clas</w:instrText>
      </w:r>
      <w:r>
        <w:instrText>s are employed in this study. Initially, the work uses GARCH (1,1) specification to detect the persistence level of volatility. Proceeding further, a series of models are used to study leverage effect, spillover pattern, risk-premium effects, absolute retu</w:instrText>
      </w:r>
      <w:r>
        <w:instrText>rns and power transformation factors, etc., Finally, diagonal Baba, Engle, Kraft and Kroner specification is used to determine the contagion effect between gold and stock markets. The findings chiefly prove that a dynamic relationship between gold and stoc</w:instrText>
      </w:r>
      <w:r>
        <w:instrText>k market do not exist.","issue":"3","language":"en","source":"Zotero","title":"Market Interactions in Gold and Stock Markets: Evidences from Saudi Arabia","volume":"6","author":[{"family":"Afsal","given":"E M"},{"family":"Haque","given":"Mohammad Imdadul"}</w:instrText>
      </w:r>
      <w:r>
        <w:instrText xml:space="preserve">],"issued":{"date-parts":[["2016"]]}}}],"schema":"https://github.com/citation-style-language/schema/raw/master/csl-citation.json"} </w:instrText>
      </w:r>
      <w:r>
        <w:fldChar w:fldCharType="separate"/>
      </w:r>
      <w:r>
        <w:t>(Afsal &amp; Haque, 2016)</w:t>
      </w:r>
      <w:r>
        <w:fldChar w:fldCharType="end"/>
      </w:r>
      <w:r>
        <w:t xml:space="preserve"> investigates the price movements in the gold market and their relationship with the stock market in </w:t>
      </w:r>
      <w:r>
        <w:t xml:space="preserve">Saudi Arabia. The study found that there is a slightly inverse relationship between the gold price and stock prices. </w:t>
      </w:r>
      <w:r>
        <w:fldChar w:fldCharType="begin"/>
      </w:r>
      <w:r>
        <w:instrText xml:space="preserve"> ADDIN ZOTERO_ITEM CSL_CITATION {"citationID":"ds9x8nyV","properties":{"formattedCitation":"(Al-Ameer et al., 2018)","plainCitation":"(Al-A</w:instrText>
      </w:r>
      <w:r>
        <w:instrText>meer et al., 2018)","noteIndex":0},"citationItems":[{"id":9987,"uris":["http://zotero.org/users/8869343/items/KAKSSA9E"],"itemData":{"id":9987,"type":"article-journal","abstract":"This paper considers the relationship between two main economic variables: G</w:instrText>
      </w:r>
      <w:r>
        <w:instrText>old and Stock market in Germany that is represented by the HDAX Index under the Frankfurt Stock Exchange. The researchers used monthly data collected from Bloomberg database spanning from August 2004 to September 2016 (12 years) in order to use them in the</w:instrText>
      </w:r>
      <w:r>
        <w:instrText xml:space="preserve"> selected tests in this research which are: (Descriptive statistic tests, Pearson’s correlation test, Unit root test to assure data are stationary for the Johansen’s Co-integration test and the Granger Causality test.). The data were divided into three per</w:instrText>
      </w:r>
      <w:r>
        <w:instrText xml:space="preserve">iods: Pre, during and post to financial crisis in order to measure the different effect in each period. The results showed that there is a correlation between gold and stock market that differs in each period, as for the whole period of 12 years there was </w:instrText>
      </w:r>
      <w:r>
        <w:instrText>a moderate positive correlation, before the financial crisis there was a very strong positive correlation, during the financial crisis the correlation was positive but weak and low which means its insignificant, while at the period after the financial cris</w:instrText>
      </w:r>
      <w:r>
        <w:instrText>is the correlation changed in nature as it became a strong high negative correlation. The co-integration test results were all the same for all the three different periods (before, during and after financial crisis) and also for the whole 12 years period t</w:instrText>
      </w:r>
      <w:r>
        <w:instrText>hat is there is a long run relationship between gold and stock market (represented by the HDAX Index). The same thing applies on the Granger causality test, as there was no Granger causality (No Cause-effect relationship) between gold and stock market.","i</w:instrText>
      </w:r>
      <w:r>
        <w:instrText>ssue":"5","language":"en","source":"Zotero","title":"The Relationship of Gold Price with the Stock Market: The Case of Frankfurt Stock Exchange","volume":"8","author":[{"family":"Al-Ameer","given":"Maryam"},{"family":"Hammad","given":"Walaa"},{"family":"Is</w:instrText>
      </w:r>
      <w:r>
        <w:instrText xml:space="preserve">mail","given":"Areej"},{"family":"Hamdan","given":"Allam"}],"issued":{"date-parts":[["2018"]]}}}],"schema":"https://github.com/citation-style-language/schema/raw/master/csl-citation.json"} </w:instrText>
      </w:r>
      <w:r>
        <w:fldChar w:fldCharType="separate"/>
      </w:r>
      <w:r>
        <w:t>(Al-Ameer et al., 2018)</w:t>
      </w:r>
      <w:r>
        <w:fldChar w:fldCharType="end"/>
      </w:r>
      <w:r>
        <w:t xml:space="preserve"> research considers the relationship betw</w:t>
      </w:r>
      <w:r>
        <w:t>een gold and the stock market in Germany. The research revealed a fluctuating correlation between gold and the stock market, showcasing variations across different periods.</w:t>
      </w:r>
    </w:p>
    <w:p w:rsidR="00882C23" w:rsidRDefault="00AA7FBB">
      <w:pPr>
        <w:pStyle w:val="NormalWeb"/>
        <w:spacing w:line="360" w:lineRule="auto"/>
        <w:jc w:val="both"/>
      </w:pPr>
      <w:r>
        <w:t xml:space="preserve">The Indian stock market is notably impacted by fluctuations in crude oil prices. A </w:t>
      </w:r>
      <w:r>
        <w:t>rise in crude oil prices often leads to a decrease in stock market performance due to increased production costs and reduced consumer spending, influencing market sentiment negatively. Crude oil prices have a positive and significant effect on the stock ma</w:t>
      </w:r>
      <w:r>
        <w:t>rket index of an established economy like India</w:t>
      </w:r>
      <w:r>
        <w:fldChar w:fldCharType="begin"/>
      </w:r>
      <w:r>
        <w:instrText xml:space="preserve"> ADDIN ZOTERO_ITEM CSL_CITATION {"citationID":"dKpFBChX","properties":{"formattedCitation":"(Sreenu, 2022)","plainCitation":"(Sreenu, 2022)","noteIndex":0},"citationItems":[{"id":9886,"uris":["http://zotero.or</w:instrText>
      </w:r>
      <w:r>
        <w:instrText>g/users/8869343/items/2BCEANKS"],"itemData":{"id":9886,"type":"article-journal","abstract":"The oil price volatility index (OPVI) is a direct and more accurate measure of oil price uncertainty. The significance of the crude oil prices volatility index is u</w:instrText>
      </w:r>
      <w:r>
        <w:instrText>sed in this paper to examine the effects of crude oil uncertainty on the aggregate and market returns in various economic sectors. This research issue and the problem are determined by applying a quantile regression model (QRM), which can provide a more co</w:instrText>
      </w:r>
      <w:r>
        <w:instrText>mprehensive investigation under different market situations. In the meantime, the asymmetric effects of ambiguity shockwaves are also investigated by applying the positive (+) and negative (−) fluctuations of the crude oil price volatility index (OPVI). Mo</w:instrText>
      </w:r>
      <w:r>
        <w:instrText>reover, the paper measure whether the reform of 2012 stimulated the oil price volatility index (OPVI) stock relationship; meanwhile, this reform was the most crucial step to reduce the control of domestic crude oil prices in India. The paper outcomes discl</w:instrText>
      </w:r>
      <w:r>
        <w:instrText>ose that the oil price volatility index (OPVI) changes mostly confirm the significant adverse effects on the aggregate and various economic sectoral stock returns in the price declines. These effects are primarily contingent on the positive shockwaves of t</w:instrText>
      </w:r>
      <w:r>
        <w:instrText xml:space="preserve">he crude oil price volatility index rather than the negative shockwaves of the crude oil price volatility index. Moreover, the reform of 2012 reduced the impacts of the positive crude oil price volatility index shocks on Indian stock returns. Finally, the </w:instrText>
      </w:r>
      <w:r>
        <w:instrText>study finds that the information content of the crude price oil volatility index improves the volatility forecasts for the stock market returns.","container-title":"Energy Strategy Reviews","DOI":"10.1016/j.esr.2022.101002","ISSN":"2211-467X","journalAbbre</w:instrText>
      </w:r>
      <w:r>
        <w:instrText>viation":"Energy Strategy Reviews","page":"101002","source":"ScienceDirect","title":"Impact of crude oil price uncertainty on indian stock market returns: Evidence from oil price volatility index","title-short":"Impact of crude oil price uncertainty on ind</w:instrText>
      </w:r>
      <w:r>
        <w:instrText xml:space="preserve">ian stock market returns","volume":"44","author":[{"family":"Sreenu","given":"Nenavath"}],"issued":{"date-parts":[["2022",11,1]]}}}],"schema":"https://github.com/citation-style-language/schema/raw/master/csl-citation.json"} </w:instrText>
      </w:r>
      <w:r>
        <w:fldChar w:fldCharType="separate"/>
      </w:r>
      <w:r>
        <w:t>(Sreenu, 2022)</w:t>
      </w:r>
      <w:r>
        <w:fldChar w:fldCharType="end"/>
      </w:r>
      <w:r>
        <w:t xml:space="preserve">. Fluctuations </w:t>
      </w:r>
      <w:r>
        <w:t xml:space="preserve">in oil prices significantly influence the Indian stock market </w:t>
      </w:r>
      <w:r>
        <w:fldChar w:fldCharType="begin"/>
      </w:r>
      <w:r>
        <w:instrText xml:space="preserve"> ADDIN ZOTERO_ITEM CSL_CITATION {"citationID":"hiKlt3ZG","properties":{"formattedCitation":"(Rahman &amp; Kodikal, 2019)","plainCitation":"(Rahman &amp; Kodikal, 2019)","noteIndex":0},"citationItems":[{</w:instrText>
      </w:r>
      <w:r>
        <w:instrText>"id":9990,"uris":["http://zotero.org/users/8869343/items/KHNH5GNZ"],"itemData":{"id":9990,"type":"article-journal","container-title":"International Journal of Scientific &amp; Technology Research","journalAbbreviation":"International Journal of Scientific &amp; Te</w:instrText>
      </w:r>
      <w:r>
        <w:instrText>chnology Research","page":"846-857","title":"Ups And Downs In The Indian Economy: The Impact Of Crude Oil Prices","volume":"8","author":[{"family":"Rahman","given":"Habeeb"},{"family":"Kodikal","given":"Rashmi"}],"issued":{"date-parts":[["2019",8,19]]}}}],</w:instrText>
      </w:r>
      <w:r>
        <w:instrText xml:space="preserve">"schema":"https://github.com/citation-style-language/schema/raw/master/csl-citation.json"} </w:instrText>
      </w:r>
      <w:r>
        <w:fldChar w:fldCharType="separate"/>
      </w:r>
      <w:r>
        <w:t>(Rahman &amp; Kodikal, 2019)</w:t>
      </w:r>
      <w:r>
        <w:fldChar w:fldCharType="end"/>
      </w:r>
      <w:r>
        <w:t>.</w:t>
      </w:r>
    </w:p>
    <w:p w:rsidR="00882C23" w:rsidRDefault="00AA7FBB">
      <w:pPr>
        <w:pStyle w:val="NormalWeb"/>
        <w:spacing w:line="360" w:lineRule="auto"/>
        <w:jc w:val="both"/>
        <w:rPr>
          <w:color w:val="252525"/>
        </w:rPr>
      </w:pPr>
      <w:r>
        <w:t>The Indian stock market frequently follows changes in the Dow Jones index. Positive Dow Jones trends often translate into higher investo</w:t>
      </w:r>
      <w:r>
        <w:t xml:space="preserve">r confidence in Indian markets, and vice versa, demonstrating the interdependence and worldwide influence on the Indian stock market.  Analysing the co-integration between Indian and U.S. stock markets  </w:t>
      </w:r>
      <w:r>
        <w:fldChar w:fldCharType="begin"/>
      </w:r>
      <w:r>
        <w:instrText xml:space="preserve"> ADDIN ZOTERO_ITEM CSL_CITATION {"citationID":"7f7cCT</w:instrText>
      </w:r>
      <w:r>
        <w:instrText>mT","properties":{"formattedCitation":"(Bhattacharjee &amp; Das, 2020)","plainCitation":"(Bhattacharjee &amp; Das, 2020)","noteIndex":0},"citationItems":[{"id":9992,"uris":["http://zotero.org/users/8869343/items/8LK5SSGY"],"itemData":{"id":9992,"type":"article","a</w:instrText>
      </w:r>
      <w:r>
        <w:instrText>bstract":"The aim of the study is to provide an analytical analysis of co-integration between Indian and U.S stock market. The study used monthly average data from the stock indices namely, NSE Nifty (NSE) and NASDAQ Composite (NASDAQ), for the period from</w:instrText>
      </w:r>
      <w:r>
        <w:instrText xml:space="preserve"> January 2010 to December 2018. A number of statistical methods were employed including unit root test, Johansen co-integration test and Granger Causality test. The results concluded that NSE Nifty and NASDAQ are not co-integrated, which indicates that a l</w:instrText>
      </w:r>
      <w:r>
        <w:instrText>ong run equilibrium relationship do not exists between the indices. The Granger causality test showed a unidirectional causality exists between the indices and the causality runs from NASDAQ to NSE. Thus, indicating that NASDAQ have the ability to influenc</w:instrText>
      </w:r>
      <w:r>
        <w:instrText>e NSE.","event-place":"Rochester, NY","genre":"SSRN Scholarly Paper","language":"en","number":"3560386","publisher-place":"Rochester, NY","source":"Social Science Research Network","title":"Examining the Nexus Between Indian and U.S. Stock Market: A Time S</w:instrText>
      </w:r>
      <w:r>
        <w:instrText>eries Analysis","title-short":"Examining the Nexus Between Indian and U.S. Stock Market","URL":"https://papers.ssrn.com/abstract=3560386","author":[{"family":"Bhattacharjee","given":"Animesh"},{"family":"Das","given":"Joy"}],"accessed":{"date-parts":[["202</w:instrText>
      </w:r>
      <w:r>
        <w:instrText xml:space="preserve">3",10,5]]},"issued":{"date-parts":[["2020",2,1]]}}}],"schema":"https://github.com/citation-style-language/schema/raw/master/csl-citation.json"} </w:instrText>
      </w:r>
      <w:r>
        <w:fldChar w:fldCharType="separate"/>
      </w:r>
      <w:r>
        <w:t>(Bhattacharjee &amp; Das, 2020)</w:t>
      </w:r>
      <w:r>
        <w:fldChar w:fldCharType="end"/>
      </w:r>
      <w:r>
        <w:t xml:space="preserve"> found that there is no co-integration between the NSE Nifty and NASDAQ. This impl</w:t>
      </w:r>
      <w:r>
        <w:t xml:space="preserve">ies that a long-term equilibrium relationship is absent between these indices. However, </w:t>
      </w:r>
      <w:r>
        <w:fldChar w:fldCharType="begin"/>
      </w:r>
      <w:r>
        <w:instrText xml:space="preserve"> ADDIN ZOTERO_ITEM CSL_CITATION {"citationID":"RCO2ANal","properties":{"formattedCitation":"(Khondekar et al., 2009)","plainCitation":"(Khondekar et al., 2009)","noteIn</w:instrText>
      </w:r>
      <w:r>
        <w:instrText>dex":0},"citationItems":[{"id":9998,"uris":["http://zotero.org/users/8869343/items/I386RFM8"],"itemData":{"id":9998,"type":"book","title":"RELATIONSHIP BETWEEN USA AND INDIAN STOCK MARKETS: A TIME SERIES ANALYSIS","author":[{"family":"Khondekar","given":"M</w:instrText>
      </w:r>
      <w:r>
        <w:instrText xml:space="preserve">ofazzal"},{"family":"Ghosh","given":"Dipendra"},{"family":"Ghosh","given":"Koushik"}],"issued":{"date-parts":[["2009",1,1]]}}}],"schema":"https://github.com/citation-style-language/schema/raw/master/csl-citation.json"} </w:instrText>
      </w:r>
      <w:r>
        <w:fldChar w:fldCharType="separate"/>
      </w:r>
      <w:r>
        <w:t>(Khondekar et al., 2009)</w:t>
      </w:r>
      <w:r>
        <w:fldChar w:fldCharType="end"/>
      </w:r>
      <w:r>
        <w:t xml:space="preserve"> study the</w:t>
      </w:r>
      <w:r>
        <w:t xml:space="preserve"> relationship between the USA and Indian stock market and conclude that there is a significant relationship between the two markets. From the above literature review, the researchers found that no work has been done on the impact study of Dow Jones, gold, </w:t>
      </w:r>
      <w:r>
        <w:t>crude oil, US bond yield, and dollar index on the Nifty 50, particularly in the Indian context.</w:t>
      </w:r>
    </w:p>
    <w:p w:rsidR="00882C23" w:rsidRDefault="00AA7FB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 Research objective:</w:t>
      </w:r>
    </w:p>
    <w:p w:rsidR="00882C23" w:rsidRDefault="00AA7FB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impact of Dow Jones, crude oil, gold, bond yields, and the dollar index on the Nifty 50.</w:t>
      </w:r>
    </w:p>
    <w:p w:rsidR="00882C23" w:rsidRDefault="00AA7FBB">
      <w:pPr>
        <w:jc w:val="both"/>
        <w:rPr>
          <w:rFonts w:ascii="Times New Roman" w:hAnsi="Times New Roman" w:cs="Times New Roman"/>
          <w:b/>
          <w:sz w:val="24"/>
          <w:szCs w:val="24"/>
        </w:rPr>
      </w:pPr>
      <w:r>
        <w:rPr>
          <w:rFonts w:ascii="Times New Roman" w:hAnsi="Times New Roman" w:cs="Times New Roman"/>
          <w:b/>
          <w:sz w:val="24"/>
          <w:szCs w:val="24"/>
        </w:rPr>
        <w:t>3. Research methodology:</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For the s</w:t>
      </w:r>
      <w:r>
        <w:rPr>
          <w:rFonts w:ascii="Times New Roman" w:hAnsi="Times New Roman" w:cs="Times New Roman"/>
          <w:sz w:val="24"/>
          <w:szCs w:val="24"/>
        </w:rPr>
        <w:t>tudy of the impact of Dow Jones, crude oil (WTI), gold (dollar denomination), US 10-year bond yield, and dollar index on the nifty50 index, data has been taken from investing.com. The period of study includes weekly data from November 5th, 1995, to October</w:t>
      </w:r>
      <w:r>
        <w:rPr>
          <w:rFonts w:ascii="Times New Roman" w:hAnsi="Times New Roman" w:cs="Times New Roman"/>
          <w:sz w:val="24"/>
          <w:szCs w:val="24"/>
        </w:rPr>
        <w:t xml:space="preserve"> 27th, 2024. Here nifty is a dependent variable, and Dow Jones, WTI crude, gold (dollar denomination), US 10-year bond yield, and dollar index are independent variables. Before testing the impact of these variables, researchers decided to test the stationa</w:t>
      </w:r>
      <w:r>
        <w:rPr>
          <w:rFonts w:ascii="Times New Roman" w:hAnsi="Times New Roman" w:cs="Times New Roman"/>
          <w:sz w:val="24"/>
          <w:szCs w:val="24"/>
        </w:rPr>
        <w:t>rity of these variables as it is utmost needed for any econometric model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{"citationID":"LtlIElJH","properties":{"formattedCitation":"(Petric\\uc0\\u259{} et al., 2017)","plainCitation":"(Petrică et al., 2017)","noteIndex":0},</w:instrText>
      </w:r>
      <w:r>
        <w:rPr>
          <w:rFonts w:ascii="Times New Roman" w:hAnsi="Times New Roman" w:cs="Times New Roman"/>
          <w:sz w:val="24"/>
          <w:szCs w:val="24"/>
        </w:rPr>
        <w:instrText>"citationItems":[{"id":13647,"uris":["http://zotero.org/users/8869343/items/XRKDBNKL"],"itemData":{"id":13647,"type":"article-journal","container-title":"International Journal of Emerging Research in Management and Technology","DOI":"10.23956/ijermt/V6N1/1</w:instrText>
      </w:r>
      <w:r>
        <w:rPr>
          <w:rFonts w:ascii="Times New Roman" w:hAnsi="Times New Roman" w:cs="Times New Roman"/>
          <w:sz w:val="24"/>
          <w:szCs w:val="24"/>
        </w:rPr>
        <w:instrText>07","journalAbbreviation":"International Journal of Emerging Research in Management and Technology","page":"6-16","title":"Stationarity – The Central Concept in Time Series Analysis","volume":"6","author":[{"family":"Petrică","given":"Andreea"},{"family":"</w:instrText>
      </w:r>
      <w:r>
        <w:rPr>
          <w:rFonts w:ascii="Times New Roman" w:hAnsi="Times New Roman" w:cs="Times New Roman"/>
          <w:sz w:val="24"/>
          <w:szCs w:val="24"/>
        </w:rPr>
        <w:instrText xml:space="preserve">Stancu","given":"Stelian"},{"family":"Ghițulescu","given":"Virgil"}],"issued":{"date-parts":[["2017",1,20]]}}}],"schema":"https://github.com/citation-style-language/schema/raw/master/csl-citation.json"}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(Petrică et al., 2017)</w:t>
      </w:r>
      <w:r>
        <w:rPr>
          <w:rFonts w:ascii="Times New Roman" w:hAnsi="Times New Roman" w:cs="Times New Roman"/>
          <w:sz w:val="24"/>
          <w:szCs w:val="24"/>
        </w:rPr>
        <w:fldChar w:fldCharType="end"/>
      </w:r>
      <w:r>
        <w:rPr>
          <w:rFonts w:ascii="Times New Roman" w:hAnsi="Times New Roman" w:cs="Times New Roman"/>
          <w:sz w:val="24"/>
          <w:szCs w:val="24"/>
        </w:rPr>
        <w:t>In order to apply any econom</w:t>
      </w:r>
      <w:r>
        <w:rPr>
          <w:rFonts w:ascii="Times New Roman" w:hAnsi="Times New Roman" w:cs="Times New Roman"/>
          <w:sz w:val="24"/>
          <w:szCs w:val="24"/>
        </w:rPr>
        <w:t xml:space="preserve">etric model data stationarity is required so we decided to take return series of the above variables. </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The return series are expressed are as follows.</w:t>
      </w:r>
    </w:p>
    <w:p w:rsidR="00882C23" w:rsidRDefault="00AA7FBB">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hAnsi="Cambria Math" w:cs="Times New Roman"/>
              <w:sz w:val="24"/>
              <w:szCs w:val="24"/>
            </w:rPr>
            <m:t>=</m:t>
          </m:r>
          <m:r>
            <w:rPr>
              <w:rFonts w:ascii="Cambria Math" w:hAnsi="Cambria Math" w:cs="Times New Roman"/>
              <w:sz w:val="24"/>
              <w:szCs w:val="24"/>
            </w:rPr>
            <m:t>ln</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r>
                    <w:rPr>
                      <w:rFonts w:ascii="Cambria Math" w:hAnsi="Cambria Math" w:cs="Times New Roman"/>
                      <w:sz w:val="24"/>
                      <w:szCs w:val="24"/>
                    </w:rPr>
                    <m:t>-</m:t>
                  </m:r>
                  <m:r>
                    <w:rPr>
                      <w:rFonts w:ascii="Cambria Math" w:hAnsi="Cambria Math" w:cs="Times New Roman"/>
                      <w:sz w:val="24"/>
                      <w:szCs w:val="24"/>
                    </w:rPr>
                    <m:t>1</m:t>
                  </m:r>
                </m:sub>
              </m:sSub>
            </m:den>
          </m:f>
        </m:oMath>
      </m:oMathPara>
    </w:p>
    <w:p w:rsidR="00882C23" w:rsidRDefault="00AA7FBB">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 return series of all variables</w:t>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 Price of day “t”</w:t>
      </w:r>
    </w:p>
    <w:p w:rsidR="00882C23" w:rsidRDefault="00AA7FBB">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it</m:t>
            </m:r>
            <m:r>
              <w:rPr>
                <w:rFonts w:ascii="Cambria Math" w:hAnsi="Cambria Math" w:cs="Times New Roman"/>
                <w:sz w:val="24"/>
                <w:szCs w:val="24"/>
              </w:rPr>
              <m:t>-</m:t>
            </m:r>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Price of day “t-1”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hAnsi="Cambria Math" w:cs="Times New Roman"/>
            <w:sz w:val="24"/>
            <w:szCs w:val="24"/>
          </w:rPr>
          <m:t>ln</m:t>
        </m:r>
      </m:oMath>
      <w:r>
        <w:rPr>
          <w:rFonts w:ascii="Times New Roman" w:eastAsiaTheme="minorEastAsia" w:hAnsi="Times New Roman" w:cs="Times New Roman"/>
          <w:sz w:val="24"/>
          <w:szCs w:val="24"/>
        </w:rPr>
        <w:t xml:space="preserve"> – Log of natural base </w:t>
      </w:r>
    </w:p>
    <w:p w:rsidR="00882C23" w:rsidRDefault="00AA7FBB">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Quantile Regression</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quantile model is effective in cases where there is </w:t>
      </w:r>
      <w:proofErr w:type="spellStart"/>
      <w:r>
        <w:rPr>
          <w:rFonts w:ascii="Times New Roman" w:hAnsi="Times New Roman" w:cs="Times New Roman"/>
          <w:sz w:val="24"/>
          <w:szCs w:val="24"/>
        </w:rPr>
        <w:t>hetroskedasticity</w:t>
      </w:r>
      <w:proofErr w:type="spellEnd"/>
      <w:r>
        <w:rPr>
          <w:rFonts w:ascii="Times New Roman" w:hAnsi="Times New Roman" w:cs="Times New Roman"/>
          <w:sz w:val="24"/>
          <w:szCs w:val="24"/>
        </w:rPr>
        <w:t xml:space="preserve"> and non-normality in the residual distribution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{"citationID":"YwPOo8pv","propertie</w:instrText>
      </w:r>
      <w:r>
        <w:rPr>
          <w:rFonts w:ascii="Times New Roman" w:hAnsi="Times New Roman" w:cs="Times New Roman"/>
          <w:sz w:val="24"/>
          <w:szCs w:val="24"/>
        </w:rPr>
        <w:instrText>s":{"formattedCitation":"(Koenker &amp; Bassett, 1978; Koenker &amp; Hallock, 2001)","plainCitation":"(Koenker &amp; Bassett, 1978; Koenker &amp; Hallock, 2001)","noteIndex":0},"citationItems":[{"id":9774,"uris":["http://zotero.org/users/8869343/items/J9CE8R5D"],"itemData</w:instrText>
      </w:r>
      <w:r>
        <w:rPr>
          <w:rFonts w:ascii="Times New Roman" w:hAnsi="Times New Roman" w:cs="Times New Roman"/>
          <w:sz w:val="24"/>
          <w:szCs w:val="24"/>
        </w:rPr>
        <w:instrText>":{"id":9774,"type":"article-journal","abstract":"[A simple minimization problem yielding the ordinary sample quantiles in the location model is shown to generalize naturally to the linear model generating a new class of statistics we term \"regression qua</w:instrText>
      </w:r>
      <w:r>
        <w:rPr>
          <w:rFonts w:ascii="Times New Roman" w:hAnsi="Times New Roman" w:cs="Times New Roman"/>
          <w:sz w:val="24"/>
          <w:szCs w:val="24"/>
        </w:rPr>
        <w:instrText>ntiles.\" The estimator which minimizes the sum of absolute residuals is an important special case. Some equivariance properties and the joint asymptotic distribution of regression quantiles are established. These results permit a natural generalization of</w:instrText>
      </w:r>
      <w:r>
        <w:rPr>
          <w:rFonts w:ascii="Times New Roman" w:hAnsi="Times New Roman" w:cs="Times New Roman"/>
          <w:sz w:val="24"/>
          <w:szCs w:val="24"/>
        </w:rPr>
        <w:instrText xml:space="preserve"> the linear model of certain well-known robust estimators of location. Estimators are suggested, which have comparable efficiency to least squares for Gaussian linear models while substantially out-performing the least-squares estimator over a wide class o</w:instrText>
      </w:r>
      <w:r>
        <w:rPr>
          <w:rFonts w:ascii="Times New Roman" w:hAnsi="Times New Roman" w:cs="Times New Roman"/>
          <w:sz w:val="24"/>
          <w:szCs w:val="24"/>
        </w:rPr>
        <w:instrText>f non-Gaussian error distributions.]","archive":"JSTOR","container-title":"Econometrica","DOI":"10.2307/1913643","ISSN":"00129682, 14680262","issue":"1","note":"publisher: [Wiley, Econometric Society]","page":"33-50","title":"Regression Quantiles","volume"</w:instrText>
      </w:r>
      <w:r>
        <w:rPr>
          <w:rFonts w:ascii="Times New Roman" w:hAnsi="Times New Roman" w:cs="Times New Roman"/>
          <w:sz w:val="24"/>
          <w:szCs w:val="24"/>
        </w:rPr>
        <w:instrText>:"46","author":[{"family":"Koenker","given":"Roger"},{"family":"Bassett","given":"Gilbert"}],"issued":{"date-parts":[["1978"]]}}},{"id":9746,"uris":["http://zotero.org/users/8869343/items/ECCFLZZE"],"itemData":{"id":9746,"type":"article-journal","container</w:instrText>
      </w:r>
      <w:r>
        <w:rPr>
          <w:rFonts w:ascii="Times New Roman" w:hAnsi="Times New Roman" w:cs="Times New Roman"/>
          <w:sz w:val="24"/>
          <w:szCs w:val="24"/>
        </w:rPr>
        <w:instrText>-title":"Journal of Economic Perspectives","DOI":"10.1257/jep.15.4.143","ISSN":"08953309","issue":"4","page":"143–156","title":"Quantile regression","volume":"15","author":[{"family":"Koenker","given":"Roger"},{"family":"Hallock","given":"Kevin F."}],"issu</w:instrText>
      </w:r>
      <w:r>
        <w:rPr>
          <w:rFonts w:ascii="Times New Roman" w:hAnsi="Times New Roman" w:cs="Times New Roman"/>
          <w:sz w:val="24"/>
          <w:szCs w:val="24"/>
        </w:rPr>
        <w:instrText xml:space="preserve">ed":{"date-parts":[["2001"]]}}}],"schema":"https://github.com/citation-style-language/schema/raw/master/csl-citation.json"}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(Koenker &amp; Bassett, 1978; Koenker &amp; Hallock, 2001)</w:t>
      </w:r>
      <w:r>
        <w:rPr>
          <w:rFonts w:ascii="Times New Roman" w:hAnsi="Times New Roman" w:cs="Times New Roman"/>
          <w:sz w:val="24"/>
          <w:szCs w:val="24"/>
        </w:rPr>
        <w:fldChar w:fldCharType="end"/>
      </w:r>
      <w:r>
        <w:rPr>
          <w:rFonts w:ascii="Times New Roman" w:hAnsi="Times New Roman" w:cs="Times New Roman"/>
          <w:sz w:val="24"/>
          <w:szCs w:val="24"/>
        </w:rPr>
        <w:t>.</w:t>
      </w:r>
    </w:p>
    <w:p w:rsidR="00882C23" w:rsidRDefault="00AA7FBB">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The Quantile Regression is described by the following equation.</w:t>
      </w:r>
    </w:p>
    <w:p w:rsidR="00882C23" w:rsidRDefault="00AA7FBB">
      <w:pPr>
        <w:tabs>
          <w:tab w:val="left" w:pos="6645"/>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m:t>
            </m:r>
          </m:sub>
        </m:sSub>
      </m:oMath>
      <w:r>
        <w:rPr>
          <w:rFonts w:ascii="Times New Roman" w:eastAsiaTheme="minorEastAsia" w:hAnsi="Times New Roman" w:cs="Times New Roman"/>
          <w:sz w:val="24"/>
          <w:szCs w:val="24"/>
        </w:rPr>
        <w:t xml:space="preserve">,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m:t>
            </m:r>
          </m:sub>
        </m:sSub>
      </m:oMath>
      <w:r>
        <w:rPr>
          <w:rFonts w:ascii="Times New Roman" w:eastAsiaTheme="minorEastAsia" w:hAnsi="Times New Roman" w:cs="Times New Roman"/>
          <w:sz w:val="24"/>
          <w:szCs w:val="24"/>
        </w:rPr>
        <w:t xml:space="preserve"> is the vector of unknown parameters related to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q</m:t>
            </m:r>
          </m:e>
          <m:sup>
            <m:r>
              <w:rPr>
                <w:rFonts w:ascii="Cambria Math" w:eastAsiaTheme="minorEastAsia" w:hAnsi="Cambria Math" w:cs="Times New Roman"/>
                <w:sz w:val="24"/>
                <w:szCs w:val="24"/>
              </w:rPr>
              <m:t>t</m:t>
            </m:r>
            <m:r>
              <w:rPr>
                <w:rFonts w:ascii="Cambria Math" w:eastAsiaTheme="minorEastAsia" w:hAnsi="Cambria Math" w:cs="Times New Roman"/>
                <w:sz w:val="24"/>
                <w:szCs w:val="24"/>
              </w:rPr>
              <m:t>h</m:t>
            </m:r>
          </m:sup>
        </m:sSup>
      </m:oMath>
      <w:r>
        <w:rPr>
          <w:rFonts w:ascii="Times New Roman" w:eastAsiaTheme="minorEastAsia" w:hAnsi="Times New Roman" w:cs="Times New Roman"/>
          <w:sz w:val="24"/>
          <w:szCs w:val="24"/>
        </w:rPr>
        <w:t xml:space="preserve"> Quantile further the median regression also called least absolute deviation regression minimizes</w:t>
      </w:r>
      <m:oMath>
        <m:r>
          <w:rPr>
            <w:rFonts w:ascii="Cambria Math" w:eastAsiaTheme="minorEastAsia" w:hAnsi="Cambria Math" w:cs="Times New Roman"/>
            <w:sz w:val="24"/>
            <w:szCs w:val="24"/>
          </w:rPr>
          <m:t xml:space="preserve"> </m:t>
        </m:r>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m:t>
            </m:r>
          </m:sub>
          <m:sup/>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e>
            </m:d>
          </m:e>
        </m:nary>
      </m:oMath>
      <w:r>
        <w:rPr>
          <w:rFonts w:ascii="Times New Roman" w:eastAsiaTheme="minorEastAsia" w:hAnsi="Times New Roman" w:cs="Times New Roman"/>
          <w:sz w:val="24"/>
          <w:szCs w:val="24"/>
        </w:rPr>
        <w:t xml:space="preserve">. The quantile Regression minimize </w:t>
      </w:r>
      <m:oMath>
        <m:nary>
          <m:naryPr>
            <m:chr m:val="∑"/>
            <m:limLoc m:val="subSup"/>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m:t>
            </m:r>
          </m:sub>
          <m:sup/>
          <m:e>
            <m:r>
              <w:rPr>
                <w:rFonts w:ascii="Cambria Math" w:eastAsiaTheme="minorEastAsia" w:hAnsi="Cambria Math" w:cs="Times New Roman"/>
                <w:sz w:val="24"/>
                <w:szCs w:val="24"/>
              </w:rPr>
              <m:t>q</m:t>
            </m:r>
          </m:e>
        </m:nary>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m:t>
            </m:r>
          </m: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rPr>
                  <m:t>q</m:t>
                </m:r>
              </m:e>
            </m:d>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which is a sum that prod</w:t>
      </w:r>
      <w:r>
        <w:rPr>
          <w:rFonts w:ascii="Times New Roman" w:eastAsiaTheme="minorEastAsia" w:hAnsi="Times New Roman" w:cs="Times New Roman"/>
          <w:sz w:val="24"/>
          <w:szCs w:val="24"/>
        </w:rPr>
        <w:t>uces the asymmetric penalties q</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representing under prediction and (1-q)</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for over prediction.</w:t>
      </w:r>
    </w:p>
    <w:p w:rsidR="00882C23" w:rsidRDefault="00AA7FBB">
      <w:pPr>
        <w:tabs>
          <w:tab w:val="left" w:pos="6645"/>
        </w:tabs>
        <w:spacing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m:t>
              </m:r>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m:t>
              </m:r>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m:t>
              </m:r>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qn</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qi</m:t>
              </m:r>
            </m:sub>
          </m:sSub>
        </m:oMath>
      </m:oMathPara>
    </w:p>
    <w:p w:rsidR="00882C23" w:rsidRDefault="00AA7FBB">
      <w:pPr>
        <w:tabs>
          <w:tab w:val="left" w:pos="6645"/>
        </w:tabs>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Where</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m:t>
            </m:r>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m:t>
            </m:r>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are unknown parameter associated with </w:t>
      </w:r>
      <w:proofErr w:type="spellStart"/>
      <w:r>
        <w:rPr>
          <w:rFonts w:ascii="Times New Roman" w:eastAsiaTheme="minorEastAsia" w:hAnsi="Times New Roman" w:cs="Times New Roman"/>
          <w:sz w:val="24"/>
          <w:szCs w:val="24"/>
        </w:rPr>
        <w:t>q</w:t>
      </w:r>
      <w:r>
        <w:rPr>
          <w:rFonts w:ascii="Times New Roman" w:eastAsiaTheme="minorEastAsia" w:hAnsi="Times New Roman" w:cs="Times New Roman"/>
          <w:sz w:val="24"/>
          <w:szCs w:val="24"/>
          <w:vertAlign w:val="superscript"/>
        </w:rPr>
        <w:t>th</w:t>
      </w:r>
      <w:proofErr w:type="spellEnd"/>
      <w:r>
        <w:rPr>
          <w:rFonts w:ascii="Times New Roman" w:eastAsiaTheme="minorEastAsia" w:hAnsi="Times New Roman" w:cs="Times New Roman"/>
          <w:sz w:val="24"/>
          <w:szCs w:val="24"/>
          <w:vertAlign w:val="superscript"/>
        </w:rPr>
        <w:t xml:space="preserve"> quantile</w:t>
      </w:r>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qi</m:t>
            </m:r>
          </m:sub>
        </m:sSub>
      </m:oMath>
      <w:r>
        <w:rPr>
          <w:rFonts w:ascii="Times New Roman" w:eastAsiaTheme="minorEastAsia" w:hAnsi="Times New Roman" w:cs="Times New Roman"/>
          <w:sz w:val="24"/>
          <w:szCs w:val="24"/>
        </w:rPr>
        <w:t xml:space="preserve"> is the error associate</w:t>
      </w:r>
      <w:r>
        <w:rPr>
          <w:rFonts w:ascii="Times New Roman" w:eastAsiaTheme="minorEastAsia" w:hAnsi="Times New Roman" w:cs="Times New Roman"/>
          <w:sz w:val="24"/>
          <w:szCs w:val="24"/>
        </w:rPr>
        <w:t xml:space="preserve">d with </w:t>
      </w:r>
      <w:proofErr w:type="spellStart"/>
      <w:r>
        <w:rPr>
          <w:rFonts w:ascii="Times New Roman" w:eastAsiaTheme="minorEastAsia" w:hAnsi="Times New Roman" w:cs="Times New Roman"/>
          <w:sz w:val="24"/>
          <w:szCs w:val="24"/>
        </w:rPr>
        <w:t>q</w:t>
      </w:r>
      <w:r>
        <w:rPr>
          <w:rFonts w:ascii="Times New Roman" w:eastAsiaTheme="minorEastAsia" w:hAnsi="Times New Roman" w:cs="Times New Roman"/>
          <w:sz w:val="24"/>
          <w:szCs w:val="24"/>
          <w:vertAlign w:val="superscript"/>
        </w:rPr>
        <w:t>th</w:t>
      </w:r>
      <w:proofErr w:type="spellEnd"/>
      <w:r>
        <w:rPr>
          <w:rFonts w:ascii="Times New Roman" w:eastAsiaTheme="minorEastAsia" w:hAnsi="Times New Roman" w:cs="Times New Roman"/>
          <w:sz w:val="24"/>
          <w:szCs w:val="24"/>
          <w:vertAlign w:val="superscript"/>
        </w:rPr>
        <w:t xml:space="preserve"> quantile</w:t>
      </w:r>
      <w:r>
        <w:rPr>
          <w:rFonts w:ascii="Times New Roman" w:eastAsiaTheme="minorEastAsia" w:hAnsi="Times New Roman" w:cs="Times New Roman"/>
          <w:sz w:val="24"/>
          <w:szCs w:val="24"/>
        </w:rPr>
        <w:t xml:space="preserve"> such that 0 &lt; q &lt; 1.</w:t>
      </w:r>
    </w:p>
    <w:p w:rsidR="00882C23" w:rsidRDefault="00AA7FBB">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4. Data analysis and Findings:</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Figure 1: Raw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Figure2: Return series data</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05pt;margin-top:.85pt;width:190.55pt;height:133.75pt;z-index:251660288" filled="t" stroked="t">
            <v:imagedata r:id="rId7" o:title=""/>
          </v:shape>
          <o:OLEObject Type="Embed" ProgID="EViews.Workfile.2" ShapeID="_x0000_s1026" DrawAspect="Content" ObjectID="_1814182215" r:id="rId8"/>
        </w:object>
      </w:r>
      <w:r>
        <w:rPr>
          <w:rFonts w:ascii="Times New Roman" w:hAnsi="Times New Roman" w:cs="Times New Roman"/>
          <w:noProof/>
          <w:sz w:val="24"/>
          <w:szCs w:val="24"/>
          <w:lang w:eastAsia="en-IN"/>
        </w:rPr>
        <w:drawing>
          <wp:anchor distT="0" distB="0" distL="114300" distR="114300" simplePos="0" relativeHeight="251659264" behindDoc="0" locked="0" layoutInCell="1" allowOverlap="1">
            <wp:simplePos x="914400" y="5012055"/>
            <wp:positionH relativeFrom="column">
              <wp:align>left</wp:align>
            </wp:positionH>
            <wp:positionV relativeFrom="paragraph">
              <wp:align>top</wp:align>
            </wp:positionV>
            <wp:extent cx="2383790" cy="1678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1678305"/>
                    </a:xfrm>
                    <a:prstGeom prst="rect">
                      <a:avLst/>
                    </a:prstGeom>
                    <a:noFill/>
                  </pic:spPr>
                </pic:pic>
              </a:graphicData>
            </a:graphic>
          </wp:anchor>
        </w:drawing>
      </w:r>
      <w:r>
        <w:rPr>
          <w:rFonts w:ascii="Times New Roman" w:hAnsi="Times New Roman" w:cs="Times New Roman"/>
          <w:sz w:val="24"/>
          <w:szCs w:val="24"/>
        </w:rPr>
        <w:br w:type="textWrapping" w:clear="all"/>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In Figure 1 the level data are not in stationary so we decided to take return series as these are in stationary.</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Table 1: Descriptive statistics</w:t>
      </w:r>
    </w:p>
    <w:tbl>
      <w:tblPr>
        <w:tblW w:w="8157" w:type="dxa"/>
        <w:tblLook w:val="04A0" w:firstRow="1" w:lastRow="0" w:firstColumn="1" w:lastColumn="0" w:noHBand="0" w:noVBand="1"/>
      </w:tblPr>
      <w:tblGrid>
        <w:gridCol w:w="1483"/>
        <w:gridCol w:w="1083"/>
        <w:gridCol w:w="1000"/>
        <w:gridCol w:w="1180"/>
        <w:gridCol w:w="1160"/>
        <w:gridCol w:w="1296"/>
        <w:gridCol w:w="1300"/>
      </w:tblGrid>
      <w:tr w:rsidR="00882C23">
        <w:trPr>
          <w:trHeight w:val="315"/>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Variables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RNIFTY</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RWTI</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RGOLD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RDOW</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RDINDEX</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RBYIELD</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Mean</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0.00215</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0.0009</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0.001292</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0.001426</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0.000144</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-0.000207</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Median</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0.00397</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0.00447</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0.001808</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0.002911</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0.000458</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-0.000861</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Maximum</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0.14357</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0.27576</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0.1258</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0.12084</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0.047744</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0.313009</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Minimum</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-0.1738</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-0.3469</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-0.101316</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-0.200298</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-0.044346</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-0.408479</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Std. Dev.</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0.03051</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0.05322</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0.022883</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0.024114</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0.010606</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0.046539</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Skewness</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-0.2636</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-0.6007</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-0.030297</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-0.974539</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0.074224</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-0.014106</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Kurtosis</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6.06931</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7.81663</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5.91969</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11.7476</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4.055323</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11.43596</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proofErr w:type="spellStart"/>
            <w:r>
              <w:rPr>
                <w:rFonts w:ascii="Times New Roman" w:eastAsia="Times New Roman" w:hAnsi="Times New Roman" w:cs="Times New Roman"/>
                <w:color w:val="000000"/>
                <w:sz w:val="24"/>
                <w:szCs w:val="24"/>
                <w:lang w:eastAsia="en-IN"/>
              </w:rPr>
              <w:t>Jarque-Bera</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611.011</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1552.51</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537.2806</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5060.124</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71.55181</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4483.471</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Probability</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ADF(</w:t>
            </w:r>
            <w:proofErr w:type="gramEnd"/>
            <w:r>
              <w:rPr>
                <w:rFonts w:ascii="Times New Roman" w:eastAsia="Times New Roman" w:hAnsi="Times New Roman" w:cs="Times New Roman"/>
                <w:color w:val="000000"/>
                <w:sz w:val="24"/>
                <w:szCs w:val="24"/>
                <w:lang w:eastAsia="en-IN"/>
              </w:rPr>
              <w:t>P Value)</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r>
      <w:tr w:rsidR="00882C23">
        <w:trPr>
          <w:trHeight w:val="315"/>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Observations</w:t>
            </w:r>
          </w:p>
        </w:tc>
        <w:tc>
          <w:tcPr>
            <w:tcW w:w="94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0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18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16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c>
          <w:tcPr>
            <w:tcW w:w="1300"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1512</w:t>
            </w:r>
          </w:p>
        </w:tc>
      </w:tr>
    </w:tbl>
    <w:p w:rsidR="00882C23" w:rsidRDefault="00882C23">
      <w:pPr>
        <w:spacing w:line="360" w:lineRule="auto"/>
        <w:jc w:val="both"/>
        <w:rPr>
          <w:rFonts w:ascii="Times New Roman" w:hAnsi="Times New Roman" w:cs="Times New Roman"/>
          <w:sz w:val="24"/>
          <w:szCs w:val="24"/>
        </w:rPr>
      </w:pP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The descriptive statistics shows in table 1 and it is found that the Indian market nifty is more attractive market as the mean return is highest .00215 further the WTI crude oil market is most volatile having highest standard deviation value .05322. As the</w:t>
      </w:r>
      <w:r>
        <w:rPr>
          <w:rFonts w:ascii="Times New Roman" w:hAnsi="Times New Roman" w:cs="Times New Roman"/>
          <w:sz w:val="24"/>
          <w:szCs w:val="24"/>
        </w:rPr>
        <w:t xml:space="preserve"> p value for </w:t>
      </w:r>
      <w:proofErr w:type="spellStart"/>
      <w:r>
        <w:rPr>
          <w:rFonts w:ascii="Times New Roman" w:hAnsi="Times New Roman" w:cs="Times New Roman"/>
          <w:sz w:val="24"/>
          <w:szCs w:val="24"/>
        </w:rPr>
        <w:t>Jarque-Bera</w:t>
      </w:r>
      <w:proofErr w:type="spellEnd"/>
      <w:r>
        <w:rPr>
          <w:rFonts w:ascii="Times New Roman" w:hAnsi="Times New Roman" w:cs="Times New Roman"/>
          <w:sz w:val="24"/>
          <w:szCs w:val="24"/>
        </w:rPr>
        <w:t xml:space="preserve"> statistics is less than.05 at the 5% level of significance, the distributions of variables are not normal. The variables are in stationary as it confirmed from augmented dicky fuller test as the </w:t>
      </w:r>
      <w:r>
        <w:rPr>
          <w:rFonts w:ascii="Times New Roman" w:hAnsi="Times New Roman" w:cs="Times New Roman"/>
          <w:sz w:val="24"/>
          <w:szCs w:val="24"/>
        </w:rPr>
        <w:lastRenderedPageBreak/>
        <w:t xml:space="preserve">p value are less than .05. To check </w:t>
      </w:r>
      <w:r>
        <w:rPr>
          <w:rFonts w:ascii="Times New Roman" w:hAnsi="Times New Roman" w:cs="Times New Roman"/>
          <w:sz w:val="24"/>
          <w:szCs w:val="24"/>
        </w:rPr>
        <w:t>the impact of these variables on nifty we first test ordinary least square (OLS) but after doing it we found the deviation OLS assumptions that the error term distribution must follow normality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{"citationID":"Dguo0ZFA","prope</w:instrText>
      </w:r>
      <w:r>
        <w:rPr>
          <w:rFonts w:ascii="Times New Roman" w:hAnsi="Times New Roman" w:cs="Times New Roman"/>
          <w:sz w:val="24"/>
          <w:szCs w:val="24"/>
        </w:rPr>
        <w:instrText>rties":{"formattedCitation":"(Gujarati, 2003)","plainCitation":"(Gujarati, 2003)","noteIndex":0},"citationItems":[{"id":14247,"uris":["http://zotero.org/users/8869343/items/3J648WYI"],"itemData":{"id":14247,"type":"book","collection-title":"Economic series</w:instrText>
      </w:r>
      <w:r>
        <w:rPr>
          <w:rFonts w:ascii="Times New Roman" w:hAnsi="Times New Roman" w:cs="Times New Roman"/>
          <w:sz w:val="24"/>
          <w:szCs w:val="24"/>
        </w:rPr>
        <w:instrText>","ISBN":"978-0-07-233542-2","note":"LCCN: 87009268","publisher":"McGraw Hill","title":"Basic Econometrics","URL":"https://books.google.co.in/books?id=byu7AAAAIAAJ","author":[{"family":"Gujarati","given":"D.N."}],"issued":{"date-parts":[["2003"]]}}}],"sche</w:instrText>
      </w:r>
      <w:r>
        <w:rPr>
          <w:rFonts w:ascii="Times New Roman" w:hAnsi="Times New Roman" w:cs="Times New Roman"/>
          <w:sz w:val="24"/>
          <w:szCs w:val="24"/>
        </w:rPr>
        <w:instrText xml:space="preserv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(Gujarati, 2003)</w:t>
      </w:r>
      <w:r>
        <w:rPr>
          <w:rFonts w:ascii="Times New Roman" w:hAnsi="Times New Roman" w:cs="Times New Roman"/>
          <w:sz w:val="24"/>
          <w:szCs w:val="24"/>
        </w:rPr>
        <w:fldChar w:fldCharType="end"/>
      </w:r>
      <w:r>
        <w:rPr>
          <w:rFonts w:ascii="Times New Roman" w:hAnsi="Times New Roman" w:cs="Times New Roman"/>
          <w:sz w:val="24"/>
          <w:szCs w:val="24"/>
        </w:rPr>
        <w:t>.</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Table 2: Ordinary Least Square</w:t>
      </w:r>
    </w:p>
    <w:tbl>
      <w:tblPr>
        <w:tblW w:w="8222" w:type="dxa"/>
        <w:tblInd w:w="-5" w:type="dxa"/>
        <w:tblLook w:val="04A0" w:firstRow="1" w:lastRow="0" w:firstColumn="1" w:lastColumn="0" w:noHBand="0" w:noVBand="1"/>
      </w:tblPr>
      <w:tblGrid>
        <w:gridCol w:w="2225"/>
        <w:gridCol w:w="1306"/>
        <w:gridCol w:w="2321"/>
        <w:gridCol w:w="1185"/>
        <w:gridCol w:w="1185"/>
      </w:tblGrid>
      <w:tr w:rsidR="00882C23">
        <w:trPr>
          <w:trHeight w:val="315"/>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Variable</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Coefficient</w:t>
            </w:r>
          </w:p>
        </w:tc>
        <w:tc>
          <w:tcPr>
            <w:tcW w:w="2321"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Std. Error</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t-Statistic</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RWTI</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0.011837</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0.013984</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0.846426</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0.3974</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RGOLD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0.091488</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0.035337</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2.588995</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0.0097</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RDOWJONES</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0.474804</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0.030973</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15.32983</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RDINDEX</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-0.267067</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0.075801</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-3.523262</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0.0004</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RBONDYIELD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0.051202</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0.016255</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3.149962</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0.0017</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0.001388</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0.00071</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1.95663</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0.0506</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R-squared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0.192724</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Mean dependent var</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pPr>
              <w:spacing w:after="0" w:line="240" w:lineRule="auto"/>
              <w:jc w:val="center"/>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0.002145</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Adjusted R-squared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0.190043</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S.D. dependent var</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pPr>
              <w:spacing w:after="0" w:line="240" w:lineRule="auto"/>
              <w:jc w:val="center"/>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0.030514</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S.E. of regression</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0.027462</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Akaike info criterion</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pPr>
              <w:spacing w:after="0" w:line="240" w:lineRule="auto"/>
              <w:jc w:val="center"/>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-4.348089</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Sum squared </w:t>
            </w:r>
            <w:proofErr w:type="spellStart"/>
            <w:r>
              <w:rPr>
                <w:rFonts w:ascii="Times New Roman" w:eastAsia="Times New Roman" w:hAnsi="Times New Roman" w:cs="Times New Roman"/>
                <w:color w:val="000000"/>
                <w:sz w:val="24"/>
                <w:szCs w:val="24"/>
                <w:lang w:eastAsia="en-IN"/>
              </w:rPr>
              <w:t>resid</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1.14E+00</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Schwarz criterion</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pPr>
              <w:spacing w:after="0" w:line="240" w:lineRule="auto"/>
              <w:jc w:val="center"/>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-4.326973</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Log likelihood</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3293.155</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Hannan-Quinn </w:t>
            </w:r>
            <w:proofErr w:type="spellStart"/>
            <w:r>
              <w:rPr>
                <w:rFonts w:ascii="Times New Roman" w:eastAsia="Times New Roman" w:hAnsi="Times New Roman" w:cs="Times New Roman"/>
                <w:color w:val="000000"/>
                <w:sz w:val="24"/>
                <w:szCs w:val="24"/>
                <w:lang w:eastAsia="en-IN"/>
              </w:rPr>
              <w:t>criter</w:t>
            </w:r>
            <w:proofErr w:type="spellEnd"/>
            <w:r>
              <w:rPr>
                <w:rFonts w:ascii="Times New Roman" w:eastAsia="Times New Roman" w:hAnsi="Times New Roman" w:cs="Times New Roman"/>
                <w:color w:val="000000"/>
                <w:sz w:val="24"/>
                <w:szCs w:val="24"/>
                <w:lang w:eastAsia="en-IN"/>
              </w:rPr>
              <w:t>.</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pPr>
              <w:spacing w:after="0" w:line="240" w:lineRule="auto"/>
              <w:jc w:val="center"/>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-4.340226</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F-statistic</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71.90644</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Durbin-Watson stat</w:t>
            </w: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pPr>
              <w:spacing w:after="0" w:line="240" w:lineRule="auto"/>
              <w:jc w:val="center"/>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1.976591</w:t>
            </w:r>
          </w:p>
        </w:tc>
      </w:tr>
      <w:tr w:rsidR="00882C23">
        <w:trPr>
          <w:trHeight w:val="31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Prob(F-statistic)</w:t>
            </w:r>
          </w:p>
        </w:tc>
        <w:tc>
          <w:tcPr>
            <w:tcW w:w="1306"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2321" w:type="dxa"/>
            <w:tcBorders>
              <w:top w:val="nil"/>
              <w:left w:val="nil"/>
              <w:bottom w:val="single" w:sz="4" w:space="0" w:color="auto"/>
              <w:right w:val="single" w:sz="4" w:space="0" w:color="auto"/>
            </w:tcBorders>
            <w:shd w:val="clear" w:color="auto" w:fill="auto"/>
            <w:noWrap/>
            <w:vAlign w:val="bottom"/>
            <w:hideMark/>
          </w:tcPr>
          <w:p w:rsidR="00882C23" w:rsidRDefault="00882C23">
            <w:pPr>
              <w:spacing w:after="0" w:line="240" w:lineRule="auto"/>
              <w:jc w:val="center"/>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pPr>
              <w:spacing w:after="0" w:line="240" w:lineRule="auto"/>
              <w:jc w:val="center"/>
              <w:rPr>
                <w:rFonts w:ascii="Times New Roman" w:eastAsia="Times New Roman" w:hAnsi="Times New Roman" w:cs="Times New Roman"/>
                <w:color w:val="000000"/>
                <w:sz w:val="24"/>
                <w:szCs w:val="24"/>
                <w:lang w:eastAsia="en-IN"/>
              </w:rPr>
            </w:pPr>
          </w:p>
        </w:tc>
        <w:tc>
          <w:tcPr>
            <w:tcW w:w="1185" w:type="dxa"/>
            <w:tcBorders>
              <w:top w:val="nil"/>
              <w:left w:val="nil"/>
              <w:bottom w:val="single" w:sz="4" w:space="0" w:color="auto"/>
              <w:right w:val="single" w:sz="4" w:space="0" w:color="auto"/>
            </w:tcBorders>
            <w:shd w:val="clear" w:color="auto" w:fill="auto"/>
            <w:noWrap/>
            <w:vAlign w:val="bottom"/>
            <w:hideMark/>
          </w:tcPr>
          <w:p w:rsidR="00882C23" w:rsidRDefault="00882C23">
            <w:pPr>
              <w:spacing w:after="0" w:line="240" w:lineRule="auto"/>
              <w:jc w:val="center"/>
              <w:rPr>
                <w:rFonts w:ascii="Times New Roman" w:eastAsia="Times New Roman" w:hAnsi="Times New Roman" w:cs="Times New Roman"/>
                <w:color w:val="000000"/>
                <w:sz w:val="24"/>
                <w:szCs w:val="24"/>
                <w:lang w:eastAsia="en-IN"/>
              </w:rPr>
            </w:pPr>
          </w:p>
        </w:tc>
      </w:tr>
    </w:tbl>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Table 3: Auto correlation and Heteroscedasticity</w:t>
      </w:r>
    </w:p>
    <w:tbl>
      <w:tblPr>
        <w:tblpPr w:leftFromText="180" w:rightFromText="180" w:vertAnchor="text" w:horzAnchor="margin" w:tblpY="-96"/>
        <w:tblW w:w="8217" w:type="dxa"/>
        <w:tblLook w:val="04A0" w:firstRow="1" w:lastRow="0" w:firstColumn="1" w:lastColumn="0" w:noHBand="0" w:noVBand="1"/>
      </w:tblPr>
      <w:tblGrid>
        <w:gridCol w:w="2830"/>
        <w:gridCol w:w="1537"/>
        <w:gridCol w:w="2432"/>
        <w:gridCol w:w="1418"/>
      </w:tblGrid>
      <w:tr w:rsidR="00882C23">
        <w:trPr>
          <w:trHeight w:val="300"/>
        </w:trPr>
        <w:tc>
          <w:tcPr>
            <w:tcW w:w="82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Breusch-Godfrey Serial Correlation LM Test:</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F-statistic</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0.148557</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w:t>
            </w:r>
            <w:proofErr w:type="gramStart"/>
            <w:r>
              <w:rPr>
                <w:rFonts w:ascii="Times New Roman" w:eastAsia="Times New Roman" w:hAnsi="Times New Roman" w:cs="Times New Roman"/>
                <w:color w:val="000000"/>
                <w:sz w:val="24"/>
                <w:szCs w:val="24"/>
                <w:lang w:eastAsia="en-IN"/>
              </w:rPr>
              <w:t>F(</w:t>
            </w:r>
            <w:proofErr w:type="gramEnd"/>
            <w:r>
              <w:rPr>
                <w:rFonts w:ascii="Times New Roman" w:eastAsia="Times New Roman" w:hAnsi="Times New Roman" w:cs="Times New Roman"/>
                <w:color w:val="000000"/>
                <w:sz w:val="24"/>
                <w:szCs w:val="24"/>
                <w:lang w:eastAsia="en-IN"/>
              </w:rPr>
              <w:t>2,1504)</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0.862</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proofErr w:type="spellStart"/>
            <w:r>
              <w:rPr>
                <w:rFonts w:ascii="Times New Roman" w:eastAsia="Times New Roman" w:hAnsi="Times New Roman" w:cs="Times New Roman"/>
                <w:color w:val="000000"/>
                <w:sz w:val="24"/>
                <w:szCs w:val="24"/>
                <w:lang w:eastAsia="en-IN"/>
              </w:rPr>
              <w:t>Obs</w:t>
            </w:r>
            <w:proofErr w:type="spellEnd"/>
            <w:r>
              <w:rPr>
                <w:rFonts w:ascii="Times New Roman" w:eastAsia="Times New Roman" w:hAnsi="Times New Roman" w:cs="Times New Roman"/>
                <w:color w:val="000000"/>
                <w:sz w:val="24"/>
                <w:szCs w:val="24"/>
                <w:lang w:eastAsia="en-IN"/>
              </w:rPr>
              <w:t>*R-squared</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0.298636</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Chi-</w:t>
            </w:r>
            <w:proofErr w:type="gramStart"/>
            <w:r>
              <w:rPr>
                <w:rFonts w:ascii="Times New Roman" w:eastAsia="Times New Roman" w:hAnsi="Times New Roman" w:cs="Times New Roman"/>
                <w:color w:val="000000"/>
                <w:sz w:val="24"/>
                <w:szCs w:val="24"/>
                <w:lang w:eastAsia="en-IN"/>
              </w:rPr>
              <w:t>Square(</w:t>
            </w:r>
            <w:proofErr w:type="gramEnd"/>
            <w:r>
              <w:rPr>
                <w:rFonts w:ascii="Times New Roman" w:eastAsia="Times New Roman" w:hAnsi="Times New Roman" w:cs="Times New Roman"/>
                <w:color w:val="000000"/>
                <w:sz w:val="24"/>
                <w:szCs w:val="24"/>
                <w:lang w:eastAsia="en-IN"/>
              </w:rPr>
              <w:t>2)</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0.8613</w:t>
            </w:r>
          </w:p>
        </w:tc>
      </w:tr>
      <w:tr w:rsidR="00882C23">
        <w:trPr>
          <w:trHeight w:val="300"/>
        </w:trPr>
        <w:tc>
          <w:tcPr>
            <w:tcW w:w="82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Heteroscedasticity </w:t>
            </w:r>
            <w:r>
              <w:rPr>
                <w:rFonts w:ascii="Times New Roman" w:eastAsia="Times New Roman" w:hAnsi="Times New Roman" w:cs="Times New Roman"/>
                <w:color w:val="000000"/>
                <w:sz w:val="24"/>
                <w:szCs w:val="24"/>
                <w:lang w:eastAsia="en-IN"/>
              </w:rPr>
              <w:t>Test: Breusch-Pagan-Godfrey</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F-statistic</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0.821926</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w:t>
            </w:r>
            <w:proofErr w:type="gramStart"/>
            <w:r>
              <w:rPr>
                <w:rFonts w:ascii="Times New Roman" w:eastAsia="Times New Roman" w:hAnsi="Times New Roman" w:cs="Times New Roman"/>
                <w:color w:val="000000"/>
                <w:sz w:val="24"/>
                <w:szCs w:val="24"/>
                <w:lang w:eastAsia="en-IN"/>
              </w:rPr>
              <w:t>F(</w:t>
            </w:r>
            <w:proofErr w:type="gramEnd"/>
            <w:r>
              <w:rPr>
                <w:rFonts w:ascii="Times New Roman" w:eastAsia="Times New Roman" w:hAnsi="Times New Roman" w:cs="Times New Roman"/>
                <w:color w:val="000000"/>
                <w:sz w:val="24"/>
                <w:szCs w:val="24"/>
                <w:lang w:eastAsia="en-IN"/>
              </w:rPr>
              <w:t>5,1506)</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0.534</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proofErr w:type="spellStart"/>
            <w:r>
              <w:rPr>
                <w:rFonts w:ascii="Times New Roman" w:eastAsia="Times New Roman" w:hAnsi="Times New Roman" w:cs="Times New Roman"/>
                <w:color w:val="000000"/>
                <w:sz w:val="24"/>
                <w:szCs w:val="24"/>
                <w:lang w:eastAsia="en-IN"/>
              </w:rPr>
              <w:t>Obs</w:t>
            </w:r>
            <w:proofErr w:type="spellEnd"/>
            <w:r>
              <w:rPr>
                <w:rFonts w:ascii="Times New Roman" w:eastAsia="Times New Roman" w:hAnsi="Times New Roman" w:cs="Times New Roman"/>
                <w:color w:val="000000"/>
                <w:sz w:val="24"/>
                <w:szCs w:val="24"/>
                <w:lang w:eastAsia="en-IN"/>
              </w:rPr>
              <w:t>*R-squared</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4.114772</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Chi-</w:t>
            </w:r>
            <w:proofErr w:type="gramStart"/>
            <w:r>
              <w:rPr>
                <w:rFonts w:ascii="Times New Roman" w:eastAsia="Times New Roman" w:hAnsi="Times New Roman" w:cs="Times New Roman"/>
                <w:color w:val="000000"/>
                <w:sz w:val="24"/>
                <w:szCs w:val="24"/>
                <w:lang w:eastAsia="en-IN"/>
              </w:rPr>
              <w:t>Square(</w:t>
            </w:r>
            <w:proofErr w:type="gramEnd"/>
            <w:r>
              <w:rPr>
                <w:rFonts w:ascii="Times New Roman" w:eastAsia="Times New Roman" w:hAnsi="Times New Roman" w:cs="Times New Roman"/>
                <w:color w:val="000000"/>
                <w:sz w:val="24"/>
                <w:szCs w:val="24"/>
                <w:lang w:eastAsia="en-IN"/>
              </w:rPr>
              <w:t>5)</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0.533</w:t>
            </w:r>
          </w:p>
        </w:tc>
      </w:tr>
      <w:tr w:rsidR="00882C2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Scaled explained SS</w:t>
            </w:r>
          </w:p>
        </w:tc>
        <w:tc>
          <w:tcPr>
            <w:tcW w:w="1537"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9.382573</w:t>
            </w:r>
          </w:p>
        </w:tc>
        <w:tc>
          <w:tcPr>
            <w:tcW w:w="2432"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Prob. Chi-</w:t>
            </w:r>
            <w:proofErr w:type="gramStart"/>
            <w:r>
              <w:rPr>
                <w:rFonts w:ascii="Times New Roman" w:eastAsia="Times New Roman" w:hAnsi="Times New Roman" w:cs="Times New Roman"/>
                <w:color w:val="000000"/>
                <w:sz w:val="24"/>
                <w:szCs w:val="24"/>
                <w:lang w:eastAsia="en-IN"/>
              </w:rPr>
              <w:t>Square(</w:t>
            </w:r>
            <w:proofErr w:type="gramEnd"/>
            <w:r>
              <w:rPr>
                <w:rFonts w:ascii="Times New Roman" w:eastAsia="Times New Roman" w:hAnsi="Times New Roman" w:cs="Times New Roman"/>
                <w:color w:val="000000"/>
                <w:sz w:val="24"/>
                <w:szCs w:val="24"/>
                <w:lang w:eastAsia="en-IN"/>
              </w:rPr>
              <w:t>5)</w:t>
            </w:r>
          </w:p>
        </w:tc>
        <w:tc>
          <w:tcPr>
            <w:tcW w:w="1418" w:type="dxa"/>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0.0947</w:t>
            </w:r>
          </w:p>
        </w:tc>
      </w:tr>
    </w:tbl>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eastAsiaTheme="minorEastAsia" w:hAnsi="Times New Roman" w:cs="Times New Roman"/>
          <w:b/>
          <w:sz w:val="24"/>
          <w:szCs w:val="24"/>
        </w:rPr>
      </w:pPr>
    </w:p>
    <w:p w:rsidR="00882C23" w:rsidRDefault="00882C23">
      <w:pPr>
        <w:spacing w:line="360" w:lineRule="auto"/>
        <w:jc w:val="both"/>
        <w:rPr>
          <w:rFonts w:ascii="Times New Roman" w:eastAsiaTheme="minorEastAsia" w:hAnsi="Times New Roman" w:cs="Times New Roman"/>
          <w:b/>
          <w:sz w:val="24"/>
          <w:szCs w:val="24"/>
        </w:rPr>
      </w:pPr>
    </w:p>
    <w:p w:rsidR="00882C23" w:rsidRDefault="00AA7FB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IN"/>
        </w:rPr>
        <w:object w:dxaOrig="1440" w:dyaOrig="1440">
          <v:shape id="_x0000_s1028" type="#_x0000_t75" style="position:absolute;left:0;text-align:left;margin-left:.35pt;margin-top:25.9pt;width:433.5pt;height:161.85pt;z-index:251662336;mso-wrap-style:tight" filled="t" stroked="t">
            <v:imagedata r:id="rId10" o:title=""/>
          </v:shape>
          <o:OLEObject Type="Embed" ProgID="EViews.Workfile.2" ShapeID="_x0000_s1028" DrawAspect="Content" ObjectID="_1814182216" r:id="rId11"/>
        </w:object>
      </w:r>
      <w:r>
        <w:rPr>
          <w:rFonts w:ascii="Times New Roman" w:eastAsiaTheme="minorEastAsia" w:hAnsi="Times New Roman" w:cs="Times New Roman"/>
          <w:sz w:val="24"/>
          <w:szCs w:val="24"/>
        </w:rPr>
        <w:t>Figure 3: OLS error term distribution</w:t>
      </w:r>
      <w:r>
        <w:rPr>
          <w:rFonts w:ascii="Times New Roman" w:eastAsiaTheme="minorEastAsia" w:hAnsi="Times New Roman" w:cs="Times New Roman"/>
          <w:sz w:val="24"/>
          <w:szCs w:val="24"/>
        </w:rPr>
        <w:tab/>
      </w:r>
    </w:p>
    <w:p w:rsidR="00882C23" w:rsidRDefault="00882C23">
      <w:pPr>
        <w:spacing w:line="360" w:lineRule="auto"/>
        <w:jc w:val="both"/>
        <w:rPr>
          <w:rFonts w:ascii="Times New Roman" w:eastAsiaTheme="minorEastAsia" w:hAnsi="Times New Roman" w:cs="Times New Roman"/>
          <w:b/>
          <w:sz w:val="24"/>
          <w:szCs w:val="24"/>
        </w:rPr>
      </w:pPr>
    </w:p>
    <w:p w:rsidR="00882C23" w:rsidRDefault="00882C23">
      <w:pPr>
        <w:spacing w:line="360" w:lineRule="auto"/>
        <w:jc w:val="both"/>
        <w:rPr>
          <w:rFonts w:ascii="Times New Roman" w:eastAsiaTheme="minorEastAsia" w:hAnsi="Times New Roman" w:cs="Times New Roman"/>
          <w:sz w:val="24"/>
          <w:szCs w:val="24"/>
        </w:rPr>
      </w:pPr>
    </w:p>
    <w:p w:rsidR="00882C23" w:rsidRDefault="00882C23">
      <w:pPr>
        <w:jc w:val="both"/>
        <w:rPr>
          <w:rFonts w:ascii="Times New Roman" w:hAnsi="Times New Roman" w:cs="Times New Roman"/>
          <w:b/>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table 3 it is found that the OLS model is violate the assumptions of homoscedasticity and autocorrelation of error term and further the distribution of error term not</w:t>
      </w:r>
      <w:r>
        <w:rPr>
          <w:rFonts w:ascii="Times New Roman" w:hAnsi="Times New Roman" w:cs="Times New Roman"/>
          <w:sz w:val="24"/>
          <w:szCs w:val="24"/>
        </w:rPr>
        <w:t xml:space="preserve"> following normality as the p value of </w:t>
      </w:r>
      <w:proofErr w:type="spellStart"/>
      <w:r>
        <w:rPr>
          <w:rFonts w:ascii="Times New Roman" w:hAnsi="Times New Roman" w:cs="Times New Roman"/>
          <w:sz w:val="24"/>
          <w:szCs w:val="24"/>
        </w:rPr>
        <w:t>Jarque-Bera</w:t>
      </w:r>
      <w:proofErr w:type="spellEnd"/>
      <w:r>
        <w:rPr>
          <w:rFonts w:ascii="Times New Roman" w:hAnsi="Times New Roman" w:cs="Times New Roman"/>
          <w:sz w:val="24"/>
          <w:szCs w:val="24"/>
        </w:rPr>
        <w:t xml:space="preserve"> test is less than .05 confirmed from figure </w:t>
      </w:r>
      <w:proofErr w:type="gramStart"/>
      <w:r>
        <w:rPr>
          <w:rFonts w:ascii="Times New Roman" w:hAnsi="Times New Roman" w:cs="Times New Roman"/>
          <w:sz w:val="24"/>
          <w:szCs w:val="24"/>
        </w:rPr>
        <w:t>3,  so</w:t>
      </w:r>
      <w:proofErr w:type="gramEnd"/>
      <w:r>
        <w:rPr>
          <w:rFonts w:ascii="Times New Roman" w:hAnsi="Times New Roman" w:cs="Times New Roman"/>
          <w:sz w:val="24"/>
          <w:szCs w:val="24"/>
        </w:rPr>
        <w:t xml:space="preserve"> we decided to proceed to Quantile Regression which is robust to deal heteroscedasticity. </w:t>
      </w: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Table 4: Quantile Regression output at different Quantiles</w:t>
      </w:r>
    </w:p>
    <w:tbl>
      <w:tblPr>
        <w:tblW w:w="5738" w:type="pct"/>
        <w:jc w:val="center"/>
        <w:tblLayout w:type="fixed"/>
        <w:tblLook w:val="04A0" w:firstRow="1" w:lastRow="0" w:firstColumn="1" w:lastColumn="0" w:noHBand="0" w:noVBand="1"/>
      </w:tblPr>
      <w:tblGrid>
        <w:gridCol w:w="1282"/>
        <w:gridCol w:w="998"/>
        <w:gridCol w:w="992"/>
        <w:gridCol w:w="990"/>
        <w:gridCol w:w="990"/>
        <w:gridCol w:w="992"/>
        <w:gridCol w:w="990"/>
        <w:gridCol w:w="990"/>
        <w:gridCol w:w="989"/>
        <w:gridCol w:w="1134"/>
      </w:tblGrid>
      <w:tr w:rsidR="00882C23">
        <w:trPr>
          <w:trHeight w:val="300"/>
          <w:jc w:val="center"/>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Var/</w:t>
            </w:r>
          </w:p>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tau</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w:t>
            </w:r>
          </w:p>
        </w:tc>
        <w:tc>
          <w:tcPr>
            <w:tcW w:w="479"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0.6</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0.7</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0.8</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0.9</w:t>
            </w:r>
          </w:p>
        </w:tc>
      </w:tr>
      <w:tr w:rsidR="00882C23">
        <w:trPr>
          <w:trHeight w:val="705"/>
          <w:jc w:val="center"/>
        </w:trPr>
        <w:tc>
          <w:tcPr>
            <w:tcW w:w="619" w:type="pct"/>
            <w:tcBorders>
              <w:top w:val="nil"/>
              <w:left w:val="single" w:sz="4" w:space="0" w:color="auto"/>
              <w:bottom w:val="single" w:sz="4" w:space="0" w:color="auto"/>
              <w:right w:val="single" w:sz="4" w:space="0" w:color="auto"/>
            </w:tcBorders>
            <w:shd w:val="clear" w:color="auto" w:fill="auto"/>
            <w:noWrap/>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WTI</w:t>
            </w:r>
          </w:p>
        </w:tc>
        <w:tc>
          <w:tcPr>
            <w:tcW w:w="482"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0.0021</w:t>
            </w:r>
            <w:r>
              <w:rPr>
                <w:rFonts w:ascii="Times New Roman" w:eastAsia="Times New Roman" w:hAnsi="Times New Roman" w:cs="Times New Roman"/>
                <w:color w:val="000000"/>
                <w:sz w:val="24"/>
                <w:szCs w:val="24"/>
                <w:lang w:eastAsia="en-IN"/>
              </w:rPr>
              <w:br/>
              <w:t>(.94)</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0.0057</w:t>
            </w:r>
            <w:r>
              <w:rPr>
                <w:rFonts w:ascii="Times New Roman" w:eastAsia="Times New Roman" w:hAnsi="Times New Roman" w:cs="Times New Roman"/>
                <w:color w:val="000000"/>
                <w:sz w:val="24"/>
                <w:szCs w:val="24"/>
                <w:lang w:eastAsia="en-IN"/>
              </w:rPr>
              <w:br/>
              <w:t>(.74)</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w:t>
            </w:r>
            <w:r>
              <w:rPr>
                <w:rFonts w:ascii="Times New Roman" w:eastAsia="Times New Roman" w:hAnsi="Times New Roman" w:cs="Times New Roman"/>
                <w:color w:val="000000"/>
                <w:sz w:val="24"/>
                <w:szCs w:val="24"/>
                <w:lang w:eastAsia="en-IN"/>
              </w:rPr>
              <w:br/>
              <w:t>(.83)</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.00611</w:t>
            </w:r>
            <w:r>
              <w:rPr>
                <w:rFonts w:ascii="Times New Roman" w:eastAsia="Times New Roman" w:hAnsi="Times New Roman" w:cs="Times New Roman"/>
                <w:color w:val="000000"/>
                <w:sz w:val="24"/>
                <w:szCs w:val="24"/>
                <w:lang w:eastAsia="en-IN"/>
              </w:rPr>
              <w:br/>
              <w:t>(.71)</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0.0066</w:t>
            </w:r>
            <w:r>
              <w:rPr>
                <w:rFonts w:ascii="Times New Roman" w:eastAsia="Times New Roman" w:hAnsi="Times New Roman" w:cs="Times New Roman"/>
                <w:color w:val="000000"/>
                <w:sz w:val="24"/>
                <w:szCs w:val="24"/>
                <w:lang w:eastAsia="en-IN"/>
              </w:rPr>
              <w:br/>
              <w:t>(.71)</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0.0167</w:t>
            </w:r>
            <w:r>
              <w:rPr>
                <w:rFonts w:ascii="Times New Roman" w:eastAsia="Times New Roman" w:hAnsi="Times New Roman" w:cs="Times New Roman"/>
                <w:color w:val="000000"/>
                <w:sz w:val="24"/>
                <w:szCs w:val="24"/>
                <w:lang w:eastAsia="en-IN"/>
              </w:rPr>
              <w:br/>
              <w:t>(.41)</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0.0172</w:t>
            </w:r>
            <w:r>
              <w:rPr>
                <w:rFonts w:ascii="Times New Roman" w:eastAsia="Times New Roman" w:hAnsi="Times New Roman" w:cs="Times New Roman"/>
                <w:color w:val="000000"/>
                <w:sz w:val="24"/>
                <w:szCs w:val="24"/>
                <w:lang w:eastAsia="en-IN"/>
              </w:rPr>
              <w:br/>
              <w:t>(.36)</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0.0179</w:t>
            </w:r>
            <w:r>
              <w:rPr>
                <w:rFonts w:ascii="Times New Roman" w:eastAsia="Times New Roman" w:hAnsi="Times New Roman" w:cs="Times New Roman"/>
                <w:color w:val="000000"/>
                <w:sz w:val="24"/>
                <w:szCs w:val="24"/>
                <w:lang w:eastAsia="en-IN"/>
              </w:rPr>
              <w:br/>
              <w:t>(.36)</w:t>
            </w:r>
          </w:p>
        </w:tc>
        <w:tc>
          <w:tcPr>
            <w:tcW w:w="54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0.0381</w:t>
            </w:r>
            <w:r>
              <w:rPr>
                <w:rFonts w:ascii="Times New Roman" w:eastAsia="Times New Roman" w:hAnsi="Times New Roman" w:cs="Times New Roman"/>
                <w:color w:val="000000"/>
                <w:sz w:val="24"/>
                <w:szCs w:val="24"/>
                <w:lang w:eastAsia="en-IN"/>
              </w:rPr>
              <w:br/>
              <w:t>(.06)</w:t>
            </w:r>
          </w:p>
        </w:tc>
      </w:tr>
      <w:tr w:rsidR="00882C23">
        <w:trPr>
          <w:trHeight w:val="705"/>
          <w:jc w:val="center"/>
        </w:trPr>
        <w:tc>
          <w:tcPr>
            <w:tcW w:w="619" w:type="pct"/>
            <w:tcBorders>
              <w:top w:val="nil"/>
              <w:left w:val="single" w:sz="4" w:space="0" w:color="auto"/>
              <w:bottom w:val="single" w:sz="4" w:space="0" w:color="auto"/>
              <w:right w:val="single" w:sz="4" w:space="0" w:color="auto"/>
            </w:tcBorders>
            <w:shd w:val="clear" w:color="auto" w:fill="auto"/>
            <w:noWrap/>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GOLD</w:t>
            </w:r>
          </w:p>
        </w:tc>
        <w:tc>
          <w:tcPr>
            <w:tcW w:w="482"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0.1010</w:t>
            </w:r>
            <w:r>
              <w:rPr>
                <w:rFonts w:ascii="Times New Roman" w:eastAsia="Times New Roman" w:hAnsi="Times New Roman" w:cs="Times New Roman"/>
                <w:color w:val="000000"/>
                <w:sz w:val="24"/>
                <w:szCs w:val="24"/>
                <w:lang w:eastAsia="en-IN"/>
              </w:rPr>
              <w:br/>
              <w:t>(.16)</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0.0920</w:t>
            </w:r>
            <w:r>
              <w:rPr>
                <w:rFonts w:ascii="Times New Roman" w:eastAsia="Times New Roman" w:hAnsi="Times New Roman" w:cs="Times New Roman"/>
                <w:color w:val="000000"/>
                <w:sz w:val="24"/>
                <w:szCs w:val="24"/>
                <w:lang w:eastAsia="en-IN"/>
              </w:rPr>
              <w:br/>
              <w:t>(.03)</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0.0865</w:t>
            </w:r>
            <w:r>
              <w:rPr>
                <w:rFonts w:ascii="Times New Roman" w:eastAsia="Times New Roman" w:hAnsi="Times New Roman" w:cs="Times New Roman"/>
                <w:color w:val="000000"/>
                <w:sz w:val="24"/>
                <w:szCs w:val="24"/>
                <w:lang w:eastAsia="en-IN"/>
              </w:rPr>
              <w:br/>
              <w:t>(.04)</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0.1047</w:t>
            </w:r>
            <w:r>
              <w:rPr>
                <w:rFonts w:ascii="Times New Roman" w:eastAsia="Times New Roman" w:hAnsi="Times New Roman" w:cs="Times New Roman"/>
                <w:color w:val="000000"/>
                <w:sz w:val="24"/>
                <w:szCs w:val="24"/>
                <w:lang w:eastAsia="en-IN"/>
              </w:rPr>
              <w:br/>
              <w:t>(.03)</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0.0947</w:t>
            </w:r>
            <w:r>
              <w:rPr>
                <w:rFonts w:ascii="Times New Roman" w:eastAsia="Times New Roman" w:hAnsi="Times New Roman" w:cs="Times New Roman"/>
                <w:color w:val="000000"/>
                <w:sz w:val="24"/>
                <w:szCs w:val="24"/>
                <w:lang w:eastAsia="en-IN"/>
              </w:rPr>
              <w:br/>
              <w:t>(.05)</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0.0649</w:t>
            </w:r>
            <w:r>
              <w:rPr>
                <w:rFonts w:ascii="Times New Roman" w:eastAsia="Times New Roman" w:hAnsi="Times New Roman" w:cs="Times New Roman"/>
                <w:color w:val="000000"/>
                <w:sz w:val="24"/>
                <w:szCs w:val="24"/>
                <w:lang w:eastAsia="en-IN"/>
              </w:rPr>
              <w:br/>
              <w:t>(.16)</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0.0678</w:t>
            </w:r>
            <w:r>
              <w:rPr>
                <w:rFonts w:ascii="Times New Roman" w:eastAsia="Times New Roman" w:hAnsi="Times New Roman" w:cs="Times New Roman"/>
                <w:color w:val="000000"/>
                <w:sz w:val="24"/>
                <w:szCs w:val="24"/>
                <w:lang w:eastAsia="en-IN"/>
              </w:rPr>
              <w:br/>
              <w:t>(.15)</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0.1220</w:t>
            </w:r>
            <w:r>
              <w:rPr>
                <w:rFonts w:ascii="Times New Roman" w:eastAsia="Times New Roman" w:hAnsi="Times New Roman" w:cs="Times New Roman"/>
                <w:color w:val="000000"/>
                <w:sz w:val="24"/>
                <w:szCs w:val="24"/>
                <w:lang w:eastAsia="en-IN"/>
              </w:rPr>
              <w:br/>
              <w:t>(0)</w:t>
            </w:r>
          </w:p>
        </w:tc>
        <w:tc>
          <w:tcPr>
            <w:tcW w:w="54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0.1150</w:t>
            </w:r>
            <w:r>
              <w:rPr>
                <w:rFonts w:ascii="Times New Roman" w:eastAsia="Times New Roman" w:hAnsi="Times New Roman" w:cs="Times New Roman"/>
                <w:color w:val="000000"/>
                <w:sz w:val="24"/>
                <w:szCs w:val="24"/>
                <w:lang w:eastAsia="en-IN"/>
              </w:rPr>
              <w:br/>
              <w:t>(.02)</w:t>
            </w:r>
          </w:p>
        </w:tc>
      </w:tr>
      <w:tr w:rsidR="00882C23">
        <w:trPr>
          <w:trHeight w:val="705"/>
          <w:jc w:val="center"/>
        </w:trPr>
        <w:tc>
          <w:tcPr>
            <w:tcW w:w="619" w:type="pct"/>
            <w:tcBorders>
              <w:top w:val="nil"/>
              <w:left w:val="single" w:sz="4" w:space="0" w:color="auto"/>
              <w:bottom w:val="single" w:sz="4" w:space="0" w:color="auto"/>
              <w:right w:val="single" w:sz="4" w:space="0" w:color="auto"/>
            </w:tcBorders>
            <w:shd w:val="clear" w:color="auto" w:fill="auto"/>
            <w:noWrap/>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DOW</w:t>
            </w:r>
          </w:p>
        </w:tc>
        <w:tc>
          <w:tcPr>
            <w:tcW w:w="482"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0.4474</w:t>
            </w:r>
            <w:r>
              <w:rPr>
                <w:rFonts w:ascii="Times New Roman" w:eastAsia="Times New Roman" w:hAnsi="Times New Roman" w:cs="Times New Roman"/>
                <w:color w:val="000000"/>
                <w:sz w:val="24"/>
                <w:szCs w:val="24"/>
                <w:lang w:eastAsia="en-IN"/>
              </w:rPr>
              <w:br/>
              <w:t>(0)</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0.4605</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0.4952</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0.4860</w:t>
            </w:r>
            <w:r>
              <w:rPr>
                <w:rFonts w:ascii="Times New Roman" w:eastAsia="Times New Roman" w:hAnsi="Times New Roman" w:cs="Times New Roman"/>
                <w:color w:val="000000"/>
                <w:sz w:val="24"/>
                <w:szCs w:val="24"/>
                <w:lang w:eastAsia="en-IN"/>
              </w:rPr>
              <w:br/>
              <w:t>(0)</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0.4889</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0.4696</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0.4950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0.5084</w:t>
            </w:r>
            <w:r>
              <w:rPr>
                <w:rFonts w:ascii="Times New Roman" w:eastAsia="Times New Roman" w:hAnsi="Times New Roman" w:cs="Times New Roman"/>
                <w:color w:val="000000"/>
                <w:sz w:val="24"/>
                <w:szCs w:val="24"/>
                <w:lang w:eastAsia="en-IN"/>
              </w:rPr>
              <w:br/>
              <w:t>(0)</w:t>
            </w:r>
          </w:p>
        </w:tc>
        <w:tc>
          <w:tcPr>
            <w:tcW w:w="54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0.5044</w:t>
            </w:r>
            <w:r>
              <w:rPr>
                <w:rFonts w:ascii="Times New Roman" w:eastAsia="Times New Roman" w:hAnsi="Times New Roman" w:cs="Times New Roman"/>
                <w:color w:val="000000"/>
                <w:sz w:val="24"/>
                <w:szCs w:val="24"/>
                <w:lang w:eastAsia="en-IN"/>
              </w:rPr>
              <w:br/>
              <w:t>(0)</w:t>
            </w:r>
          </w:p>
        </w:tc>
      </w:tr>
      <w:tr w:rsidR="00882C23">
        <w:trPr>
          <w:trHeight w:val="705"/>
          <w:jc w:val="center"/>
        </w:trPr>
        <w:tc>
          <w:tcPr>
            <w:tcW w:w="619" w:type="pct"/>
            <w:tcBorders>
              <w:top w:val="nil"/>
              <w:left w:val="single" w:sz="4" w:space="0" w:color="auto"/>
              <w:bottom w:val="single" w:sz="4" w:space="0" w:color="auto"/>
              <w:right w:val="single" w:sz="4" w:space="0" w:color="auto"/>
            </w:tcBorders>
            <w:shd w:val="clear" w:color="auto" w:fill="auto"/>
            <w:noWrap/>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DINDEX</w:t>
            </w:r>
          </w:p>
        </w:tc>
        <w:tc>
          <w:tcPr>
            <w:tcW w:w="482"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(-)0.277</w:t>
            </w:r>
            <w:r>
              <w:rPr>
                <w:rFonts w:ascii="Times New Roman" w:eastAsia="Times New Roman" w:hAnsi="Times New Roman" w:cs="Times New Roman"/>
                <w:color w:val="000000"/>
                <w:sz w:val="24"/>
                <w:szCs w:val="24"/>
                <w:lang w:eastAsia="en-IN"/>
              </w:rPr>
              <w:br/>
            </w:r>
            <w:proofErr w:type="gramStart"/>
            <w:r>
              <w:rPr>
                <w:rFonts w:ascii="Times New Roman" w:eastAsia="Times New Roman" w:hAnsi="Times New Roman" w:cs="Times New Roman"/>
                <w:color w:val="000000"/>
                <w:sz w:val="24"/>
                <w:szCs w:val="24"/>
                <w:lang w:eastAsia="en-IN"/>
              </w:rPr>
              <w:t xml:space="preserve">   (</w:t>
            </w:r>
            <w:proofErr w:type="gramEnd"/>
            <w:r>
              <w:rPr>
                <w:rFonts w:ascii="Times New Roman" w:eastAsia="Times New Roman" w:hAnsi="Times New Roman" w:cs="Times New Roman"/>
                <w:color w:val="000000"/>
                <w:sz w:val="24"/>
                <w:szCs w:val="24"/>
                <w:lang w:eastAsia="en-IN"/>
              </w:rPr>
              <w:t>.08)</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(-)0.247</w:t>
            </w:r>
            <w:r>
              <w:rPr>
                <w:rFonts w:ascii="Times New Roman" w:eastAsia="Times New Roman" w:hAnsi="Times New Roman" w:cs="Times New Roman"/>
                <w:color w:val="000000"/>
                <w:sz w:val="24"/>
                <w:szCs w:val="24"/>
                <w:lang w:eastAsia="en-IN"/>
              </w:rPr>
              <w:br/>
              <w:t>(.02)</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(-)0.316</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(-)0.213</w:t>
            </w:r>
            <w:r>
              <w:rPr>
                <w:rFonts w:ascii="Times New Roman" w:eastAsia="Times New Roman" w:hAnsi="Times New Roman" w:cs="Times New Roman"/>
                <w:color w:val="000000"/>
                <w:sz w:val="24"/>
                <w:szCs w:val="24"/>
                <w:lang w:eastAsia="en-IN"/>
              </w:rPr>
              <w:br/>
              <w:t>(.03)</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(-)0.153</w:t>
            </w:r>
            <w:r>
              <w:rPr>
                <w:rFonts w:ascii="Times New Roman" w:eastAsia="Times New Roman" w:hAnsi="Times New Roman" w:cs="Times New Roman"/>
                <w:color w:val="000000"/>
                <w:sz w:val="24"/>
                <w:szCs w:val="24"/>
                <w:lang w:eastAsia="en-IN"/>
              </w:rPr>
              <w:br/>
              <w:t>(.10)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(-)0.150</w:t>
            </w:r>
            <w:r>
              <w:rPr>
                <w:rFonts w:ascii="Times New Roman" w:eastAsia="Times New Roman" w:hAnsi="Times New Roman" w:cs="Times New Roman"/>
                <w:color w:val="000000"/>
                <w:sz w:val="24"/>
                <w:szCs w:val="24"/>
                <w:lang w:eastAsia="en-IN"/>
              </w:rPr>
              <w:br/>
              <w:t>(.09)</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(-)0.098</w:t>
            </w:r>
            <w:r>
              <w:rPr>
                <w:rFonts w:ascii="Times New Roman" w:eastAsia="Times New Roman" w:hAnsi="Times New Roman" w:cs="Times New Roman"/>
                <w:color w:val="000000"/>
                <w:sz w:val="24"/>
                <w:szCs w:val="24"/>
                <w:lang w:eastAsia="en-IN"/>
              </w:rPr>
              <w:br/>
              <w:t>(.25)</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(-)0.143</w:t>
            </w:r>
            <w:r>
              <w:rPr>
                <w:rFonts w:ascii="Times New Roman" w:eastAsia="Times New Roman" w:hAnsi="Times New Roman" w:cs="Times New Roman"/>
                <w:color w:val="000000"/>
                <w:sz w:val="24"/>
                <w:szCs w:val="24"/>
                <w:lang w:eastAsia="en-IN"/>
              </w:rPr>
              <w:br/>
              <w:t>(.08)</w:t>
            </w:r>
          </w:p>
        </w:tc>
        <w:tc>
          <w:tcPr>
            <w:tcW w:w="54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(-)0.300</w:t>
            </w:r>
            <w:r>
              <w:rPr>
                <w:rFonts w:ascii="Times New Roman" w:eastAsia="Times New Roman" w:hAnsi="Times New Roman" w:cs="Times New Roman"/>
                <w:color w:val="000000"/>
                <w:sz w:val="24"/>
                <w:szCs w:val="24"/>
                <w:lang w:eastAsia="en-IN"/>
              </w:rPr>
              <w:br/>
              <w:t>(0)</w:t>
            </w:r>
          </w:p>
        </w:tc>
      </w:tr>
      <w:tr w:rsidR="00882C23">
        <w:trPr>
          <w:trHeight w:val="705"/>
          <w:jc w:val="center"/>
        </w:trPr>
        <w:tc>
          <w:tcPr>
            <w:tcW w:w="619" w:type="pct"/>
            <w:tcBorders>
              <w:top w:val="nil"/>
              <w:left w:val="single" w:sz="4" w:space="0" w:color="auto"/>
              <w:bottom w:val="single" w:sz="4" w:space="0" w:color="auto"/>
              <w:right w:val="single" w:sz="4" w:space="0" w:color="auto"/>
            </w:tcBorders>
            <w:shd w:val="clear" w:color="auto" w:fill="auto"/>
            <w:noWrap/>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BONDYIELD</w:t>
            </w:r>
          </w:p>
        </w:tc>
        <w:tc>
          <w:tcPr>
            <w:tcW w:w="482"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0.02043</w:t>
            </w:r>
            <w:r>
              <w:rPr>
                <w:rFonts w:ascii="Times New Roman" w:eastAsia="Times New Roman" w:hAnsi="Times New Roman" w:cs="Times New Roman"/>
                <w:color w:val="000000"/>
                <w:sz w:val="24"/>
                <w:szCs w:val="24"/>
                <w:lang w:eastAsia="en-IN"/>
              </w:rPr>
              <w:br/>
              <w:t>(.30)</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0.0490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0.0423</w:t>
            </w:r>
            <w:r>
              <w:rPr>
                <w:rFonts w:ascii="Times New Roman" w:eastAsia="Times New Roman" w:hAnsi="Times New Roman" w:cs="Times New Roman"/>
                <w:color w:val="000000"/>
                <w:sz w:val="24"/>
                <w:szCs w:val="24"/>
                <w:lang w:eastAsia="en-IN"/>
              </w:rPr>
              <w:br/>
              <w:t>(.07)</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0.0290</w:t>
            </w:r>
            <w:r>
              <w:rPr>
                <w:rFonts w:ascii="Times New Roman" w:eastAsia="Times New Roman" w:hAnsi="Times New Roman" w:cs="Times New Roman"/>
                <w:color w:val="000000"/>
                <w:sz w:val="24"/>
                <w:szCs w:val="24"/>
                <w:lang w:eastAsia="en-IN"/>
              </w:rPr>
              <w:br/>
              <w:t>(.18)</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0.0360</w:t>
            </w:r>
            <w:r>
              <w:rPr>
                <w:rFonts w:ascii="Times New Roman" w:eastAsia="Times New Roman" w:hAnsi="Times New Roman" w:cs="Times New Roman"/>
                <w:color w:val="000000"/>
                <w:sz w:val="24"/>
                <w:szCs w:val="24"/>
                <w:lang w:eastAsia="en-IN"/>
              </w:rPr>
              <w:br/>
              <w:t>(.07)</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0.0447</w:t>
            </w:r>
            <w:r>
              <w:rPr>
                <w:rFonts w:ascii="Times New Roman" w:eastAsia="Times New Roman" w:hAnsi="Times New Roman" w:cs="Times New Roman"/>
                <w:color w:val="000000"/>
                <w:sz w:val="24"/>
                <w:szCs w:val="24"/>
                <w:lang w:eastAsia="en-IN"/>
              </w:rPr>
              <w:br/>
              <w:t>(.01)</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0.0327</w:t>
            </w:r>
            <w:r>
              <w:rPr>
                <w:rFonts w:ascii="Times New Roman" w:eastAsia="Times New Roman" w:hAnsi="Times New Roman" w:cs="Times New Roman"/>
                <w:color w:val="000000"/>
                <w:sz w:val="24"/>
                <w:szCs w:val="24"/>
                <w:lang w:eastAsia="en-IN"/>
              </w:rPr>
              <w:br/>
              <w:t>(.04)</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0.0458</w:t>
            </w:r>
            <w:r>
              <w:rPr>
                <w:rFonts w:ascii="Times New Roman" w:eastAsia="Times New Roman" w:hAnsi="Times New Roman" w:cs="Times New Roman"/>
                <w:color w:val="000000"/>
                <w:sz w:val="24"/>
                <w:szCs w:val="24"/>
                <w:lang w:eastAsia="en-IN"/>
              </w:rPr>
              <w:br/>
              <w:t>(.02)</w:t>
            </w:r>
          </w:p>
        </w:tc>
        <w:tc>
          <w:tcPr>
            <w:tcW w:w="54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0.0755</w:t>
            </w:r>
            <w:r>
              <w:rPr>
                <w:rFonts w:ascii="Times New Roman" w:eastAsia="Times New Roman" w:hAnsi="Times New Roman" w:cs="Times New Roman"/>
                <w:color w:val="000000"/>
                <w:sz w:val="24"/>
                <w:szCs w:val="24"/>
                <w:lang w:eastAsia="en-IN"/>
              </w:rPr>
              <w:br/>
              <w:t>(0)</w:t>
            </w:r>
          </w:p>
        </w:tc>
      </w:tr>
      <w:tr w:rsidR="00882C23">
        <w:trPr>
          <w:trHeight w:val="705"/>
          <w:jc w:val="center"/>
        </w:trPr>
        <w:tc>
          <w:tcPr>
            <w:tcW w:w="619" w:type="pct"/>
            <w:tcBorders>
              <w:top w:val="nil"/>
              <w:left w:val="single" w:sz="4" w:space="0" w:color="auto"/>
              <w:bottom w:val="single" w:sz="4" w:space="0" w:color="auto"/>
              <w:right w:val="single" w:sz="4" w:space="0" w:color="auto"/>
            </w:tcBorders>
            <w:shd w:val="clear" w:color="auto" w:fill="auto"/>
            <w:noWrap/>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w:t>
            </w:r>
          </w:p>
        </w:tc>
        <w:tc>
          <w:tcPr>
            <w:tcW w:w="482"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(-).0306</w:t>
            </w:r>
            <w:r>
              <w:rPr>
                <w:rFonts w:ascii="Times New Roman" w:eastAsia="Times New Roman" w:hAnsi="Times New Roman" w:cs="Times New Roman"/>
                <w:color w:val="000000"/>
                <w:sz w:val="24"/>
                <w:szCs w:val="24"/>
                <w:lang w:eastAsia="en-IN"/>
              </w:rPr>
              <w:br/>
              <w:t xml:space="preserve"> </w:t>
            </w:r>
            <w:proofErr w:type="gramStart"/>
            <w:r>
              <w:rPr>
                <w:rFonts w:ascii="Times New Roman" w:eastAsia="Times New Roman" w:hAnsi="Times New Roman" w:cs="Times New Roman"/>
                <w:color w:val="000000"/>
                <w:sz w:val="24"/>
                <w:szCs w:val="24"/>
                <w:lang w:eastAsia="en-IN"/>
              </w:rPr>
              <w:t xml:space="preserve">   (</w:t>
            </w:r>
            <w:proofErr w:type="gramEnd"/>
            <w:r>
              <w:rPr>
                <w:rFonts w:ascii="Times New Roman" w:eastAsia="Times New Roman" w:hAnsi="Times New Roman" w:cs="Times New Roman"/>
                <w:color w:val="000000"/>
                <w:sz w:val="24"/>
                <w:szCs w:val="24"/>
                <w:lang w:eastAsia="en-IN"/>
              </w:rPr>
              <w:t>0)</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(-)0.017</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(-)0.009</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(-)0.003</w:t>
            </w:r>
            <w:r>
              <w:rPr>
                <w:rFonts w:ascii="Times New Roman" w:eastAsia="Times New Roman" w:hAnsi="Times New Roman" w:cs="Times New Roman"/>
                <w:color w:val="000000"/>
                <w:sz w:val="24"/>
                <w:szCs w:val="24"/>
                <w:lang w:eastAsia="en-IN"/>
              </w:rPr>
              <w:br/>
              <w:t>(0)</w:t>
            </w:r>
          </w:p>
        </w:tc>
        <w:tc>
          <w:tcPr>
            <w:tcW w:w="479"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0.0020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0.0080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0.0140</w:t>
            </w:r>
            <w:r>
              <w:rPr>
                <w:rFonts w:ascii="Times New Roman" w:eastAsia="Times New Roman" w:hAnsi="Times New Roman" w:cs="Times New Roman"/>
                <w:color w:val="000000"/>
                <w:sz w:val="24"/>
                <w:szCs w:val="24"/>
                <w:lang w:eastAsia="en-IN"/>
              </w:rPr>
              <w:br/>
              <w:t>(0)</w:t>
            </w:r>
          </w:p>
        </w:tc>
        <w:tc>
          <w:tcPr>
            <w:tcW w:w="47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0.0212</w:t>
            </w:r>
            <w:r>
              <w:rPr>
                <w:rFonts w:ascii="Times New Roman" w:eastAsia="Times New Roman" w:hAnsi="Times New Roman" w:cs="Times New Roman"/>
                <w:color w:val="000000"/>
                <w:sz w:val="24"/>
                <w:szCs w:val="24"/>
                <w:lang w:eastAsia="en-IN"/>
              </w:rPr>
              <w:br/>
              <w:t>(0)</w:t>
            </w:r>
          </w:p>
        </w:tc>
        <w:tc>
          <w:tcPr>
            <w:tcW w:w="548" w:type="pct"/>
            <w:tcBorders>
              <w:top w:val="nil"/>
              <w:left w:val="nil"/>
              <w:bottom w:val="single" w:sz="4" w:space="0" w:color="auto"/>
              <w:right w:val="single" w:sz="4" w:space="0" w:color="auto"/>
            </w:tcBorders>
            <w:shd w:val="clear" w:color="auto" w:fill="auto"/>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0.0313</w:t>
            </w:r>
            <w:r>
              <w:rPr>
                <w:rFonts w:ascii="Times New Roman" w:eastAsia="Times New Roman" w:hAnsi="Times New Roman" w:cs="Times New Roman"/>
                <w:color w:val="000000"/>
                <w:sz w:val="24"/>
                <w:szCs w:val="24"/>
                <w:lang w:eastAsia="en-IN"/>
              </w:rPr>
              <w:br/>
              <w:t>(0)</w:t>
            </w:r>
          </w:p>
        </w:tc>
      </w:tr>
      <w:tr w:rsidR="00882C23">
        <w:trPr>
          <w:trHeight w:val="600"/>
          <w:jc w:val="center"/>
        </w:trPr>
        <w:tc>
          <w:tcPr>
            <w:tcW w:w="619" w:type="pct"/>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Pseudo R-squared</w:t>
            </w:r>
          </w:p>
        </w:tc>
        <w:tc>
          <w:tcPr>
            <w:tcW w:w="482"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0.0975</w:t>
            </w:r>
          </w:p>
        </w:tc>
        <w:tc>
          <w:tcPr>
            <w:tcW w:w="479" w:type="pct"/>
            <w:tcBorders>
              <w:top w:val="nil"/>
              <w:left w:val="nil"/>
              <w:bottom w:val="single" w:sz="4" w:space="0" w:color="auto"/>
              <w:right w:val="single" w:sz="4" w:space="0" w:color="auto"/>
            </w:tcBorders>
            <w:shd w:val="clear" w:color="auto" w:fill="auto"/>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0.10427</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0.10646</w:t>
            </w:r>
          </w:p>
        </w:tc>
        <w:tc>
          <w:tcPr>
            <w:tcW w:w="478" w:type="pct"/>
            <w:tcBorders>
              <w:top w:val="nil"/>
              <w:left w:val="nil"/>
              <w:bottom w:val="single" w:sz="4" w:space="0" w:color="auto"/>
              <w:right w:val="single" w:sz="4" w:space="0" w:color="auto"/>
            </w:tcBorders>
            <w:shd w:val="clear" w:color="auto" w:fill="auto"/>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0.10167</w:t>
            </w:r>
          </w:p>
        </w:tc>
        <w:tc>
          <w:tcPr>
            <w:tcW w:w="479" w:type="pct"/>
            <w:tcBorders>
              <w:top w:val="nil"/>
              <w:left w:val="nil"/>
              <w:bottom w:val="single" w:sz="4" w:space="0" w:color="auto"/>
              <w:right w:val="single" w:sz="4" w:space="0" w:color="auto"/>
            </w:tcBorders>
            <w:shd w:val="clear" w:color="auto" w:fill="auto"/>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0.09610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0.09083</w:t>
            </w:r>
          </w:p>
        </w:tc>
        <w:tc>
          <w:tcPr>
            <w:tcW w:w="478" w:type="pct"/>
            <w:tcBorders>
              <w:top w:val="nil"/>
              <w:left w:val="nil"/>
              <w:bottom w:val="single" w:sz="4" w:space="0" w:color="auto"/>
              <w:right w:val="single" w:sz="4" w:space="0" w:color="auto"/>
            </w:tcBorders>
            <w:shd w:val="clear" w:color="auto" w:fill="auto"/>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0.09047</w:t>
            </w:r>
          </w:p>
        </w:tc>
        <w:tc>
          <w:tcPr>
            <w:tcW w:w="478" w:type="pct"/>
            <w:tcBorders>
              <w:top w:val="nil"/>
              <w:left w:val="nil"/>
              <w:bottom w:val="single" w:sz="4" w:space="0" w:color="auto"/>
              <w:right w:val="single" w:sz="4" w:space="0" w:color="auto"/>
            </w:tcBorders>
            <w:shd w:val="clear" w:color="auto" w:fill="auto"/>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0.09817</w:t>
            </w:r>
          </w:p>
        </w:tc>
        <w:tc>
          <w:tcPr>
            <w:tcW w:w="548" w:type="pct"/>
            <w:tcBorders>
              <w:top w:val="nil"/>
              <w:left w:val="nil"/>
              <w:bottom w:val="single" w:sz="4" w:space="0" w:color="auto"/>
              <w:right w:val="single" w:sz="4" w:space="0" w:color="auto"/>
            </w:tcBorders>
            <w:shd w:val="clear" w:color="auto" w:fill="auto"/>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0.108320</w:t>
            </w:r>
          </w:p>
        </w:tc>
      </w:tr>
      <w:tr w:rsidR="00882C23">
        <w:trPr>
          <w:trHeight w:val="300"/>
          <w:jc w:val="center"/>
        </w:trPr>
        <w:tc>
          <w:tcPr>
            <w:tcW w:w="619" w:type="pct"/>
            <w:tcBorders>
              <w:top w:val="nil"/>
              <w:left w:val="single" w:sz="4" w:space="0" w:color="auto"/>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Prob(</w:t>
            </w:r>
            <w:proofErr w:type="gramEnd"/>
            <w:r>
              <w:rPr>
                <w:rFonts w:ascii="Times New Roman" w:eastAsia="Times New Roman" w:hAnsi="Times New Roman" w:cs="Times New Roman"/>
                <w:color w:val="000000"/>
                <w:sz w:val="24"/>
                <w:szCs w:val="24"/>
                <w:lang w:eastAsia="en-IN"/>
              </w:rPr>
              <w:t>Quasi-LR stat)</w:t>
            </w:r>
          </w:p>
        </w:tc>
        <w:tc>
          <w:tcPr>
            <w:tcW w:w="482"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9"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9"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478"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c>
          <w:tcPr>
            <w:tcW w:w="548" w:type="pct"/>
            <w:tcBorders>
              <w:top w:val="nil"/>
              <w:left w:val="nil"/>
              <w:bottom w:val="single" w:sz="4" w:space="0" w:color="auto"/>
              <w:right w:val="single" w:sz="4" w:space="0" w:color="auto"/>
            </w:tcBorders>
            <w:shd w:val="clear" w:color="auto" w:fill="auto"/>
            <w:noWrap/>
            <w:vAlign w:val="bottom"/>
            <w:hideMark/>
          </w:tcPr>
          <w:p w:rsidR="00882C23" w:rsidRDefault="00AA7FBB">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w:t>
            </w:r>
          </w:p>
        </w:tc>
      </w:tr>
    </w:tbl>
    <w:p w:rsidR="00882C23" w:rsidRDefault="00882C23">
      <w:pPr>
        <w:spacing w:line="360" w:lineRule="auto"/>
        <w:jc w:val="both"/>
        <w:rPr>
          <w:rFonts w:ascii="Times New Roman" w:hAnsi="Times New Roman" w:cs="Times New Roman"/>
          <w:sz w:val="24"/>
          <w:szCs w:val="24"/>
        </w:rPr>
      </w:pP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 value of corresponding coefficient are in bracket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From Table 4, the WTI crude have no significant impact on nifty throughout all the quintiles as the p value are more than .05. In case of gold it is not significant at .1, .6 and .7 but it has significant impact on nifty in all others quantiles. Interestin</w:t>
      </w:r>
      <w:r>
        <w:rPr>
          <w:rFonts w:ascii="Times New Roman" w:hAnsi="Times New Roman" w:cs="Times New Roman"/>
          <w:sz w:val="24"/>
          <w:szCs w:val="24"/>
        </w:rPr>
        <w:t xml:space="preserve">gly the US market has significant impact on Indian stock market as the Dow has significant impact on nifty across all quantiles because the p value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less than .05 across all quantiles. The dollar index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significant impact at .2, .3, .4 and .9 quanti</w:t>
      </w:r>
      <w:r>
        <w:rPr>
          <w:rFonts w:ascii="Times New Roman" w:hAnsi="Times New Roman" w:cs="Times New Roman"/>
          <w:sz w:val="24"/>
          <w:szCs w:val="24"/>
        </w:rPr>
        <w:t xml:space="preserve">les. Apart form .3, .4 and .5 quantile the US </w:t>
      </w:r>
      <w:proofErr w:type="gramStart"/>
      <w:r>
        <w:rPr>
          <w:rFonts w:ascii="Times New Roman" w:hAnsi="Times New Roman" w:cs="Times New Roman"/>
          <w:sz w:val="24"/>
          <w:szCs w:val="24"/>
        </w:rPr>
        <w:t>10 year</w:t>
      </w:r>
      <w:proofErr w:type="gramEnd"/>
      <w:r>
        <w:rPr>
          <w:rFonts w:ascii="Times New Roman" w:hAnsi="Times New Roman" w:cs="Times New Roman"/>
          <w:sz w:val="24"/>
          <w:szCs w:val="24"/>
        </w:rPr>
        <w:t xml:space="preserve"> bond yield have significant impact on nifty. The quasi LR statistics p values are less than .05 so it is assumed that the model is stable. The median, or.5 quantile regression equation, will be as follo</w:t>
      </w:r>
      <w:r>
        <w:rPr>
          <w:rFonts w:ascii="Times New Roman" w:hAnsi="Times New Roman" w:cs="Times New Roman"/>
          <w:sz w:val="24"/>
          <w:szCs w:val="24"/>
        </w:rPr>
        <w:t>ws: Nifty50 (.5q) = .0020+.0066*WTI+.0360*Bond yield+(-.</w:t>
      </w:r>
      <w:proofErr w:type="gramStart"/>
      <w:r>
        <w:rPr>
          <w:rFonts w:ascii="Times New Roman" w:hAnsi="Times New Roman" w:cs="Times New Roman"/>
          <w:sz w:val="24"/>
          <w:szCs w:val="24"/>
        </w:rPr>
        <w:t>153)*</w:t>
      </w:r>
      <w:proofErr w:type="gramEnd"/>
      <w:r>
        <w:rPr>
          <w:rFonts w:ascii="Times New Roman" w:hAnsi="Times New Roman" w:cs="Times New Roman"/>
          <w:sz w:val="24"/>
          <w:szCs w:val="24"/>
        </w:rPr>
        <w:t xml:space="preserve">Dollar index+.4889*Dowjones+.0947*Gold (US Dollar). At the middle level of Nifty (50 % of the distribution) 1 percent change in WTI is associated with .66 percentage increase in nifty, similarly </w:t>
      </w:r>
      <w:r>
        <w:rPr>
          <w:rFonts w:ascii="Times New Roman" w:hAnsi="Times New Roman" w:cs="Times New Roman"/>
          <w:sz w:val="24"/>
          <w:szCs w:val="24"/>
        </w:rPr>
        <w:t>1 percentage change in bond yield creates .36 percentage change in nifty, but increase of dollar index 1 percentage changes having negatively impact nifty .153 percentage. 1 percentage change in Dow and gold creates.48 percentage and .094 percentage in nif</w:t>
      </w:r>
      <w:r>
        <w:rPr>
          <w:rFonts w:ascii="Times New Roman" w:hAnsi="Times New Roman" w:cs="Times New Roman"/>
          <w:sz w:val="24"/>
          <w:szCs w:val="24"/>
        </w:rPr>
        <w:t>ty respectively.</w:t>
      </w:r>
    </w:p>
    <w:p w:rsidR="00087ADC" w:rsidRDefault="00087ADC">
      <w:pPr>
        <w:spacing w:line="360" w:lineRule="auto"/>
        <w:jc w:val="both"/>
        <w:rPr>
          <w:rFonts w:ascii="Times New Roman" w:hAnsi="Times New Roman" w:cs="Times New Roman"/>
          <w:sz w:val="24"/>
          <w:szCs w:val="24"/>
        </w:rPr>
      </w:pPr>
    </w:p>
    <w:p w:rsidR="00087ADC" w:rsidRDefault="00087ADC">
      <w:pPr>
        <w:spacing w:line="360" w:lineRule="auto"/>
        <w:jc w:val="both"/>
        <w:rPr>
          <w:rFonts w:ascii="Times New Roman" w:hAnsi="Times New Roman" w:cs="Times New Roman"/>
          <w:sz w:val="24"/>
          <w:szCs w:val="24"/>
        </w:rPr>
      </w:pPr>
    </w:p>
    <w:p w:rsidR="00087ADC" w:rsidRDefault="00087ADC">
      <w:pPr>
        <w:spacing w:line="360" w:lineRule="auto"/>
        <w:jc w:val="both"/>
        <w:rPr>
          <w:rFonts w:ascii="Times New Roman" w:hAnsi="Times New Roman" w:cs="Times New Roman"/>
          <w:sz w:val="24"/>
          <w:szCs w:val="24"/>
        </w:rPr>
      </w:pPr>
    </w:p>
    <w:p w:rsidR="00087ADC" w:rsidRDefault="00087ADC">
      <w:pPr>
        <w:spacing w:line="360" w:lineRule="auto"/>
        <w:jc w:val="both"/>
        <w:rPr>
          <w:rFonts w:ascii="Times New Roman" w:hAnsi="Times New Roman" w:cs="Times New Roman"/>
          <w:sz w:val="24"/>
          <w:szCs w:val="24"/>
        </w:rPr>
      </w:pPr>
    </w:p>
    <w:p w:rsidR="00087ADC" w:rsidRDefault="00087ADC">
      <w:pPr>
        <w:spacing w:line="360" w:lineRule="auto"/>
        <w:jc w:val="both"/>
        <w:rPr>
          <w:rFonts w:ascii="Times New Roman" w:hAnsi="Times New Roman" w:cs="Times New Roman"/>
          <w:sz w:val="24"/>
          <w:szCs w:val="24"/>
        </w:rPr>
      </w:pPr>
      <w:bookmarkStart w:id="0" w:name="_GoBack"/>
      <w:bookmarkEnd w:id="0"/>
    </w:p>
    <w:p w:rsidR="00882C23" w:rsidRDefault="00882C23">
      <w:pPr>
        <w:spacing w:line="360" w:lineRule="auto"/>
        <w:jc w:val="both"/>
        <w:rPr>
          <w:rFonts w:ascii="Times New Roman" w:hAnsi="Times New Roman" w:cs="Times New Roman"/>
          <w:sz w:val="24"/>
          <w:szCs w:val="24"/>
        </w:rPr>
      </w:pPr>
    </w:p>
    <w:p w:rsidR="00882C23" w:rsidRDefault="00AA7FB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Figure 4: Graphical presentation of coefficient of independent variable across the quantiles</w:t>
      </w: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object w:dxaOrig="1440" w:dyaOrig="1440">
          <v:shape id="_x0000_s1030" type="#_x0000_t75" style="position:absolute;left:0;text-align:left;margin-left:-26.8pt;margin-top:9.3pt;width:504.75pt;height:292.55pt;z-index:251663360;mso-wrap-style:tight" filled="t" stroked="t">
            <v:imagedata r:id="rId12" o:title=""/>
          </v:shape>
          <o:OLEObject Type="Embed" ProgID="EViews.Workfile.2" ShapeID="_x0000_s1030" DrawAspect="Content" ObjectID="_1814182217" r:id="rId13"/>
        </w:object>
      </w: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882C23">
      <w:pPr>
        <w:spacing w:line="360" w:lineRule="auto"/>
        <w:jc w:val="both"/>
        <w:rPr>
          <w:rFonts w:ascii="Times New Roman" w:hAnsi="Times New Roman" w:cs="Times New Roman"/>
          <w:sz w:val="24"/>
          <w:szCs w:val="24"/>
        </w:rPr>
      </w:pPr>
    </w:p>
    <w:p w:rsidR="00882C23" w:rsidRDefault="00AA7FBB">
      <w:pPr>
        <w:spacing w:line="360" w:lineRule="auto"/>
        <w:jc w:val="both"/>
        <w:rPr>
          <w:rFonts w:ascii="Times New Roman" w:hAnsi="Times New Roman" w:cs="Times New Roman"/>
          <w:sz w:val="24"/>
          <w:szCs w:val="24"/>
        </w:rPr>
      </w:pPr>
      <w:r>
        <w:rPr>
          <w:rFonts w:ascii="Times New Roman" w:hAnsi="Times New Roman" w:cs="Times New Roman"/>
          <w:sz w:val="24"/>
          <w:szCs w:val="24"/>
        </w:rPr>
        <w:t>From figure 4 it is found that the coefficient of different independent variable across different quantile varies.</w:t>
      </w:r>
    </w:p>
    <w:p w:rsidR="00882C23" w:rsidRDefault="00AA7FBB">
      <w:pPr>
        <w:spacing w:line="360" w:lineRule="auto"/>
        <w:jc w:val="both"/>
        <w:rPr>
          <w:rFonts w:ascii="Times New Roman" w:hAnsi="Times New Roman" w:cs="Times New Roman"/>
          <w:b/>
          <w:sz w:val="24"/>
          <w:szCs w:val="24"/>
        </w:rPr>
      </w:pPr>
      <w:r>
        <w:rPr>
          <w:rFonts w:ascii="Times New Roman" w:hAnsi="Times New Roman" w:cs="Times New Roman"/>
          <w:b/>
          <w:sz w:val="24"/>
          <w:szCs w:val="24"/>
        </w:rPr>
        <w:t>5. Conclusion:</w:t>
      </w:r>
    </w:p>
    <w:p w:rsidR="00882C23" w:rsidRDefault="00AA7FB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study's findings provide crucial insights into how key global and domestic issues affect the Nifty 50 index. The work uses quantile regression to provide a robust analysis that accounts for heteroscedasticity and non-normality in the dataset. The findi</w:t>
      </w:r>
      <w:r>
        <w:rPr>
          <w:rFonts w:ascii="Times New Roman" w:eastAsiaTheme="minorEastAsia" w:hAnsi="Times New Roman" w:cs="Times New Roman"/>
          <w:sz w:val="24"/>
          <w:szCs w:val="24"/>
        </w:rPr>
        <w:t xml:space="preserve">ngs show that the Dow Jones has a consistent and significant influence across all quantiles, illustrating the interdependence of the Indian and US stock markets. Similarly, gold prices have a considerable impact on the Nifty across most quantiles, proving </w:t>
      </w:r>
      <w:r>
        <w:rPr>
          <w:rFonts w:ascii="Times New Roman" w:eastAsiaTheme="minorEastAsia" w:hAnsi="Times New Roman" w:cs="Times New Roman"/>
          <w:sz w:val="24"/>
          <w:szCs w:val="24"/>
        </w:rPr>
        <w:t>its importance as a safe-haven asset in times of market instability. The impact of the US 10-year bond yield and the Dollar Index varies by quantile, with the bond yield positively influencing the Nifty in multiple quantiles while the Dollar Index has a ne</w:t>
      </w:r>
      <w:r>
        <w:rPr>
          <w:rFonts w:ascii="Times New Roman" w:eastAsiaTheme="minorEastAsia" w:hAnsi="Times New Roman" w:cs="Times New Roman"/>
          <w:sz w:val="24"/>
          <w:szCs w:val="24"/>
        </w:rPr>
        <w:t>gative association at higher quantiles. Interestingly, WTI crude oil had no significant influence, implying that oil price swings did not directly impact the Indian stock market during the study period. These findings emphasise the role of global market dy</w:t>
      </w:r>
      <w:r>
        <w:rPr>
          <w:rFonts w:ascii="Times New Roman" w:eastAsiaTheme="minorEastAsia" w:hAnsi="Times New Roman" w:cs="Times New Roman"/>
          <w:sz w:val="24"/>
          <w:szCs w:val="24"/>
        </w:rPr>
        <w:t xml:space="preserve">namics in determining the Indian stock market. Understanding these links can help policymakers develop mitigation </w:t>
      </w:r>
      <w:r>
        <w:rPr>
          <w:rFonts w:ascii="Times New Roman" w:eastAsiaTheme="minorEastAsia" w:hAnsi="Times New Roman" w:cs="Times New Roman"/>
          <w:sz w:val="24"/>
          <w:szCs w:val="24"/>
        </w:rPr>
        <w:lastRenderedPageBreak/>
        <w:t>methods for exogenous shocks. This research provides investors with useful insights into the key drivers of the Nifty, allowing them to make m</w:t>
      </w:r>
      <w:r>
        <w:rPr>
          <w:rFonts w:ascii="Times New Roman" w:eastAsiaTheme="minorEastAsia" w:hAnsi="Times New Roman" w:cs="Times New Roman"/>
          <w:sz w:val="24"/>
          <w:szCs w:val="24"/>
        </w:rPr>
        <w:t>ore informed investment decisions. Future research could expand this approach to include more factors and investigate dynamic relationships during times of increased global economic instability.</w:t>
      </w:r>
    </w:p>
    <w:p w:rsidR="00882C23" w:rsidRDefault="00AA7FBB">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References:</w:t>
      </w:r>
    </w:p>
    <w:p w:rsidR="00882C23" w:rsidRDefault="00AA7FBB">
      <w:pPr>
        <w:pStyle w:val="Bibliography"/>
        <w:jc w:val="both"/>
        <w:rPr>
          <w:rFonts w:ascii="Times New Roman" w:hAnsi="Times New Roman" w:cs="Times New Roman"/>
          <w:sz w:val="24"/>
          <w:szCs w:val="24"/>
        </w:rPr>
      </w:pPr>
      <w:r>
        <w:rPr>
          <w:rFonts w:ascii="Times New Roman" w:eastAsiaTheme="minorEastAsia" w:hAnsi="Times New Roman" w:cs="Times New Roman"/>
          <w:b/>
          <w:sz w:val="24"/>
          <w:szCs w:val="24"/>
        </w:rPr>
        <w:fldChar w:fldCharType="begin"/>
      </w:r>
      <w:r>
        <w:rPr>
          <w:rFonts w:ascii="Times New Roman" w:eastAsiaTheme="minorEastAsia" w:hAnsi="Times New Roman" w:cs="Times New Roman"/>
          <w:b/>
          <w:sz w:val="24"/>
          <w:szCs w:val="24"/>
        </w:rPr>
        <w:instrText xml:space="preserve"> ADDIN ZOTERO_BIBL {"uncited":[],"omitted":[],"cu</w:instrText>
      </w:r>
      <w:r>
        <w:rPr>
          <w:rFonts w:ascii="Times New Roman" w:eastAsiaTheme="minorEastAsia" w:hAnsi="Times New Roman" w:cs="Times New Roman"/>
          <w:b/>
          <w:sz w:val="24"/>
          <w:szCs w:val="24"/>
        </w:rPr>
        <w:instrText xml:space="preserve">stom":[]} CSL_BIBLIOGRAPHY </w:instrText>
      </w:r>
      <w:r>
        <w:rPr>
          <w:rFonts w:ascii="Times New Roman" w:eastAsiaTheme="minorEastAsia" w:hAnsi="Times New Roman" w:cs="Times New Roman"/>
          <w:b/>
          <w:sz w:val="24"/>
          <w:szCs w:val="24"/>
        </w:rPr>
        <w:fldChar w:fldCharType="separate"/>
      </w:r>
      <w:r>
        <w:rPr>
          <w:rFonts w:ascii="Times New Roman" w:hAnsi="Times New Roman" w:cs="Times New Roman"/>
          <w:sz w:val="24"/>
          <w:szCs w:val="24"/>
        </w:rPr>
        <w:t xml:space="preserve">Afsal, E. M., &amp; Haque, M. I. (2016). </w:t>
      </w:r>
      <w:r>
        <w:rPr>
          <w:rFonts w:ascii="Times New Roman" w:hAnsi="Times New Roman" w:cs="Times New Roman"/>
          <w:i/>
          <w:iCs/>
          <w:sz w:val="24"/>
          <w:szCs w:val="24"/>
        </w:rPr>
        <w:t>Market Interactions in Gold and Stock Markets: Evidences from Saudi Arabia</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(3).</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Al-Ameer, M., Hammad, W., Ismail, A., &amp; Hamdan, A. (2018). </w:t>
      </w:r>
      <w:r>
        <w:rPr>
          <w:rFonts w:ascii="Times New Roman" w:hAnsi="Times New Roman" w:cs="Times New Roman"/>
          <w:i/>
          <w:iCs/>
          <w:sz w:val="24"/>
          <w:szCs w:val="24"/>
        </w:rPr>
        <w:t>The Relationship of Gold Price with the Stock Marke</w:t>
      </w:r>
      <w:r>
        <w:rPr>
          <w:rFonts w:ascii="Times New Roman" w:hAnsi="Times New Roman" w:cs="Times New Roman"/>
          <w:i/>
          <w:iCs/>
          <w:sz w:val="24"/>
          <w:szCs w:val="24"/>
        </w:rPr>
        <w:t>t: The Case of Frankfurt Stock Exchange</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(5).</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Balakrishnan, C., &amp; Rahman, H. (2022). Does the United States Bond Yield Affect Foreign Institutional Investor Inflows to India and Indian Stock Market? </w:t>
      </w:r>
      <w:r>
        <w:rPr>
          <w:rFonts w:ascii="Times New Roman" w:hAnsi="Times New Roman" w:cs="Times New Roman"/>
          <w:i/>
          <w:iCs/>
          <w:sz w:val="24"/>
          <w:szCs w:val="24"/>
        </w:rPr>
        <w:t>Asian Economics Letters</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(4). https://doi.org/10.46557/</w:t>
      </w:r>
      <w:r>
        <w:rPr>
          <w:rFonts w:ascii="Times New Roman" w:hAnsi="Times New Roman" w:cs="Times New Roman"/>
          <w:sz w:val="24"/>
          <w:szCs w:val="24"/>
        </w:rPr>
        <w:t>001c.37526</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Bhattacharjee, A., &amp; Das, J. (2020). </w:t>
      </w:r>
      <w:r>
        <w:rPr>
          <w:rFonts w:ascii="Times New Roman" w:hAnsi="Times New Roman" w:cs="Times New Roman"/>
          <w:i/>
          <w:iCs/>
          <w:sz w:val="24"/>
          <w:szCs w:val="24"/>
        </w:rPr>
        <w:t>Examining the Nexus Between Indian and U.S. Stock Market: A Time Series Analysis</w:t>
      </w:r>
      <w:r>
        <w:rPr>
          <w:rFonts w:ascii="Times New Roman" w:hAnsi="Times New Roman" w:cs="Times New Roman"/>
          <w:sz w:val="24"/>
          <w:szCs w:val="24"/>
        </w:rPr>
        <w:t xml:space="preserve"> (SSRN Scholarly Paper 3560386). https://papers.ssrn.com/abstract=3560386</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Gujarati, D. N. (2003). </w:t>
      </w:r>
      <w:r>
        <w:rPr>
          <w:rFonts w:ascii="Times New Roman" w:hAnsi="Times New Roman" w:cs="Times New Roman"/>
          <w:i/>
          <w:iCs/>
          <w:sz w:val="24"/>
          <w:szCs w:val="24"/>
        </w:rPr>
        <w:t>Basic Econometrics</w:t>
      </w:r>
      <w:r>
        <w:rPr>
          <w:rFonts w:ascii="Times New Roman" w:hAnsi="Times New Roman" w:cs="Times New Roman"/>
          <w:sz w:val="24"/>
          <w:szCs w:val="24"/>
        </w:rPr>
        <w:t xml:space="preserve">. McGraw </w:t>
      </w:r>
      <w:r>
        <w:rPr>
          <w:rFonts w:ascii="Times New Roman" w:hAnsi="Times New Roman" w:cs="Times New Roman"/>
          <w:sz w:val="24"/>
          <w:szCs w:val="24"/>
        </w:rPr>
        <w:t>Hill. https://books.google.co.in/books?id=byu7AAAAIAAJ</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Khondekar, M., Ghosh, D., &amp; Ghosh, K. (2009). </w:t>
      </w:r>
      <w:r>
        <w:rPr>
          <w:rFonts w:ascii="Times New Roman" w:hAnsi="Times New Roman" w:cs="Times New Roman"/>
          <w:i/>
          <w:iCs/>
          <w:sz w:val="24"/>
          <w:szCs w:val="24"/>
        </w:rPr>
        <w:t>RELATIONSHIP BETWEEN USA AND INDIAN STOCK MARKETS: A TIME SERIES ANALYSIS</w:t>
      </w:r>
      <w:r>
        <w:rPr>
          <w:rFonts w:ascii="Times New Roman" w:hAnsi="Times New Roman" w:cs="Times New Roman"/>
          <w:sz w:val="24"/>
          <w:szCs w:val="24"/>
        </w:rPr>
        <w:t>.</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Koenker, R., &amp; Bassett, G. (1978). Regression Quantiles. </w:t>
      </w:r>
      <w:r>
        <w:rPr>
          <w:rFonts w:ascii="Times New Roman" w:hAnsi="Times New Roman" w:cs="Times New Roman"/>
          <w:i/>
          <w:iCs/>
          <w:sz w:val="24"/>
          <w:szCs w:val="24"/>
        </w:rPr>
        <w:t>Econometrica</w:t>
      </w:r>
      <w:r>
        <w:rPr>
          <w:rFonts w:ascii="Times New Roman" w:hAnsi="Times New Roman" w:cs="Times New Roman"/>
          <w:sz w:val="24"/>
          <w:szCs w:val="24"/>
        </w:rPr>
        <w:t xml:space="preserve">, </w:t>
      </w:r>
      <w:r>
        <w:rPr>
          <w:rFonts w:ascii="Times New Roman" w:hAnsi="Times New Roman" w:cs="Times New Roman"/>
          <w:i/>
          <w:iCs/>
          <w:sz w:val="24"/>
          <w:szCs w:val="24"/>
        </w:rPr>
        <w:t>46</w:t>
      </w:r>
      <w:r>
        <w:rPr>
          <w:rFonts w:ascii="Times New Roman" w:hAnsi="Times New Roman" w:cs="Times New Roman"/>
          <w:sz w:val="24"/>
          <w:szCs w:val="24"/>
        </w:rPr>
        <w:t>(1), 33</w:t>
      </w:r>
      <w:r>
        <w:rPr>
          <w:rFonts w:ascii="Times New Roman" w:hAnsi="Times New Roman" w:cs="Times New Roman"/>
          <w:sz w:val="24"/>
          <w:szCs w:val="24"/>
        </w:rPr>
        <w:t>–50. JSTOR. https://doi.org/10.2307/1913643</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Koenker, R., &amp; Hallock, K. F. (2001). Quantile regression. </w:t>
      </w:r>
      <w:r>
        <w:rPr>
          <w:rFonts w:ascii="Times New Roman" w:hAnsi="Times New Roman" w:cs="Times New Roman"/>
          <w:i/>
          <w:iCs/>
          <w:sz w:val="24"/>
          <w:szCs w:val="24"/>
        </w:rPr>
        <w:t>Journal of Economic Perspectives</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(4), 143–156. https://doi.org/10.1257/jep.15.4.143</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Kumar, J. J. A., &amp; Robiyanto, R. (2021). The Impact of Gold Price </w:t>
      </w:r>
      <w:r>
        <w:rPr>
          <w:rFonts w:ascii="Times New Roman" w:hAnsi="Times New Roman" w:cs="Times New Roman"/>
          <w:sz w:val="24"/>
          <w:szCs w:val="24"/>
        </w:rPr>
        <w:t xml:space="preserve">and Us Dollar Index: The Volatile Case of Shanghai Stock Exchange and Bombay Stock Exchange During the </w:t>
      </w:r>
      <w:r>
        <w:rPr>
          <w:rFonts w:ascii="Times New Roman" w:hAnsi="Times New Roman" w:cs="Times New Roman"/>
          <w:sz w:val="24"/>
          <w:szCs w:val="24"/>
        </w:rPr>
        <w:lastRenderedPageBreak/>
        <w:t xml:space="preserve">Crisis of Covid-19. </w:t>
      </w:r>
      <w:r>
        <w:rPr>
          <w:rFonts w:ascii="Times New Roman" w:hAnsi="Times New Roman" w:cs="Times New Roman"/>
          <w:i/>
          <w:iCs/>
          <w:sz w:val="24"/>
          <w:szCs w:val="24"/>
        </w:rPr>
        <w:t>Jurnal Keuangan Dan Perbankan</w:t>
      </w:r>
      <w:r>
        <w:rPr>
          <w:rFonts w:ascii="Times New Roman" w:hAnsi="Times New Roman" w:cs="Times New Roman"/>
          <w:sz w:val="24"/>
          <w:szCs w:val="24"/>
        </w:rPr>
        <w:t xml:space="preserve">, </w:t>
      </w:r>
      <w:r>
        <w:rPr>
          <w:rFonts w:ascii="Times New Roman" w:hAnsi="Times New Roman" w:cs="Times New Roman"/>
          <w:i/>
          <w:iCs/>
          <w:sz w:val="24"/>
          <w:szCs w:val="24"/>
        </w:rPr>
        <w:t>25</w:t>
      </w:r>
      <w:r>
        <w:rPr>
          <w:rFonts w:ascii="Times New Roman" w:hAnsi="Times New Roman" w:cs="Times New Roman"/>
          <w:sz w:val="24"/>
          <w:szCs w:val="24"/>
        </w:rPr>
        <w:t>(3), 508–531. https://doi.org/10.26905/jkdp.v25i3.5142</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Paul, M., &amp; Reddy, K. S. (2022). US QE and th</w:t>
      </w:r>
      <w:r>
        <w:rPr>
          <w:rFonts w:ascii="Times New Roman" w:hAnsi="Times New Roman" w:cs="Times New Roman"/>
          <w:sz w:val="24"/>
          <w:szCs w:val="24"/>
        </w:rPr>
        <w:t xml:space="preserve">e Indian Bond Market. </w:t>
      </w:r>
      <w:r>
        <w:rPr>
          <w:rFonts w:ascii="Times New Roman" w:hAnsi="Times New Roman" w:cs="Times New Roman"/>
          <w:i/>
          <w:iCs/>
          <w:sz w:val="24"/>
          <w:szCs w:val="24"/>
        </w:rPr>
        <w:t>Journal of Quantitative Economics</w:t>
      </w:r>
      <w:r>
        <w:rPr>
          <w:rFonts w:ascii="Times New Roman" w:hAnsi="Times New Roman" w:cs="Times New Roman"/>
          <w:sz w:val="24"/>
          <w:szCs w:val="24"/>
        </w:rPr>
        <w:t xml:space="preserve">, </w:t>
      </w:r>
      <w:r>
        <w:rPr>
          <w:rFonts w:ascii="Times New Roman" w:hAnsi="Times New Roman" w:cs="Times New Roman"/>
          <w:i/>
          <w:iCs/>
          <w:sz w:val="24"/>
          <w:szCs w:val="24"/>
        </w:rPr>
        <w:t>20</w:t>
      </w:r>
      <w:r>
        <w:rPr>
          <w:rFonts w:ascii="Times New Roman" w:hAnsi="Times New Roman" w:cs="Times New Roman"/>
          <w:sz w:val="24"/>
          <w:szCs w:val="24"/>
        </w:rPr>
        <w:t>(1), 137–157. https://doi.org/10.1007/s40953-021-00257-9</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Petrică, A., Stancu, S., &amp; Ghițulescu, V. (2017). Stationarity – The Central Concept in Time Series Analysis. </w:t>
      </w:r>
      <w:r>
        <w:rPr>
          <w:rFonts w:ascii="Times New Roman" w:hAnsi="Times New Roman" w:cs="Times New Roman"/>
          <w:i/>
          <w:iCs/>
          <w:sz w:val="24"/>
          <w:szCs w:val="24"/>
        </w:rPr>
        <w:t>International Journal of Emerg</w:t>
      </w:r>
      <w:r>
        <w:rPr>
          <w:rFonts w:ascii="Times New Roman" w:hAnsi="Times New Roman" w:cs="Times New Roman"/>
          <w:i/>
          <w:iCs/>
          <w:sz w:val="24"/>
          <w:szCs w:val="24"/>
        </w:rPr>
        <w:t>ing Research in Management and Technology</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6–16. https://doi.org/10.23956/ijermt/V6N1/107</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Rahman, H., &amp; Kodikal, R. (2019). Ups And Downs In The Indian Economy: The Impact Of Crude Oil Prices. </w:t>
      </w:r>
      <w:r>
        <w:rPr>
          <w:rFonts w:ascii="Times New Roman" w:hAnsi="Times New Roman" w:cs="Times New Roman"/>
          <w:i/>
          <w:iCs/>
          <w:sz w:val="24"/>
          <w:szCs w:val="24"/>
        </w:rPr>
        <w:t>International Journal of Scientific &amp; Technology Research</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 846–857.</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Sreenu, N. (2022). Impact of crude oil price uncertainty on indian stock market returns: Evidence from oil price volatility index. </w:t>
      </w:r>
      <w:r>
        <w:rPr>
          <w:rFonts w:ascii="Times New Roman" w:hAnsi="Times New Roman" w:cs="Times New Roman"/>
          <w:i/>
          <w:iCs/>
          <w:sz w:val="24"/>
          <w:szCs w:val="24"/>
        </w:rPr>
        <w:t>Energy Strategy Reviews</w:t>
      </w:r>
      <w:r>
        <w:rPr>
          <w:rFonts w:ascii="Times New Roman" w:hAnsi="Times New Roman" w:cs="Times New Roman"/>
          <w:sz w:val="24"/>
          <w:szCs w:val="24"/>
        </w:rPr>
        <w:t xml:space="preserve">, </w:t>
      </w:r>
      <w:r>
        <w:rPr>
          <w:rFonts w:ascii="Times New Roman" w:hAnsi="Times New Roman" w:cs="Times New Roman"/>
          <w:i/>
          <w:iCs/>
          <w:sz w:val="24"/>
          <w:szCs w:val="24"/>
        </w:rPr>
        <w:t>44</w:t>
      </w:r>
      <w:r>
        <w:rPr>
          <w:rFonts w:ascii="Times New Roman" w:hAnsi="Times New Roman" w:cs="Times New Roman"/>
          <w:sz w:val="24"/>
          <w:szCs w:val="24"/>
        </w:rPr>
        <w:t>, 101002. https://doi.org/10.1016/j.esr.2022.101002</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Tran, O., &amp; Nguyen, H. (2022). The interdependence of gold, US dollar and stock market in the context of COVID-19 pandemic: An insight into analysis in Asia and Europe. </w:t>
      </w:r>
      <w:r>
        <w:rPr>
          <w:rFonts w:ascii="Times New Roman" w:hAnsi="Times New Roman" w:cs="Times New Roman"/>
          <w:i/>
          <w:iCs/>
          <w:sz w:val="24"/>
          <w:szCs w:val="24"/>
        </w:rPr>
        <w:t>Cogent Economics &amp; Finance</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(1), 2127483. https://doi.org/10.1080/23322039.2022.21274</w:t>
      </w:r>
      <w:r>
        <w:rPr>
          <w:rFonts w:ascii="Times New Roman" w:hAnsi="Times New Roman" w:cs="Times New Roman"/>
          <w:sz w:val="24"/>
          <w:szCs w:val="24"/>
        </w:rPr>
        <w:t>83</w:t>
      </w:r>
    </w:p>
    <w:p w:rsidR="00882C23" w:rsidRDefault="00AA7FBB">
      <w:pPr>
        <w:pStyle w:val="Bibliography"/>
        <w:jc w:val="both"/>
        <w:rPr>
          <w:rFonts w:ascii="Times New Roman" w:hAnsi="Times New Roman" w:cs="Times New Roman"/>
          <w:sz w:val="24"/>
          <w:szCs w:val="24"/>
        </w:rPr>
      </w:pPr>
      <w:r>
        <w:rPr>
          <w:rFonts w:ascii="Times New Roman" w:hAnsi="Times New Roman" w:cs="Times New Roman"/>
          <w:sz w:val="24"/>
          <w:szCs w:val="24"/>
        </w:rPr>
        <w:t xml:space="preserve">Tripathy, N. (2016). A Study on Dynamic Relationship between Gold Price and Stock Market Price in India. </w:t>
      </w:r>
      <w:r>
        <w:rPr>
          <w:rFonts w:ascii="Times New Roman" w:hAnsi="Times New Roman" w:cs="Times New Roman"/>
          <w:i/>
          <w:iCs/>
          <w:sz w:val="24"/>
          <w:szCs w:val="24"/>
        </w:rPr>
        <w:t>European Journal of Economics, Finance and Administrative Sciences</w:t>
      </w:r>
      <w:r>
        <w:rPr>
          <w:rFonts w:ascii="Times New Roman" w:hAnsi="Times New Roman" w:cs="Times New Roman"/>
          <w:sz w:val="24"/>
          <w:szCs w:val="24"/>
        </w:rPr>
        <w:t>.</w:t>
      </w:r>
    </w:p>
    <w:p w:rsidR="00882C23" w:rsidRDefault="00AA7FBB">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fldChar w:fldCharType="end"/>
      </w:r>
    </w:p>
    <w:sectPr w:rsidR="00882C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FBB" w:rsidRDefault="00AA7FBB" w:rsidP="00087ADC">
      <w:pPr>
        <w:spacing w:after="0" w:line="240" w:lineRule="auto"/>
      </w:pPr>
      <w:r>
        <w:separator/>
      </w:r>
    </w:p>
  </w:endnote>
  <w:endnote w:type="continuationSeparator" w:id="0">
    <w:p w:rsidR="00AA7FBB" w:rsidRDefault="00AA7FBB" w:rsidP="000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ADC" w:rsidRDefault="00087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ADC" w:rsidRDefault="00087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ADC" w:rsidRDefault="0008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FBB" w:rsidRDefault="00AA7FBB" w:rsidP="00087ADC">
      <w:pPr>
        <w:spacing w:after="0" w:line="240" w:lineRule="auto"/>
      </w:pPr>
      <w:r>
        <w:separator/>
      </w:r>
    </w:p>
  </w:footnote>
  <w:footnote w:type="continuationSeparator" w:id="0">
    <w:p w:rsidR="00AA7FBB" w:rsidRDefault="00AA7FBB" w:rsidP="0008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ADC" w:rsidRDefault="00087A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756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ADC" w:rsidRDefault="00087A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756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ADC" w:rsidRDefault="00087A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756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31C1C"/>
    <w:multiLevelType w:val="hybridMultilevel"/>
    <w:tmpl w:val="13D07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23"/>
    <w:rsid w:val="00087ADC"/>
    <w:rsid w:val="00882C23"/>
    <w:rsid w:val="00AA7F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F9A22E"/>
  <w15:chartTrackingRefBased/>
  <w15:docId w15:val="{FD898B13-7EE8-4568-9F88-01BD5A8D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Pr>
      <w:i/>
      <w:iCs/>
    </w:rPr>
  </w:style>
  <w:style w:type="paragraph" w:styleId="Bibliography">
    <w:name w:val="Bibliography"/>
    <w:basedOn w:val="Normal"/>
    <w:next w:val="Normal"/>
    <w:uiPriority w:val="37"/>
    <w:unhideWhenUsed/>
    <w:pPr>
      <w:spacing w:after="0" w:line="480" w:lineRule="auto"/>
      <w:ind w:left="720" w:hanging="720"/>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087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ADC"/>
  </w:style>
  <w:style w:type="paragraph" w:styleId="Footer">
    <w:name w:val="footer"/>
    <w:basedOn w:val="Normal"/>
    <w:link w:val="FooterChar"/>
    <w:uiPriority w:val="99"/>
    <w:unhideWhenUsed/>
    <w:rsid w:val="00087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963612">
      <w:bodyDiv w:val="1"/>
      <w:marLeft w:val="0"/>
      <w:marRight w:val="0"/>
      <w:marTop w:val="0"/>
      <w:marBottom w:val="0"/>
      <w:divBdr>
        <w:top w:val="none" w:sz="0" w:space="0" w:color="auto"/>
        <w:left w:val="none" w:sz="0" w:space="0" w:color="auto"/>
        <w:bottom w:val="none" w:sz="0" w:space="0" w:color="auto"/>
        <w:right w:val="none" w:sz="0" w:space="0" w:color="auto"/>
      </w:divBdr>
    </w:div>
    <w:div w:id="438910718">
      <w:bodyDiv w:val="1"/>
      <w:marLeft w:val="0"/>
      <w:marRight w:val="0"/>
      <w:marTop w:val="0"/>
      <w:marBottom w:val="0"/>
      <w:divBdr>
        <w:top w:val="none" w:sz="0" w:space="0" w:color="auto"/>
        <w:left w:val="none" w:sz="0" w:space="0" w:color="auto"/>
        <w:bottom w:val="none" w:sz="0" w:space="0" w:color="auto"/>
        <w:right w:val="none" w:sz="0" w:space="0" w:color="auto"/>
      </w:divBdr>
    </w:div>
    <w:div w:id="529534538">
      <w:bodyDiv w:val="1"/>
      <w:marLeft w:val="0"/>
      <w:marRight w:val="0"/>
      <w:marTop w:val="0"/>
      <w:marBottom w:val="0"/>
      <w:divBdr>
        <w:top w:val="none" w:sz="0" w:space="0" w:color="auto"/>
        <w:left w:val="none" w:sz="0" w:space="0" w:color="auto"/>
        <w:bottom w:val="none" w:sz="0" w:space="0" w:color="auto"/>
        <w:right w:val="none" w:sz="0" w:space="0" w:color="auto"/>
      </w:divBdr>
    </w:div>
    <w:div w:id="927228821">
      <w:bodyDiv w:val="1"/>
      <w:marLeft w:val="0"/>
      <w:marRight w:val="0"/>
      <w:marTop w:val="0"/>
      <w:marBottom w:val="0"/>
      <w:divBdr>
        <w:top w:val="none" w:sz="0" w:space="0" w:color="auto"/>
        <w:left w:val="none" w:sz="0" w:space="0" w:color="auto"/>
        <w:bottom w:val="none" w:sz="0" w:space="0" w:color="auto"/>
        <w:right w:val="none" w:sz="0" w:space="0" w:color="auto"/>
      </w:divBdr>
    </w:div>
    <w:div w:id="1079909126">
      <w:bodyDiv w:val="1"/>
      <w:marLeft w:val="0"/>
      <w:marRight w:val="0"/>
      <w:marTop w:val="0"/>
      <w:marBottom w:val="0"/>
      <w:divBdr>
        <w:top w:val="none" w:sz="0" w:space="0" w:color="auto"/>
        <w:left w:val="none" w:sz="0" w:space="0" w:color="auto"/>
        <w:bottom w:val="none" w:sz="0" w:space="0" w:color="auto"/>
        <w:right w:val="none" w:sz="0" w:space="0" w:color="auto"/>
      </w:divBdr>
      <w:divsChild>
        <w:div w:id="772166442">
          <w:marLeft w:val="0"/>
          <w:marRight w:val="0"/>
          <w:marTop w:val="0"/>
          <w:marBottom w:val="0"/>
          <w:divBdr>
            <w:top w:val="none" w:sz="0" w:space="0" w:color="auto"/>
            <w:left w:val="none" w:sz="0" w:space="0" w:color="auto"/>
            <w:bottom w:val="none" w:sz="0" w:space="0" w:color="auto"/>
            <w:right w:val="none" w:sz="0" w:space="0" w:color="auto"/>
          </w:divBdr>
          <w:divsChild>
            <w:div w:id="190344965">
              <w:marLeft w:val="0"/>
              <w:marRight w:val="0"/>
              <w:marTop w:val="0"/>
              <w:marBottom w:val="0"/>
              <w:divBdr>
                <w:top w:val="none" w:sz="0" w:space="0" w:color="auto"/>
                <w:left w:val="none" w:sz="0" w:space="0" w:color="auto"/>
                <w:bottom w:val="none" w:sz="0" w:space="0" w:color="auto"/>
                <w:right w:val="none" w:sz="0" w:space="0" w:color="auto"/>
              </w:divBdr>
              <w:divsChild>
                <w:div w:id="1746224780">
                  <w:marLeft w:val="0"/>
                  <w:marRight w:val="0"/>
                  <w:marTop w:val="0"/>
                  <w:marBottom w:val="0"/>
                  <w:divBdr>
                    <w:top w:val="none" w:sz="0" w:space="0" w:color="auto"/>
                    <w:left w:val="none" w:sz="0" w:space="0" w:color="auto"/>
                    <w:bottom w:val="none" w:sz="0" w:space="0" w:color="auto"/>
                    <w:right w:val="none" w:sz="0" w:space="0" w:color="auto"/>
                  </w:divBdr>
                  <w:divsChild>
                    <w:div w:id="793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3143">
          <w:marLeft w:val="0"/>
          <w:marRight w:val="0"/>
          <w:marTop w:val="0"/>
          <w:marBottom w:val="0"/>
          <w:divBdr>
            <w:top w:val="none" w:sz="0" w:space="0" w:color="auto"/>
            <w:left w:val="none" w:sz="0" w:space="0" w:color="auto"/>
            <w:bottom w:val="none" w:sz="0" w:space="0" w:color="auto"/>
            <w:right w:val="none" w:sz="0" w:space="0" w:color="auto"/>
          </w:divBdr>
          <w:divsChild>
            <w:div w:id="1634368253">
              <w:marLeft w:val="0"/>
              <w:marRight w:val="0"/>
              <w:marTop w:val="0"/>
              <w:marBottom w:val="0"/>
              <w:divBdr>
                <w:top w:val="none" w:sz="0" w:space="0" w:color="auto"/>
                <w:left w:val="none" w:sz="0" w:space="0" w:color="auto"/>
                <w:bottom w:val="none" w:sz="0" w:space="0" w:color="auto"/>
                <w:right w:val="none" w:sz="0" w:space="0" w:color="auto"/>
              </w:divBdr>
              <w:divsChild>
                <w:div w:id="881752989">
                  <w:marLeft w:val="0"/>
                  <w:marRight w:val="0"/>
                  <w:marTop w:val="0"/>
                  <w:marBottom w:val="0"/>
                  <w:divBdr>
                    <w:top w:val="none" w:sz="0" w:space="0" w:color="auto"/>
                    <w:left w:val="none" w:sz="0" w:space="0" w:color="auto"/>
                    <w:bottom w:val="none" w:sz="0" w:space="0" w:color="auto"/>
                    <w:right w:val="none" w:sz="0" w:space="0" w:color="auto"/>
                  </w:divBdr>
                  <w:divsChild>
                    <w:div w:id="24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80323">
      <w:bodyDiv w:val="1"/>
      <w:marLeft w:val="0"/>
      <w:marRight w:val="0"/>
      <w:marTop w:val="0"/>
      <w:marBottom w:val="0"/>
      <w:divBdr>
        <w:top w:val="none" w:sz="0" w:space="0" w:color="auto"/>
        <w:left w:val="none" w:sz="0" w:space="0" w:color="auto"/>
        <w:bottom w:val="none" w:sz="0" w:space="0" w:color="auto"/>
        <w:right w:val="none" w:sz="0" w:space="0" w:color="auto"/>
      </w:divBdr>
    </w:div>
    <w:div w:id="1289506610">
      <w:bodyDiv w:val="1"/>
      <w:marLeft w:val="0"/>
      <w:marRight w:val="0"/>
      <w:marTop w:val="0"/>
      <w:marBottom w:val="0"/>
      <w:divBdr>
        <w:top w:val="none" w:sz="0" w:space="0" w:color="auto"/>
        <w:left w:val="none" w:sz="0" w:space="0" w:color="auto"/>
        <w:bottom w:val="none" w:sz="0" w:space="0" w:color="auto"/>
        <w:right w:val="none" w:sz="0" w:space="0" w:color="auto"/>
      </w:divBdr>
    </w:div>
    <w:div w:id="1345479397">
      <w:bodyDiv w:val="1"/>
      <w:marLeft w:val="0"/>
      <w:marRight w:val="0"/>
      <w:marTop w:val="0"/>
      <w:marBottom w:val="0"/>
      <w:divBdr>
        <w:top w:val="none" w:sz="0" w:space="0" w:color="auto"/>
        <w:left w:val="none" w:sz="0" w:space="0" w:color="auto"/>
        <w:bottom w:val="none" w:sz="0" w:space="0" w:color="auto"/>
        <w:right w:val="none" w:sz="0" w:space="0" w:color="auto"/>
      </w:divBdr>
    </w:div>
    <w:div w:id="1759014689">
      <w:bodyDiv w:val="1"/>
      <w:marLeft w:val="0"/>
      <w:marRight w:val="0"/>
      <w:marTop w:val="0"/>
      <w:marBottom w:val="0"/>
      <w:divBdr>
        <w:top w:val="none" w:sz="0" w:space="0" w:color="auto"/>
        <w:left w:val="none" w:sz="0" w:space="0" w:color="auto"/>
        <w:bottom w:val="none" w:sz="0" w:space="0" w:color="auto"/>
        <w:right w:val="none" w:sz="0" w:space="0" w:color="auto"/>
      </w:divBdr>
    </w:div>
    <w:div w:id="17827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11</Pages>
  <Words>6146</Words>
  <Characters>35035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ARUP</dc:creator>
  <cp:keywords/>
  <dc:description/>
  <cp:lastModifiedBy>SDI 1180</cp:lastModifiedBy>
  <cp:revision>35</cp:revision>
  <dcterms:created xsi:type="dcterms:W3CDTF">2024-11-23T07:51:00Z</dcterms:created>
  <dcterms:modified xsi:type="dcterms:W3CDTF">2025-07-16T09:14:00Z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id="7VymJbxa"/&gt;&lt;style id="http://www.zotero.org/styles/apa" locale="en-US" hasBibliography="1" bibliographyStyleHasBeenSet="1"/&gt;&lt;prefs&gt;&lt;pref name="fieldType" value="Field"/&gt;&lt;/prefs&gt;&lt;/data&gt;</vt:lpwstr>
  </property>
</Properties>
</file>