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55528" w14:textId="77777777" w:rsidR="007028BA" w:rsidRDefault="00596AD7" w:rsidP="007B47AD">
      <w:pPr>
        <w:spacing w:after="120"/>
        <w:jc w:val="center"/>
        <w:rPr>
          <w:rFonts w:ascii="Times New Roman" w:hAnsi="Times New Roman"/>
          <w:b/>
          <w:sz w:val="24"/>
        </w:rPr>
      </w:pPr>
      <w:r w:rsidRPr="007F28A7">
        <w:rPr>
          <w:rFonts w:ascii="Times New Roman" w:hAnsi="Times New Roman"/>
          <w:b/>
          <w:sz w:val="24"/>
        </w:rPr>
        <w:t xml:space="preserve">Participatory Demonstration of Irrigation Scheduling </w:t>
      </w:r>
      <w:r w:rsidR="008A6DB7" w:rsidRPr="007F28A7">
        <w:rPr>
          <w:rFonts w:ascii="Times New Roman" w:hAnsi="Times New Roman"/>
          <w:b/>
          <w:sz w:val="24"/>
        </w:rPr>
        <w:t>under</w:t>
      </w:r>
      <w:r w:rsidRPr="007F28A7">
        <w:rPr>
          <w:rFonts w:ascii="Times New Roman" w:hAnsi="Times New Roman"/>
          <w:b/>
          <w:sz w:val="24"/>
        </w:rPr>
        <w:t xml:space="preserve"> Solar Pump Irrigation for Sweet </w:t>
      </w:r>
      <w:r w:rsidR="007F28A7" w:rsidRPr="007F28A7">
        <w:rPr>
          <w:rFonts w:ascii="Times New Roman" w:hAnsi="Times New Roman"/>
          <w:b/>
          <w:sz w:val="24"/>
        </w:rPr>
        <w:t>Potato ((Ipomoea batatas L.)</w:t>
      </w:r>
      <w:r w:rsidRPr="007F28A7">
        <w:rPr>
          <w:rFonts w:ascii="Times New Roman" w:hAnsi="Times New Roman"/>
          <w:b/>
          <w:sz w:val="24"/>
        </w:rPr>
        <w:t xml:space="preserve"> Production in </w:t>
      </w:r>
      <w:r w:rsidR="00EE1766" w:rsidRPr="00E56097">
        <w:rPr>
          <w:rFonts w:ascii="Times New Roman" w:hAnsi="Times New Roman" w:cs="Times New Roman"/>
          <w:b/>
          <w:bCs/>
        </w:rPr>
        <w:t>Dijo</w:t>
      </w:r>
      <w:r w:rsidR="00EE1766" w:rsidRPr="00E56097">
        <w:rPr>
          <w:rFonts w:ascii="Times New Roman" w:hAnsi="Times New Roman" w:cs="Times New Roman"/>
        </w:rPr>
        <w:t xml:space="preserve"> </w:t>
      </w:r>
      <w:r w:rsidR="00EE1766" w:rsidRPr="00E56097">
        <w:rPr>
          <w:rFonts w:ascii="Times New Roman" w:hAnsi="Times New Roman" w:cs="Times New Roman"/>
          <w:b/>
          <w:bCs/>
        </w:rPr>
        <w:t>Woreda</w:t>
      </w:r>
      <w:r w:rsidR="00EE1766">
        <w:rPr>
          <w:rFonts w:ascii="Times New Roman" w:hAnsi="Times New Roman"/>
          <w:b/>
          <w:sz w:val="24"/>
        </w:rPr>
        <w:t xml:space="preserve">, </w:t>
      </w:r>
      <w:proofErr w:type="spellStart"/>
      <w:r w:rsidRPr="007F28A7">
        <w:rPr>
          <w:rFonts w:ascii="Times New Roman" w:hAnsi="Times New Roman"/>
          <w:b/>
          <w:sz w:val="24"/>
        </w:rPr>
        <w:t>Halaba</w:t>
      </w:r>
      <w:proofErr w:type="spellEnd"/>
      <w:r w:rsidRPr="007F28A7">
        <w:rPr>
          <w:rFonts w:ascii="Times New Roman" w:hAnsi="Times New Roman"/>
          <w:b/>
          <w:sz w:val="24"/>
        </w:rPr>
        <w:t xml:space="preserve"> Zone, Ethiopia</w:t>
      </w:r>
    </w:p>
    <w:p w14:paraId="218A8805" w14:textId="77777777" w:rsidR="00D73A96" w:rsidRPr="007F28A7" w:rsidRDefault="00D73A96" w:rsidP="007B47AD">
      <w:pPr>
        <w:spacing w:after="120"/>
        <w:jc w:val="center"/>
        <w:rPr>
          <w:rFonts w:ascii="Times New Roman" w:hAnsi="Times New Roman"/>
          <w:b/>
          <w:sz w:val="24"/>
        </w:rPr>
      </w:pPr>
    </w:p>
    <w:p w14:paraId="46C99B00" w14:textId="77777777" w:rsidR="00CD1AD6" w:rsidRDefault="00CD1AD6" w:rsidP="00596AD7">
      <w:pPr>
        <w:jc w:val="both"/>
        <w:rPr>
          <w:rFonts w:ascii="Times New Roman" w:hAnsi="Times New Roman" w:cs="Times New Roman"/>
          <w:b/>
          <w:sz w:val="24"/>
          <w:szCs w:val="24"/>
        </w:rPr>
      </w:pPr>
    </w:p>
    <w:p w14:paraId="019F645E" w14:textId="206B1321" w:rsidR="00596AD7" w:rsidRDefault="00596AD7" w:rsidP="00596AD7">
      <w:pPr>
        <w:jc w:val="both"/>
        <w:rPr>
          <w:rFonts w:ascii="Times New Roman" w:hAnsi="Times New Roman" w:cs="Times New Roman"/>
          <w:b/>
          <w:sz w:val="24"/>
          <w:szCs w:val="24"/>
        </w:rPr>
      </w:pPr>
      <w:r w:rsidRPr="00841292">
        <w:rPr>
          <w:rFonts w:ascii="Times New Roman" w:hAnsi="Times New Roman" w:cs="Times New Roman"/>
          <w:b/>
          <w:sz w:val="24"/>
          <w:szCs w:val="24"/>
        </w:rPr>
        <w:t>Abstract</w:t>
      </w:r>
    </w:p>
    <w:p w14:paraId="5ADA2B69" w14:textId="77777777" w:rsidR="008A6DB7" w:rsidRPr="005C4538" w:rsidRDefault="005C4538" w:rsidP="005C4538">
      <w:pPr>
        <w:spacing w:line="360" w:lineRule="auto"/>
        <w:jc w:val="both"/>
        <w:rPr>
          <w:rFonts w:ascii="Times New Roman" w:hAnsi="Times New Roman" w:cs="Times New Roman"/>
          <w:b/>
          <w:sz w:val="24"/>
          <w:szCs w:val="24"/>
        </w:rPr>
      </w:pPr>
      <w:r w:rsidRPr="005C4538">
        <w:rPr>
          <w:rFonts w:ascii="Times New Roman" w:hAnsi="Times New Roman" w:cs="Times New Roman"/>
          <w:sz w:val="24"/>
          <w:szCs w:val="24"/>
        </w:rPr>
        <w:t xml:space="preserve">A participatory field demonstration was conducted in Dijo Woreda, </w:t>
      </w:r>
      <w:proofErr w:type="spellStart"/>
      <w:r w:rsidRPr="005C4538">
        <w:rPr>
          <w:rFonts w:ascii="Times New Roman" w:hAnsi="Times New Roman" w:cs="Times New Roman"/>
          <w:sz w:val="24"/>
          <w:szCs w:val="24"/>
        </w:rPr>
        <w:t>Halaba</w:t>
      </w:r>
      <w:proofErr w:type="spellEnd"/>
      <w:r w:rsidRPr="005C4538">
        <w:rPr>
          <w:rFonts w:ascii="Times New Roman" w:hAnsi="Times New Roman" w:cs="Times New Roman"/>
          <w:sz w:val="24"/>
          <w:szCs w:val="24"/>
        </w:rPr>
        <w:t xml:space="preserve"> Zone, </w:t>
      </w:r>
      <w:r>
        <w:rPr>
          <w:rFonts w:ascii="Times New Roman" w:hAnsi="Times New Roman" w:cs="Times New Roman"/>
          <w:sz w:val="24"/>
          <w:szCs w:val="24"/>
        </w:rPr>
        <w:t xml:space="preserve">Central </w:t>
      </w:r>
      <w:r w:rsidRPr="005C4538">
        <w:rPr>
          <w:rFonts w:ascii="Times New Roman" w:hAnsi="Times New Roman" w:cs="Times New Roman"/>
          <w:sz w:val="24"/>
          <w:szCs w:val="24"/>
        </w:rPr>
        <w:t>Ethiopia, to evaluate the effectiveness of irrigation scheduling under solar pump irrigation systems for sweet potato (Ipomoea batatas L.) production.</w:t>
      </w:r>
      <w:r>
        <w:rPr>
          <w:rFonts w:ascii="Times New Roman" w:hAnsi="Times New Roman" w:cs="Times New Roman"/>
          <w:sz w:val="24"/>
          <w:szCs w:val="24"/>
        </w:rPr>
        <w:t xml:space="preserve"> </w:t>
      </w:r>
      <w:r w:rsidRPr="005C4538">
        <w:rPr>
          <w:rFonts w:ascii="Times New Roman" w:hAnsi="Times New Roman" w:cs="Times New Roman"/>
          <w:sz w:val="24"/>
          <w:szCs w:val="24"/>
        </w:rPr>
        <w:t xml:space="preserve">The study aimed to promote water-efficient irrigation practices and enhance crop productivity through the active involvement of local farmers and stakeholders. </w:t>
      </w:r>
      <w:r w:rsidR="008A6DB7" w:rsidRPr="005C4538">
        <w:rPr>
          <w:rFonts w:ascii="Times New Roman" w:hAnsi="Times New Roman" w:cs="Times New Roman"/>
          <w:sz w:val="24"/>
          <w:szCs w:val="24"/>
        </w:rPr>
        <w:t xml:space="preserve">A field experiment was conducted to evaluate the response of Orange Flesh Sweet Potato to different irrigation scheduling methods in combination with recommended </w:t>
      </w:r>
      <w:r w:rsidR="007B47AD" w:rsidRPr="005C4538">
        <w:rPr>
          <w:rFonts w:ascii="Times New Roman" w:hAnsi="Times New Roman" w:cs="Times New Roman"/>
          <w:sz w:val="24"/>
          <w:szCs w:val="24"/>
        </w:rPr>
        <w:t xml:space="preserve">3t/ha </w:t>
      </w:r>
      <w:proofErr w:type="spellStart"/>
      <w:r w:rsidR="008A6DB7" w:rsidRPr="005C4538">
        <w:rPr>
          <w:rFonts w:ascii="Times New Roman" w:hAnsi="Times New Roman" w:cs="Times New Roman"/>
          <w:sz w:val="24"/>
          <w:szCs w:val="24"/>
        </w:rPr>
        <w:t>vermi</w:t>
      </w:r>
      <w:proofErr w:type="spellEnd"/>
      <w:r w:rsidR="008A6DB7" w:rsidRPr="005C4538">
        <w:rPr>
          <w:rFonts w:ascii="Times New Roman" w:hAnsi="Times New Roman" w:cs="Times New Roman"/>
          <w:sz w:val="24"/>
          <w:szCs w:val="24"/>
        </w:rPr>
        <w:t>-compost</w:t>
      </w:r>
      <w:r w:rsidR="007B47AD" w:rsidRPr="005C4538">
        <w:rPr>
          <w:rFonts w:ascii="Times New Roman" w:hAnsi="Times New Roman" w:cs="Times New Roman"/>
          <w:sz w:val="24"/>
          <w:szCs w:val="24"/>
        </w:rPr>
        <w:t xml:space="preserve"> rate</w:t>
      </w:r>
      <w:r w:rsidR="008A6DB7" w:rsidRPr="005C4538">
        <w:rPr>
          <w:rFonts w:ascii="Times New Roman" w:hAnsi="Times New Roman" w:cs="Times New Roman"/>
          <w:sz w:val="24"/>
          <w:szCs w:val="24"/>
        </w:rPr>
        <w:t xml:space="preserve">. Two treatments were compared: 100% Maximum Allowable Depletion (MAD) with recommended </w:t>
      </w:r>
      <w:r w:rsidR="007B47AD" w:rsidRPr="005C4538">
        <w:rPr>
          <w:rFonts w:ascii="Times New Roman" w:hAnsi="Times New Roman" w:cs="Times New Roman"/>
          <w:sz w:val="24"/>
          <w:szCs w:val="24"/>
        </w:rPr>
        <w:t xml:space="preserve">3t/ha </w:t>
      </w:r>
      <w:proofErr w:type="spellStart"/>
      <w:r w:rsidR="008A6DB7" w:rsidRPr="005C4538">
        <w:rPr>
          <w:rFonts w:ascii="Times New Roman" w:hAnsi="Times New Roman" w:cs="Times New Roman"/>
          <w:sz w:val="24"/>
          <w:szCs w:val="24"/>
        </w:rPr>
        <w:t>vermi</w:t>
      </w:r>
      <w:proofErr w:type="spellEnd"/>
      <w:r w:rsidR="008A6DB7" w:rsidRPr="005C4538">
        <w:rPr>
          <w:rFonts w:ascii="Times New Roman" w:hAnsi="Times New Roman" w:cs="Times New Roman"/>
          <w:sz w:val="24"/>
          <w:szCs w:val="24"/>
        </w:rPr>
        <w:t xml:space="preserve">-compost and the local farmer’s irrigation practice with recommended </w:t>
      </w:r>
      <w:proofErr w:type="spellStart"/>
      <w:r w:rsidR="008A6DB7" w:rsidRPr="005C4538">
        <w:rPr>
          <w:rFonts w:ascii="Times New Roman" w:hAnsi="Times New Roman" w:cs="Times New Roman"/>
          <w:sz w:val="24"/>
          <w:szCs w:val="24"/>
        </w:rPr>
        <w:t>vermi</w:t>
      </w:r>
      <w:proofErr w:type="spellEnd"/>
      <w:r w:rsidR="008A6DB7" w:rsidRPr="005C4538">
        <w:rPr>
          <w:rFonts w:ascii="Times New Roman" w:hAnsi="Times New Roman" w:cs="Times New Roman"/>
          <w:sz w:val="24"/>
          <w:szCs w:val="24"/>
        </w:rPr>
        <w:t xml:space="preserve">-compost. The study measured parameters such as number of roots per plant (NRPP), vein length (VL), root length (RL), root diameter (RD), marketable yield (MY), unmarketable yield (UMY), and total yield (TY). The results revealed that applying 100% MAD with recommended </w:t>
      </w:r>
      <w:r w:rsidR="007B47AD" w:rsidRPr="005C4538">
        <w:rPr>
          <w:rFonts w:ascii="Times New Roman" w:hAnsi="Times New Roman" w:cs="Times New Roman"/>
          <w:sz w:val="24"/>
          <w:szCs w:val="24"/>
        </w:rPr>
        <w:t xml:space="preserve">3t/ha </w:t>
      </w:r>
      <w:proofErr w:type="spellStart"/>
      <w:r w:rsidR="008A6DB7" w:rsidRPr="005C4538">
        <w:rPr>
          <w:rFonts w:ascii="Times New Roman" w:hAnsi="Times New Roman" w:cs="Times New Roman"/>
          <w:sz w:val="24"/>
          <w:szCs w:val="24"/>
        </w:rPr>
        <w:t>vermi</w:t>
      </w:r>
      <w:proofErr w:type="spellEnd"/>
      <w:r w:rsidR="008A6DB7" w:rsidRPr="005C4538">
        <w:rPr>
          <w:rFonts w:ascii="Times New Roman" w:hAnsi="Times New Roman" w:cs="Times New Roman"/>
          <w:sz w:val="24"/>
          <w:szCs w:val="24"/>
        </w:rPr>
        <w:t xml:space="preserve">-compost significantly increased root yield and morphological traits compared to the farmer's practice. The highest marketable yield (30,341.4 kg/ha) and total yield (32,345.6 kg/ha) were recorded under 100% MAD with </w:t>
      </w:r>
      <w:r w:rsidRPr="005C4538">
        <w:rPr>
          <w:rFonts w:ascii="Times New Roman" w:hAnsi="Times New Roman" w:cs="Times New Roman"/>
          <w:sz w:val="24"/>
          <w:szCs w:val="24"/>
        </w:rPr>
        <w:t xml:space="preserve">3t/ha </w:t>
      </w:r>
      <w:proofErr w:type="spellStart"/>
      <w:r w:rsidR="008A6DB7" w:rsidRPr="005C4538">
        <w:rPr>
          <w:rFonts w:ascii="Times New Roman" w:hAnsi="Times New Roman" w:cs="Times New Roman"/>
          <w:sz w:val="24"/>
          <w:szCs w:val="24"/>
        </w:rPr>
        <w:t>vermi</w:t>
      </w:r>
      <w:proofErr w:type="spellEnd"/>
      <w:r w:rsidR="008A6DB7" w:rsidRPr="005C4538">
        <w:rPr>
          <w:rFonts w:ascii="Times New Roman" w:hAnsi="Times New Roman" w:cs="Times New Roman"/>
          <w:sz w:val="24"/>
          <w:szCs w:val="24"/>
        </w:rPr>
        <w:t xml:space="preserve">-compost. This suggests that combining scientific irrigation scheduling with organic soil amendments can enhance </w:t>
      </w:r>
      <w:r w:rsidRPr="005C4538">
        <w:rPr>
          <w:rFonts w:ascii="Times New Roman" w:hAnsi="Times New Roman" w:cs="Times New Roman"/>
          <w:sz w:val="24"/>
          <w:szCs w:val="24"/>
        </w:rPr>
        <w:t xml:space="preserve">orange flush </w:t>
      </w:r>
      <w:r w:rsidR="008A6DB7" w:rsidRPr="005C4538">
        <w:rPr>
          <w:rFonts w:ascii="Times New Roman" w:hAnsi="Times New Roman" w:cs="Times New Roman"/>
          <w:sz w:val="24"/>
          <w:szCs w:val="24"/>
        </w:rPr>
        <w:t>sweet potato productivity in the study area.</w:t>
      </w:r>
    </w:p>
    <w:p w14:paraId="7EC03D00" w14:textId="77777777" w:rsidR="00BD772F" w:rsidRPr="005C4538" w:rsidRDefault="00BD772F" w:rsidP="00BD772F">
      <w:pPr>
        <w:spacing w:before="240"/>
        <w:jc w:val="both"/>
        <w:rPr>
          <w:rFonts w:ascii="Times New Roman" w:hAnsi="Times New Roman" w:cs="Times New Roman"/>
          <w:i/>
          <w:sz w:val="24"/>
          <w:szCs w:val="24"/>
        </w:rPr>
      </w:pPr>
      <w:r w:rsidRPr="006B60AF">
        <w:rPr>
          <w:rFonts w:ascii="Times New Roman" w:hAnsi="Times New Roman" w:cs="Times New Roman"/>
          <w:b/>
          <w:i/>
          <w:sz w:val="24"/>
          <w:szCs w:val="24"/>
        </w:rPr>
        <w:t>Keywords</w:t>
      </w:r>
      <w:r w:rsidRPr="006B60AF">
        <w:rPr>
          <w:rFonts w:ascii="Times New Roman" w:hAnsi="Times New Roman" w:cs="Times New Roman"/>
          <w:i/>
          <w:sz w:val="24"/>
          <w:szCs w:val="24"/>
        </w:rPr>
        <w:t xml:space="preserve">: </w:t>
      </w:r>
      <w:r w:rsidR="00B130B0" w:rsidRPr="005C4538">
        <w:rPr>
          <w:rFonts w:ascii="Times New Roman" w:hAnsi="Times New Roman" w:cs="Times New Roman"/>
          <w:i/>
          <w:sz w:val="24"/>
          <w:szCs w:val="24"/>
        </w:rPr>
        <w:t>Orange Flesh Sweet Potato, Irrigation Scheduling, Maximum Allowable Depletion (MAD), Vermi-compost</w:t>
      </w:r>
    </w:p>
    <w:p w14:paraId="2FF116D9" w14:textId="77777777" w:rsidR="00BD772F" w:rsidRDefault="00BD772F" w:rsidP="00BD772F">
      <w:pPr>
        <w:spacing w:before="240"/>
        <w:jc w:val="both"/>
        <w:rPr>
          <w:rFonts w:ascii="Times New Roman" w:hAnsi="Times New Roman" w:cs="Times New Roman"/>
          <w:b/>
          <w:sz w:val="24"/>
          <w:szCs w:val="24"/>
        </w:rPr>
      </w:pPr>
      <w:r w:rsidRPr="006B60AF">
        <w:rPr>
          <w:rFonts w:ascii="Times New Roman" w:hAnsi="Times New Roman" w:cs="Times New Roman"/>
          <w:b/>
          <w:sz w:val="24"/>
          <w:szCs w:val="24"/>
        </w:rPr>
        <w:t>Introduction</w:t>
      </w:r>
    </w:p>
    <w:p w14:paraId="4F064166" w14:textId="77777777" w:rsidR="00B130B0" w:rsidRPr="00ED15B5" w:rsidRDefault="00B130B0" w:rsidP="00ED15B5">
      <w:pPr>
        <w:spacing w:before="100" w:beforeAutospacing="1" w:after="100" w:afterAutospacing="1" w:line="360" w:lineRule="auto"/>
        <w:jc w:val="both"/>
        <w:rPr>
          <w:rFonts w:ascii="Times New Roman" w:eastAsia="Times New Roman" w:hAnsi="Times New Roman" w:cs="Times New Roman"/>
          <w:sz w:val="24"/>
          <w:szCs w:val="24"/>
        </w:rPr>
      </w:pPr>
      <w:r w:rsidRPr="00ED15B5">
        <w:rPr>
          <w:rFonts w:ascii="Times New Roman" w:eastAsia="Times New Roman" w:hAnsi="Times New Roman" w:cs="Times New Roman"/>
          <w:sz w:val="24"/>
          <w:szCs w:val="24"/>
        </w:rPr>
        <w:t>Sweet potato (</w:t>
      </w:r>
      <w:r w:rsidRPr="00ED15B5">
        <w:rPr>
          <w:rFonts w:ascii="Times New Roman" w:eastAsia="Times New Roman" w:hAnsi="Times New Roman" w:cs="Times New Roman"/>
          <w:i/>
          <w:iCs/>
          <w:sz w:val="24"/>
          <w:szCs w:val="24"/>
        </w:rPr>
        <w:t>Ipomoea batatas</w:t>
      </w:r>
      <w:r w:rsidRPr="00ED15B5">
        <w:rPr>
          <w:rFonts w:ascii="Times New Roman" w:eastAsia="Times New Roman" w:hAnsi="Times New Roman" w:cs="Times New Roman"/>
          <w:sz w:val="24"/>
          <w:szCs w:val="24"/>
        </w:rPr>
        <w:t xml:space="preserve"> L.) is an important root crop cultivated widely in Ethiopia, valued for its nutritional, economic, and food security contributions, especially in rural communities</w:t>
      </w:r>
      <w:r w:rsidR="00BD19FA" w:rsidRPr="00ED15B5">
        <w:rPr>
          <w:rFonts w:ascii="Times New Roman" w:hAnsi="Times New Roman" w:cs="Times New Roman"/>
          <w:sz w:val="24"/>
          <w:szCs w:val="24"/>
        </w:rPr>
        <w:t xml:space="preserve"> (Low et al., 2009; </w:t>
      </w:r>
      <w:proofErr w:type="spellStart"/>
      <w:r w:rsidR="00BD19FA" w:rsidRPr="00ED15B5">
        <w:rPr>
          <w:rFonts w:ascii="Times New Roman" w:hAnsi="Times New Roman" w:cs="Times New Roman"/>
          <w:sz w:val="24"/>
          <w:szCs w:val="24"/>
        </w:rPr>
        <w:t>Lemaga</w:t>
      </w:r>
      <w:proofErr w:type="spellEnd"/>
      <w:r w:rsidR="00BD19FA" w:rsidRPr="00ED15B5">
        <w:rPr>
          <w:rFonts w:ascii="Times New Roman" w:hAnsi="Times New Roman" w:cs="Times New Roman"/>
          <w:sz w:val="24"/>
          <w:szCs w:val="24"/>
        </w:rPr>
        <w:t xml:space="preserve"> et al., 2013)</w:t>
      </w:r>
      <w:r w:rsidRPr="00ED15B5">
        <w:rPr>
          <w:rFonts w:ascii="Times New Roman" w:eastAsia="Times New Roman" w:hAnsi="Times New Roman" w:cs="Times New Roman"/>
          <w:sz w:val="24"/>
          <w:szCs w:val="24"/>
        </w:rPr>
        <w:t xml:space="preserve">. Despite its significance, sweet potato productivity remains low in many parts of the country due to suboptimal water management practices and limited access to improved irrigation technologies (FAO, 2021). Efficient irrigation scheduling plays a crucial role in optimizing water use and enhancing crop yields, particularly in </w:t>
      </w:r>
      <w:r w:rsidRPr="00ED15B5">
        <w:rPr>
          <w:rFonts w:ascii="Times New Roman" w:eastAsia="Times New Roman" w:hAnsi="Times New Roman" w:cs="Times New Roman"/>
          <w:sz w:val="24"/>
          <w:szCs w:val="24"/>
        </w:rPr>
        <w:lastRenderedPageBreak/>
        <w:t xml:space="preserve">arid and semi-arid regions like the </w:t>
      </w:r>
      <w:proofErr w:type="spellStart"/>
      <w:r w:rsidRPr="00ED15B5">
        <w:rPr>
          <w:rFonts w:ascii="Times New Roman" w:eastAsia="Times New Roman" w:hAnsi="Times New Roman" w:cs="Times New Roman"/>
          <w:sz w:val="24"/>
          <w:szCs w:val="24"/>
        </w:rPr>
        <w:t>Halaba</w:t>
      </w:r>
      <w:proofErr w:type="spellEnd"/>
      <w:r w:rsidRPr="00ED15B5">
        <w:rPr>
          <w:rFonts w:ascii="Times New Roman" w:eastAsia="Times New Roman" w:hAnsi="Times New Roman" w:cs="Times New Roman"/>
          <w:sz w:val="24"/>
          <w:szCs w:val="24"/>
        </w:rPr>
        <w:t xml:space="preserve"> Zone, where rainfall is erratic and often insufficient for reliable crop production (</w:t>
      </w:r>
      <w:proofErr w:type="spellStart"/>
      <w:r w:rsidRPr="00ED15B5">
        <w:rPr>
          <w:rFonts w:ascii="Times New Roman" w:eastAsia="Times New Roman" w:hAnsi="Times New Roman" w:cs="Times New Roman"/>
          <w:sz w:val="24"/>
          <w:szCs w:val="24"/>
        </w:rPr>
        <w:t>MoA</w:t>
      </w:r>
      <w:proofErr w:type="spellEnd"/>
      <w:r w:rsidRPr="00ED15B5">
        <w:rPr>
          <w:rFonts w:ascii="Times New Roman" w:eastAsia="Times New Roman" w:hAnsi="Times New Roman" w:cs="Times New Roman"/>
          <w:sz w:val="24"/>
          <w:szCs w:val="24"/>
        </w:rPr>
        <w:t>, 2020).</w:t>
      </w:r>
    </w:p>
    <w:p w14:paraId="3E07B33B" w14:textId="77777777" w:rsidR="00B130B0" w:rsidRPr="00ED15B5" w:rsidRDefault="00B130B0" w:rsidP="00ED15B5">
      <w:pPr>
        <w:spacing w:before="100" w:beforeAutospacing="1" w:after="100" w:afterAutospacing="1" w:line="360" w:lineRule="auto"/>
        <w:jc w:val="both"/>
        <w:rPr>
          <w:rFonts w:ascii="Times New Roman" w:eastAsia="Times New Roman" w:hAnsi="Times New Roman" w:cs="Times New Roman"/>
          <w:sz w:val="24"/>
          <w:szCs w:val="24"/>
        </w:rPr>
      </w:pPr>
      <w:r w:rsidRPr="00ED15B5">
        <w:rPr>
          <w:rFonts w:ascii="Times New Roman" w:eastAsia="Times New Roman" w:hAnsi="Times New Roman" w:cs="Times New Roman"/>
          <w:sz w:val="24"/>
          <w:szCs w:val="24"/>
        </w:rPr>
        <w:t>The integration of solar-powered irrigation systems offers a promising solution to address both water scarcity and energy limitations in smallholder farming systems. Solar pump irrigation has been recognized for its sustainability, low operating costs, and environmental friendliness, making it an ideal option for regions with high solar radiation and limited grid access (IRENA, 2016). However, the adoption of solar irrigation technologies requires locally adapted irrigation scheduling practices to ensure water is applied efficiently and crop needs are adequately met.</w:t>
      </w:r>
    </w:p>
    <w:p w14:paraId="4873BBB8" w14:textId="77777777" w:rsidR="00B130B0" w:rsidRPr="00595D46" w:rsidRDefault="00B130B0" w:rsidP="00595D46">
      <w:pPr>
        <w:spacing w:before="100" w:beforeAutospacing="1" w:after="100" w:afterAutospacing="1" w:line="360" w:lineRule="auto"/>
        <w:jc w:val="both"/>
        <w:rPr>
          <w:rFonts w:ascii="Times New Roman" w:eastAsia="Times New Roman" w:hAnsi="Times New Roman" w:cs="Times New Roman"/>
          <w:sz w:val="24"/>
          <w:szCs w:val="24"/>
        </w:rPr>
      </w:pPr>
      <w:r w:rsidRPr="00ED15B5">
        <w:rPr>
          <w:rFonts w:ascii="Times New Roman" w:eastAsia="Times New Roman" w:hAnsi="Times New Roman" w:cs="Times New Roman"/>
          <w:sz w:val="24"/>
          <w:szCs w:val="24"/>
        </w:rPr>
        <w:t xml:space="preserve">Participatory demonstration approaches have proven effective in promoting the adoption of agricultural innovations, as they actively involve farmers in the evaluation and refinement of technologies based on real-world conditions and local knowledge (Pretty et al., 2011). In this context, a participatory demonstration of irrigation scheduling under solar pump irrigation was conducted for sweet potato production in Dijo Woreda of </w:t>
      </w:r>
      <w:proofErr w:type="spellStart"/>
      <w:r w:rsidRPr="00ED15B5">
        <w:rPr>
          <w:rFonts w:ascii="Times New Roman" w:eastAsia="Times New Roman" w:hAnsi="Times New Roman" w:cs="Times New Roman"/>
          <w:sz w:val="24"/>
          <w:szCs w:val="24"/>
        </w:rPr>
        <w:t>Halaba</w:t>
      </w:r>
      <w:proofErr w:type="spellEnd"/>
      <w:r w:rsidRPr="00ED15B5">
        <w:rPr>
          <w:rFonts w:ascii="Times New Roman" w:eastAsia="Times New Roman" w:hAnsi="Times New Roman" w:cs="Times New Roman"/>
          <w:sz w:val="24"/>
          <w:szCs w:val="24"/>
        </w:rPr>
        <w:t xml:space="preserve"> Zone. This study aimed to evaluate the agronomic performance and water use efficiency of sweet potato under scientifically scheduled irrigation using solar pumps, and to enhance farmer awareness and capacity in sustainable irrigation management.</w:t>
      </w:r>
    </w:p>
    <w:p w14:paraId="1AF56128" w14:textId="77777777" w:rsidR="00BD772F" w:rsidRPr="00595D46" w:rsidRDefault="00BD772F" w:rsidP="00BD772F">
      <w:pPr>
        <w:jc w:val="both"/>
        <w:rPr>
          <w:rFonts w:ascii="Times New Roman" w:hAnsi="Times New Roman" w:cs="Times New Roman"/>
          <w:b/>
          <w:color w:val="000000"/>
          <w:sz w:val="24"/>
          <w:szCs w:val="24"/>
        </w:rPr>
      </w:pPr>
      <w:r w:rsidRPr="00595D46">
        <w:rPr>
          <w:rFonts w:ascii="Times New Roman" w:hAnsi="Times New Roman" w:cs="Times New Roman"/>
          <w:b/>
          <w:color w:val="000000"/>
          <w:sz w:val="24"/>
          <w:szCs w:val="24"/>
        </w:rPr>
        <w:t>Materials and Methods</w:t>
      </w:r>
    </w:p>
    <w:p w14:paraId="529CF0CE" w14:textId="77777777" w:rsidR="00A00951" w:rsidRPr="00595D46" w:rsidRDefault="008F67CA" w:rsidP="00BD772F">
      <w:pPr>
        <w:jc w:val="both"/>
        <w:rPr>
          <w:rFonts w:ascii="Times New Roman" w:hAnsi="Times New Roman" w:cs="Times New Roman"/>
          <w:b/>
          <w:color w:val="000000"/>
          <w:sz w:val="24"/>
          <w:szCs w:val="24"/>
        </w:rPr>
      </w:pPr>
      <w:r w:rsidRPr="00595D46">
        <w:rPr>
          <w:rFonts w:ascii="Times New Roman" w:hAnsi="Times New Roman" w:cs="Times New Roman"/>
          <w:b/>
          <w:color w:val="000000"/>
          <w:sz w:val="24"/>
          <w:szCs w:val="24"/>
        </w:rPr>
        <w:t xml:space="preserve">Description of the study area </w:t>
      </w:r>
    </w:p>
    <w:p w14:paraId="69CEEE4B" w14:textId="77777777" w:rsidR="0040029E" w:rsidRDefault="00ED15B5" w:rsidP="00595D46">
      <w:pPr>
        <w:pStyle w:val="NormalWeb"/>
        <w:spacing w:line="360" w:lineRule="auto"/>
        <w:jc w:val="both"/>
        <w:rPr>
          <w:rFonts w:eastAsiaTheme="minorEastAsia"/>
        </w:rPr>
      </w:pPr>
      <w:r w:rsidRPr="00ED15B5">
        <w:rPr>
          <w:rFonts w:eastAsiaTheme="minorEastAsia"/>
        </w:rPr>
        <w:t xml:space="preserve">The study was conducted in </w:t>
      </w:r>
      <w:proofErr w:type="spellStart"/>
      <w:r w:rsidRPr="00ED15B5">
        <w:rPr>
          <w:rFonts w:eastAsiaTheme="minorEastAsia"/>
        </w:rPr>
        <w:t>Simbita</w:t>
      </w:r>
      <w:proofErr w:type="spellEnd"/>
      <w:r w:rsidRPr="00ED15B5">
        <w:rPr>
          <w:rFonts w:eastAsiaTheme="minorEastAsia"/>
        </w:rPr>
        <w:t xml:space="preserve"> Kebele, Wera-Dijo Woreda of </w:t>
      </w:r>
      <w:proofErr w:type="spellStart"/>
      <w:r w:rsidRPr="00ED15B5">
        <w:rPr>
          <w:rFonts w:eastAsiaTheme="minorEastAsia"/>
        </w:rPr>
        <w:t>Halaba</w:t>
      </w:r>
      <w:proofErr w:type="spellEnd"/>
      <w:r w:rsidRPr="00ED15B5">
        <w:rPr>
          <w:rFonts w:eastAsiaTheme="minorEastAsia"/>
        </w:rPr>
        <w:t xml:space="preserve"> Zone, geographically located at an altitude ranging from 1,605 to 1,770 meters above sea level (</w:t>
      </w:r>
      <w:proofErr w:type="spellStart"/>
      <w:r w:rsidRPr="00ED15B5">
        <w:rPr>
          <w:rFonts w:eastAsiaTheme="minorEastAsia"/>
        </w:rPr>
        <w:t>a.s.l</w:t>
      </w:r>
      <w:proofErr w:type="spellEnd"/>
      <w:r w:rsidRPr="00ED15B5">
        <w:rPr>
          <w:rFonts w:eastAsiaTheme="minorEastAsia"/>
        </w:rPr>
        <w:t xml:space="preserve">.), with a longitude range of 38˚00′30″ to 38˚36′30″ E and a latitude range of 07˚22′00″ to 07˚42′00″ N. The area receives an average annual precipitation of approximately 1,200 mm, with the majority occurring between February and June, and the remainder between July and September. Summer temperatures in the study area range from 22°C to 35°C, while winter temperatures range from </w:t>
      </w:r>
      <w:r w:rsidR="0040029E" w:rsidRPr="00ED15B5">
        <w:rPr>
          <w:rFonts w:eastAsiaTheme="minorEastAsia"/>
        </w:rPr>
        <w:t>13°C to 20°C</w:t>
      </w:r>
      <w:r w:rsidR="0040029E">
        <w:rPr>
          <w:rFonts w:eastAsiaTheme="minorEastAsia"/>
        </w:rPr>
        <w:t>.</w:t>
      </w:r>
    </w:p>
    <w:p w14:paraId="42989CD2" w14:textId="77777777" w:rsidR="0040029E" w:rsidRDefault="0040029E" w:rsidP="00595D46">
      <w:pPr>
        <w:pStyle w:val="NormalWeb"/>
        <w:spacing w:line="360" w:lineRule="auto"/>
        <w:jc w:val="both"/>
        <w:rPr>
          <w:rFonts w:eastAsiaTheme="minorEastAsia"/>
        </w:rPr>
      </w:pPr>
    </w:p>
    <w:p w14:paraId="73C4FB81" w14:textId="77777777" w:rsidR="0040029E" w:rsidRDefault="00F514F4" w:rsidP="0040029E">
      <w:pPr>
        <w:pStyle w:val="NormalWeb"/>
        <w:spacing w:before="0" w:beforeAutospacing="0" w:after="0" w:afterAutospacing="0" w:line="360" w:lineRule="auto"/>
        <w:jc w:val="both"/>
        <w:rPr>
          <w:rFonts w:eastAsiaTheme="minorEastAsia"/>
        </w:rPr>
      </w:pPr>
      <w:r>
        <w:rPr>
          <w:noProof/>
        </w:rPr>
        <w:lastRenderedPageBreak/>
        <w:drawing>
          <wp:inline distT="0" distB="0" distL="0" distR="0" wp14:anchorId="4215A10F" wp14:editId="52D09FF4">
            <wp:extent cx="4984750" cy="3851851"/>
            <wp:effectExtent l="0" t="0" r="6350" b="0"/>
            <wp:docPr id="3" name="Picture 1" descr="C:\Users\Toshiba\Desktop\wera_di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wera_dijo.jpg"/>
                    <pic:cNvPicPr>
                      <a:picLocks noChangeAspect="1" noChangeArrowheads="1"/>
                    </pic:cNvPicPr>
                  </pic:nvPicPr>
                  <pic:blipFill>
                    <a:blip r:embed="rId7"/>
                    <a:srcRect/>
                    <a:stretch>
                      <a:fillRect/>
                    </a:stretch>
                  </pic:blipFill>
                  <pic:spPr bwMode="auto">
                    <a:xfrm>
                      <a:off x="0" y="0"/>
                      <a:ext cx="4987195" cy="3853741"/>
                    </a:xfrm>
                    <a:prstGeom prst="rect">
                      <a:avLst/>
                    </a:prstGeom>
                    <a:noFill/>
                    <a:ln w="9525">
                      <a:noFill/>
                      <a:miter lim="800000"/>
                      <a:headEnd/>
                      <a:tailEnd/>
                    </a:ln>
                  </pic:spPr>
                </pic:pic>
              </a:graphicData>
            </a:graphic>
          </wp:inline>
        </w:drawing>
      </w:r>
    </w:p>
    <w:p w14:paraId="66F16E2F" w14:textId="73B33677" w:rsidR="0040029E" w:rsidRPr="0040029E" w:rsidRDefault="00BD6B27" w:rsidP="0040029E">
      <w:pPr>
        <w:pStyle w:val="NormalWeb"/>
        <w:spacing w:before="0" w:beforeAutospacing="0" w:after="0" w:afterAutospacing="0" w:line="360" w:lineRule="auto"/>
        <w:jc w:val="center"/>
        <w:rPr>
          <w:rFonts w:eastAsiaTheme="minorEastAsia"/>
        </w:rPr>
      </w:pPr>
      <w:r>
        <w:rPr>
          <w:rFonts w:eastAsiaTheme="minorEastAsia"/>
        </w:rPr>
        <w:t>Fig 1-</w:t>
      </w:r>
      <w:r w:rsidR="0040029E">
        <w:rPr>
          <w:rFonts w:eastAsiaTheme="minorEastAsia"/>
        </w:rPr>
        <w:t>Map of the study area</w:t>
      </w:r>
    </w:p>
    <w:p w14:paraId="571CF7AF" w14:textId="77777777" w:rsidR="00BD772F" w:rsidRDefault="00BD772F" w:rsidP="00BD772F">
      <w:pPr>
        <w:spacing w:after="0" w:line="240" w:lineRule="auto"/>
        <w:jc w:val="both"/>
        <w:rPr>
          <w:rFonts w:ascii="Times New Roman" w:hAnsi="Times New Roman" w:cs="Times New Roman"/>
          <w:b/>
          <w:color w:val="000000"/>
          <w:sz w:val="24"/>
          <w:szCs w:val="24"/>
        </w:rPr>
      </w:pPr>
      <w:r w:rsidRPr="006F20FE">
        <w:rPr>
          <w:rFonts w:ascii="Times New Roman" w:hAnsi="Times New Roman" w:cs="Times New Roman"/>
          <w:b/>
          <w:color w:val="000000"/>
          <w:sz w:val="24"/>
          <w:szCs w:val="24"/>
        </w:rPr>
        <w:t xml:space="preserve">Climate data </w:t>
      </w:r>
    </w:p>
    <w:p w14:paraId="0D56E306" w14:textId="77777777" w:rsidR="00781CFA" w:rsidRDefault="00A97099" w:rsidP="004C68A4">
      <w:pPr>
        <w:spacing w:line="360" w:lineRule="auto"/>
        <w:jc w:val="both"/>
        <w:rPr>
          <w:rFonts w:ascii="Times New Roman" w:hAnsi="Times New Roman" w:cs="Times New Roman"/>
          <w:color w:val="000000"/>
          <w:sz w:val="24"/>
          <w:szCs w:val="24"/>
        </w:rPr>
      </w:pPr>
      <w:r w:rsidRPr="00623C49">
        <w:rPr>
          <w:rFonts w:ascii="Times New Roman" w:hAnsi="Times New Roman" w:cs="Times New Roman"/>
          <w:color w:val="000000"/>
          <w:sz w:val="24"/>
          <w:szCs w:val="24"/>
        </w:rPr>
        <w:t xml:space="preserve">The average </w:t>
      </w:r>
      <w:r w:rsidR="00623C49">
        <w:rPr>
          <w:rFonts w:ascii="Times New Roman" w:hAnsi="Times New Roman" w:cs="Times New Roman"/>
          <w:color w:val="000000"/>
          <w:sz w:val="24"/>
          <w:szCs w:val="24"/>
        </w:rPr>
        <w:t xml:space="preserve">minimum and maximum </w:t>
      </w:r>
      <w:r w:rsidRPr="00623C49">
        <w:rPr>
          <w:rFonts w:ascii="Times New Roman" w:hAnsi="Times New Roman" w:cs="Times New Roman"/>
          <w:color w:val="000000"/>
          <w:sz w:val="24"/>
          <w:szCs w:val="24"/>
        </w:rPr>
        <w:t xml:space="preserve">temperature </w:t>
      </w:r>
      <w:r w:rsidR="00623C49">
        <w:rPr>
          <w:rFonts w:ascii="Times New Roman" w:hAnsi="Times New Roman" w:cs="Times New Roman"/>
          <w:color w:val="000000"/>
          <w:sz w:val="24"/>
          <w:szCs w:val="24"/>
        </w:rPr>
        <w:t>of the study area 10.8</w:t>
      </w:r>
      <w:r w:rsidR="00623C49" w:rsidRPr="00623C49">
        <w:rPr>
          <w:rFonts w:ascii="Times New Roman" w:hAnsi="Times New Roman" w:cs="Times New Roman"/>
          <w:color w:val="000000"/>
          <w:sz w:val="24"/>
          <w:szCs w:val="24"/>
        </w:rPr>
        <w:t>°C</w:t>
      </w:r>
      <w:r w:rsidR="00623C49">
        <w:rPr>
          <w:rFonts w:ascii="Times New Roman" w:hAnsi="Times New Roman" w:cs="Times New Roman"/>
          <w:color w:val="000000"/>
          <w:sz w:val="24"/>
          <w:szCs w:val="24"/>
        </w:rPr>
        <w:t xml:space="preserve"> and 27.5</w:t>
      </w:r>
      <w:r w:rsidR="00623C49" w:rsidRPr="00623C49">
        <w:rPr>
          <w:rFonts w:ascii="Times New Roman" w:hAnsi="Times New Roman" w:cs="Times New Roman"/>
          <w:color w:val="000000"/>
          <w:sz w:val="24"/>
          <w:szCs w:val="24"/>
        </w:rPr>
        <w:t>°C</w:t>
      </w:r>
      <w:r w:rsidR="00623C49">
        <w:rPr>
          <w:rFonts w:ascii="Times New Roman" w:hAnsi="Times New Roman" w:cs="Times New Roman"/>
          <w:color w:val="000000"/>
          <w:sz w:val="24"/>
          <w:szCs w:val="24"/>
        </w:rPr>
        <w:t xml:space="preserve"> respectively, </w:t>
      </w:r>
      <w:r w:rsidRPr="00623C49">
        <w:rPr>
          <w:rFonts w:ascii="Times New Roman" w:hAnsi="Times New Roman" w:cs="Times New Roman"/>
          <w:color w:val="000000"/>
          <w:sz w:val="24"/>
          <w:szCs w:val="24"/>
        </w:rPr>
        <w:t xml:space="preserve">and </w:t>
      </w:r>
      <w:r w:rsidR="00623C49">
        <w:rPr>
          <w:rFonts w:ascii="Times New Roman" w:hAnsi="Times New Roman" w:cs="Times New Roman"/>
          <w:color w:val="000000"/>
          <w:sz w:val="24"/>
          <w:szCs w:val="24"/>
        </w:rPr>
        <w:t xml:space="preserve">monthly average </w:t>
      </w:r>
      <w:r w:rsidRPr="00623C49">
        <w:rPr>
          <w:rFonts w:ascii="Times New Roman" w:hAnsi="Times New Roman" w:cs="Times New Roman"/>
          <w:color w:val="000000"/>
          <w:sz w:val="24"/>
          <w:szCs w:val="24"/>
        </w:rPr>
        <w:t>rainfall 89.7mm respectively. Annual Precipitation</w:t>
      </w:r>
      <w:r w:rsidR="00623C49">
        <w:rPr>
          <w:rFonts w:ascii="Times New Roman" w:hAnsi="Times New Roman" w:cs="Times New Roman"/>
          <w:color w:val="000000"/>
          <w:sz w:val="24"/>
          <w:szCs w:val="24"/>
        </w:rPr>
        <w:t xml:space="preserve"> </w:t>
      </w:r>
      <w:r w:rsidRPr="00623C49">
        <w:rPr>
          <w:rFonts w:ascii="Times New Roman" w:hAnsi="Times New Roman" w:cs="Times New Roman"/>
          <w:color w:val="000000"/>
          <w:sz w:val="24"/>
          <w:szCs w:val="24"/>
        </w:rPr>
        <w:t xml:space="preserve">here averages 1043 mm. </w:t>
      </w:r>
      <w:r w:rsidR="00623C49">
        <w:rPr>
          <w:rFonts w:ascii="Times New Roman" w:hAnsi="Times New Roman" w:cs="Times New Roman"/>
          <w:color w:val="000000"/>
          <w:sz w:val="24"/>
          <w:szCs w:val="24"/>
        </w:rPr>
        <w:t>Average reference evaporation of the study area for orange flush sweet potato is 4 mm/day.</w:t>
      </w:r>
    </w:p>
    <w:p w14:paraId="5950069D" w14:textId="77777777" w:rsidR="00781CFA" w:rsidRDefault="00781CFA" w:rsidP="00781CFA">
      <w:pPr>
        <w:spacing w:after="0" w:line="240" w:lineRule="auto"/>
        <w:jc w:val="center"/>
        <w:rPr>
          <w:rFonts w:ascii="Times New Roman" w:hAnsi="Times New Roman" w:cs="Times New Roman"/>
          <w:color w:val="000000"/>
          <w:sz w:val="24"/>
          <w:szCs w:val="24"/>
        </w:rPr>
      </w:pPr>
      <w:r w:rsidRPr="00781CFA">
        <w:rPr>
          <w:rFonts w:ascii="Times New Roman" w:hAnsi="Times New Roman" w:cs="Times New Roman"/>
          <w:noProof/>
          <w:color w:val="000000"/>
          <w:sz w:val="24"/>
          <w:szCs w:val="24"/>
        </w:rPr>
        <w:lastRenderedPageBreak/>
        <w:drawing>
          <wp:inline distT="0" distB="0" distL="0" distR="0" wp14:anchorId="289535E0" wp14:editId="7F408ADE">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1AA008" w14:textId="7768B32D" w:rsidR="00510E99" w:rsidRPr="00D61233" w:rsidRDefault="00781CFA" w:rsidP="00D6123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Figure</w:t>
      </w:r>
      <w:r w:rsidR="002340B0">
        <w:rPr>
          <w:rFonts w:ascii="Times New Roman" w:hAnsi="Times New Roman" w:cs="Times New Roman"/>
          <w:color w:val="000000"/>
          <w:sz w:val="24"/>
          <w:szCs w:val="24"/>
        </w:rPr>
        <w:t xml:space="preserve"> </w:t>
      </w:r>
      <w:r w:rsidR="00BD6B27">
        <w:rPr>
          <w:rFonts w:ascii="Times New Roman" w:hAnsi="Times New Roman" w:cs="Times New Roman"/>
          <w:color w:val="000000"/>
          <w:sz w:val="24"/>
          <w:szCs w:val="24"/>
        </w:rPr>
        <w:t>2</w:t>
      </w:r>
      <w:r w:rsidR="002340B0">
        <w:rPr>
          <w:rFonts w:ascii="Times New Roman" w:hAnsi="Times New Roman" w:cs="Times New Roman"/>
          <w:color w:val="000000"/>
          <w:sz w:val="24"/>
          <w:szCs w:val="24"/>
        </w:rPr>
        <w:t>-</w:t>
      </w:r>
      <w:r>
        <w:rPr>
          <w:rFonts w:ascii="Times New Roman" w:hAnsi="Times New Roman" w:cs="Times New Roman"/>
          <w:color w:val="000000"/>
          <w:sz w:val="24"/>
          <w:szCs w:val="24"/>
        </w:rPr>
        <w:t>: Monthly climate data</w:t>
      </w:r>
    </w:p>
    <w:p w14:paraId="0E7A3B6F" w14:textId="77777777" w:rsidR="00D61233" w:rsidRPr="006F20FE" w:rsidRDefault="00BD772F" w:rsidP="00BD772F">
      <w:pPr>
        <w:spacing w:after="0" w:line="360" w:lineRule="auto"/>
        <w:jc w:val="both"/>
        <w:rPr>
          <w:rFonts w:ascii="Times New Roman" w:hAnsi="Times New Roman" w:cs="Times New Roman"/>
          <w:b/>
          <w:color w:val="000000"/>
          <w:sz w:val="24"/>
          <w:szCs w:val="24"/>
        </w:rPr>
      </w:pPr>
      <w:r w:rsidRPr="006F20FE">
        <w:rPr>
          <w:rFonts w:ascii="Times New Roman" w:hAnsi="Times New Roman" w:cs="Times New Roman"/>
          <w:b/>
          <w:color w:val="000000"/>
          <w:sz w:val="24"/>
          <w:szCs w:val="24"/>
        </w:rPr>
        <w:t xml:space="preserve">Crop data </w:t>
      </w:r>
    </w:p>
    <w:p w14:paraId="0246D3CA" w14:textId="77777777" w:rsidR="00254633" w:rsidRDefault="00A335A1" w:rsidP="00A335A1">
      <w:pPr>
        <w:spacing w:line="360" w:lineRule="auto"/>
        <w:jc w:val="both"/>
      </w:pPr>
      <w:r w:rsidRPr="00595D46">
        <w:rPr>
          <w:rFonts w:ascii="Times New Roman" w:hAnsi="Times New Roman" w:cs="Times New Roman"/>
          <w:color w:val="000000"/>
          <w:sz w:val="24"/>
          <w:szCs w:val="24"/>
        </w:rPr>
        <w:t>Throughout the growth season, orange flush sweet potatoes need 500 to 700 mm of water to produce at their best. Potatoes have a maximum permitted depletion of 25% and a maximum effective root zone depth (RZD) of 50–60 cm (Andreas et al., 2002). After adjusting for early, development, mid, and late season stages to be 0.4, 0.7, 1.05, and 0.85, respectively, the average Kc for orange flush sweet potatoes would be determined (Doorenbos and Kassam, 1986). In the field, yield parameters such as total yield, unmarketable yield, and economical yield were measured.</w:t>
      </w:r>
    </w:p>
    <w:p w14:paraId="7237A447" w14:textId="77777777" w:rsidR="00C14868" w:rsidRPr="00EA5A70" w:rsidRDefault="00C14868" w:rsidP="00C14868">
      <w:pPr>
        <w:spacing w:after="0" w:line="360" w:lineRule="auto"/>
        <w:jc w:val="both"/>
        <w:rPr>
          <w:rFonts w:ascii="Times New Roman" w:hAnsi="Times New Roman" w:cs="Times New Roman"/>
          <w:b/>
          <w:sz w:val="24"/>
          <w:szCs w:val="24"/>
        </w:rPr>
      </w:pPr>
      <w:r w:rsidRPr="00EA5A70">
        <w:rPr>
          <w:rFonts w:ascii="Times New Roman" w:hAnsi="Times New Roman" w:cs="Times New Roman"/>
          <w:b/>
          <w:sz w:val="24"/>
          <w:szCs w:val="24"/>
        </w:rPr>
        <w:t>Crop Water Determination</w:t>
      </w:r>
    </w:p>
    <w:p w14:paraId="5BA624F7" w14:textId="77777777" w:rsidR="00C14868" w:rsidRPr="00EA5A70" w:rsidRDefault="00681C32" w:rsidP="00C14868">
      <w:pPr>
        <w:spacing w:after="0" w:line="360" w:lineRule="auto"/>
        <w:jc w:val="both"/>
        <w:rPr>
          <w:rFonts w:ascii="Times New Roman" w:hAnsi="Times New Roman" w:cs="Times New Roman"/>
          <w:sz w:val="24"/>
          <w:szCs w:val="24"/>
        </w:rPr>
      </w:pPr>
      <w:r w:rsidRPr="00681C32">
        <w:rPr>
          <w:rFonts w:ascii="Times New Roman" w:hAnsi="Times New Roman" w:cs="Times New Roman"/>
          <w:sz w:val="24"/>
          <w:szCs w:val="24"/>
        </w:rPr>
        <w:t xml:space="preserve">According to Allen et al. (1998), crop water need refers to the volume of water that must be supplied, whereas crop evapotranspiration refers to the amount of water lost by evapotranspiration. </w:t>
      </w:r>
      <w:r w:rsidR="00C14868" w:rsidRPr="00EA5A70">
        <w:rPr>
          <w:rFonts w:ascii="Times New Roman" w:hAnsi="Times New Roman" w:cs="Times New Roman"/>
          <w:sz w:val="24"/>
          <w:szCs w:val="24"/>
        </w:rPr>
        <w:t xml:space="preserve"> Based on the determination of crop water requirement, the effect of climate on crop water requirement, which is the reference crop evapotranspiration (</w:t>
      </w:r>
      <w:proofErr w:type="spellStart"/>
      <w:r w:rsidR="00C14868" w:rsidRPr="00EA5A70">
        <w:rPr>
          <w:rFonts w:ascii="Times New Roman" w:hAnsi="Times New Roman" w:cs="Times New Roman"/>
          <w:sz w:val="24"/>
          <w:szCs w:val="24"/>
        </w:rPr>
        <w:t>ETo</w:t>
      </w:r>
      <w:proofErr w:type="spellEnd"/>
      <w:r w:rsidR="00C14868" w:rsidRPr="00EA5A70">
        <w:rPr>
          <w:rFonts w:ascii="Times New Roman" w:hAnsi="Times New Roman" w:cs="Times New Roman"/>
          <w:sz w:val="24"/>
          <w:szCs w:val="24"/>
        </w:rPr>
        <w:t xml:space="preserve">), and the effect of crop characteristics (Kc) are very important (Doorenbos and Pruitt, 1977). The long period and daily climate data such as maximum and minimum air temperature, relative humidity, wind speed, sunshine hours, and rainfall data of the study area were collected to determine reference evapotranspiration, crop data like crop coefficient, a growing season, and development stage, effective root depth, critical depletion factor of tomato and maximum infiltration rate and total available water of the soil was determined to calculate crop water requirement using </w:t>
      </w:r>
      <w:proofErr w:type="spellStart"/>
      <w:r w:rsidR="00C14868" w:rsidRPr="00EA5A70">
        <w:rPr>
          <w:rFonts w:ascii="Times New Roman" w:hAnsi="Times New Roman" w:cs="Times New Roman"/>
          <w:sz w:val="24"/>
          <w:szCs w:val="24"/>
        </w:rPr>
        <w:t>cropwat</w:t>
      </w:r>
      <w:proofErr w:type="spellEnd"/>
      <w:r w:rsidR="00C14868" w:rsidRPr="00EA5A70">
        <w:rPr>
          <w:rFonts w:ascii="Times New Roman" w:hAnsi="Times New Roman" w:cs="Times New Roman"/>
          <w:sz w:val="24"/>
          <w:szCs w:val="24"/>
        </w:rPr>
        <w:t xml:space="preserve"> model. </w:t>
      </w:r>
    </w:p>
    <w:p w14:paraId="0FE4FB2A" w14:textId="77777777" w:rsidR="00C14868" w:rsidRPr="00EA5A70" w:rsidRDefault="00C14868" w:rsidP="00C14868">
      <w:pPr>
        <w:spacing w:after="0" w:line="360" w:lineRule="auto"/>
        <w:jc w:val="center"/>
        <w:rPr>
          <w:rFonts w:ascii="Times New Roman" w:hAnsi="Times New Roman" w:cs="Times New Roman"/>
          <w:sz w:val="24"/>
          <w:szCs w:val="24"/>
        </w:rPr>
      </w:pPr>
      <m:oMathPara>
        <m:oMath>
          <m:r>
            <w:rPr>
              <w:rFonts w:ascii="Cambria Math" w:hAnsi="Cambria Math" w:cs="Times New Roman"/>
              <w:sz w:val="24"/>
              <w:szCs w:val="24"/>
            </w:rPr>
            <w:lastRenderedPageBreak/>
            <m:t>ETc=ETo*Kc</m:t>
          </m:r>
        </m:oMath>
      </m:oMathPara>
    </w:p>
    <w:p w14:paraId="5E842F28" w14:textId="77777777" w:rsidR="00C14868" w:rsidRPr="00EA5A70" w:rsidRDefault="00C14868" w:rsidP="00C14868">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 xml:space="preserve">Where, </w:t>
      </w:r>
      <w:proofErr w:type="spellStart"/>
      <w:r w:rsidRPr="00EA5A70">
        <w:rPr>
          <w:rFonts w:ascii="Times New Roman" w:hAnsi="Times New Roman" w:cs="Times New Roman"/>
          <w:sz w:val="24"/>
          <w:szCs w:val="24"/>
        </w:rPr>
        <w:t>ETc</w:t>
      </w:r>
      <w:proofErr w:type="spellEnd"/>
      <w:r w:rsidRPr="00EA5A70">
        <w:rPr>
          <w:rFonts w:ascii="Times New Roman" w:hAnsi="Times New Roman" w:cs="Times New Roman"/>
          <w:sz w:val="24"/>
          <w:szCs w:val="24"/>
        </w:rPr>
        <w:t xml:space="preserve"> = crop evapotranspiration, Kc = crop coefficient and </w:t>
      </w:r>
      <w:proofErr w:type="spellStart"/>
      <w:r>
        <w:rPr>
          <w:rFonts w:ascii="Times New Roman" w:hAnsi="Times New Roman" w:cs="Times New Roman"/>
          <w:sz w:val="24"/>
          <w:szCs w:val="24"/>
        </w:rPr>
        <w:t>ETo</w:t>
      </w:r>
      <w:proofErr w:type="spellEnd"/>
      <w:r w:rsidRPr="00EA5A70">
        <w:rPr>
          <w:rFonts w:ascii="Times New Roman" w:hAnsi="Times New Roman" w:cs="Times New Roman"/>
          <w:sz w:val="24"/>
          <w:szCs w:val="24"/>
        </w:rPr>
        <w:t xml:space="preserve"> = reference evapotranspiration </w:t>
      </w:r>
    </w:p>
    <w:p w14:paraId="1011F484" w14:textId="77777777" w:rsidR="00C14868" w:rsidRPr="00EA5A70" w:rsidRDefault="00C14868" w:rsidP="00C14868">
      <w:pPr>
        <w:spacing w:after="0" w:line="360" w:lineRule="auto"/>
        <w:jc w:val="both"/>
        <w:rPr>
          <w:rFonts w:ascii="Times New Roman" w:hAnsi="Times New Roman" w:cs="Times New Roman"/>
          <w:b/>
          <w:sz w:val="24"/>
          <w:szCs w:val="24"/>
        </w:rPr>
      </w:pPr>
      <w:r w:rsidRPr="00EA5A70">
        <w:rPr>
          <w:rFonts w:ascii="Times New Roman" w:hAnsi="Times New Roman" w:cs="Times New Roman"/>
          <w:b/>
          <w:sz w:val="24"/>
          <w:szCs w:val="24"/>
        </w:rPr>
        <w:t>Irrigation Water Management</w:t>
      </w:r>
    </w:p>
    <w:p w14:paraId="1BDE1D69" w14:textId="77777777" w:rsidR="00C14868" w:rsidRPr="00EA5A70" w:rsidRDefault="00C14868" w:rsidP="00C14868">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 xml:space="preserve"> Total available water (TAW), stored in a unit volume of soil can be obtained from the equation:</w:t>
      </w:r>
    </w:p>
    <w:p w14:paraId="331AF420" w14:textId="77777777" w:rsidR="00C14868" w:rsidRPr="00EA5A70" w:rsidRDefault="00C14868" w:rsidP="00C14868">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TEW=(FC-PWP)*BD*Dz)/100</m:t>
          </m:r>
        </m:oMath>
      </m:oMathPara>
    </w:p>
    <w:p w14:paraId="2C144532" w14:textId="77777777" w:rsidR="00C14868" w:rsidRPr="00EA5A70" w:rsidRDefault="00C14868" w:rsidP="00C14868">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The depth of irrigation water supplied at any time was determined by the expression</w:t>
      </w:r>
    </w:p>
    <w:p w14:paraId="20AF5347" w14:textId="77777777" w:rsidR="00C14868" w:rsidRPr="00EA5A70" w:rsidRDefault="00C14868" w:rsidP="00C14868">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 xml:space="preserve">Inet </m:t>
          </m:r>
          <m:d>
            <m:dPr>
              <m:ctrlPr>
                <w:rPr>
                  <w:rFonts w:ascii="Cambria Math" w:hAnsi="Cambria Math" w:cs="Times New Roman"/>
                  <w:i/>
                  <w:sz w:val="24"/>
                  <w:szCs w:val="24"/>
                </w:rPr>
              </m:ctrlPr>
            </m:dPr>
            <m:e>
              <m:r>
                <w:rPr>
                  <w:rFonts w:ascii="Cambria Math" w:hAnsi="Cambria Math" w:cs="Times New Roman"/>
                  <w:sz w:val="24"/>
                  <w:szCs w:val="24"/>
                </w:rPr>
                <m:t>mm</m:t>
              </m:r>
            </m:e>
          </m:d>
          <m:r>
            <w:rPr>
              <w:rFonts w:ascii="Cambria Math" w:hAnsi="Cambria Math" w:cs="Times New Roman"/>
              <w:sz w:val="24"/>
              <w:szCs w:val="24"/>
            </w:rPr>
            <m:t>=ETc</m:t>
          </m:r>
          <m:d>
            <m:dPr>
              <m:ctrlPr>
                <w:rPr>
                  <w:rFonts w:ascii="Cambria Math" w:hAnsi="Cambria Math" w:cs="Times New Roman"/>
                  <w:i/>
                  <w:sz w:val="24"/>
                  <w:szCs w:val="24"/>
                </w:rPr>
              </m:ctrlPr>
            </m:dPr>
            <m:e>
              <m:r>
                <w:rPr>
                  <w:rFonts w:ascii="Cambria Math" w:hAnsi="Cambria Math" w:cs="Times New Roman"/>
                  <w:sz w:val="24"/>
                  <w:szCs w:val="24"/>
                </w:rPr>
                <m:t>mm</m:t>
              </m:r>
            </m:e>
          </m:d>
          <m:r>
            <w:rPr>
              <w:rFonts w:ascii="Cambria Math" w:hAnsi="Cambria Math" w:cs="Times New Roman"/>
              <w:sz w:val="24"/>
              <w:szCs w:val="24"/>
            </w:rPr>
            <m:t>-Peff(mm)</m:t>
          </m:r>
        </m:oMath>
      </m:oMathPara>
    </w:p>
    <w:p w14:paraId="011A828B" w14:textId="77777777" w:rsidR="00C14868" w:rsidRPr="00EA5A70" w:rsidRDefault="00C14868" w:rsidP="00C14868">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The gross irrigation requirement will be found from the expression:</w:t>
      </w:r>
    </w:p>
    <w:p w14:paraId="710EC75D" w14:textId="77777777" w:rsidR="00C14868" w:rsidRPr="00EA5A70" w:rsidRDefault="00C14868" w:rsidP="00C14868">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Ig=In/Ea</m:t>
          </m:r>
        </m:oMath>
      </m:oMathPara>
    </w:p>
    <w:p w14:paraId="5F0335D1" w14:textId="77777777" w:rsidR="00C14868" w:rsidRPr="00EA5A70" w:rsidRDefault="00C14868" w:rsidP="00C14868">
      <w:pPr>
        <w:spacing w:after="0" w:line="360" w:lineRule="auto"/>
        <w:jc w:val="both"/>
        <w:rPr>
          <w:rFonts w:ascii="Times New Roman" w:hAnsi="Times New Roman" w:cs="Times New Roman"/>
          <w:sz w:val="24"/>
          <w:szCs w:val="24"/>
        </w:rPr>
      </w:pPr>
      <w:proofErr w:type="spellStart"/>
      <w:r w:rsidRPr="00EA5A70">
        <w:rPr>
          <w:rFonts w:ascii="Times New Roman" w:hAnsi="Times New Roman" w:cs="Times New Roman"/>
          <w:sz w:val="24"/>
          <w:szCs w:val="24"/>
        </w:rPr>
        <w:t>Ea</w:t>
      </w:r>
      <w:proofErr w:type="spellEnd"/>
      <w:r w:rsidRPr="00EA5A70">
        <w:rPr>
          <w:rFonts w:ascii="Times New Roman" w:hAnsi="Times New Roman" w:cs="Times New Roman"/>
          <w:sz w:val="24"/>
          <w:szCs w:val="24"/>
        </w:rPr>
        <w:t xml:space="preserve"> =application efficiency of the furrows (60%)</w:t>
      </w:r>
    </w:p>
    <w:p w14:paraId="1934820C" w14:textId="77777777" w:rsidR="00C14868" w:rsidRPr="00EA5A70" w:rsidRDefault="00C14868" w:rsidP="00C14868">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The time required to distribute the desired depth of water into each furrow will be calculated using the equation:</w:t>
      </w:r>
    </w:p>
    <w:p w14:paraId="0E6DC826" w14:textId="77777777" w:rsidR="00C14868" w:rsidRPr="00EA5A70" w:rsidRDefault="00C14868" w:rsidP="00C14868">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t=(d*l*w)/(6*Q)</m:t>
          </m:r>
        </m:oMath>
      </m:oMathPara>
    </w:p>
    <w:p w14:paraId="24A41FB7" w14:textId="77777777" w:rsidR="00C14868" w:rsidRPr="00C14868" w:rsidRDefault="00C14868" w:rsidP="00C14868">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Where: t= application time (min), l= furrow length in (m), d= gross depth of water applied (cm), w= furrow spacing in (m), and Q= flow rate (discharge) (l/s)</w:t>
      </w:r>
    </w:p>
    <w:p w14:paraId="47617504" w14:textId="77777777" w:rsidR="00E904FD" w:rsidRPr="0040029E" w:rsidRDefault="00E904FD" w:rsidP="00E904FD">
      <w:pPr>
        <w:spacing w:after="0" w:line="360" w:lineRule="auto"/>
        <w:jc w:val="both"/>
        <w:rPr>
          <w:rFonts w:ascii="Times New Roman" w:hAnsi="Times New Roman" w:cs="Times New Roman"/>
          <w:b/>
          <w:color w:val="000000"/>
          <w:sz w:val="24"/>
          <w:szCs w:val="24"/>
        </w:rPr>
      </w:pPr>
      <w:r w:rsidRPr="0040029E">
        <w:rPr>
          <w:rFonts w:ascii="Times New Roman" w:hAnsi="Times New Roman" w:cs="Times New Roman"/>
          <w:b/>
          <w:color w:val="000000"/>
          <w:sz w:val="24"/>
          <w:szCs w:val="24"/>
        </w:rPr>
        <w:t>Data Collection</w:t>
      </w:r>
    </w:p>
    <w:p w14:paraId="00D2E383" w14:textId="77777777" w:rsidR="00F4123C" w:rsidRPr="00F4123C" w:rsidRDefault="00F4123C" w:rsidP="00F4123C">
      <w:pPr>
        <w:spacing w:after="0" w:line="360" w:lineRule="auto"/>
        <w:jc w:val="both"/>
        <w:rPr>
          <w:rFonts w:ascii="Times New Roman" w:hAnsi="Times New Roman" w:cs="Times New Roman"/>
          <w:sz w:val="24"/>
          <w:szCs w:val="24"/>
        </w:rPr>
      </w:pPr>
      <w:r w:rsidRPr="00F4123C">
        <w:rPr>
          <w:rFonts w:ascii="Times New Roman" w:hAnsi="Times New Roman" w:cs="Times New Roman"/>
          <w:sz w:val="24"/>
          <w:szCs w:val="24"/>
        </w:rPr>
        <w:t>To evaluate the performance of Orange Flesh Sweet Potato under different irrigation scheduling treatments, various agronomic and yield-related parameters were measured. The number of roots per plant (NRPP) was determined by manually counting roots from randomly selected plants within each plot. Vein length (VL) was measured in centimeters using a ruler, extending from the base to the tip of the main leaf vein. Root length (RL) and root diameter (RD) were recorded in centimeters using a tape measure and digital caliper, respectively, on representative harvested roots. Marketable yield (MY) and unmarketable yield (UMY) were assessed in kilograms per hectare using a digital field scale, following standard visual grading criteria. Finally, total yield (TY) was calculated as the sum of marketable and unmarketable yields.</w:t>
      </w:r>
    </w:p>
    <w:p w14:paraId="356ECFE3" w14:textId="77777777" w:rsidR="00BD772F" w:rsidRPr="0040029E" w:rsidRDefault="00BD772F" w:rsidP="00F4123C">
      <w:pPr>
        <w:spacing w:before="240" w:after="0" w:line="360" w:lineRule="auto"/>
        <w:jc w:val="both"/>
        <w:rPr>
          <w:rFonts w:ascii="Times New Roman" w:hAnsi="Times New Roman" w:cs="Times New Roman"/>
          <w:b/>
          <w:color w:val="000000"/>
          <w:sz w:val="24"/>
          <w:szCs w:val="24"/>
        </w:rPr>
      </w:pPr>
      <w:r w:rsidRPr="0040029E">
        <w:rPr>
          <w:rFonts w:ascii="Times New Roman" w:hAnsi="Times New Roman" w:cs="Times New Roman"/>
          <w:b/>
          <w:color w:val="000000"/>
          <w:sz w:val="24"/>
          <w:szCs w:val="24"/>
        </w:rPr>
        <w:t>Statistical analysis</w:t>
      </w:r>
    </w:p>
    <w:p w14:paraId="772A1340" w14:textId="77777777" w:rsidR="00F4123C" w:rsidRPr="00F4123C" w:rsidRDefault="00F4123C" w:rsidP="00F4123C">
      <w:pPr>
        <w:spacing w:after="100" w:afterAutospacing="1" w:line="360" w:lineRule="auto"/>
        <w:jc w:val="both"/>
        <w:rPr>
          <w:rFonts w:ascii="Times New Roman" w:eastAsia="Times New Roman" w:hAnsi="Times New Roman" w:cs="Times New Roman"/>
          <w:sz w:val="24"/>
          <w:szCs w:val="24"/>
        </w:rPr>
      </w:pPr>
      <w:r w:rsidRPr="00F4123C">
        <w:rPr>
          <w:rFonts w:ascii="Times New Roman" w:eastAsia="Times New Roman" w:hAnsi="Times New Roman" w:cs="Times New Roman"/>
          <w:sz w:val="24"/>
          <w:szCs w:val="24"/>
        </w:rPr>
        <w:t xml:space="preserve">Data were statistically analyzed using the Least Significant Difference (LSD) test at a 5% significance level to compare treatment means. The </w:t>
      </w:r>
      <w:r w:rsidRPr="00F4123C">
        <w:rPr>
          <w:rFonts w:ascii="Times New Roman" w:eastAsia="Times New Roman" w:hAnsi="Times New Roman" w:cs="Times New Roman"/>
          <w:bCs/>
          <w:sz w:val="24"/>
          <w:szCs w:val="24"/>
        </w:rPr>
        <w:t>Coefficient of Variation (CV)</w:t>
      </w:r>
      <w:r w:rsidRPr="00F4123C">
        <w:rPr>
          <w:rFonts w:ascii="Times New Roman" w:eastAsia="Times New Roman" w:hAnsi="Times New Roman" w:cs="Times New Roman"/>
          <w:sz w:val="24"/>
          <w:szCs w:val="24"/>
        </w:rPr>
        <w:t xml:space="preserve"> was also calculated to assess variability within treatments and ensure data reliability.</w:t>
      </w:r>
    </w:p>
    <w:p w14:paraId="2431771D" w14:textId="77777777" w:rsidR="00BD772F" w:rsidRDefault="00BD772F" w:rsidP="00BD772F">
      <w:pPr>
        <w:spacing w:after="0" w:line="360" w:lineRule="auto"/>
        <w:jc w:val="both"/>
        <w:rPr>
          <w:rFonts w:ascii="Times New Roman" w:hAnsi="Times New Roman" w:cs="Times New Roman"/>
          <w:b/>
          <w:color w:val="000000"/>
          <w:sz w:val="24"/>
          <w:szCs w:val="24"/>
        </w:rPr>
      </w:pPr>
      <w:r w:rsidRPr="00332B59">
        <w:rPr>
          <w:rFonts w:ascii="Times New Roman" w:hAnsi="Times New Roman" w:cs="Times New Roman"/>
          <w:b/>
          <w:color w:val="000000"/>
          <w:sz w:val="24"/>
          <w:szCs w:val="24"/>
        </w:rPr>
        <w:lastRenderedPageBreak/>
        <w:t>Results and Discussions</w:t>
      </w:r>
    </w:p>
    <w:p w14:paraId="18B34690" w14:textId="77777777" w:rsidR="00E904FD" w:rsidRPr="00864A5F" w:rsidRDefault="00E904FD" w:rsidP="00E904FD">
      <w:pPr>
        <w:spacing w:after="0" w:line="360" w:lineRule="auto"/>
        <w:jc w:val="both"/>
        <w:rPr>
          <w:rFonts w:ascii="Times New Roman" w:hAnsi="Times New Roman" w:cs="Times New Roman"/>
          <w:b/>
          <w:sz w:val="24"/>
          <w:szCs w:val="24"/>
        </w:rPr>
      </w:pPr>
      <w:r w:rsidRPr="00864A5F">
        <w:rPr>
          <w:rFonts w:ascii="Times New Roman" w:hAnsi="Times New Roman" w:cs="Times New Roman"/>
          <w:b/>
          <w:sz w:val="24"/>
          <w:szCs w:val="24"/>
        </w:rPr>
        <w:t xml:space="preserve">Physical and Chemical properties of Soil </w:t>
      </w:r>
    </w:p>
    <w:p w14:paraId="30A6D08A" w14:textId="77777777" w:rsidR="00F4123C" w:rsidRDefault="00E904FD" w:rsidP="00E904FD">
      <w:pPr>
        <w:spacing w:after="0" w:line="360" w:lineRule="auto"/>
        <w:jc w:val="both"/>
        <w:rPr>
          <w:rFonts w:ascii="Times New Roman" w:hAnsi="Times New Roman" w:cs="Times New Roman"/>
          <w:sz w:val="24"/>
          <w:szCs w:val="24"/>
        </w:rPr>
      </w:pPr>
      <w:r w:rsidRPr="00AD23A4">
        <w:rPr>
          <w:rFonts w:ascii="Times New Roman" w:hAnsi="Times New Roman" w:cs="Times New Roman"/>
          <w:sz w:val="24"/>
          <w:szCs w:val="24"/>
        </w:rPr>
        <w:t xml:space="preserve">According to the USDA soil textural classification, the percent particle size determination for the experimental site revealed that the soil texture could be classified as sandy loam soil. </w:t>
      </w:r>
      <w:r>
        <w:rPr>
          <w:rFonts w:ascii="Times New Roman" w:hAnsi="Times New Roman" w:cs="Times New Roman"/>
          <w:sz w:val="24"/>
          <w:szCs w:val="24"/>
        </w:rPr>
        <w:t>A</w:t>
      </w:r>
      <w:r w:rsidRPr="00AD23A4">
        <w:rPr>
          <w:rFonts w:ascii="Times New Roman" w:hAnsi="Times New Roman" w:cs="Times New Roman"/>
          <w:sz w:val="24"/>
          <w:szCs w:val="24"/>
        </w:rPr>
        <w:t xml:space="preserve">verage bulk density of </w:t>
      </w:r>
      <w:r>
        <w:rPr>
          <w:rFonts w:ascii="Times New Roman" w:hAnsi="Times New Roman" w:cs="Times New Roman"/>
          <w:sz w:val="24"/>
          <w:szCs w:val="24"/>
        </w:rPr>
        <w:t xml:space="preserve">the experimental site was </w:t>
      </w:r>
      <w:r w:rsidRPr="00AD23A4">
        <w:rPr>
          <w:rFonts w:ascii="Times New Roman" w:hAnsi="Times New Roman" w:cs="Times New Roman"/>
          <w:sz w:val="24"/>
          <w:szCs w:val="24"/>
        </w:rPr>
        <w:t>1.3g/cm3 and the pH is 6.4. Th</w:t>
      </w:r>
      <w:r>
        <w:rPr>
          <w:rFonts w:ascii="Times New Roman" w:hAnsi="Times New Roman" w:cs="Times New Roman"/>
          <w:sz w:val="24"/>
          <w:szCs w:val="24"/>
        </w:rPr>
        <w:t>e bulk density shows a slight increase</w:t>
      </w:r>
      <w:r w:rsidRPr="00AD23A4">
        <w:rPr>
          <w:rFonts w:ascii="Times New Roman" w:hAnsi="Times New Roman" w:cs="Times New Roman"/>
          <w:sz w:val="24"/>
          <w:szCs w:val="24"/>
        </w:rPr>
        <w:t xml:space="preserve"> with depth. This could be because of a slight decrease of organic matter with depth and </w:t>
      </w:r>
      <w:r>
        <w:rPr>
          <w:rFonts w:ascii="Times New Roman" w:hAnsi="Times New Roman" w:cs="Times New Roman"/>
          <w:sz w:val="24"/>
          <w:szCs w:val="24"/>
        </w:rPr>
        <w:t xml:space="preserve">increase </w:t>
      </w:r>
      <w:r w:rsidRPr="00AD23A4">
        <w:rPr>
          <w:rFonts w:ascii="Times New Roman" w:hAnsi="Times New Roman" w:cs="Times New Roman"/>
          <w:sz w:val="24"/>
          <w:szCs w:val="24"/>
        </w:rPr>
        <w:t>compaction due to the weight of the overlying soil layer (Brady and Weil, 2002).</w:t>
      </w:r>
    </w:p>
    <w:p w14:paraId="0A9B09E4" w14:textId="62993BAB" w:rsidR="00E904FD" w:rsidRPr="00EA5A70" w:rsidRDefault="00E904FD" w:rsidP="00E904FD">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Table.</w:t>
      </w:r>
      <w:r w:rsidR="008B36BB">
        <w:rPr>
          <w:rFonts w:ascii="Times New Roman" w:hAnsi="Times New Roman" w:cs="Times New Roman"/>
          <w:sz w:val="24"/>
          <w:szCs w:val="24"/>
        </w:rPr>
        <w:t>1</w:t>
      </w:r>
      <w:r w:rsidRPr="00EA5A70">
        <w:rPr>
          <w:rFonts w:ascii="Times New Roman" w:hAnsi="Times New Roman" w:cs="Times New Roman"/>
          <w:sz w:val="24"/>
          <w:szCs w:val="24"/>
        </w:rPr>
        <w:t xml:space="preserve">. Input soil data for </w:t>
      </w:r>
      <w:r>
        <w:rPr>
          <w:rFonts w:ascii="Times New Roman" w:hAnsi="Times New Roman" w:cs="Times New Roman"/>
          <w:sz w:val="24"/>
          <w:szCs w:val="24"/>
        </w:rPr>
        <w:t xml:space="preserve">the </w:t>
      </w:r>
      <w:r w:rsidRPr="00EA5A70">
        <w:rPr>
          <w:rFonts w:ascii="Times New Roman" w:hAnsi="Times New Roman" w:cs="Times New Roman"/>
          <w:sz w:val="24"/>
          <w:szCs w:val="24"/>
        </w:rPr>
        <w:t>CROPWAT model</w:t>
      </w:r>
    </w:p>
    <w:tbl>
      <w:tblPr>
        <w:tblStyle w:val="LightShading1"/>
        <w:tblW w:w="9029" w:type="dxa"/>
        <w:jc w:val="center"/>
        <w:tblLook w:val="0620" w:firstRow="1" w:lastRow="0" w:firstColumn="0" w:lastColumn="0" w:noHBand="1" w:noVBand="1"/>
      </w:tblPr>
      <w:tblGrid>
        <w:gridCol w:w="2376"/>
        <w:gridCol w:w="2045"/>
        <w:gridCol w:w="1536"/>
        <w:gridCol w:w="1536"/>
        <w:gridCol w:w="1536"/>
      </w:tblGrid>
      <w:tr w:rsidR="00E904FD" w:rsidRPr="00EA5A70" w14:paraId="381F556B" w14:textId="77777777" w:rsidTr="00404018">
        <w:trPr>
          <w:cnfStyle w:val="100000000000" w:firstRow="1" w:lastRow="0" w:firstColumn="0" w:lastColumn="0" w:oddVBand="0" w:evenVBand="0" w:oddHBand="0" w:evenHBand="0" w:firstRowFirstColumn="0" w:firstRowLastColumn="0" w:lastRowFirstColumn="0" w:lastRowLastColumn="0"/>
          <w:trHeight w:val="268"/>
          <w:jc w:val="center"/>
        </w:trPr>
        <w:tc>
          <w:tcPr>
            <w:tcW w:w="2376" w:type="dxa"/>
            <w:hideMark/>
          </w:tcPr>
          <w:p w14:paraId="78D71570"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w:t>
            </w:r>
          </w:p>
        </w:tc>
        <w:tc>
          <w:tcPr>
            <w:tcW w:w="6653" w:type="dxa"/>
            <w:gridSpan w:val="4"/>
            <w:hideMark/>
          </w:tcPr>
          <w:p w14:paraId="6E5E70EE"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Soil depth in (cm)</w:t>
            </w:r>
          </w:p>
        </w:tc>
      </w:tr>
      <w:tr w:rsidR="00E904FD" w:rsidRPr="00EA5A70" w14:paraId="5398BAF1" w14:textId="77777777" w:rsidTr="00404018">
        <w:trPr>
          <w:trHeight w:val="443"/>
          <w:jc w:val="center"/>
        </w:trPr>
        <w:tc>
          <w:tcPr>
            <w:tcW w:w="2376" w:type="dxa"/>
            <w:hideMark/>
          </w:tcPr>
          <w:p w14:paraId="251CC68F"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Soil property</w:t>
            </w:r>
          </w:p>
        </w:tc>
        <w:tc>
          <w:tcPr>
            <w:tcW w:w="2045" w:type="dxa"/>
            <w:hideMark/>
          </w:tcPr>
          <w:p w14:paraId="5BFA29E0"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0-15</w:t>
            </w:r>
          </w:p>
        </w:tc>
        <w:tc>
          <w:tcPr>
            <w:tcW w:w="1536" w:type="dxa"/>
            <w:hideMark/>
          </w:tcPr>
          <w:p w14:paraId="27254C9F"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15-30</w:t>
            </w:r>
          </w:p>
        </w:tc>
        <w:tc>
          <w:tcPr>
            <w:tcW w:w="1536" w:type="dxa"/>
            <w:hideMark/>
          </w:tcPr>
          <w:p w14:paraId="5CF925DC"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30-60</w:t>
            </w:r>
          </w:p>
        </w:tc>
        <w:tc>
          <w:tcPr>
            <w:tcW w:w="1536" w:type="dxa"/>
            <w:hideMark/>
          </w:tcPr>
          <w:p w14:paraId="5D2E484E"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60-90</w:t>
            </w:r>
          </w:p>
        </w:tc>
      </w:tr>
      <w:tr w:rsidR="00E904FD" w:rsidRPr="00EA5A70" w14:paraId="02A43A9B" w14:textId="77777777" w:rsidTr="00404018">
        <w:trPr>
          <w:trHeight w:val="315"/>
          <w:jc w:val="center"/>
        </w:trPr>
        <w:tc>
          <w:tcPr>
            <w:tcW w:w="2376" w:type="dxa"/>
            <w:hideMark/>
          </w:tcPr>
          <w:p w14:paraId="25488AE4"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Textural class</w:t>
            </w:r>
          </w:p>
        </w:tc>
        <w:tc>
          <w:tcPr>
            <w:tcW w:w="2045" w:type="dxa"/>
            <w:hideMark/>
          </w:tcPr>
          <w:p w14:paraId="6B051069"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c>
          <w:tcPr>
            <w:tcW w:w="1536" w:type="dxa"/>
            <w:hideMark/>
          </w:tcPr>
          <w:p w14:paraId="3C538634"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c>
          <w:tcPr>
            <w:tcW w:w="1536" w:type="dxa"/>
            <w:hideMark/>
          </w:tcPr>
          <w:p w14:paraId="6B504EAE"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c>
          <w:tcPr>
            <w:tcW w:w="1536" w:type="dxa"/>
            <w:hideMark/>
          </w:tcPr>
          <w:p w14:paraId="02E76898"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r>
      <w:tr w:rsidR="00E904FD" w:rsidRPr="00EA5A70" w14:paraId="0639A524" w14:textId="77777777" w:rsidTr="00404018">
        <w:trPr>
          <w:trHeight w:val="288"/>
          <w:jc w:val="center"/>
        </w:trPr>
        <w:tc>
          <w:tcPr>
            <w:tcW w:w="2376" w:type="dxa"/>
            <w:hideMark/>
          </w:tcPr>
          <w:p w14:paraId="7169064E"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Bulk density (g/cm3)</w:t>
            </w:r>
          </w:p>
        </w:tc>
        <w:tc>
          <w:tcPr>
            <w:tcW w:w="2045" w:type="dxa"/>
            <w:hideMark/>
          </w:tcPr>
          <w:p w14:paraId="6523BF70"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1.21</w:t>
            </w:r>
          </w:p>
        </w:tc>
        <w:tc>
          <w:tcPr>
            <w:tcW w:w="1536" w:type="dxa"/>
            <w:hideMark/>
          </w:tcPr>
          <w:p w14:paraId="27740D9F"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1.26</w:t>
            </w:r>
          </w:p>
        </w:tc>
        <w:tc>
          <w:tcPr>
            <w:tcW w:w="1536" w:type="dxa"/>
            <w:hideMark/>
          </w:tcPr>
          <w:p w14:paraId="2A3B4FC0"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1.28</w:t>
            </w:r>
          </w:p>
        </w:tc>
        <w:tc>
          <w:tcPr>
            <w:tcW w:w="1536" w:type="dxa"/>
            <w:hideMark/>
          </w:tcPr>
          <w:p w14:paraId="406F3B10"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E904FD" w:rsidRPr="00EA5A70" w14:paraId="6D6D136B" w14:textId="77777777" w:rsidTr="00404018">
        <w:trPr>
          <w:trHeight w:val="190"/>
          <w:jc w:val="center"/>
        </w:trPr>
        <w:tc>
          <w:tcPr>
            <w:tcW w:w="2376" w:type="dxa"/>
            <w:hideMark/>
          </w:tcPr>
          <w:p w14:paraId="6C80FEC3"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FC (Vol %)</w:t>
            </w:r>
          </w:p>
        </w:tc>
        <w:tc>
          <w:tcPr>
            <w:tcW w:w="2045" w:type="dxa"/>
            <w:hideMark/>
          </w:tcPr>
          <w:p w14:paraId="2BBA70E2"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13.8</w:t>
            </w:r>
          </w:p>
        </w:tc>
        <w:tc>
          <w:tcPr>
            <w:tcW w:w="1536" w:type="dxa"/>
            <w:hideMark/>
          </w:tcPr>
          <w:p w14:paraId="2A895343"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14</w:t>
            </w:r>
          </w:p>
        </w:tc>
        <w:tc>
          <w:tcPr>
            <w:tcW w:w="1536" w:type="dxa"/>
            <w:hideMark/>
          </w:tcPr>
          <w:p w14:paraId="714BFDEA"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16</w:t>
            </w:r>
          </w:p>
        </w:tc>
        <w:tc>
          <w:tcPr>
            <w:tcW w:w="1536" w:type="dxa"/>
            <w:hideMark/>
          </w:tcPr>
          <w:p w14:paraId="0B58EC47"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15.95</w:t>
            </w:r>
          </w:p>
        </w:tc>
      </w:tr>
      <w:tr w:rsidR="00E904FD" w:rsidRPr="00EA5A70" w14:paraId="70247A4A" w14:textId="77777777" w:rsidTr="00404018">
        <w:trPr>
          <w:trHeight w:val="262"/>
          <w:jc w:val="center"/>
        </w:trPr>
        <w:tc>
          <w:tcPr>
            <w:tcW w:w="2376" w:type="dxa"/>
            <w:hideMark/>
          </w:tcPr>
          <w:p w14:paraId="0C8ECF7C"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PWP (Vol %)</w:t>
            </w:r>
          </w:p>
        </w:tc>
        <w:tc>
          <w:tcPr>
            <w:tcW w:w="2045" w:type="dxa"/>
            <w:hideMark/>
          </w:tcPr>
          <w:p w14:paraId="5DBA72D4"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6.2</w:t>
            </w:r>
          </w:p>
        </w:tc>
        <w:tc>
          <w:tcPr>
            <w:tcW w:w="1536" w:type="dxa"/>
            <w:hideMark/>
          </w:tcPr>
          <w:p w14:paraId="54D4245A"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6</w:t>
            </w:r>
          </w:p>
        </w:tc>
        <w:tc>
          <w:tcPr>
            <w:tcW w:w="1536" w:type="dxa"/>
            <w:hideMark/>
          </w:tcPr>
          <w:p w14:paraId="69837BC4"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8</w:t>
            </w:r>
          </w:p>
        </w:tc>
        <w:tc>
          <w:tcPr>
            <w:tcW w:w="1536" w:type="dxa"/>
            <w:hideMark/>
          </w:tcPr>
          <w:p w14:paraId="742FFDB2"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7.5</w:t>
            </w:r>
          </w:p>
        </w:tc>
      </w:tr>
      <w:tr w:rsidR="00E904FD" w:rsidRPr="00EA5A70" w14:paraId="7EB2EC5B" w14:textId="77777777" w:rsidTr="00404018">
        <w:trPr>
          <w:trHeight w:val="442"/>
          <w:jc w:val="center"/>
        </w:trPr>
        <w:tc>
          <w:tcPr>
            <w:tcW w:w="2376" w:type="dxa"/>
            <w:hideMark/>
          </w:tcPr>
          <w:p w14:paraId="427466FD"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TAW (mm/m)</w:t>
            </w:r>
          </w:p>
        </w:tc>
        <w:tc>
          <w:tcPr>
            <w:tcW w:w="2045" w:type="dxa"/>
            <w:hideMark/>
          </w:tcPr>
          <w:p w14:paraId="069FC65D"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87.4</w:t>
            </w:r>
          </w:p>
        </w:tc>
        <w:tc>
          <w:tcPr>
            <w:tcW w:w="1536" w:type="dxa"/>
            <w:hideMark/>
          </w:tcPr>
          <w:p w14:paraId="3A899814"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100.8</w:t>
            </w:r>
          </w:p>
        </w:tc>
        <w:tc>
          <w:tcPr>
            <w:tcW w:w="1536" w:type="dxa"/>
            <w:hideMark/>
          </w:tcPr>
          <w:p w14:paraId="4B9C1D3E"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100.8</w:t>
            </w:r>
          </w:p>
        </w:tc>
        <w:tc>
          <w:tcPr>
            <w:tcW w:w="1536" w:type="dxa"/>
            <w:hideMark/>
          </w:tcPr>
          <w:p w14:paraId="3F1AB588"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100.8</w:t>
            </w:r>
          </w:p>
        </w:tc>
      </w:tr>
      <w:tr w:rsidR="00E904FD" w:rsidRPr="00EA5A70" w14:paraId="590E6864" w14:textId="77777777" w:rsidTr="00404018">
        <w:trPr>
          <w:trHeight w:val="343"/>
          <w:jc w:val="center"/>
        </w:trPr>
        <w:tc>
          <w:tcPr>
            <w:tcW w:w="2376" w:type="dxa"/>
            <w:hideMark/>
          </w:tcPr>
          <w:p w14:paraId="312269FA"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pH</w:t>
            </w:r>
          </w:p>
        </w:tc>
        <w:tc>
          <w:tcPr>
            <w:tcW w:w="2045" w:type="dxa"/>
            <w:hideMark/>
          </w:tcPr>
          <w:p w14:paraId="10486CAC"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5.68</w:t>
            </w:r>
          </w:p>
        </w:tc>
        <w:tc>
          <w:tcPr>
            <w:tcW w:w="1536" w:type="dxa"/>
            <w:hideMark/>
          </w:tcPr>
          <w:p w14:paraId="457DB596"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5.73</w:t>
            </w:r>
          </w:p>
        </w:tc>
        <w:tc>
          <w:tcPr>
            <w:tcW w:w="1536" w:type="dxa"/>
            <w:hideMark/>
          </w:tcPr>
          <w:p w14:paraId="02AC10B1"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5.79</w:t>
            </w:r>
          </w:p>
        </w:tc>
        <w:tc>
          <w:tcPr>
            <w:tcW w:w="1536" w:type="dxa"/>
            <w:hideMark/>
          </w:tcPr>
          <w:p w14:paraId="1E08F792"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5.75</w:t>
            </w:r>
          </w:p>
        </w:tc>
      </w:tr>
    </w:tbl>
    <w:p w14:paraId="18C7B8B2" w14:textId="77777777" w:rsidR="00E904FD" w:rsidRPr="003B327D" w:rsidRDefault="00E904FD" w:rsidP="00F4123C">
      <w:pPr>
        <w:spacing w:before="240" w:after="0" w:line="360" w:lineRule="auto"/>
        <w:jc w:val="both"/>
        <w:rPr>
          <w:rFonts w:ascii="Times New Roman" w:eastAsia="Times New Roman" w:hAnsi="Times New Roman" w:cs="Times New Roman"/>
          <w:color w:val="000000"/>
          <w:kern w:val="24"/>
          <w:sz w:val="24"/>
          <w:szCs w:val="24"/>
        </w:rPr>
      </w:pPr>
      <w:r w:rsidRPr="00EC4488">
        <w:rPr>
          <w:rFonts w:ascii="Times New Roman" w:eastAsia="Times New Roman" w:hAnsi="Times New Roman" w:cs="Times New Roman"/>
          <w:color w:val="000000"/>
          <w:kern w:val="24"/>
          <w:sz w:val="24"/>
          <w:szCs w:val="24"/>
        </w:rPr>
        <w:t>The basic infiltration rate in this experiment was found to be 20 mm/hr. This means that a water layer of 20 mm on the soil surface will take one hour to infiltrate. In dry season soil, water infiltrates rapidly and as more water replaces the air in the pores, the water from the soil surface infiltrates more slowly and eventually reaches a basic infiltration rate.</w:t>
      </w:r>
      <w:r w:rsidR="00F4123C">
        <w:rPr>
          <w:rFonts w:ascii="Times New Roman" w:eastAsia="Times New Roman" w:hAnsi="Times New Roman" w:cs="Times New Roman"/>
          <w:color w:val="000000"/>
          <w:kern w:val="24"/>
          <w:sz w:val="24"/>
          <w:szCs w:val="24"/>
        </w:rPr>
        <w:t xml:space="preserve"> </w:t>
      </w:r>
      <w:r w:rsidRPr="00EC4488">
        <w:rPr>
          <w:rFonts w:ascii="Times New Roman" w:eastAsia="Times New Roman" w:hAnsi="Times New Roman" w:cs="Times New Roman"/>
          <w:color w:val="000000"/>
          <w:kern w:val="24"/>
          <w:sz w:val="24"/>
          <w:szCs w:val="24"/>
        </w:rPr>
        <w:t>The amount of water required by Hot pepper was increased from the initial period to the mid-period.</w:t>
      </w:r>
      <w:r w:rsidR="00F4123C">
        <w:rPr>
          <w:rFonts w:ascii="Times New Roman" w:eastAsia="Times New Roman" w:hAnsi="Times New Roman" w:cs="Times New Roman"/>
          <w:color w:val="000000"/>
          <w:kern w:val="24"/>
          <w:sz w:val="24"/>
          <w:szCs w:val="24"/>
        </w:rPr>
        <w:t xml:space="preserve"> </w:t>
      </w:r>
      <w:r w:rsidRPr="00EC4488">
        <w:rPr>
          <w:rFonts w:ascii="Times New Roman" w:eastAsia="Times New Roman" w:hAnsi="Times New Roman" w:cs="Times New Roman"/>
          <w:color w:val="000000"/>
          <w:kern w:val="24"/>
          <w:sz w:val="24"/>
          <w:szCs w:val="24"/>
        </w:rPr>
        <w:t>From the initial period to the development period, the Hot pepper attained its maximum crop coefficient and there was high reference evapotranspiration. In the late period, the water required was reduced due to the reduction of crop coefficient value.</w:t>
      </w:r>
    </w:p>
    <w:p w14:paraId="41053B83" w14:textId="77777777" w:rsidR="008A6DB7" w:rsidRPr="00F4123C" w:rsidRDefault="008A6DB7" w:rsidP="00F4123C">
      <w:pPr>
        <w:spacing w:before="100" w:beforeAutospacing="1" w:after="100" w:afterAutospacing="1" w:line="360" w:lineRule="auto"/>
        <w:jc w:val="both"/>
        <w:rPr>
          <w:rFonts w:ascii="Times New Roman" w:eastAsia="Times New Roman" w:hAnsi="Times New Roman" w:cs="Times New Roman"/>
          <w:sz w:val="24"/>
          <w:szCs w:val="24"/>
        </w:rPr>
      </w:pPr>
      <w:r w:rsidRPr="00F4123C">
        <w:rPr>
          <w:rFonts w:ascii="Times New Roman" w:eastAsia="Times New Roman" w:hAnsi="Times New Roman" w:cs="Times New Roman"/>
          <w:sz w:val="24"/>
          <w:szCs w:val="24"/>
        </w:rPr>
        <w:t xml:space="preserve">The application of 100% MAD combined with recommended </w:t>
      </w:r>
      <w:r w:rsidR="00F4123C" w:rsidRPr="00F4123C">
        <w:rPr>
          <w:rFonts w:ascii="Times New Roman" w:eastAsia="Times New Roman" w:hAnsi="Times New Roman" w:cs="Times New Roman"/>
          <w:sz w:val="24"/>
          <w:szCs w:val="24"/>
        </w:rPr>
        <w:t xml:space="preserve">3t/ha </w:t>
      </w:r>
      <w:proofErr w:type="spellStart"/>
      <w:r w:rsidRPr="00F4123C">
        <w:rPr>
          <w:rFonts w:ascii="Times New Roman" w:eastAsia="Times New Roman" w:hAnsi="Times New Roman" w:cs="Times New Roman"/>
          <w:sz w:val="24"/>
          <w:szCs w:val="24"/>
        </w:rPr>
        <w:t>vermi</w:t>
      </w:r>
      <w:proofErr w:type="spellEnd"/>
      <w:r w:rsidRPr="00F4123C">
        <w:rPr>
          <w:rFonts w:ascii="Times New Roman" w:eastAsia="Times New Roman" w:hAnsi="Times New Roman" w:cs="Times New Roman"/>
          <w:sz w:val="24"/>
          <w:szCs w:val="24"/>
        </w:rPr>
        <w:t>-compost significantly improved the number of roots per plant (4.3) compared to the farmer practice (3.3). Vein length (229.3 cm), root length (16.71 cm), and root diameter (5.44 cm) were also higher under this treatment. In contrast, the farmer practice with compost resulted in lower measurements for all morphological traits.</w:t>
      </w:r>
    </w:p>
    <w:p w14:paraId="00C8E8EF" w14:textId="77777777" w:rsidR="008A6DB7" w:rsidRPr="00F4123C" w:rsidRDefault="008A6DB7" w:rsidP="00F4123C">
      <w:pPr>
        <w:spacing w:before="100" w:beforeAutospacing="1" w:after="100" w:afterAutospacing="1" w:line="360" w:lineRule="auto"/>
        <w:jc w:val="both"/>
        <w:rPr>
          <w:rFonts w:ascii="Times New Roman" w:eastAsia="Times New Roman" w:hAnsi="Times New Roman" w:cs="Times New Roman"/>
          <w:sz w:val="24"/>
          <w:szCs w:val="24"/>
        </w:rPr>
      </w:pPr>
      <w:r w:rsidRPr="00F4123C">
        <w:rPr>
          <w:rFonts w:ascii="Times New Roman" w:eastAsia="Times New Roman" w:hAnsi="Times New Roman" w:cs="Times New Roman"/>
          <w:sz w:val="24"/>
          <w:szCs w:val="24"/>
        </w:rPr>
        <w:lastRenderedPageBreak/>
        <w:t>The yield components showed similar trends. The highest marketable yield (30,341.4 kg/ha) and total yield (32,345.6 kg/ha) were obtained with 100% MAD and compost, outperforming the farmer practice by 1,866.5 kg/ha in total yield. The unmarketable yield was also slightly higher in the 100% MAD treatment, but the overall benefit in marketable yield outweighs this. Statistical analysis showed significant differences (p&lt;0.05) in most parameters, with acceptable levels of variability (CV ranging from 2.6% to 31.3%).</w:t>
      </w:r>
    </w:p>
    <w:p w14:paraId="369CD238" w14:textId="77777777" w:rsidR="008A6DB7" w:rsidRPr="00F4123C" w:rsidRDefault="008A6DB7" w:rsidP="00F4123C">
      <w:pPr>
        <w:spacing w:before="100" w:beforeAutospacing="1" w:after="100" w:afterAutospacing="1" w:line="240" w:lineRule="auto"/>
        <w:rPr>
          <w:rFonts w:ascii="Times New Roman" w:eastAsia="Times New Roman" w:hAnsi="Times New Roman" w:cs="Times New Roman"/>
          <w:sz w:val="24"/>
          <w:szCs w:val="24"/>
        </w:rPr>
      </w:pPr>
      <w:r w:rsidRPr="00F4123C">
        <w:rPr>
          <w:rFonts w:ascii="Times New Roman" w:eastAsia="Times New Roman" w:hAnsi="Times New Roman" w:cs="Times New Roman"/>
          <w:sz w:val="24"/>
          <w:szCs w:val="24"/>
        </w:rPr>
        <w:t xml:space="preserve">These findings highlight the importance of adopting proper irrigation scheduling in </w:t>
      </w:r>
      <w:r w:rsidR="00F4123C" w:rsidRPr="00F4123C">
        <w:rPr>
          <w:rFonts w:ascii="Times New Roman" w:eastAsia="Times New Roman" w:hAnsi="Times New Roman" w:cs="Times New Roman"/>
          <w:sz w:val="24"/>
          <w:szCs w:val="24"/>
        </w:rPr>
        <w:t xml:space="preserve">orange flush </w:t>
      </w:r>
      <w:r w:rsidRPr="00F4123C">
        <w:rPr>
          <w:rFonts w:ascii="Times New Roman" w:eastAsia="Times New Roman" w:hAnsi="Times New Roman" w:cs="Times New Roman"/>
          <w:sz w:val="24"/>
          <w:szCs w:val="24"/>
        </w:rPr>
        <w:t>sweet potato production, especially when integrated with organic soil fertility management.</w:t>
      </w:r>
    </w:p>
    <w:p w14:paraId="39398D6E" w14:textId="0E76870C" w:rsidR="00BD772F" w:rsidRDefault="008B36BB" w:rsidP="00596AD7">
      <w:pPr>
        <w:spacing w:after="120"/>
        <w:rPr>
          <w:rFonts w:ascii="Times New Roman" w:hAnsi="Times New Roman" w:cs="Times New Roman"/>
          <w:b/>
        </w:rPr>
      </w:pPr>
      <w:r>
        <w:rPr>
          <w:rFonts w:ascii="Times New Roman" w:hAnsi="Times New Roman" w:cs="Times New Roman"/>
          <w:b/>
        </w:rPr>
        <w:t>Table 2-</w:t>
      </w:r>
      <w:r w:rsidR="00BD772F" w:rsidRPr="00BD772F">
        <w:rPr>
          <w:rFonts w:ascii="Times New Roman" w:hAnsi="Times New Roman" w:cs="Times New Roman"/>
          <w:b/>
        </w:rPr>
        <w:t xml:space="preserve">Reponses of Orange Flush Sweet Potato for irrigation Scheduling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810"/>
        <w:gridCol w:w="810"/>
        <w:gridCol w:w="810"/>
        <w:gridCol w:w="720"/>
        <w:gridCol w:w="1080"/>
        <w:gridCol w:w="900"/>
        <w:gridCol w:w="1458"/>
      </w:tblGrid>
      <w:tr w:rsidR="00D10337" w:rsidRPr="0067319A" w14:paraId="32B55761" w14:textId="77777777" w:rsidTr="007F12D5">
        <w:trPr>
          <w:trHeight w:val="300"/>
        </w:trPr>
        <w:tc>
          <w:tcPr>
            <w:tcW w:w="2988" w:type="dxa"/>
            <w:shd w:val="clear" w:color="auto" w:fill="auto"/>
            <w:noWrap/>
            <w:hideMark/>
          </w:tcPr>
          <w:p w14:paraId="6FF38728"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TRT</w:t>
            </w:r>
          </w:p>
        </w:tc>
        <w:tc>
          <w:tcPr>
            <w:tcW w:w="810" w:type="dxa"/>
            <w:shd w:val="clear" w:color="auto" w:fill="auto"/>
            <w:noWrap/>
            <w:hideMark/>
          </w:tcPr>
          <w:p w14:paraId="6C94ED55"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NR</w:t>
            </w:r>
            <w:r w:rsidR="003953F8">
              <w:rPr>
                <w:rFonts w:ascii="Times New Roman" w:eastAsia="Times New Roman" w:hAnsi="Times New Roman" w:cs="Times New Roman"/>
                <w:color w:val="000000"/>
              </w:rPr>
              <w:t>PP</w:t>
            </w:r>
          </w:p>
        </w:tc>
        <w:tc>
          <w:tcPr>
            <w:tcW w:w="810" w:type="dxa"/>
            <w:shd w:val="clear" w:color="auto" w:fill="auto"/>
            <w:noWrap/>
            <w:hideMark/>
          </w:tcPr>
          <w:p w14:paraId="2861D3FC"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VL</w:t>
            </w:r>
            <w:r>
              <w:rPr>
                <w:rFonts w:ascii="Times New Roman" w:eastAsia="Times New Roman" w:hAnsi="Times New Roman" w:cs="Times New Roman"/>
                <w:color w:val="000000"/>
              </w:rPr>
              <w:t xml:space="preserve"> </w:t>
            </w:r>
            <w:r w:rsidRPr="0067319A">
              <w:rPr>
                <w:rFonts w:ascii="Times New Roman" w:eastAsia="Times New Roman" w:hAnsi="Times New Roman" w:cs="Times New Roman"/>
                <w:color w:val="000000"/>
              </w:rPr>
              <w:t>(cm)</w:t>
            </w:r>
          </w:p>
        </w:tc>
        <w:tc>
          <w:tcPr>
            <w:tcW w:w="810" w:type="dxa"/>
            <w:shd w:val="clear" w:color="auto" w:fill="auto"/>
            <w:noWrap/>
            <w:hideMark/>
          </w:tcPr>
          <w:p w14:paraId="4C0E38FF" w14:textId="77777777" w:rsidR="00D10337"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RL</w:t>
            </w:r>
          </w:p>
          <w:p w14:paraId="58AD6F4B"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(cm)</w:t>
            </w:r>
          </w:p>
        </w:tc>
        <w:tc>
          <w:tcPr>
            <w:tcW w:w="720" w:type="dxa"/>
            <w:shd w:val="clear" w:color="auto" w:fill="auto"/>
            <w:noWrap/>
            <w:hideMark/>
          </w:tcPr>
          <w:p w14:paraId="1093763A" w14:textId="77777777" w:rsidR="00D10337"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RD</w:t>
            </w:r>
          </w:p>
          <w:p w14:paraId="042B4AB8"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(cm)</w:t>
            </w:r>
          </w:p>
        </w:tc>
        <w:tc>
          <w:tcPr>
            <w:tcW w:w="1080" w:type="dxa"/>
            <w:shd w:val="clear" w:color="auto" w:fill="auto"/>
            <w:noWrap/>
            <w:hideMark/>
          </w:tcPr>
          <w:p w14:paraId="0BDE1870" w14:textId="77777777" w:rsidR="00D10337"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MY</w:t>
            </w:r>
          </w:p>
          <w:p w14:paraId="625C3EE0"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(kg/ha)</w:t>
            </w:r>
          </w:p>
        </w:tc>
        <w:tc>
          <w:tcPr>
            <w:tcW w:w="900" w:type="dxa"/>
            <w:shd w:val="clear" w:color="auto" w:fill="auto"/>
            <w:noWrap/>
            <w:hideMark/>
          </w:tcPr>
          <w:p w14:paraId="07E50E71" w14:textId="77777777" w:rsidR="00D10337"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UMY</w:t>
            </w:r>
          </w:p>
          <w:p w14:paraId="7967AA36"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(kg/ha)</w:t>
            </w:r>
          </w:p>
        </w:tc>
        <w:tc>
          <w:tcPr>
            <w:tcW w:w="1458" w:type="dxa"/>
            <w:shd w:val="clear" w:color="auto" w:fill="auto"/>
            <w:noWrap/>
            <w:hideMark/>
          </w:tcPr>
          <w:p w14:paraId="18F9DD6B" w14:textId="77777777" w:rsidR="00D10337"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TY</w:t>
            </w:r>
          </w:p>
          <w:p w14:paraId="44B018D4"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(kg/ha)</w:t>
            </w:r>
          </w:p>
        </w:tc>
      </w:tr>
      <w:tr w:rsidR="00D10337" w:rsidRPr="0067319A" w14:paraId="4A7B1B9E" w14:textId="77777777" w:rsidTr="007F12D5">
        <w:trPr>
          <w:trHeight w:val="315"/>
        </w:trPr>
        <w:tc>
          <w:tcPr>
            <w:tcW w:w="2988" w:type="dxa"/>
            <w:shd w:val="clear" w:color="auto" w:fill="auto"/>
            <w:noWrap/>
            <w:hideMark/>
          </w:tcPr>
          <w:p w14:paraId="71E60053" w14:textId="77777777" w:rsidR="00D10337" w:rsidRPr="0067319A" w:rsidRDefault="00D10337" w:rsidP="007F12D5">
            <w:pPr>
              <w:spacing w:after="0" w:line="240" w:lineRule="auto"/>
              <w:rPr>
                <w:rFonts w:ascii="Times New Roman" w:eastAsia="Times New Roman" w:hAnsi="Times New Roman" w:cs="Times New Roman"/>
                <w:color w:val="000000"/>
              </w:rPr>
            </w:pPr>
            <w:bookmarkStart w:id="0" w:name="RANGE!B2"/>
            <w:r w:rsidRPr="0067319A">
              <w:rPr>
                <w:rFonts w:ascii="Times New Roman" w:eastAsia="Times New Roman" w:hAnsi="Times New Roman" w:cs="Times New Roman"/>
                <w:color w:val="000000"/>
              </w:rPr>
              <w:t>100 %MAD + Recommended Vermi-Composite</w:t>
            </w:r>
            <w:bookmarkEnd w:id="0"/>
          </w:p>
        </w:tc>
        <w:tc>
          <w:tcPr>
            <w:tcW w:w="810" w:type="dxa"/>
            <w:shd w:val="clear" w:color="auto" w:fill="auto"/>
            <w:vAlign w:val="center"/>
            <w:hideMark/>
          </w:tcPr>
          <w:p w14:paraId="1FA7530F"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4.3</w:t>
            </w:r>
          </w:p>
        </w:tc>
        <w:tc>
          <w:tcPr>
            <w:tcW w:w="810" w:type="dxa"/>
            <w:shd w:val="clear" w:color="auto" w:fill="auto"/>
            <w:vAlign w:val="center"/>
            <w:hideMark/>
          </w:tcPr>
          <w:p w14:paraId="712A374B"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229.3</w:t>
            </w:r>
          </w:p>
        </w:tc>
        <w:tc>
          <w:tcPr>
            <w:tcW w:w="810" w:type="dxa"/>
            <w:shd w:val="clear" w:color="auto" w:fill="auto"/>
            <w:vAlign w:val="center"/>
            <w:hideMark/>
          </w:tcPr>
          <w:p w14:paraId="7B983812"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16.71</w:t>
            </w:r>
          </w:p>
        </w:tc>
        <w:tc>
          <w:tcPr>
            <w:tcW w:w="720" w:type="dxa"/>
            <w:shd w:val="clear" w:color="auto" w:fill="auto"/>
            <w:vAlign w:val="center"/>
            <w:hideMark/>
          </w:tcPr>
          <w:p w14:paraId="19AC0640"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5.44</w:t>
            </w:r>
          </w:p>
        </w:tc>
        <w:tc>
          <w:tcPr>
            <w:tcW w:w="1080" w:type="dxa"/>
            <w:shd w:val="clear" w:color="auto" w:fill="auto"/>
            <w:vAlign w:val="center"/>
            <w:hideMark/>
          </w:tcPr>
          <w:p w14:paraId="77787487"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30341.4</w:t>
            </w:r>
          </w:p>
        </w:tc>
        <w:tc>
          <w:tcPr>
            <w:tcW w:w="900" w:type="dxa"/>
            <w:shd w:val="clear" w:color="auto" w:fill="auto"/>
            <w:vAlign w:val="center"/>
            <w:hideMark/>
          </w:tcPr>
          <w:p w14:paraId="631B507C"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2004.0</w:t>
            </w:r>
          </w:p>
        </w:tc>
        <w:tc>
          <w:tcPr>
            <w:tcW w:w="1458" w:type="dxa"/>
            <w:shd w:val="clear" w:color="auto" w:fill="auto"/>
            <w:vAlign w:val="center"/>
            <w:hideMark/>
          </w:tcPr>
          <w:p w14:paraId="29EB7F30"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32345.6</w:t>
            </w:r>
          </w:p>
        </w:tc>
      </w:tr>
      <w:tr w:rsidR="00D10337" w:rsidRPr="0067319A" w14:paraId="504412E9" w14:textId="77777777" w:rsidTr="007F12D5">
        <w:trPr>
          <w:trHeight w:val="315"/>
        </w:trPr>
        <w:tc>
          <w:tcPr>
            <w:tcW w:w="2988" w:type="dxa"/>
            <w:shd w:val="clear" w:color="auto" w:fill="auto"/>
            <w:noWrap/>
            <w:hideMark/>
          </w:tcPr>
          <w:p w14:paraId="6FDF6BAA"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 xml:space="preserve">Farmer practice + Recommended Vermi- compost </w:t>
            </w:r>
          </w:p>
        </w:tc>
        <w:tc>
          <w:tcPr>
            <w:tcW w:w="810" w:type="dxa"/>
            <w:shd w:val="clear" w:color="auto" w:fill="auto"/>
            <w:vAlign w:val="center"/>
            <w:hideMark/>
          </w:tcPr>
          <w:p w14:paraId="69324ED8"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3.3</w:t>
            </w:r>
          </w:p>
        </w:tc>
        <w:tc>
          <w:tcPr>
            <w:tcW w:w="810" w:type="dxa"/>
            <w:shd w:val="clear" w:color="auto" w:fill="auto"/>
            <w:vAlign w:val="center"/>
            <w:hideMark/>
          </w:tcPr>
          <w:p w14:paraId="4A07987F"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217.9</w:t>
            </w:r>
          </w:p>
        </w:tc>
        <w:tc>
          <w:tcPr>
            <w:tcW w:w="810" w:type="dxa"/>
            <w:shd w:val="clear" w:color="auto" w:fill="auto"/>
            <w:vAlign w:val="center"/>
            <w:hideMark/>
          </w:tcPr>
          <w:p w14:paraId="20722CC9"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16.43</w:t>
            </w:r>
          </w:p>
        </w:tc>
        <w:tc>
          <w:tcPr>
            <w:tcW w:w="720" w:type="dxa"/>
            <w:shd w:val="clear" w:color="auto" w:fill="auto"/>
            <w:vAlign w:val="center"/>
            <w:hideMark/>
          </w:tcPr>
          <w:p w14:paraId="572CDD08"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5.31</w:t>
            </w:r>
          </w:p>
        </w:tc>
        <w:tc>
          <w:tcPr>
            <w:tcW w:w="1080" w:type="dxa"/>
            <w:shd w:val="clear" w:color="auto" w:fill="auto"/>
            <w:vAlign w:val="center"/>
            <w:hideMark/>
          </w:tcPr>
          <w:p w14:paraId="6F2856B7"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28818.1</w:t>
            </w:r>
          </w:p>
        </w:tc>
        <w:tc>
          <w:tcPr>
            <w:tcW w:w="900" w:type="dxa"/>
            <w:shd w:val="clear" w:color="auto" w:fill="auto"/>
            <w:vAlign w:val="center"/>
            <w:hideMark/>
          </w:tcPr>
          <w:p w14:paraId="7993B060"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1657.0</w:t>
            </w:r>
          </w:p>
        </w:tc>
        <w:tc>
          <w:tcPr>
            <w:tcW w:w="1458" w:type="dxa"/>
            <w:shd w:val="clear" w:color="auto" w:fill="auto"/>
            <w:vAlign w:val="center"/>
            <w:hideMark/>
          </w:tcPr>
          <w:p w14:paraId="31E2437E"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30475.7</w:t>
            </w:r>
          </w:p>
        </w:tc>
      </w:tr>
      <w:tr w:rsidR="00D10337" w:rsidRPr="0067319A" w14:paraId="77661D56" w14:textId="77777777" w:rsidTr="007F12D5">
        <w:trPr>
          <w:trHeight w:val="315"/>
        </w:trPr>
        <w:tc>
          <w:tcPr>
            <w:tcW w:w="2988" w:type="dxa"/>
            <w:shd w:val="clear" w:color="auto" w:fill="auto"/>
            <w:noWrap/>
            <w:hideMark/>
          </w:tcPr>
          <w:p w14:paraId="5E966230" w14:textId="77777777" w:rsidR="00D10337" w:rsidRPr="0067319A" w:rsidRDefault="00D10337" w:rsidP="007F12D5">
            <w:pPr>
              <w:spacing w:after="0" w:line="240" w:lineRule="auto"/>
              <w:rPr>
                <w:rFonts w:ascii="Times New Roman" w:eastAsia="Times New Roman" w:hAnsi="Times New Roman" w:cs="Times New Roman"/>
                <w:color w:val="000000"/>
              </w:rPr>
            </w:pPr>
            <w:proofErr w:type="gramStart"/>
            <w:r w:rsidRPr="0067319A">
              <w:rPr>
                <w:rFonts w:ascii="Times New Roman" w:eastAsia="Times New Roman" w:hAnsi="Times New Roman" w:cs="Times New Roman"/>
                <w:color w:val="000000"/>
              </w:rPr>
              <w:t>LSD(</w:t>
            </w:r>
            <w:proofErr w:type="gramEnd"/>
            <w:r w:rsidRPr="0067319A">
              <w:rPr>
                <w:rFonts w:ascii="Times New Roman" w:eastAsia="Times New Roman" w:hAnsi="Times New Roman" w:cs="Times New Roman"/>
                <w:color w:val="000000"/>
              </w:rPr>
              <w:t>5%)</w:t>
            </w:r>
          </w:p>
        </w:tc>
        <w:tc>
          <w:tcPr>
            <w:tcW w:w="810" w:type="dxa"/>
            <w:shd w:val="clear" w:color="auto" w:fill="auto"/>
            <w:vAlign w:val="center"/>
            <w:hideMark/>
          </w:tcPr>
          <w:p w14:paraId="4A41BAB5"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1.1</w:t>
            </w:r>
          </w:p>
        </w:tc>
        <w:tc>
          <w:tcPr>
            <w:tcW w:w="810" w:type="dxa"/>
            <w:shd w:val="clear" w:color="auto" w:fill="auto"/>
            <w:noWrap/>
            <w:vAlign w:val="center"/>
            <w:hideMark/>
          </w:tcPr>
          <w:p w14:paraId="56A4817A"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12.5</w:t>
            </w:r>
          </w:p>
        </w:tc>
        <w:tc>
          <w:tcPr>
            <w:tcW w:w="810" w:type="dxa"/>
            <w:shd w:val="clear" w:color="auto" w:fill="auto"/>
            <w:noWrap/>
            <w:vAlign w:val="center"/>
            <w:hideMark/>
          </w:tcPr>
          <w:p w14:paraId="0008095B"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1.16</w:t>
            </w:r>
          </w:p>
        </w:tc>
        <w:tc>
          <w:tcPr>
            <w:tcW w:w="720" w:type="dxa"/>
            <w:shd w:val="clear" w:color="auto" w:fill="auto"/>
            <w:noWrap/>
            <w:vAlign w:val="center"/>
            <w:hideMark/>
          </w:tcPr>
          <w:p w14:paraId="4F5B87FA"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0.25</w:t>
            </w:r>
          </w:p>
        </w:tc>
        <w:tc>
          <w:tcPr>
            <w:tcW w:w="1080" w:type="dxa"/>
            <w:shd w:val="clear" w:color="auto" w:fill="auto"/>
            <w:noWrap/>
            <w:vAlign w:val="center"/>
            <w:hideMark/>
          </w:tcPr>
          <w:p w14:paraId="057C6A33"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992.4</w:t>
            </w:r>
          </w:p>
        </w:tc>
        <w:tc>
          <w:tcPr>
            <w:tcW w:w="900" w:type="dxa"/>
            <w:shd w:val="clear" w:color="auto" w:fill="auto"/>
            <w:noWrap/>
            <w:vAlign w:val="center"/>
            <w:hideMark/>
          </w:tcPr>
          <w:p w14:paraId="1102E89E"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750.3</w:t>
            </w:r>
          </w:p>
        </w:tc>
        <w:tc>
          <w:tcPr>
            <w:tcW w:w="1458" w:type="dxa"/>
            <w:shd w:val="clear" w:color="auto" w:fill="auto"/>
            <w:noWrap/>
            <w:vAlign w:val="center"/>
            <w:hideMark/>
          </w:tcPr>
          <w:p w14:paraId="37A2B0D1"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1246.9</w:t>
            </w:r>
          </w:p>
        </w:tc>
      </w:tr>
      <w:tr w:rsidR="00D10337" w:rsidRPr="0067319A" w14:paraId="6E40202C" w14:textId="77777777" w:rsidTr="007F12D5">
        <w:trPr>
          <w:trHeight w:val="315"/>
        </w:trPr>
        <w:tc>
          <w:tcPr>
            <w:tcW w:w="2988" w:type="dxa"/>
            <w:shd w:val="clear" w:color="auto" w:fill="auto"/>
            <w:noWrap/>
            <w:hideMark/>
          </w:tcPr>
          <w:p w14:paraId="23805D29"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CV</w:t>
            </w:r>
          </w:p>
        </w:tc>
        <w:tc>
          <w:tcPr>
            <w:tcW w:w="810" w:type="dxa"/>
            <w:shd w:val="clear" w:color="auto" w:fill="auto"/>
            <w:vAlign w:val="center"/>
            <w:hideMark/>
          </w:tcPr>
          <w:p w14:paraId="0E82BD8C"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21.8</w:t>
            </w:r>
          </w:p>
        </w:tc>
        <w:tc>
          <w:tcPr>
            <w:tcW w:w="810" w:type="dxa"/>
            <w:shd w:val="clear" w:color="auto" w:fill="auto"/>
            <w:noWrap/>
            <w:vAlign w:val="center"/>
            <w:hideMark/>
          </w:tcPr>
          <w:p w14:paraId="48AE5A8F"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4.3</w:t>
            </w:r>
          </w:p>
        </w:tc>
        <w:tc>
          <w:tcPr>
            <w:tcW w:w="810" w:type="dxa"/>
            <w:shd w:val="clear" w:color="auto" w:fill="auto"/>
            <w:noWrap/>
            <w:vAlign w:val="center"/>
            <w:hideMark/>
          </w:tcPr>
          <w:p w14:paraId="63D4EA5A"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5.40</w:t>
            </w:r>
          </w:p>
        </w:tc>
        <w:tc>
          <w:tcPr>
            <w:tcW w:w="720" w:type="dxa"/>
            <w:shd w:val="clear" w:color="auto" w:fill="auto"/>
            <w:noWrap/>
            <w:vAlign w:val="center"/>
            <w:hideMark/>
          </w:tcPr>
          <w:p w14:paraId="7A2F66B1"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3.60</w:t>
            </w:r>
          </w:p>
        </w:tc>
        <w:tc>
          <w:tcPr>
            <w:tcW w:w="1080" w:type="dxa"/>
            <w:shd w:val="clear" w:color="auto" w:fill="auto"/>
            <w:noWrap/>
            <w:vAlign w:val="center"/>
            <w:hideMark/>
          </w:tcPr>
          <w:p w14:paraId="07839901"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2.6</w:t>
            </w:r>
          </w:p>
        </w:tc>
        <w:tc>
          <w:tcPr>
            <w:tcW w:w="900" w:type="dxa"/>
            <w:shd w:val="clear" w:color="auto" w:fill="auto"/>
            <w:noWrap/>
            <w:vAlign w:val="center"/>
            <w:hideMark/>
          </w:tcPr>
          <w:p w14:paraId="5E9162D9"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31.3</w:t>
            </w:r>
          </w:p>
        </w:tc>
        <w:tc>
          <w:tcPr>
            <w:tcW w:w="1458" w:type="dxa"/>
            <w:shd w:val="clear" w:color="auto" w:fill="auto"/>
            <w:noWrap/>
            <w:vAlign w:val="center"/>
            <w:hideMark/>
          </w:tcPr>
          <w:p w14:paraId="0A8A1479"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3.03</w:t>
            </w:r>
          </w:p>
        </w:tc>
      </w:tr>
    </w:tbl>
    <w:p w14:paraId="2D1F3D5C" w14:textId="77777777" w:rsidR="00D10337" w:rsidRDefault="00114586" w:rsidP="00596AD7">
      <w:pPr>
        <w:spacing w:after="120"/>
        <w:rPr>
          <w:rFonts w:ascii="Times New Roman" w:hAnsi="Times New Roman" w:cs="Times New Roman"/>
          <w:i/>
        </w:rPr>
      </w:pPr>
      <w:r>
        <w:rPr>
          <w:rFonts w:ascii="Times New Roman" w:hAnsi="Times New Roman" w:cs="Times New Roman"/>
          <w:i/>
        </w:rPr>
        <w:t>Note: NR</w:t>
      </w:r>
      <w:r w:rsidR="003953F8">
        <w:rPr>
          <w:rFonts w:ascii="Times New Roman" w:hAnsi="Times New Roman" w:cs="Times New Roman"/>
          <w:i/>
        </w:rPr>
        <w:t>PP</w:t>
      </w:r>
      <w:r>
        <w:rPr>
          <w:rFonts w:ascii="Times New Roman" w:hAnsi="Times New Roman" w:cs="Times New Roman"/>
          <w:i/>
        </w:rPr>
        <w:t>= n</w:t>
      </w:r>
      <w:r w:rsidRPr="00114586">
        <w:rPr>
          <w:rFonts w:ascii="Times New Roman" w:hAnsi="Times New Roman" w:cs="Times New Roman"/>
          <w:i/>
        </w:rPr>
        <w:t xml:space="preserve">umber of </w:t>
      </w:r>
      <w:proofErr w:type="gramStart"/>
      <w:r w:rsidRPr="00114586">
        <w:rPr>
          <w:rFonts w:ascii="Times New Roman" w:hAnsi="Times New Roman" w:cs="Times New Roman"/>
          <w:i/>
        </w:rPr>
        <w:t>root</w:t>
      </w:r>
      <w:proofErr w:type="gramEnd"/>
      <w:r w:rsidR="003953F8">
        <w:rPr>
          <w:rFonts w:ascii="Times New Roman" w:hAnsi="Times New Roman" w:cs="Times New Roman"/>
          <w:i/>
        </w:rPr>
        <w:t xml:space="preserve"> per plant</w:t>
      </w:r>
      <w:r w:rsidRPr="00114586">
        <w:rPr>
          <w:rFonts w:ascii="Times New Roman" w:hAnsi="Times New Roman" w:cs="Times New Roman"/>
          <w:i/>
        </w:rPr>
        <w:t xml:space="preserve">, VL = vein length, RL= root length, RD= root diameter, MY= marketable yield, UMY= unmarketable yield and </w:t>
      </w:r>
      <w:r>
        <w:rPr>
          <w:rFonts w:ascii="Times New Roman" w:hAnsi="Times New Roman" w:cs="Times New Roman"/>
          <w:i/>
        </w:rPr>
        <w:t>TY</w:t>
      </w:r>
      <w:r w:rsidRPr="00114586">
        <w:rPr>
          <w:rFonts w:ascii="Times New Roman" w:hAnsi="Times New Roman" w:cs="Times New Roman"/>
          <w:i/>
        </w:rPr>
        <w:t>= total yield.</w:t>
      </w:r>
    </w:p>
    <w:p w14:paraId="2281B230" w14:textId="77777777" w:rsidR="00114586" w:rsidRPr="002B0363" w:rsidRDefault="002B0363" w:rsidP="002B0363">
      <w:pPr>
        <w:spacing w:after="120" w:line="360" w:lineRule="auto"/>
        <w:jc w:val="both"/>
        <w:rPr>
          <w:rFonts w:ascii="Times New Roman" w:hAnsi="Times New Roman" w:cs="Times New Roman"/>
          <w:sz w:val="24"/>
          <w:szCs w:val="24"/>
        </w:rPr>
      </w:pPr>
      <w:r w:rsidRPr="002B0363">
        <w:rPr>
          <w:rFonts w:ascii="Times New Roman" w:hAnsi="Times New Roman" w:cs="Times New Roman"/>
          <w:sz w:val="24"/>
          <w:szCs w:val="24"/>
        </w:rPr>
        <w:t>As table</w:t>
      </w:r>
      <w:r w:rsidR="00114586" w:rsidRPr="002B0363">
        <w:rPr>
          <w:rFonts w:ascii="Times New Roman" w:hAnsi="Times New Roman" w:cs="Times New Roman"/>
          <w:sz w:val="24"/>
          <w:szCs w:val="24"/>
        </w:rPr>
        <w:t>, shows that irrigation scheduling significantly affect agronomic and yield components of orange flush sweet potato</w:t>
      </w:r>
      <w:r w:rsidR="003953F8" w:rsidRPr="002B0363">
        <w:rPr>
          <w:rFonts w:ascii="Times New Roman" w:hAnsi="Times New Roman" w:cs="Times New Roman"/>
          <w:sz w:val="24"/>
          <w:szCs w:val="24"/>
        </w:rPr>
        <w:t xml:space="preserve"> and f</w:t>
      </w:r>
      <w:r w:rsidR="00114586" w:rsidRPr="002B0363">
        <w:rPr>
          <w:rFonts w:ascii="Times New Roman" w:hAnsi="Times New Roman" w:cs="Times New Roman"/>
          <w:sz w:val="24"/>
          <w:szCs w:val="24"/>
        </w:rPr>
        <w:t xml:space="preserve">or all parameter 100% MAD gives </w:t>
      </w:r>
      <w:r w:rsidR="003953F8" w:rsidRPr="002B0363">
        <w:rPr>
          <w:rFonts w:ascii="Times New Roman" w:hAnsi="Times New Roman" w:cs="Times New Roman"/>
          <w:sz w:val="24"/>
          <w:szCs w:val="24"/>
        </w:rPr>
        <w:t>highest</w:t>
      </w:r>
      <w:r w:rsidR="00114586" w:rsidRPr="002B0363">
        <w:rPr>
          <w:rFonts w:ascii="Times New Roman" w:hAnsi="Times New Roman" w:cs="Times New Roman"/>
          <w:sz w:val="24"/>
          <w:szCs w:val="24"/>
        </w:rPr>
        <w:t xml:space="preserve"> mean value</w:t>
      </w:r>
      <w:r w:rsidR="003953F8" w:rsidRPr="002B0363">
        <w:rPr>
          <w:rFonts w:ascii="Times New Roman" w:hAnsi="Times New Roman" w:cs="Times New Roman"/>
          <w:sz w:val="24"/>
          <w:szCs w:val="24"/>
        </w:rPr>
        <w:t xml:space="preserve">. Under 100% manageable allowable depletion maximum (32.34t/ha) yield was obtained. </w:t>
      </w:r>
      <w:r w:rsidR="00114586" w:rsidRPr="002B0363">
        <w:rPr>
          <w:rFonts w:ascii="Times New Roman" w:hAnsi="Times New Roman" w:cs="Times New Roman"/>
          <w:sz w:val="24"/>
          <w:szCs w:val="24"/>
        </w:rPr>
        <w:t xml:space="preserve"> </w:t>
      </w:r>
      <w:r w:rsidR="003953F8" w:rsidRPr="002B0363">
        <w:rPr>
          <w:rFonts w:ascii="Times New Roman" w:hAnsi="Times New Roman" w:cs="Times New Roman"/>
          <w:sz w:val="24"/>
          <w:szCs w:val="24"/>
        </w:rPr>
        <w:t xml:space="preserve">As compared farmer practice with scheduled treatment yield and yield component results were reduced significantly. </w:t>
      </w:r>
    </w:p>
    <w:p w14:paraId="649DA504" w14:textId="77777777" w:rsidR="00BD772F" w:rsidRPr="006D4D76" w:rsidRDefault="00BD772F" w:rsidP="00BD772F">
      <w:pPr>
        <w:spacing w:after="0" w:line="360" w:lineRule="auto"/>
        <w:jc w:val="both"/>
        <w:rPr>
          <w:rFonts w:ascii="Times New Roman" w:hAnsi="Times New Roman" w:cs="Times New Roman"/>
          <w:b/>
          <w:color w:val="000000"/>
          <w:sz w:val="24"/>
          <w:szCs w:val="24"/>
        </w:rPr>
      </w:pPr>
      <w:r w:rsidRPr="006D4D76">
        <w:rPr>
          <w:rFonts w:ascii="Times New Roman" w:hAnsi="Times New Roman" w:cs="Times New Roman"/>
          <w:b/>
          <w:color w:val="000000"/>
          <w:sz w:val="24"/>
          <w:szCs w:val="24"/>
        </w:rPr>
        <w:t xml:space="preserve">Farmer perception </w:t>
      </w:r>
      <w:r w:rsidR="00236FB4" w:rsidRPr="006D4D76">
        <w:rPr>
          <w:rFonts w:ascii="Times New Roman" w:hAnsi="Times New Roman" w:cs="Times New Roman"/>
          <w:b/>
          <w:color w:val="000000"/>
          <w:sz w:val="24"/>
          <w:szCs w:val="24"/>
        </w:rPr>
        <w:t>for</w:t>
      </w:r>
      <w:r w:rsidRPr="006D4D76">
        <w:rPr>
          <w:rFonts w:ascii="Times New Roman" w:hAnsi="Times New Roman" w:cs="Times New Roman"/>
          <w:b/>
          <w:color w:val="000000"/>
          <w:sz w:val="24"/>
          <w:szCs w:val="24"/>
        </w:rPr>
        <w:t xml:space="preserve"> Irrigation Scheduling</w:t>
      </w:r>
    </w:p>
    <w:p w14:paraId="0ED07288" w14:textId="77777777" w:rsidR="00E92D11" w:rsidRPr="00E92D11" w:rsidRDefault="006D4D76" w:rsidP="00BD772F">
      <w:pPr>
        <w:spacing w:after="0" w:line="360" w:lineRule="auto"/>
        <w:jc w:val="both"/>
        <w:rPr>
          <w:rFonts w:ascii="Times New Roman" w:hAnsi="Times New Roman" w:cs="Times New Roman"/>
          <w:b/>
          <w:color w:val="000000"/>
          <w:sz w:val="24"/>
          <w:szCs w:val="24"/>
          <w:highlight w:val="yellow"/>
        </w:rPr>
      </w:pPr>
      <w:r w:rsidRPr="006D4D76">
        <w:rPr>
          <w:rFonts w:ascii="Times New Roman" w:hAnsi="Times New Roman" w:cs="Times New Roman"/>
          <w:sz w:val="24"/>
          <w:szCs w:val="24"/>
        </w:rPr>
        <w:t xml:space="preserve">Farmers who participated in the demonstration expressed a positive perception toward irrigation scheduling for Orange Flesh Sweet Potato production. They observed that applying water based on crop needs, particularly using the 100% MAD (Management Allowed Depletion) schedule, resulted in improved plant growth and higher yields compared to traditional practices. Many farmers appreciated the efficiency of water use and the reduction in labor and time associated with structured irrigation intervals. The integration of </w:t>
      </w:r>
      <w:proofErr w:type="spellStart"/>
      <w:r w:rsidRPr="006D4D76">
        <w:rPr>
          <w:rFonts w:ascii="Times New Roman" w:hAnsi="Times New Roman" w:cs="Times New Roman"/>
          <w:sz w:val="24"/>
          <w:szCs w:val="24"/>
        </w:rPr>
        <w:t>vermi</w:t>
      </w:r>
      <w:proofErr w:type="spellEnd"/>
      <w:r w:rsidRPr="006D4D76">
        <w:rPr>
          <w:rFonts w:ascii="Times New Roman" w:hAnsi="Times New Roman" w:cs="Times New Roman"/>
          <w:sz w:val="24"/>
          <w:szCs w:val="24"/>
        </w:rPr>
        <w:t xml:space="preserve">-compost was also highly valued, as it enhanced soil fertility and contributed to better tuber development. Overall, farmers indicated a strong willingness to adopt irrigation scheduling practices, especially when supported by training </w:t>
      </w:r>
      <w:r w:rsidRPr="006D4D76">
        <w:rPr>
          <w:rFonts w:ascii="Times New Roman" w:hAnsi="Times New Roman" w:cs="Times New Roman"/>
          <w:sz w:val="24"/>
          <w:szCs w:val="24"/>
        </w:rPr>
        <w:lastRenderedPageBreak/>
        <w:t>and access to solar-powered irrigation systems. They also emphasized the need for continued technical support and access to affordable inputs to ensure sustainable adoption.</w:t>
      </w:r>
    </w:p>
    <w:p w14:paraId="6DC68A58" w14:textId="77777777" w:rsidR="00BD772F" w:rsidRPr="00F72681" w:rsidRDefault="00BD772F" w:rsidP="00BD772F">
      <w:pPr>
        <w:spacing w:after="0" w:line="360" w:lineRule="auto"/>
        <w:jc w:val="both"/>
        <w:rPr>
          <w:rFonts w:ascii="Times New Roman" w:hAnsi="Times New Roman" w:cs="Times New Roman"/>
          <w:b/>
          <w:color w:val="000000"/>
          <w:sz w:val="24"/>
          <w:szCs w:val="24"/>
        </w:rPr>
      </w:pPr>
      <w:r w:rsidRPr="00F72681">
        <w:rPr>
          <w:rFonts w:ascii="Times New Roman" w:hAnsi="Times New Roman" w:cs="Times New Roman"/>
          <w:b/>
          <w:color w:val="000000"/>
          <w:sz w:val="24"/>
          <w:szCs w:val="24"/>
        </w:rPr>
        <w:t xml:space="preserve">Conclusions and Recommendations </w:t>
      </w:r>
    </w:p>
    <w:p w14:paraId="74B641FC" w14:textId="77777777" w:rsidR="008A6DB7" w:rsidRPr="00F72681" w:rsidRDefault="008A6DB7" w:rsidP="00F72681">
      <w:pPr>
        <w:pStyle w:val="NormalWeb"/>
        <w:spacing w:line="360" w:lineRule="auto"/>
        <w:jc w:val="both"/>
      </w:pPr>
      <w:r w:rsidRPr="00F72681">
        <w:t xml:space="preserve">The study concludes that the use of 100% MAD irrigation scheduling along with recommended </w:t>
      </w:r>
      <w:proofErr w:type="spellStart"/>
      <w:r w:rsidRPr="00F72681">
        <w:t>vermi</w:t>
      </w:r>
      <w:proofErr w:type="spellEnd"/>
      <w:r w:rsidRPr="00F72681">
        <w:t>-compost significantly improves both the yield and morphological characteristics of Orange Flesh Sweet Potato. This approach resulted in increased root size, number, and total production compared to traditional farmer practices.</w:t>
      </w:r>
      <w:r w:rsidR="00F72681">
        <w:t xml:space="preserve"> It is recommended that farmers adopt 100% MAD (Management Allowed Depletion) irrigation scheduling in combination with </w:t>
      </w:r>
      <w:proofErr w:type="spellStart"/>
      <w:r w:rsidR="00F72681">
        <w:t>vermi</w:t>
      </w:r>
      <w:proofErr w:type="spellEnd"/>
      <w:r w:rsidR="00F72681">
        <w:t>-compost application to improve sweet potato productivity. To support this, agricultural extension services should promote targeted training programs focused on effective irrigation scheduling and the benefits of using organic compost.</w:t>
      </w:r>
    </w:p>
    <w:p w14:paraId="0F0E4FAB" w14:textId="77777777" w:rsidR="00BD772F" w:rsidRPr="00CC50BF" w:rsidRDefault="00BD772F" w:rsidP="00BD772F">
      <w:pPr>
        <w:spacing w:after="0" w:line="360" w:lineRule="auto"/>
        <w:jc w:val="both"/>
        <w:rPr>
          <w:rFonts w:ascii="Times New Roman" w:hAnsi="Times New Roman" w:cs="Times New Roman"/>
          <w:b/>
          <w:color w:val="000000"/>
        </w:rPr>
      </w:pPr>
      <w:r w:rsidRPr="00CC50BF">
        <w:rPr>
          <w:rFonts w:ascii="Times New Roman" w:hAnsi="Times New Roman" w:cs="Times New Roman"/>
          <w:b/>
          <w:color w:val="000000"/>
          <w:sz w:val="30"/>
          <w:szCs w:val="30"/>
        </w:rPr>
        <w:t>References</w:t>
      </w:r>
    </w:p>
    <w:p w14:paraId="331314FC" w14:textId="77777777" w:rsidR="000B6F75" w:rsidRDefault="000B6F75" w:rsidP="000B6F75">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40029E">
        <w:rPr>
          <w:rFonts w:ascii="Times New Roman" w:eastAsia="Times New Roman" w:hAnsi="Times New Roman" w:cs="Times New Roman"/>
          <w:sz w:val="24"/>
          <w:szCs w:val="24"/>
        </w:rPr>
        <w:t xml:space="preserve">Allen, R. G., Pereira, L. S., Raes, D., &amp; Smith, M. (1998). </w:t>
      </w:r>
      <w:r w:rsidRPr="0040029E">
        <w:rPr>
          <w:rFonts w:ascii="Times New Roman" w:eastAsia="Times New Roman" w:hAnsi="Times New Roman" w:cs="Times New Roman"/>
          <w:i/>
          <w:iCs/>
          <w:sz w:val="24"/>
          <w:szCs w:val="24"/>
        </w:rPr>
        <w:t>Crop evapotranspiration: Guidelines for computing crop water requirements</w:t>
      </w:r>
      <w:r w:rsidRPr="0040029E">
        <w:rPr>
          <w:rFonts w:ascii="Times New Roman" w:eastAsia="Times New Roman" w:hAnsi="Times New Roman" w:cs="Times New Roman"/>
          <w:sz w:val="24"/>
          <w:szCs w:val="24"/>
        </w:rPr>
        <w:t>. FAO Irrigation and Drainage Paper No. 56. Rome: Food and Agriculture Organization of the United Nations.</w:t>
      </w:r>
    </w:p>
    <w:p w14:paraId="7E18D46B" w14:textId="77777777" w:rsidR="000B6F75" w:rsidRDefault="000B6F75" w:rsidP="000B6F75">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40029E">
        <w:rPr>
          <w:rFonts w:ascii="Times New Roman" w:eastAsia="Times New Roman" w:hAnsi="Times New Roman" w:cs="Times New Roman"/>
          <w:sz w:val="24"/>
          <w:szCs w:val="24"/>
        </w:rPr>
        <w:t xml:space="preserve">Andreas, S., Smith, M., &amp; Raes, D. (2002). </w:t>
      </w:r>
      <w:r w:rsidRPr="0040029E">
        <w:rPr>
          <w:rFonts w:ascii="Times New Roman" w:eastAsia="Times New Roman" w:hAnsi="Times New Roman" w:cs="Times New Roman"/>
          <w:i/>
          <w:iCs/>
          <w:sz w:val="24"/>
          <w:szCs w:val="24"/>
        </w:rPr>
        <w:t>Irrigation scheduling: The FAO CROPWAT model</w:t>
      </w:r>
      <w:r w:rsidRPr="0040029E">
        <w:rPr>
          <w:rFonts w:ascii="Times New Roman" w:eastAsia="Times New Roman" w:hAnsi="Times New Roman" w:cs="Times New Roman"/>
          <w:sz w:val="24"/>
          <w:szCs w:val="24"/>
        </w:rPr>
        <w:t>. FAO Land and Water Digital Media Series 8. Rome: Food and Agriculture Organization.</w:t>
      </w:r>
    </w:p>
    <w:p w14:paraId="199A1B03" w14:textId="77777777" w:rsidR="000B6F75" w:rsidRDefault="000B6F75" w:rsidP="000B6F75">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40029E">
        <w:rPr>
          <w:rFonts w:ascii="Times New Roman" w:eastAsia="Times New Roman" w:hAnsi="Times New Roman" w:cs="Times New Roman"/>
          <w:sz w:val="24"/>
          <w:szCs w:val="24"/>
        </w:rPr>
        <w:t xml:space="preserve">Doorenbos, J., &amp; Kassam, A. H. (1986). </w:t>
      </w:r>
      <w:r w:rsidRPr="0040029E">
        <w:rPr>
          <w:rFonts w:ascii="Times New Roman" w:eastAsia="Times New Roman" w:hAnsi="Times New Roman" w:cs="Times New Roman"/>
          <w:i/>
          <w:iCs/>
          <w:sz w:val="24"/>
          <w:szCs w:val="24"/>
        </w:rPr>
        <w:t>Yield response to water</w:t>
      </w:r>
      <w:r w:rsidRPr="0040029E">
        <w:rPr>
          <w:rFonts w:ascii="Times New Roman" w:eastAsia="Times New Roman" w:hAnsi="Times New Roman" w:cs="Times New Roman"/>
          <w:sz w:val="24"/>
          <w:szCs w:val="24"/>
        </w:rPr>
        <w:t>. FAO Irrigation and Drainage Paper No. 33. Rome: Food and Agriculture Organization of the United Nations.</w:t>
      </w:r>
    </w:p>
    <w:p w14:paraId="480B0B98" w14:textId="77777777" w:rsidR="000B6F75" w:rsidRPr="0040029E" w:rsidRDefault="000B6F75" w:rsidP="000B6F75">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40029E">
        <w:rPr>
          <w:rFonts w:ascii="Times New Roman" w:eastAsia="Times New Roman" w:hAnsi="Times New Roman" w:cs="Times New Roman"/>
          <w:sz w:val="24"/>
          <w:szCs w:val="24"/>
        </w:rPr>
        <w:t xml:space="preserve">Doorenbos, J., &amp; Pruitt, W. O. (1977). </w:t>
      </w:r>
      <w:r w:rsidRPr="0040029E">
        <w:rPr>
          <w:rFonts w:ascii="Times New Roman" w:eastAsia="Times New Roman" w:hAnsi="Times New Roman" w:cs="Times New Roman"/>
          <w:i/>
          <w:iCs/>
          <w:sz w:val="24"/>
          <w:szCs w:val="24"/>
        </w:rPr>
        <w:t>Crop water requirements</w:t>
      </w:r>
      <w:r w:rsidRPr="0040029E">
        <w:rPr>
          <w:rFonts w:ascii="Times New Roman" w:eastAsia="Times New Roman" w:hAnsi="Times New Roman" w:cs="Times New Roman"/>
          <w:sz w:val="24"/>
          <w:szCs w:val="24"/>
        </w:rPr>
        <w:t>. FAO Irrigation and Drainage Paper No. 24. Rome: Food and Agriculture Organization of the United Nations.</w:t>
      </w:r>
    </w:p>
    <w:p w14:paraId="6AC8A753" w14:textId="77777777" w:rsidR="000B6F75" w:rsidRDefault="000B6F75" w:rsidP="000B6F75">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130B0">
        <w:rPr>
          <w:rFonts w:ascii="Times New Roman" w:eastAsia="Times New Roman" w:hAnsi="Times New Roman" w:cs="Times New Roman"/>
          <w:sz w:val="24"/>
          <w:szCs w:val="24"/>
        </w:rPr>
        <w:t xml:space="preserve">FAO. (2021). </w:t>
      </w:r>
      <w:r w:rsidRPr="00B130B0">
        <w:rPr>
          <w:rFonts w:ascii="Times New Roman" w:eastAsia="Times New Roman" w:hAnsi="Times New Roman" w:cs="Times New Roman"/>
          <w:i/>
          <w:iCs/>
          <w:sz w:val="24"/>
          <w:szCs w:val="24"/>
        </w:rPr>
        <w:t>The State of Food and Agriculture 2021</w:t>
      </w:r>
      <w:r w:rsidRPr="00B130B0">
        <w:rPr>
          <w:rFonts w:ascii="Times New Roman" w:eastAsia="Times New Roman" w:hAnsi="Times New Roman" w:cs="Times New Roman"/>
          <w:sz w:val="24"/>
          <w:szCs w:val="24"/>
        </w:rPr>
        <w:t>. Food and Agriculture Organization of the United Nations.</w:t>
      </w:r>
    </w:p>
    <w:p w14:paraId="2EC80494" w14:textId="77777777" w:rsidR="000B6F75" w:rsidRDefault="000B6F75" w:rsidP="000B6F75">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130B0">
        <w:rPr>
          <w:rFonts w:ascii="Times New Roman" w:eastAsia="Times New Roman" w:hAnsi="Times New Roman" w:cs="Times New Roman"/>
          <w:sz w:val="24"/>
          <w:szCs w:val="24"/>
        </w:rPr>
        <w:t xml:space="preserve">IRENA. (2016). </w:t>
      </w:r>
      <w:r w:rsidRPr="00644718">
        <w:rPr>
          <w:rFonts w:ascii="Times New Roman" w:eastAsia="Times New Roman" w:hAnsi="Times New Roman" w:cs="Times New Roman"/>
          <w:sz w:val="24"/>
          <w:szCs w:val="24"/>
        </w:rPr>
        <w:t>Solar pumping for irrigation: Improving livelihoods and sustainability</w:t>
      </w:r>
      <w:r w:rsidRPr="00B130B0">
        <w:rPr>
          <w:rFonts w:ascii="Times New Roman" w:eastAsia="Times New Roman" w:hAnsi="Times New Roman" w:cs="Times New Roman"/>
          <w:sz w:val="24"/>
          <w:szCs w:val="24"/>
        </w:rPr>
        <w:t>. International Renewable Energy Agency.</w:t>
      </w:r>
    </w:p>
    <w:p w14:paraId="4A646B1F" w14:textId="77777777" w:rsidR="000B6F75" w:rsidRDefault="000B6F75" w:rsidP="000B6F75">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BD19FA">
        <w:rPr>
          <w:rFonts w:ascii="Times New Roman" w:eastAsia="Times New Roman" w:hAnsi="Times New Roman" w:cs="Times New Roman"/>
          <w:sz w:val="24"/>
          <w:szCs w:val="24"/>
        </w:rPr>
        <w:lastRenderedPageBreak/>
        <w:t>Lemaga</w:t>
      </w:r>
      <w:proofErr w:type="spellEnd"/>
      <w:r w:rsidRPr="00BD19FA">
        <w:rPr>
          <w:rFonts w:ascii="Times New Roman" w:eastAsia="Times New Roman" w:hAnsi="Times New Roman" w:cs="Times New Roman"/>
          <w:sz w:val="24"/>
          <w:szCs w:val="24"/>
        </w:rPr>
        <w:t xml:space="preserve">, B., Gichuki, S., &amp; Ndolo, P. (2013). </w:t>
      </w:r>
      <w:proofErr w:type="spellStart"/>
      <w:r w:rsidRPr="00644718">
        <w:rPr>
          <w:rFonts w:ascii="Times New Roman" w:eastAsia="Times New Roman" w:hAnsi="Times New Roman" w:cs="Times New Roman"/>
          <w:sz w:val="24"/>
          <w:szCs w:val="24"/>
        </w:rPr>
        <w:t>Sweetpotato</w:t>
      </w:r>
      <w:proofErr w:type="spellEnd"/>
      <w:r w:rsidRPr="00644718">
        <w:rPr>
          <w:rFonts w:ascii="Times New Roman" w:eastAsia="Times New Roman" w:hAnsi="Times New Roman" w:cs="Times New Roman"/>
          <w:sz w:val="24"/>
          <w:szCs w:val="24"/>
        </w:rPr>
        <w:t xml:space="preserve"> in sub-Saharan Africa</w:t>
      </w:r>
      <w:r w:rsidRPr="00BD19FA">
        <w:rPr>
          <w:rFonts w:ascii="Times New Roman" w:eastAsia="Times New Roman" w:hAnsi="Times New Roman" w:cs="Times New Roman"/>
          <w:sz w:val="24"/>
          <w:szCs w:val="24"/>
        </w:rPr>
        <w:t xml:space="preserve">. In: Low, J., Nyongesa, M., Quinn, S., &amp; Parker, M. (Eds.), </w:t>
      </w:r>
      <w:r w:rsidRPr="00644718">
        <w:rPr>
          <w:rFonts w:ascii="Times New Roman" w:eastAsia="Times New Roman" w:hAnsi="Times New Roman" w:cs="Times New Roman"/>
          <w:sz w:val="24"/>
          <w:szCs w:val="24"/>
        </w:rPr>
        <w:t>Sweet</w:t>
      </w:r>
      <w:r>
        <w:rPr>
          <w:rFonts w:ascii="Times New Roman" w:eastAsia="Times New Roman" w:hAnsi="Times New Roman" w:cs="Times New Roman"/>
          <w:sz w:val="24"/>
          <w:szCs w:val="24"/>
        </w:rPr>
        <w:t xml:space="preserve"> </w:t>
      </w:r>
      <w:r w:rsidRPr="00644718">
        <w:rPr>
          <w:rFonts w:ascii="Times New Roman" w:eastAsia="Times New Roman" w:hAnsi="Times New Roman" w:cs="Times New Roman"/>
          <w:sz w:val="24"/>
          <w:szCs w:val="24"/>
        </w:rPr>
        <w:t>potato postharvest assessment: Experiences from East Africa</w:t>
      </w:r>
      <w:r w:rsidRPr="00BD19FA">
        <w:rPr>
          <w:rFonts w:ascii="Times New Roman" w:eastAsia="Times New Roman" w:hAnsi="Times New Roman" w:cs="Times New Roman"/>
          <w:sz w:val="24"/>
          <w:szCs w:val="24"/>
        </w:rPr>
        <w:t>. Lima (Peru): International Potato Center (CIP).</w:t>
      </w:r>
    </w:p>
    <w:p w14:paraId="096E5770" w14:textId="77777777" w:rsidR="000B6F75" w:rsidRDefault="000B6F75" w:rsidP="000B6F75">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D19FA">
        <w:rPr>
          <w:rFonts w:ascii="Times New Roman" w:eastAsia="Times New Roman" w:hAnsi="Times New Roman" w:cs="Times New Roman"/>
          <w:sz w:val="24"/>
          <w:szCs w:val="24"/>
        </w:rPr>
        <w:t xml:space="preserve">Low, J. W., Walker, T., &amp; </w:t>
      </w:r>
      <w:proofErr w:type="spellStart"/>
      <w:r w:rsidRPr="00BD19FA">
        <w:rPr>
          <w:rFonts w:ascii="Times New Roman" w:eastAsia="Times New Roman" w:hAnsi="Times New Roman" w:cs="Times New Roman"/>
          <w:sz w:val="24"/>
          <w:szCs w:val="24"/>
        </w:rPr>
        <w:t>Hijmans</w:t>
      </w:r>
      <w:proofErr w:type="spellEnd"/>
      <w:r w:rsidRPr="00BD19FA">
        <w:rPr>
          <w:rFonts w:ascii="Times New Roman" w:eastAsia="Times New Roman" w:hAnsi="Times New Roman" w:cs="Times New Roman"/>
          <w:sz w:val="24"/>
          <w:szCs w:val="24"/>
        </w:rPr>
        <w:t xml:space="preserve">, R. J. (2009). The potential impact of orange-fleshed </w:t>
      </w:r>
      <w:proofErr w:type="spellStart"/>
      <w:r w:rsidRPr="00BD19FA">
        <w:rPr>
          <w:rFonts w:ascii="Times New Roman" w:eastAsia="Times New Roman" w:hAnsi="Times New Roman" w:cs="Times New Roman"/>
          <w:sz w:val="24"/>
          <w:szCs w:val="24"/>
        </w:rPr>
        <w:t>sweetpotatoes</w:t>
      </w:r>
      <w:proofErr w:type="spellEnd"/>
      <w:r w:rsidRPr="00BD19FA">
        <w:rPr>
          <w:rFonts w:ascii="Times New Roman" w:eastAsia="Times New Roman" w:hAnsi="Times New Roman" w:cs="Times New Roman"/>
          <w:sz w:val="24"/>
          <w:szCs w:val="24"/>
        </w:rPr>
        <w:t xml:space="preserve"> on vitamin A intake in Sub-Saharan Africa. </w:t>
      </w:r>
      <w:r w:rsidRPr="00644718">
        <w:rPr>
          <w:rFonts w:ascii="Times New Roman" w:eastAsia="Times New Roman" w:hAnsi="Times New Roman" w:cs="Times New Roman"/>
          <w:sz w:val="24"/>
          <w:szCs w:val="24"/>
        </w:rPr>
        <w:t>Food and Nutrition Bulletin</w:t>
      </w:r>
      <w:r w:rsidRPr="00BD19FA">
        <w:rPr>
          <w:rFonts w:ascii="Times New Roman" w:eastAsia="Times New Roman" w:hAnsi="Times New Roman" w:cs="Times New Roman"/>
          <w:sz w:val="24"/>
          <w:szCs w:val="24"/>
        </w:rPr>
        <w:t>, 30(3 Suppl), S315–S323.</w:t>
      </w:r>
    </w:p>
    <w:p w14:paraId="691D08A0" w14:textId="77777777" w:rsidR="000B6F75" w:rsidRDefault="000B6F75" w:rsidP="000B6F75">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B130B0">
        <w:rPr>
          <w:rFonts w:ascii="Times New Roman" w:eastAsia="Times New Roman" w:hAnsi="Times New Roman" w:cs="Times New Roman"/>
          <w:sz w:val="24"/>
          <w:szCs w:val="24"/>
        </w:rPr>
        <w:t>MoA</w:t>
      </w:r>
      <w:proofErr w:type="spellEnd"/>
      <w:r w:rsidRPr="00B130B0">
        <w:rPr>
          <w:rFonts w:ascii="Times New Roman" w:eastAsia="Times New Roman" w:hAnsi="Times New Roman" w:cs="Times New Roman"/>
          <w:sz w:val="24"/>
          <w:szCs w:val="24"/>
        </w:rPr>
        <w:t xml:space="preserve">. (2020). </w:t>
      </w:r>
      <w:r w:rsidRPr="00644718">
        <w:rPr>
          <w:rFonts w:ascii="Times New Roman" w:eastAsia="Times New Roman" w:hAnsi="Times New Roman" w:cs="Times New Roman"/>
          <w:sz w:val="24"/>
          <w:szCs w:val="24"/>
        </w:rPr>
        <w:t>Annual Agricultural Performance Report</w:t>
      </w:r>
      <w:r w:rsidRPr="00B130B0">
        <w:rPr>
          <w:rFonts w:ascii="Times New Roman" w:eastAsia="Times New Roman" w:hAnsi="Times New Roman" w:cs="Times New Roman"/>
          <w:sz w:val="24"/>
          <w:szCs w:val="24"/>
        </w:rPr>
        <w:t>. Ministry of Agriculture, Ethiopia.</w:t>
      </w:r>
    </w:p>
    <w:p w14:paraId="19E0D106" w14:textId="77777777" w:rsidR="000B6F75" w:rsidRDefault="000B6F75" w:rsidP="000B6F75">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130B0">
        <w:rPr>
          <w:rFonts w:ascii="Times New Roman" w:eastAsia="Times New Roman" w:hAnsi="Times New Roman" w:cs="Times New Roman"/>
          <w:sz w:val="24"/>
          <w:szCs w:val="24"/>
        </w:rPr>
        <w:t xml:space="preserve">Pretty, J., Toulmin, C., &amp; Williams, S. (2011). Sustainable intensification in African agriculture. </w:t>
      </w:r>
      <w:r w:rsidRPr="00644718">
        <w:rPr>
          <w:rFonts w:ascii="Times New Roman" w:eastAsia="Times New Roman" w:hAnsi="Times New Roman" w:cs="Times New Roman"/>
          <w:sz w:val="24"/>
          <w:szCs w:val="24"/>
        </w:rPr>
        <w:t>International Journal of Agricultural Sustainability</w:t>
      </w:r>
      <w:r w:rsidRPr="00B130B0">
        <w:rPr>
          <w:rFonts w:ascii="Times New Roman" w:eastAsia="Times New Roman" w:hAnsi="Times New Roman" w:cs="Times New Roman"/>
          <w:sz w:val="24"/>
          <w:szCs w:val="24"/>
        </w:rPr>
        <w:t>, 9(1), 5–24.</w:t>
      </w:r>
    </w:p>
    <w:p w14:paraId="60BF800F" w14:textId="77777777" w:rsidR="0040029E" w:rsidRPr="00BD19FA" w:rsidRDefault="0040029E" w:rsidP="00644718">
      <w:pPr>
        <w:spacing w:before="100" w:beforeAutospacing="1" w:after="100" w:afterAutospacing="1" w:line="240" w:lineRule="auto"/>
        <w:ind w:left="720" w:hanging="720"/>
        <w:rPr>
          <w:rFonts w:ascii="Times New Roman" w:eastAsia="Times New Roman" w:hAnsi="Times New Roman" w:cs="Times New Roman"/>
          <w:sz w:val="24"/>
          <w:szCs w:val="24"/>
        </w:rPr>
      </w:pPr>
    </w:p>
    <w:p w14:paraId="2DA0B816" w14:textId="77777777" w:rsidR="00BD19FA" w:rsidRPr="00B130B0" w:rsidRDefault="00BD19FA" w:rsidP="00B130B0">
      <w:pPr>
        <w:spacing w:before="100" w:beforeAutospacing="1" w:after="100" w:afterAutospacing="1" w:line="240" w:lineRule="auto"/>
        <w:rPr>
          <w:rFonts w:ascii="Times New Roman" w:eastAsia="Times New Roman" w:hAnsi="Times New Roman" w:cs="Times New Roman"/>
          <w:sz w:val="24"/>
          <w:szCs w:val="24"/>
        </w:rPr>
      </w:pPr>
    </w:p>
    <w:p w14:paraId="09C2E868" w14:textId="77777777" w:rsidR="00BD772F" w:rsidRPr="00F14347" w:rsidRDefault="00BD772F" w:rsidP="00BD772F">
      <w:pPr>
        <w:spacing w:after="0" w:line="360" w:lineRule="auto"/>
        <w:jc w:val="both"/>
        <w:rPr>
          <w:rFonts w:ascii="Times New Roman" w:hAnsi="Times New Roman" w:cs="Times New Roman"/>
          <w:b/>
          <w:color w:val="000000"/>
          <w:sz w:val="24"/>
          <w:szCs w:val="24"/>
        </w:rPr>
      </w:pPr>
    </w:p>
    <w:p w14:paraId="155A8B0A" w14:textId="77777777" w:rsidR="00BD772F" w:rsidRPr="00BD772F" w:rsidRDefault="00BD772F" w:rsidP="00596AD7">
      <w:pPr>
        <w:spacing w:after="120"/>
        <w:rPr>
          <w:rFonts w:ascii="Times New Roman" w:hAnsi="Times New Roman" w:cs="Times New Roman"/>
          <w:b/>
        </w:rPr>
      </w:pPr>
    </w:p>
    <w:p w14:paraId="4D94CD62" w14:textId="77777777" w:rsidR="00BD772F" w:rsidRDefault="00BD772F" w:rsidP="00596AD7">
      <w:pPr>
        <w:spacing w:after="120"/>
      </w:pPr>
    </w:p>
    <w:p w14:paraId="6097FEC4" w14:textId="77777777" w:rsidR="00BD772F" w:rsidRDefault="00BD772F" w:rsidP="00596AD7">
      <w:pPr>
        <w:spacing w:after="120"/>
      </w:pPr>
    </w:p>
    <w:sectPr w:rsidR="00BD772F" w:rsidSect="007028B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4D611" w14:textId="77777777" w:rsidR="0082725C" w:rsidRDefault="0082725C" w:rsidP="00CD1AD6">
      <w:pPr>
        <w:spacing w:after="0" w:line="240" w:lineRule="auto"/>
      </w:pPr>
      <w:r>
        <w:separator/>
      </w:r>
    </w:p>
  </w:endnote>
  <w:endnote w:type="continuationSeparator" w:id="0">
    <w:p w14:paraId="7EBC03C7" w14:textId="77777777" w:rsidR="0082725C" w:rsidRDefault="0082725C" w:rsidP="00CD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879A" w14:textId="77777777" w:rsidR="00CD1AD6" w:rsidRDefault="00CD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BF11" w14:textId="77777777" w:rsidR="00CD1AD6" w:rsidRDefault="00CD1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4FC7B" w14:textId="77777777" w:rsidR="00CD1AD6" w:rsidRDefault="00CD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41E1F" w14:textId="77777777" w:rsidR="0082725C" w:rsidRDefault="0082725C" w:rsidP="00CD1AD6">
      <w:pPr>
        <w:spacing w:after="0" w:line="240" w:lineRule="auto"/>
      </w:pPr>
      <w:r>
        <w:separator/>
      </w:r>
    </w:p>
  </w:footnote>
  <w:footnote w:type="continuationSeparator" w:id="0">
    <w:p w14:paraId="221C861F" w14:textId="77777777" w:rsidR="0082725C" w:rsidRDefault="0082725C" w:rsidP="00CD1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D0F1F" w14:textId="2798C97B" w:rsidR="00CD1AD6" w:rsidRDefault="00CD1AD6">
    <w:pPr>
      <w:pStyle w:val="Header"/>
    </w:pPr>
    <w:r>
      <w:rPr>
        <w:noProof/>
      </w:rPr>
      <w:pict w14:anchorId="7921F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984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079A" w14:textId="05CAC855" w:rsidR="00CD1AD6" w:rsidRDefault="00CD1AD6">
    <w:pPr>
      <w:pStyle w:val="Header"/>
    </w:pPr>
    <w:r>
      <w:rPr>
        <w:noProof/>
      </w:rPr>
      <w:pict w14:anchorId="2AA48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984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CC52" w14:textId="508DB494" w:rsidR="00CD1AD6" w:rsidRDefault="00CD1AD6">
    <w:pPr>
      <w:pStyle w:val="Header"/>
    </w:pPr>
    <w:r>
      <w:rPr>
        <w:noProof/>
      </w:rPr>
      <w:pict w14:anchorId="648EA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984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06F8"/>
    <w:multiLevelType w:val="multilevel"/>
    <w:tmpl w:val="150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EF674C"/>
    <w:multiLevelType w:val="multilevel"/>
    <w:tmpl w:val="50EE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265437">
    <w:abstractNumId w:val="0"/>
  </w:num>
  <w:num w:numId="2" w16cid:durableId="1851874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AD7"/>
    <w:rsid w:val="000B6F75"/>
    <w:rsid w:val="00114586"/>
    <w:rsid w:val="001719B2"/>
    <w:rsid w:val="002340B0"/>
    <w:rsid w:val="00236FB4"/>
    <w:rsid w:val="00254633"/>
    <w:rsid w:val="00281AFF"/>
    <w:rsid w:val="002B0363"/>
    <w:rsid w:val="00335F72"/>
    <w:rsid w:val="003953F8"/>
    <w:rsid w:val="003E2D22"/>
    <w:rsid w:val="003F34FA"/>
    <w:rsid w:val="0040029E"/>
    <w:rsid w:val="00401BD2"/>
    <w:rsid w:val="004C68A4"/>
    <w:rsid w:val="00510E99"/>
    <w:rsid w:val="005311A3"/>
    <w:rsid w:val="00550EA0"/>
    <w:rsid w:val="00551CD4"/>
    <w:rsid w:val="005629C9"/>
    <w:rsid w:val="00595D46"/>
    <w:rsid w:val="00596AD7"/>
    <w:rsid w:val="005A67D1"/>
    <w:rsid w:val="005C4538"/>
    <w:rsid w:val="005E68AC"/>
    <w:rsid w:val="00600F5C"/>
    <w:rsid w:val="00623C49"/>
    <w:rsid w:val="00644718"/>
    <w:rsid w:val="006730D0"/>
    <w:rsid w:val="00681C32"/>
    <w:rsid w:val="006D4D76"/>
    <w:rsid w:val="007028BA"/>
    <w:rsid w:val="00781CFA"/>
    <w:rsid w:val="007B47AD"/>
    <w:rsid w:val="007F12D5"/>
    <w:rsid w:val="007F28A7"/>
    <w:rsid w:val="0082725C"/>
    <w:rsid w:val="00885DC3"/>
    <w:rsid w:val="008A6DB7"/>
    <w:rsid w:val="008B36BB"/>
    <w:rsid w:val="008C6B95"/>
    <w:rsid w:val="008F67CA"/>
    <w:rsid w:val="0091701A"/>
    <w:rsid w:val="009E1BCA"/>
    <w:rsid w:val="00A00951"/>
    <w:rsid w:val="00A335A1"/>
    <w:rsid w:val="00A87B7E"/>
    <w:rsid w:val="00A97099"/>
    <w:rsid w:val="00AD0545"/>
    <w:rsid w:val="00B04E73"/>
    <w:rsid w:val="00B130B0"/>
    <w:rsid w:val="00BD19FA"/>
    <w:rsid w:val="00BD6B27"/>
    <w:rsid w:val="00BD772F"/>
    <w:rsid w:val="00C14868"/>
    <w:rsid w:val="00C25262"/>
    <w:rsid w:val="00CB089C"/>
    <w:rsid w:val="00CD1AD6"/>
    <w:rsid w:val="00D10337"/>
    <w:rsid w:val="00D61233"/>
    <w:rsid w:val="00D73A96"/>
    <w:rsid w:val="00E77F74"/>
    <w:rsid w:val="00E904FD"/>
    <w:rsid w:val="00E92D11"/>
    <w:rsid w:val="00EC65B8"/>
    <w:rsid w:val="00ED15B5"/>
    <w:rsid w:val="00EE1766"/>
    <w:rsid w:val="00F4123C"/>
    <w:rsid w:val="00F514F4"/>
    <w:rsid w:val="00F55A73"/>
    <w:rsid w:val="00F7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C0651"/>
  <w15:docId w15:val="{256E8D3B-EC26-4314-8BF4-142D58DC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0E9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10E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4C68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81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FA"/>
    <w:rPr>
      <w:rFonts w:ascii="Tahoma" w:hAnsi="Tahoma" w:cs="Tahoma"/>
      <w:sz w:val="16"/>
      <w:szCs w:val="16"/>
    </w:rPr>
  </w:style>
  <w:style w:type="character" w:styleId="Strong">
    <w:name w:val="Strong"/>
    <w:basedOn w:val="DefaultParagraphFont"/>
    <w:uiPriority w:val="22"/>
    <w:qFormat/>
    <w:rsid w:val="008A6DB7"/>
    <w:rPr>
      <w:b/>
      <w:bCs/>
    </w:rPr>
  </w:style>
  <w:style w:type="character" w:styleId="Emphasis">
    <w:name w:val="Emphasis"/>
    <w:basedOn w:val="DefaultParagraphFont"/>
    <w:uiPriority w:val="20"/>
    <w:qFormat/>
    <w:rsid w:val="00B130B0"/>
    <w:rPr>
      <w:i/>
      <w:iCs/>
    </w:rPr>
  </w:style>
  <w:style w:type="character" w:styleId="Hyperlink">
    <w:name w:val="Hyperlink"/>
    <w:basedOn w:val="DefaultParagraphFont"/>
    <w:uiPriority w:val="99"/>
    <w:unhideWhenUsed/>
    <w:rsid w:val="007B47AD"/>
    <w:rPr>
      <w:color w:val="0000FF" w:themeColor="hyperlink"/>
      <w:u w:val="single"/>
    </w:rPr>
  </w:style>
  <w:style w:type="table" w:customStyle="1" w:styleId="LightShading1">
    <w:name w:val="Light Shading1"/>
    <w:basedOn w:val="TableNormal"/>
    <w:uiPriority w:val="60"/>
    <w:rsid w:val="00E904FD"/>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CD1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AD6"/>
  </w:style>
  <w:style w:type="paragraph" w:styleId="Footer">
    <w:name w:val="footer"/>
    <w:basedOn w:val="Normal"/>
    <w:link w:val="FooterChar"/>
    <w:uiPriority w:val="99"/>
    <w:unhideWhenUsed/>
    <w:rsid w:val="00CD1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640185">
      <w:bodyDiv w:val="1"/>
      <w:marLeft w:val="0"/>
      <w:marRight w:val="0"/>
      <w:marTop w:val="0"/>
      <w:marBottom w:val="0"/>
      <w:divBdr>
        <w:top w:val="none" w:sz="0" w:space="0" w:color="auto"/>
        <w:left w:val="none" w:sz="0" w:space="0" w:color="auto"/>
        <w:bottom w:val="none" w:sz="0" w:space="0" w:color="auto"/>
        <w:right w:val="none" w:sz="0" w:space="0" w:color="auto"/>
      </w:divBdr>
    </w:div>
    <w:div w:id="523328506">
      <w:bodyDiv w:val="1"/>
      <w:marLeft w:val="0"/>
      <w:marRight w:val="0"/>
      <w:marTop w:val="0"/>
      <w:marBottom w:val="0"/>
      <w:divBdr>
        <w:top w:val="none" w:sz="0" w:space="0" w:color="auto"/>
        <w:left w:val="none" w:sz="0" w:space="0" w:color="auto"/>
        <w:bottom w:val="none" w:sz="0" w:space="0" w:color="auto"/>
        <w:right w:val="none" w:sz="0" w:space="0" w:color="auto"/>
      </w:divBdr>
    </w:div>
    <w:div w:id="571698849">
      <w:bodyDiv w:val="1"/>
      <w:marLeft w:val="0"/>
      <w:marRight w:val="0"/>
      <w:marTop w:val="0"/>
      <w:marBottom w:val="0"/>
      <w:divBdr>
        <w:top w:val="none" w:sz="0" w:space="0" w:color="auto"/>
        <w:left w:val="none" w:sz="0" w:space="0" w:color="auto"/>
        <w:bottom w:val="none" w:sz="0" w:space="0" w:color="auto"/>
        <w:right w:val="none" w:sz="0" w:space="0" w:color="auto"/>
      </w:divBdr>
    </w:div>
    <w:div w:id="899436309">
      <w:bodyDiv w:val="1"/>
      <w:marLeft w:val="0"/>
      <w:marRight w:val="0"/>
      <w:marTop w:val="0"/>
      <w:marBottom w:val="0"/>
      <w:divBdr>
        <w:top w:val="none" w:sz="0" w:space="0" w:color="auto"/>
        <w:left w:val="none" w:sz="0" w:space="0" w:color="auto"/>
        <w:bottom w:val="none" w:sz="0" w:space="0" w:color="auto"/>
        <w:right w:val="none" w:sz="0" w:space="0" w:color="auto"/>
      </w:divBdr>
    </w:div>
    <w:div w:id="941038477">
      <w:bodyDiv w:val="1"/>
      <w:marLeft w:val="0"/>
      <w:marRight w:val="0"/>
      <w:marTop w:val="0"/>
      <w:marBottom w:val="0"/>
      <w:divBdr>
        <w:top w:val="none" w:sz="0" w:space="0" w:color="auto"/>
        <w:left w:val="none" w:sz="0" w:space="0" w:color="auto"/>
        <w:bottom w:val="none" w:sz="0" w:space="0" w:color="auto"/>
        <w:right w:val="none" w:sz="0" w:space="0" w:color="auto"/>
      </w:divBdr>
    </w:div>
    <w:div w:id="1114858802">
      <w:bodyDiv w:val="1"/>
      <w:marLeft w:val="0"/>
      <w:marRight w:val="0"/>
      <w:marTop w:val="0"/>
      <w:marBottom w:val="0"/>
      <w:divBdr>
        <w:top w:val="none" w:sz="0" w:space="0" w:color="auto"/>
        <w:left w:val="none" w:sz="0" w:space="0" w:color="auto"/>
        <w:bottom w:val="none" w:sz="0" w:space="0" w:color="auto"/>
        <w:right w:val="none" w:sz="0" w:space="0" w:color="auto"/>
      </w:divBdr>
    </w:div>
    <w:div w:id="1519923868">
      <w:bodyDiv w:val="1"/>
      <w:marLeft w:val="0"/>
      <w:marRight w:val="0"/>
      <w:marTop w:val="0"/>
      <w:marBottom w:val="0"/>
      <w:divBdr>
        <w:top w:val="none" w:sz="0" w:space="0" w:color="auto"/>
        <w:left w:val="none" w:sz="0" w:space="0" w:color="auto"/>
        <w:bottom w:val="none" w:sz="0" w:space="0" w:color="auto"/>
        <w:right w:val="none" w:sz="0" w:space="0" w:color="auto"/>
      </w:divBdr>
    </w:div>
    <w:div w:id="1607615984">
      <w:bodyDiv w:val="1"/>
      <w:marLeft w:val="0"/>
      <w:marRight w:val="0"/>
      <w:marTop w:val="0"/>
      <w:marBottom w:val="0"/>
      <w:divBdr>
        <w:top w:val="none" w:sz="0" w:space="0" w:color="auto"/>
        <w:left w:val="none" w:sz="0" w:space="0" w:color="auto"/>
        <w:bottom w:val="none" w:sz="0" w:space="0" w:color="auto"/>
        <w:right w:val="none" w:sz="0" w:space="0" w:color="auto"/>
      </w:divBdr>
    </w:div>
    <w:div w:id="1721250892">
      <w:bodyDiv w:val="1"/>
      <w:marLeft w:val="0"/>
      <w:marRight w:val="0"/>
      <w:marTop w:val="0"/>
      <w:marBottom w:val="0"/>
      <w:divBdr>
        <w:top w:val="none" w:sz="0" w:space="0" w:color="auto"/>
        <w:left w:val="none" w:sz="0" w:space="0" w:color="auto"/>
        <w:bottom w:val="none" w:sz="0" w:space="0" w:color="auto"/>
        <w:right w:val="none" w:sz="0" w:space="0" w:color="auto"/>
      </w:divBdr>
    </w:div>
    <w:div w:id="19976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Sheet2!$B$1:$B$2</c:f>
              <c:strCache>
                <c:ptCount val="1"/>
                <c:pt idx="0">
                  <c:v>Min.T ( °c) </c:v>
                </c:pt>
              </c:strCache>
            </c:strRef>
          </c:tx>
          <c:invertIfNegative val="0"/>
          <c:cat>
            <c:strRef>
              <c:f>Sheet2!$A$3:$A$9</c:f>
              <c:strCache>
                <c:ptCount val="7"/>
                <c:pt idx="0">
                  <c:v>January </c:v>
                </c:pt>
                <c:pt idx="1">
                  <c:v>February </c:v>
                </c:pt>
                <c:pt idx="2">
                  <c:v>March </c:v>
                </c:pt>
                <c:pt idx="3">
                  <c:v>April </c:v>
                </c:pt>
                <c:pt idx="4">
                  <c:v>November </c:v>
                </c:pt>
                <c:pt idx="5">
                  <c:v>December </c:v>
                </c:pt>
                <c:pt idx="6">
                  <c:v>Average </c:v>
                </c:pt>
              </c:strCache>
            </c:strRef>
          </c:cat>
          <c:val>
            <c:numRef>
              <c:f>Sheet2!$B$3:$B$9</c:f>
              <c:numCache>
                <c:formatCode>General</c:formatCode>
                <c:ptCount val="7"/>
                <c:pt idx="0">
                  <c:v>10.8</c:v>
                </c:pt>
                <c:pt idx="1">
                  <c:v>12.1</c:v>
                </c:pt>
                <c:pt idx="2">
                  <c:v>12.3</c:v>
                </c:pt>
                <c:pt idx="3">
                  <c:v>12.8</c:v>
                </c:pt>
                <c:pt idx="4">
                  <c:v>9.1</c:v>
                </c:pt>
                <c:pt idx="5">
                  <c:v>7.9</c:v>
                </c:pt>
                <c:pt idx="6">
                  <c:v>10.8</c:v>
                </c:pt>
              </c:numCache>
            </c:numRef>
          </c:val>
          <c:extLst>
            <c:ext xmlns:c16="http://schemas.microsoft.com/office/drawing/2014/chart" uri="{C3380CC4-5D6E-409C-BE32-E72D297353CC}">
              <c16:uniqueId val="{00000000-16A0-4693-8F41-226E1ED8ED10}"/>
            </c:ext>
          </c:extLst>
        </c:ser>
        <c:ser>
          <c:idx val="1"/>
          <c:order val="1"/>
          <c:tx>
            <c:strRef>
              <c:f>Sheet2!$C$1:$C$2</c:f>
              <c:strCache>
                <c:ptCount val="1"/>
                <c:pt idx="0">
                  <c:v>Max.T ( °c) </c:v>
                </c:pt>
              </c:strCache>
            </c:strRef>
          </c:tx>
          <c:invertIfNegative val="0"/>
          <c:cat>
            <c:strRef>
              <c:f>Sheet2!$A$3:$A$9</c:f>
              <c:strCache>
                <c:ptCount val="7"/>
                <c:pt idx="0">
                  <c:v>January </c:v>
                </c:pt>
                <c:pt idx="1">
                  <c:v>February </c:v>
                </c:pt>
                <c:pt idx="2">
                  <c:v>March </c:v>
                </c:pt>
                <c:pt idx="3">
                  <c:v>April </c:v>
                </c:pt>
                <c:pt idx="4">
                  <c:v>November </c:v>
                </c:pt>
                <c:pt idx="5">
                  <c:v>December </c:v>
                </c:pt>
                <c:pt idx="6">
                  <c:v>Average </c:v>
                </c:pt>
              </c:strCache>
            </c:strRef>
          </c:cat>
          <c:val>
            <c:numRef>
              <c:f>Sheet2!$C$3:$C$9</c:f>
              <c:numCache>
                <c:formatCode>General</c:formatCode>
                <c:ptCount val="7"/>
                <c:pt idx="0">
                  <c:v>27.6</c:v>
                </c:pt>
                <c:pt idx="1">
                  <c:v>28.1</c:v>
                </c:pt>
                <c:pt idx="2">
                  <c:v>27.7</c:v>
                </c:pt>
                <c:pt idx="3">
                  <c:v>27</c:v>
                </c:pt>
                <c:pt idx="4">
                  <c:v>27.1</c:v>
                </c:pt>
                <c:pt idx="5">
                  <c:v>27.7</c:v>
                </c:pt>
                <c:pt idx="6">
                  <c:v>27.5</c:v>
                </c:pt>
              </c:numCache>
            </c:numRef>
          </c:val>
          <c:extLst>
            <c:ext xmlns:c16="http://schemas.microsoft.com/office/drawing/2014/chart" uri="{C3380CC4-5D6E-409C-BE32-E72D297353CC}">
              <c16:uniqueId val="{00000001-16A0-4693-8F41-226E1ED8ED10}"/>
            </c:ext>
          </c:extLst>
        </c:ser>
        <c:ser>
          <c:idx val="2"/>
          <c:order val="2"/>
          <c:tx>
            <c:strRef>
              <c:f>Sheet2!$D$1:$D$2</c:f>
              <c:strCache>
                <c:ptCount val="1"/>
                <c:pt idx="0">
                  <c:v>Hum (%) </c:v>
                </c:pt>
              </c:strCache>
            </c:strRef>
          </c:tx>
          <c:invertIfNegative val="0"/>
          <c:cat>
            <c:strRef>
              <c:f>Sheet2!$A$3:$A$9</c:f>
              <c:strCache>
                <c:ptCount val="7"/>
                <c:pt idx="0">
                  <c:v>January </c:v>
                </c:pt>
                <c:pt idx="1">
                  <c:v>February </c:v>
                </c:pt>
                <c:pt idx="2">
                  <c:v>March </c:v>
                </c:pt>
                <c:pt idx="3">
                  <c:v>April </c:v>
                </c:pt>
                <c:pt idx="4">
                  <c:v>November </c:v>
                </c:pt>
                <c:pt idx="5">
                  <c:v>December </c:v>
                </c:pt>
                <c:pt idx="6">
                  <c:v>Average </c:v>
                </c:pt>
              </c:strCache>
            </c:strRef>
          </c:cat>
          <c:val>
            <c:numRef>
              <c:f>Sheet2!$D$3:$D$9</c:f>
              <c:numCache>
                <c:formatCode>General</c:formatCode>
                <c:ptCount val="7"/>
                <c:pt idx="0">
                  <c:v>72</c:v>
                </c:pt>
                <c:pt idx="1">
                  <c:v>67</c:v>
                </c:pt>
                <c:pt idx="2">
                  <c:v>73</c:v>
                </c:pt>
                <c:pt idx="3">
                  <c:v>77</c:v>
                </c:pt>
                <c:pt idx="4">
                  <c:v>75</c:v>
                </c:pt>
                <c:pt idx="5">
                  <c:v>70</c:v>
                </c:pt>
                <c:pt idx="6">
                  <c:v>72.3</c:v>
                </c:pt>
              </c:numCache>
            </c:numRef>
          </c:val>
          <c:extLst>
            <c:ext xmlns:c16="http://schemas.microsoft.com/office/drawing/2014/chart" uri="{C3380CC4-5D6E-409C-BE32-E72D297353CC}">
              <c16:uniqueId val="{00000002-16A0-4693-8F41-226E1ED8ED10}"/>
            </c:ext>
          </c:extLst>
        </c:ser>
        <c:ser>
          <c:idx val="3"/>
          <c:order val="3"/>
          <c:tx>
            <c:strRef>
              <c:f>Sheet2!$E$1:$E$2</c:f>
              <c:strCache>
                <c:ptCount val="1"/>
                <c:pt idx="0">
                  <c:v>Wind (km/day) </c:v>
                </c:pt>
              </c:strCache>
            </c:strRef>
          </c:tx>
          <c:invertIfNegative val="0"/>
          <c:cat>
            <c:strRef>
              <c:f>Sheet2!$A$3:$A$9</c:f>
              <c:strCache>
                <c:ptCount val="7"/>
                <c:pt idx="0">
                  <c:v>January </c:v>
                </c:pt>
                <c:pt idx="1">
                  <c:v>February </c:v>
                </c:pt>
                <c:pt idx="2">
                  <c:v>March </c:v>
                </c:pt>
                <c:pt idx="3">
                  <c:v>April </c:v>
                </c:pt>
                <c:pt idx="4">
                  <c:v>November </c:v>
                </c:pt>
                <c:pt idx="5">
                  <c:v>December </c:v>
                </c:pt>
                <c:pt idx="6">
                  <c:v>Average </c:v>
                </c:pt>
              </c:strCache>
            </c:strRef>
          </c:cat>
          <c:val>
            <c:numRef>
              <c:f>Sheet2!$E$3:$E$9</c:f>
              <c:numCache>
                <c:formatCode>General</c:formatCode>
                <c:ptCount val="7"/>
                <c:pt idx="0">
                  <c:v>69</c:v>
                </c:pt>
                <c:pt idx="1">
                  <c:v>69</c:v>
                </c:pt>
                <c:pt idx="2">
                  <c:v>69</c:v>
                </c:pt>
                <c:pt idx="3">
                  <c:v>69</c:v>
                </c:pt>
                <c:pt idx="4">
                  <c:v>86</c:v>
                </c:pt>
                <c:pt idx="5">
                  <c:v>86</c:v>
                </c:pt>
                <c:pt idx="6">
                  <c:v>74.7</c:v>
                </c:pt>
              </c:numCache>
            </c:numRef>
          </c:val>
          <c:extLst>
            <c:ext xmlns:c16="http://schemas.microsoft.com/office/drawing/2014/chart" uri="{C3380CC4-5D6E-409C-BE32-E72D297353CC}">
              <c16:uniqueId val="{00000003-16A0-4693-8F41-226E1ED8ED10}"/>
            </c:ext>
          </c:extLst>
        </c:ser>
        <c:ser>
          <c:idx val="4"/>
          <c:order val="4"/>
          <c:tx>
            <c:strRef>
              <c:f>Sheet2!$F$1:$F$2</c:f>
              <c:strCache>
                <c:ptCount val="1"/>
                <c:pt idx="0">
                  <c:v>Sun (hrs) </c:v>
                </c:pt>
              </c:strCache>
            </c:strRef>
          </c:tx>
          <c:invertIfNegative val="0"/>
          <c:cat>
            <c:strRef>
              <c:f>Sheet2!$A$3:$A$9</c:f>
              <c:strCache>
                <c:ptCount val="7"/>
                <c:pt idx="0">
                  <c:v>January </c:v>
                </c:pt>
                <c:pt idx="1">
                  <c:v>February </c:v>
                </c:pt>
                <c:pt idx="2">
                  <c:v>March </c:v>
                </c:pt>
                <c:pt idx="3">
                  <c:v>April </c:v>
                </c:pt>
                <c:pt idx="4">
                  <c:v>November </c:v>
                </c:pt>
                <c:pt idx="5">
                  <c:v>December </c:v>
                </c:pt>
                <c:pt idx="6">
                  <c:v>Average </c:v>
                </c:pt>
              </c:strCache>
            </c:strRef>
          </c:cat>
          <c:val>
            <c:numRef>
              <c:f>Sheet2!$F$3:$F$9</c:f>
              <c:numCache>
                <c:formatCode>General</c:formatCode>
                <c:ptCount val="7"/>
                <c:pt idx="0">
                  <c:v>8.1</c:v>
                </c:pt>
                <c:pt idx="1">
                  <c:v>8.2000000000000011</c:v>
                </c:pt>
                <c:pt idx="2">
                  <c:v>8.6</c:v>
                </c:pt>
                <c:pt idx="3">
                  <c:v>8.1</c:v>
                </c:pt>
                <c:pt idx="4">
                  <c:v>8.8000000000000007</c:v>
                </c:pt>
                <c:pt idx="5">
                  <c:v>8.3000000000000007</c:v>
                </c:pt>
                <c:pt idx="6">
                  <c:v>8.4</c:v>
                </c:pt>
              </c:numCache>
            </c:numRef>
          </c:val>
          <c:extLst>
            <c:ext xmlns:c16="http://schemas.microsoft.com/office/drawing/2014/chart" uri="{C3380CC4-5D6E-409C-BE32-E72D297353CC}">
              <c16:uniqueId val="{00000004-16A0-4693-8F41-226E1ED8ED10}"/>
            </c:ext>
          </c:extLst>
        </c:ser>
        <c:ser>
          <c:idx val="5"/>
          <c:order val="5"/>
          <c:tx>
            <c:strRef>
              <c:f>Sheet2!$G$1:$G$2</c:f>
              <c:strCache>
                <c:ptCount val="1"/>
                <c:pt idx="0">
                  <c:v>ETo (mm/day </c:v>
                </c:pt>
              </c:strCache>
            </c:strRef>
          </c:tx>
          <c:invertIfNegative val="0"/>
          <c:cat>
            <c:strRef>
              <c:f>Sheet2!$A$3:$A$9</c:f>
              <c:strCache>
                <c:ptCount val="7"/>
                <c:pt idx="0">
                  <c:v>January </c:v>
                </c:pt>
                <c:pt idx="1">
                  <c:v>February </c:v>
                </c:pt>
                <c:pt idx="2">
                  <c:v>March </c:v>
                </c:pt>
                <c:pt idx="3">
                  <c:v>April </c:v>
                </c:pt>
                <c:pt idx="4">
                  <c:v>November </c:v>
                </c:pt>
                <c:pt idx="5">
                  <c:v>December </c:v>
                </c:pt>
                <c:pt idx="6">
                  <c:v>Average </c:v>
                </c:pt>
              </c:strCache>
            </c:strRef>
          </c:cat>
          <c:val>
            <c:numRef>
              <c:f>Sheet2!$G$3:$G$9</c:f>
              <c:numCache>
                <c:formatCode>General</c:formatCode>
                <c:ptCount val="7"/>
                <c:pt idx="0">
                  <c:v>3.69</c:v>
                </c:pt>
                <c:pt idx="1">
                  <c:v>4.07</c:v>
                </c:pt>
                <c:pt idx="2">
                  <c:v>4.3499999999999996</c:v>
                </c:pt>
                <c:pt idx="3">
                  <c:v>4.21</c:v>
                </c:pt>
                <c:pt idx="4">
                  <c:v>3.9</c:v>
                </c:pt>
                <c:pt idx="5">
                  <c:v>3.7</c:v>
                </c:pt>
                <c:pt idx="6">
                  <c:v>4</c:v>
                </c:pt>
              </c:numCache>
            </c:numRef>
          </c:val>
          <c:extLst>
            <c:ext xmlns:c16="http://schemas.microsoft.com/office/drawing/2014/chart" uri="{C3380CC4-5D6E-409C-BE32-E72D297353CC}">
              <c16:uniqueId val="{00000005-16A0-4693-8F41-226E1ED8ED10}"/>
            </c:ext>
          </c:extLst>
        </c:ser>
        <c:dLbls>
          <c:showLegendKey val="0"/>
          <c:showVal val="0"/>
          <c:showCatName val="0"/>
          <c:showSerName val="0"/>
          <c:showPercent val="0"/>
          <c:showBubbleSize val="0"/>
        </c:dLbls>
        <c:gapWidth val="150"/>
        <c:shape val="box"/>
        <c:axId val="242079232"/>
        <c:axId val="245568640"/>
        <c:axId val="0"/>
      </c:bar3DChart>
      <c:catAx>
        <c:axId val="242079232"/>
        <c:scaling>
          <c:orientation val="minMax"/>
        </c:scaling>
        <c:delete val="0"/>
        <c:axPos val="b"/>
        <c:numFmt formatCode="General" sourceLinked="0"/>
        <c:majorTickMark val="out"/>
        <c:minorTickMark val="none"/>
        <c:tickLblPos val="nextTo"/>
        <c:txPr>
          <a:bodyPr/>
          <a:lstStyle/>
          <a:p>
            <a:pPr>
              <a:defRPr>
                <a:latin typeface="Times" pitchFamily="18" charset="0"/>
              </a:defRPr>
            </a:pPr>
            <a:endParaRPr lang="en-US"/>
          </a:p>
        </c:txPr>
        <c:crossAx val="245568640"/>
        <c:crosses val="autoZero"/>
        <c:auto val="1"/>
        <c:lblAlgn val="ctr"/>
        <c:lblOffset val="100"/>
        <c:noMultiLvlLbl val="0"/>
      </c:catAx>
      <c:valAx>
        <c:axId val="245568640"/>
        <c:scaling>
          <c:orientation val="minMax"/>
        </c:scaling>
        <c:delete val="0"/>
        <c:axPos val="l"/>
        <c:majorGridlines/>
        <c:numFmt formatCode="General" sourceLinked="1"/>
        <c:majorTickMark val="out"/>
        <c:minorTickMark val="none"/>
        <c:tickLblPos val="nextTo"/>
        <c:txPr>
          <a:bodyPr/>
          <a:lstStyle/>
          <a:p>
            <a:pPr>
              <a:defRPr>
                <a:latin typeface="Times" pitchFamily="18" charset="0"/>
              </a:defRPr>
            </a:pPr>
            <a:endParaRPr lang="en-US"/>
          </a:p>
        </c:txPr>
        <c:crossAx val="242079232"/>
        <c:crosses val="autoZero"/>
        <c:crossBetween val="between"/>
      </c:valAx>
    </c:plotArea>
    <c:legend>
      <c:legendPos val="r"/>
      <c:overlay val="0"/>
      <c:txPr>
        <a:bodyPr/>
        <a:lstStyle/>
        <a:p>
          <a:pPr>
            <a:defRPr>
              <a:latin typeface="Times" pitchFamily="18" charset="0"/>
            </a:defRPr>
          </a:pPr>
          <a:endParaRPr lang="en-US"/>
        </a:p>
      </c:txPr>
    </c:legend>
    <c:plotVisOnly val="1"/>
    <c:dispBlanksAs val="gap"/>
    <c:showDLblsOverMax val="0"/>
  </c:chart>
  <c:spPr>
    <a:solidFill>
      <a:schemeClr val="accent1">
        <a:lumMod val="20000"/>
        <a:lumOff val="80000"/>
      </a:schemeClr>
    </a:solidFill>
    <a:ln w="12700">
      <a:solidFill>
        <a:schemeClr val="accent5">
          <a:lumMod val="75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Editor-22</cp:lastModifiedBy>
  <cp:revision>17</cp:revision>
  <dcterms:created xsi:type="dcterms:W3CDTF">2025-06-14T16:12:00Z</dcterms:created>
  <dcterms:modified xsi:type="dcterms:W3CDTF">2025-06-16T13:09:00Z</dcterms:modified>
</cp:coreProperties>
</file>