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1AF60" w14:textId="2BDF0809" w:rsidR="00973DF9" w:rsidRDefault="00070DE5" w:rsidP="001A380A">
      <w:pPr>
        <w:spacing w:line="360" w:lineRule="auto"/>
        <w:jc w:val="center"/>
        <w:rPr>
          <w:rFonts w:ascii="Times New Roman" w:hAnsi="Times New Roman" w:cs="Times New Roman"/>
          <w:b/>
          <w:bCs/>
          <w:sz w:val="24"/>
          <w:szCs w:val="24"/>
        </w:rPr>
      </w:pPr>
      <w:r w:rsidRPr="00070DE5">
        <w:rPr>
          <w:rFonts w:ascii="Times New Roman" w:hAnsi="Times New Roman" w:cs="Times New Roman"/>
          <w:b/>
          <w:bCs/>
          <w:sz w:val="24"/>
          <w:szCs w:val="24"/>
        </w:rPr>
        <w:t xml:space="preserve">Economic and Ecological Insights into Aquatic Ecosystem Services: Exploring Multifunctional </w:t>
      </w:r>
      <w:r>
        <w:rPr>
          <w:rFonts w:ascii="Times New Roman" w:hAnsi="Times New Roman" w:cs="Times New Roman"/>
          <w:b/>
          <w:bCs/>
          <w:sz w:val="24"/>
          <w:szCs w:val="24"/>
        </w:rPr>
        <w:t>Benefits</w:t>
      </w:r>
    </w:p>
    <w:p w14:paraId="6EBC2234" w14:textId="77777777" w:rsidR="00944797" w:rsidRPr="006717F8" w:rsidRDefault="00944797" w:rsidP="006513E0">
      <w:pPr>
        <w:spacing w:line="360" w:lineRule="auto"/>
        <w:jc w:val="both"/>
        <w:rPr>
          <w:rFonts w:ascii="Times New Roman" w:hAnsi="Times New Roman" w:cs="Times New Roman"/>
          <w:b/>
          <w:bCs/>
          <w:sz w:val="24"/>
          <w:szCs w:val="24"/>
        </w:rPr>
      </w:pPr>
      <w:r w:rsidRPr="006717F8">
        <w:rPr>
          <w:rFonts w:ascii="Times New Roman" w:hAnsi="Times New Roman" w:cs="Times New Roman"/>
          <w:b/>
          <w:bCs/>
          <w:sz w:val="24"/>
          <w:szCs w:val="24"/>
        </w:rPr>
        <w:t>Abstract</w:t>
      </w:r>
    </w:p>
    <w:p w14:paraId="427912D0" w14:textId="0333D040" w:rsidR="00944797" w:rsidRDefault="00944797" w:rsidP="006513E0">
      <w:pPr>
        <w:spacing w:line="360" w:lineRule="auto"/>
        <w:jc w:val="both"/>
        <w:rPr>
          <w:rFonts w:ascii="Times New Roman" w:hAnsi="Times New Roman" w:cs="Times New Roman"/>
          <w:sz w:val="24"/>
          <w:szCs w:val="24"/>
        </w:rPr>
      </w:pPr>
      <w:r w:rsidRPr="00C56372">
        <w:rPr>
          <w:rFonts w:ascii="Times New Roman" w:hAnsi="Times New Roman" w:cs="Times New Roman"/>
          <w:sz w:val="24"/>
          <w:szCs w:val="24"/>
        </w:rPr>
        <w:t>Aquatic ecosystems are fundamental to sustaining biodiversity, regulating the climate, and supporting human societies and economies.</w:t>
      </w:r>
      <w:r w:rsidR="00BE1397">
        <w:rPr>
          <w:rFonts w:ascii="Times New Roman" w:hAnsi="Times New Roman" w:cs="Times New Roman"/>
          <w:sz w:val="24"/>
          <w:szCs w:val="24"/>
        </w:rPr>
        <w:t xml:space="preserve"> </w:t>
      </w:r>
      <w:r w:rsidR="00C63AF5" w:rsidRPr="00C63AF5">
        <w:rPr>
          <w:rFonts w:ascii="Times New Roman" w:hAnsi="Times New Roman" w:cs="Times New Roman"/>
          <w:sz w:val="24"/>
          <w:szCs w:val="24"/>
        </w:rPr>
        <w:t>However, these systems are increasingly threatened by pollution, habitat degradation, overexploitation, and climate change.</w:t>
      </w:r>
      <w:r w:rsidR="00C63AF5">
        <w:rPr>
          <w:rFonts w:ascii="Times New Roman" w:hAnsi="Times New Roman" w:cs="Times New Roman"/>
          <w:sz w:val="24"/>
          <w:szCs w:val="24"/>
        </w:rPr>
        <w:t xml:space="preserve"> </w:t>
      </w:r>
      <w:r w:rsidR="00BE1397" w:rsidRPr="00BE1397">
        <w:rPr>
          <w:rFonts w:ascii="Times New Roman" w:hAnsi="Times New Roman" w:cs="Times New Roman"/>
          <w:sz w:val="24"/>
          <w:szCs w:val="24"/>
        </w:rPr>
        <w:t>The paper synthesizes the current literature and information about the various ecosystem services</w:t>
      </w:r>
      <w:r w:rsidR="00BE1397">
        <w:rPr>
          <w:rFonts w:ascii="Times New Roman" w:hAnsi="Times New Roman" w:cs="Times New Roman"/>
          <w:sz w:val="24"/>
          <w:szCs w:val="24"/>
        </w:rPr>
        <w:t>, and</w:t>
      </w:r>
      <w:r w:rsidR="00C63AF5" w:rsidRPr="00C63AF5">
        <w:rPr>
          <w:rFonts w:ascii="Times New Roman" w:hAnsi="Times New Roman" w:cs="Times New Roman"/>
          <w:sz w:val="24"/>
          <w:szCs w:val="24"/>
        </w:rPr>
        <w:t xml:space="preserve"> summarizes the state of knowledge about the categorization, economic assessment, and policy frameworks supporting the various advantages that aquatic ecosystems offer.</w:t>
      </w:r>
      <w:r w:rsidRPr="00C56372">
        <w:rPr>
          <w:rFonts w:ascii="Times New Roman" w:hAnsi="Times New Roman" w:cs="Times New Roman"/>
          <w:sz w:val="24"/>
          <w:szCs w:val="24"/>
        </w:rPr>
        <w:t xml:space="preserve"> It highlights the application of both market-based and non-market valuation methods, which have revealed the immense-yet often underappreciated-economic value of these environments. Innovative approaches such as blue carbon credits and payment for ecosystem services are gaining traction, offering new pathways for conservation finance. Achieving sustainable management will require not only improved data collection and more robust valuation techniques, but also the meaningful integration of local and Indigenous knowledge into policy and decision-making. Safeguarding aquatic ecosystems is essential for long-term ecological resilience and human well-being.</w:t>
      </w:r>
    </w:p>
    <w:p w14:paraId="39D37B06" w14:textId="46E10CCF" w:rsidR="00944797" w:rsidRPr="00690B2A" w:rsidRDefault="00944797" w:rsidP="006513E0">
      <w:pPr>
        <w:spacing w:line="360" w:lineRule="auto"/>
        <w:jc w:val="both"/>
        <w:rPr>
          <w:rFonts w:ascii="Times New Roman" w:hAnsi="Times New Roman" w:cs="Times New Roman"/>
          <w:sz w:val="24"/>
          <w:szCs w:val="24"/>
        </w:rPr>
      </w:pPr>
      <w:r w:rsidRPr="006717F8">
        <w:rPr>
          <w:rFonts w:ascii="Times New Roman" w:hAnsi="Times New Roman" w:cs="Times New Roman"/>
          <w:b/>
          <w:bCs/>
          <w:sz w:val="24"/>
          <w:szCs w:val="24"/>
        </w:rPr>
        <w:t>Keywords</w:t>
      </w:r>
      <w:r w:rsidRPr="000465CD">
        <w:rPr>
          <w:rFonts w:ascii="Times New Roman" w:hAnsi="Times New Roman" w:cs="Times New Roman"/>
          <w:sz w:val="24"/>
          <w:szCs w:val="24"/>
        </w:rPr>
        <w:t>: Aquatic Ecosystems, Ecosystem Services, Economic Valuation, Environmental Policy, Sustainability</w:t>
      </w:r>
      <w:r w:rsidR="003E5A83">
        <w:rPr>
          <w:rFonts w:ascii="Times New Roman" w:hAnsi="Times New Roman" w:cs="Times New Roman"/>
          <w:sz w:val="24"/>
          <w:szCs w:val="24"/>
        </w:rPr>
        <w:t xml:space="preserve">, </w:t>
      </w:r>
      <w:r w:rsidR="003E5A83" w:rsidRPr="003E5A83">
        <w:rPr>
          <w:rFonts w:ascii="Times New Roman" w:hAnsi="Times New Roman" w:cs="Times New Roman"/>
          <w:sz w:val="24"/>
          <w:szCs w:val="24"/>
        </w:rPr>
        <w:t>Biodiversity</w:t>
      </w:r>
      <w:r w:rsidR="0022285F">
        <w:rPr>
          <w:rFonts w:ascii="Times New Roman" w:hAnsi="Times New Roman" w:cs="Times New Roman"/>
          <w:sz w:val="24"/>
          <w:szCs w:val="24"/>
        </w:rPr>
        <w:t>, A</w:t>
      </w:r>
      <w:r w:rsidR="0022285F" w:rsidRPr="0022285F">
        <w:rPr>
          <w:rFonts w:ascii="Times New Roman" w:hAnsi="Times New Roman" w:cs="Times New Roman"/>
          <w:sz w:val="24"/>
          <w:szCs w:val="24"/>
        </w:rPr>
        <w:t>quatic habitats</w:t>
      </w:r>
      <w:r w:rsidR="0022285F">
        <w:rPr>
          <w:rFonts w:ascii="Times New Roman" w:hAnsi="Times New Roman" w:cs="Times New Roman"/>
          <w:sz w:val="24"/>
          <w:szCs w:val="24"/>
        </w:rPr>
        <w:t>, Threats</w:t>
      </w:r>
      <w:r w:rsidR="006E2380">
        <w:rPr>
          <w:rFonts w:ascii="Times New Roman" w:hAnsi="Times New Roman" w:cs="Times New Roman"/>
          <w:sz w:val="24"/>
          <w:szCs w:val="24"/>
        </w:rPr>
        <w:t xml:space="preserve">, Cultural services, </w:t>
      </w:r>
      <w:proofErr w:type="gramStart"/>
      <w:r w:rsidR="001A380A">
        <w:rPr>
          <w:rFonts w:ascii="Times New Roman" w:hAnsi="Times New Roman" w:cs="Times New Roman"/>
          <w:sz w:val="24"/>
          <w:szCs w:val="24"/>
        </w:rPr>
        <w:t>Provisioning</w:t>
      </w:r>
      <w:proofErr w:type="gramEnd"/>
      <w:r w:rsidR="006E2380">
        <w:rPr>
          <w:rFonts w:ascii="Times New Roman" w:hAnsi="Times New Roman" w:cs="Times New Roman"/>
          <w:sz w:val="24"/>
          <w:szCs w:val="24"/>
        </w:rPr>
        <w:t xml:space="preserve"> services, Regulating Services.</w:t>
      </w:r>
    </w:p>
    <w:p w14:paraId="33E423AD" w14:textId="77777777" w:rsidR="006513E0" w:rsidRDefault="006513E0" w:rsidP="006513E0">
      <w:pPr>
        <w:spacing w:line="360" w:lineRule="auto"/>
        <w:jc w:val="both"/>
        <w:rPr>
          <w:rFonts w:ascii="Times New Roman" w:hAnsi="Times New Roman" w:cs="Times New Roman"/>
          <w:b/>
          <w:bCs/>
          <w:sz w:val="24"/>
          <w:szCs w:val="24"/>
        </w:rPr>
      </w:pPr>
    </w:p>
    <w:p w14:paraId="2DE0D1D3" w14:textId="77777777" w:rsidR="0022285F" w:rsidRDefault="0022285F">
      <w:pPr>
        <w:rPr>
          <w:rFonts w:ascii="Times New Roman" w:hAnsi="Times New Roman" w:cs="Times New Roman"/>
          <w:b/>
          <w:bCs/>
          <w:sz w:val="24"/>
          <w:szCs w:val="24"/>
        </w:rPr>
      </w:pPr>
      <w:r>
        <w:rPr>
          <w:rFonts w:ascii="Times New Roman" w:hAnsi="Times New Roman" w:cs="Times New Roman"/>
          <w:b/>
          <w:bCs/>
          <w:sz w:val="24"/>
          <w:szCs w:val="24"/>
        </w:rPr>
        <w:br w:type="page"/>
      </w:r>
    </w:p>
    <w:p w14:paraId="01235745" w14:textId="7F099688"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lastRenderedPageBreak/>
        <w:t>1. Introduction</w:t>
      </w:r>
    </w:p>
    <w:p w14:paraId="43D7AD7C" w14:textId="5496E8E2"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 xml:space="preserve">Aquatic ecosystems-including rivers, lakes, wetlands, estuaries, and oceans-play a central role in sustaining life on Earth through a wide range of ecological functions. </w:t>
      </w:r>
      <w:r w:rsidR="005B7B54" w:rsidRPr="005B7B54">
        <w:rPr>
          <w:rFonts w:ascii="Times New Roman" w:hAnsi="Times New Roman" w:cs="Times New Roman"/>
          <w:sz w:val="24"/>
          <w:szCs w:val="24"/>
        </w:rPr>
        <w:t xml:space="preserve">Maintaining global biogeochemical cycles and sustaining terrestrial and aquatic life depend on these ecosystems' substantial contributions to oxygen production, carbon sequestration, and freshwater supplies. </w:t>
      </w:r>
      <w:r w:rsidRPr="008F6A43">
        <w:rPr>
          <w:rFonts w:ascii="Times New Roman" w:hAnsi="Times New Roman" w:cs="Times New Roman"/>
          <w:sz w:val="24"/>
          <w:szCs w:val="24"/>
        </w:rPr>
        <w:t>(Duarte et al., 20</w:t>
      </w:r>
      <w:r w:rsidR="002B1E78">
        <w:rPr>
          <w:rFonts w:ascii="Times New Roman" w:hAnsi="Times New Roman" w:cs="Times New Roman"/>
          <w:sz w:val="24"/>
          <w:szCs w:val="24"/>
        </w:rPr>
        <w:t>13</w:t>
      </w:r>
      <w:r w:rsidRPr="008F6A43">
        <w:rPr>
          <w:rFonts w:ascii="Times New Roman" w:hAnsi="Times New Roman" w:cs="Times New Roman"/>
          <w:sz w:val="24"/>
          <w:szCs w:val="24"/>
        </w:rPr>
        <w:t xml:space="preserve">; Mitsch &amp; Gosselink, 2015). </w:t>
      </w:r>
      <w:r w:rsidR="005B7B54" w:rsidRPr="005B7B54">
        <w:rPr>
          <w:rFonts w:ascii="Times New Roman" w:hAnsi="Times New Roman" w:cs="Times New Roman"/>
          <w:sz w:val="24"/>
          <w:szCs w:val="24"/>
        </w:rPr>
        <w:t>For example, wetlands are important carbon sinks that slow down climate change because they store between 20 and 30 percent of the world's soil carbon, although making up only around 6 percent of the planet's land surface</w:t>
      </w:r>
      <w:r w:rsidR="005B7B54">
        <w:rPr>
          <w:rFonts w:ascii="Times New Roman" w:hAnsi="Times New Roman" w:cs="Times New Roman"/>
          <w:sz w:val="24"/>
          <w:szCs w:val="24"/>
        </w:rPr>
        <w:t xml:space="preserve"> </w:t>
      </w:r>
      <w:r w:rsidRPr="008F6A43">
        <w:rPr>
          <w:rFonts w:ascii="Times New Roman" w:hAnsi="Times New Roman" w:cs="Times New Roman"/>
          <w:sz w:val="24"/>
          <w:szCs w:val="24"/>
        </w:rPr>
        <w:t>(Bridgham et al., 2006; Mitsch et al., 201</w:t>
      </w:r>
      <w:r w:rsidR="002B1E78">
        <w:rPr>
          <w:rFonts w:ascii="Times New Roman" w:hAnsi="Times New Roman" w:cs="Times New Roman"/>
          <w:sz w:val="24"/>
          <w:szCs w:val="24"/>
        </w:rPr>
        <w:t>5</w:t>
      </w:r>
      <w:r w:rsidRPr="008F6A43">
        <w:rPr>
          <w:rFonts w:ascii="Times New Roman" w:hAnsi="Times New Roman" w:cs="Times New Roman"/>
          <w:sz w:val="24"/>
          <w:szCs w:val="24"/>
        </w:rPr>
        <w:t>).</w:t>
      </w:r>
    </w:p>
    <w:p w14:paraId="44274976" w14:textId="756DF98D"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 xml:space="preserve">Biodiversity within aquatic habitats is exceptionally rich and diverse. </w:t>
      </w:r>
      <w:r w:rsidR="005B7B54" w:rsidRPr="005B7B54">
        <w:rPr>
          <w:rFonts w:ascii="Times New Roman" w:hAnsi="Times New Roman" w:cs="Times New Roman"/>
          <w:sz w:val="24"/>
          <w:szCs w:val="24"/>
        </w:rPr>
        <w:t>Despite making up less than 1% of the ocean floor, coral reefs are hotspots for biodiversity because they are home to around 25% of all marine life, including fish, invertebrates, and algae</w:t>
      </w:r>
      <w:r w:rsidR="005B7B54">
        <w:rPr>
          <w:rFonts w:ascii="Times New Roman" w:hAnsi="Times New Roman" w:cs="Times New Roman"/>
          <w:sz w:val="24"/>
          <w:szCs w:val="24"/>
        </w:rPr>
        <w:t xml:space="preserve"> </w:t>
      </w:r>
      <w:r w:rsidRPr="008F6A43">
        <w:rPr>
          <w:rFonts w:ascii="Times New Roman" w:hAnsi="Times New Roman" w:cs="Times New Roman"/>
          <w:sz w:val="24"/>
          <w:szCs w:val="24"/>
        </w:rPr>
        <w:t>(Spalding et al., 2001). Similarly, freshwater ecosystems, which cover a small fraction of the Earth’s surface, support about 10% of all known species, many of which are endemic and highly specialized (Dudgeon et al., 2006). These ecosystems maintain complex food webs and ecological interactions that are vital for ecosystem resilience and function.</w:t>
      </w:r>
    </w:p>
    <w:p w14:paraId="323A09E3" w14:textId="2CFD2D00"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Beyond their ecological importance, aquatic ecosystems provide numerous ecosystem services that are crucial for human well-being. They supply clean drinking water, support fisheries and aquaculture that feed millions, regulate floods, purify water, and offer recreational and cultural benefits (Costanza et al., 2014; Barbier et al., 201</w:t>
      </w:r>
      <w:r w:rsidR="002B1E78">
        <w:rPr>
          <w:rFonts w:ascii="Times New Roman" w:hAnsi="Times New Roman" w:cs="Times New Roman"/>
          <w:sz w:val="24"/>
          <w:szCs w:val="24"/>
        </w:rPr>
        <w:t>3</w:t>
      </w:r>
      <w:r w:rsidRPr="008F6A43">
        <w:rPr>
          <w:rFonts w:ascii="Times New Roman" w:hAnsi="Times New Roman" w:cs="Times New Roman"/>
          <w:sz w:val="24"/>
          <w:szCs w:val="24"/>
        </w:rPr>
        <w:t>). Fisheries alone contribute to the livelihoods of over 56 million people worldwide and are a primary protein source for billions, especially in developing countries</w:t>
      </w:r>
      <w:r w:rsidRPr="00BF01F1">
        <w:rPr>
          <w:rFonts w:ascii="Times New Roman" w:hAnsi="Times New Roman" w:cs="Times New Roman"/>
          <w:sz w:val="24"/>
          <w:szCs w:val="24"/>
        </w:rPr>
        <w:t xml:space="preserve"> (FAO, 2022). </w:t>
      </w:r>
      <w:r w:rsidRPr="008F6A43">
        <w:rPr>
          <w:rFonts w:ascii="Times New Roman" w:hAnsi="Times New Roman" w:cs="Times New Roman"/>
          <w:sz w:val="24"/>
          <w:szCs w:val="24"/>
        </w:rPr>
        <w:t>Moreover, aquatic ecosystems contribute to mental health and cultural identity, underscoring their multifaceted value to societie</w:t>
      </w:r>
      <w:r w:rsidRPr="00BF01F1">
        <w:rPr>
          <w:rFonts w:ascii="Times New Roman" w:hAnsi="Times New Roman" w:cs="Times New Roman"/>
          <w:sz w:val="24"/>
          <w:szCs w:val="24"/>
        </w:rPr>
        <w:t>s (MEA, 2005).</w:t>
      </w:r>
    </w:p>
    <w:p w14:paraId="779A1105" w14:textId="64457557" w:rsidR="00944797" w:rsidRPr="008F6A43"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t>Despite these intrinsic benefits, human activities have increasingly compromised aquatic ecosystem health. Pollution, overfishing, land-use change, dam construction, and climate change have led to habitat degradation, loss of biodiversity, and diminished ecosystem services (</w:t>
      </w:r>
      <w:r w:rsidRPr="00F07F1B">
        <w:rPr>
          <w:rFonts w:ascii="Times New Roman" w:hAnsi="Times New Roman" w:cs="Times New Roman"/>
          <w:sz w:val="24"/>
          <w:szCs w:val="24"/>
        </w:rPr>
        <w:t>Reid et al., 2019</w:t>
      </w:r>
      <w:r w:rsidRPr="008F6A43">
        <w:rPr>
          <w:rFonts w:ascii="Times New Roman" w:hAnsi="Times New Roman" w:cs="Times New Roman"/>
          <w:sz w:val="24"/>
          <w:szCs w:val="24"/>
        </w:rPr>
        <w:t>). For example, coral reefs are experiencing widespread bleaching due to ocean warming and acidification, threatening the species they support and the livelihoods dependent on them (Hughes et al., 2017). Wetlands have been drained at alarming rates for agriculture and urban development, reducing their capacity to store carbon and regulate hydrological cycles (Davidson, 2014).</w:t>
      </w:r>
    </w:p>
    <w:p w14:paraId="6C8BD890" w14:textId="23E1B861" w:rsidR="00944797" w:rsidRDefault="00944797" w:rsidP="006513E0">
      <w:pPr>
        <w:spacing w:line="360" w:lineRule="auto"/>
        <w:ind w:firstLine="720"/>
        <w:jc w:val="both"/>
        <w:rPr>
          <w:rFonts w:ascii="Times New Roman" w:hAnsi="Times New Roman" w:cs="Times New Roman"/>
          <w:sz w:val="24"/>
          <w:szCs w:val="24"/>
        </w:rPr>
      </w:pPr>
      <w:r w:rsidRPr="008F6A43">
        <w:rPr>
          <w:rFonts w:ascii="Times New Roman" w:hAnsi="Times New Roman" w:cs="Times New Roman"/>
          <w:sz w:val="24"/>
          <w:szCs w:val="24"/>
        </w:rPr>
        <w:lastRenderedPageBreak/>
        <w:t>Recognizing the economic and social value embedded in aquatic ecosystems is crucial for fostering conservation policies that are both scientifically informed and economically rational. Valuation studies estimate that the global value of ecosystem services from coastal and marine systems alone ranges from $21 trillion to $87 trillion annually, emphasizing the immense benefits these ecosystems provide (Costanza et al., 2014). Integrating ecological science with economic valuation supports evidence-based policymaking that prioritizes sustainable management and restoration, ensuring the continued provision of these vital services for future generations (Barbier et al., 201</w:t>
      </w:r>
      <w:r w:rsidR="002B1E78">
        <w:rPr>
          <w:rFonts w:ascii="Times New Roman" w:hAnsi="Times New Roman" w:cs="Times New Roman"/>
          <w:sz w:val="24"/>
          <w:szCs w:val="24"/>
        </w:rPr>
        <w:t>3</w:t>
      </w:r>
      <w:r w:rsidRPr="008F6A43">
        <w:rPr>
          <w:rFonts w:ascii="Times New Roman" w:hAnsi="Times New Roman" w:cs="Times New Roman"/>
          <w:sz w:val="24"/>
          <w:szCs w:val="24"/>
        </w:rPr>
        <w:t>).</w:t>
      </w:r>
    </w:p>
    <w:p w14:paraId="6BAC978D" w14:textId="4EA04B8F" w:rsidR="00D40F0E" w:rsidRPr="00D40F0E" w:rsidRDefault="00D40F0E" w:rsidP="00D40F0E">
      <w:pPr>
        <w:spacing w:line="360" w:lineRule="auto"/>
        <w:jc w:val="both"/>
        <w:rPr>
          <w:rFonts w:ascii="Times New Roman" w:hAnsi="Times New Roman" w:cs="Times New Roman"/>
          <w:b/>
          <w:bCs/>
          <w:sz w:val="24"/>
          <w:szCs w:val="24"/>
        </w:rPr>
      </w:pPr>
      <w:r w:rsidRPr="00D40F0E">
        <w:rPr>
          <w:rFonts w:ascii="Times New Roman" w:hAnsi="Times New Roman" w:cs="Times New Roman"/>
          <w:b/>
          <w:bCs/>
          <w:sz w:val="24"/>
          <w:szCs w:val="24"/>
        </w:rPr>
        <w:t>1.</w:t>
      </w:r>
      <w:r>
        <w:rPr>
          <w:rFonts w:ascii="Times New Roman" w:hAnsi="Times New Roman" w:cs="Times New Roman"/>
          <w:b/>
          <w:bCs/>
          <w:sz w:val="24"/>
          <w:szCs w:val="24"/>
        </w:rPr>
        <w:t>1</w:t>
      </w:r>
      <w:r w:rsidRPr="00D40F0E">
        <w:rPr>
          <w:rFonts w:ascii="Times New Roman" w:hAnsi="Times New Roman" w:cs="Times New Roman"/>
          <w:b/>
          <w:bCs/>
          <w:sz w:val="24"/>
          <w:szCs w:val="24"/>
        </w:rPr>
        <w:t xml:space="preserve"> Methodology</w:t>
      </w:r>
    </w:p>
    <w:p w14:paraId="527F33D9" w14:textId="77777777" w:rsidR="00B3669B" w:rsidRPr="00B3669B" w:rsidRDefault="00B3669B" w:rsidP="00B3669B">
      <w:pPr>
        <w:spacing w:line="360" w:lineRule="auto"/>
        <w:ind w:firstLine="720"/>
        <w:jc w:val="both"/>
        <w:rPr>
          <w:rFonts w:ascii="Times New Roman" w:hAnsi="Times New Roman" w:cs="Times New Roman"/>
          <w:sz w:val="24"/>
          <w:szCs w:val="24"/>
        </w:rPr>
      </w:pPr>
      <w:r w:rsidRPr="00B3669B">
        <w:rPr>
          <w:rFonts w:ascii="Times New Roman" w:hAnsi="Times New Roman" w:cs="Times New Roman"/>
          <w:sz w:val="24"/>
          <w:szCs w:val="24"/>
        </w:rPr>
        <w:t>This study is based on the thorough gathering and examination of data from reliable scientific websites, such as Google Scholar, Science Direct, and ResearchGate. The sources include research studies, national and international organization reports, and relevant scholarly publications that discuss issues pertaining to different ecosystem services and classification, economic analysis, and policy frameworks that support the various advantages that aquatic ecosystems provide.</w:t>
      </w:r>
    </w:p>
    <w:p w14:paraId="4BFFEDF2" w14:textId="17F50771" w:rsidR="00944797" w:rsidRPr="00187594" w:rsidRDefault="00944797" w:rsidP="006513E0">
      <w:pPr>
        <w:spacing w:line="360" w:lineRule="auto"/>
        <w:jc w:val="both"/>
        <w:rPr>
          <w:rFonts w:ascii="Times New Roman" w:hAnsi="Times New Roman" w:cs="Times New Roman"/>
          <w:b/>
          <w:bCs/>
          <w:sz w:val="24"/>
          <w:szCs w:val="24"/>
        </w:rPr>
      </w:pPr>
      <w:r w:rsidRPr="00187594">
        <w:rPr>
          <w:rFonts w:ascii="Times New Roman" w:hAnsi="Times New Roman" w:cs="Times New Roman"/>
          <w:b/>
          <w:bCs/>
          <w:sz w:val="24"/>
          <w:szCs w:val="24"/>
        </w:rPr>
        <w:t>1.</w:t>
      </w:r>
      <w:r w:rsidR="00D40F0E">
        <w:rPr>
          <w:rFonts w:ascii="Times New Roman" w:hAnsi="Times New Roman" w:cs="Times New Roman"/>
          <w:b/>
          <w:bCs/>
          <w:sz w:val="24"/>
          <w:szCs w:val="24"/>
        </w:rPr>
        <w:t>2</w:t>
      </w:r>
      <w:r w:rsidRPr="00187594">
        <w:rPr>
          <w:rFonts w:ascii="Times New Roman" w:hAnsi="Times New Roman" w:cs="Times New Roman"/>
          <w:b/>
          <w:bCs/>
          <w:sz w:val="24"/>
          <w:szCs w:val="24"/>
        </w:rPr>
        <w:t xml:space="preserve"> Classification of Aquatic Ecosystem Services</w:t>
      </w:r>
    </w:p>
    <w:p w14:paraId="34582A77" w14:textId="77777777" w:rsidR="00944797" w:rsidRPr="000465CD" w:rsidRDefault="00944797" w:rsidP="006513E0">
      <w:pPr>
        <w:spacing w:line="360" w:lineRule="auto"/>
        <w:ind w:firstLine="360"/>
        <w:jc w:val="both"/>
        <w:rPr>
          <w:rFonts w:ascii="Times New Roman" w:hAnsi="Times New Roman" w:cs="Times New Roman"/>
          <w:sz w:val="24"/>
          <w:szCs w:val="24"/>
        </w:rPr>
      </w:pPr>
      <w:r w:rsidRPr="000465CD">
        <w:rPr>
          <w:rFonts w:ascii="Times New Roman" w:hAnsi="Times New Roman" w:cs="Times New Roman"/>
          <w:sz w:val="24"/>
          <w:szCs w:val="24"/>
        </w:rPr>
        <w:t>Multiple frameworks, such as those proposed by the Millennium Ecosystem Assessment (</w:t>
      </w:r>
      <w:r w:rsidRPr="00BF01F1">
        <w:rPr>
          <w:rFonts w:ascii="Times New Roman" w:hAnsi="Times New Roman" w:cs="Times New Roman"/>
          <w:sz w:val="24"/>
          <w:szCs w:val="24"/>
        </w:rPr>
        <w:t>MEA, 2005</w:t>
      </w:r>
      <w:r w:rsidRPr="000465CD">
        <w:rPr>
          <w:rFonts w:ascii="Times New Roman" w:hAnsi="Times New Roman" w:cs="Times New Roman"/>
          <w:sz w:val="24"/>
          <w:szCs w:val="24"/>
        </w:rPr>
        <w:t>) and the Intergovernmental Science-Policy Platform on Biodiversity and Ecosystem Services (</w:t>
      </w:r>
      <w:r w:rsidRPr="00BF01F1">
        <w:rPr>
          <w:rFonts w:ascii="Times New Roman" w:hAnsi="Times New Roman" w:cs="Times New Roman"/>
          <w:sz w:val="24"/>
          <w:szCs w:val="24"/>
        </w:rPr>
        <w:t>IPBES</w:t>
      </w:r>
      <w:r w:rsidRPr="000465CD">
        <w:rPr>
          <w:rFonts w:ascii="Times New Roman" w:hAnsi="Times New Roman" w:cs="Times New Roman"/>
          <w:sz w:val="24"/>
          <w:szCs w:val="24"/>
        </w:rPr>
        <w:t>), broadly classify ecosystem services into four categories:</w:t>
      </w:r>
    </w:p>
    <w:p w14:paraId="3561F0FF" w14:textId="77777777" w:rsidR="00944797" w:rsidRPr="000465CD"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Provisioning Services: These include tangible goods like fisheries, freshwater, and raw materials for consumption and industry (</w:t>
      </w:r>
      <w:r w:rsidRPr="00BF01F1">
        <w:rPr>
          <w:rFonts w:ascii="Times New Roman" w:hAnsi="Times New Roman" w:cs="Times New Roman"/>
          <w:sz w:val="24"/>
          <w:szCs w:val="24"/>
        </w:rPr>
        <w:t>FAO, 2023</w:t>
      </w:r>
      <w:r w:rsidRPr="000465CD">
        <w:rPr>
          <w:rFonts w:ascii="Times New Roman" w:hAnsi="Times New Roman" w:cs="Times New Roman"/>
          <w:sz w:val="24"/>
          <w:szCs w:val="24"/>
        </w:rPr>
        <w:t>).</w:t>
      </w:r>
    </w:p>
    <w:p w14:paraId="09673158" w14:textId="77777777" w:rsidR="00944797" w:rsidRPr="000465CD"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Regulating Services: Functions such as climate moderation, water purification, and flood mitigation fall under this category. For example, wetlands naturally filter pollutants and control floods (Mitsch &amp; Gosselink, 2015).</w:t>
      </w:r>
    </w:p>
    <w:p w14:paraId="56DCB41D" w14:textId="77777777" w:rsidR="00944797" w:rsidRPr="000465CD"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 xml:space="preserve">Cultural Services: These nonmaterial benefits range from recreation and tourism to spiritual and aesthetic values </w:t>
      </w:r>
      <w:r w:rsidRPr="00F07F1B">
        <w:rPr>
          <w:rFonts w:ascii="Times New Roman" w:hAnsi="Times New Roman" w:cs="Times New Roman"/>
          <w:sz w:val="24"/>
          <w:szCs w:val="24"/>
        </w:rPr>
        <w:t>(Chan et al., 2012).</w:t>
      </w:r>
    </w:p>
    <w:p w14:paraId="6BF6B0BF" w14:textId="77777777" w:rsidR="00944797" w:rsidRPr="00030A67" w:rsidRDefault="00944797" w:rsidP="006513E0">
      <w:pPr>
        <w:numPr>
          <w:ilvl w:val="0"/>
          <w:numId w:val="1"/>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Supporting Services: Fundamental processes including nutrient cycling, primary production, and habitat formation that underpin other services (</w:t>
      </w:r>
      <w:r w:rsidRPr="0068431D">
        <w:rPr>
          <w:rFonts w:ascii="Times New Roman" w:hAnsi="Times New Roman" w:cs="Times New Roman"/>
          <w:sz w:val="24"/>
          <w:szCs w:val="24"/>
        </w:rPr>
        <w:t>MEA, 2005</w:t>
      </w:r>
      <w:r w:rsidRPr="000465CD">
        <w:rPr>
          <w:rFonts w:ascii="Times New Roman" w:hAnsi="Times New Roman" w:cs="Times New Roman"/>
          <w:sz w:val="24"/>
          <w:szCs w:val="24"/>
        </w:rPr>
        <w:t>).</w:t>
      </w:r>
    </w:p>
    <w:p w14:paraId="0DE22059" w14:textId="77777777" w:rsidR="00F40FB7" w:rsidRDefault="00F40FB7" w:rsidP="006513E0">
      <w:pPr>
        <w:spacing w:line="360" w:lineRule="auto"/>
        <w:jc w:val="both"/>
        <w:rPr>
          <w:rFonts w:ascii="Times New Roman" w:hAnsi="Times New Roman" w:cs="Times New Roman"/>
          <w:b/>
          <w:bCs/>
          <w:sz w:val="24"/>
          <w:szCs w:val="24"/>
        </w:rPr>
      </w:pPr>
    </w:p>
    <w:p w14:paraId="0A41AEF1" w14:textId="77777777" w:rsidR="00F40FB7" w:rsidRDefault="00F40FB7" w:rsidP="006513E0">
      <w:pPr>
        <w:spacing w:line="360" w:lineRule="auto"/>
        <w:jc w:val="both"/>
        <w:rPr>
          <w:rFonts w:ascii="Times New Roman" w:hAnsi="Times New Roman" w:cs="Times New Roman"/>
          <w:b/>
          <w:bCs/>
          <w:sz w:val="24"/>
          <w:szCs w:val="24"/>
        </w:rPr>
      </w:pPr>
    </w:p>
    <w:p w14:paraId="71E78505" w14:textId="36FFB14D" w:rsidR="00944797" w:rsidRPr="00187594" w:rsidRDefault="00944797" w:rsidP="006513E0">
      <w:pPr>
        <w:spacing w:line="360" w:lineRule="auto"/>
        <w:jc w:val="both"/>
        <w:rPr>
          <w:rFonts w:ascii="Times New Roman" w:hAnsi="Times New Roman" w:cs="Times New Roman"/>
          <w:b/>
          <w:bCs/>
          <w:sz w:val="24"/>
          <w:szCs w:val="24"/>
        </w:rPr>
      </w:pPr>
      <w:r w:rsidRPr="00187594">
        <w:rPr>
          <w:rFonts w:ascii="Times New Roman" w:hAnsi="Times New Roman" w:cs="Times New Roman"/>
          <w:b/>
          <w:bCs/>
          <w:sz w:val="24"/>
          <w:szCs w:val="24"/>
        </w:rPr>
        <w:lastRenderedPageBreak/>
        <w:t>1.</w:t>
      </w:r>
      <w:r w:rsidR="00D40F0E">
        <w:rPr>
          <w:rFonts w:ascii="Times New Roman" w:hAnsi="Times New Roman" w:cs="Times New Roman"/>
          <w:b/>
          <w:bCs/>
          <w:sz w:val="24"/>
          <w:szCs w:val="24"/>
        </w:rPr>
        <w:t>3</w:t>
      </w:r>
      <w:r w:rsidRPr="00187594">
        <w:rPr>
          <w:rFonts w:ascii="Times New Roman" w:hAnsi="Times New Roman" w:cs="Times New Roman"/>
          <w:b/>
          <w:bCs/>
          <w:sz w:val="24"/>
          <w:szCs w:val="24"/>
        </w:rPr>
        <w:t xml:space="preserve"> Aquatic Ecosystems and Global Stability</w:t>
      </w:r>
    </w:p>
    <w:p w14:paraId="00D16F0C" w14:textId="26614979" w:rsidR="006513E0" w:rsidRPr="00D40F0E" w:rsidRDefault="00944797" w:rsidP="00D40F0E">
      <w:pPr>
        <w:spacing w:line="360" w:lineRule="auto"/>
        <w:ind w:firstLine="720"/>
        <w:jc w:val="both"/>
        <w:rPr>
          <w:rFonts w:ascii="Times New Roman" w:hAnsi="Times New Roman" w:cs="Times New Roman"/>
          <w:sz w:val="24"/>
          <w:szCs w:val="24"/>
        </w:rPr>
      </w:pPr>
      <w:r w:rsidRPr="000465CD">
        <w:rPr>
          <w:rFonts w:ascii="Times New Roman" w:hAnsi="Times New Roman" w:cs="Times New Roman"/>
          <w:sz w:val="24"/>
          <w:szCs w:val="24"/>
        </w:rPr>
        <w:t>Oceans and inland waters contribute to global stability by absorbing carbon dioxide and regulating hydrological cycles. For instance, oceans sequester roughly 25–30% of anthropogenic CO₂, buffering global warming impacts (</w:t>
      </w:r>
      <w:r w:rsidRPr="009B53B4">
        <w:rPr>
          <w:rFonts w:ascii="Times New Roman" w:hAnsi="Times New Roman" w:cs="Times New Roman"/>
          <w:sz w:val="24"/>
          <w:szCs w:val="24"/>
        </w:rPr>
        <w:t xml:space="preserve">IPCC, 2023). </w:t>
      </w:r>
      <w:r w:rsidRPr="000465CD">
        <w:rPr>
          <w:rFonts w:ascii="Times New Roman" w:hAnsi="Times New Roman" w:cs="Times New Roman"/>
          <w:sz w:val="24"/>
          <w:szCs w:val="24"/>
        </w:rPr>
        <w:t>Similarly, wetlands and mangroves provide exceptional carbon storage capacities—sometimes up to five times that of tropical forests</w:t>
      </w:r>
      <w:r>
        <w:rPr>
          <w:rFonts w:ascii="Times New Roman" w:hAnsi="Times New Roman" w:cs="Times New Roman"/>
          <w:sz w:val="24"/>
          <w:szCs w:val="24"/>
        </w:rPr>
        <w:t xml:space="preserve"> </w:t>
      </w:r>
      <w:r w:rsidRPr="000465CD">
        <w:rPr>
          <w:rFonts w:ascii="Times New Roman" w:hAnsi="Times New Roman" w:cs="Times New Roman"/>
          <w:sz w:val="24"/>
          <w:szCs w:val="24"/>
        </w:rPr>
        <w:t xml:space="preserve">while also diminishing flood risks (Alongi, 2014; Duarte et al., 2013). Even though freshwaters account for a relatively small percentage of the Earth’s water, they are home to a disproportionately high number of vertebrate species </w:t>
      </w:r>
      <w:r w:rsidRPr="009B53B4">
        <w:rPr>
          <w:rFonts w:ascii="Times New Roman" w:hAnsi="Times New Roman" w:cs="Times New Roman"/>
          <w:color w:val="000000" w:themeColor="text1"/>
          <w:sz w:val="24"/>
          <w:szCs w:val="24"/>
        </w:rPr>
        <w:t>(IPBES, 2019).</w:t>
      </w:r>
    </w:p>
    <w:p w14:paraId="118D32AB" w14:textId="667A3FCA" w:rsidR="00944797" w:rsidRPr="00187594" w:rsidRDefault="00944797" w:rsidP="006513E0">
      <w:pPr>
        <w:spacing w:line="360" w:lineRule="auto"/>
        <w:jc w:val="both"/>
        <w:rPr>
          <w:rFonts w:ascii="Times New Roman" w:hAnsi="Times New Roman" w:cs="Times New Roman"/>
          <w:b/>
          <w:bCs/>
          <w:sz w:val="24"/>
          <w:szCs w:val="24"/>
        </w:rPr>
      </w:pPr>
      <w:r w:rsidRPr="00187594">
        <w:rPr>
          <w:rFonts w:ascii="Times New Roman" w:hAnsi="Times New Roman" w:cs="Times New Roman"/>
          <w:b/>
          <w:bCs/>
          <w:sz w:val="24"/>
          <w:szCs w:val="24"/>
        </w:rPr>
        <w:t>1.</w:t>
      </w:r>
      <w:r w:rsidR="00D40F0E">
        <w:rPr>
          <w:rFonts w:ascii="Times New Roman" w:hAnsi="Times New Roman" w:cs="Times New Roman"/>
          <w:b/>
          <w:bCs/>
          <w:sz w:val="24"/>
          <w:szCs w:val="24"/>
        </w:rPr>
        <w:t>4</w:t>
      </w:r>
      <w:r w:rsidRPr="00187594">
        <w:rPr>
          <w:rFonts w:ascii="Times New Roman" w:hAnsi="Times New Roman" w:cs="Times New Roman"/>
          <w:b/>
          <w:bCs/>
          <w:sz w:val="24"/>
          <w:szCs w:val="24"/>
        </w:rPr>
        <w:t xml:space="preserve"> Threats to Aquatic Ecosystems</w:t>
      </w:r>
    </w:p>
    <w:p w14:paraId="70DD889C" w14:textId="77777777" w:rsidR="00944797" w:rsidRPr="000465CD" w:rsidRDefault="00944797" w:rsidP="006513E0">
      <w:p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Aquatic habitats are increasingly threatened by various human-induced stressors:</w:t>
      </w:r>
    </w:p>
    <w:p w14:paraId="7DCEB53D" w14:textId="77777777" w:rsidR="00944797" w:rsidRPr="000465CD" w:rsidRDefault="00944797" w:rsidP="006513E0">
      <w:pPr>
        <w:numPr>
          <w:ilvl w:val="0"/>
          <w:numId w:val="2"/>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Pollution: Industrial discharge, plastic debris, and agricultural runoff have led to widespread eutrophication, oxygen depletion, and biodiversity loss (Diaz &amp; Rosenberg, 2008).</w:t>
      </w:r>
    </w:p>
    <w:p w14:paraId="7E0BED00" w14:textId="77777777" w:rsidR="00944797" w:rsidRPr="009B53B4" w:rsidRDefault="00944797" w:rsidP="006513E0">
      <w:pPr>
        <w:numPr>
          <w:ilvl w:val="0"/>
          <w:numId w:val="2"/>
        </w:numPr>
        <w:spacing w:line="360" w:lineRule="auto"/>
        <w:jc w:val="both"/>
        <w:rPr>
          <w:rFonts w:ascii="Times New Roman" w:hAnsi="Times New Roman" w:cs="Times New Roman"/>
          <w:color w:val="000000" w:themeColor="text1"/>
          <w:sz w:val="24"/>
          <w:szCs w:val="24"/>
        </w:rPr>
      </w:pPr>
      <w:r w:rsidRPr="000465CD">
        <w:rPr>
          <w:rFonts w:ascii="Times New Roman" w:hAnsi="Times New Roman" w:cs="Times New Roman"/>
          <w:sz w:val="24"/>
          <w:szCs w:val="24"/>
        </w:rPr>
        <w:t xml:space="preserve">Climate Change: Shifts in temperature, rising sea levels, and acidification disrupt delicate marine processes and coral stability </w:t>
      </w:r>
      <w:r w:rsidRPr="009B53B4">
        <w:rPr>
          <w:rFonts w:ascii="Times New Roman" w:hAnsi="Times New Roman" w:cs="Times New Roman"/>
          <w:color w:val="000000" w:themeColor="text1"/>
          <w:sz w:val="24"/>
          <w:szCs w:val="24"/>
        </w:rPr>
        <w:t>(IPCC, 2023).</w:t>
      </w:r>
    </w:p>
    <w:p w14:paraId="2A902558" w14:textId="77777777" w:rsidR="00944797" w:rsidRPr="009B53B4" w:rsidRDefault="00944797" w:rsidP="006513E0">
      <w:pPr>
        <w:numPr>
          <w:ilvl w:val="0"/>
          <w:numId w:val="2"/>
        </w:numPr>
        <w:spacing w:line="360" w:lineRule="auto"/>
        <w:jc w:val="both"/>
        <w:rPr>
          <w:rFonts w:ascii="Times New Roman" w:hAnsi="Times New Roman" w:cs="Times New Roman"/>
          <w:color w:val="000000" w:themeColor="text1"/>
          <w:sz w:val="24"/>
          <w:szCs w:val="24"/>
        </w:rPr>
      </w:pPr>
      <w:r w:rsidRPr="009B53B4">
        <w:rPr>
          <w:rFonts w:ascii="Times New Roman" w:hAnsi="Times New Roman" w:cs="Times New Roman"/>
          <w:color w:val="000000" w:themeColor="text1"/>
          <w:sz w:val="24"/>
          <w:szCs w:val="24"/>
        </w:rPr>
        <w:t>Overfishing and Habitat Destruction: Unsustainable fishing practices and coastal development jeopardize species resilience and ecosystem integrity (FAO, 2023).</w:t>
      </w:r>
    </w:p>
    <w:p w14:paraId="76F55CAF" w14:textId="77777777" w:rsidR="00944797" w:rsidRPr="000465CD" w:rsidRDefault="00944797" w:rsidP="006513E0">
      <w:pPr>
        <w:numPr>
          <w:ilvl w:val="0"/>
          <w:numId w:val="2"/>
        </w:numPr>
        <w:spacing w:line="360" w:lineRule="auto"/>
        <w:jc w:val="both"/>
        <w:rPr>
          <w:rFonts w:ascii="Times New Roman" w:hAnsi="Times New Roman" w:cs="Times New Roman"/>
          <w:sz w:val="24"/>
          <w:szCs w:val="24"/>
        </w:rPr>
      </w:pPr>
      <w:r w:rsidRPr="000465CD">
        <w:rPr>
          <w:rFonts w:ascii="Times New Roman" w:hAnsi="Times New Roman" w:cs="Times New Roman"/>
          <w:sz w:val="24"/>
          <w:szCs w:val="24"/>
        </w:rPr>
        <w:t>Water Overextraction: Excessive freshwater withdrawals for agriculture, industry, and urban growth are stressing already scarce resources, as highlighted by studies on global water footprints (Hoekstra et al., 2012).</w:t>
      </w:r>
    </w:p>
    <w:p w14:paraId="58C870A8" w14:textId="77777777" w:rsidR="00532A23" w:rsidRPr="00532A23" w:rsidRDefault="00532A23" w:rsidP="00532A23">
      <w:pPr>
        <w:pStyle w:val="ListParagraph"/>
        <w:numPr>
          <w:ilvl w:val="0"/>
          <w:numId w:val="6"/>
        </w:numPr>
        <w:spacing w:line="360" w:lineRule="auto"/>
        <w:jc w:val="both"/>
        <w:rPr>
          <w:rFonts w:ascii="Times New Roman" w:hAnsi="Times New Roman" w:cs="Times New Roman"/>
          <w:sz w:val="24"/>
          <w:szCs w:val="24"/>
        </w:rPr>
      </w:pPr>
      <w:r w:rsidRPr="00532A23">
        <w:rPr>
          <w:rFonts w:ascii="Times New Roman" w:hAnsi="Times New Roman" w:cs="Times New Roman"/>
          <w:sz w:val="24"/>
          <w:szCs w:val="24"/>
        </w:rPr>
        <w:t xml:space="preserve">Effective mitigation of pressures on aquatic ecosystems can be achieved through governance mechanisms such as payment for ecosystem services (PES), protected areas, and integrated water legislation frameworks. PES schemes, such as those implemented in Tanzania and Mexico, have demonstrated success by providing financial incentives for local communities to engage in conservation activities (Wunder et al., 2018). </w:t>
      </w:r>
    </w:p>
    <w:p w14:paraId="0590184C" w14:textId="480A9379" w:rsidR="00E43264" w:rsidRPr="00532A23" w:rsidRDefault="00532A23" w:rsidP="00532A23">
      <w:pPr>
        <w:pStyle w:val="ListParagraph"/>
        <w:numPr>
          <w:ilvl w:val="0"/>
          <w:numId w:val="6"/>
        </w:numPr>
        <w:spacing w:line="360" w:lineRule="auto"/>
        <w:jc w:val="both"/>
        <w:rPr>
          <w:rFonts w:ascii="Times New Roman" w:hAnsi="Times New Roman" w:cs="Times New Roman"/>
          <w:sz w:val="24"/>
          <w:szCs w:val="24"/>
        </w:rPr>
      </w:pPr>
      <w:r w:rsidRPr="00532A23">
        <w:rPr>
          <w:rFonts w:ascii="Times New Roman" w:hAnsi="Times New Roman" w:cs="Times New Roman"/>
          <w:sz w:val="24"/>
          <w:szCs w:val="24"/>
        </w:rPr>
        <w:t xml:space="preserve">Establishing protected areas, including marine protected areas, has been shown to conserve biodiversity and sustain ecosystem services (Sala &amp; </w:t>
      </w:r>
      <w:proofErr w:type="spellStart"/>
      <w:r w:rsidRPr="00532A23">
        <w:rPr>
          <w:rFonts w:ascii="Times New Roman" w:hAnsi="Times New Roman" w:cs="Times New Roman"/>
          <w:sz w:val="24"/>
          <w:szCs w:val="24"/>
        </w:rPr>
        <w:t>Giakoumi</w:t>
      </w:r>
      <w:proofErr w:type="spellEnd"/>
      <w:r w:rsidRPr="00532A23">
        <w:rPr>
          <w:rFonts w:ascii="Times New Roman" w:hAnsi="Times New Roman" w:cs="Times New Roman"/>
          <w:sz w:val="24"/>
          <w:szCs w:val="24"/>
        </w:rPr>
        <w:t>, 2018).</w:t>
      </w:r>
    </w:p>
    <w:p w14:paraId="3DF19CDC" w14:textId="4EA4063C" w:rsidR="00944797" w:rsidRDefault="00944797" w:rsidP="00532A23">
      <w:pPr>
        <w:spacing w:line="360" w:lineRule="auto"/>
        <w:ind w:firstLine="360"/>
        <w:jc w:val="both"/>
        <w:rPr>
          <w:rFonts w:ascii="Times New Roman" w:hAnsi="Times New Roman" w:cs="Times New Roman"/>
          <w:sz w:val="24"/>
          <w:szCs w:val="24"/>
        </w:rPr>
      </w:pPr>
      <w:r w:rsidRPr="000465CD">
        <w:rPr>
          <w:rFonts w:ascii="Times New Roman" w:hAnsi="Times New Roman" w:cs="Times New Roman"/>
          <w:sz w:val="24"/>
          <w:szCs w:val="24"/>
        </w:rPr>
        <w:t xml:space="preserve">The estimated global value of ecosystem services now reaches into the tens of trillions of dollars annually; yet, many aquatic benefits remain underrepresented in policy and economic </w:t>
      </w:r>
      <w:r w:rsidRPr="000465CD">
        <w:rPr>
          <w:rFonts w:ascii="Times New Roman" w:hAnsi="Times New Roman" w:cs="Times New Roman"/>
          <w:sz w:val="24"/>
          <w:szCs w:val="24"/>
        </w:rPr>
        <w:lastRenderedPageBreak/>
        <w:t xml:space="preserve">decisions (Costanza et al., 2014). Comprehensive valuation and the incorporation of these figures into national accounts are essential for </w:t>
      </w:r>
      <w:proofErr w:type="spellStart"/>
      <w:r w:rsidRPr="000465CD">
        <w:rPr>
          <w:rFonts w:ascii="Times New Roman" w:hAnsi="Times New Roman" w:cs="Times New Roman"/>
          <w:sz w:val="24"/>
          <w:szCs w:val="24"/>
        </w:rPr>
        <w:t>catalyzing</w:t>
      </w:r>
      <w:proofErr w:type="spellEnd"/>
      <w:r w:rsidRPr="000465CD">
        <w:rPr>
          <w:rFonts w:ascii="Times New Roman" w:hAnsi="Times New Roman" w:cs="Times New Roman"/>
          <w:sz w:val="24"/>
          <w:szCs w:val="24"/>
        </w:rPr>
        <w:t xml:space="preserve"> effective conservation measures.</w:t>
      </w:r>
    </w:p>
    <w:p w14:paraId="791B845A" w14:textId="77777777"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2. Provisioning Services</w:t>
      </w:r>
    </w:p>
    <w:p w14:paraId="2FB16822" w14:textId="7D94A7DB"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Aquatic ecosystems supply a multitude of tangible goods that are foundational to human well-being and economic activity. These provisioning services </w:t>
      </w:r>
      <w:r w:rsidR="005B7B54">
        <w:rPr>
          <w:rFonts w:ascii="Times New Roman" w:hAnsi="Times New Roman" w:cs="Times New Roman"/>
          <w:sz w:val="24"/>
          <w:szCs w:val="24"/>
        </w:rPr>
        <w:t>are providing</w:t>
      </w:r>
      <w:r w:rsidRPr="00123A57">
        <w:rPr>
          <w:rFonts w:ascii="Times New Roman" w:hAnsi="Times New Roman" w:cs="Times New Roman"/>
          <w:sz w:val="24"/>
          <w:szCs w:val="24"/>
        </w:rPr>
        <w:t xml:space="preserve"> food, freshwater, raw materials, and genetic resources, all of which are critical for livelihoods, nutrition, and innovation (</w:t>
      </w:r>
      <w:r w:rsidRPr="009B53B4">
        <w:rPr>
          <w:rFonts w:ascii="Times New Roman" w:hAnsi="Times New Roman" w:cs="Times New Roman"/>
          <w:color w:val="000000" w:themeColor="text1"/>
          <w:sz w:val="24"/>
          <w:szCs w:val="24"/>
        </w:rPr>
        <w:t xml:space="preserve">FAO, 2022; </w:t>
      </w:r>
      <w:r w:rsidRPr="0068431D">
        <w:rPr>
          <w:rFonts w:ascii="Times New Roman" w:hAnsi="Times New Roman" w:cs="Times New Roman"/>
          <w:sz w:val="24"/>
          <w:szCs w:val="24"/>
        </w:rPr>
        <w:t>Bartley et al., 2015</w:t>
      </w:r>
      <w:r w:rsidRPr="00123A57">
        <w:rPr>
          <w:rFonts w:ascii="Times New Roman" w:hAnsi="Times New Roman" w:cs="Times New Roman"/>
          <w:sz w:val="24"/>
          <w:szCs w:val="24"/>
        </w:rPr>
        <w:t>; Alongi, 2014).</w:t>
      </w:r>
    </w:p>
    <w:p w14:paraId="43F4A882"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2.1 Fisheries and Aquaculture</w:t>
      </w:r>
    </w:p>
    <w:p w14:paraId="1BF159FF" w14:textId="77777777" w:rsidR="00944797" w:rsidRPr="00123A57" w:rsidRDefault="00944797" w:rsidP="006513E0">
      <w:pPr>
        <w:spacing w:line="360" w:lineRule="auto"/>
        <w:ind w:firstLine="360"/>
        <w:jc w:val="both"/>
        <w:rPr>
          <w:rFonts w:ascii="Times New Roman" w:hAnsi="Times New Roman" w:cs="Times New Roman"/>
          <w:sz w:val="24"/>
          <w:szCs w:val="24"/>
        </w:rPr>
      </w:pPr>
      <w:r w:rsidRPr="00123A57">
        <w:rPr>
          <w:rFonts w:ascii="Times New Roman" w:hAnsi="Times New Roman" w:cs="Times New Roman"/>
          <w:sz w:val="24"/>
          <w:szCs w:val="24"/>
        </w:rPr>
        <w:t>Aquatic resources are indispensable for global food security. Fish and other aquatic foods provide nearly 20% of animal protein consumed by more than 3 billion people, with this proportion rising significantly in many coastal and developing countries (</w:t>
      </w:r>
      <w:r w:rsidRPr="009B53B4">
        <w:rPr>
          <w:rFonts w:ascii="Times New Roman" w:hAnsi="Times New Roman" w:cs="Times New Roman"/>
          <w:color w:val="000000" w:themeColor="text1"/>
          <w:sz w:val="24"/>
          <w:szCs w:val="24"/>
        </w:rPr>
        <w:t xml:space="preserve">FAO, 2022; World Bank, 2013). </w:t>
      </w:r>
      <w:r w:rsidRPr="00123A57">
        <w:rPr>
          <w:rFonts w:ascii="Times New Roman" w:hAnsi="Times New Roman" w:cs="Times New Roman"/>
          <w:sz w:val="24"/>
          <w:szCs w:val="24"/>
        </w:rPr>
        <w:t>The fisheries and aquaculture sector supports the livelihoods of over 60 million people directly, and many more through associated industries (</w:t>
      </w:r>
      <w:r w:rsidRPr="009B53B4">
        <w:rPr>
          <w:rFonts w:ascii="Times New Roman" w:hAnsi="Times New Roman" w:cs="Times New Roman"/>
          <w:color w:val="000000" w:themeColor="text1"/>
          <w:sz w:val="24"/>
          <w:szCs w:val="24"/>
        </w:rPr>
        <w:t>FAO, 2022).</w:t>
      </w:r>
    </w:p>
    <w:p w14:paraId="15164C27" w14:textId="77777777" w:rsidR="00944797" w:rsidRPr="00123A57" w:rsidRDefault="00944797" w:rsidP="006513E0">
      <w:pPr>
        <w:numPr>
          <w:ilvl w:val="0"/>
          <w:numId w:val="3"/>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Marine Fisheries:</w:t>
      </w:r>
      <w:r w:rsidRPr="00123A57">
        <w:rPr>
          <w:rFonts w:ascii="Times New Roman" w:hAnsi="Times New Roman" w:cs="Times New Roman"/>
          <w:sz w:val="24"/>
          <w:szCs w:val="24"/>
        </w:rPr>
        <w:t> Marine capture fisheries remain the cornerstone of global fish production. Key species such as tuna, cod, herring, and anchovies contribute substantially to both industrial and small-scale fisheries, underpinning nutrition and economic stability in many regions (</w:t>
      </w:r>
      <w:r w:rsidRPr="009B53B4">
        <w:rPr>
          <w:rFonts w:ascii="Times New Roman" w:hAnsi="Times New Roman" w:cs="Times New Roman"/>
          <w:color w:val="000000" w:themeColor="text1"/>
          <w:sz w:val="24"/>
          <w:szCs w:val="24"/>
        </w:rPr>
        <w:t xml:space="preserve">FAO, 2022). </w:t>
      </w:r>
      <w:r w:rsidRPr="00123A57">
        <w:rPr>
          <w:rFonts w:ascii="Times New Roman" w:hAnsi="Times New Roman" w:cs="Times New Roman"/>
          <w:sz w:val="24"/>
          <w:szCs w:val="24"/>
        </w:rPr>
        <w:t>In 2020, global marine capture fisheries produced approximately 78 million tonnes, with Asia accounting for the largest share (</w:t>
      </w:r>
      <w:r w:rsidRPr="009B53B4">
        <w:rPr>
          <w:rFonts w:ascii="Times New Roman" w:hAnsi="Times New Roman" w:cs="Times New Roman"/>
          <w:color w:val="000000" w:themeColor="text1"/>
          <w:sz w:val="24"/>
          <w:szCs w:val="24"/>
        </w:rPr>
        <w:t>FAO, 2022).</w:t>
      </w:r>
    </w:p>
    <w:p w14:paraId="137436B5" w14:textId="77777777" w:rsidR="00944797" w:rsidRPr="009B53B4" w:rsidRDefault="00944797" w:rsidP="006513E0">
      <w:pPr>
        <w:numPr>
          <w:ilvl w:val="0"/>
          <w:numId w:val="3"/>
        </w:numPr>
        <w:spacing w:line="360" w:lineRule="auto"/>
        <w:jc w:val="both"/>
        <w:rPr>
          <w:rFonts w:ascii="Times New Roman" w:hAnsi="Times New Roman" w:cs="Times New Roman"/>
          <w:color w:val="000000" w:themeColor="text1"/>
          <w:sz w:val="24"/>
          <w:szCs w:val="24"/>
        </w:rPr>
      </w:pPr>
      <w:r w:rsidRPr="00123A57">
        <w:rPr>
          <w:rFonts w:ascii="Times New Roman" w:hAnsi="Times New Roman" w:cs="Times New Roman"/>
          <w:b/>
          <w:bCs/>
          <w:sz w:val="24"/>
          <w:szCs w:val="24"/>
        </w:rPr>
        <w:t>Freshwater Fisheries:</w:t>
      </w:r>
      <w:r w:rsidRPr="00123A57">
        <w:rPr>
          <w:rFonts w:ascii="Times New Roman" w:hAnsi="Times New Roman" w:cs="Times New Roman"/>
          <w:sz w:val="24"/>
          <w:szCs w:val="24"/>
        </w:rPr>
        <w:t> Inland fisheries, which operate in rivers, lakes, and floodplains, are vital for food security and local economies, especially in Africa and Asia. Species such as tilapia, catfish, and carp are central to rural diets and provide affordable protein and micronutrients (Bartley et al., 201</w:t>
      </w:r>
      <w:r w:rsidRPr="009B53B4">
        <w:rPr>
          <w:rFonts w:ascii="Times New Roman" w:hAnsi="Times New Roman" w:cs="Times New Roman"/>
          <w:color w:val="000000" w:themeColor="text1"/>
          <w:sz w:val="24"/>
          <w:szCs w:val="24"/>
        </w:rPr>
        <w:t>5; FAO, 2022). These fisheries are often small-scale but collectively yield over 12 million tonnes annually (FAO, 2022).</w:t>
      </w:r>
    </w:p>
    <w:p w14:paraId="20D0170E" w14:textId="2A4D78BC" w:rsidR="00293147" w:rsidRPr="001574EB" w:rsidRDefault="00944797" w:rsidP="006513E0">
      <w:pPr>
        <w:numPr>
          <w:ilvl w:val="0"/>
          <w:numId w:val="3"/>
        </w:numPr>
        <w:spacing w:line="360" w:lineRule="auto"/>
        <w:jc w:val="both"/>
        <w:rPr>
          <w:rFonts w:ascii="Times New Roman" w:hAnsi="Times New Roman" w:cs="Times New Roman"/>
          <w:color w:val="000000" w:themeColor="text1"/>
          <w:sz w:val="24"/>
          <w:szCs w:val="24"/>
        </w:rPr>
      </w:pPr>
      <w:r w:rsidRPr="009B53B4">
        <w:rPr>
          <w:rFonts w:ascii="Times New Roman" w:hAnsi="Times New Roman" w:cs="Times New Roman"/>
          <w:b/>
          <w:bCs/>
          <w:color w:val="000000" w:themeColor="text1"/>
          <w:sz w:val="24"/>
          <w:szCs w:val="24"/>
        </w:rPr>
        <w:t>Aquaculture:</w:t>
      </w:r>
      <w:r w:rsidRPr="009B53B4">
        <w:rPr>
          <w:rFonts w:ascii="Times New Roman" w:hAnsi="Times New Roman" w:cs="Times New Roman"/>
          <w:color w:val="000000" w:themeColor="text1"/>
          <w:sz w:val="24"/>
          <w:szCs w:val="24"/>
        </w:rPr>
        <w:t> </w:t>
      </w:r>
      <w:r w:rsidR="000D4D80" w:rsidRPr="000D4D80">
        <w:rPr>
          <w:rFonts w:ascii="Times New Roman" w:hAnsi="Times New Roman" w:cs="Times New Roman"/>
          <w:color w:val="000000" w:themeColor="text1"/>
          <w:sz w:val="24"/>
          <w:szCs w:val="24"/>
        </w:rPr>
        <w:t>Aquaculture has significant ecological and economic advantages that improve the multifunctionality of aquatic ecosystems in addition to its vital role in food supply.</w:t>
      </w:r>
      <w:r w:rsidR="000D4D80">
        <w:rPr>
          <w:rFonts w:ascii="Times New Roman" w:hAnsi="Times New Roman" w:cs="Times New Roman"/>
          <w:color w:val="000000" w:themeColor="text1"/>
          <w:sz w:val="24"/>
          <w:szCs w:val="24"/>
        </w:rPr>
        <w:t xml:space="preserve"> </w:t>
      </w:r>
      <w:r w:rsidRPr="000D4D80">
        <w:rPr>
          <w:rFonts w:ascii="Times New Roman" w:hAnsi="Times New Roman" w:cs="Times New Roman"/>
          <w:color w:val="000000" w:themeColor="text1"/>
          <w:sz w:val="24"/>
          <w:szCs w:val="24"/>
        </w:rPr>
        <w:t xml:space="preserve">With increasing pressure on wild stocks, aquaculture has become the fastest-growing food production sector globally. For the first time in history, aquaculture surpassed capture fisheries in total production in 2020, now providing over half of all fish consumed by humans (FAO, 2022). The expansion of aquaculture, particularly in Asia, has been pivotal in meeting rising demand and reducing pressure on wild </w:t>
      </w:r>
      <w:r w:rsidRPr="000D4D80">
        <w:rPr>
          <w:rFonts w:ascii="Times New Roman" w:hAnsi="Times New Roman" w:cs="Times New Roman"/>
          <w:color w:val="000000" w:themeColor="text1"/>
          <w:sz w:val="24"/>
          <w:szCs w:val="24"/>
        </w:rPr>
        <w:lastRenderedPageBreak/>
        <w:t>populations (FAO, 2022).</w:t>
      </w:r>
      <w:r w:rsidR="006E0AE0" w:rsidRPr="000D4D80">
        <w:rPr>
          <w:rFonts w:ascii="Times New Roman" w:hAnsi="Times New Roman" w:cs="Times New Roman"/>
          <w:color w:val="000000" w:themeColor="text1"/>
          <w:sz w:val="24"/>
          <w:szCs w:val="24"/>
        </w:rPr>
        <w:t xml:space="preserve">  </w:t>
      </w:r>
      <w:r w:rsidR="001E71E7" w:rsidRPr="000D4D80">
        <w:rPr>
          <w:rFonts w:ascii="Times New Roman" w:hAnsi="Times New Roman" w:cs="Times New Roman"/>
          <w:color w:val="000000" w:themeColor="text1"/>
          <w:sz w:val="24"/>
          <w:szCs w:val="24"/>
        </w:rPr>
        <w:t>By maximizing resource utilization and waste management, innovations such recirculating systems and integrated multi-trophic aquaculture (IMTA) significantly reduce environmental impacts while fostering the resilience and health of ecosystems. Together, these ecological and economic results highlight how important aquaculture is to improving food security and the long-term sustainable management of aquatic ecosystem services.</w:t>
      </w:r>
    </w:p>
    <w:p w14:paraId="3FB0A273" w14:textId="337B6B4C" w:rsidR="00944797" w:rsidRPr="009B53B4" w:rsidRDefault="00944797" w:rsidP="006513E0">
      <w:pPr>
        <w:spacing w:line="360" w:lineRule="auto"/>
        <w:jc w:val="both"/>
        <w:rPr>
          <w:rFonts w:ascii="Times New Roman" w:hAnsi="Times New Roman" w:cs="Times New Roman"/>
          <w:b/>
          <w:bCs/>
          <w:color w:val="000000" w:themeColor="text1"/>
          <w:sz w:val="24"/>
          <w:szCs w:val="24"/>
        </w:rPr>
      </w:pPr>
      <w:r w:rsidRPr="009B53B4">
        <w:rPr>
          <w:rFonts w:ascii="Times New Roman" w:hAnsi="Times New Roman" w:cs="Times New Roman"/>
          <w:b/>
          <w:bCs/>
          <w:color w:val="000000" w:themeColor="text1"/>
          <w:sz w:val="24"/>
          <w:szCs w:val="24"/>
        </w:rPr>
        <w:t>2.2 Freshwater Supply</w:t>
      </w:r>
    </w:p>
    <w:p w14:paraId="1E71C372" w14:textId="79CA133E" w:rsidR="00A24ED4" w:rsidRPr="00293147" w:rsidRDefault="005B7B54" w:rsidP="00293147">
      <w:pPr>
        <w:spacing w:line="360" w:lineRule="auto"/>
        <w:ind w:firstLine="720"/>
        <w:jc w:val="both"/>
        <w:rPr>
          <w:rFonts w:ascii="Times New Roman" w:hAnsi="Times New Roman" w:cs="Times New Roman"/>
          <w:sz w:val="24"/>
          <w:szCs w:val="24"/>
        </w:rPr>
      </w:pPr>
      <w:r w:rsidRPr="005B7B54">
        <w:rPr>
          <w:rFonts w:ascii="Times New Roman" w:hAnsi="Times New Roman" w:cs="Times New Roman"/>
          <w:sz w:val="24"/>
          <w:szCs w:val="24"/>
        </w:rPr>
        <w:t xml:space="preserve">Aquifers, lakes, and rivers are necessary to maintain industry, support agriculture, and supply drinking water. </w:t>
      </w:r>
      <w:r w:rsidR="00944797" w:rsidRPr="00123A57">
        <w:rPr>
          <w:rFonts w:ascii="Times New Roman" w:hAnsi="Times New Roman" w:cs="Times New Roman"/>
          <w:sz w:val="24"/>
          <w:szCs w:val="24"/>
        </w:rPr>
        <w:t>Nearly 8 billion people rely on these freshwater resources, yet around 2.2 billion still lack access to safely managed drinking water, underscoring the urgent need for improved water management and infrastructure (</w:t>
      </w:r>
      <w:r w:rsidR="00944797" w:rsidRPr="009B53B4">
        <w:rPr>
          <w:rFonts w:ascii="Times New Roman" w:hAnsi="Times New Roman" w:cs="Times New Roman"/>
          <w:color w:val="000000" w:themeColor="text1"/>
          <w:sz w:val="24"/>
          <w:szCs w:val="24"/>
        </w:rPr>
        <w:t xml:space="preserve">UN-Water, 2023; FAO, 2022). </w:t>
      </w:r>
      <w:r w:rsidRPr="005B7B54">
        <w:rPr>
          <w:rFonts w:ascii="Times New Roman" w:hAnsi="Times New Roman" w:cs="Times New Roman"/>
          <w:sz w:val="24"/>
          <w:szCs w:val="24"/>
        </w:rPr>
        <w:t>Additionally, aquatic ecosystems are essential for nutrient cycling, sediment retention, and natural water purification—all of which are critical for preserving the availability and quality of water</w:t>
      </w:r>
      <w:r>
        <w:rPr>
          <w:rFonts w:ascii="Times New Roman" w:hAnsi="Times New Roman" w:cs="Times New Roman"/>
          <w:sz w:val="24"/>
          <w:szCs w:val="24"/>
        </w:rPr>
        <w:t xml:space="preserve"> </w:t>
      </w:r>
      <w:r w:rsidR="00944797" w:rsidRPr="00123A57">
        <w:rPr>
          <w:rFonts w:ascii="Times New Roman" w:hAnsi="Times New Roman" w:cs="Times New Roman"/>
          <w:sz w:val="24"/>
          <w:szCs w:val="24"/>
        </w:rPr>
        <w:t>(Vörösmarty et al., 2010).</w:t>
      </w:r>
    </w:p>
    <w:p w14:paraId="318AE851" w14:textId="645B5250"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2.3 Raw Materials and Biogenetic Resources</w:t>
      </w:r>
    </w:p>
    <w:p w14:paraId="38FF30E3" w14:textId="318BCC7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Beyond food and water, aquatic systems provide a range of raw materials and biogenetic resources. Mangrove forests, for example, supply wood for fuel, construction, and traditional uses, supporting both subsistence and commercial economies in tropical regions (</w:t>
      </w:r>
      <w:r w:rsidRPr="00F1676C">
        <w:rPr>
          <w:rFonts w:ascii="Times New Roman" w:hAnsi="Times New Roman" w:cs="Times New Roman"/>
          <w:sz w:val="24"/>
          <w:szCs w:val="24"/>
        </w:rPr>
        <w:t>Alongi, 2014</w:t>
      </w:r>
      <w:r w:rsidRPr="00123A57">
        <w:rPr>
          <w:rFonts w:ascii="Times New Roman" w:hAnsi="Times New Roman" w:cs="Times New Roman"/>
          <w:sz w:val="24"/>
          <w:szCs w:val="24"/>
        </w:rPr>
        <w:t xml:space="preserve">). Furthermore, aquatic biodiversity is a reservoir of genetic material crucial for pharmaceutical and biotechnological innovation. </w:t>
      </w:r>
      <w:r w:rsidR="005B7B54" w:rsidRPr="005B7B54">
        <w:rPr>
          <w:rFonts w:ascii="Times New Roman" w:hAnsi="Times New Roman" w:cs="Times New Roman"/>
          <w:sz w:val="24"/>
          <w:szCs w:val="24"/>
        </w:rPr>
        <w:t>Numerous bioactive substances, such as antibiotics, antivirals, and anticancer drugs, have been produced by marine organisms, underscoring the significance of preserving aquatic genetic diversity for upcoming discoveries</w:t>
      </w:r>
      <w:r w:rsidR="005B7B54">
        <w:rPr>
          <w:rFonts w:ascii="Times New Roman" w:hAnsi="Times New Roman" w:cs="Times New Roman"/>
          <w:sz w:val="24"/>
          <w:szCs w:val="24"/>
        </w:rPr>
        <w:t xml:space="preserve"> </w:t>
      </w:r>
      <w:r w:rsidRPr="00123A57">
        <w:rPr>
          <w:rFonts w:ascii="Times New Roman" w:hAnsi="Times New Roman" w:cs="Times New Roman"/>
          <w:sz w:val="24"/>
          <w:szCs w:val="24"/>
        </w:rPr>
        <w:t>(</w:t>
      </w:r>
      <w:r w:rsidRPr="00F1676C">
        <w:rPr>
          <w:rFonts w:ascii="Times New Roman" w:hAnsi="Times New Roman" w:cs="Times New Roman"/>
          <w:sz w:val="24"/>
          <w:szCs w:val="24"/>
        </w:rPr>
        <w:t>Alongi, 2014</w:t>
      </w:r>
      <w:r w:rsidRPr="00123A57">
        <w:rPr>
          <w:rFonts w:ascii="Times New Roman" w:hAnsi="Times New Roman" w:cs="Times New Roman"/>
          <w:sz w:val="24"/>
          <w:szCs w:val="24"/>
        </w:rPr>
        <w:t>).</w:t>
      </w:r>
    </w:p>
    <w:p w14:paraId="20FC8642" w14:textId="40B650F8" w:rsidR="00AE1C75" w:rsidRDefault="00944797" w:rsidP="006513E0">
      <w:pPr>
        <w:spacing w:line="360" w:lineRule="auto"/>
        <w:jc w:val="center"/>
      </w:pPr>
      <w:r w:rsidRPr="007312DD">
        <w:rPr>
          <w:rFonts w:ascii="Times New Roman" w:hAnsi="Times New Roman" w:cs="Times New Roman"/>
          <w:noProof/>
          <w:sz w:val="24"/>
          <w:szCs w:val="24"/>
        </w:rPr>
        <w:lastRenderedPageBreak/>
        <w:drawing>
          <wp:inline distT="0" distB="0" distL="0" distR="0" wp14:anchorId="2D4D034D" wp14:editId="6A29E550">
            <wp:extent cx="4133850" cy="3257550"/>
            <wp:effectExtent l="0" t="0" r="0" b="0"/>
            <wp:docPr id="13952036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94" t="8044" r="4660" b="8582"/>
                    <a:stretch/>
                  </pic:blipFill>
                  <pic:spPr bwMode="auto">
                    <a:xfrm>
                      <a:off x="0" y="0"/>
                      <a:ext cx="4134587" cy="3258131"/>
                    </a:xfrm>
                    <a:prstGeom prst="rect">
                      <a:avLst/>
                    </a:prstGeom>
                    <a:noFill/>
                    <a:ln>
                      <a:noFill/>
                    </a:ln>
                    <a:extLst>
                      <a:ext uri="{53640926-AAD7-44D8-BBD7-CCE9431645EC}">
                        <a14:shadowObscured xmlns:a14="http://schemas.microsoft.com/office/drawing/2010/main"/>
                      </a:ext>
                    </a:extLst>
                  </pic:spPr>
                </pic:pic>
              </a:graphicData>
            </a:graphic>
          </wp:inline>
        </w:drawing>
      </w:r>
    </w:p>
    <w:p w14:paraId="58DE2447" w14:textId="7F4BC5B2" w:rsidR="006A659E" w:rsidRPr="006A659E" w:rsidRDefault="006A659E" w:rsidP="006513E0">
      <w:pPr>
        <w:spacing w:line="360" w:lineRule="auto"/>
        <w:jc w:val="center"/>
      </w:pPr>
      <w:r w:rsidRPr="006A659E">
        <w:t xml:space="preserve">Fig. 1 </w:t>
      </w:r>
      <w:r w:rsidR="00F6495D">
        <w:t>Essential P</w:t>
      </w:r>
      <w:r w:rsidRPr="006A659E">
        <w:t>rovisioning services</w:t>
      </w:r>
    </w:p>
    <w:p w14:paraId="3F51EE48" w14:textId="77777777" w:rsidR="00293147" w:rsidRDefault="00293147" w:rsidP="006513E0">
      <w:pPr>
        <w:spacing w:line="360" w:lineRule="auto"/>
        <w:jc w:val="both"/>
        <w:rPr>
          <w:rFonts w:ascii="Times New Roman" w:hAnsi="Times New Roman" w:cs="Times New Roman"/>
          <w:b/>
          <w:bCs/>
          <w:sz w:val="24"/>
          <w:szCs w:val="24"/>
        </w:rPr>
      </w:pPr>
    </w:p>
    <w:p w14:paraId="35A8B1D4" w14:textId="58513B04"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3. Regulating Services</w:t>
      </w:r>
    </w:p>
    <w:p w14:paraId="5AD97165" w14:textId="249E2A49" w:rsidR="00A24ED4" w:rsidRPr="00293147" w:rsidRDefault="00944797" w:rsidP="00293147">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Aquatic ecosystems provide a suite of regulating services that are essential for environmental stability and human well-being. These services </w:t>
      </w:r>
      <w:r w:rsidR="005B7B54">
        <w:rPr>
          <w:rFonts w:ascii="Times New Roman" w:hAnsi="Times New Roman" w:cs="Times New Roman"/>
          <w:sz w:val="24"/>
          <w:szCs w:val="24"/>
        </w:rPr>
        <w:t>provide</w:t>
      </w:r>
      <w:r w:rsidRPr="00123A57">
        <w:rPr>
          <w:rFonts w:ascii="Times New Roman" w:hAnsi="Times New Roman" w:cs="Times New Roman"/>
          <w:sz w:val="24"/>
          <w:szCs w:val="24"/>
        </w:rPr>
        <w:t xml:space="preserve"> climate regulation, water purification, flood and erosion control, and disease regulation, all of which are mediated by the ecological processes and biodiversity within aquatic habitats (Mitsch &amp; Gosselink, 2015; Duarte et al., 2013; Doney et al., 2009).</w:t>
      </w:r>
    </w:p>
    <w:p w14:paraId="54E8A2E0" w14:textId="16EB459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3.1 Climate Regulation</w:t>
      </w:r>
    </w:p>
    <w:p w14:paraId="7BBD595E" w14:textId="7777777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Oceans and coastal ecosystems play a dual role in climate regulation. The global ocean acts as a major carbon sink, absorbing approximately one-quarter of anthropogenic CO₂ emissions annually and thus moderating atmospheric greenhouse gas concentrations </w:t>
      </w:r>
      <w:r w:rsidRPr="009B53B4">
        <w:rPr>
          <w:rFonts w:ascii="Times New Roman" w:hAnsi="Times New Roman" w:cs="Times New Roman"/>
          <w:color w:val="000000" w:themeColor="text1"/>
          <w:sz w:val="24"/>
          <w:szCs w:val="24"/>
        </w:rPr>
        <w:t xml:space="preserve">(IPCC, 2023). Coastal </w:t>
      </w:r>
      <w:r w:rsidRPr="00123A57">
        <w:rPr>
          <w:rFonts w:ascii="Times New Roman" w:hAnsi="Times New Roman" w:cs="Times New Roman"/>
          <w:sz w:val="24"/>
          <w:szCs w:val="24"/>
        </w:rPr>
        <w:t>vegetated habitats-such as mangroves, salt marshes, and seagrass meadows-are particularly efficient at sequestering “blue carbon,” storing carbon at rates per unit area that far exceed most terrestrial ecosystems (Duarte et al., 2013). However, ocean acidification and rising sea temperatures are threatening these regulatory services by impairing the physiological processes of marine organisms and altering the dynamics of carbon cycling and storage (Doney et al., 2009).</w:t>
      </w:r>
    </w:p>
    <w:p w14:paraId="2A1A5DDE"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lastRenderedPageBreak/>
        <w:t>3.2 Water Purification</w:t>
      </w:r>
    </w:p>
    <w:p w14:paraId="2828BFBF" w14:textId="7D9DD155" w:rsidR="005B7B54" w:rsidRPr="006513E0"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Wetlands, river systems, and mangroves serve as natural water treatment systems, removing nutrients, sediments, and pollutants from water through a combination of physical, chemical, and biological processes (Mitsch &amp; Gosselink,</w:t>
      </w:r>
      <w:r w:rsidR="00187594">
        <w:rPr>
          <w:rFonts w:ascii="Times New Roman" w:hAnsi="Times New Roman" w:cs="Times New Roman"/>
          <w:sz w:val="24"/>
          <w:szCs w:val="24"/>
        </w:rPr>
        <w:t xml:space="preserve"> </w:t>
      </w:r>
      <w:r w:rsidRPr="00123A57">
        <w:rPr>
          <w:rFonts w:ascii="Times New Roman" w:hAnsi="Times New Roman" w:cs="Times New Roman"/>
          <w:sz w:val="24"/>
          <w:szCs w:val="24"/>
        </w:rPr>
        <w:t>2015). Wetland plants and microbial communities facilitate the breakdown and transformation of organic matter, the uptake and storage of nutrients such as nitrogen and phosphorus, and the removal of heavy metals and other contaminants (Mitsch &amp; Gosselink, 2015).</w:t>
      </w:r>
    </w:p>
    <w:p w14:paraId="367AB417" w14:textId="3648F69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3.3 Flood and Erosion Control</w:t>
      </w:r>
    </w:p>
    <w:p w14:paraId="1C5BA9C1" w14:textId="599C51B1"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Coastal and riparian habitats such as mangroves, salt marshes, and wetlands provide critical protection against floods and erosion. Mangrove forests, for </w:t>
      </w:r>
      <w:r w:rsidR="005B7B54">
        <w:rPr>
          <w:rFonts w:ascii="Times New Roman" w:hAnsi="Times New Roman" w:cs="Times New Roman"/>
          <w:sz w:val="24"/>
          <w:szCs w:val="24"/>
        </w:rPr>
        <w:t>example</w:t>
      </w:r>
      <w:r w:rsidRPr="00123A57">
        <w:rPr>
          <w:rFonts w:ascii="Times New Roman" w:hAnsi="Times New Roman" w:cs="Times New Roman"/>
          <w:sz w:val="24"/>
          <w:szCs w:val="24"/>
        </w:rPr>
        <w:t xml:space="preserve">, have been shown to reduce wave energy by up to 66% and decrease shoreline erosion, acting as natural buffers during storm surges and extreme weather events (Friess et al., 2016). Wetlands absorb and store excess rainfall, reducing the severity and frequency of floods, while also stabilizing soils and preventing sediment loss (Mitsch &amp; Gosselink, 2015; </w:t>
      </w:r>
      <w:r w:rsidRPr="009B53B4">
        <w:rPr>
          <w:rFonts w:ascii="Times New Roman" w:hAnsi="Times New Roman" w:cs="Times New Roman"/>
          <w:color w:val="000000" w:themeColor="text1"/>
          <w:sz w:val="24"/>
          <w:szCs w:val="24"/>
        </w:rPr>
        <w:t>UN-Water, 2023).</w:t>
      </w:r>
    </w:p>
    <w:p w14:paraId="038C0AF6"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3.4 Disease Regulation</w:t>
      </w:r>
    </w:p>
    <w:p w14:paraId="2E8D3B89" w14:textId="6B5F5EE8" w:rsidR="0094479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Healthy aquatic ecosystems contribute to disease regulation by supporting biodiversity and natural predator populations that control disease vectors. Wetlands, for </w:t>
      </w:r>
      <w:r w:rsidR="005B7B54">
        <w:rPr>
          <w:rFonts w:ascii="Times New Roman" w:hAnsi="Times New Roman" w:cs="Times New Roman"/>
          <w:sz w:val="24"/>
          <w:szCs w:val="24"/>
        </w:rPr>
        <w:t>instance</w:t>
      </w:r>
      <w:r w:rsidRPr="00123A57">
        <w:rPr>
          <w:rFonts w:ascii="Times New Roman" w:hAnsi="Times New Roman" w:cs="Times New Roman"/>
          <w:sz w:val="24"/>
          <w:szCs w:val="24"/>
        </w:rPr>
        <w:t>, provide habitat for fish and invertebrates that prey on mosquito larvae, thereby reducing the risk of mosquito-borne diseases such as malaria (Lafferty, 2009</w:t>
      </w:r>
      <w:r w:rsidR="00F1676C">
        <w:rPr>
          <w:rFonts w:ascii="Times New Roman" w:hAnsi="Times New Roman" w:cs="Times New Roman"/>
          <w:sz w:val="24"/>
          <w:szCs w:val="24"/>
        </w:rPr>
        <w:t xml:space="preserve">). </w:t>
      </w:r>
      <w:r w:rsidRPr="00123A57">
        <w:rPr>
          <w:rFonts w:ascii="Times New Roman" w:hAnsi="Times New Roman" w:cs="Times New Roman"/>
          <w:sz w:val="24"/>
          <w:szCs w:val="24"/>
        </w:rPr>
        <w:t>Conversely, the degradation of aquatic habitats can disrupt these natural controls, leading to increased incidence of waterborne and vector-borne diseases (Lafferty, 2009).</w:t>
      </w:r>
    </w:p>
    <w:p w14:paraId="527F75BD" w14:textId="73A040CE" w:rsidR="00944797" w:rsidRDefault="00944797" w:rsidP="006513E0">
      <w:pPr>
        <w:spacing w:line="360" w:lineRule="auto"/>
        <w:jc w:val="center"/>
      </w:pPr>
      <w:r w:rsidRPr="00CC7B8B">
        <w:rPr>
          <w:rFonts w:ascii="Times New Roman" w:hAnsi="Times New Roman" w:cs="Times New Roman"/>
          <w:b/>
          <w:bCs/>
          <w:noProof/>
          <w:sz w:val="24"/>
          <w:szCs w:val="24"/>
        </w:rPr>
        <w:drawing>
          <wp:inline distT="0" distB="0" distL="0" distR="0" wp14:anchorId="65E3263B" wp14:editId="2B40D8E8">
            <wp:extent cx="5731510" cy="2285365"/>
            <wp:effectExtent l="0" t="0" r="0" b="635"/>
            <wp:docPr id="16577802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1242" b="8942"/>
                    <a:stretch/>
                  </pic:blipFill>
                  <pic:spPr bwMode="auto">
                    <a:xfrm>
                      <a:off x="0" y="0"/>
                      <a:ext cx="5731510" cy="2285365"/>
                    </a:xfrm>
                    <a:prstGeom prst="rect">
                      <a:avLst/>
                    </a:prstGeom>
                    <a:noFill/>
                    <a:ln>
                      <a:noFill/>
                    </a:ln>
                    <a:extLst>
                      <a:ext uri="{53640926-AAD7-44D8-BBD7-CCE9431645EC}">
                        <a14:shadowObscured xmlns:a14="http://schemas.microsoft.com/office/drawing/2010/main"/>
                      </a:ext>
                    </a:extLst>
                  </pic:spPr>
                </pic:pic>
              </a:graphicData>
            </a:graphic>
          </wp:inline>
        </w:drawing>
      </w:r>
    </w:p>
    <w:p w14:paraId="4CFF34C1" w14:textId="2A74B001" w:rsidR="00F6495D" w:rsidRPr="006513E0" w:rsidRDefault="006A659E" w:rsidP="006513E0">
      <w:pPr>
        <w:spacing w:line="360" w:lineRule="auto"/>
        <w:jc w:val="center"/>
      </w:pPr>
      <w:r w:rsidRPr="006A659E">
        <w:t xml:space="preserve">Fig. </w:t>
      </w:r>
      <w:r>
        <w:t>2</w:t>
      </w:r>
      <w:r w:rsidRPr="006A659E">
        <w:t xml:space="preserve"> </w:t>
      </w:r>
      <w:r>
        <w:t>Regulating</w:t>
      </w:r>
      <w:r w:rsidRPr="006A659E">
        <w:t xml:space="preserve"> services</w:t>
      </w:r>
    </w:p>
    <w:p w14:paraId="335D8B92" w14:textId="644F305C"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lastRenderedPageBreak/>
        <w:t>4. Cultural Services</w:t>
      </w:r>
    </w:p>
    <w:p w14:paraId="26C026C6" w14:textId="40E61D0B"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Aquatic ecosystems provide a wealth of nonmaterial benefits that enrich human societies and individual well-being. These cultural services encompass recreation, tourism, spiritual values, heritage, and psychological health, all of which are integral to quality of life and social identity</w:t>
      </w:r>
      <w:r w:rsidR="00F1676C">
        <w:rPr>
          <w:rFonts w:ascii="Times New Roman" w:hAnsi="Times New Roman" w:cs="Times New Roman"/>
          <w:sz w:val="24"/>
          <w:szCs w:val="24"/>
        </w:rPr>
        <w:t>.</w:t>
      </w:r>
    </w:p>
    <w:p w14:paraId="349C3F64"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4.1 Recreational and Tourism Benefits</w:t>
      </w:r>
    </w:p>
    <w:p w14:paraId="6938A16A" w14:textId="655D3F1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Aquatic environments are focal points for recreation and tourism, supporting activities such as boating, angling, swimming, diving, and wildlife observation. </w:t>
      </w:r>
      <w:r w:rsidR="005B7B54" w:rsidRPr="005B7B54">
        <w:rPr>
          <w:rFonts w:ascii="Times New Roman" w:hAnsi="Times New Roman" w:cs="Times New Roman"/>
          <w:sz w:val="24"/>
          <w:szCs w:val="24"/>
        </w:rPr>
        <w:t xml:space="preserve">In addition to improving individual well-being, these pursuits have a significant positive economic impact on both the local and national economies. </w:t>
      </w:r>
      <w:r w:rsidRPr="00123A57">
        <w:rPr>
          <w:rFonts w:ascii="Times New Roman" w:hAnsi="Times New Roman" w:cs="Times New Roman"/>
          <w:sz w:val="24"/>
          <w:szCs w:val="24"/>
        </w:rPr>
        <w:t>On a global scale, coastal and marine tourism is a major economic sector, generating hundreds of billions of dollars and supporting millions of jobs, particularly in coastal regions (Spalding et al., 2017). The attractiveness of clean, biodiverse aquatic environments is a key driver for tourism, and the loss or degradation of these systems can result in significant economic and social costs.</w:t>
      </w:r>
    </w:p>
    <w:p w14:paraId="3C95414A"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4.2 Spiritual and Heritage Values</w:t>
      </w:r>
    </w:p>
    <w:p w14:paraId="44F68F4C" w14:textId="32EBE4E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Water bodies hold profound spiritual, religious, and cultural significance for societies worldwide. Many rivers and lakes are revered as sacred sites or are central to traditional rituals and beliefs. The Ganges River in India, for example, is both a vital water resource and a sacred symbol in Hinduism, playing a central role in religious ceremonies and cultural identity (</w:t>
      </w:r>
      <w:r w:rsidRPr="00F1676C">
        <w:rPr>
          <w:rFonts w:ascii="Times New Roman" w:hAnsi="Times New Roman" w:cs="Times New Roman"/>
          <w:sz w:val="24"/>
          <w:szCs w:val="24"/>
        </w:rPr>
        <w:t xml:space="preserve">Alley, 2002). </w:t>
      </w:r>
    </w:p>
    <w:p w14:paraId="41E4212A"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4.3 Aesthetic and Psychological Well-Being</w:t>
      </w:r>
    </w:p>
    <w:p w14:paraId="67D917D4" w14:textId="17BB8D6D" w:rsidR="0094479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Access to aquatic environments also provides significant aesthetic and psychological benefits. The concept of "blue space" refers to the positive effects of proximity to water on mental health and well-being. </w:t>
      </w:r>
      <w:r w:rsidR="005B7B54" w:rsidRPr="005B7B54">
        <w:rPr>
          <w:rFonts w:ascii="Times New Roman" w:hAnsi="Times New Roman" w:cs="Times New Roman"/>
          <w:sz w:val="24"/>
          <w:szCs w:val="24"/>
        </w:rPr>
        <w:t>Regular exposure to aquatic environments has been linked to decreased levels of stress, anxiety, and depression as well as better cognitive performance, according to empirical study</w:t>
      </w:r>
      <w:r w:rsidR="005B7B54">
        <w:rPr>
          <w:rFonts w:ascii="Times New Roman" w:hAnsi="Times New Roman" w:cs="Times New Roman"/>
          <w:sz w:val="24"/>
          <w:szCs w:val="24"/>
        </w:rPr>
        <w:t xml:space="preserve"> </w:t>
      </w:r>
      <w:r w:rsidRPr="00123A57">
        <w:rPr>
          <w:rFonts w:ascii="Times New Roman" w:hAnsi="Times New Roman" w:cs="Times New Roman"/>
          <w:sz w:val="24"/>
          <w:szCs w:val="24"/>
        </w:rPr>
        <w:t xml:space="preserve">(Gascon et al., 2017; </w:t>
      </w:r>
      <w:r w:rsidRPr="00F1676C">
        <w:rPr>
          <w:rFonts w:ascii="Times New Roman" w:hAnsi="Times New Roman" w:cs="Times New Roman"/>
          <w:sz w:val="24"/>
          <w:szCs w:val="24"/>
        </w:rPr>
        <w:t>White et al., 2020</w:t>
      </w:r>
      <w:r w:rsidRPr="00123A57">
        <w:rPr>
          <w:rFonts w:ascii="Times New Roman" w:hAnsi="Times New Roman" w:cs="Times New Roman"/>
          <w:sz w:val="24"/>
          <w:szCs w:val="24"/>
        </w:rPr>
        <w:t>). These restorative effects are attributed to the visual, auditory, and experiential qualities of water bodies, which foster relaxation, inspiration, and a sense of place (</w:t>
      </w:r>
      <w:r w:rsidRPr="00F1676C">
        <w:rPr>
          <w:rFonts w:ascii="Times New Roman" w:hAnsi="Times New Roman" w:cs="Times New Roman"/>
          <w:sz w:val="24"/>
          <w:szCs w:val="24"/>
        </w:rPr>
        <w:t xml:space="preserve">White et al., 2020). </w:t>
      </w:r>
      <w:r w:rsidRPr="00123A57">
        <w:rPr>
          <w:rFonts w:ascii="Times New Roman" w:hAnsi="Times New Roman" w:cs="Times New Roman"/>
          <w:sz w:val="24"/>
          <w:szCs w:val="24"/>
        </w:rPr>
        <w:t>Such benefits underscore the importance of maintaining healthy aquatic ecosystems not only for ecological and economic reasons but also for human flourishing.</w:t>
      </w:r>
    </w:p>
    <w:p w14:paraId="1F42D423" w14:textId="77777777" w:rsidR="00F6495D" w:rsidRPr="00123A57" w:rsidRDefault="00F6495D" w:rsidP="006513E0">
      <w:pPr>
        <w:spacing w:line="360" w:lineRule="auto"/>
        <w:ind w:firstLine="720"/>
        <w:jc w:val="both"/>
        <w:rPr>
          <w:rFonts w:ascii="Times New Roman" w:hAnsi="Times New Roman" w:cs="Times New Roman"/>
          <w:sz w:val="24"/>
          <w:szCs w:val="24"/>
        </w:rPr>
      </w:pPr>
    </w:p>
    <w:p w14:paraId="529A31A3" w14:textId="364F1D55" w:rsidR="00944797" w:rsidRDefault="00944797" w:rsidP="006513E0">
      <w:pPr>
        <w:spacing w:line="360" w:lineRule="auto"/>
        <w:jc w:val="center"/>
      </w:pPr>
      <w:r w:rsidRPr="000D3C94">
        <w:rPr>
          <w:rFonts w:ascii="Times New Roman" w:hAnsi="Times New Roman" w:cs="Times New Roman"/>
          <w:b/>
          <w:bCs/>
          <w:noProof/>
          <w:sz w:val="24"/>
          <w:szCs w:val="24"/>
        </w:rPr>
        <w:drawing>
          <wp:inline distT="0" distB="0" distL="0" distR="0" wp14:anchorId="572AF38A" wp14:editId="13A3E69F">
            <wp:extent cx="4082415" cy="2718709"/>
            <wp:effectExtent l="0" t="0" r="0" b="5715"/>
            <wp:docPr id="49897670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4162" b="8102"/>
                    <a:stretch/>
                  </pic:blipFill>
                  <pic:spPr bwMode="auto">
                    <a:xfrm>
                      <a:off x="0" y="0"/>
                      <a:ext cx="4089448" cy="2723393"/>
                    </a:xfrm>
                    <a:prstGeom prst="rect">
                      <a:avLst/>
                    </a:prstGeom>
                    <a:noFill/>
                    <a:ln>
                      <a:noFill/>
                    </a:ln>
                    <a:extLst>
                      <a:ext uri="{53640926-AAD7-44D8-BBD7-CCE9431645EC}">
                        <a14:shadowObscured xmlns:a14="http://schemas.microsoft.com/office/drawing/2010/main"/>
                      </a:ext>
                    </a:extLst>
                  </pic:spPr>
                </pic:pic>
              </a:graphicData>
            </a:graphic>
          </wp:inline>
        </w:drawing>
      </w:r>
    </w:p>
    <w:p w14:paraId="08A5ED96" w14:textId="0487EAF4" w:rsidR="00293147" w:rsidRPr="001574EB" w:rsidRDefault="00F6495D" w:rsidP="001574EB">
      <w:pPr>
        <w:spacing w:line="360" w:lineRule="auto"/>
        <w:jc w:val="center"/>
      </w:pPr>
      <w:r w:rsidRPr="00F6495D">
        <w:t xml:space="preserve">Fig. </w:t>
      </w:r>
      <w:r>
        <w:t>3</w:t>
      </w:r>
      <w:r w:rsidRPr="00F6495D">
        <w:t xml:space="preserve"> </w:t>
      </w:r>
      <w:r>
        <w:t>Cultural</w:t>
      </w:r>
      <w:r w:rsidRPr="00F6495D">
        <w:t xml:space="preserve"> services</w:t>
      </w:r>
    </w:p>
    <w:p w14:paraId="3F49BA05" w14:textId="454F275D"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5. Supporting Services</w:t>
      </w:r>
    </w:p>
    <w:p w14:paraId="3BDCAE80" w14:textId="404B5D5A" w:rsidR="00A24ED4" w:rsidRPr="00293147" w:rsidRDefault="00944797" w:rsidP="00293147">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The foundational ecological processes provided by aquatic ecosystems underpin all other ecosystem services. These supporting services </w:t>
      </w:r>
      <w:r w:rsidR="005B7B54">
        <w:rPr>
          <w:rFonts w:ascii="Times New Roman" w:hAnsi="Times New Roman" w:cs="Times New Roman"/>
          <w:sz w:val="24"/>
          <w:szCs w:val="24"/>
        </w:rPr>
        <w:t>provide</w:t>
      </w:r>
      <w:r w:rsidRPr="00123A57">
        <w:rPr>
          <w:rFonts w:ascii="Times New Roman" w:hAnsi="Times New Roman" w:cs="Times New Roman"/>
          <w:sz w:val="24"/>
          <w:szCs w:val="24"/>
        </w:rPr>
        <w:t xml:space="preserve"> nutrient cycling, primary production, habitat provision, and the maintenance of biodiversity, which are essential for the functioning and resilience of aquatic environments (</w:t>
      </w:r>
      <w:r w:rsidRPr="009B53B4">
        <w:rPr>
          <w:rFonts w:ascii="Times New Roman" w:hAnsi="Times New Roman" w:cs="Times New Roman"/>
          <w:color w:val="000000" w:themeColor="text1"/>
          <w:sz w:val="24"/>
          <w:szCs w:val="24"/>
        </w:rPr>
        <w:t>MEA, 2005; Frontiers in Ecology and Evolution, 2021).</w:t>
      </w:r>
    </w:p>
    <w:p w14:paraId="5B09E64B" w14:textId="07A40EE9"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5.1 Nutrient Cycling and Primary Production</w:t>
      </w:r>
    </w:p>
    <w:p w14:paraId="25D4B9FE" w14:textId="65CA59E5"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Primary production in aquatic systems is primarily driven by phytoplankton and aquatic plants, which convert solar energy and inorganic nutrients into organic matter through photosynthesis. This process not only forms the base of aquatic food webs but also contributes significantly to global oxygen production and carbon cycling (Field et al., 1998; </w:t>
      </w:r>
      <w:r w:rsidR="009B53B4" w:rsidRPr="009B53B4">
        <w:rPr>
          <w:rFonts w:ascii="Times New Roman" w:hAnsi="Times New Roman" w:cs="Times New Roman"/>
          <w:color w:val="000000" w:themeColor="text1"/>
          <w:sz w:val="24"/>
          <w:szCs w:val="24"/>
        </w:rPr>
        <w:t xml:space="preserve">MEA, </w:t>
      </w:r>
      <w:r w:rsidRPr="009B53B4">
        <w:rPr>
          <w:rFonts w:ascii="Times New Roman" w:hAnsi="Times New Roman" w:cs="Times New Roman"/>
          <w:color w:val="000000" w:themeColor="text1"/>
          <w:sz w:val="24"/>
          <w:szCs w:val="24"/>
        </w:rPr>
        <w:t xml:space="preserve">2005). </w:t>
      </w:r>
      <w:r w:rsidRPr="00123A57">
        <w:rPr>
          <w:rFonts w:ascii="Times New Roman" w:hAnsi="Times New Roman" w:cs="Times New Roman"/>
          <w:sz w:val="24"/>
          <w:szCs w:val="24"/>
        </w:rPr>
        <w:t>Phytoplankton alone are estimated to be responsible for nearly half of the world’s net primary production, highlighting their central role in sustaining aquatic and terrestrial life (Field et al., 1998).</w:t>
      </w:r>
    </w:p>
    <w:p w14:paraId="6CF00A94" w14:textId="77539B8B"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Nutrient cycling-especially of nitrogen and phosphorus-is mediated by complex microbial processes such as nitrogen fixation, nitrification, and denitrification, which regulate the availability of essential elements in aquatic ecosystems (Gruber &amp; Galloway, 2008; Elser &amp; Bennett, 2011). Efficient cycling of these nutrients is crucial for maintaining ecosystem </w:t>
      </w:r>
      <w:r w:rsidRPr="00123A57">
        <w:rPr>
          <w:rFonts w:ascii="Times New Roman" w:hAnsi="Times New Roman" w:cs="Times New Roman"/>
          <w:sz w:val="24"/>
          <w:szCs w:val="24"/>
        </w:rPr>
        <w:lastRenderedPageBreak/>
        <w:t xml:space="preserve">productivity and preventing problems like harmful algal blooms, which can arise from nutrient imbalances (Elser &amp; Bennett, 2011; </w:t>
      </w:r>
      <w:r w:rsidR="009B53B4" w:rsidRPr="009B53B4">
        <w:rPr>
          <w:rFonts w:ascii="Times New Roman" w:hAnsi="Times New Roman" w:cs="Times New Roman"/>
          <w:color w:val="000000" w:themeColor="text1"/>
          <w:sz w:val="24"/>
          <w:szCs w:val="24"/>
        </w:rPr>
        <w:t>MEA, 2005</w:t>
      </w:r>
      <w:r w:rsidRPr="009B53B4">
        <w:rPr>
          <w:rFonts w:ascii="Times New Roman" w:hAnsi="Times New Roman" w:cs="Times New Roman"/>
          <w:color w:val="000000" w:themeColor="text1"/>
          <w:sz w:val="24"/>
          <w:szCs w:val="24"/>
        </w:rPr>
        <w:t>).</w:t>
      </w:r>
    </w:p>
    <w:p w14:paraId="4FD2D0A4"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5.2 Habitat Provision and Biodiversity Maintenance</w:t>
      </w:r>
    </w:p>
    <w:p w14:paraId="659B0D9A" w14:textId="61FB7EC4"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Aquatic habitats-ranging from coral reefs and mangroves to inland wetlands and rivers-are essential for the preservation of biodiversity (</w:t>
      </w:r>
      <w:r w:rsidR="003B22AE" w:rsidRPr="003B22AE">
        <w:rPr>
          <w:rFonts w:ascii="Times New Roman" w:hAnsi="Times New Roman" w:cs="Times New Roman"/>
          <w:color w:val="000000" w:themeColor="text1"/>
          <w:sz w:val="24"/>
          <w:szCs w:val="24"/>
        </w:rPr>
        <w:t>MEA</w:t>
      </w:r>
      <w:r w:rsidRPr="003B22AE">
        <w:rPr>
          <w:rFonts w:ascii="Times New Roman" w:hAnsi="Times New Roman" w:cs="Times New Roman"/>
          <w:color w:val="000000" w:themeColor="text1"/>
          <w:sz w:val="24"/>
          <w:szCs w:val="24"/>
        </w:rPr>
        <w:t xml:space="preserve">, 2005; </w:t>
      </w:r>
      <w:r w:rsidRPr="00123A57">
        <w:rPr>
          <w:rFonts w:ascii="Times New Roman" w:hAnsi="Times New Roman" w:cs="Times New Roman"/>
          <w:sz w:val="24"/>
          <w:szCs w:val="24"/>
        </w:rPr>
        <w:t>Pinsky et al., 20</w:t>
      </w:r>
      <w:r w:rsidR="00EE18C3">
        <w:rPr>
          <w:rFonts w:ascii="Times New Roman" w:hAnsi="Times New Roman" w:cs="Times New Roman"/>
          <w:sz w:val="24"/>
          <w:szCs w:val="24"/>
        </w:rPr>
        <w:t>20</w:t>
      </w:r>
      <w:r w:rsidRPr="00123A57">
        <w:rPr>
          <w:rFonts w:ascii="Times New Roman" w:hAnsi="Times New Roman" w:cs="Times New Roman"/>
          <w:sz w:val="24"/>
          <w:szCs w:val="24"/>
        </w:rPr>
        <w:t>). These environments provide breeding grounds, nurseries, and refuges for a vast array of species, supporting complex food webs and enhancing ecosystem resilience (</w:t>
      </w:r>
      <w:r w:rsidRPr="003B22AE">
        <w:rPr>
          <w:rFonts w:ascii="Times New Roman" w:hAnsi="Times New Roman" w:cs="Times New Roman"/>
          <w:color w:val="000000" w:themeColor="text1"/>
          <w:sz w:val="24"/>
          <w:szCs w:val="24"/>
        </w:rPr>
        <w:t xml:space="preserve">MEA, 2005; </w:t>
      </w:r>
      <w:r w:rsidRPr="00123A57">
        <w:rPr>
          <w:rFonts w:ascii="Times New Roman" w:hAnsi="Times New Roman" w:cs="Times New Roman"/>
          <w:sz w:val="24"/>
          <w:szCs w:val="24"/>
        </w:rPr>
        <w:t xml:space="preserve">Pinsky et al., </w:t>
      </w:r>
      <w:r w:rsidR="00EE18C3">
        <w:rPr>
          <w:rFonts w:ascii="Times New Roman" w:hAnsi="Times New Roman" w:cs="Times New Roman"/>
          <w:sz w:val="24"/>
          <w:szCs w:val="24"/>
        </w:rPr>
        <w:t>2020</w:t>
      </w:r>
      <w:r w:rsidRPr="00123A57">
        <w:rPr>
          <w:rFonts w:ascii="Times New Roman" w:hAnsi="Times New Roman" w:cs="Times New Roman"/>
          <w:sz w:val="24"/>
          <w:szCs w:val="24"/>
        </w:rPr>
        <w:t>). For example, coral reefs and mangroves serve as critical nursery habitats for numerous fish and invertebrate species, while freshwater wetlands support high levels of endemism and species richness (</w:t>
      </w:r>
      <w:r w:rsidRPr="003B22AE">
        <w:rPr>
          <w:rFonts w:ascii="Times New Roman" w:hAnsi="Times New Roman" w:cs="Times New Roman"/>
          <w:color w:val="000000" w:themeColor="text1"/>
          <w:sz w:val="24"/>
          <w:szCs w:val="24"/>
        </w:rPr>
        <w:t>MEA, 2005; IGB, 2025).</w:t>
      </w:r>
    </w:p>
    <w:p w14:paraId="3E7F0CD3" w14:textId="630D1F52" w:rsidR="00944797" w:rsidRPr="0002411F" w:rsidRDefault="00944797" w:rsidP="006513E0">
      <w:pPr>
        <w:spacing w:line="360" w:lineRule="auto"/>
        <w:ind w:firstLine="720"/>
        <w:jc w:val="both"/>
        <w:rPr>
          <w:rFonts w:ascii="Times New Roman" w:hAnsi="Times New Roman" w:cs="Times New Roman"/>
          <w:color w:val="000000" w:themeColor="text1"/>
          <w:sz w:val="24"/>
          <w:szCs w:val="24"/>
        </w:rPr>
      </w:pPr>
      <w:r w:rsidRPr="00123A57">
        <w:rPr>
          <w:rFonts w:ascii="Times New Roman" w:hAnsi="Times New Roman" w:cs="Times New Roman"/>
          <w:sz w:val="24"/>
          <w:szCs w:val="24"/>
        </w:rPr>
        <w:t xml:space="preserve">Biodiversity within aquatic systems is closely linked to ecosystem stability and the capacity to recover from disturbances. Diverse communities are more likely to maintain ecosystem functions in the face of environmental change, as different species can compensate for one another’s </w:t>
      </w:r>
      <w:r w:rsidRPr="003B22AE">
        <w:rPr>
          <w:rFonts w:ascii="Times New Roman" w:hAnsi="Times New Roman" w:cs="Times New Roman"/>
          <w:color w:val="000000" w:themeColor="text1"/>
          <w:sz w:val="24"/>
          <w:szCs w:val="24"/>
        </w:rPr>
        <w:t xml:space="preserve">roles (Frontiers in Ecology and Evolution, 2021). The conservation and restoration of aquatic habitats are thus vital for sustaining the </w:t>
      </w:r>
      <w:r w:rsidR="0002411F" w:rsidRPr="0002411F">
        <w:rPr>
          <w:rFonts w:ascii="Times New Roman" w:hAnsi="Times New Roman" w:cs="Times New Roman"/>
          <w:color w:val="000000" w:themeColor="text1"/>
          <w:sz w:val="24"/>
          <w:szCs w:val="24"/>
        </w:rPr>
        <w:t>entire spectrum of ecosystem services</w:t>
      </w:r>
      <w:r w:rsidRPr="003B22AE">
        <w:rPr>
          <w:rFonts w:ascii="Times New Roman" w:hAnsi="Times New Roman" w:cs="Times New Roman"/>
          <w:color w:val="000000" w:themeColor="text1"/>
          <w:sz w:val="24"/>
          <w:szCs w:val="24"/>
        </w:rPr>
        <w:t xml:space="preserve"> that benefit both nature and society (MEA, 2005; IGB, 2025).</w:t>
      </w:r>
    </w:p>
    <w:p w14:paraId="67998196" w14:textId="070D5154" w:rsidR="00944797" w:rsidRDefault="00944797" w:rsidP="006513E0">
      <w:pPr>
        <w:spacing w:line="360" w:lineRule="auto"/>
        <w:jc w:val="center"/>
      </w:pPr>
      <w:r w:rsidRPr="00BE597A">
        <w:rPr>
          <w:rFonts w:ascii="Times New Roman" w:hAnsi="Times New Roman" w:cs="Times New Roman"/>
          <w:b/>
          <w:bCs/>
          <w:noProof/>
          <w:sz w:val="24"/>
          <w:szCs w:val="24"/>
        </w:rPr>
        <w:drawing>
          <wp:inline distT="0" distB="0" distL="0" distR="0" wp14:anchorId="24F5C455" wp14:editId="413444FC">
            <wp:extent cx="4352310" cy="3474720"/>
            <wp:effectExtent l="0" t="0" r="0" b="0"/>
            <wp:docPr id="17992784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677" t="13085" r="3391" b="7512"/>
                    <a:stretch/>
                  </pic:blipFill>
                  <pic:spPr bwMode="auto">
                    <a:xfrm>
                      <a:off x="0" y="0"/>
                      <a:ext cx="4377482" cy="3494816"/>
                    </a:xfrm>
                    <a:prstGeom prst="rect">
                      <a:avLst/>
                    </a:prstGeom>
                    <a:noFill/>
                    <a:ln>
                      <a:noFill/>
                    </a:ln>
                    <a:extLst>
                      <a:ext uri="{53640926-AAD7-44D8-BBD7-CCE9431645EC}">
                        <a14:shadowObscured xmlns:a14="http://schemas.microsoft.com/office/drawing/2010/main"/>
                      </a:ext>
                    </a:extLst>
                  </pic:spPr>
                </pic:pic>
              </a:graphicData>
            </a:graphic>
          </wp:inline>
        </w:drawing>
      </w:r>
    </w:p>
    <w:p w14:paraId="0EE32FDE" w14:textId="74AEAA70" w:rsidR="00F6495D" w:rsidRDefault="00F6495D" w:rsidP="006513E0">
      <w:pPr>
        <w:spacing w:line="360" w:lineRule="auto"/>
        <w:jc w:val="center"/>
      </w:pPr>
      <w:r w:rsidRPr="00F6495D">
        <w:t xml:space="preserve">Fig. </w:t>
      </w:r>
      <w:r>
        <w:t>4</w:t>
      </w:r>
      <w:r w:rsidRPr="00F6495D">
        <w:t xml:space="preserve"> </w:t>
      </w:r>
      <w:r>
        <w:t>Essential ecological</w:t>
      </w:r>
      <w:r w:rsidRPr="00F6495D">
        <w:t xml:space="preserve"> services</w:t>
      </w:r>
      <w:r>
        <w:t xml:space="preserve"> of aquatic ecosystems</w:t>
      </w:r>
    </w:p>
    <w:p w14:paraId="47068FE6" w14:textId="77777777" w:rsidR="001574EB" w:rsidRDefault="001574EB" w:rsidP="006513E0">
      <w:pPr>
        <w:spacing w:line="360" w:lineRule="auto"/>
        <w:jc w:val="both"/>
        <w:rPr>
          <w:rFonts w:ascii="Times New Roman" w:hAnsi="Times New Roman" w:cs="Times New Roman"/>
          <w:b/>
          <w:bCs/>
          <w:sz w:val="24"/>
          <w:szCs w:val="24"/>
        </w:rPr>
      </w:pPr>
    </w:p>
    <w:p w14:paraId="52601996" w14:textId="6D4D3C13" w:rsidR="00944797" w:rsidRPr="00F216E1" w:rsidRDefault="00944797" w:rsidP="006513E0">
      <w:pPr>
        <w:spacing w:line="360" w:lineRule="auto"/>
        <w:jc w:val="both"/>
        <w:rPr>
          <w:rFonts w:ascii="Times New Roman" w:hAnsi="Times New Roman" w:cs="Times New Roman"/>
          <w:b/>
          <w:bCs/>
          <w:sz w:val="24"/>
          <w:szCs w:val="24"/>
        </w:rPr>
      </w:pPr>
      <w:r w:rsidRPr="00F216E1">
        <w:rPr>
          <w:rFonts w:ascii="Times New Roman" w:hAnsi="Times New Roman" w:cs="Times New Roman"/>
          <w:b/>
          <w:bCs/>
          <w:sz w:val="24"/>
          <w:szCs w:val="24"/>
        </w:rPr>
        <w:lastRenderedPageBreak/>
        <w:t>6. Economic Valuation of Ecosystem Services</w:t>
      </w:r>
    </w:p>
    <w:p w14:paraId="0B6F467C" w14:textId="71CDBE9E" w:rsidR="005F04C9" w:rsidRPr="000465CD" w:rsidRDefault="005F04C9" w:rsidP="006513E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Pr="00F216E1">
        <w:rPr>
          <w:rFonts w:ascii="Times New Roman" w:hAnsi="Times New Roman" w:cs="Times New Roman"/>
          <w:b/>
          <w:bCs/>
          <w:sz w:val="24"/>
          <w:szCs w:val="24"/>
        </w:rPr>
        <w:t>Methods for Valuing Aquatic Ecosystem Services</w:t>
      </w:r>
    </w:p>
    <w:p w14:paraId="4BC27C10" w14:textId="217819E9" w:rsidR="00944797" w:rsidRPr="00123A57" w:rsidRDefault="00944797" w:rsidP="00F216E1">
      <w:pPr>
        <w:spacing w:line="360" w:lineRule="auto"/>
        <w:ind w:firstLine="360"/>
        <w:jc w:val="both"/>
        <w:rPr>
          <w:rFonts w:ascii="Times New Roman" w:hAnsi="Times New Roman" w:cs="Times New Roman"/>
          <w:sz w:val="24"/>
          <w:szCs w:val="24"/>
        </w:rPr>
      </w:pPr>
      <w:r w:rsidRPr="00123A57">
        <w:rPr>
          <w:rFonts w:ascii="Times New Roman" w:hAnsi="Times New Roman" w:cs="Times New Roman"/>
          <w:sz w:val="24"/>
          <w:szCs w:val="24"/>
        </w:rPr>
        <w:t>A range of techniques is used to estimate the value of ecosystem services, each suited to different types of services and policy contexts:</w:t>
      </w:r>
    </w:p>
    <w:p w14:paraId="7F1E5337" w14:textId="5425AE5E" w:rsidR="00944797" w:rsidRPr="00123A57" w:rsidRDefault="00944797" w:rsidP="006513E0">
      <w:pPr>
        <w:numPr>
          <w:ilvl w:val="0"/>
          <w:numId w:val="4"/>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Market-Based Valuation:</w:t>
      </w:r>
      <w:r w:rsidRPr="00123A57">
        <w:rPr>
          <w:rFonts w:ascii="Times New Roman" w:hAnsi="Times New Roman" w:cs="Times New Roman"/>
          <w:sz w:val="24"/>
          <w:szCs w:val="24"/>
        </w:rPr>
        <w:t> This approach uses actual market prices to estimate the value of goods and services that are traded, such as fishery yields, shellfish harvests, and tourism receipts. For example, the economic contribution of commercial fisheries can be calculated by multiplying catch volumes by prevailing market prices</w:t>
      </w:r>
    </w:p>
    <w:p w14:paraId="496B6A47" w14:textId="2F2B4AF4" w:rsidR="00944797" w:rsidRPr="00123A57" w:rsidRDefault="00944797" w:rsidP="006513E0">
      <w:pPr>
        <w:numPr>
          <w:ilvl w:val="0"/>
          <w:numId w:val="4"/>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Revealed Preference Techniques:</w:t>
      </w:r>
      <w:r w:rsidRPr="00123A57">
        <w:rPr>
          <w:rFonts w:ascii="Times New Roman" w:hAnsi="Times New Roman" w:cs="Times New Roman"/>
          <w:sz w:val="24"/>
          <w:szCs w:val="24"/>
        </w:rPr>
        <w:t xml:space="preserve"> These methods infer value from observed </w:t>
      </w:r>
      <w:proofErr w:type="spellStart"/>
      <w:r w:rsidRPr="00123A57">
        <w:rPr>
          <w:rFonts w:ascii="Times New Roman" w:hAnsi="Times New Roman" w:cs="Times New Roman"/>
          <w:sz w:val="24"/>
          <w:szCs w:val="24"/>
        </w:rPr>
        <w:t>behavior</w:t>
      </w:r>
      <w:proofErr w:type="spellEnd"/>
      <w:r w:rsidRPr="00123A57">
        <w:rPr>
          <w:rFonts w:ascii="Times New Roman" w:hAnsi="Times New Roman" w:cs="Times New Roman"/>
          <w:sz w:val="24"/>
          <w:szCs w:val="24"/>
        </w:rPr>
        <w:t xml:space="preserve">. The travel cost method estimates recreational value by </w:t>
      </w:r>
      <w:proofErr w:type="spellStart"/>
      <w:r w:rsidRPr="00123A57">
        <w:rPr>
          <w:rFonts w:ascii="Times New Roman" w:hAnsi="Times New Roman" w:cs="Times New Roman"/>
          <w:sz w:val="24"/>
          <w:szCs w:val="24"/>
        </w:rPr>
        <w:t>analyzing</w:t>
      </w:r>
      <w:proofErr w:type="spellEnd"/>
      <w:r w:rsidRPr="00123A57">
        <w:rPr>
          <w:rFonts w:ascii="Times New Roman" w:hAnsi="Times New Roman" w:cs="Times New Roman"/>
          <w:sz w:val="24"/>
          <w:szCs w:val="24"/>
        </w:rPr>
        <w:t xml:space="preserve"> how much people spend to access aquatic sites, while hedonic pricing assesses how environmental attributes (like water quality or proximity to lakes) affect property values </w:t>
      </w:r>
    </w:p>
    <w:p w14:paraId="62CE496B" w14:textId="6CC24A70" w:rsidR="00F6495D" w:rsidRPr="00F6495D" w:rsidRDefault="00944797" w:rsidP="006513E0">
      <w:pPr>
        <w:numPr>
          <w:ilvl w:val="0"/>
          <w:numId w:val="4"/>
        </w:numPr>
        <w:spacing w:line="360" w:lineRule="auto"/>
        <w:jc w:val="both"/>
        <w:rPr>
          <w:rFonts w:ascii="Times New Roman" w:hAnsi="Times New Roman" w:cs="Times New Roman"/>
          <w:sz w:val="24"/>
          <w:szCs w:val="24"/>
        </w:rPr>
      </w:pPr>
      <w:r w:rsidRPr="00123A57">
        <w:rPr>
          <w:rFonts w:ascii="Times New Roman" w:hAnsi="Times New Roman" w:cs="Times New Roman"/>
          <w:b/>
          <w:bCs/>
          <w:sz w:val="24"/>
          <w:szCs w:val="24"/>
        </w:rPr>
        <w:t>Stated Preference Approaches:</w:t>
      </w:r>
      <w:r w:rsidRPr="00123A57">
        <w:rPr>
          <w:rFonts w:ascii="Times New Roman" w:hAnsi="Times New Roman" w:cs="Times New Roman"/>
          <w:sz w:val="24"/>
          <w:szCs w:val="24"/>
        </w:rPr>
        <w:t> When market data are unavailable, stated preference methods such as contingent valuation and choice experiments are used. These surveys ask individuals their willingness to pay for hypothetical improvements or to avoid losses in ecosystem services, providing monetary estimates for non-market benefits like biodiversity or water quality</w:t>
      </w:r>
      <w:r w:rsidR="00C52D4D">
        <w:rPr>
          <w:rFonts w:ascii="Times New Roman" w:hAnsi="Times New Roman" w:cs="Times New Roman"/>
          <w:sz w:val="24"/>
          <w:szCs w:val="24"/>
        </w:rPr>
        <w:t>.</w:t>
      </w:r>
    </w:p>
    <w:p w14:paraId="78A2B235" w14:textId="7414F37F"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6.2 Global Economic Estimates</w:t>
      </w:r>
    </w:p>
    <w:p w14:paraId="149BA533" w14:textId="77777777"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 xml:space="preserve">Recent global syntheses estimate that coastal and marine ecosystems contribute trillions of dollars annually to the world economy through fisheries, coastal protection, tourism, and other services (Costanza et al., 2014; </w:t>
      </w:r>
      <w:r w:rsidRPr="0068431D">
        <w:rPr>
          <w:rFonts w:ascii="Times New Roman" w:hAnsi="Times New Roman" w:cs="Times New Roman"/>
          <w:sz w:val="24"/>
          <w:szCs w:val="24"/>
        </w:rPr>
        <w:t>Brander et al., 2024</w:t>
      </w:r>
      <w:r w:rsidRPr="00123A57">
        <w:rPr>
          <w:rFonts w:ascii="Times New Roman" w:hAnsi="Times New Roman" w:cs="Times New Roman"/>
          <w:sz w:val="24"/>
          <w:szCs w:val="24"/>
        </w:rPr>
        <w:t xml:space="preserve">). For example, Costanza et al. (2014) estimated the annual value of coral reefs at $36,794 per hectare and mangroves at $193,845 per hectare, reflecting their roles in supporting fisheries, preventing erosion, and attracting tourism. The loss or degradation of these systems could result in substantial economic costs, including reduced fishery yields, increased vulnerability to storms, and higher water treatment expenses (Costanza et al., 2014; </w:t>
      </w:r>
      <w:r w:rsidRPr="003B22AE">
        <w:rPr>
          <w:rFonts w:ascii="Times New Roman" w:hAnsi="Times New Roman" w:cs="Times New Roman"/>
          <w:color w:val="000000" w:themeColor="text1"/>
          <w:sz w:val="24"/>
          <w:szCs w:val="24"/>
        </w:rPr>
        <w:t>World Bank, 2023</w:t>
      </w:r>
      <w:r w:rsidRPr="00123A57">
        <w:rPr>
          <w:rFonts w:ascii="Times New Roman" w:hAnsi="Times New Roman" w:cs="Times New Roman"/>
          <w:sz w:val="24"/>
          <w:szCs w:val="24"/>
        </w:rPr>
        <w:t>).</w:t>
      </w:r>
    </w:p>
    <w:p w14:paraId="321D5871" w14:textId="77777777" w:rsidR="00944797" w:rsidRPr="00123A57" w:rsidRDefault="00944797" w:rsidP="006513E0">
      <w:pPr>
        <w:spacing w:line="360" w:lineRule="auto"/>
        <w:jc w:val="both"/>
        <w:rPr>
          <w:rFonts w:ascii="Times New Roman" w:hAnsi="Times New Roman" w:cs="Times New Roman"/>
          <w:b/>
          <w:bCs/>
          <w:sz w:val="24"/>
          <w:szCs w:val="24"/>
        </w:rPr>
      </w:pPr>
      <w:r w:rsidRPr="00123A57">
        <w:rPr>
          <w:rFonts w:ascii="Times New Roman" w:hAnsi="Times New Roman" w:cs="Times New Roman"/>
          <w:b/>
          <w:bCs/>
          <w:sz w:val="24"/>
          <w:szCs w:val="24"/>
        </w:rPr>
        <w:t>6.3 Policy Integration</w:t>
      </w:r>
    </w:p>
    <w:p w14:paraId="2AD6A265" w14:textId="71948649" w:rsidR="00944797" w:rsidRPr="00123A57" w:rsidRDefault="00944797" w:rsidP="006513E0">
      <w:pPr>
        <w:spacing w:line="360" w:lineRule="auto"/>
        <w:ind w:firstLine="720"/>
        <w:jc w:val="both"/>
        <w:rPr>
          <w:rFonts w:ascii="Times New Roman" w:hAnsi="Times New Roman" w:cs="Times New Roman"/>
          <w:sz w:val="24"/>
          <w:szCs w:val="24"/>
        </w:rPr>
      </w:pPr>
      <w:r w:rsidRPr="00123A57">
        <w:rPr>
          <w:rFonts w:ascii="Times New Roman" w:hAnsi="Times New Roman" w:cs="Times New Roman"/>
          <w:sz w:val="24"/>
          <w:szCs w:val="24"/>
        </w:rPr>
        <w:t>Integrating ecosystem service values into policy and national accounting frameworks is increasingly recognized as best practice for sustainable development (Barbier</w:t>
      </w:r>
      <w:r w:rsidR="00F07F1B">
        <w:rPr>
          <w:rFonts w:ascii="Times New Roman" w:hAnsi="Times New Roman" w:cs="Times New Roman"/>
          <w:sz w:val="24"/>
          <w:szCs w:val="24"/>
        </w:rPr>
        <w:t xml:space="preserve"> et al</w:t>
      </w:r>
      <w:r w:rsidRPr="00123A57">
        <w:rPr>
          <w:rFonts w:ascii="Times New Roman" w:hAnsi="Times New Roman" w:cs="Times New Roman"/>
          <w:sz w:val="24"/>
          <w:szCs w:val="24"/>
        </w:rPr>
        <w:t>, 201</w:t>
      </w:r>
      <w:r w:rsidR="00F07F1B">
        <w:rPr>
          <w:rFonts w:ascii="Times New Roman" w:hAnsi="Times New Roman" w:cs="Times New Roman"/>
          <w:sz w:val="24"/>
          <w:szCs w:val="24"/>
        </w:rPr>
        <w:t>3</w:t>
      </w:r>
      <w:r w:rsidRPr="00123A57">
        <w:rPr>
          <w:rFonts w:ascii="Times New Roman" w:hAnsi="Times New Roman" w:cs="Times New Roman"/>
          <w:sz w:val="24"/>
          <w:szCs w:val="24"/>
        </w:rPr>
        <w:t xml:space="preserve">; </w:t>
      </w:r>
      <w:r w:rsidRPr="003B22AE">
        <w:rPr>
          <w:rFonts w:ascii="Times New Roman" w:hAnsi="Times New Roman" w:cs="Times New Roman"/>
          <w:color w:val="000000" w:themeColor="text1"/>
          <w:sz w:val="24"/>
          <w:szCs w:val="24"/>
        </w:rPr>
        <w:t xml:space="preserve">UN, 2023). Initiatives such as the United Nations System of Environmental-Economic </w:t>
      </w:r>
      <w:r w:rsidRPr="003B22AE">
        <w:rPr>
          <w:rFonts w:ascii="Times New Roman" w:hAnsi="Times New Roman" w:cs="Times New Roman"/>
          <w:color w:val="000000" w:themeColor="text1"/>
          <w:sz w:val="24"/>
          <w:szCs w:val="24"/>
        </w:rPr>
        <w:lastRenderedPageBreak/>
        <w:t xml:space="preserve">Accounting (SEEA) provide standardized approaches to include natural capital in economic planning (UN, 2023). </w:t>
      </w:r>
      <w:r w:rsidRPr="00123A57">
        <w:rPr>
          <w:rFonts w:ascii="Times New Roman" w:hAnsi="Times New Roman" w:cs="Times New Roman"/>
          <w:sz w:val="24"/>
          <w:szCs w:val="24"/>
        </w:rPr>
        <w:t>Market-based instruments like Payment for Ecosystem Services (PES) and blue carbon credits offer financial incentives to conserve and restore aquatic habitats, aligning economic rewards with environmental stewardship (</w:t>
      </w:r>
      <w:r w:rsidRPr="006F7CF7">
        <w:rPr>
          <w:rFonts w:ascii="Times New Roman" w:hAnsi="Times New Roman" w:cs="Times New Roman"/>
          <w:sz w:val="24"/>
          <w:szCs w:val="24"/>
        </w:rPr>
        <w:t>Barbier</w:t>
      </w:r>
      <w:r w:rsidR="00F07F1B">
        <w:rPr>
          <w:rFonts w:ascii="Times New Roman" w:hAnsi="Times New Roman" w:cs="Times New Roman"/>
          <w:sz w:val="24"/>
          <w:szCs w:val="24"/>
        </w:rPr>
        <w:t xml:space="preserve"> et al</w:t>
      </w:r>
      <w:r w:rsidRPr="006F7CF7">
        <w:rPr>
          <w:rFonts w:ascii="Times New Roman" w:hAnsi="Times New Roman" w:cs="Times New Roman"/>
          <w:sz w:val="24"/>
          <w:szCs w:val="24"/>
        </w:rPr>
        <w:t>, 201</w:t>
      </w:r>
      <w:r w:rsidR="00F07F1B">
        <w:rPr>
          <w:rFonts w:ascii="Times New Roman" w:hAnsi="Times New Roman" w:cs="Times New Roman"/>
          <w:sz w:val="24"/>
          <w:szCs w:val="24"/>
        </w:rPr>
        <w:t>3</w:t>
      </w:r>
      <w:r w:rsidRPr="00123A57">
        <w:rPr>
          <w:rFonts w:ascii="Times New Roman" w:hAnsi="Times New Roman" w:cs="Times New Roman"/>
          <w:sz w:val="24"/>
          <w:szCs w:val="24"/>
        </w:rPr>
        <w:t xml:space="preserve">; </w:t>
      </w:r>
      <w:r w:rsidRPr="0068431D">
        <w:rPr>
          <w:rFonts w:ascii="Times New Roman" w:hAnsi="Times New Roman" w:cs="Times New Roman"/>
          <w:sz w:val="24"/>
          <w:szCs w:val="24"/>
        </w:rPr>
        <w:t>Brander et al., 2024</w:t>
      </w:r>
      <w:r w:rsidRPr="00123A57">
        <w:rPr>
          <w:rFonts w:ascii="Times New Roman" w:hAnsi="Times New Roman" w:cs="Times New Roman"/>
          <w:sz w:val="24"/>
          <w:szCs w:val="24"/>
        </w:rPr>
        <w:t>). Such mechanisms help ensure that the true value of ecosystem services is reflected in decision-making and resource management.</w:t>
      </w:r>
    </w:p>
    <w:p w14:paraId="424398F1" w14:textId="33B1F754" w:rsidR="00944797" w:rsidRDefault="00944797" w:rsidP="006513E0">
      <w:pPr>
        <w:spacing w:line="360" w:lineRule="auto"/>
        <w:jc w:val="center"/>
      </w:pPr>
      <w:r w:rsidRPr="002947F6">
        <w:rPr>
          <w:rFonts w:ascii="Times New Roman" w:hAnsi="Times New Roman" w:cs="Times New Roman"/>
          <w:b/>
          <w:bCs/>
          <w:noProof/>
          <w:sz w:val="24"/>
          <w:szCs w:val="24"/>
        </w:rPr>
        <w:drawing>
          <wp:inline distT="0" distB="0" distL="0" distR="0" wp14:anchorId="4D6A21C3" wp14:editId="54350E26">
            <wp:extent cx="4047432" cy="2531745"/>
            <wp:effectExtent l="0" t="0" r="0" b="0"/>
            <wp:docPr id="8381706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19" t="22754" r="10929" b="10034"/>
                    <a:stretch/>
                  </pic:blipFill>
                  <pic:spPr bwMode="auto">
                    <a:xfrm>
                      <a:off x="0" y="0"/>
                      <a:ext cx="4069988" cy="2545854"/>
                    </a:xfrm>
                    <a:prstGeom prst="rect">
                      <a:avLst/>
                    </a:prstGeom>
                    <a:noFill/>
                    <a:ln>
                      <a:noFill/>
                    </a:ln>
                    <a:extLst>
                      <a:ext uri="{53640926-AAD7-44D8-BBD7-CCE9431645EC}">
                        <a14:shadowObscured xmlns:a14="http://schemas.microsoft.com/office/drawing/2010/main"/>
                      </a:ext>
                    </a:extLst>
                  </pic:spPr>
                </pic:pic>
              </a:graphicData>
            </a:graphic>
          </wp:inline>
        </w:drawing>
      </w:r>
    </w:p>
    <w:p w14:paraId="77841AAB" w14:textId="1E2FE3BF" w:rsidR="00F6495D" w:rsidRDefault="00F6495D" w:rsidP="001574EB">
      <w:pPr>
        <w:spacing w:line="360" w:lineRule="auto"/>
        <w:jc w:val="center"/>
      </w:pPr>
      <w:r w:rsidRPr="00F6495D">
        <w:t xml:space="preserve">Fig. </w:t>
      </w:r>
      <w:r>
        <w:t>5</w:t>
      </w:r>
      <w:r w:rsidRPr="00F6495D">
        <w:t xml:space="preserve"> </w:t>
      </w:r>
      <w:r>
        <w:t>Economic essentials for Aquatic Ecosystems</w:t>
      </w:r>
    </w:p>
    <w:p w14:paraId="46ED2C69" w14:textId="77777777" w:rsidR="00944797" w:rsidRPr="000465CD"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7. Policy Implications and Sustainable Development</w:t>
      </w:r>
    </w:p>
    <w:p w14:paraId="7F6C9F92" w14:textId="126CA4DE" w:rsidR="00F6495D" w:rsidRPr="00F6495D"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Effective management of aquatic ecosystems requires robust policy frameworks that integrate scientific assessments, economic valuation, and local and Indigenous knowledge. Such integration is essential for sustaining ecosystem services, supporting livelihoods, and achieving global development goals.</w:t>
      </w:r>
    </w:p>
    <w:p w14:paraId="50E4BC87" w14:textId="66590047" w:rsidR="00944797" w:rsidRPr="00C56372" w:rsidRDefault="00944797" w:rsidP="006513E0">
      <w:pPr>
        <w:spacing w:line="360" w:lineRule="auto"/>
        <w:jc w:val="both"/>
        <w:rPr>
          <w:rFonts w:ascii="Times New Roman" w:hAnsi="Times New Roman" w:cs="Times New Roman"/>
          <w:b/>
          <w:bCs/>
          <w:sz w:val="24"/>
          <w:szCs w:val="24"/>
        </w:rPr>
      </w:pPr>
      <w:r w:rsidRPr="00C56372">
        <w:rPr>
          <w:rFonts w:ascii="Times New Roman" w:hAnsi="Times New Roman" w:cs="Times New Roman"/>
          <w:b/>
          <w:bCs/>
          <w:sz w:val="24"/>
          <w:szCs w:val="24"/>
        </w:rPr>
        <w:t>7.1 International and National Frameworks</w:t>
      </w:r>
    </w:p>
    <w:p w14:paraId="72216AEB" w14:textId="7DFFADAF" w:rsidR="00944797" w:rsidRPr="00C56372"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 xml:space="preserve">Global agreements and frameworks provide the foundation for integrated aquatic ecosystem management. The United Nations Sustainable Development Goals-specifically SDG 6 (Clean Water and Sanitation) and SDG 14 (Life Below Water)-explicitly </w:t>
      </w:r>
      <w:r w:rsidR="0002411F" w:rsidRPr="0002411F">
        <w:rPr>
          <w:rFonts w:ascii="Times New Roman" w:hAnsi="Times New Roman" w:cs="Times New Roman"/>
          <w:sz w:val="24"/>
          <w:szCs w:val="24"/>
        </w:rPr>
        <w:t>urge that freshwater and marine resources be protected and used sustainably</w:t>
      </w:r>
      <w:r w:rsidR="0002411F">
        <w:rPr>
          <w:rFonts w:ascii="Times New Roman" w:hAnsi="Times New Roman" w:cs="Times New Roman"/>
          <w:sz w:val="24"/>
          <w:szCs w:val="24"/>
        </w:rPr>
        <w:t xml:space="preserve"> </w:t>
      </w:r>
      <w:r w:rsidRPr="00C56372">
        <w:rPr>
          <w:rFonts w:ascii="Times New Roman" w:hAnsi="Times New Roman" w:cs="Times New Roman"/>
          <w:sz w:val="24"/>
          <w:szCs w:val="24"/>
        </w:rPr>
        <w:t>(</w:t>
      </w:r>
      <w:r w:rsidRPr="003B22AE">
        <w:rPr>
          <w:rFonts w:ascii="Times New Roman" w:hAnsi="Times New Roman" w:cs="Times New Roman"/>
          <w:color w:val="000000" w:themeColor="text1"/>
          <w:sz w:val="24"/>
          <w:szCs w:val="24"/>
        </w:rPr>
        <w:t>UN, 2023; UN, 2024; UN-Water, 2023).</w:t>
      </w:r>
      <w:r w:rsidRPr="00C56372">
        <w:rPr>
          <w:rFonts w:ascii="Times New Roman" w:hAnsi="Times New Roman" w:cs="Times New Roman"/>
          <w:sz w:val="24"/>
          <w:szCs w:val="24"/>
        </w:rPr>
        <w:t> The Ramsar Convention on Wetlands promotes the conservation and wise use of wetlands, while the Paris Agreement addresses the impacts of climate change on aquatic systems (</w:t>
      </w:r>
      <w:r w:rsidR="003B22AE" w:rsidRPr="003B22AE">
        <w:rPr>
          <w:rFonts w:ascii="Times New Roman" w:hAnsi="Times New Roman" w:cs="Times New Roman"/>
          <w:color w:val="000000" w:themeColor="text1"/>
          <w:sz w:val="24"/>
          <w:szCs w:val="24"/>
        </w:rPr>
        <w:t>Ramsar Convention Secretariat, 2018</w:t>
      </w:r>
      <w:r w:rsidRPr="003B22AE">
        <w:rPr>
          <w:rFonts w:ascii="Times New Roman" w:hAnsi="Times New Roman" w:cs="Times New Roman"/>
          <w:color w:val="000000" w:themeColor="text1"/>
          <w:sz w:val="24"/>
          <w:szCs w:val="24"/>
        </w:rPr>
        <w:t>; UNFCCC, 2015).</w:t>
      </w:r>
    </w:p>
    <w:p w14:paraId="0A10AC7B" w14:textId="77777777" w:rsidR="001574EB" w:rsidRDefault="001574EB" w:rsidP="006513E0">
      <w:pPr>
        <w:spacing w:line="360" w:lineRule="auto"/>
        <w:jc w:val="both"/>
        <w:rPr>
          <w:rFonts w:ascii="Times New Roman" w:hAnsi="Times New Roman" w:cs="Times New Roman"/>
          <w:b/>
          <w:bCs/>
          <w:sz w:val="24"/>
          <w:szCs w:val="24"/>
        </w:rPr>
      </w:pPr>
    </w:p>
    <w:p w14:paraId="0209E5AC" w14:textId="2E40E151" w:rsidR="00944797" w:rsidRPr="00C56372" w:rsidRDefault="00944797" w:rsidP="006513E0">
      <w:pPr>
        <w:spacing w:line="360" w:lineRule="auto"/>
        <w:jc w:val="both"/>
        <w:rPr>
          <w:rFonts w:ascii="Times New Roman" w:hAnsi="Times New Roman" w:cs="Times New Roman"/>
          <w:b/>
          <w:bCs/>
          <w:sz w:val="24"/>
          <w:szCs w:val="24"/>
        </w:rPr>
      </w:pPr>
      <w:r w:rsidRPr="00C56372">
        <w:rPr>
          <w:rFonts w:ascii="Times New Roman" w:hAnsi="Times New Roman" w:cs="Times New Roman"/>
          <w:b/>
          <w:bCs/>
          <w:sz w:val="24"/>
          <w:szCs w:val="24"/>
        </w:rPr>
        <w:lastRenderedPageBreak/>
        <w:t>7.2 Policy Instruments</w:t>
      </w:r>
    </w:p>
    <w:p w14:paraId="50BCAB2F" w14:textId="223A95CF" w:rsidR="00944797" w:rsidRPr="00C56372"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A range of policy instruments is employed to promote sustainable aquatic ecosystem management. Market-based mechanisms-including fishing quotas, tradable permits, and Payment for Ecosystem Services (PES) schemes-offer financial incentives for sustainable resource use (Mitsch &amp; Gosselink, 2015). Regulatory approaches, such as the designation of Marine Protected Areas (MPAs) and the enforcement of stricter pollution controls, are critical for preserving aquatic health and biodiversity (Friess et al., 2016). These instruments are most effective when combined with monitoring, adaptive management, and stakeholder engagement.</w:t>
      </w:r>
    </w:p>
    <w:p w14:paraId="710010A7" w14:textId="77777777" w:rsidR="00944797" w:rsidRPr="00C56372" w:rsidRDefault="00944797" w:rsidP="006513E0">
      <w:pPr>
        <w:spacing w:line="360" w:lineRule="auto"/>
        <w:jc w:val="both"/>
        <w:rPr>
          <w:rFonts w:ascii="Times New Roman" w:hAnsi="Times New Roman" w:cs="Times New Roman"/>
          <w:b/>
          <w:bCs/>
          <w:sz w:val="24"/>
          <w:szCs w:val="24"/>
        </w:rPr>
      </w:pPr>
      <w:r w:rsidRPr="00C56372">
        <w:rPr>
          <w:rFonts w:ascii="Times New Roman" w:hAnsi="Times New Roman" w:cs="Times New Roman"/>
          <w:b/>
          <w:bCs/>
          <w:sz w:val="24"/>
          <w:szCs w:val="24"/>
        </w:rPr>
        <w:t>7.3 Community and Indigenous Approaches</w:t>
      </w:r>
    </w:p>
    <w:p w14:paraId="2A8BBAB3" w14:textId="3C91E6CA" w:rsidR="00944797" w:rsidRDefault="00944797" w:rsidP="006513E0">
      <w:pPr>
        <w:spacing w:line="360" w:lineRule="auto"/>
        <w:ind w:firstLine="720"/>
        <w:jc w:val="both"/>
        <w:rPr>
          <w:rFonts w:ascii="Times New Roman" w:hAnsi="Times New Roman" w:cs="Times New Roman"/>
          <w:sz w:val="24"/>
          <w:szCs w:val="24"/>
        </w:rPr>
      </w:pPr>
      <w:r w:rsidRPr="00C56372">
        <w:rPr>
          <w:rFonts w:ascii="Times New Roman" w:hAnsi="Times New Roman" w:cs="Times New Roman"/>
          <w:sz w:val="24"/>
          <w:szCs w:val="24"/>
        </w:rPr>
        <w:t>Local and Indigenous management practices have long contributed to the stewardship of aquatic environments. Case studies from the Pacific Islands show that Locally Managed Marine Areas (LMMAs) can enhance fish stocks and biodiversity through community-based rules and traditional ecological knowledge (Jupiter et al., 201</w:t>
      </w:r>
      <w:r w:rsidR="00C52D4D">
        <w:rPr>
          <w:rFonts w:ascii="Times New Roman" w:hAnsi="Times New Roman" w:cs="Times New Roman"/>
          <w:sz w:val="24"/>
          <w:szCs w:val="24"/>
        </w:rPr>
        <w:t>4</w:t>
      </w:r>
      <w:r w:rsidRPr="00C56372">
        <w:rPr>
          <w:rFonts w:ascii="Times New Roman" w:hAnsi="Times New Roman" w:cs="Times New Roman"/>
          <w:sz w:val="24"/>
          <w:szCs w:val="24"/>
        </w:rPr>
        <w:t>). In New Zealand, Māori river guardianship (</w:t>
      </w:r>
      <w:proofErr w:type="spellStart"/>
      <w:r w:rsidRPr="00C56372">
        <w:rPr>
          <w:rFonts w:ascii="Times New Roman" w:hAnsi="Times New Roman" w:cs="Times New Roman"/>
          <w:sz w:val="24"/>
          <w:szCs w:val="24"/>
        </w:rPr>
        <w:t>kaitiakitanga</w:t>
      </w:r>
      <w:proofErr w:type="spellEnd"/>
      <w:r w:rsidRPr="00C56372">
        <w:rPr>
          <w:rFonts w:ascii="Times New Roman" w:hAnsi="Times New Roman" w:cs="Times New Roman"/>
          <w:sz w:val="24"/>
          <w:szCs w:val="24"/>
        </w:rPr>
        <w:t>) integrates cultural values and scientific approaches for holistic river management (Berkes, </w:t>
      </w:r>
      <w:r w:rsidR="00C52D4D">
        <w:rPr>
          <w:rFonts w:ascii="Times New Roman" w:hAnsi="Times New Roman" w:cs="Times New Roman"/>
          <w:sz w:val="24"/>
          <w:szCs w:val="24"/>
        </w:rPr>
        <w:t>1999</w:t>
      </w:r>
      <w:r w:rsidRPr="00C56372">
        <w:rPr>
          <w:rFonts w:ascii="Times New Roman" w:hAnsi="Times New Roman" w:cs="Times New Roman"/>
          <w:sz w:val="24"/>
          <w:szCs w:val="24"/>
        </w:rPr>
        <w:t>). Recent research emphasizes the importance of co-producing knowledge and involving Indigenous and local communities in decision-making to ensure management strategies are contextually relevant, equitable, and sustainable (</w:t>
      </w:r>
      <w:r w:rsidR="00C52D4D" w:rsidRPr="00C52D4D">
        <w:rPr>
          <w:rFonts w:ascii="Times New Roman" w:hAnsi="Times New Roman" w:cs="Times New Roman"/>
          <w:sz w:val="24"/>
          <w:szCs w:val="24"/>
        </w:rPr>
        <w:t xml:space="preserve">Rivers </w:t>
      </w:r>
      <w:r w:rsidRPr="00C56372">
        <w:rPr>
          <w:rFonts w:ascii="Times New Roman" w:hAnsi="Times New Roman" w:cs="Times New Roman"/>
          <w:sz w:val="24"/>
          <w:szCs w:val="24"/>
        </w:rPr>
        <w:t>et al., 202</w:t>
      </w:r>
      <w:r w:rsidR="00C52D4D">
        <w:rPr>
          <w:rFonts w:ascii="Times New Roman" w:hAnsi="Times New Roman" w:cs="Times New Roman"/>
          <w:sz w:val="24"/>
          <w:szCs w:val="24"/>
        </w:rPr>
        <w:t>3</w:t>
      </w:r>
      <w:r w:rsidRPr="00C56372">
        <w:rPr>
          <w:rFonts w:ascii="Times New Roman" w:hAnsi="Times New Roman" w:cs="Times New Roman"/>
          <w:sz w:val="24"/>
          <w:szCs w:val="24"/>
        </w:rPr>
        <w:t>).</w:t>
      </w:r>
    </w:p>
    <w:p w14:paraId="00EBE113" w14:textId="16823137" w:rsidR="00944797" w:rsidRDefault="00944797" w:rsidP="006513E0">
      <w:pPr>
        <w:spacing w:line="360" w:lineRule="auto"/>
        <w:jc w:val="both"/>
        <w:rPr>
          <w:rFonts w:ascii="Times New Roman" w:hAnsi="Times New Roman" w:cs="Times New Roman"/>
          <w:b/>
          <w:bCs/>
          <w:sz w:val="24"/>
          <w:szCs w:val="24"/>
        </w:rPr>
      </w:pPr>
      <w:r w:rsidRPr="000465CD">
        <w:rPr>
          <w:rFonts w:ascii="Times New Roman" w:hAnsi="Times New Roman" w:cs="Times New Roman"/>
          <w:b/>
          <w:bCs/>
          <w:sz w:val="24"/>
          <w:szCs w:val="24"/>
        </w:rPr>
        <w:t xml:space="preserve">8. </w:t>
      </w:r>
      <w:r w:rsidR="00DD2F17">
        <w:rPr>
          <w:rFonts w:ascii="Times New Roman" w:hAnsi="Times New Roman" w:cs="Times New Roman"/>
          <w:b/>
          <w:bCs/>
          <w:sz w:val="24"/>
          <w:szCs w:val="24"/>
        </w:rPr>
        <w:t>Limitations</w:t>
      </w:r>
      <w:r w:rsidR="00172944">
        <w:rPr>
          <w:rFonts w:ascii="Times New Roman" w:hAnsi="Times New Roman" w:cs="Times New Roman"/>
          <w:b/>
          <w:bCs/>
          <w:sz w:val="24"/>
          <w:szCs w:val="24"/>
        </w:rPr>
        <w:t>, Challenges and Research Gaps</w:t>
      </w:r>
    </w:p>
    <w:p w14:paraId="6AE6A230" w14:textId="5223D38F" w:rsidR="00D11D6C" w:rsidRPr="00EA6AD6" w:rsidRDefault="00EA6AD6" w:rsidP="00E6591A">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F30C93" w:rsidRPr="00F30C93">
        <w:rPr>
          <w:rFonts w:ascii="Times New Roman" w:hAnsi="Times New Roman" w:cs="Times New Roman"/>
          <w:sz w:val="24"/>
          <w:szCs w:val="24"/>
        </w:rPr>
        <w:t>Even while our knowledge of aquatic ecosystem services has advanced significantly, there are still a number of problems and unanswered questions. Service benefits are frequently overestimated or underestimated due to methodological constraints, such as the complexity of ecosystem interactions and the challenge of identifying non-market values (Guerry et al., 2015). Data scarcity, uncertainty, and the difficulty of integrating ecological, social, and economic elements can all be limitations of valuation methodologies (</w:t>
      </w:r>
      <w:proofErr w:type="spellStart"/>
      <w:r w:rsidR="00F30C93" w:rsidRPr="00F30C93">
        <w:rPr>
          <w:rFonts w:ascii="Times New Roman" w:hAnsi="Times New Roman" w:cs="Times New Roman"/>
          <w:sz w:val="24"/>
          <w:szCs w:val="24"/>
        </w:rPr>
        <w:t>Liquete</w:t>
      </w:r>
      <w:proofErr w:type="spellEnd"/>
      <w:r w:rsidR="00F30C93" w:rsidRPr="00F30C93">
        <w:rPr>
          <w:rFonts w:ascii="Times New Roman" w:hAnsi="Times New Roman" w:cs="Times New Roman"/>
          <w:sz w:val="24"/>
          <w:szCs w:val="24"/>
        </w:rPr>
        <w:t xml:space="preserve"> et al., 2013). For aquatic ecosystems to be managed sustainably, these constraints must be addressed through interdisciplinary research, better valuation techniques, and more robust science-policy integration.</w:t>
      </w:r>
    </w:p>
    <w:p w14:paraId="209AE462" w14:textId="77777777" w:rsidR="001574EB" w:rsidRDefault="001574EB" w:rsidP="006513E0">
      <w:pPr>
        <w:spacing w:line="360" w:lineRule="auto"/>
        <w:jc w:val="both"/>
        <w:rPr>
          <w:rFonts w:ascii="Times New Roman" w:hAnsi="Times New Roman" w:cs="Times New Roman"/>
          <w:b/>
          <w:bCs/>
          <w:sz w:val="24"/>
          <w:szCs w:val="24"/>
        </w:rPr>
      </w:pPr>
    </w:p>
    <w:p w14:paraId="19D2F052" w14:textId="2A5AA126" w:rsidR="001574EB" w:rsidRDefault="009F173B" w:rsidP="006513E0">
      <w:pPr>
        <w:spacing w:line="360" w:lineRule="auto"/>
        <w:jc w:val="both"/>
        <w:rPr>
          <w:rFonts w:ascii="Times New Roman" w:hAnsi="Times New Roman" w:cs="Times New Roman"/>
          <w:b/>
          <w:bCs/>
          <w:sz w:val="24"/>
          <w:szCs w:val="24"/>
        </w:rPr>
      </w:pPr>
      <w:r w:rsidRPr="00913EB6">
        <w:rPr>
          <w:rFonts w:ascii="Times New Roman" w:hAnsi="Times New Roman" w:cs="Times New Roman"/>
          <w:noProof/>
          <w:sz w:val="24"/>
          <w:szCs w:val="24"/>
        </w:rPr>
        <w:lastRenderedPageBreak/>
        <w:drawing>
          <wp:inline distT="0" distB="0" distL="0" distR="0" wp14:anchorId="71E5081E" wp14:editId="7A755484">
            <wp:extent cx="4352880" cy="2360930"/>
            <wp:effectExtent l="0" t="0" r="0" b="1270"/>
            <wp:docPr id="8561706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3066" b="9484"/>
                    <a:stretch/>
                  </pic:blipFill>
                  <pic:spPr bwMode="auto">
                    <a:xfrm>
                      <a:off x="0" y="0"/>
                      <a:ext cx="4367139" cy="2368664"/>
                    </a:xfrm>
                    <a:prstGeom prst="rect">
                      <a:avLst/>
                    </a:prstGeom>
                    <a:noFill/>
                    <a:ln>
                      <a:noFill/>
                    </a:ln>
                    <a:extLst>
                      <a:ext uri="{53640926-AAD7-44D8-BBD7-CCE9431645EC}">
                        <a14:shadowObscured xmlns:a14="http://schemas.microsoft.com/office/drawing/2010/main"/>
                      </a:ext>
                    </a:extLst>
                  </pic:spPr>
                </pic:pic>
              </a:graphicData>
            </a:graphic>
          </wp:inline>
        </w:drawing>
      </w:r>
    </w:p>
    <w:p w14:paraId="3CAB1E83" w14:textId="61E67161" w:rsidR="009F173B" w:rsidRDefault="009F173B" w:rsidP="006513E0">
      <w:pPr>
        <w:spacing w:line="360" w:lineRule="auto"/>
        <w:jc w:val="both"/>
        <w:rPr>
          <w:rFonts w:ascii="Times New Roman" w:hAnsi="Times New Roman" w:cs="Times New Roman"/>
          <w:b/>
          <w:bCs/>
          <w:sz w:val="24"/>
          <w:szCs w:val="24"/>
        </w:rPr>
      </w:pPr>
      <w:r w:rsidRPr="009F173B">
        <w:rPr>
          <w:rFonts w:ascii="Times New Roman" w:hAnsi="Times New Roman" w:cs="Times New Roman"/>
          <w:b/>
          <w:bCs/>
          <w:sz w:val="24"/>
          <w:szCs w:val="24"/>
        </w:rPr>
        <w:t>Fig. 6 Vital roles of Aquatic Ecosystems</w:t>
      </w:r>
    </w:p>
    <w:p w14:paraId="4821479D" w14:textId="7138599E" w:rsidR="005B7172" w:rsidRPr="000465CD" w:rsidRDefault="00DD2F17" w:rsidP="006513E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9. Conclusion</w:t>
      </w:r>
    </w:p>
    <w:p w14:paraId="0F088E25" w14:textId="77777777" w:rsidR="009F173B" w:rsidRDefault="0002411F" w:rsidP="009F173B">
      <w:pPr>
        <w:spacing w:line="360" w:lineRule="auto"/>
        <w:ind w:firstLine="720"/>
        <w:jc w:val="both"/>
        <w:rPr>
          <w:rFonts w:ascii="Times New Roman" w:hAnsi="Times New Roman" w:cs="Times New Roman"/>
          <w:sz w:val="24"/>
          <w:szCs w:val="24"/>
        </w:rPr>
      </w:pPr>
      <w:r w:rsidRPr="0002411F">
        <w:rPr>
          <w:rFonts w:ascii="Times New Roman" w:hAnsi="Times New Roman" w:cs="Times New Roman"/>
          <w:sz w:val="24"/>
          <w:szCs w:val="24"/>
        </w:rPr>
        <w:t xml:space="preserve">Our </w:t>
      </w:r>
      <w:r>
        <w:rPr>
          <w:rFonts w:ascii="Times New Roman" w:hAnsi="Times New Roman" w:cs="Times New Roman"/>
          <w:sz w:val="24"/>
          <w:szCs w:val="24"/>
        </w:rPr>
        <w:t>planet</w:t>
      </w:r>
      <w:r w:rsidRPr="0002411F">
        <w:rPr>
          <w:rFonts w:ascii="Times New Roman" w:hAnsi="Times New Roman" w:cs="Times New Roman"/>
          <w:sz w:val="24"/>
          <w:szCs w:val="24"/>
        </w:rPr>
        <w:t xml:space="preserve"> depends on aquatic ecosystems because they provide necessary functions that keep human societies afloat.</w:t>
      </w:r>
      <w:r>
        <w:rPr>
          <w:rFonts w:ascii="Times New Roman" w:hAnsi="Times New Roman" w:cs="Times New Roman"/>
          <w:sz w:val="24"/>
          <w:szCs w:val="24"/>
        </w:rPr>
        <w:t xml:space="preserve"> </w:t>
      </w:r>
      <w:r w:rsidR="004D77BF" w:rsidRPr="004D77BF">
        <w:rPr>
          <w:rFonts w:ascii="Times New Roman" w:hAnsi="Times New Roman" w:cs="Times New Roman"/>
          <w:sz w:val="24"/>
          <w:szCs w:val="24"/>
        </w:rPr>
        <w:t>They support food security through fisheries and aquaculture, offer clean water for drinking and agriculture, and supply raw materials and genetic resources. These ecosystems regulate the climate by sequestering carbon, purify water, mitigate floods and erosion, and help control disease, all of which safeguard environmental and public health. They also contribute to recreation, tourism, cultural identity, and psychological well-being through the restorative power of blue spaces.</w:t>
      </w:r>
    </w:p>
    <w:p w14:paraId="7508D3F4" w14:textId="5809E7A5" w:rsidR="004D77BF" w:rsidRDefault="0002411F" w:rsidP="009F173B">
      <w:pPr>
        <w:spacing w:line="360" w:lineRule="auto"/>
        <w:ind w:firstLine="720"/>
        <w:jc w:val="both"/>
        <w:rPr>
          <w:rFonts w:ascii="Times New Roman" w:hAnsi="Times New Roman" w:cs="Times New Roman"/>
          <w:sz w:val="24"/>
          <w:szCs w:val="24"/>
        </w:rPr>
      </w:pPr>
      <w:r w:rsidRPr="0002411F">
        <w:rPr>
          <w:rFonts w:ascii="Times New Roman" w:hAnsi="Times New Roman" w:cs="Times New Roman"/>
          <w:sz w:val="24"/>
          <w:szCs w:val="24"/>
        </w:rPr>
        <w:t xml:space="preserve">Aquatic ecosystems are being threatened by overexploitation, pollution, habitat loss, and climate change, notwithstanding their significance. These difficulties jeopardize global economies and food security in addition to reducing their ability to deliver essential services. For well-informed policymaking, it is essential to quantify the economic value of these services. We can match financial incentives with conservation objectives by integrating these values into national accounting and policies such as ecological payments and blue carbon credits. </w:t>
      </w:r>
      <w:r w:rsidR="004D77BF" w:rsidRPr="004D77BF">
        <w:rPr>
          <w:rFonts w:ascii="Times New Roman" w:hAnsi="Times New Roman" w:cs="Times New Roman"/>
          <w:sz w:val="24"/>
          <w:szCs w:val="24"/>
        </w:rPr>
        <w:t>Sustainable management requires strong governance, market-based mechanisms, and the inclusion of local and Indigenous knowledge. Protecting and restoring aquatic habitats is essential to ensuring that these ecosystems continue to support human well-being and global resilience.</w:t>
      </w:r>
    </w:p>
    <w:p w14:paraId="2C3447F7" w14:textId="6CB98DF8" w:rsidR="00D02E01" w:rsidRDefault="00D02E01" w:rsidP="006513E0">
      <w:pPr>
        <w:spacing w:line="360" w:lineRule="auto"/>
        <w:ind w:firstLine="720"/>
        <w:jc w:val="both"/>
        <w:rPr>
          <w:rFonts w:ascii="Times New Roman" w:hAnsi="Times New Roman" w:cs="Times New Roman"/>
          <w:sz w:val="24"/>
          <w:szCs w:val="24"/>
        </w:rPr>
      </w:pPr>
    </w:p>
    <w:p w14:paraId="3D393C56" w14:textId="77777777" w:rsidR="001574EB" w:rsidRDefault="001574EB">
      <w:pPr>
        <w:rPr>
          <w:rFonts w:ascii="Calibri" w:eastAsia="Calibri" w:hAnsi="Calibri" w:cs="Times New Roman"/>
          <w:highlight w:val="yellow"/>
          <w:lang w:val="en-US"/>
        </w:rPr>
      </w:pPr>
      <w:r>
        <w:rPr>
          <w:rFonts w:ascii="Calibri" w:eastAsia="Calibri" w:hAnsi="Calibri" w:cs="Times New Roman"/>
          <w:highlight w:val="yellow"/>
          <w:lang w:val="en-US"/>
        </w:rPr>
        <w:br w:type="page"/>
      </w:r>
    </w:p>
    <w:p w14:paraId="712DB718" w14:textId="4C5A3F3F" w:rsidR="00D02E01" w:rsidRPr="00D02E01" w:rsidRDefault="00D02E01" w:rsidP="00D02E01">
      <w:pPr>
        <w:spacing w:after="200" w:line="276" w:lineRule="auto"/>
        <w:rPr>
          <w:rFonts w:ascii="Calibri" w:eastAsia="Calibri" w:hAnsi="Calibri" w:cs="Times New Roman"/>
          <w:highlight w:val="yellow"/>
          <w:lang w:val="en-US"/>
        </w:rPr>
      </w:pPr>
      <w:r w:rsidRPr="00D02E01">
        <w:rPr>
          <w:rFonts w:ascii="Calibri" w:eastAsia="Calibri" w:hAnsi="Calibri" w:cs="Times New Roman"/>
          <w:highlight w:val="yellow"/>
          <w:lang w:val="en-US"/>
        </w:rPr>
        <w:lastRenderedPageBreak/>
        <w:t>Disclaimer (Artificial intelligence)</w:t>
      </w:r>
    </w:p>
    <w:p w14:paraId="0D8D6D7C" w14:textId="77777777" w:rsidR="00D02E01" w:rsidRPr="00D02E01" w:rsidRDefault="00D02E01" w:rsidP="00D02E01">
      <w:pPr>
        <w:spacing w:after="200" w:line="276" w:lineRule="auto"/>
        <w:rPr>
          <w:rFonts w:ascii="Calibri" w:eastAsia="Calibri" w:hAnsi="Calibri" w:cs="Times New Roman"/>
          <w:highlight w:val="yellow"/>
          <w:lang w:val="en-US"/>
        </w:rPr>
      </w:pPr>
      <w:r w:rsidRPr="00D02E01">
        <w:rPr>
          <w:rFonts w:ascii="Calibri" w:eastAsia="Calibri" w:hAnsi="Calibri" w:cs="Times New Roman"/>
          <w:highlight w:val="yellow"/>
          <w:lang w:val="en-US"/>
        </w:rPr>
        <w:t xml:space="preserve">Author(s) hereby </w:t>
      </w:r>
      <w:proofErr w:type="gramStart"/>
      <w:r w:rsidRPr="00D02E01">
        <w:rPr>
          <w:rFonts w:ascii="Calibri" w:eastAsia="Calibri" w:hAnsi="Calibri" w:cs="Times New Roman"/>
          <w:highlight w:val="yellow"/>
          <w:lang w:val="en-US"/>
        </w:rPr>
        <w:t>declare</w:t>
      </w:r>
      <w:proofErr w:type="gramEnd"/>
      <w:r w:rsidRPr="00D02E01">
        <w:rPr>
          <w:rFonts w:ascii="Calibri" w:eastAsia="Calibri" w:hAnsi="Calibri" w:cs="Times New Roman"/>
          <w:highlight w:val="yellow"/>
          <w:lang w:val="en-US"/>
        </w:rPr>
        <w:t xml:space="preserve"> that NO generative AI technologies such as Large Language Models (ChatGPT, COPILOT, etc.) and text-to-image generators have been used during the writing or editing of this manuscript. </w:t>
      </w:r>
    </w:p>
    <w:p w14:paraId="258848A0" w14:textId="77777777" w:rsidR="00D02E01" w:rsidRPr="004D77BF" w:rsidRDefault="00D02E01" w:rsidP="00C90F94">
      <w:pPr>
        <w:spacing w:line="360" w:lineRule="auto"/>
        <w:jc w:val="both"/>
        <w:rPr>
          <w:rFonts w:ascii="Times New Roman" w:hAnsi="Times New Roman" w:cs="Times New Roman"/>
          <w:sz w:val="24"/>
          <w:szCs w:val="24"/>
        </w:rPr>
      </w:pPr>
    </w:p>
    <w:p w14:paraId="22BAFE84" w14:textId="7FCDA8C2" w:rsidR="00944797" w:rsidRPr="00C64433" w:rsidRDefault="00944797" w:rsidP="006513E0">
      <w:pPr>
        <w:spacing w:line="360" w:lineRule="auto"/>
        <w:jc w:val="both"/>
      </w:pPr>
      <w:r>
        <w:br w:type="page"/>
      </w:r>
      <w:r w:rsidRPr="00900BE3">
        <w:rPr>
          <w:rFonts w:ascii="Times New Roman" w:hAnsi="Times New Roman" w:cs="Times New Roman"/>
          <w:b/>
          <w:bCs/>
          <w:sz w:val="24"/>
          <w:szCs w:val="24"/>
        </w:rPr>
        <w:lastRenderedPageBreak/>
        <w:t>References</w:t>
      </w:r>
      <w:r>
        <w:rPr>
          <w:rFonts w:ascii="Times New Roman" w:hAnsi="Times New Roman" w:cs="Times New Roman"/>
          <w:b/>
          <w:bCs/>
          <w:sz w:val="24"/>
          <w:szCs w:val="24"/>
        </w:rPr>
        <w:t>:</w:t>
      </w:r>
    </w:p>
    <w:p w14:paraId="78B0A0AE"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Alley, K. D. (2002). </w:t>
      </w:r>
      <w:r w:rsidRPr="00116BAB">
        <w:rPr>
          <w:rFonts w:ascii="Times New Roman" w:hAnsi="Times New Roman" w:cs="Times New Roman"/>
          <w:i/>
          <w:iCs/>
          <w:sz w:val="24"/>
          <w:szCs w:val="24"/>
        </w:rPr>
        <w:t>On the banks of the Ganga: When wastewater meets a sacred river</w:t>
      </w:r>
      <w:r w:rsidRPr="00116BAB">
        <w:rPr>
          <w:rFonts w:ascii="Times New Roman" w:hAnsi="Times New Roman" w:cs="Times New Roman"/>
          <w:sz w:val="24"/>
          <w:szCs w:val="24"/>
        </w:rPr>
        <w:t xml:space="preserve">. University of Michigan Press. </w:t>
      </w:r>
      <w:r w:rsidRPr="00116BAB">
        <w:rPr>
          <w:rFonts w:ascii="Times New Roman" w:hAnsi="Times New Roman" w:cs="Times New Roman"/>
          <w:b/>
          <w:bCs/>
          <w:sz w:val="24"/>
          <w:szCs w:val="24"/>
          <w:shd w:val="clear" w:color="auto" w:fill="FFFFFF"/>
        </w:rPr>
        <w:t> </w:t>
      </w:r>
      <w:hyperlink r:id="rId13" w:history="1">
        <w:r w:rsidRPr="00116BAB">
          <w:rPr>
            <w:rFonts w:ascii="Times New Roman" w:hAnsi="Times New Roman" w:cs="Times New Roman"/>
            <w:sz w:val="24"/>
            <w:szCs w:val="24"/>
            <w:u w:val="single"/>
            <w:shd w:val="clear" w:color="auto" w:fill="FFFFFF"/>
          </w:rPr>
          <w:t>https://doi.org/10.3998/mpub.12072</w:t>
        </w:r>
      </w:hyperlink>
    </w:p>
    <w:p w14:paraId="2B1124BB"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Alongi, D. M. (2014). Carbon cycling and storage in mangrove forests. </w:t>
      </w:r>
      <w:r w:rsidRPr="00116BAB">
        <w:rPr>
          <w:rFonts w:ascii="Times New Roman" w:hAnsi="Times New Roman" w:cs="Times New Roman"/>
          <w:i/>
          <w:iCs/>
          <w:sz w:val="24"/>
          <w:szCs w:val="24"/>
        </w:rPr>
        <w:t>Annual Review of Marine Science, 6</w:t>
      </w:r>
      <w:r w:rsidRPr="00116BAB">
        <w:rPr>
          <w:rFonts w:ascii="Times New Roman" w:hAnsi="Times New Roman" w:cs="Times New Roman"/>
          <w:sz w:val="24"/>
          <w:szCs w:val="24"/>
        </w:rPr>
        <w:t xml:space="preserve">, 195–219. </w:t>
      </w:r>
      <w:hyperlink r:id="rId14" w:tgtFrame="_new" w:history="1">
        <w:r w:rsidRPr="00116BAB">
          <w:rPr>
            <w:rStyle w:val="Hyperlink"/>
            <w:rFonts w:ascii="Times New Roman" w:hAnsi="Times New Roman" w:cs="Times New Roman"/>
            <w:sz w:val="24"/>
            <w:szCs w:val="24"/>
          </w:rPr>
          <w:t>https://doi.org/10.1146/annurev-marine-010213-135020</w:t>
        </w:r>
      </w:hyperlink>
    </w:p>
    <w:p w14:paraId="4BBAD49A"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Barbier, E. B., Georgiou, I. Y., </w:t>
      </w:r>
      <w:proofErr w:type="spellStart"/>
      <w:r w:rsidRPr="00116BAB">
        <w:rPr>
          <w:rFonts w:ascii="Times New Roman" w:hAnsi="Times New Roman" w:cs="Times New Roman"/>
          <w:sz w:val="24"/>
          <w:szCs w:val="24"/>
        </w:rPr>
        <w:t>Enchelmeyer</w:t>
      </w:r>
      <w:proofErr w:type="spellEnd"/>
      <w:r w:rsidRPr="00116BAB">
        <w:rPr>
          <w:rFonts w:ascii="Times New Roman" w:hAnsi="Times New Roman" w:cs="Times New Roman"/>
          <w:sz w:val="24"/>
          <w:szCs w:val="24"/>
        </w:rPr>
        <w:t>, B., &amp; Reed, D. J. (2013). The value of wetlands in protecting southeast Louisiana from hurricane storm surges. </w:t>
      </w:r>
      <w:proofErr w:type="spellStart"/>
      <w:r w:rsidRPr="00116BAB">
        <w:rPr>
          <w:rFonts w:ascii="Times New Roman" w:hAnsi="Times New Roman" w:cs="Times New Roman"/>
          <w:i/>
          <w:iCs/>
          <w:sz w:val="24"/>
          <w:szCs w:val="24"/>
        </w:rPr>
        <w:t>PloS</w:t>
      </w:r>
      <w:proofErr w:type="spellEnd"/>
      <w:r w:rsidRPr="00116BAB">
        <w:rPr>
          <w:rFonts w:ascii="Times New Roman" w:hAnsi="Times New Roman" w:cs="Times New Roman"/>
          <w:i/>
          <w:iCs/>
          <w:sz w:val="24"/>
          <w:szCs w:val="24"/>
        </w:rPr>
        <w:t xml:space="preserve"> one</w:t>
      </w:r>
      <w:r w:rsidRPr="00116BAB">
        <w:rPr>
          <w:rFonts w:ascii="Times New Roman" w:hAnsi="Times New Roman" w:cs="Times New Roman"/>
          <w:sz w:val="24"/>
          <w:szCs w:val="24"/>
        </w:rPr>
        <w:t>, </w:t>
      </w:r>
      <w:r w:rsidRPr="00116BAB">
        <w:rPr>
          <w:rFonts w:ascii="Times New Roman" w:hAnsi="Times New Roman" w:cs="Times New Roman"/>
          <w:i/>
          <w:iCs/>
          <w:sz w:val="24"/>
          <w:szCs w:val="24"/>
        </w:rPr>
        <w:t>8</w:t>
      </w:r>
      <w:r w:rsidRPr="00116BAB">
        <w:rPr>
          <w:rFonts w:ascii="Times New Roman" w:hAnsi="Times New Roman" w:cs="Times New Roman"/>
          <w:sz w:val="24"/>
          <w:szCs w:val="24"/>
        </w:rPr>
        <w:t>(3), e58715.</w:t>
      </w:r>
    </w:p>
    <w:p w14:paraId="597AFA66"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Bartley, D. M., De Graaf, G. J., Valbo‐Jørgensen, J., &amp; </w:t>
      </w:r>
      <w:proofErr w:type="spellStart"/>
      <w:r w:rsidRPr="00116BAB">
        <w:rPr>
          <w:rFonts w:ascii="Times New Roman" w:hAnsi="Times New Roman" w:cs="Times New Roman"/>
          <w:sz w:val="24"/>
          <w:szCs w:val="24"/>
        </w:rPr>
        <w:t>Marmulla</w:t>
      </w:r>
      <w:proofErr w:type="spellEnd"/>
      <w:r w:rsidRPr="00116BAB">
        <w:rPr>
          <w:rFonts w:ascii="Times New Roman" w:hAnsi="Times New Roman" w:cs="Times New Roman"/>
          <w:sz w:val="24"/>
          <w:szCs w:val="24"/>
        </w:rPr>
        <w:t>, G. (2015). Inland capture fisheries: status and data issues. </w:t>
      </w:r>
      <w:r w:rsidRPr="00116BAB">
        <w:rPr>
          <w:rFonts w:ascii="Times New Roman" w:hAnsi="Times New Roman" w:cs="Times New Roman"/>
          <w:i/>
          <w:iCs/>
          <w:sz w:val="24"/>
          <w:szCs w:val="24"/>
        </w:rPr>
        <w:t>Fisheries Management and Ecology</w:t>
      </w:r>
      <w:r w:rsidRPr="00116BAB">
        <w:rPr>
          <w:rFonts w:ascii="Times New Roman" w:hAnsi="Times New Roman" w:cs="Times New Roman"/>
          <w:sz w:val="24"/>
          <w:szCs w:val="24"/>
        </w:rPr>
        <w:t>, </w:t>
      </w:r>
      <w:r w:rsidRPr="00116BAB">
        <w:rPr>
          <w:rFonts w:ascii="Times New Roman" w:hAnsi="Times New Roman" w:cs="Times New Roman"/>
          <w:i/>
          <w:iCs/>
          <w:sz w:val="24"/>
          <w:szCs w:val="24"/>
        </w:rPr>
        <w:t>22</w:t>
      </w:r>
      <w:r w:rsidRPr="00116BAB">
        <w:rPr>
          <w:rFonts w:ascii="Times New Roman" w:hAnsi="Times New Roman" w:cs="Times New Roman"/>
          <w:sz w:val="24"/>
          <w:szCs w:val="24"/>
        </w:rPr>
        <w:t>(1), 71-77.</w:t>
      </w:r>
    </w:p>
    <w:p w14:paraId="5DE50ED1"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Berkes, F., &amp; Ecology, S. (1999). Traditional ecological knowledge and resource management. </w:t>
      </w:r>
      <w:r w:rsidRPr="00116BAB">
        <w:rPr>
          <w:rFonts w:ascii="Times New Roman" w:hAnsi="Times New Roman" w:cs="Times New Roman"/>
          <w:i/>
          <w:iCs/>
          <w:sz w:val="24"/>
          <w:szCs w:val="24"/>
        </w:rPr>
        <w:t>Philadelphia and London: Taylor and Francis</w:t>
      </w:r>
      <w:r w:rsidRPr="00116BAB">
        <w:rPr>
          <w:rFonts w:ascii="Times New Roman" w:hAnsi="Times New Roman" w:cs="Times New Roman"/>
          <w:sz w:val="24"/>
          <w:szCs w:val="24"/>
        </w:rPr>
        <w:t>.</w:t>
      </w:r>
    </w:p>
    <w:p w14:paraId="37765A1E"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Brander, L. M., De Groot, R., </w:t>
      </w:r>
      <w:proofErr w:type="spellStart"/>
      <w:r w:rsidRPr="00116BAB">
        <w:rPr>
          <w:rFonts w:ascii="Times New Roman" w:hAnsi="Times New Roman" w:cs="Times New Roman"/>
          <w:sz w:val="24"/>
          <w:szCs w:val="24"/>
        </w:rPr>
        <w:t>Schägner</w:t>
      </w:r>
      <w:proofErr w:type="spellEnd"/>
      <w:r w:rsidRPr="00116BAB">
        <w:rPr>
          <w:rFonts w:ascii="Times New Roman" w:hAnsi="Times New Roman" w:cs="Times New Roman"/>
          <w:sz w:val="24"/>
          <w:szCs w:val="24"/>
        </w:rPr>
        <w:t xml:space="preserve">, J. P., Guisado-Goñi, V., Van't Hoff, V., </w:t>
      </w:r>
      <w:proofErr w:type="spellStart"/>
      <w:r w:rsidRPr="00116BAB">
        <w:rPr>
          <w:rFonts w:ascii="Times New Roman" w:hAnsi="Times New Roman" w:cs="Times New Roman"/>
          <w:sz w:val="24"/>
          <w:szCs w:val="24"/>
        </w:rPr>
        <w:t>Solomonides</w:t>
      </w:r>
      <w:proofErr w:type="spellEnd"/>
      <w:r w:rsidRPr="00116BAB">
        <w:rPr>
          <w:rFonts w:ascii="Times New Roman" w:hAnsi="Times New Roman" w:cs="Times New Roman"/>
          <w:sz w:val="24"/>
          <w:szCs w:val="24"/>
        </w:rPr>
        <w:t>, S., ... &amp; Thomas, R. (2024). Economic values for ecosystem services: A global synthesis and way forward. </w:t>
      </w:r>
      <w:r w:rsidRPr="00116BAB">
        <w:rPr>
          <w:rFonts w:ascii="Times New Roman" w:hAnsi="Times New Roman" w:cs="Times New Roman"/>
          <w:i/>
          <w:iCs/>
          <w:sz w:val="24"/>
          <w:szCs w:val="24"/>
        </w:rPr>
        <w:t>Ecosystem Services</w:t>
      </w:r>
      <w:r w:rsidRPr="00116BAB">
        <w:rPr>
          <w:rFonts w:ascii="Times New Roman" w:hAnsi="Times New Roman" w:cs="Times New Roman"/>
          <w:sz w:val="24"/>
          <w:szCs w:val="24"/>
        </w:rPr>
        <w:t>, </w:t>
      </w:r>
      <w:r w:rsidRPr="00116BAB">
        <w:rPr>
          <w:rFonts w:ascii="Times New Roman" w:hAnsi="Times New Roman" w:cs="Times New Roman"/>
          <w:i/>
          <w:iCs/>
          <w:sz w:val="24"/>
          <w:szCs w:val="24"/>
        </w:rPr>
        <w:t>66</w:t>
      </w:r>
      <w:r w:rsidRPr="00116BAB">
        <w:rPr>
          <w:rFonts w:ascii="Times New Roman" w:hAnsi="Times New Roman" w:cs="Times New Roman"/>
          <w:sz w:val="24"/>
          <w:szCs w:val="24"/>
        </w:rPr>
        <w:t>, 101606.</w:t>
      </w:r>
    </w:p>
    <w:p w14:paraId="526C03D8"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Bridgham, S. D., </w:t>
      </w:r>
      <w:proofErr w:type="spellStart"/>
      <w:r w:rsidRPr="00116BAB">
        <w:rPr>
          <w:rFonts w:ascii="Times New Roman" w:hAnsi="Times New Roman" w:cs="Times New Roman"/>
          <w:sz w:val="24"/>
          <w:szCs w:val="24"/>
        </w:rPr>
        <w:t>Megonigal</w:t>
      </w:r>
      <w:proofErr w:type="spellEnd"/>
      <w:r w:rsidRPr="00116BAB">
        <w:rPr>
          <w:rFonts w:ascii="Times New Roman" w:hAnsi="Times New Roman" w:cs="Times New Roman"/>
          <w:sz w:val="24"/>
          <w:szCs w:val="24"/>
        </w:rPr>
        <w:t>, J. P., Keller, J. K., Bliss, N. B., &amp; Trettin, C. (2006). The carbon balance of North American wetlands. </w:t>
      </w:r>
      <w:r w:rsidRPr="00116BAB">
        <w:rPr>
          <w:rFonts w:ascii="Times New Roman" w:hAnsi="Times New Roman" w:cs="Times New Roman"/>
          <w:i/>
          <w:iCs/>
          <w:sz w:val="24"/>
          <w:szCs w:val="24"/>
        </w:rPr>
        <w:t>Wetlands</w:t>
      </w:r>
      <w:r w:rsidRPr="00116BAB">
        <w:rPr>
          <w:rFonts w:ascii="Times New Roman" w:hAnsi="Times New Roman" w:cs="Times New Roman"/>
          <w:sz w:val="24"/>
          <w:szCs w:val="24"/>
        </w:rPr>
        <w:t>, </w:t>
      </w:r>
      <w:r w:rsidRPr="00116BAB">
        <w:rPr>
          <w:rFonts w:ascii="Times New Roman" w:hAnsi="Times New Roman" w:cs="Times New Roman"/>
          <w:i/>
          <w:iCs/>
          <w:sz w:val="24"/>
          <w:szCs w:val="24"/>
        </w:rPr>
        <w:t>26</w:t>
      </w:r>
      <w:r w:rsidRPr="00116BAB">
        <w:rPr>
          <w:rFonts w:ascii="Times New Roman" w:hAnsi="Times New Roman" w:cs="Times New Roman"/>
          <w:sz w:val="24"/>
          <w:szCs w:val="24"/>
        </w:rPr>
        <w:t>(4), 889-916.</w:t>
      </w:r>
    </w:p>
    <w:p w14:paraId="14DC523C"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Chan, K. M., Satterfield, T., &amp; Goldstein, J. (2012). Rethinking ecosystem services to better address and navigate cultural values. </w:t>
      </w:r>
      <w:r w:rsidRPr="00116BAB">
        <w:rPr>
          <w:rFonts w:ascii="Times New Roman" w:hAnsi="Times New Roman" w:cs="Times New Roman"/>
          <w:i/>
          <w:iCs/>
          <w:sz w:val="24"/>
          <w:szCs w:val="24"/>
        </w:rPr>
        <w:t>Ecological economics</w:t>
      </w:r>
      <w:r w:rsidRPr="00116BAB">
        <w:rPr>
          <w:rFonts w:ascii="Times New Roman" w:hAnsi="Times New Roman" w:cs="Times New Roman"/>
          <w:sz w:val="24"/>
          <w:szCs w:val="24"/>
        </w:rPr>
        <w:t>, </w:t>
      </w:r>
      <w:r w:rsidRPr="00116BAB">
        <w:rPr>
          <w:rFonts w:ascii="Times New Roman" w:hAnsi="Times New Roman" w:cs="Times New Roman"/>
          <w:i/>
          <w:iCs/>
          <w:sz w:val="24"/>
          <w:szCs w:val="24"/>
        </w:rPr>
        <w:t>74</w:t>
      </w:r>
      <w:r w:rsidRPr="00116BAB">
        <w:rPr>
          <w:rFonts w:ascii="Times New Roman" w:hAnsi="Times New Roman" w:cs="Times New Roman"/>
          <w:sz w:val="24"/>
          <w:szCs w:val="24"/>
        </w:rPr>
        <w:t>, 8-18.</w:t>
      </w:r>
    </w:p>
    <w:p w14:paraId="634B7653"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Costanza, R., De Groot, R., Sutton, P., Van der Ploeg, S., Anderson, S. J., Kubiszewski, I., ... &amp; Turner, R. K. (2014). Changes in the global value of ecosystem services. </w:t>
      </w:r>
      <w:r w:rsidRPr="00116BAB">
        <w:rPr>
          <w:rFonts w:ascii="Times New Roman" w:hAnsi="Times New Roman" w:cs="Times New Roman"/>
          <w:i/>
          <w:iCs/>
          <w:sz w:val="24"/>
          <w:szCs w:val="24"/>
        </w:rPr>
        <w:t>Global environmental change</w:t>
      </w:r>
      <w:r w:rsidRPr="00116BAB">
        <w:rPr>
          <w:rFonts w:ascii="Times New Roman" w:hAnsi="Times New Roman" w:cs="Times New Roman"/>
          <w:sz w:val="24"/>
          <w:szCs w:val="24"/>
        </w:rPr>
        <w:t>, </w:t>
      </w:r>
      <w:r w:rsidRPr="00116BAB">
        <w:rPr>
          <w:rFonts w:ascii="Times New Roman" w:hAnsi="Times New Roman" w:cs="Times New Roman"/>
          <w:i/>
          <w:iCs/>
          <w:sz w:val="24"/>
          <w:szCs w:val="24"/>
        </w:rPr>
        <w:t>26</w:t>
      </w:r>
      <w:r w:rsidRPr="00116BAB">
        <w:rPr>
          <w:rFonts w:ascii="Times New Roman" w:hAnsi="Times New Roman" w:cs="Times New Roman"/>
          <w:sz w:val="24"/>
          <w:szCs w:val="24"/>
        </w:rPr>
        <w:t>, 152-158.</w:t>
      </w:r>
    </w:p>
    <w:p w14:paraId="610746A3"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Davidson, N. C. (2014). How much wetland has the world lost? Long-term and recent trends in global wetland area. </w:t>
      </w:r>
      <w:r w:rsidRPr="00116BAB">
        <w:rPr>
          <w:rFonts w:ascii="Times New Roman" w:hAnsi="Times New Roman" w:cs="Times New Roman"/>
          <w:i/>
          <w:iCs/>
          <w:sz w:val="24"/>
          <w:szCs w:val="24"/>
        </w:rPr>
        <w:t>Marine and Freshwater Research</w:t>
      </w:r>
      <w:r w:rsidRPr="00116BAB">
        <w:rPr>
          <w:rFonts w:ascii="Times New Roman" w:hAnsi="Times New Roman" w:cs="Times New Roman"/>
          <w:sz w:val="24"/>
          <w:szCs w:val="24"/>
        </w:rPr>
        <w:t>, </w:t>
      </w:r>
      <w:r w:rsidRPr="00116BAB">
        <w:rPr>
          <w:rFonts w:ascii="Times New Roman" w:hAnsi="Times New Roman" w:cs="Times New Roman"/>
          <w:i/>
          <w:iCs/>
          <w:sz w:val="24"/>
          <w:szCs w:val="24"/>
        </w:rPr>
        <w:t>65</w:t>
      </w:r>
      <w:r w:rsidRPr="00116BAB">
        <w:rPr>
          <w:rFonts w:ascii="Times New Roman" w:hAnsi="Times New Roman" w:cs="Times New Roman"/>
          <w:sz w:val="24"/>
          <w:szCs w:val="24"/>
        </w:rPr>
        <w:t>(10), 934-941.</w:t>
      </w:r>
    </w:p>
    <w:p w14:paraId="6F2DB80C"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Diaz, R. J., &amp; Rosenberg, R. (2008). Spreading dead zones and consequences for marine ecosystems. </w:t>
      </w:r>
      <w:r w:rsidRPr="00116BAB">
        <w:rPr>
          <w:rFonts w:ascii="Times New Roman" w:hAnsi="Times New Roman" w:cs="Times New Roman"/>
          <w:i/>
          <w:iCs/>
          <w:sz w:val="24"/>
          <w:szCs w:val="24"/>
        </w:rPr>
        <w:t>science</w:t>
      </w:r>
      <w:r w:rsidRPr="00116BAB">
        <w:rPr>
          <w:rFonts w:ascii="Times New Roman" w:hAnsi="Times New Roman" w:cs="Times New Roman"/>
          <w:sz w:val="24"/>
          <w:szCs w:val="24"/>
        </w:rPr>
        <w:t>, </w:t>
      </w:r>
      <w:r w:rsidRPr="00116BAB">
        <w:rPr>
          <w:rFonts w:ascii="Times New Roman" w:hAnsi="Times New Roman" w:cs="Times New Roman"/>
          <w:i/>
          <w:iCs/>
          <w:sz w:val="24"/>
          <w:szCs w:val="24"/>
        </w:rPr>
        <w:t>321</w:t>
      </w:r>
      <w:r w:rsidRPr="00116BAB">
        <w:rPr>
          <w:rFonts w:ascii="Times New Roman" w:hAnsi="Times New Roman" w:cs="Times New Roman"/>
          <w:sz w:val="24"/>
          <w:szCs w:val="24"/>
        </w:rPr>
        <w:t>(5891), 926-929.</w:t>
      </w:r>
    </w:p>
    <w:p w14:paraId="47FAA696"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Doney, S. C., Fabry, V. J., Feely, R. A., &amp; Kleypas, J. A. (2009). Ocean acidification: the other CO2 problem. </w:t>
      </w:r>
      <w:r w:rsidRPr="00116BAB">
        <w:rPr>
          <w:rFonts w:ascii="Times New Roman" w:hAnsi="Times New Roman" w:cs="Times New Roman"/>
          <w:i/>
          <w:iCs/>
          <w:sz w:val="24"/>
          <w:szCs w:val="24"/>
        </w:rPr>
        <w:t>Annual review of marine science</w:t>
      </w:r>
      <w:r w:rsidRPr="00116BAB">
        <w:rPr>
          <w:rFonts w:ascii="Times New Roman" w:hAnsi="Times New Roman" w:cs="Times New Roman"/>
          <w:sz w:val="24"/>
          <w:szCs w:val="24"/>
        </w:rPr>
        <w:t>, </w:t>
      </w:r>
      <w:r w:rsidRPr="00116BAB">
        <w:rPr>
          <w:rFonts w:ascii="Times New Roman" w:hAnsi="Times New Roman" w:cs="Times New Roman"/>
          <w:i/>
          <w:iCs/>
          <w:sz w:val="24"/>
          <w:szCs w:val="24"/>
        </w:rPr>
        <w:t>1</w:t>
      </w:r>
      <w:r w:rsidRPr="00116BAB">
        <w:rPr>
          <w:rFonts w:ascii="Times New Roman" w:hAnsi="Times New Roman" w:cs="Times New Roman"/>
          <w:sz w:val="24"/>
          <w:szCs w:val="24"/>
        </w:rPr>
        <w:t>(1), 169-192.</w:t>
      </w:r>
    </w:p>
    <w:p w14:paraId="75D596A4"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lastRenderedPageBreak/>
        <w:t xml:space="preserve">Duarte, C. M., Losada, I. J., Hendriks, I. E., </w:t>
      </w:r>
      <w:proofErr w:type="spellStart"/>
      <w:r w:rsidRPr="00116BAB">
        <w:rPr>
          <w:rFonts w:ascii="Times New Roman" w:hAnsi="Times New Roman" w:cs="Times New Roman"/>
          <w:sz w:val="24"/>
          <w:szCs w:val="24"/>
        </w:rPr>
        <w:t>Mazarrasa</w:t>
      </w:r>
      <w:proofErr w:type="spellEnd"/>
      <w:r w:rsidRPr="00116BAB">
        <w:rPr>
          <w:rFonts w:ascii="Times New Roman" w:hAnsi="Times New Roman" w:cs="Times New Roman"/>
          <w:sz w:val="24"/>
          <w:szCs w:val="24"/>
        </w:rPr>
        <w:t xml:space="preserve">, I., &amp; </w:t>
      </w:r>
      <w:proofErr w:type="spellStart"/>
      <w:r w:rsidRPr="00116BAB">
        <w:rPr>
          <w:rFonts w:ascii="Times New Roman" w:hAnsi="Times New Roman" w:cs="Times New Roman"/>
          <w:sz w:val="24"/>
          <w:szCs w:val="24"/>
        </w:rPr>
        <w:t>Marbà</w:t>
      </w:r>
      <w:proofErr w:type="spellEnd"/>
      <w:r w:rsidRPr="00116BAB">
        <w:rPr>
          <w:rFonts w:ascii="Times New Roman" w:hAnsi="Times New Roman" w:cs="Times New Roman"/>
          <w:sz w:val="24"/>
          <w:szCs w:val="24"/>
        </w:rPr>
        <w:t>, N. (2013). The role of coastal plant communities for climate change mitigation and adaptation. </w:t>
      </w:r>
      <w:r w:rsidRPr="00116BAB">
        <w:rPr>
          <w:rFonts w:ascii="Times New Roman" w:hAnsi="Times New Roman" w:cs="Times New Roman"/>
          <w:i/>
          <w:iCs/>
          <w:sz w:val="24"/>
          <w:szCs w:val="24"/>
        </w:rPr>
        <w:t>Nature climate change</w:t>
      </w:r>
      <w:r w:rsidRPr="00116BAB">
        <w:rPr>
          <w:rFonts w:ascii="Times New Roman" w:hAnsi="Times New Roman" w:cs="Times New Roman"/>
          <w:sz w:val="24"/>
          <w:szCs w:val="24"/>
        </w:rPr>
        <w:t>, </w:t>
      </w:r>
      <w:r w:rsidRPr="00116BAB">
        <w:rPr>
          <w:rFonts w:ascii="Times New Roman" w:hAnsi="Times New Roman" w:cs="Times New Roman"/>
          <w:i/>
          <w:iCs/>
          <w:sz w:val="24"/>
          <w:szCs w:val="24"/>
        </w:rPr>
        <w:t>3</w:t>
      </w:r>
      <w:r w:rsidRPr="00116BAB">
        <w:rPr>
          <w:rFonts w:ascii="Times New Roman" w:hAnsi="Times New Roman" w:cs="Times New Roman"/>
          <w:sz w:val="24"/>
          <w:szCs w:val="24"/>
        </w:rPr>
        <w:t>(11), 961-968.</w:t>
      </w:r>
    </w:p>
    <w:p w14:paraId="1E00FCBA"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Dudgeon, D., Arthington, A. H., Gessner, M. O., Kawabata, Z. I., Knowler, D. J., Lévêque, C., ... &amp; Sullivan, C. A. (2006). Freshwater biodiversity: importance, threats, status and conservation challenges. </w:t>
      </w:r>
      <w:r w:rsidRPr="00116BAB">
        <w:rPr>
          <w:rFonts w:ascii="Times New Roman" w:hAnsi="Times New Roman" w:cs="Times New Roman"/>
          <w:i/>
          <w:iCs/>
          <w:sz w:val="24"/>
          <w:szCs w:val="24"/>
        </w:rPr>
        <w:t>Biological reviews</w:t>
      </w:r>
      <w:r w:rsidRPr="00116BAB">
        <w:rPr>
          <w:rFonts w:ascii="Times New Roman" w:hAnsi="Times New Roman" w:cs="Times New Roman"/>
          <w:sz w:val="24"/>
          <w:szCs w:val="24"/>
        </w:rPr>
        <w:t>, </w:t>
      </w:r>
      <w:r w:rsidRPr="00116BAB">
        <w:rPr>
          <w:rFonts w:ascii="Times New Roman" w:hAnsi="Times New Roman" w:cs="Times New Roman"/>
          <w:i/>
          <w:iCs/>
          <w:sz w:val="24"/>
          <w:szCs w:val="24"/>
        </w:rPr>
        <w:t>81</w:t>
      </w:r>
      <w:r w:rsidRPr="00116BAB">
        <w:rPr>
          <w:rFonts w:ascii="Times New Roman" w:hAnsi="Times New Roman" w:cs="Times New Roman"/>
          <w:sz w:val="24"/>
          <w:szCs w:val="24"/>
        </w:rPr>
        <w:t>(2), 163-182.</w:t>
      </w:r>
    </w:p>
    <w:p w14:paraId="26EC3BD2"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Elser, J., &amp; Bennett, E. (2011). A broken biogeochemical cycle. </w:t>
      </w:r>
      <w:r w:rsidRPr="00116BAB">
        <w:rPr>
          <w:rFonts w:ascii="Times New Roman" w:hAnsi="Times New Roman" w:cs="Times New Roman"/>
          <w:i/>
          <w:iCs/>
          <w:sz w:val="24"/>
          <w:szCs w:val="24"/>
        </w:rPr>
        <w:t>Nature</w:t>
      </w:r>
      <w:r w:rsidRPr="00116BAB">
        <w:rPr>
          <w:rFonts w:ascii="Times New Roman" w:hAnsi="Times New Roman" w:cs="Times New Roman"/>
          <w:sz w:val="24"/>
          <w:szCs w:val="24"/>
        </w:rPr>
        <w:t>, </w:t>
      </w:r>
      <w:r w:rsidRPr="00116BAB">
        <w:rPr>
          <w:rFonts w:ascii="Times New Roman" w:hAnsi="Times New Roman" w:cs="Times New Roman"/>
          <w:i/>
          <w:iCs/>
          <w:sz w:val="24"/>
          <w:szCs w:val="24"/>
        </w:rPr>
        <w:t>478</w:t>
      </w:r>
      <w:r w:rsidRPr="00116BAB">
        <w:rPr>
          <w:rFonts w:ascii="Times New Roman" w:hAnsi="Times New Roman" w:cs="Times New Roman"/>
          <w:sz w:val="24"/>
          <w:szCs w:val="24"/>
        </w:rPr>
        <w:t>(7367), 29-31.</w:t>
      </w:r>
    </w:p>
    <w:p w14:paraId="4FBFAF5F"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Field, C. B., </w:t>
      </w:r>
      <w:proofErr w:type="spellStart"/>
      <w:r w:rsidRPr="00116BAB">
        <w:rPr>
          <w:rFonts w:ascii="Times New Roman" w:hAnsi="Times New Roman" w:cs="Times New Roman"/>
          <w:sz w:val="24"/>
          <w:szCs w:val="24"/>
        </w:rPr>
        <w:t>Behrenfeld</w:t>
      </w:r>
      <w:proofErr w:type="spellEnd"/>
      <w:r w:rsidRPr="00116BAB">
        <w:rPr>
          <w:rFonts w:ascii="Times New Roman" w:hAnsi="Times New Roman" w:cs="Times New Roman"/>
          <w:sz w:val="24"/>
          <w:szCs w:val="24"/>
        </w:rPr>
        <w:t>, M. J., Randerson, J. T., &amp; Falkowski, P. (1998). Primary production of the biosphere: integrating terrestrial and oceanic components. </w:t>
      </w:r>
      <w:r w:rsidRPr="00116BAB">
        <w:rPr>
          <w:rFonts w:ascii="Times New Roman" w:hAnsi="Times New Roman" w:cs="Times New Roman"/>
          <w:i/>
          <w:iCs/>
          <w:sz w:val="24"/>
          <w:szCs w:val="24"/>
        </w:rPr>
        <w:t>science</w:t>
      </w:r>
      <w:r w:rsidRPr="00116BAB">
        <w:rPr>
          <w:rFonts w:ascii="Times New Roman" w:hAnsi="Times New Roman" w:cs="Times New Roman"/>
          <w:sz w:val="24"/>
          <w:szCs w:val="24"/>
        </w:rPr>
        <w:t>, </w:t>
      </w:r>
      <w:r w:rsidRPr="00116BAB">
        <w:rPr>
          <w:rFonts w:ascii="Times New Roman" w:hAnsi="Times New Roman" w:cs="Times New Roman"/>
          <w:i/>
          <w:iCs/>
          <w:sz w:val="24"/>
          <w:szCs w:val="24"/>
        </w:rPr>
        <w:t>281</w:t>
      </w:r>
      <w:r w:rsidRPr="00116BAB">
        <w:rPr>
          <w:rFonts w:ascii="Times New Roman" w:hAnsi="Times New Roman" w:cs="Times New Roman"/>
          <w:sz w:val="24"/>
          <w:szCs w:val="24"/>
        </w:rPr>
        <w:t>(5374), 237-240.</w:t>
      </w:r>
    </w:p>
    <w:p w14:paraId="07B79F50"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Food and Agriculture Organization of the United Nations. (2022). The state of world fisheries and aquaculture 2022: Towards blue transformation. FAO. </w:t>
      </w:r>
      <w:hyperlink r:id="rId15" w:history="1">
        <w:r w:rsidRPr="004B759D">
          <w:rPr>
            <w:rStyle w:val="Hyperlink"/>
            <w:rFonts w:ascii="Times New Roman" w:eastAsia="Times New Roman" w:hAnsi="Times New Roman" w:cs="Times New Roman"/>
            <w:kern w:val="0"/>
            <w:sz w:val="24"/>
            <w:szCs w:val="24"/>
            <w:lang w:eastAsia="en-IN"/>
            <w14:ligatures w14:val="none"/>
          </w:rPr>
          <w:t>https://doi.org/10.4060/cc0461en</w:t>
        </w:r>
      </w:hyperlink>
    </w:p>
    <w:p w14:paraId="2A6784B3"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Food and Agriculture Organization of the United Nations. (2023). </w:t>
      </w:r>
      <w:r w:rsidRPr="004B759D">
        <w:rPr>
          <w:rFonts w:ascii="Times New Roman" w:eastAsia="Times New Roman" w:hAnsi="Times New Roman" w:cs="Times New Roman"/>
          <w:i/>
          <w:iCs/>
          <w:kern w:val="0"/>
          <w:sz w:val="24"/>
          <w:szCs w:val="24"/>
          <w:lang w:eastAsia="en-IN"/>
          <w14:ligatures w14:val="none"/>
        </w:rPr>
        <w:t>The state of world fisheries and aquaculture 2023: Sustainability in action</w:t>
      </w:r>
      <w:r w:rsidRPr="004B759D">
        <w:rPr>
          <w:rFonts w:ascii="Times New Roman" w:eastAsia="Times New Roman" w:hAnsi="Times New Roman" w:cs="Times New Roman"/>
          <w:kern w:val="0"/>
          <w:sz w:val="24"/>
          <w:szCs w:val="24"/>
          <w:lang w:eastAsia="en-IN"/>
          <w14:ligatures w14:val="none"/>
        </w:rPr>
        <w:t xml:space="preserve">. FAO. </w:t>
      </w:r>
      <w:hyperlink r:id="rId16" w:tgtFrame="_new" w:history="1">
        <w:r w:rsidRPr="004B759D">
          <w:rPr>
            <w:rStyle w:val="Hyperlink"/>
            <w:rFonts w:ascii="Times New Roman" w:eastAsia="Times New Roman" w:hAnsi="Times New Roman" w:cs="Times New Roman"/>
            <w:kern w:val="0"/>
            <w:sz w:val="24"/>
            <w:szCs w:val="24"/>
            <w:lang w:eastAsia="en-IN"/>
            <w14:ligatures w14:val="none"/>
          </w:rPr>
          <w:t>https://www.fao.org/publications</w:t>
        </w:r>
      </w:hyperlink>
    </w:p>
    <w:p w14:paraId="605A8930"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 xml:space="preserve">Friess, D. A., Thompson, B. S., Brown, B., Amir, A. A., Cameron, C., Koldewey, H. J., ... &amp; </w:t>
      </w:r>
      <w:proofErr w:type="spellStart"/>
      <w:r w:rsidRPr="00116BAB">
        <w:rPr>
          <w:rFonts w:ascii="Times New Roman" w:hAnsi="Times New Roman" w:cs="Times New Roman"/>
          <w:sz w:val="24"/>
          <w:szCs w:val="24"/>
        </w:rPr>
        <w:t>Sidik</w:t>
      </w:r>
      <w:proofErr w:type="spellEnd"/>
      <w:r w:rsidRPr="00116BAB">
        <w:rPr>
          <w:rFonts w:ascii="Times New Roman" w:hAnsi="Times New Roman" w:cs="Times New Roman"/>
          <w:sz w:val="24"/>
          <w:szCs w:val="24"/>
        </w:rPr>
        <w:t>, F. (2016). Policy challenges and approaches for the conservation of mangrove forests in Southeast Asia. </w:t>
      </w:r>
      <w:r w:rsidRPr="00116BAB">
        <w:rPr>
          <w:rFonts w:ascii="Times New Roman" w:hAnsi="Times New Roman" w:cs="Times New Roman"/>
          <w:i/>
          <w:iCs/>
          <w:sz w:val="24"/>
          <w:szCs w:val="24"/>
        </w:rPr>
        <w:t>Conservation Biology</w:t>
      </w:r>
      <w:r w:rsidRPr="00116BAB">
        <w:rPr>
          <w:rFonts w:ascii="Times New Roman" w:hAnsi="Times New Roman" w:cs="Times New Roman"/>
          <w:sz w:val="24"/>
          <w:szCs w:val="24"/>
        </w:rPr>
        <w:t>, </w:t>
      </w:r>
      <w:r w:rsidRPr="00116BAB">
        <w:rPr>
          <w:rFonts w:ascii="Times New Roman" w:hAnsi="Times New Roman" w:cs="Times New Roman"/>
          <w:i/>
          <w:iCs/>
          <w:sz w:val="24"/>
          <w:szCs w:val="24"/>
        </w:rPr>
        <w:t>30</w:t>
      </w:r>
      <w:r w:rsidRPr="00116BAB">
        <w:rPr>
          <w:rFonts w:ascii="Times New Roman" w:hAnsi="Times New Roman" w:cs="Times New Roman"/>
          <w:sz w:val="24"/>
          <w:szCs w:val="24"/>
        </w:rPr>
        <w:t>(5), 933-949.</w:t>
      </w:r>
    </w:p>
    <w:p w14:paraId="0C4DDF31"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Frontiers in Ecology and Evolution. (2021). </w:t>
      </w:r>
      <w:r w:rsidRPr="004B759D">
        <w:rPr>
          <w:rFonts w:ascii="Times New Roman" w:eastAsia="Times New Roman" w:hAnsi="Times New Roman" w:cs="Times New Roman"/>
          <w:i/>
          <w:iCs/>
          <w:kern w:val="0"/>
          <w:sz w:val="24"/>
          <w:szCs w:val="24"/>
          <w:lang w:eastAsia="en-IN"/>
          <w14:ligatures w14:val="none"/>
        </w:rPr>
        <w:t>Intersecting ecosystem services across the aquatic continuum</w:t>
      </w:r>
      <w:r w:rsidRPr="004B759D">
        <w:rPr>
          <w:rFonts w:ascii="Times New Roman" w:eastAsia="Times New Roman" w:hAnsi="Times New Roman" w:cs="Times New Roman"/>
          <w:kern w:val="0"/>
          <w:sz w:val="24"/>
          <w:szCs w:val="24"/>
          <w:lang w:eastAsia="en-IN"/>
          <w14:ligatures w14:val="none"/>
        </w:rPr>
        <w:t xml:space="preserve">. </w:t>
      </w:r>
      <w:r w:rsidRPr="004B759D">
        <w:rPr>
          <w:rFonts w:ascii="Times New Roman" w:eastAsia="Times New Roman" w:hAnsi="Times New Roman" w:cs="Times New Roman"/>
          <w:i/>
          <w:iCs/>
          <w:kern w:val="0"/>
          <w:sz w:val="24"/>
          <w:szCs w:val="24"/>
          <w:lang w:eastAsia="en-IN"/>
          <w14:ligatures w14:val="none"/>
        </w:rPr>
        <w:t>Frontiers in Ecology and Evolution, 9</w:t>
      </w:r>
      <w:r w:rsidRPr="004B759D">
        <w:rPr>
          <w:rFonts w:ascii="Times New Roman" w:eastAsia="Times New Roman" w:hAnsi="Times New Roman" w:cs="Times New Roman"/>
          <w:kern w:val="0"/>
          <w:sz w:val="24"/>
          <w:szCs w:val="24"/>
          <w:lang w:eastAsia="en-IN"/>
          <w14:ligatures w14:val="none"/>
        </w:rPr>
        <w:t xml:space="preserve">, 628658. </w:t>
      </w:r>
      <w:hyperlink r:id="rId17" w:tgtFrame="_new" w:history="1">
        <w:r w:rsidRPr="004B759D">
          <w:rPr>
            <w:rStyle w:val="Hyperlink"/>
            <w:rFonts w:ascii="Times New Roman" w:eastAsia="Times New Roman" w:hAnsi="Times New Roman" w:cs="Times New Roman"/>
            <w:kern w:val="0"/>
            <w:sz w:val="24"/>
            <w:szCs w:val="24"/>
            <w:lang w:eastAsia="en-IN"/>
            <w14:ligatures w14:val="none"/>
          </w:rPr>
          <w:t>https://doi.org/10.3389/fevo.2021.628658</w:t>
        </w:r>
      </w:hyperlink>
    </w:p>
    <w:p w14:paraId="22780BBB"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Gruber, N., &amp; Galloway, J. N. (2008). An Earth-system perspective of the global nitrogen cycle. </w:t>
      </w:r>
      <w:r w:rsidRPr="00116BAB">
        <w:rPr>
          <w:rFonts w:ascii="Times New Roman" w:hAnsi="Times New Roman" w:cs="Times New Roman"/>
          <w:i/>
          <w:iCs/>
          <w:sz w:val="24"/>
          <w:szCs w:val="24"/>
        </w:rPr>
        <w:t>Nature</w:t>
      </w:r>
      <w:r w:rsidRPr="00116BAB">
        <w:rPr>
          <w:rFonts w:ascii="Times New Roman" w:hAnsi="Times New Roman" w:cs="Times New Roman"/>
          <w:sz w:val="24"/>
          <w:szCs w:val="24"/>
        </w:rPr>
        <w:t>, </w:t>
      </w:r>
      <w:r w:rsidRPr="00116BAB">
        <w:rPr>
          <w:rFonts w:ascii="Times New Roman" w:hAnsi="Times New Roman" w:cs="Times New Roman"/>
          <w:i/>
          <w:iCs/>
          <w:sz w:val="24"/>
          <w:szCs w:val="24"/>
        </w:rPr>
        <w:t>451</w:t>
      </w:r>
      <w:r w:rsidRPr="00116BAB">
        <w:rPr>
          <w:rFonts w:ascii="Times New Roman" w:hAnsi="Times New Roman" w:cs="Times New Roman"/>
          <w:sz w:val="24"/>
          <w:szCs w:val="24"/>
        </w:rPr>
        <w:t>(7176), 293-296.</w:t>
      </w:r>
    </w:p>
    <w:p w14:paraId="7266CFDC" w14:textId="77777777" w:rsidR="00A34CC9"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6D1EB7">
        <w:rPr>
          <w:rFonts w:ascii="Times New Roman" w:eastAsia="Times New Roman" w:hAnsi="Times New Roman" w:cs="Times New Roman"/>
          <w:kern w:val="0"/>
          <w:sz w:val="24"/>
          <w:szCs w:val="24"/>
          <w:lang w:eastAsia="en-IN"/>
          <w14:ligatures w14:val="none"/>
        </w:rPr>
        <w:t>Guerry, A. D., Polasky, S., Lubchenco, J., Chaplin-Kramer, R., Daily, G. C., Griffin, R., ... &amp; Vira, B. (2015). Natural capital and ecosystem services informing decisions: From promise to practice. </w:t>
      </w:r>
      <w:r w:rsidRPr="006D1EB7">
        <w:rPr>
          <w:rFonts w:ascii="Times New Roman" w:eastAsia="Times New Roman" w:hAnsi="Times New Roman" w:cs="Times New Roman"/>
          <w:i/>
          <w:iCs/>
          <w:kern w:val="0"/>
          <w:sz w:val="24"/>
          <w:szCs w:val="24"/>
          <w:lang w:eastAsia="en-IN"/>
          <w14:ligatures w14:val="none"/>
        </w:rPr>
        <w:t xml:space="preserve">Proceedings of the National academy of </w:t>
      </w:r>
      <w:proofErr w:type="gramStart"/>
      <w:r w:rsidRPr="006D1EB7">
        <w:rPr>
          <w:rFonts w:ascii="Times New Roman" w:eastAsia="Times New Roman" w:hAnsi="Times New Roman" w:cs="Times New Roman"/>
          <w:i/>
          <w:iCs/>
          <w:kern w:val="0"/>
          <w:sz w:val="24"/>
          <w:szCs w:val="24"/>
          <w:lang w:eastAsia="en-IN"/>
          <w14:ligatures w14:val="none"/>
        </w:rPr>
        <w:t>Sciences</w:t>
      </w:r>
      <w:proofErr w:type="gramEnd"/>
      <w:r w:rsidRPr="006D1EB7">
        <w:rPr>
          <w:rFonts w:ascii="Times New Roman" w:eastAsia="Times New Roman" w:hAnsi="Times New Roman" w:cs="Times New Roman"/>
          <w:kern w:val="0"/>
          <w:sz w:val="24"/>
          <w:szCs w:val="24"/>
          <w:lang w:eastAsia="en-IN"/>
          <w14:ligatures w14:val="none"/>
        </w:rPr>
        <w:t>, </w:t>
      </w:r>
      <w:r w:rsidRPr="006D1EB7">
        <w:rPr>
          <w:rFonts w:ascii="Times New Roman" w:eastAsia="Times New Roman" w:hAnsi="Times New Roman" w:cs="Times New Roman"/>
          <w:i/>
          <w:iCs/>
          <w:kern w:val="0"/>
          <w:sz w:val="24"/>
          <w:szCs w:val="24"/>
          <w:lang w:eastAsia="en-IN"/>
          <w14:ligatures w14:val="none"/>
        </w:rPr>
        <w:t>112</w:t>
      </w:r>
      <w:r w:rsidRPr="006D1EB7">
        <w:rPr>
          <w:rFonts w:ascii="Times New Roman" w:eastAsia="Times New Roman" w:hAnsi="Times New Roman" w:cs="Times New Roman"/>
          <w:kern w:val="0"/>
          <w:sz w:val="24"/>
          <w:szCs w:val="24"/>
          <w:lang w:eastAsia="en-IN"/>
          <w14:ligatures w14:val="none"/>
        </w:rPr>
        <w:t>(24), 7348-7355.</w:t>
      </w:r>
    </w:p>
    <w:p w14:paraId="6D411D56"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lastRenderedPageBreak/>
        <w:t>Hoekstra, A. Y., &amp; Mekonnen, M. M. (2012). The water footprint of humanity. </w:t>
      </w:r>
      <w:r w:rsidRPr="00116BAB">
        <w:rPr>
          <w:rFonts w:ascii="Times New Roman" w:hAnsi="Times New Roman" w:cs="Times New Roman"/>
          <w:i/>
          <w:iCs/>
          <w:sz w:val="24"/>
          <w:szCs w:val="24"/>
        </w:rPr>
        <w:t>Proceedings of the national academy of sciences</w:t>
      </w:r>
      <w:r w:rsidRPr="00116BAB">
        <w:rPr>
          <w:rFonts w:ascii="Times New Roman" w:hAnsi="Times New Roman" w:cs="Times New Roman"/>
          <w:sz w:val="24"/>
          <w:szCs w:val="24"/>
        </w:rPr>
        <w:t>, </w:t>
      </w:r>
      <w:r w:rsidRPr="00116BAB">
        <w:rPr>
          <w:rFonts w:ascii="Times New Roman" w:hAnsi="Times New Roman" w:cs="Times New Roman"/>
          <w:i/>
          <w:iCs/>
          <w:sz w:val="24"/>
          <w:szCs w:val="24"/>
        </w:rPr>
        <w:t>109</w:t>
      </w:r>
      <w:r w:rsidRPr="00116BAB">
        <w:rPr>
          <w:rFonts w:ascii="Times New Roman" w:hAnsi="Times New Roman" w:cs="Times New Roman"/>
          <w:sz w:val="24"/>
          <w:szCs w:val="24"/>
        </w:rPr>
        <w:t>(9), 3232-3237.</w:t>
      </w:r>
    </w:p>
    <w:p w14:paraId="760F542A" w14:textId="77777777" w:rsidR="00A34CC9" w:rsidRPr="00116BAB" w:rsidRDefault="00A34CC9" w:rsidP="006513E0">
      <w:pPr>
        <w:spacing w:line="360" w:lineRule="auto"/>
        <w:ind w:left="720" w:hanging="720"/>
        <w:jc w:val="both"/>
        <w:rPr>
          <w:rFonts w:ascii="Times New Roman" w:hAnsi="Times New Roman" w:cs="Times New Roman"/>
          <w:sz w:val="24"/>
          <w:szCs w:val="24"/>
        </w:rPr>
      </w:pPr>
      <w:r w:rsidRPr="00116BAB">
        <w:rPr>
          <w:rFonts w:ascii="Times New Roman" w:hAnsi="Times New Roman" w:cs="Times New Roman"/>
          <w:sz w:val="24"/>
          <w:szCs w:val="24"/>
        </w:rPr>
        <w:t>Hughes, T. P., Kerry, J. T., Álvarez-Noriega, M., Álvarez-Romero, J. G., Anderson, K. D., Baird, A. H., ... &amp; Wilson, S. K. (2017). Global warming and recurrent mass bleaching of corals. </w:t>
      </w:r>
      <w:r w:rsidRPr="00116BAB">
        <w:rPr>
          <w:rFonts w:ascii="Times New Roman" w:hAnsi="Times New Roman" w:cs="Times New Roman"/>
          <w:i/>
          <w:iCs/>
          <w:sz w:val="24"/>
          <w:szCs w:val="24"/>
        </w:rPr>
        <w:t>Nature</w:t>
      </w:r>
      <w:r w:rsidRPr="00116BAB">
        <w:rPr>
          <w:rFonts w:ascii="Times New Roman" w:hAnsi="Times New Roman" w:cs="Times New Roman"/>
          <w:sz w:val="24"/>
          <w:szCs w:val="24"/>
        </w:rPr>
        <w:t>, </w:t>
      </w:r>
      <w:r w:rsidRPr="00116BAB">
        <w:rPr>
          <w:rFonts w:ascii="Times New Roman" w:hAnsi="Times New Roman" w:cs="Times New Roman"/>
          <w:i/>
          <w:iCs/>
          <w:sz w:val="24"/>
          <w:szCs w:val="24"/>
        </w:rPr>
        <w:t>543</w:t>
      </w:r>
      <w:r w:rsidRPr="00116BAB">
        <w:rPr>
          <w:rFonts w:ascii="Times New Roman" w:hAnsi="Times New Roman" w:cs="Times New Roman"/>
          <w:sz w:val="24"/>
          <w:szCs w:val="24"/>
        </w:rPr>
        <w:t>(7645), 373-377.</w:t>
      </w:r>
    </w:p>
    <w:p w14:paraId="451CCD10"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IGB. (2025). </w:t>
      </w:r>
      <w:r w:rsidRPr="004B759D">
        <w:rPr>
          <w:rFonts w:ascii="Times New Roman" w:eastAsia="Times New Roman" w:hAnsi="Times New Roman" w:cs="Times New Roman"/>
          <w:i/>
          <w:iCs/>
          <w:kern w:val="0"/>
          <w:sz w:val="24"/>
          <w:szCs w:val="24"/>
          <w:lang w:eastAsia="en-IN"/>
          <w14:ligatures w14:val="none"/>
        </w:rPr>
        <w:t>Ecosystem services for a sustainable future</w:t>
      </w:r>
      <w:r w:rsidRPr="004B759D">
        <w:rPr>
          <w:rFonts w:ascii="Times New Roman" w:eastAsia="Times New Roman" w:hAnsi="Times New Roman" w:cs="Times New Roman"/>
          <w:kern w:val="0"/>
          <w:sz w:val="24"/>
          <w:szCs w:val="24"/>
          <w:lang w:eastAsia="en-IN"/>
          <w14:ligatures w14:val="none"/>
        </w:rPr>
        <w:t xml:space="preserve">. Leibniz-Institute of Freshwater Ecology and Inland Fisheries. </w:t>
      </w:r>
    </w:p>
    <w:p w14:paraId="7CF3B7C0"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Intergovernmental Panel on Climate Change. (2023). </w:t>
      </w:r>
      <w:r w:rsidRPr="004B759D">
        <w:rPr>
          <w:rFonts w:ascii="Times New Roman" w:eastAsia="Times New Roman" w:hAnsi="Times New Roman" w:cs="Times New Roman"/>
          <w:i/>
          <w:iCs/>
          <w:kern w:val="0"/>
          <w:sz w:val="24"/>
          <w:szCs w:val="24"/>
          <w:lang w:eastAsia="en-IN"/>
          <w14:ligatures w14:val="none"/>
        </w:rPr>
        <w:t>Climate change 2023: Synthesis report. Contribution of Working Groups I, II and III to the Sixth Assessment Report of the Intergovernmental Panel on Climate Change</w:t>
      </w:r>
      <w:r w:rsidRPr="004B759D">
        <w:rPr>
          <w:rFonts w:ascii="Times New Roman" w:eastAsia="Times New Roman" w:hAnsi="Times New Roman" w:cs="Times New Roman"/>
          <w:kern w:val="0"/>
          <w:sz w:val="24"/>
          <w:szCs w:val="24"/>
          <w:lang w:eastAsia="en-IN"/>
          <w14:ligatures w14:val="none"/>
        </w:rPr>
        <w:t xml:space="preserve"> [Core Writing Team, H. Lee &amp; J. Romero (Eds.)]. IPCC. </w:t>
      </w:r>
      <w:hyperlink r:id="rId18" w:history="1">
        <w:r w:rsidRPr="004B759D">
          <w:rPr>
            <w:rStyle w:val="Hyperlink"/>
            <w:rFonts w:ascii="Times New Roman" w:eastAsia="Times New Roman" w:hAnsi="Times New Roman" w:cs="Times New Roman"/>
            <w:kern w:val="0"/>
            <w:sz w:val="24"/>
            <w:szCs w:val="24"/>
            <w:lang w:eastAsia="en-IN"/>
            <w14:ligatures w14:val="none"/>
          </w:rPr>
          <w:t>https://www.ipcc.ch/report/sixth-assessment-synthesis-report/</w:t>
        </w:r>
      </w:hyperlink>
    </w:p>
    <w:p w14:paraId="2CDD31E5"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Intergovernmental Science-Policy Platform on Biodiversity and Ecosystem Services. (2019). </w:t>
      </w:r>
      <w:r w:rsidRPr="004B759D">
        <w:rPr>
          <w:rFonts w:ascii="Times New Roman" w:eastAsia="Times New Roman" w:hAnsi="Times New Roman" w:cs="Times New Roman"/>
          <w:i/>
          <w:iCs/>
          <w:kern w:val="0"/>
          <w:sz w:val="24"/>
          <w:szCs w:val="24"/>
          <w:lang w:eastAsia="en-IN"/>
          <w14:ligatures w14:val="none"/>
        </w:rPr>
        <w:t>Global assessment report on biodiversity and ecosystem services</w:t>
      </w:r>
      <w:r w:rsidRPr="004B759D">
        <w:rPr>
          <w:rFonts w:ascii="Times New Roman" w:eastAsia="Times New Roman" w:hAnsi="Times New Roman" w:cs="Times New Roman"/>
          <w:kern w:val="0"/>
          <w:sz w:val="24"/>
          <w:szCs w:val="24"/>
          <w:lang w:eastAsia="en-IN"/>
          <w14:ligatures w14:val="none"/>
        </w:rPr>
        <w:t xml:space="preserve">. IPBES. </w:t>
      </w:r>
      <w:hyperlink r:id="rId19" w:history="1">
        <w:r w:rsidRPr="004B759D">
          <w:rPr>
            <w:rStyle w:val="Hyperlink"/>
            <w:rFonts w:ascii="Times New Roman" w:eastAsia="Times New Roman" w:hAnsi="Times New Roman" w:cs="Times New Roman"/>
            <w:kern w:val="0"/>
            <w:sz w:val="24"/>
            <w:szCs w:val="24"/>
            <w:lang w:eastAsia="en-IN"/>
            <w14:ligatures w14:val="none"/>
          </w:rPr>
          <w:t>https://ipbes.net/global-assessment</w:t>
        </w:r>
      </w:hyperlink>
    </w:p>
    <w:p w14:paraId="3CCFDC75"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Jupiter, S. D., Cohen, P. J., Weeks, R., Tawake, A., &amp; Govan, H. (2014). Locally-managed marine areas: multiple objectives and diverse strategies. </w:t>
      </w:r>
      <w:r w:rsidRPr="00116BAB">
        <w:rPr>
          <w:rFonts w:ascii="Times New Roman" w:eastAsia="Times New Roman" w:hAnsi="Times New Roman" w:cs="Times New Roman"/>
          <w:i/>
          <w:iCs/>
          <w:kern w:val="0"/>
          <w:sz w:val="24"/>
          <w:szCs w:val="24"/>
          <w:lang w:eastAsia="en-IN"/>
          <w14:ligatures w14:val="none"/>
        </w:rPr>
        <w:t>Pacific Conservation Biology</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20</w:t>
      </w:r>
      <w:r w:rsidRPr="00116BAB">
        <w:rPr>
          <w:rFonts w:ascii="Times New Roman" w:eastAsia="Times New Roman" w:hAnsi="Times New Roman" w:cs="Times New Roman"/>
          <w:kern w:val="0"/>
          <w:sz w:val="24"/>
          <w:szCs w:val="24"/>
          <w:lang w:eastAsia="en-IN"/>
          <w14:ligatures w14:val="none"/>
        </w:rPr>
        <w:t>(2), 165-179.</w:t>
      </w:r>
    </w:p>
    <w:p w14:paraId="0D494C2C"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Lafferty, K. D. (2009). The ecology of climate change and infectious diseases. </w:t>
      </w:r>
      <w:r w:rsidRPr="00116BAB">
        <w:rPr>
          <w:rFonts w:ascii="Times New Roman" w:eastAsia="Times New Roman" w:hAnsi="Times New Roman" w:cs="Times New Roman"/>
          <w:i/>
          <w:iCs/>
          <w:kern w:val="0"/>
          <w:sz w:val="24"/>
          <w:szCs w:val="24"/>
          <w:lang w:eastAsia="en-IN"/>
          <w14:ligatures w14:val="none"/>
        </w:rPr>
        <w:t>Ecology</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90</w:t>
      </w:r>
      <w:r w:rsidRPr="00116BAB">
        <w:rPr>
          <w:rFonts w:ascii="Times New Roman" w:eastAsia="Times New Roman" w:hAnsi="Times New Roman" w:cs="Times New Roman"/>
          <w:kern w:val="0"/>
          <w:sz w:val="24"/>
          <w:szCs w:val="24"/>
          <w:lang w:eastAsia="en-IN"/>
          <w14:ligatures w14:val="none"/>
        </w:rPr>
        <w:t>(4), 888-900.</w:t>
      </w:r>
    </w:p>
    <w:p w14:paraId="4FFBFB64" w14:textId="77777777" w:rsidR="00A34CC9"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proofErr w:type="spellStart"/>
      <w:r w:rsidRPr="008F2AFC">
        <w:rPr>
          <w:rFonts w:ascii="Times New Roman" w:eastAsia="Times New Roman" w:hAnsi="Times New Roman" w:cs="Times New Roman"/>
          <w:kern w:val="0"/>
          <w:sz w:val="24"/>
          <w:szCs w:val="24"/>
          <w:lang w:eastAsia="en-IN"/>
          <w14:ligatures w14:val="none"/>
        </w:rPr>
        <w:t>Liquete</w:t>
      </w:r>
      <w:proofErr w:type="spellEnd"/>
      <w:r w:rsidRPr="008F2AFC">
        <w:rPr>
          <w:rFonts w:ascii="Times New Roman" w:eastAsia="Times New Roman" w:hAnsi="Times New Roman" w:cs="Times New Roman"/>
          <w:kern w:val="0"/>
          <w:sz w:val="24"/>
          <w:szCs w:val="24"/>
          <w:lang w:eastAsia="en-IN"/>
          <w14:ligatures w14:val="none"/>
        </w:rPr>
        <w:t xml:space="preserve">, C., </w:t>
      </w:r>
      <w:proofErr w:type="spellStart"/>
      <w:r w:rsidRPr="008F2AFC">
        <w:rPr>
          <w:rFonts w:ascii="Times New Roman" w:eastAsia="Times New Roman" w:hAnsi="Times New Roman" w:cs="Times New Roman"/>
          <w:kern w:val="0"/>
          <w:sz w:val="24"/>
          <w:szCs w:val="24"/>
          <w:lang w:eastAsia="en-IN"/>
          <w14:ligatures w14:val="none"/>
        </w:rPr>
        <w:t>Piroddi</w:t>
      </w:r>
      <w:proofErr w:type="spellEnd"/>
      <w:r w:rsidRPr="008F2AFC">
        <w:rPr>
          <w:rFonts w:ascii="Times New Roman" w:eastAsia="Times New Roman" w:hAnsi="Times New Roman" w:cs="Times New Roman"/>
          <w:kern w:val="0"/>
          <w:sz w:val="24"/>
          <w:szCs w:val="24"/>
          <w:lang w:eastAsia="en-IN"/>
          <w14:ligatures w14:val="none"/>
        </w:rPr>
        <w:t xml:space="preserve">, C., </w:t>
      </w:r>
      <w:proofErr w:type="spellStart"/>
      <w:r w:rsidRPr="008F2AFC">
        <w:rPr>
          <w:rFonts w:ascii="Times New Roman" w:eastAsia="Times New Roman" w:hAnsi="Times New Roman" w:cs="Times New Roman"/>
          <w:kern w:val="0"/>
          <w:sz w:val="24"/>
          <w:szCs w:val="24"/>
          <w:lang w:eastAsia="en-IN"/>
          <w14:ligatures w14:val="none"/>
        </w:rPr>
        <w:t>Drakou</w:t>
      </w:r>
      <w:proofErr w:type="spellEnd"/>
      <w:r w:rsidRPr="008F2AFC">
        <w:rPr>
          <w:rFonts w:ascii="Times New Roman" w:eastAsia="Times New Roman" w:hAnsi="Times New Roman" w:cs="Times New Roman"/>
          <w:kern w:val="0"/>
          <w:sz w:val="24"/>
          <w:szCs w:val="24"/>
          <w:lang w:eastAsia="en-IN"/>
          <w14:ligatures w14:val="none"/>
        </w:rPr>
        <w:t xml:space="preserve">, E. G., Gurney, L., </w:t>
      </w:r>
      <w:proofErr w:type="spellStart"/>
      <w:r w:rsidRPr="008F2AFC">
        <w:rPr>
          <w:rFonts w:ascii="Times New Roman" w:eastAsia="Times New Roman" w:hAnsi="Times New Roman" w:cs="Times New Roman"/>
          <w:kern w:val="0"/>
          <w:sz w:val="24"/>
          <w:szCs w:val="24"/>
          <w:lang w:eastAsia="en-IN"/>
          <w14:ligatures w14:val="none"/>
        </w:rPr>
        <w:t>Katsanevakis</w:t>
      </w:r>
      <w:proofErr w:type="spellEnd"/>
      <w:r w:rsidRPr="008F2AFC">
        <w:rPr>
          <w:rFonts w:ascii="Times New Roman" w:eastAsia="Times New Roman" w:hAnsi="Times New Roman" w:cs="Times New Roman"/>
          <w:kern w:val="0"/>
          <w:sz w:val="24"/>
          <w:szCs w:val="24"/>
          <w:lang w:eastAsia="en-IN"/>
          <w14:ligatures w14:val="none"/>
        </w:rPr>
        <w:t xml:space="preserve">, S., Charef, A., &amp; </w:t>
      </w:r>
      <w:proofErr w:type="spellStart"/>
      <w:r w:rsidRPr="008F2AFC">
        <w:rPr>
          <w:rFonts w:ascii="Times New Roman" w:eastAsia="Times New Roman" w:hAnsi="Times New Roman" w:cs="Times New Roman"/>
          <w:kern w:val="0"/>
          <w:sz w:val="24"/>
          <w:szCs w:val="24"/>
          <w:lang w:eastAsia="en-IN"/>
          <w14:ligatures w14:val="none"/>
        </w:rPr>
        <w:t>Egoh</w:t>
      </w:r>
      <w:proofErr w:type="spellEnd"/>
      <w:r w:rsidRPr="008F2AFC">
        <w:rPr>
          <w:rFonts w:ascii="Times New Roman" w:eastAsia="Times New Roman" w:hAnsi="Times New Roman" w:cs="Times New Roman"/>
          <w:kern w:val="0"/>
          <w:sz w:val="24"/>
          <w:szCs w:val="24"/>
          <w:lang w:eastAsia="en-IN"/>
          <w14:ligatures w14:val="none"/>
        </w:rPr>
        <w:t>, B. (2013). Current status and future prospects for the assessment of marine and coastal ecosystem services: a systematic review. </w:t>
      </w:r>
      <w:proofErr w:type="spellStart"/>
      <w:r w:rsidRPr="008F2AFC">
        <w:rPr>
          <w:rFonts w:ascii="Times New Roman" w:eastAsia="Times New Roman" w:hAnsi="Times New Roman" w:cs="Times New Roman"/>
          <w:i/>
          <w:iCs/>
          <w:kern w:val="0"/>
          <w:sz w:val="24"/>
          <w:szCs w:val="24"/>
          <w:lang w:eastAsia="en-IN"/>
          <w14:ligatures w14:val="none"/>
        </w:rPr>
        <w:t>PloS</w:t>
      </w:r>
      <w:proofErr w:type="spellEnd"/>
      <w:r w:rsidRPr="008F2AFC">
        <w:rPr>
          <w:rFonts w:ascii="Times New Roman" w:eastAsia="Times New Roman" w:hAnsi="Times New Roman" w:cs="Times New Roman"/>
          <w:i/>
          <w:iCs/>
          <w:kern w:val="0"/>
          <w:sz w:val="24"/>
          <w:szCs w:val="24"/>
          <w:lang w:eastAsia="en-IN"/>
          <w14:ligatures w14:val="none"/>
        </w:rPr>
        <w:t xml:space="preserve"> one</w:t>
      </w:r>
      <w:r w:rsidRPr="008F2AFC">
        <w:rPr>
          <w:rFonts w:ascii="Times New Roman" w:eastAsia="Times New Roman" w:hAnsi="Times New Roman" w:cs="Times New Roman"/>
          <w:kern w:val="0"/>
          <w:sz w:val="24"/>
          <w:szCs w:val="24"/>
          <w:lang w:eastAsia="en-IN"/>
          <w14:ligatures w14:val="none"/>
        </w:rPr>
        <w:t>, </w:t>
      </w:r>
      <w:r w:rsidRPr="008F2AFC">
        <w:rPr>
          <w:rFonts w:ascii="Times New Roman" w:eastAsia="Times New Roman" w:hAnsi="Times New Roman" w:cs="Times New Roman"/>
          <w:i/>
          <w:iCs/>
          <w:kern w:val="0"/>
          <w:sz w:val="24"/>
          <w:szCs w:val="24"/>
          <w:lang w:eastAsia="en-IN"/>
          <w14:ligatures w14:val="none"/>
        </w:rPr>
        <w:t>8</w:t>
      </w:r>
      <w:r w:rsidRPr="008F2AFC">
        <w:rPr>
          <w:rFonts w:ascii="Times New Roman" w:eastAsia="Times New Roman" w:hAnsi="Times New Roman" w:cs="Times New Roman"/>
          <w:kern w:val="0"/>
          <w:sz w:val="24"/>
          <w:szCs w:val="24"/>
          <w:lang w:eastAsia="en-IN"/>
          <w14:ligatures w14:val="none"/>
        </w:rPr>
        <w:t>(7), e67737.</w:t>
      </w:r>
    </w:p>
    <w:p w14:paraId="10E80924"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Millennium Ecosystem Assessment. (2005). </w:t>
      </w:r>
      <w:r w:rsidRPr="004B759D">
        <w:rPr>
          <w:rFonts w:ascii="Times New Roman" w:eastAsia="Times New Roman" w:hAnsi="Times New Roman" w:cs="Times New Roman"/>
          <w:i/>
          <w:iCs/>
          <w:kern w:val="0"/>
          <w:sz w:val="24"/>
          <w:szCs w:val="24"/>
          <w:lang w:eastAsia="en-IN"/>
          <w14:ligatures w14:val="none"/>
        </w:rPr>
        <w:t>Ecosystems and human well-being: Synthesis</w:t>
      </w:r>
      <w:r w:rsidRPr="004B759D">
        <w:rPr>
          <w:rFonts w:ascii="Times New Roman" w:eastAsia="Times New Roman" w:hAnsi="Times New Roman" w:cs="Times New Roman"/>
          <w:kern w:val="0"/>
          <w:sz w:val="24"/>
          <w:szCs w:val="24"/>
          <w:lang w:eastAsia="en-IN"/>
          <w14:ligatures w14:val="none"/>
        </w:rPr>
        <w:t xml:space="preserve">. Island Press. </w:t>
      </w:r>
      <w:hyperlink r:id="rId20" w:history="1">
        <w:r w:rsidRPr="004B759D">
          <w:rPr>
            <w:rStyle w:val="Hyperlink"/>
            <w:rFonts w:ascii="Times New Roman" w:eastAsia="Times New Roman" w:hAnsi="Times New Roman" w:cs="Times New Roman"/>
            <w:kern w:val="0"/>
            <w:sz w:val="24"/>
            <w:szCs w:val="24"/>
            <w:lang w:eastAsia="en-IN"/>
            <w14:ligatures w14:val="none"/>
          </w:rPr>
          <w:t>https://www.millenniumassessment.org/documents/document.356.aspx.pdf</w:t>
        </w:r>
      </w:hyperlink>
    </w:p>
    <w:p w14:paraId="30B36D71"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Mitsch, W. J., &amp; Gosselink, J. G. (2015). </w:t>
      </w:r>
      <w:r w:rsidRPr="00116BAB">
        <w:rPr>
          <w:rFonts w:ascii="Times New Roman" w:eastAsia="Times New Roman" w:hAnsi="Times New Roman" w:cs="Times New Roman"/>
          <w:i/>
          <w:iCs/>
          <w:kern w:val="0"/>
          <w:sz w:val="24"/>
          <w:szCs w:val="24"/>
          <w:lang w:eastAsia="en-IN"/>
          <w14:ligatures w14:val="none"/>
        </w:rPr>
        <w:t>Wetlands</w:t>
      </w:r>
      <w:r w:rsidRPr="00116BAB">
        <w:rPr>
          <w:rFonts w:ascii="Times New Roman" w:eastAsia="Times New Roman" w:hAnsi="Times New Roman" w:cs="Times New Roman"/>
          <w:kern w:val="0"/>
          <w:sz w:val="24"/>
          <w:szCs w:val="24"/>
          <w:lang w:eastAsia="en-IN"/>
          <w14:ligatures w14:val="none"/>
        </w:rPr>
        <w:t xml:space="preserve">. John </w:t>
      </w:r>
      <w:proofErr w:type="spellStart"/>
      <w:r w:rsidRPr="00116BAB">
        <w:rPr>
          <w:rFonts w:ascii="Times New Roman" w:eastAsia="Times New Roman" w:hAnsi="Times New Roman" w:cs="Times New Roman"/>
          <w:kern w:val="0"/>
          <w:sz w:val="24"/>
          <w:szCs w:val="24"/>
          <w:lang w:eastAsia="en-IN"/>
          <w14:ligatures w14:val="none"/>
        </w:rPr>
        <w:t>wiley</w:t>
      </w:r>
      <w:proofErr w:type="spellEnd"/>
      <w:r w:rsidRPr="00116BAB">
        <w:rPr>
          <w:rFonts w:ascii="Times New Roman" w:eastAsia="Times New Roman" w:hAnsi="Times New Roman" w:cs="Times New Roman"/>
          <w:kern w:val="0"/>
          <w:sz w:val="24"/>
          <w:szCs w:val="24"/>
          <w:lang w:eastAsia="en-IN"/>
          <w14:ligatures w14:val="none"/>
        </w:rPr>
        <w:t xml:space="preserve"> &amp; sons.</w:t>
      </w:r>
    </w:p>
    <w:p w14:paraId="6E7A46D7"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lastRenderedPageBreak/>
        <w:t>Mitsch, W. J., Bernal, B., &amp; Hernandez, M. E. (2015). Ecosystem services of wetlands. </w:t>
      </w:r>
      <w:r w:rsidRPr="00116BAB">
        <w:rPr>
          <w:rFonts w:ascii="Times New Roman" w:eastAsia="Times New Roman" w:hAnsi="Times New Roman" w:cs="Times New Roman"/>
          <w:i/>
          <w:iCs/>
          <w:kern w:val="0"/>
          <w:sz w:val="24"/>
          <w:szCs w:val="24"/>
          <w:lang w:eastAsia="en-IN"/>
          <w14:ligatures w14:val="none"/>
        </w:rPr>
        <w:t>International Journal of Biodiversity Science, Ecosystem Services &amp; Management</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11</w:t>
      </w:r>
      <w:r w:rsidRPr="00116BAB">
        <w:rPr>
          <w:rFonts w:ascii="Times New Roman" w:eastAsia="Times New Roman" w:hAnsi="Times New Roman" w:cs="Times New Roman"/>
          <w:kern w:val="0"/>
          <w:sz w:val="24"/>
          <w:szCs w:val="24"/>
          <w:lang w:eastAsia="en-IN"/>
          <w14:ligatures w14:val="none"/>
        </w:rPr>
        <w:t>(1), 1-4.</w:t>
      </w:r>
    </w:p>
    <w:p w14:paraId="63FC882F"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Pinsky, M. L., Selden, R. L., &amp; Kitchel, Z. J. (2020). Climate-driven shifts in marine species ranges: scaling from organisms to communities. </w:t>
      </w:r>
      <w:r w:rsidRPr="00116BAB">
        <w:rPr>
          <w:rFonts w:ascii="Times New Roman" w:eastAsia="Times New Roman" w:hAnsi="Times New Roman" w:cs="Times New Roman"/>
          <w:i/>
          <w:iCs/>
          <w:kern w:val="0"/>
          <w:sz w:val="24"/>
          <w:szCs w:val="24"/>
          <w:lang w:eastAsia="en-IN"/>
          <w14:ligatures w14:val="none"/>
        </w:rPr>
        <w:t>Annual review of marine science</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12</w:t>
      </w:r>
      <w:r w:rsidRPr="00116BAB">
        <w:rPr>
          <w:rFonts w:ascii="Times New Roman" w:eastAsia="Times New Roman" w:hAnsi="Times New Roman" w:cs="Times New Roman"/>
          <w:kern w:val="0"/>
          <w:sz w:val="24"/>
          <w:szCs w:val="24"/>
          <w:lang w:eastAsia="en-IN"/>
          <w14:ligatures w14:val="none"/>
        </w:rPr>
        <w:t>(1), 153-179.</w:t>
      </w:r>
    </w:p>
    <w:p w14:paraId="6A016A6F"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Ramsar Convention Secretariat. (2018). </w:t>
      </w:r>
      <w:r w:rsidRPr="004B759D">
        <w:rPr>
          <w:rFonts w:ascii="Times New Roman" w:eastAsia="Times New Roman" w:hAnsi="Times New Roman" w:cs="Times New Roman"/>
          <w:i/>
          <w:iCs/>
          <w:kern w:val="0"/>
          <w:sz w:val="24"/>
          <w:szCs w:val="24"/>
          <w:lang w:eastAsia="en-IN"/>
          <w14:ligatures w14:val="none"/>
        </w:rPr>
        <w:t>The Ramsar Convention on Wetlands</w:t>
      </w:r>
      <w:r w:rsidRPr="004B759D">
        <w:rPr>
          <w:rFonts w:ascii="Times New Roman" w:eastAsia="Times New Roman" w:hAnsi="Times New Roman" w:cs="Times New Roman"/>
          <w:kern w:val="0"/>
          <w:sz w:val="24"/>
          <w:szCs w:val="24"/>
          <w:lang w:eastAsia="en-IN"/>
          <w14:ligatures w14:val="none"/>
        </w:rPr>
        <w:t>. Ramsar Convention Secretariat.</w:t>
      </w:r>
    </w:p>
    <w:p w14:paraId="535D0BB9"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Reid, A. J., Carlson, A. K., Creed, I. F., Eliason, E. J., Gell, P. A., Johnson, P. T., ... &amp; Cooke, S. J. (2019). Emerging threats and persistent conservation challenges for freshwater biodiversity. </w:t>
      </w:r>
      <w:r w:rsidRPr="00116BAB">
        <w:rPr>
          <w:rFonts w:ascii="Times New Roman" w:eastAsia="Times New Roman" w:hAnsi="Times New Roman" w:cs="Times New Roman"/>
          <w:i/>
          <w:iCs/>
          <w:kern w:val="0"/>
          <w:sz w:val="24"/>
          <w:szCs w:val="24"/>
          <w:lang w:eastAsia="en-IN"/>
          <w14:ligatures w14:val="none"/>
        </w:rPr>
        <w:t>Biological reviews</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94</w:t>
      </w:r>
      <w:r w:rsidRPr="00116BAB">
        <w:rPr>
          <w:rFonts w:ascii="Times New Roman" w:eastAsia="Times New Roman" w:hAnsi="Times New Roman" w:cs="Times New Roman"/>
          <w:kern w:val="0"/>
          <w:sz w:val="24"/>
          <w:szCs w:val="24"/>
          <w:lang w:eastAsia="en-IN"/>
          <w14:ligatures w14:val="none"/>
        </w:rPr>
        <w:t>(3), 849-873.</w:t>
      </w:r>
    </w:p>
    <w:p w14:paraId="3397AB86"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 xml:space="preserve">Rivers, N., Strand, M., Fernandes, M., </w:t>
      </w:r>
      <w:proofErr w:type="spellStart"/>
      <w:r w:rsidRPr="00116BAB">
        <w:rPr>
          <w:rFonts w:ascii="Times New Roman" w:eastAsia="Times New Roman" w:hAnsi="Times New Roman" w:cs="Times New Roman"/>
          <w:kern w:val="0"/>
          <w:sz w:val="24"/>
          <w:szCs w:val="24"/>
          <w:lang w:eastAsia="en-IN"/>
          <w14:ligatures w14:val="none"/>
        </w:rPr>
        <w:t>Metuge</w:t>
      </w:r>
      <w:proofErr w:type="spellEnd"/>
      <w:r w:rsidRPr="00116BAB">
        <w:rPr>
          <w:rFonts w:ascii="Times New Roman" w:eastAsia="Times New Roman" w:hAnsi="Times New Roman" w:cs="Times New Roman"/>
          <w:kern w:val="0"/>
          <w:sz w:val="24"/>
          <w:szCs w:val="24"/>
          <w:lang w:eastAsia="en-IN"/>
          <w14:ligatures w14:val="none"/>
        </w:rPr>
        <w:t xml:space="preserve">, D., </w:t>
      </w:r>
      <w:proofErr w:type="spellStart"/>
      <w:r w:rsidRPr="00116BAB">
        <w:rPr>
          <w:rFonts w:ascii="Times New Roman" w:eastAsia="Times New Roman" w:hAnsi="Times New Roman" w:cs="Times New Roman"/>
          <w:kern w:val="0"/>
          <w:sz w:val="24"/>
          <w:szCs w:val="24"/>
          <w:lang w:eastAsia="en-IN"/>
          <w14:ligatures w14:val="none"/>
        </w:rPr>
        <w:t>Lemahieu</w:t>
      </w:r>
      <w:proofErr w:type="spellEnd"/>
      <w:r w:rsidRPr="00116BAB">
        <w:rPr>
          <w:rFonts w:ascii="Times New Roman" w:eastAsia="Times New Roman" w:hAnsi="Times New Roman" w:cs="Times New Roman"/>
          <w:kern w:val="0"/>
          <w:sz w:val="24"/>
          <w:szCs w:val="24"/>
          <w:lang w:eastAsia="en-IN"/>
          <w14:ligatures w14:val="none"/>
        </w:rPr>
        <w:t xml:space="preserve">, A., Nonyane, C. L., ... &amp; Snow, B. (2023). Pathways to integrate Indigenous and local knowledge in ocean governance processes: Lessons from the </w:t>
      </w:r>
      <w:proofErr w:type="spellStart"/>
      <w:r w:rsidRPr="00116BAB">
        <w:rPr>
          <w:rFonts w:ascii="Times New Roman" w:eastAsia="Times New Roman" w:hAnsi="Times New Roman" w:cs="Times New Roman"/>
          <w:kern w:val="0"/>
          <w:sz w:val="24"/>
          <w:szCs w:val="24"/>
          <w:lang w:eastAsia="en-IN"/>
          <w14:ligatures w14:val="none"/>
        </w:rPr>
        <w:t>Algoa</w:t>
      </w:r>
      <w:proofErr w:type="spellEnd"/>
      <w:r w:rsidRPr="00116BAB">
        <w:rPr>
          <w:rFonts w:ascii="Times New Roman" w:eastAsia="Times New Roman" w:hAnsi="Times New Roman" w:cs="Times New Roman"/>
          <w:kern w:val="0"/>
          <w:sz w:val="24"/>
          <w:szCs w:val="24"/>
          <w:lang w:eastAsia="en-IN"/>
          <w14:ligatures w14:val="none"/>
        </w:rPr>
        <w:t xml:space="preserve"> Bay Project, South Africa. </w:t>
      </w:r>
      <w:r w:rsidRPr="00116BAB">
        <w:rPr>
          <w:rFonts w:ascii="Times New Roman" w:eastAsia="Times New Roman" w:hAnsi="Times New Roman" w:cs="Times New Roman"/>
          <w:i/>
          <w:iCs/>
          <w:kern w:val="0"/>
          <w:sz w:val="24"/>
          <w:szCs w:val="24"/>
          <w:lang w:eastAsia="en-IN"/>
          <w14:ligatures w14:val="none"/>
        </w:rPr>
        <w:t>Frontiers in Marine Science</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9</w:t>
      </w:r>
      <w:r w:rsidRPr="00116BAB">
        <w:rPr>
          <w:rFonts w:ascii="Times New Roman" w:eastAsia="Times New Roman" w:hAnsi="Times New Roman" w:cs="Times New Roman"/>
          <w:kern w:val="0"/>
          <w:sz w:val="24"/>
          <w:szCs w:val="24"/>
          <w:lang w:eastAsia="en-IN"/>
          <w14:ligatures w14:val="none"/>
        </w:rPr>
        <w:t>, 1084674.</w:t>
      </w:r>
    </w:p>
    <w:p w14:paraId="5C9BFC0F"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265974">
        <w:rPr>
          <w:rFonts w:ascii="Times New Roman" w:eastAsia="Times New Roman" w:hAnsi="Times New Roman" w:cs="Times New Roman"/>
          <w:kern w:val="0"/>
          <w:sz w:val="24"/>
          <w:szCs w:val="24"/>
          <w:lang w:eastAsia="en-IN"/>
          <w14:ligatures w14:val="none"/>
        </w:rPr>
        <w:t xml:space="preserve">Sala, E., &amp; </w:t>
      </w:r>
      <w:proofErr w:type="spellStart"/>
      <w:r w:rsidRPr="00265974">
        <w:rPr>
          <w:rFonts w:ascii="Times New Roman" w:eastAsia="Times New Roman" w:hAnsi="Times New Roman" w:cs="Times New Roman"/>
          <w:kern w:val="0"/>
          <w:sz w:val="24"/>
          <w:szCs w:val="24"/>
          <w:lang w:eastAsia="en-IN"/>
          <w14:ligatures w14:val="none"/>
        </w:rPr>
        <w:t>Giakoumi</w:t>
      </w:r>
      <w:proofErr w:type="spellEnd"/>
      <w:r w:rsidRPr="00265974">
        <w:rPr>
          <w:rFonts w:ascii="Times New Roman" w:eastAsia="Times New Roman" w:hAnsi="Times New Roman" w:cs="Times New Roman"/>
          <w:kern w:val="0"/>
          <w:sz w:val="24"/>
          <w:szCs w:val="24"/>
          <w:lang w:eastAsia="en-IN"/>
          <w14:ligatures w14:val="none"/>
        </w:rPr>
        <w:t>, S. (2018). No-take marine reserves are the most effective protected areas in the ocean. </w:t>
      </w:r>
      <w:r w:rsidRPr="00265974">
        <w:rPr>
          <w:rFonts w:ascii="Times New Roman" w:eastAsia="Times New Roman" w:hAnsi="Times New Roman" w:cs="Times New Roman"/>
          <w:i/>
          <w:iCs/>
          <w:kern w:val="0"/>
          <w:sz w:val="24"/>
          <w:szCs w:val="24"/>
          <w:lang w:eastAsia="en-IN"/>
          <w14:ligatures w14:val="none"/>
        </w:rPr>
        <w:t>ICES Journal of Marine Science</w:t>
      </w:r>
      <w:r w:rsidRPr="00265974">
        <w:rPr>
          <w:rFonts w:ascii="Times New Roman" w:eastAsia="Times New Roman" w:hAnsi="Times New Roman" w:cs="Times New Roman"/>
          <w:kern w:val="0"/>
          <w:sz w:val="24"/>
          <w:szCs w:val="24"/>
          <w:lang w:eastAsia="en-IN"/>
          <w14:ligatures w14:val="none"/>
        </w:rPr>
        <w:t>, </w:t>
      </w:r>
      <w:r w:rsidRPr="00265974">
        <w:rPr>
          <w:rFonts w:ascii="Times New Roman" w:eastAsia="Times New Roman" w:hAnsi="Times New Roman" w:cs="Times New Roman"/>
          <w:i/>
          <w:iCs/>
          <w:kern w:val="0"/>
          <w:sz w:val="24"/>
          <w:szCs w:val="24"/>
          <w:lang w:eastAsia="en-IN"/>
          <w14:ligatures w14:val="none"/>
        </w:rPr>
        <w:t>75</w:t>
      </w:r>
      <w:r w:rsidRPr="00265974">
        <w:rPr>
          <w:rFonts w:ascii="Times New Roman" w:eastAsia="Times New Roman" w:hAnsi="Times New Roman" w:cs="Times New Roman"/>
          <w:kern w:val="0"/>
          <w:sz w:val="24"/>
          <w:szCs w:val="24"/>
          <w:lang w:eastAsia="en-IN"/>
          <w14:ligatures w14:val="none"/>
        </w:rPr>
        <w:t>(3), 1166-1168.</w:t>
      </w:r>
    </w:p>
    <w:p w14:paraId="6721B71E"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 xml:space="preserve">Spalding, M., Burke, L., Wood, S. A., Ashpole, J., Hutchison, J., &amp; Zu </w:t>
      </w:r>
      <w:proofErr w:type="spellStart"/>
      <w:r w:rsidRPr="00116BAB">
        <w:rPr>
          <w:rFonts w:ascii="Times New Roman" w:eastAsia="Times New Roman" w:hAnsi="Times New Roman" w:cs="Times New Roman"/>
          <w:kern w:val="0"/>
          <w:sz w:val="24"/>
          <w:szCs w:val="24"/>
          <w:lang w:eastAsia="en-IN"/>
          <w14:ligatures w14:val="none"/>
        </w:rPr>
        <w:t>Ermgassen</w:t>
      </w:r>
      <w:proofErr w:type="spellEnd"/>
      <w:r w:rsidRPr="00116BAB">
        <w:rPr>
          <w:rFonts w:ascii="Times New Roman" w:eastAsia="Times New Roman" w:hAnsi="Times New Roman" w:cs="Times New Roman"/>
          <w:kern w:val="0"/>
          <w:sz w:val="24"/>
          <w:szCs w:val="24"/>
          <w:lang w:eastAsia="en-IN"/>
          <w14:ligatures w14:val="none"/>
        </w:rPr>
        <w:t>, P. (2017). Mapping the global value and distribution of coral reef tourism. </w:t>
      </w:r>
      <w:r w:rsidRPr="00116BAB">
        <w:rPr>
          <w:rFonts w:ascii="Times New Roman" w:eastAsia="Times New Roman" w:hAnsi="Times New Roman" w:cs="Times New Roman"/>
          <w:i/>
          <w:iCs/>
          <w:kern w:val="0"/>
          <w:sz w:val="24"/>
          <w:szCs w:val="24"/>
          <w:lang w:eastAsia="en-IN"/>
          <w14:ligatures w14:val="none"/>
        </w:rPr>
        <w:t>Marine Policy</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82</w:t>
      </w:r>
      <w:r w:rsidRPr="00116BAB">
        <w:rPr>
          <w:rFonts w:ascii="Times New Roman" w:eastAsia="Times New Roman" w:hAnsi="Times New Roman" w:cs="Times New Roman"/>
          <w:kern w:val="0"/>
          <w:sz w:val="24"/>
          <w:szCs w:val="24"/>
          <w:lang w:eastAsia="en-IN"/>
          <w14:ligatures w14:val="none"/>
        </w:rPr>
        <w:t>, 104-113.</w:t>
      </w:r>
    </w:p>
    <w:p w14:paraId="137AFAC7"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Spalding, M., Ravilious, C., &amp; Green, E. P. (2001). </w:t>
      </w:r>
      <w:r w:rsidRPr="00116BAB">
        <w:rPr>
          <w:rFonts w:ascii="Times New Roman" w:eastAsia="Times New Roman" w:hAnsi="Times New Roman" w:cs="Times New Roman"/>
          <w:i/>
          <w:iCs/>
          <w:kern w:val="0"/>
          <w:sz w:val="24"/>
          <w:szCs w:val="24"/>
          <w:lang w:eastAsia="en-IN"/>
          <w14:ligatures w14:val="none"/>
        </w:rPr>
        <w:t>World atlas of coral reefs</w:t>
      </w:r>
      <w:r w:rsidRPr="00116BAB">
        <w:rPr>
          <w:rFonts w:ascii="Times New Roman" w:eastAsia="Times New Roman" w:hAnsi="Times New Roman" w:cs="Times New Roman"/>
          <w:kern w:val="0"/>
          <w:sz w:val="24"/>
          <w:szCs w:val="24"/>
          <w:lang w:eastAsia="en-IN"/>
          <w14:ligatures w14:val="none"/>
        </w:rPr>
        <w:t xml:space="preserve">. </w:t>
      </w:r>
      <w:proofErr w:type="spellStart"/>
      <w:r w:rsidRPr="00116BAB">
        <w:rPr>
          <w:rFonts w:ascii="Times New Roman" w:eastAsia="Times New Roman" w:hAnsi="Times New Roman" w:cs="Times New Roman"/>
          <w:kern w:val="0"/>
          <w:sz w:val="24"/>
          <w:szCs w:val="24"/>
          <w:lang w:eastAsia="en-IN"/>
          <w14:ligatures w14:val="none"/>
        </w:rPr>
        <w:t>Univ</w:t>
      </w:r>
      <w:proofErr w:type="spellEnd"/>
      <w:r w:rsidRPr="00116BAB">
        <w:rPr>
          <w:rFonts w:ascii="Times New Roman" w:eastAsia="Times New Roman" w:hAnsi="Times New Roman" w:cs="Times New Roman"/>
          <w:kern w:val="0"/>
          <w:sz w:val="24"/>
          <w:szCs w:val="24"/>
          <w:lang w:eastAsia="en-IN"/>
          <w14:ligatures w14:val="none"/>
        </w:rPr>
        <w:t xml:space="preserve"> of California Press.</w:t>
      </w:r>
    </w:p>
    <w:p w14:paraId="6FF367F3"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Framework Convention on Climate Change. (2015). </w:t>
      </w:r>
      <w:r w:rsidRPr="004B759D">
        <w:rPr>
          <w:rFonts w:ascii="Times New Roman" w:eastAsia="Times New Roman" w:hAnsi="Times New Roman" w:cs="Times New Roman"/>
          <w:i/>
          <w:iCs/>
          <w:kern w:val="0"/>
          <w:sz w:val="24"/>
          <w:szCs w:val="24"/>
          <w:lang w:eastAsia="en-IN"/>
          <w14:ligatures w14:val="none"/>
        </w:rPr>
        <w:t>The Paris Agreement</w:t>
      </w:r>
      <w:r w:rsidRPr="004B759D">
        <w:rPr>
          <w:rFonts w:ascii="Times New Roman" w:eastAsia="Times New Roman" w:hAnsi="Times New Roman" w:cs="Times New Roman"/>
          <w:kern w:val="0"/>
          <w:sz w:val="24"/>
          <w:szCs w:val="24"/>
          <w:lang w:eastAsia="en-IN"/>
          <w14:ligatures w14:val="none"/>
        </w:rPr>
        <w:t xml:space="preserve">. </w:t>
      </w:r>
      <w:hyperlink r:id="rId21" w:tgtFrame="_new" w:history="1">
        <w:r w:rsidRPr="004B759D">
          <w:rPr>
            <w:rStyle w:val="Hyperlink"/>
            <w:rFonts w:ascii="Times New Roman" w:eastAsia="Times New Roman" w:hAnsi="Times New Roman" w:cs="Times New Roman"/>
            <w:kern w:val="0"/>
            <w:sz w:val="24"/>
            <w:szCs w:val="24"/>
            <w:lang w:eastAsia="en-IN"/>
            <w14:ligatures w14:val="none"/>
          </w:rPr>
          <w:t>https://unfccc.int/sites/default/files/english_paris_agreement.pdf</w:t>
        </w:r>
      </w:hyperlink>
    </w:p>
    <w:p w14:paraId="67E7D64D"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(2023). </w:t>
      </w:r>
      <w:r w:rsidRPr="004B759D">
        <w:rPr>
          <w:rFonts w:ascii="Times New Roman" w:eastAsia="Times New Roman" w:hAnsi="Times New Roman" w:cs="Times New Roman"/>
          <w:i/>
          <w:iCs/>
          <w:kern w:val="0"/>
          <w:sz w:val="24"/>
          <w:szCs w:val="24"/>
          <w:lang w:eastAsia="en-IN"/>
          <w14:ligatures w14:val="none"/>
        </w:rPr>
        <w:t>Sustainable Development Goals</w:t>
      </w:r>
      <w:r w:rsidRPr="004B759D">
        <w:rPr>
          <w:rFonts w:ascii="Times New Roman" w:eastAsia="Times New Roman" w:hAnsi="Times New Roman" w:cs="Times New Roman"/>
          <w:kern w:val="0"/>
          <w:sz w:val="24"/>
          <w:szCs w:val="24"/>
          <w:lang w:eastAsia="en-IN"/>
          <w14:ligatures w14:val="none"/>
        </w:rPr>
        <w:t xml:space="preserve">. United Nations. </w:t>
      </w:r>
      <w:hyperlink r:id="rId22" w:tgtFrame="_new" w:history="1">
        <w:r w:rsidRPr="004B759D">
          <w:rPr>
            <w:rStyle w:val="Hyperlink"/>
            <w:rFonts w:ascii="Times New Roman" w:eastAsia="Times New Roman" w:hAnsi="Times New Roman" w:cs="Times New Roman"/>
            <w:kern w:val="0"/>
            <w:sz w:val="24"/>
            <w:szCs w:val="24"/>
            <w:lang w:eastAsia="en-IN"/>
            <w14:ligatures w14:val="none"/>
          </w:rPr>
          <w:t>https://sdgs.un.org/goals</w:t>
        </w:r>
      </w:hyperlink>
    </w:p>
    <w:p w14:paraId="44154015"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lastRenderedPageBreak/>
        <w:t xml:space="preserve">United Nations. (2023). </w:t>
      </w:r>
      <w:r w:rsidRPr="004B759D">
        <w:rPr>
          <w:rFonts w:ascii="Times New Roman" w:eastAsia="Times New Roman" w:hAnsi="Times New Roman" w:cs="Times New Roman"/>
          <w:i/>
          <w:iCs/>
          <w:kern w:val="0"/>
          <w:sz w:val="24"/>
          <w:szCs w:val="24"/>
          <w:lang w:eastAsia="en-IN"/>
          <w14:ligatures w14:val="none"/>
        </w:rPr>
        <w:t>System of Environmental-Economic Accounting–Ecosystem Accounting (SEEA EA)</w:t>
      </w:r>
      <w:r w:rsidRPr="004B759D">
        <w:rPr>
          <w:rFonts w:ascii="Times New Roman" w:eastAsia="Times New Roman" w:hAnsi="Times New Roman" w:cs="Times New Roman"/>
          <w:kern w:val="0"/>
          <w:sz w:val="24"/>
          <w:szCs w:val="24"/>
          <w:lang w:eastAsia="en-IN"/>
          <w14:ligatures w14:val="none"/>
        </w:rPr>
        <w:t xml:space="preserve">. United Nations Statistics Division. </w:t>
      </w:r>
      <w:hyperlink r:id="rId23" w:tgtFrame="_new" w:history="1">
        <w:r w:rsidRPr="004B759D">
          <w:rPr>
            <w:rStyle w:val="Hyperlink"/>
            <w:rFonts w:ascii="Times New Roman" w:eastAsia="Times New Roman" w:hAnsi="Times New Roman" w:cs="Times New Roman"/>
            <w:kern w:val="0"/>
            <w:sz w:val="24"/>
            <w:szCs w:val="24"/>
            <w:lang w:eastAsia="en-IN"/>
            <w14:ligatures w14:val="none"/>
          </w:rPr>
          <w:t>https://unstats.un.org/unsd/envaccounting/seea.asp</w:t>
        </w:r>
      </w:hyperlink>
    </w:p>
    <w:p w14:paraId="7E4845FC"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United Nations. (2024). </w:t>
      </w:r>
      <w:r w:rsidRPr="004B759D">
        <w:rPr>
          <w:rFonts w:ascii="Times New Roman" w:eastAsia="Times New Roman" w:hAnsi="Times New Roman" w:cs="Times New Roman"/>
          <w:i/>
          <w:iCs/>
          <w:kern w:val="0"/>
          <w:sz w:val="24"/>
          <w:szCs w:val="24"/>
          <w:lang w:eastAsia="en-IN"/>
          <w14:ligatures w14:val="none"/>
        </w:rPr>
        <w:t>Oceans – United Nations Sustainable Development</w:t>
      </w:r>
      <w:r w:rsidRPr="004B759D">
        <w:rPr>
          <w:rFonts w:ascii="Times New Roman" w:eastAsia="Times New Roman" w:hAnsi="Times New Roman" w:cs="Times New Roman"/>
          <w:kern w:val="0"/>
          <w:sz w:val="24"/>
          <w:szCs w:val="24"/>
          <w:lang w:eastAsia="en-IN"/>
          <w14:ligatures w14:val="none"/>
        </w:rPr>
        <w:t>. United Nations.</w:t>
      </w:r>
    </w:p>
    <w:p w14:paraId="35B1C504"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UN-Water. (2023). </w:t>
      </w:r>
      <w:r w:rsidRPr="004B759D">
        <w:rPr>
          <w:rFonts w:ascii="Times New Roman" w:eastAsia="Times New Roman" w:hAnsi="Times New Roman" w:cs="Times New Roman"/>
          <w:i/>
          <w:iCs/>
          <w:kern w:val="0"/>
          <w:sz w:val="24"/>
          <w:szCs w:val="24"/>
          <w:lang w:eastAsia="en-IN"/>
          <w14:ligatures w14:val="none"/>
        </w:rPr>
        <w:t>Summary progress update 2023: SDG 6 – Water and sanitation for all</w:t>
      </w:r>
      <w:r w:rsidRPr="004B759D">
        <w:rPr>
          <w:rFonts w:ascii="Times New Roman" w:eastAsia="Times New Roman" w:hAnsi="Times New Roman" w:cs="Times New Roman"/>
          <w:kern w:val="0"/>
          <w:sz w:val="24"/>
          <w:szCs w:val="24"/>
          <w:lang w:eastAsia="en-IN"/>
          <w14:ligatures w14:val="none"/>
        </w:rPr>
        <w:t xml:space="preserve">. UN-Water. </w:t>
      </w:r>
      <w:hyperlink r:id="rId24" w:history="1">
        <w:r w:rsidRPr="004B759D">
          <w:rPr>
            <w:rStyle w:val="Hyperlink"/>
            <w:rFonts w:ascii="Times New Roman" w:eastAsia="Times New Roman" w:hAnsi="Times New Roman" w:cs="Times New Roman"/>
            <w:kern w:val="0"/>
            <w:sz w:val="24"/>
            <w:szCs w:val="24"/>
            <w:lang w:eastAsia="en-IN"/>
            <w14:ligatures w14:val="none"/>
          </w:rPr>
          <w:t>https://www.unwater.org/publications/summary-progress-update-2023-sdg-6-water-and-sanitation-all</w:t>
        </w:r>
      </w:hyperlink>
    </w:p>
    <w:p w14:paraId="7FDFF6A7" w14:textId="77777777" w:rsidR="00A34CC9" w:rsidRPr="00116BAB"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 xml:space="preserve">Vörösmarty, C. J., McIntyre, P. B., Gessner, M. O., Dudgeon, D., </w:t>
      </w:r>
      <w:proofErr w:type="spellStart"/>
      <w:r w:rsidRPr="00116BAB">
        <w:rPr>
          <w:rFonts w:ascii="Times New Roman" w:eastAsia="Times New Roman" w:hAnsi="Times New Roman" w:cs="Times New Roman"/>
          <w:kern w:val="0"/>
          <w:sz w:val="24"/>
          <w:szCs w:val="24"/>
          <w:lang w:eastAsia="en-IN"/>
          <w14:ligatures w14:val="none"/>
        </w:rPr>
        <w:t>Prusevich</w:t>
      </w:r>
      <w:proofErr w:type="spellEnd"/>
      <w:r w:rsidRPr="00116BAB">
        <w:rPr>
          <w:rFonts w:ascii="Times New Roman" w:eastAsia="Times New Roman" w:hAnsi="Times New Roman" w:cs="Times New Roman"/>
          <w:kern w:val="0"/>
          <w:sz w:val="24"/>
          <w:szCs w:val="24"/>
          <w:lang w:eastAsia="en-IN"/>
          <w14:ligatures w14:val="none"/>
        </w:rPr>
        <w:t>, A., Green, P., ... &amp; Davies, P. (2010). Global threats to human water security and river biodiversity. </w:t>
      </w:r>
      <w:r w:rsidRPr="00116BAB">
        <w:rPr>
          <w:rFonts w:ascii="Times New Roman" w:eastAsia="Times New Roman" w:hAnsi="Times New Roman" w:cs="Times New Roman"/>
          <w:i/>
          <w:iCs/>
          <w:kern w:val="0"/>
          <w:sz w:val="24"/>
          <w:szCs w:val="24"/>
          <w:lang w:eastAsia="en-IN"/>
          <w14:ligatures w14:val="none"/>
        </w:rPr>
        <w:t>nature</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467</w:t>
      </w:r>
      <w:r w:rsidRPr="00116BAB">
        <w:rPr>
          <w:rFonts w:ascii="Times New Roman" w:eastAsia="Times New Roman" w:hAnsi="Times New Roman" w:cs="Times New Roman"/>
          <w:kern w:val="0"/>
          <w:sz w:val="24"/>
          <w:szCs w:val="24"/>
          <w:lang w:eastAsia="en-IN"/>
          <w14:ligatures w14:val="none"/>
        </w:rPr>
        <w:t>(7315), 555-561.</w:t>
      </w:r>
    </w:p>
    <w:p w14:paraId="4E065A74" w14:textId="77777777" w:rsidR="00A34CC9"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116BAB">
        <w:rPr>
          <w:rFonts w:ascii="Times New Roman" w:eastAsia="Times New Roman" w:hAnsi="Times New Roman" w:cs="Times New Roman"/>
          <w:kern w:val="0"/>
          <w:sz w:val="24"/>
          <w:szCs w:val="24"/>
          <w:lang w:eastAsia="en-IN"/>
          <w14:ligatures w14:val="none"/>
        </w:rPr>
        <w:t>White, M. P., Elliott, L. R., Gascon, M., Roberts, B., &amp; Fleming, L. E. (2020). Blue space, health and well-being: A narrative overview and synthesis of potential benefits. </w:t>
      </w:r>
      <w:r w:rsidRPr="00116BAB">
        <w:rPr>
          <w:rFonts w:ascii="Times New Roman" w:eastAsia="Times New Roman" w:hAnsi="Times New Roman" w:cs="Times New Roman"/>
          <w:i/>
          <w:iCs/>
          <w:kern w:val="0"/>
          <w:sz w:val="24"/>
          <w:szCs w:val="24"/>
          <w:lang w:eastAsia="en-IN"/>
          <w14:ligatures w14:val="none"/>
        </w:rPr>
        <w:t>Environmental research</w:t>
      </w:r>
      <w:r w:rsidRPr="00116BAB">
        <w:rPr>
          <w:rFonts w:ascii="Times New Roman" w:eastAsia="Times New Roman" w:hAnsi="Times New Roman" w:cs="Times New Roman"/>
          <w:kern w:val="0"/>
          <w:sz w:val="24"/>
          <w:szCs w:val="24"/>
          <w:lang w:eastAsia="en-IN"/>
          <w14:ligatures w14:val="none"/>
        </w:rPr>
        <w:t>, </w:t>
      </w:r>
      <w:r w:rsidRPr="00116BAB">
        <w:rPr>
          <w:rFonts w:ascii="Times New Roman" w:eastAsia="Times New Roman" w:hAnsi="Times New Roman" w:cs="Times New Roman"/>
          <w:i/>
          <w:iCs/>
          <w:kern w:val="0"/>
          <w:sz w:val="24"/>
          <w:szCs w:val="24"/>
          <w:lang w:eastAsia="en-IN"/>
          <w14:ligatures w14:val="none"/>
        </w:rPr>
        <w:t>191</w:t>
      </w:r>
      <w:r w:rsidRPr="00116BAB">
        <w:rPr>
          <w:rFonts w:ascii="Times New Roman" w:eastAsia="Times New Roman" w:hAnsi="Times New Roman" w:cs="Times New Roman"/>
          <w:kern w:val="0"/>
          <w:sz w:val="24"/>
          <w:szCs w:val="24"/>
          <w:lang w:eastAsia="en-IN"/>
          <w14:ligatures w14:val="none"/>
        </w:rPr>
        <w:t>, 110169.</w:t>
      </w:r>
    </w:p>
    <w:p w14:paraId="64C902A8" w14:textId="77777777" w:rsidR="00A34CC9" w:rsidRPr="004B759D"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World Bank. (2013). </w:t>
      </w:r>
      <w:r w:rsidRPr="004B759D">
        <w:rPr>
          <w:rFonts w:ascii="Times New Roman" w:eastAsia="Times New Roman" w:hAnsi="Times New Roman" w:cs="Times New Roman"/>
          <w:i/>
          <w:iCs/>
          <w:kern w:val="0"/>
          <w:sz w:val="24"/>
          <w:szCs w:val="24"/>
          <w:lang w:eastAsia="en-IN"/>
          <w14:ligatures w14:val="none"/>
        </w:rPr>
        <w:t>Fish to 2030: Prospects for fisheries and aquaculture</w:t>
      </w:r>
      <w:r w:rsidRPr="004B759D">
        <w:rPr>
          <w:rFonts w:ascii="Times New Roman" w:eastAsia="Times New Roman" w:hAnsi="Times New Roman" w:cs="Times New Roman"/>
          <w:kern w:val="0"/>
          <w:sz w:val="24"/>
          <w:szCs w:val="24"/>
          <w:lang w:eastAsia="en-IN"/>
          <w14:ligatures w14:val="none"/>
        </w:rPr>
        <w:t xml:space="preserve"> (Report No. 83177-GLB). World Bank. </w:t>
      </w:r>
      <w:hyperlink r:id="rId25" w:tgtFrame="_new" w:history="1">
        <w:r w:rsidRPr="004B759D">
          <w:rPr>
            <w:rStyle w:val="Hyperlink"/>
            <w:rFonts w:ascii="Times New Roman" w:eastAsia="Times New Roman" w:hAnsi="Times New Roman" w:cs="Times New Roman"/>
            <w:kern w:val="0"/>
            <w:sz w:val="24"/>
            <w:szCs w:val="24"/>
            <w:lang w:eastAsia="en-IN"/>
            <w14:ligatures w14:val="none"/>
          </w:rPr>
          <w:t>https://documents.worldbank.org/en/publication/documents-reports/documentdetail/458631468152376668/fish-to-2030-prospects-for-fisheries-and-aquaculture</w:t>
        </w:r>
      </w:hyperlink>
    </w:p>
    <w:p w14:paraId="0E77E42A" w14:textId="77777777" w:rsidR="00A34CC9"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4B759D">
        <w:rPr>
          <w:rFonts w:ascii="Times New Roman" w:eastAsia="Times New Roman" w:hAnsi="Times New Roman" w:cs="Times New Roman"/>
          <w:kern w:val="0"/>
          <w:sz w:val="24"/>
          <w:szCs w:val="24"/>
          <w:lang w:eastAsia="en-IN"/>
          <w14:ligatures w14:val="none"/>
        </w:rPr>
        <w:t xml:space="preserve">World Bank. (2023). </w:t>
      </w:r>
      <w:r w:rsidRPr="004B759D">
        <w:rPr>
          <w:rFonts w:ascii="Times New Roman" w:eastAsia="Times New Roman" w:hAnsi="Times New Roman" w:cs="Times New Roman"/>
          <w:i/>
          <w:iCs/>
          <w:kern w:val="0"/>
          <w:sz w:val="24"/>
          <w:szCs w:val="24"/>
          <w:lang w:eastAsia="en-IN"/>
          <w14:ligatures w14:val="none"/>
        </w:rPr>
        <w:t>Fisheries and aquaculture highlights</w:t>
      </w:r>
      <w:r w:rsidRPr="004B759D">
        <w:rPr>
          <w:rFonts w:ascii="Times New Roman" w:eastAsia="Times New Roman" w:hAnsi="Times New Roman" w:cs="Times New Roman"/>
          <w:kern w:val="0"/>
          <w:sz w:val="24"/>
          <w:szCs w:val="24"/>
          <w:lang w:eastAsia="en-IN"/>
          <w14:ligatures w14:val="none"/>
        </w:rPr>
        <w:t>. World Bank.</w:t>
      </w:r>
    </w:p>
    <w:p w14:paraId="2878DFC6" w14:textId="77777777" w:rsidR="00A34CC9" w:rsidRDefault="00A34CC9"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r w:rsidRPr="000605E6">
        <w:rPr>
          <w:rFonts w:ascii="Times New Roman" w:eastAsia="Times New Roman" w:hAnsi="Times New Roman" w:cs="Times New Roman"/>
          <w:kern w:val="0"/>
          <w:sz w:val="24"/>
          <w:szCs w:val="24"/>
          <w:lang w:eastAsia="en-IN"/>
          <w14:ligatures w14:val="none"/>
        </w:rPr>
        <w:t xml:space="preserve">Wunder, S., Brouwer, R., Engel, S., </w:t>
      </w:r>
      <w:proofErr w:type="spellStart"/>
      <w:r w:rsidRPr="000605E6">
        <w:rPr>
          <w:rFonts w:ascii="Times New Roman" w:eastAsia="Times New Roman" w:hAnsi="Times New Roman" w:cs="Times New Roman"/>
          <w:kern w:val="0"/>
          <w:sz w:val="24"/>
          <w:szCs w:val="24"/>
          <w:lang w:eastAsia="en-IN"/>
          <w14:ligatures w14:val="none"/>
        </w:rPr>
        <w:t>Ezzine</w:t>
      </w:r>
      <w:proofErr w:type="spellEnd"/>
      <w:r w:rsidRPr="000605E6">
        <w:rPr>
          <w:rFonts w:ascii="Times New Roman" w:eastAsia="Times New Roman" w:hAnsi="Times New Roman" w:cs="Times New Roman"/>
          <w:kern w:val="0"/>
          <w:sz w:val="24"/>
          <w:szCs w:val="24"/>
          <w:lang w:eastAsia="en-IN"/>
          <w14:ligatures w14:val="none"/>
        </w:rPr>
        <w:t>-de-Blas, D., Muradian, R., Pascual, U., &amp; Pinto, R. (2018). From principles to practice in paying for nature’s services. </w:t>
      </w:r>
      <w:r w:rsidRPr="000605E6">
        <w:rPr>
          <w:rFonts w:ascii="Times New Roman" w:eastAsia="Times New Roman" w:hAnsi="Times New Roman" w:cs="Times New Roman"/>
          <w:i/>
          <w:iCs/>
          <w:kern w:val="0"/>
          <w:sz w:val="24"/>
          <w:szCs w:val="24"/>
          <w:lang w:eastAsia="en-IN"/>
          <w14:ligatures w14:val="none"/>
        </w:rPr>
        <w:t>Nature sustainability</w:t>
      </w:r>
      <w:r w:rsidRPr="000605E6">
        <w:rPr>
          <w:rFonts w:ascii="Times New Roman" w:eastAsia="Times New Roman" w:hAnsi="Times New Roman" w:cs="Times New Roman"/>
          <w:kern w:val="0"/>
          <w:sz w:val="24"/>
          <w:szCs w:val="24"/>
          <w:lang w:eastAsia="en-IN"/>
          <w14:ligatures w14:val="none"/>
        </w:rPr>
        <w:t>, </w:t>
      </w:r>
      <w:r w:rsidRPr="000605E6">
        <w:rPr>
          <w:rFonts w:ascii="Times New Roman" w:eastAsia="Times New Roman" w:hAnsi="Times New Roman" w:cs="Times New Roman"/>
          <w:i/>
          <w:iCs/>
          <w:kern w:val="0"/>
          <w:sz w:val="24"/>
          <w:szCs w:val="24"/>
          <w:lang w:eastAsia="en-IN"/>
          <w14:ligatures w14:val="none"/>
        </w:rPr>
        <w:t>1</w:t>
      </w:r>
      <w:r w:rsidRPr="000605E6">
        <w:rPr>
          <w:rFonts w:ascii="Times New Roman" w:eastAsia="Times New Roman" w:hAnsi="Times New Roman" w:cs="Times New Roman"/>
          <w:kern w:val="0"/>
          <w:sz w:val="24"/>
          <w:szCs w:val="24"/>
          <w:lang w:eastAsia="en-IN"/>
          <w14:ligatures w14:val="none"/>
        </w:rPr>
        <w:t>(3), 145-150.</w:t>
      </w:r>
    </w:p>
    <w:p w14:paraId="41ACC0D7" w14:textId="77777777" w:rsidR="008F2AFC" w:rsidRDefault="008F2AFC"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p>
    <w:p w14:paraId="6EE5FF1E" w14:textId="77777777" w:rsidR="004B759D" w:rsidRPr="00116BAB" w:rsidRDefault="004B759D" w:rsidP="006513E0">
      <w:pPr>
        <w:spacing w:before="100" w:beforeAutospacing="1" w:after="100" w:afterAutospacing="1" w:line="360" w:lineRule="auto"/>
        <w:ind w:left="720" w:hanging="720"/>
        <w:jc w:val="both"/>
        <w:rPr>
          <w:rFonts w:ascii="Times New Roman" w:eastAsia="Times New Roman" w:hAnsi="Times New Roman" w:cs="Times New Roman"/>
          <w:kern w:val="0"/>
          <w:sz w:val="24"/>
          <w:szCs w:val="24"/>
          <w:lang w:eastAsia="en-IN"/>
          <w14:ligatures w14:val="none"/>
        </w:rPr>
      </w:pPr>
    </w:p>
    <w:p w14:paraId="5EAC0B44" w14:textId="77777777" w:rsidR="00944797" w:rsidRDefault="00944797" w:rsidP="006513E0">
      <w:pPr>
        <w:spacing w:line="360" w:lineRule="auto"/>
        <w:jc w:val="both"/>
      </w:pPr>
    </w:p>
    <w:sectPr w:rsidR="00944797">
      <w:headerReference w:type="even" r:id="rId26"/>
      <w:headerReference w:type="default" r:id="rId27"/>
      <w:footerReference w:type="even" r:id="rId28"/>
      <w:footerReference w:type="default" r:id="rId29"/>
      <w:headerReference w:type="first" r:id="rId30"/>
      <w:footerReference w:type="first" r:id="rId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4B3437" w14:textId="77777777" w:rsidR="00A63BD7" w:rsidRDefault="00A63BD7" w:rsidP="00C64433">
      <w:pPr>
        <w:spacing w:after="0" w:line="240" w:lineRule="auto"/>
      </w:pPr>
      <w:r>
        <w:separator/>
      </w:r>
    </w:p>
  </w:endnote>
  <w:endnote w:type="continuationSeparator" w:id="0">
    <w:p w14:paraId="17734731" w14:textId="77777777" w:rsidR="00A63BD7" w:rsidRDefault="00A63BD7" w:rsidP="00C6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F443" w14:textId="77777777" w:rsidR="00C64433" w:rsidRDefault="00C644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3DC0F" w14:textId="77777777" w:rsidR="00C64433" w:rsidRDefault="00C6443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B83E9" w14:textId="77777777" w:rsidR="00C64433" w:rsidRDefault="00C644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2AEA8" w14:textId="77777777" w:rsidR="00A63BD7" w:rsidRDefault="00A63BD7" w:rsidP="00C64433">
      <w:pPr>
        <w:spacing w:after="0" w:line="240" w:lineRule="auto"/>
      </w:pPr>
      <w:r>
        <w:separator/>
      </w:r>
    </w:p>
  </w:footnote>
  <w:footnote w:type="continuationSeparator" w:id="0">
    <w:p w14:paraId="06AF29E8" w14:textId="77777777" w:rsidR="00A63BD7" w:rsidRDefault="00A63BD7" w:rsidP="00C64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183CB" w14:textId="6A27E3DE" w:rsidR="00C64433" w:rsidRDefault="00000000">
    <w:pPr>
      <w:pStyle w:val="Header"/>
    </w:pPr>
    <w:r>
      <w:rPr>
        <w:noProof/>
      </w:rPr>
      <w:pict w14:anchorId="5534EA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77610"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0BAB2" w14:textId="04A7DF16" w:rsidR="00C64433" w:rsidRDefault="00000000">
    <w:pPr>
      <w:pStyle w:val="Header"/>
    </w:pPr>
    <w:r>
      <w:rPr>
        <w:noProof/>
      </w:rPr>
      <w:pict w14:anchorId="730E3F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77611"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E7827" w14:textId="4FCEB77D" w:rsidR="00C64433" w:rsidRDefault="00000000">
    <w:pPr>
      <w:pStyle w:val="Header"/>
    </w:pPr>
    <w:r>
      <w:rPr>
        <w:noProof/>
      </w:rPr>
      <w:pict w14:anchorId="27B46D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7977609"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F32B7"/>
    <w:multiLevelType w:val="multilevel"/>
    <w:tmpl w:val="BD42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7C5142"/>
    <w:multiLevelType w:val="multilevel"/>
    <w:tmpl w:val="224E4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A7F525D"/>
    <w:multiLevelType w:val="multilevel"/>
    <w:tmpl w:val="141C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5F1435"/>
    <w:multiLevelType w:val="hybridMultilevel"/>
    <w:tmpl w:val="D0A6EF5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0A831F3"/>
    <w:multiLevelType w:val="hybridMultilevel"/>
    <w:tmpl w:val="0E74B5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7EF5645"/>
    <w:multiLevelType w:val="multilevel"/>
    <w:tmpl w:val="BF6AC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2699177">
    <w:abstractNumId w:val="2"/>
  </w:num>
  <w:num w:numId="2" w16cid:durableId="1974824298">
    <w:abstractNumId w:val="5"/>
  </w:num>
  <w:num w:numId="3" w16cid:durableId="662054103">
    <w:abstractNumId w:val="0"/>
  </w:num>
  <w:num w:numId="4" w16cid:durableId="688871167">
    <w:abstractNumId w:val="1"/>
  </w:num>
  <w:num w:numId="5" w16cid:durableId="982661376">
    <w:abstractNumId w:val="4"/>
  </w:num>
  <w:num w:numId="6" w16cid:durableId="12600616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97"/>
    <w:rsid w:val="0002411F"/>
    <w:rsid w:val="000605E6"/>
    <w:rsid w:val="00070DE5"/>
    <w:rsid w:val="00072B53"/>
    <w:rsid w:val="000D3025"/>
    <w:rsid w:val="000D4D80"/>
    <w:rsid w:val="00116BAB"/>
    <w:rsid w:val="00141164"/>
    <w:rsid w:val="001574EB"/>
    <w:rsid w:val="00172944"/>
    <w:rsid w:val="00187594"/>
    <w:rsid w:val="001A380A"/>
    <w:rsid w:val="001E45DC"/>
    <w:rsid w:val="001E71E7"/>
    <w:rsid w:val="002176CB"/>
    <w:rsid w:val="0022285F"/>
    <w:rsid w:val="00243CB4"/>
    <w:rsid w:val="00265974"/>
    <w:rsid w:val="00293147"/>
    <w:rsid w:val="002B1E78"/>
    <w:rsid w:val="003A7368"/>
    <w:rsid w:val="003B22AE"/>
    <w:rsid w:val="003E5A83"/>
    <w:rsid w:val="003F0727"/>
    <w:rsid w:val="0045190C"/>
    <w:rsid w:val="00495636"/>
    <w:rsid w:val="004B759D"/>
    <w:rsid w:val="004D77BF"/>
    <w:rsid w:val="004E28AA"/>
    <w:rsid w:val="004F5CEF"/>
    <w:rsid w:val="00532A23"/>
    <w:rsid w:val="00597588"/>
    <w:rsid w:val="005B7172"/>
    <w:rsid w:val="005B7B54"/>
    <w:rsid w:val="005F04C9"/>
    <w:rsid w:val="006513E0"/>
    <w:rsid w:val="006A0956"/>
    <w:rsid w:val="006A659E"/>
    <w:rsid w:val="006C07E1"/>
    <w:rsid w:val="006D1EB7"/>
    <w:rsid w:val="006E0AE0"/>
    <w:rsid w:val="006E2380"/>
    <w:rsid w:val="00717993"/>
    <w:rsid w:val="00873AAC"/>
    <w:rsid w:val="00882CC5"/>
    <w:rsid w:val="008D3C16"/>
    <w:rsid w:val="008F2AFC"/>
    <w:rsid w:val="00913EB6"/>
    <w:rsid w:val="00944797"/>
    <w:rsid w:val="00973DF9"/>
    <w:rsid w:val="009B53B4"/>
    <w:rsid w:val="009F173B"/>
    <w:rsid w:val="00A168B5"/>
    <w:rsid w:val="00A24ED4"/>
    <w:rsid w:val="00A34CC9"/>
    <w:rsid w:val="00A63BD7"/>
    <w:rsid w:val="00AA5E72"/>
    <w:rsid w:val="00AC768E"/>
    <w:rsid w:val="00AD2802"/>
    <w:rsid w:val="00AE1C75"/>
    <w:rsid w:val="00AE516E"/>
    <w:rsid w:val="00B3669B"/>
    <w:rsid w:val="00B947D5"/>
    <w:rsid w:val="00BC4DC4"/>
    <w:rsid w:val="00BE1397"/>
    <w:rsid w:val="00BF01F1"/>
    <w:rsid w:val="00C52D4D"/>
    <w:rsid w:val="00C63AF5"/>
    <w:rsid w:val="00C64433"/>
    <w:rsid w:val="00C90F94"/>
    <w:rsid w:val="00CC301A"/>
    <w:rsid w:val="00CD422B"/>
    <w:rsid w:val="00D02E01"/>
    <w:rsid w:val="00D11D6C"/>
    <w:rsid w:val="00D40F0E"/>
    <w:rsid w:val="00D718C9"/>
    <w:rsid w:val="00DC5DF4"/>
    <w:rsid w:val="00DD2F17"/>
    <w:rsid w:val="00DD4EF2"/>
    <w:rsid w:val="00E43264"/>
    <w:rsid w:val="00E6591A"/>
    <w:rsid w:val="00EA6AD6"/>
    <w:rsid w:val="00EC2BB1"/>
    <w:rsid w:val="00EE18C3"/>
    <w:rsid w:val="00F07F1B"/>
    <w:rsid w:val="00F1676C"/>
    <w:rsid w:val="00F216E1"/>
    <w:rsid w:val="00F241AD"/>
    <w:rsid w:val="00F30C93"/>
    <w:rsid w:val="00F40FB7"/>
    <w:rsid w:val="00F6495D"/>
    <w:rsid w:val="00F922FB"/>
    <w:rsid w:val="00FC4924"/>
    <w:rsid w:val="00FF77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30806"/>
  <w15:chartTrackingRefBased/>
  <w15:docId w15:val="{ECB75693-49DC-4A5C-B226-692E9341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4797"/>
  </w:style>
  <w:style w:type="paragraph" w:styleId="Heading1">
    <w:name w:val="heading 1"/>
    <w:basedOn w:val="Normal"/>
    <w:next w:val="Normal"/>
    <w:link w:val="Heading1Char"/>
    <w:uiPriority w:val="9"/>
    <w:qFormat/>
    <w:rsid w:val="00944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44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447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447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447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44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7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447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447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447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447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44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797"/>
    <w:rPr>
      <w:rFonts w:eastAsiaTheme="majorEastAsia" w:cstheme="majorBidi"/>
      <w:color w:val="272727" w:themeColor="text1" w:themeTint="D8"/>
    </w:rPr>
  </w:style>
  <w:style w:type="paragraph" w:styleId="Title">
    <w:name w:val="Title"/>
    <w:basedOn w:val="Normal"/>
    <w:next w:val="Normal"/>
    <w:link w:val="TitleChar"/>
    <w:uiPriority w:val="10"/>
    <w:qFormat/>
    <w:rsid w:val="00944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797"/>
    <w:pPr>
      <w:spacing w:before="160"/>
      <w:jc w:val="center"/>
    </w:pPr>
    <w:rPr>
      <w:i/>
      <w:iCs/>
      <w:color w:val="404040" w:themeColor="text1" w:themeTint="BF"/>
    </w:rPr>
  </w:style>
  <w:style w:type="character" w:customStyle="1" w:styleId="QuoteChar">
    <w:name w:val="Quote Char"/>
    <w:basedOn w:val="DefaultParagraphFont"/>
    <w:link w:val="Quote"/>
    <w:uiPriority w:val="29"/>
    <w:rsid w:val="00944797"/>
    <w:rPr>
      <w:i/>
      <w:iCs/>
      <w:color w:val="404040" w:themeColor="text1" w:themeTint="BF"/>
    </w:rPr>
  </w:style>
  <w:style w:type="paragraph" w:styleId="ListParagraph">
    <w:name w:val="List Paragraph"/>
    <w:basedOn w:val="Normal"/>
    <w:uiPriority w:val="34"/>
    <w:qFormat/>
    <w:rsid w:val="00944797"/>
    <w:pPr>
      <w:ind w:left="720"/>
      <w:contextualSpacing/>
    </w:pPr>
  </w:style>
  <w:style w:type="character" w:styleId="IntenseEmphasis">
    <w:name w:val="Intense Emphasis"/>
    <w:basedOn w:val="DefaultParagraphFont"/>
    <w:uiPriority w:val="21"/>
    <w:qFormat/>
    <w:rsid w:val="00944797"/>
    <w:rPr>
      <w:i/>
      <w:iCs/>
      <w:color w:val="2F5496" w:themeColor="accent1" w:themeShade="BF"/>
    </w:rPr>
  </w:style>
  <w:style w:type="paragraph" w:styleId="IntenseQuote">
    <w:name w:val="Intense Quote"/>
    <w:basedOn w:val="Normal"/>
    <w:next w:val="Normal"/>
    <w:link w:val="IntenseQuoteChar"/>
    <w:uiPriority w:val="30"/>
    <w:qFormat/>
    <w:rsid w:val="00944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44797"/>
    <w:rPr>
      <w:i/>
      <w:iCs/>
      <w:color w:val="2F5496" w:themeColor="accent1" w:themeShade="BF"/>
    </w:rPr>
  </w:style>
  <w:style w:type="character" w:styleId="IntenseReference">
    <w:name w:val="Intense Reference"/>
    <w:basedOn w:val="DefaultParagraphFont"/>
    <w:uiPriority w:val="32"/>
    <w:qFormat/>
    <w:rsid w:val="00944797"/>
    <w:rPr>
      <w:b/>
      <w:bCs/>
      <w:smallCaps/>
      <w:color w:val="2F5496" w:themeColor="accent1" w:themeShade="BF"/>
      <w:spacing w:val="5"/>
    </w:rPr>
  </w:style>
  <w:style w:type="character" w:styleId="Hyperlink">
    <w:name w:val="Hyperlink"/>
    <w:basedOn w:val="DefaultParagraphFont"/>
    <w:uiPriority w:val="99"/>
    <w:unhideWhenUsed/>
    <w:rsid w:val="00944797"/>
    <w:rPr>
      <w:color w:val="0563C1" w:themeColor="hyperlink"/>
      <w:u w:val="single"/>
    </w:rPr>
  </w:style>
  <w:style w:type="character" w:styleId="UnresolvedMention">
    <w:name w:val="Unresolved Mention"/>
    <w:basedOn w:val="DefaultParagraphFont"/>
    <w:uiPriority w:val="99"/>
    <w:semiHidden/>
    <w:unhideWhenUsed/>
    <w:rsid w:val="00944797"/>
    <w:rPr>
      <w:color w:val="605E5C"/>
      <w:shd w:val="clear" w:color="auto" w:fill="E1DFDD"/>
    </w:rPr>
  </w:style>
  <w:style w:type="paragraph" w:styleId="Header">
    <w:name w:val="header"/>
    <w:basedOn w:val="Normal"/>
    <w:link w:val="HeaderChar"/>
    <w:uiPriority w:val="99"/>
    <w:unhideWhenUsed/>
    <w:rsid w:val="00C64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33"/>
  </w:style>
  <w:style w:type="paragraph" w:styleId="Footer">
    <w:name w:val="footer"/>
    <w:basedOn w:val="Normal"/>
    <w:link w:val="FooterChar"/>
    <w:uiPriority w:val="99"/>
    <w:unhideWhenUsed/>
    <w:rsid w:val="00C64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30699">
      <w:bodyDiv w:val="1"/>
      <w:marLeft w:val="0"/>
      <w:marRight w:val="0"/>
      <w:marTop w:val="0"/>
      <w:marBottom w:val="0"/>
      <w:divBdr>
        <w:top w:val="none" w:sz="0" w:space="0" w:color="auto"/>
        <w:left w:val="none" w:sz="0" w:space="0" w:color="auto"/>
        <w:bottom w:val="none" w:sz="0" w:space="0" w:color="auto"/>
        <w:right w:val="none" w:sz="0" w:space="0" w:color="auto"/>
      </w:divBdr>
    </w:div>
    <w:div w:id="66150057">
      <w:bodyDiv w:val="1"/>
      <w:marLeft w:val="0"/>
      <w:marRight w:val="0"/>
      <w:marTop w:val="0"/>
      <w:marBottom w:val="0"/>
      <w:divBdr>
        <w:top w:val="none" w:sz="0" w:space="0" w:color="auto"/>
        <w:left w:val="none" w:sz="0" w:space="0" w:color="auto"/>
        <w:bottom w:val="none" w:sz="0" w:space="0" w:color="auto"/>
        <w:right w:val="none" w:sz="0" w:space="0" w:color="auto"/>
      </w:divBdr>
    </w:div>
    <w:div w:id="82922040">
      <w:bodyDiv w:val="1"/>
      <w:marLeft w:val="0"/>
      <w:marRight w:val="0"/>
      <w:marTop w:val="0"/>
      <w:marBottom w:val="0"/>
      <w:divBdr>
        <w:top w:val="none" w:sz="0" w:space="0" w:color="auto"/>
        <w:left w:val="none" w:sz="0" w:space="0" w:color="auto"/>
        <w:bottom w:val="none" w:sz="0" w:space="0" w:color="auto"/>
        <w:right w:val="none" w:sz="0" w:space="0" w:color="auto"/>
      </w:divBdr>
    </w:div>
    <w:div w:id="116069389">
      <w:bodyDiv w:val="1"/>
      <w:marLeft w:val="0"/>
      <w:marRight w:val="0"/>
      <w:marTop w:val="0"/>
      <w:marBottom w:val="0"/>
      <w:divBdr>
        <w:top w:val="none" w:sz="0" w:space="0" w:color="auto"/>
        <w:left w:val="none" w:sz="0" w:space="0" w:color="auto"/>
        <w:bottom w:val="none" w:sz="0" w:space="0" w:color="auto"/>
        <w:right w:val="none" w:sz="0" w:space="0" w:color="auto"/>
      </w:divBdr>
    </w:div>
    <w:div w:id="151144981">
      <w:bodyDiv w:val="1"/>
      <w:marLeft w:val="0"/>
      <w:marRight w:val="0"/>
      <w:marTop w:val="0"/>
      <w:marBottom w:val="0"/>
      <w:divBdr>
        <w:top w:val="none" w:sz="0" w:space="0" w:color="auto"/>
        <w:left w:val="none" w:sz="0" w:space="0" w:color="auto"/>
        <w:bottom w:val="none" w:sz="0" w:space="0" w:color="auto"/>
        <w:right w:val="none" w:sz="0" w:space="0" w:color="auto"/>
      </w:divBdr>
    </w:div>
    <w:div w:id="180897655">
      <w:bodyDiv w:val="1"/>
      <w:marLeft w:val="0"/>
      <w:marRight w:val="0"/>
      <w:marTop w:val="0"/>
      <w:marBottom w:val="0"/>
      <w:divBdr>
        <w:top w:val="none" w:sz="0" w:space="0" w:color="auto"/>
        <w:left w:val="none" w:sz="0" w:space="0" w:color="auto"/>
        <w:bottom w:val="none" w:sz="0" w:space="0" w:color="auto"/>
        <w:right w:val="none" w:sz="0" w:space="0" w:color="auto"/>
      </w:divBdr>
    </w:div>
    <w:div w:id="363559883">
      <w:bodyDiv w:val="1"/>
      <w:marLeft w:val="0"/>
      <w:marRight w:val="0"/>
      <w:marTop w:val="0"/>
      <w:marBottom w:val="0"/>
      <w:divBdr>
        <w:top w:val="none" w:sz="0" w:space="0" w:color="auto"/>
        <w:left w:val="none" w:sz="0" w:space="0" w:color="auto"/>
        <w:bottom w:val="none" w:sz="0" w:space="0" w:color="auto"/>
        <w:right w:val="none" w:sz="0" w:space="0" w:color="auto"/>
      </w:divBdr>
    </w:div>
    <w:div w:id="401216501">
      <w:bodyDiv w:val="1"/>
      <w:marLeft w:val="0"/>
      <w:marRight w:val="0"/>
      <w:marTop w:val="0"/>
      <w:marBottom w:val="0"/>
      <w:divBdr>
        <w:top w:val="none" w:sz="0" w:space="0" w:color="auto"/>
        <w:left w:val="none" w:sz="0" w:space="0" w:color="auto"/>
        <w:bottom w:val="none" w:sz="0" w:space="0" w:color="auto"/>
        <w:right w:val="none" w:sz="0" w:space="0" w:color="auto"/>
      </w:divBdr>
    </w:div>
    <w:div w:id="505873924">
      <w:bodyDiv w:val="1"/>
      <w:marLeft w:val="0"/>
      <w:marRight w:val="0"/>
      <w:marTop w:val="0"/>
      <w:marBottom w:val="0"/>
      <w:divBdr>
        <w:top w:val="none" w:sz="0" w:space="0" w:color="auto"/>
        <w:left w:val="none" w:sz="0" w:space="0" w:color="auto"/>
        <w:bottom w:val="none" w:sz="0" w:space="0" w:color="auto"/>
        <w:right w:val="none" w:sz="0" w:space="0" w:color="auto"/>
      </w:divBdr>
    </w:div>
    <w:div w:id="507644664">
      <w:bodyDiv w:val="1"/>
      <w:marLeft w:val="0"/>
      <w:marRight w:val="0"/>
      <w:marTop w:val="0"/>
      <w:marBottom w:val="0"/>
      <w:divBdr>
        <w:top w:val="none" w:sz="0" w:space="0" w:color="auto"/>
        <w:left w:val="none" w:sz="0" w:space="0" w:color="auto"/>
        <w:bottom w:val="none" w:sz="0" w:space="0" w:color="auto"/>
        <w:right w:val="none" w:sz="0" w:space="0" w:color="auto"/>
      </w:divBdr>
    </w:div>
    <w:div w:id="535193836">
      <w:bodyDiv w:val="1"/>
      <w:marLeft w:val="0"/>
      <w:marRight w:val="0"/>
      <w:marTop w:val="0"/>
      <w:marBottom w:val="0"/>
      <w:divBdr>
        <w:top w:val="none" w:sz="0" w:space="0" w:color="auto"/>
        <w:left w:val="none" w:sz="0" w:space="0" w:color="auto"/>
        <w:bottom w:val="none" w:sz="0" w:space="0" w:color="auto"/>
        <w:right w:val="none" w:sz="0" w:space="0" w:color="auto"/>
      </w:divBdr>
    </w:div>
    <w:div w:id="552623749">
      <w:bodyDiv w:val="1"/>
      <w:marLeft w:val="0"/>
      <w:marRight w:val="0"/>
      <w:marTop w:val="0"/>
      <w:marBottom w:val="0"/>
      <w:divBdr>
        <w:top w:val="none" w:sz="0" w:space="0" w:color="auto"/>
        <w:left w:val="none" w:sz="0" w:space="0" w:color="auto"/>
        <w:bottom w:val="none" w:sz="0" w:space="0" w:color="auto"/>
        <w:right w:val="none" w:sz="0" w:space="0" w:color="auto"/>
      </w:divBdr>
    </w:div>
    <w:div w:id="560754421">
      <w:bodyDiv w:val="1"/>
      <w:marLeft w:val="0"/>
      <w:marRight w:val="0"/>
      <w:marTop w:val="0"/>
      <w:marBottom w:val="0"/>
      <w:divBdr>
        <w:top w:val="none" w:sz="0" w:space="0" w:color="auto"/>
        <w:left w:val="none" w:sz="0" w:space="0" w:color="auto"/>
        <w:bottom w:val="none" w:sz="0" w:space="0" w:color="auto"/>
        <w:right w:val="none" w:sz="0" w:space="0" w:color="auto"/>
      </w:divBdr>
    </w:div>
    <w:div w:id="561520934">
      <w:bodyDiv w:val="1"/>
      <w:marLeft w:val="0"/>
      <w:marRight w:val="0"/>
      <w:marTop w:val="0"/>
      <w:marBottom w:val="0"/>
      <w:divBdr>
        <w:top w:val="none" w:sz="0" w:space="0" w:color="auto"/>
        <w:left w:val="none" w:sz="0" w:space="0" w:color="auto"/>
        <w:bottom w:val="none" w:sz="0" w:space="0" w:color="auto"/>
        <w:right w:val="none" w:sz="0" w:space="0" w:color="auto"/>
      </w:divBdr>
    </w:div>
    <w:div w:id="561792037">
      <w:bodyDiv w:val="1"/>
      <w:marLeft w:val="0"/>
      <w:marRight w:val="0"/>
      <w:marTop w:val="0"/>
      <w:marBottom w:val="0"/>
      <w:divBdr>
        <w:top w:val="none" w:sz="0" w:space="0" w:color="auto"/>
        <w:left w:val="none" w:sz="0" w:space="0" w:color="auto"/>
        <w:bottom w:val="none" w:sz="0" w:space="0" w:color="auto"/>
        <w:right w:val="none" w:sz="0" w:space="0" w:color="auto"/>
      </w:divBdr>
    </w:div>
    <w:div w:id="782118684">
      <w:bodyDiv w:val="1"/>
      <w:marLeft w:val="0"/>
      <w:marRight w:val="0"/>
      <w:marTop w:val="0"/>
      <w:marBottom w:val="0"/>
      <w:divBdr>
        <w:top w:val="none" w:sz="0" w:space="0" w:color="auto"/>
        <w:left w:val="none" w:sz="0" w:space="0" w:color="auto"/>
        <w:bottom w:val="none" w:sz="0" w:space="0" w:color="auto"/>
        <w:right w:val="none" w:sz="0" w:space="0" w:color="auto"/>
      </w:divBdr>
    </w:div>
    <w:div w:id="804617025">
      <w:bodyDiv w:val="1"/>
      <w:marLeft w:val="0"/>
      <w:marRight w:val="0"/>
      <w:marTop w:val="0"/>
      <w:marBottom w:val="0"/>
      <w:divBdr>
        <w:top w:val="none" w:sz="0" w:space="0" w:color="auto"/>
        <w:left w:val="none" w:sz="0" w:space="0" w:color="auto"/>
        <w:bottom w:val="none" w:sz="0" w:space="0" w:color="auto"/>
        <w:right w:val="none" w:sz="0" w:space="0" w:color="auto"/>
      </w:divBdr>
    </w:div>
    <w:div w:id="825629874">
      <w:bodyDiv w:val="1"/>
      <w:marLeft w:val="0"/>
      <w:marRight w:val="0"/>
      <w:marTop w:val="0"/>
      <w:marBottom w:val="0"/>
      <w:divBdr>
        <w:top w:val="none" w:sz="0" w:space="0" w:color="auto"/>
        <w:left w:val="none" w:sz="0" w:space="0" w:color="auto"/>
        <w:bottom w:val="none" w:sz="0" w:space="0" w:color="auto"/>
        <w:right w:val="none" w:sz="0" w:space="0" w:color="auto"/>
      </w:divBdr>
    </w:div>
    <w:div w:id="869145875">
      <w:bodyDiv w:val="1"/>
      <w:marLeft w:val="0"/>
      <w:marRight w:val="0"/>
      <w:marTop w:val="0"/>
      <w:marBottom w:val="0"/>
      <w:divBdr>
        <w:top w:val="none" w:sz="0" w:space="0" w:color="auto"/>
        <w:left w:val="none" w:sz="0" w:space="0" w:color="auto"/>
        <w:bottom w:val="none" w:sz="0" w:space="0" w:color="auto"/>
        <w:right w:val="none" w:sz="0" w:space="0" w:color="auto"/>
      </w:divBdr>
    </w:div>
    <w:div w:id="870843771">
      <w:bodyDiv w:val="1"/>
      <w:marLeft w:val="0"/>
      <w:marRight w:val="0"/>
      <w:marTop w:val="0"/>
      <w:marBottom w:val="0"/>
      <w:divBdr>
        <w:top w:val="none" w:sz="0" w:space="0" w:color="auto"/>
        <w:left w:val="none" w:sz="0" w:space="0" w:color="auto"/>
        <w:bottom w:val="none" w:sz="0" w:space="0" w:color="auto"/>
        <w:right w:val="none" w:sz="0" w:space="0" w:color="auto"/>
      </w:divBdr>
    </w:div>
    <w:div w:id="891843318">
      <w:bodyDiv w:val="1"/>
      <w:marLeft w:val="0"/>
      <w:marRight w:val="0"/>
      <w:marTop w:val="0"/>
      <w:marBottom w:val="0"/>
      <w:divBdr>
        <w:top w:val="none" w:sz="0" w:space="0" w:color="auto"/>
        <w:left w:val="none" w:sz="0" w:space="0" w:color="auto"/>
        <w:bottom w:val="none" w:sz="0" w:space="0" w:color="auto"/>
        <w:right w:val="none" w:sz="0" w:space="0" w:color="auto"/>
      </w:divBdr>
    </w:div>
    <w:div w:id="950237663">
      <w:bodyDiv w:val="1"/>
      <w:marLeft w:val="0"/>
      <w:marRight w:val="0"/>
      <w:marTop w:val="0"/>
      <w:marBottom w:val="0"/>
      <w:divBdr>
        <w:top w:val="none" w:sz="0" w:space="0" w:color="auto"/>
        <w:left w:val="none" w:sz="0" w:space="0" w:color="auto"/>
        <w:bottom w:val="none" w:sz="0" w:space="0" w:color="auto"/>
        <w:right w:val="none" w:sz="0" w:space="0" w:color="auto"/>
      </w:divBdr>
    </w:div>
    <w:div w:id="995304174">
      <w:bodyDiv w:val="1"/>
      <w:marLeft w:val="0"/>
      <w:marRight w:val="0"/>
      <w:marTop w:val="0"/>
      <w:marBottom w:val="0"/>
      <w:divBdr>
        <w:top w:val="none" w:sz="0" w:space="0" w:color="auto"/>
        <w:left w:val="none" w:sz="0" w:space="0" w:color="auto"/>
        <w:bottom w:val="none" w:sz="0" w:space="0" w:color="auto"/>
        <w:right w:val="none" w:sz="0" w:space="0" w:color="auto"/>
      </w:divBdr>
    </w:div>
    <w:div w:id="1108238112">
      <w:bodyDiv w:val="1"/>
      <w:marLeft w:val="0"/>
      <w:marRight w:val="0"/>
      <w:marTop w:val="0"/>
      <w:marBottom w:val="0"/>
      <w:divBdr>
        <w:top w:val="none" w:sz="0" w:space="0" w:color="auto"/>
        <w:left w:val="none" w:sz="0" w:space="0" w:color="auto"/>
        <w:bottom w:val="none" w:sz="0" w:space="0" w:color="auto"/>
        <w:right w:val="none" w:sz="0" w:space="0" w:color="auto"/>
      </w:divBdr>
    </w:div>
    <w:div w:id="1160081893">
      <w:bodyDiv w:val="1"/>
      <w:marLeft w:val="0"/>
      <w:marRight w:val="0"/>
      <w:marTop w:val="0"/>
      <w:marBottom w:val="0"/>
      <w:divBdr>
        <w:top w:val="none" w:sz="0" w:space="0" w:color="auto"/>
        <w:left w:val="none" w:sz="0" w:space="0" w:color="auto"/>
        <w:bottom w:val="none" w:sz="0" w:space="0" w:color="auto"/>
        <w:right w:val="none" w:sz="0" w:space="0" w:color="auto"/>
      </w:divBdr>
    </w:div>
    <w:div w:id="1216043451">
      <w:bodyDiv w:val="1"/>
      <w:marLeft w:val="0"/>
      <w:marRight w:val="0"/>
      <w:marTop w:val="0"/>
      <w:marBottom w:val="0"/>
      <w:divBdr>
        <w:top w:val="none" w:sz="0" w:space="0" w:color="auto"/>
        <w:left w:val="none" w:sz="0" w:space="0" w:color="auto"/>
        <w:bottom w:val="none" w:sz="0" w:space="0" w:color="auto"/>
        <w:right w:val="none" w:sz="0" w:space="0" w:color="auto"/>
      </w:divBdr>
    </w:div>
    <w:div w:id="1304774604">
      <w:bodyDiv w:val="1"/>
      <w:marLeft w:val="0"/>
      <w:marRight w:val="0"/>
      <w:marTop w:val="0"/>
      <w:marBottom w:val="0"/>
      <w:divBdr>
        <w:top w:val="none" w:sz="0" w:space="0" w:color="auto"/>
        <w:left w:val="none" w:sz="0" w:space="0" w:color="auto"/>
        <w:bottom w:val="none" w:sz="0" w:space="0" w:color="auto"/>
        <w:right w:val="none" w:sz="0" w:space="0" w:color="auto"/>
      </w:divBdr>
    </w:div>
    <w:div w:id="1337342119">
      <w:bodyDiv w:val="1"/>
      <w:marLeft w:val="0"/>
      <w:marRight w:val="0"/>
      <w:marTop w:val="0"/>
      <w:marBottom w:val="0"/>
      <w:divBdr>
        <w:top w:val="none" w:sz="0" w:space="0" w:color="auto"/>
        <w:left w:val="none" w:sz="0" w:space="0" w:color="auto"/>
        <w:bottom w:val="none" w:sz="0" w:space="0" w:color="auto"/>
        <w:right w:val="none" w:sz="0" w:space="0" w:color="auto"/>
      </w:divBdr>
    </w:div>
    <w:div w:id="1427651852">
      <w:bodyDiv w:val="1"/>
      <w:marLeft w:val="0"/>
      <w:marRight w:val="0"/>
      <w:marTop w:val="0"/>
      <w:marBottom w:val="0"/>
      <w:divBdr>
        <w:top w:val="none" w:sz="0" w:space="0" w:color="auto"/>
        <w:left w:val="none" w:sz="0" w:space="0" w:color="auto"/>
        <w:bottom w:val="none" w:sz="0" w:space="0" w:color="auto"/>
        <w:right w:val="none" w:sz="0" w:space="0" w:color="auto"/>
      </w:divBdr>
    </w:div>
    <w:div w:id="1465347369">
      <w:bodyDiv w:val="1"/>
      <w:marLeft w:val="0"/>
      <w:marRight w:val="0"/>
      <w:marTop w:val="0"/>
      <w:marBottom w:val="0"/>
      <w:divBdr>
        <w:top w:val="none" w:sz="0" w:space="0" w:color="auto"/>
        <w:left w:val="none" w:sz="0" w:space="0" w:color="auto"/>
        <w:bottom w:val="none" w:sz="0" w:space="0" w:color="auto"/>
        <w:right w:val="none" w:sz="0" w:space="0" w:color="auto"/>
      </w:divBdr>
    </w:div>
    <w:div w:id="1485464161">
      <w:bodyDiv w:val="1"/>
      <w:marLeft w:val="0"/>
      <w:marRight w:val="0"/>
      <w:marTop w:val="0"/>
      <w:marBottom w:val="0"/>
      <w:divBdr>
        <w:top w:val="none" w:sz="0" w:space="0" w:color="auto"/>
        <w:left w:val="none" w:sz="0" w:space="0" w:color="auto"/>
        <w:bottom w:val="none" w:sz="0" w:space="0" w:color="auto"/>
        <w:right w:val="none" w:sz="0" w:space="0" w:color="auto"/>
      </w:divBdr>
    </w:div>
    <w:div w:id="1497502925">
      <w:bodyDiv w:val="1"/>
      <w:marLeft w:val="0"/>
      <w:marRight w:val="0"/>
      <w:marTop w:val="0"/>
      <w:marBottom w:val="0"/>
      <w:divBdr>
        <w:top w:val="none" w:sz="0" w:space="0" w:color="auto"/>
        <w:left w:val="none" w:sz="0" w:space="0" w:color="auto"/>
        <w:bottom w:val="none" w:sz="0" w:space="0" w:color="auto"/>
        <w:right w:val="none" w:sz="0" w:space="0" w:color="auto"/>
      </w:divBdr>
    </w:div>
    <w:div w:id="1631666809">
      <w:bodyDiv w:val="1"/>
      <w:marLeft w:val="0"/>
      <w:marRight w:val="0"/>
      <w:marTop w:val="0"/>
      <w:marBottom w:val="0"/>
      <w:divBdr>
        <w:top w:val="none" w:sz="0" w:space="0" w:color="auto"/>
        <w:left w:val="none" w:sz="0" w:space="0" w:color="auto"/>
        <w:bottom w:val="none" w:sz="0" w:space="0" w:color="auto"/>
        <w:right w:val="none" w:sz="0" w:space="0" w:color="auto"/>
      </w:divBdr>
    </w:div>
    <w:div w:id="1637561018">
      <w:bodyDiv w:val="1"/>
      <w:marLeft w:val="0"/>
      <w:marRight w:val="0"/>
      <w:marTop w:val="0"/>
      <w:marBottom w:val="0"/>
      <w:divBdr>
        <w:top w:val="none" w:sz="0" w:space="0" w:color="auto"/>
        <w:left w:val="none" w:sz="0" w:space="0" w:color="auto"/>
        <w:bottom w:val="none" w:sz="0" w:space="0" w:color="auto"/>
        <w:right w:val="none" w:sz="0" w:space="0" w:color="auto"/>
      </w:divBdr>
    </w:div>
    <w:div w:id="1686055175">
      <w:bodyDiv w:val="1"/>
      <w:marLeft w:val="0"/>
      <w:marRight w:val="0"/>
      <w:marTop w:val="0"/>
      <w:marBottom w:val="0"/>
      <w:divBdr>
        <w:top w:val="none" w:sz="0" w:space="0" w:color="auto"/>
        <w:left w:val="none" w:sz="0" w:space="0" w:color="auto"/>
        <w:bottom w:val="none" w:sz="0" w:space="0" w:color="auto"/>
        <w:right w:val="none" w:sz="0" w:space="0" w:color="auto"/>
      </w:divBdr>
    </w:div>
    <w:div w:id="1750693178">
      <w:bodyDiv w:val="1"/>
      <w:marLeft w:val="0"/>
      <w:marRight w:val="0"/>
      <w:marTop w:val="0"/>
      <w:marBottom w:val="0"/>
      <w:divBdr>
        <w:top w:val="none" w:sz="0" w:space="0" w:color="auto"/>
        <w:left w:val="none" w:sz="0" w:space="0" w:color="auto"/>
        <w:bottom w:val="none" w:sz="0" w:space="0" w:color="auto"/>
        <w:right w:val="none" w:sz="0" w:space="0" w:color="auto"/>
      </w:divBdr>
    </w:div>
    <w:div w:id="1801604146">
      <w:bodyDiv w:val="1"/>
      <w:marLeft w:val="0"/>
      <w:marRight w:val="0"/>
      <w:marTop w:val="0"/>
      <w:marBottom w:val="0"/>
      <w:divBdr>
        <w:top w:val="none" w:sz="0" w:space="0" w:color="auto"/>
        <w:left w:val="none" w:sz="0" w:space="0" w:color="auto"/>
        <w:bottom w:val="none" w:sz="0" w:space="0" w:color="auto"/>
        <w:right w:val="none" w:sz="0" w:space="0" w:color="auto"/>
      </w:divBdr>
    </w:div>
    <w:div w:id="1803497703">
      <w:bodyDiv w:val="1"/>
      <w:marLeft w:val="0"/>
      <w:marRight w:val="0"/>
      <w:marTop w:val="0"/>
      <w:marBottom w:val="0"/>
      <w:divBdr>
        <w:top w:val="none" w:sz="0" w:space="0" w:color="auto"/>
        <w:left w:val="none" w:sz="0" w:space="0" w:color="auto"/>
        <w:bottom w:val="none" w:sz="0" w:space="0" w:color="auto"/>
        <w:right w:val="none" w:sz="0" w:space="0" w:color="auto"/>
      </w:divBdr>
    </w:div>
    <w:div w:id="1917592614">
      <w:bodyDiv w:val="1"/>
      <w:marLeft w:val="0"/>
      <w:marRight w:val="0"/>
      <w:marTop w:val="0"/>
      <w:marBottom w:val="0"/>
      <w:divBdr>
        <w:top w:val="none" w:sz="0" w:space="0" w:color="auto"/>
        <w:left w:val="none" w:sz="0" w:space="0" w:color="auto"/>
        <w:bottom w:val="none" w:sz="0" w:space="0" w:color="auto"/>
        <w:right w:val="none" w:sz="0" w:space="0" w:color="auto"/>
      </w:divBdr>
    </w:div>
    <w:div w:id="21404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3998/mpub.12072" TargetMode="External"/><Relationship Id="rId18" Type="http://schemas.openxmlformats.org/officeDocument/2006/relationships/hyperlink" Target="https://www.ipcc.ch/report/sixth-assessment-synthesis-repor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unfccc.int/sites/default/files/english_paris_agreement.pdf"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doi.org/10.3389/fevo.2021.628658" TargetMode="External"/><Relationship Id="rId25" Type="http://schemas.openxmlformats.org/officeDocument/2006/relationships/hyperlink" Target="https://documents.worldbank.org/en/publication/documents-reports/documentdetail/458631468152376668/fish-to-2030-prospects-for-fisheries-and-aquacultur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o.org/publications" TargetMode="External"/><Relationship Id="rId20" Type="http://schemas.openxmlformats.org/officeDocument/2006/relationships/hyperlink" Target="https://www.millenniumassessment.org/documents/document.356.aspx.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www.unwater.org/publications/summary-progress-update-2023-sdg-6-water-and-sanitation-al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4060/cc0461en" TargetMode="External"/><Relationship Id="rId23" Type="http://schemas.openxmlformats.org/officeDocument/2006/relationships/hyperlink" Target="https://unstats.un.org/unsd/envaccounting/seea.asp" TargetMode="External"/><Relationship Id="rId28"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s://ipbes.net/global-assessment"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146/annurev-marine-010213-135020" TargetMode="External"/><Relationship Id="rId22" Type="http://schemas.openxmlformats.org/officeDocument/2006/relationships/hyperlink" Target="https://sdgs.un.org/goals"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197AB4DE-F3D6-4AEC-9B81-2188183BB046}">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0F0E33FB-98DF-42D7-8CC7-37E1C2EEAE26}">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188</TotalTime>
  <Pages>21</Pages>
  <Words>5715</Words>
  <Characters>32582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Prabhutva Chaturvedi</dc:creator>
  <cp:keywords/>
  <dc:description/>
  <cp:lastModifiedBy>Editor GP 005</cp:lastModifiedBy>
  <cp:revision>66</cp:revision>
  <cp:lastPrinted>2025-05-02T06:25:00Z</cp:lastPrinted>
  <dcterms:created xsi:type="dcterms:W3CDTF">2025-05-01T17:05:00Z</dcterms:created>
  <dcterms:modified xsi:type="dcterms:W3CDTF">2025-05-07T11:12:00Z</dcterms:modified>
</cp:coreProperties>
</file>