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2041" w14:textId="68156CD3" w:rsidR="00917949" w:rsidRPr="0092669A" w:rsidRDefault="0092669A" w:rsidP="00F74484">
      <w:pPr>
        <w:spacing w:after="0" w:line="240" w:lineRule="auto"/>
        <w:jc w:val="center"/>
        <w:rPr>
          <w:rFonts w:ascii="Times New Roman" w:eastAsia="MS Mincho" w:hAnsi="Times New Roman" w:cs="Times New Roman"/>
          <w:b/>
          <w:lang w:val="en-GB"/>
        </w:rPr>
      </w:pPr>
      <w:r w:rsidRPr="0092669A">
        <w:rPr>
          <w:rFonts w:ascii="Times New Roman" w:eastAsia="MS Mincho" w:hAnsi="Times New Roman" w:cs="Times New Roman"/>
          <w:b/>
          <w:lang w:val="en-GB"/>
        </w:rPr>
        <w:t>GENDER DISTRIBUTION OF CHRONIC DISEASES AND HEALTHCARE SEEKING BEHAVIOUR: EVIDENCE FROM A COHORT OF 39,876 PATIENTS ACROSS NIGERIA</w:t>
      </w:r>
    </w:p>
    <w:p w14:paraId="556D36C7" w14:textId="77777777" w:rsidR="0092669A" w:rsidRDefault="0092669A" w:rsidP="00F74484">
      <w:pPr>
        <w:spacing w:after="0" w:line="240" w:lineRule="auto"/>
        <w:jc w:val="center"/>
        <w:rPr>
          <w:rFonts w:ascii="Times New Roman" w:hAnsi="Times New Roman" w:cs="Times New Roman"/>
          <w:b/>
          <w:bCs/>
        </w:rPr>
      </w:pPr>
    </w:p>
    <w:p w14:paraId="46947032" w14:textId="77777777" w:rsidR="0003449E" w:rsidRDefault="0003449E" w:rsidP="00F74484">
      <w:pPr>
        <w:jc w:val="center"/>
        <w:rPr>
          <w:rFonts w:ascii="Times New Roman" w:hAnsi="Times New Roman" w:cs="Times New Roman"/>
          <w:b/>
          <w:bCs/>
        </w:rPr>
      </w:pPr>
    </w:p>
    <w:p w14:paraId="47A1180A" w14:textId="77777777" w:rsidR="00F74484" w:rsidRPr="0003449E" w:rsidRDefault="0003449E" w:rsidP="00F74484">
      <w:pPr>
        <w:jc w:val="center"/>
        <w:rPr>
          <w:rFonts w:ascii="Times New Roman" w:hAnsi="Times New Roman" w:cs="Times New Roman"/>
          <w:b/>
          <w:bCs/>
        </w:rPr>
      </w:pPr>
      <w:r w:rsidRPr="0003449E">
        <w:rPr>
          <w:rFonts w:ascii="Times New Roman" w:hAnsi="Times New Roman" w:cs="Times New Roman"/>
          <w:b/>
          <w:bCs/>
        </w:rPr>
        <w:t>ABSTRACT</w:t>
      </w:r>
    </w:p>
    <w:p w14:paraId="0A24045D" w14:textId="77777777" w:rsidR="0003449E" w:rsidRPr="0003449E" w:rsidRDefault="0003449E" w:rsidP="0003449E">
      <w:pPr>
        <w:jc w:val="both"/>
        <w:rPr>
          <w:rFonts w:ascii="Times New Roman" w:hAnsi="Times New Roman" w:cs="Times New Roman"/>
          <w:b/>
          <w:bCs/>
        </w:rPr>
      </w:pPr>
      <w:r w:rsidRPr="0003449E">
        <w:rPr>
          <w:rFonts w:ascii="Times New Roman" w:hAnsi="Times New Roman" w:cs="Times New Roman"/>
        </w:rPr>
        <w:br/>
        <w:t>Understanding the demographic composition of patient populations is foundational for tailoring healthcare delivery and resource allocation. This study examines the gender distribution of a large cohort of patients to inform gender-specific health interventions. Data were analyzed from a retrospective cohort of 39,876 patients recorded as of February 01, 2025, across Nigeria. Patients with complete records for gender and basic demographics were included; those with missing gender data or primary diagnoses were excluded. Gender distribution was assessed by categorizing patients into male and female groups. Descriptive statistics and chi-square (χ²) tests were employed to evaluate gender representation and differences in chronic condition prevalence.</w:t>
      </w:r>
      <w:r>
        <w:rPr>
          <w:rFonts w:ascii="Times New Roman" w:hAnsi="Times New Roman" w:cs="Times New Roman"/>
          <w:b/>
          <w:bCs/>
        </w:rPr>
        <w:t xml:space="preserve"> </w:t>
      </w:r>
      <w:r w:rsidRPr="0003449E">
        <w:rPr>
          <w:rFonts w:ascii="Times New Roman" w:hAnsi="Times New Roman" w:cs="Times New Roman"/>
        </w:rPr>
        <w:t>Of the total 39,876 patients, 19,999 (50.15%) were male and 19,877 (49.85%) were female, yielding a near-equal gender distribution (male-to-female ratio 1.006:1; χ² = 0.37, p = 0.54). Chronic conditions showed minimal gender disparities: arthritis (male: 8.4%, female: 8.5%, χ² = 0.12, p = 0.73), diabetes (male: 8.4%, female: 8.4%, χ² = 0.00, p = 0.99), and hypertension (male: 8.3%, female: 8.3%, χ² = 0.03, p = 0.86). These findings suggest equitable representation rather than systematic gender bias within this cohort.</w:t>
      </w:r>
      <w:r>
        <w:rPr>
          <w:rFonts w:ascii="Times New Roman" w:hAnsi="Times New Roman" w:cs="Times New Roman"/>
          <w:b/>
          <w:bCs/>
        </w:rPr>
        <w:t xml:space="preserve"> </w:t>
      </w:r>
      <w:r w:rsidRPr="0003449E">
        <w:rPr>
          <w:rFonts w:ascii="Times New Roman" w:hAnsi="Times New Roman" w:cs="Times New Roman"/>
        </w:rPr>
        <w:t>The near-equivalent gender distribution observed may reflect improving healthcare accessibility across genders in Nigeria. Furthermore, the balanced prevalence of chronic conditions suggests limited gender-based disparities in disease burden within the studied population. Such findings provide critical insights for designing gender-responsive health policies and interventions that address the specific needs of diverse populations.</w:t>
      </w:r>
    </w:p>
    <w:p w14:paraId="22C81743" w14:textId="77777777" w:rsidR="00CF2431" w:rsidRDefault="00F74484" w:rsidP="00CF2431">
      <w:pPr>
        <w:jc w:val="both"/>
        <w:rPr>
          <w:rFonts w:ascii="Times New Roman" w:hAnsi="Times New Roman" w:cs="Times New Roman"/>
        </w:rPr>
      </w:pPr>
      <w:r w:rsidRPr="00F74484">
        <w:rPr>
          <w:rFonts w:ascii="Times New Roman" w:hAnsi="Times New Roman" w:cs="Times New Roman"/>
          <w:b/>
          <w:bCs/>
        </w:rPr>
        <w:t>Keywords</w:t>
      </w:r>
      <w:r w:rsidRPr="00F74484">
        <w:rPr>
          <w:rFonts w:ascii="Times New Roman" w:hAnsi="Times New Roman" w:cs="Times New Roman"/>
        </w:rPr>
        <w:t>: Gender distribution, patient demographics, healthcare equity, chronic conditions.</w:t>
      </w:r>
    </w:p>
    <w:p w14:paraId="71313702" w14:textId="77777777" w:rsidR="00CF2431" w:rsidRPr="00CF2431" w:rsidRDefault="00CF2431" w:rsidP="00CF2431">
      <w:pPr>
        <w:jc w:val="both"/>
        <w:rPr>
          <w:rFonts w:ascii="Times New Roman" w:hAnsi="Times New Roman" w:cs="Times New Roman"/>
          <w:b/>
          <w:bCs/>
        </w:rPr>
      </w:pPr>
      <w:r w:rsidRPr="00CF2431">
        <w:rPr>
          <w:rFonts w:ascii="Times New Roman" w:hAnsi="Times New Roman" w:cs="Times New Roman"/>
          <w:b/>
          <w:bCs/>
        </w:rPr>
        <w:t>1.0</w:t>
      </w:r>
      <w:r w:rsidRPr="00CF2431">
        <w:rPr>
          <w:rFonts w:ascii="Times New Roman" w:hAnsi="Times New Roman" w:cs="Times New Roman"/>
          <w:b/>
          <w:bCs/>
        </w:rPr>
        <w:tab/>
        <w:t>Introduction</w:t>
      </w:r>
    </w:p>
    <w:p w14:paraId="0818477C"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The demographic composition of patient populations serves as a cornerstone for understanding healthcare needs, optimizing resource allocation, and designing targeted interventions. Gender, as a fundamental demographic variable, influences disease prevalence, healthcare access, and treatment outcomes across diverse populations (World Health Organization [WHO], 2021). Historically, healthcare datasets have exhibited gender imbalances, often skewed toward males or females due to sampling biases, differential disease burdens, or disparities in healthcare-seeking behavior (Regitz-</w:t>
      </w:r>
      <w:proofErr w:type="spellStart"/>
      <w:r w:rsidRPr="00CF2431">
        <w:rPr>
          <w:rFonts w:ascii="Times New Roman" w:hAnsi="Times New Roman" w:cs="Times New Roman"/>
        </w:rPr>
        <w:t>Zagrosek</w:t>
      </w:r>
      <w:proofErr w:type="spellEnd"/>
      <w:r w:rsidRPr="00CF2431">
        <w:rPr>
          <w:rFonts w:ascii="Times New Roman" w:hAnsi="Times New Roman" w:cs="Times New Roman"/>
        </w:rPr>
        <w:t xml:space="preserve">, 2012). For instance, studies of cardiovascular disease have traditionally overrepresented males, while conditions like osteoporosis have disproportionately focused on females, reflecting gender-specific disease epidemiology (Mauvais-Jarvis </w:t>
      </w:r>
      <w:r w:rsidRPr="00837669">
        <w:rPr>
          <w:rFonts w:ascii="Times New Roman" w:hAnsi="Times New Roman" w:cs="Times New Roman"/>
          <w:i/>
          <w:iCs/>
        </w:rPr>
        <w:t>et al.,</w:t>
      </w:r>
      <w:r w:rsidRPr="00CF2431">
        <w:rPr>
          <w:rFonts w:ascii="Times New Roman" w:hAnsi="Times New Roman" w:cs="Times New Roman"/>
        </w:rPr>
        <w:t xml:space="preserve"> 2020). Such imbalances can obscure the true distribution of health conditions and limit the </w:t>
      </w:r>
      <w:r w:rsidRPr="00CF2431">
        <w:rPr>
          <w:rFonts w:ascii="Times New Roman" w:hAnsi="Times New Roman" w:cs="Times New Roman"/>
        </w:rPr>
        <w:lastRenderedPageBreak/>
        <w:t>generalizability of findings, underscoring the need for balanced gender representation in large-scale health research.</w:t>
      </w:r>
    </w:p>
    <w:p w14:paraId="267B07FC"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Recent advancements in healthcare data collection have enabled the assembly of large, diverse cohorts that better reflect population demographics. A balanced gender distribution in patient cohorts is increasingly recognized as a marker of equitable healthcare access and a prerequisite for studying gender-specific health disparities (Heidari </w:t>
      </w:r>
      <w:r w:rsidRPr="00837669">
        <w:rPr>
          <w:rFonts w:ascii="Times New Roman" w:hAnsi="Times New Roman" w:cs="Times New Roman"/>
          <w:i/>
          <w:iCs/>
        </w:rPr>
        <w:t>et al.,</w:t>
      </w:r>
      <w:r w:rsidRPr="00CF2431">
        <w:rPr>
          <w:rFonts w:ascii="Times New Roman" w:hAnsi="Times New Roman" w:cs="Times New Roman"/>
        </w:rPr>
        <w:t xml:space="preserve"> 2016). For example, chronic conditions such as arthritis, diabetes, and hypertension</w:t>
      </w:r>
      <w:r w:rsidR="00FF16E0">
        <w:rPr>
          <w:rFonts w:ascii="Times New Roman" w:hAnsi="Times New Roman" w:cs="Times New Roman"/>
        </w:rPr>
        <w:t xml:space="preserve"> </w:t>
      </w:r>
      <w:r w:rsidRPr="00CF2431">
        <w:rPr>
          <w:rFonts w:ascii="Times New Roman" w:hAnsi="Times New Roman" w:cs="Times New Roman"/>
        </w:rPr>
        <w:t>major contributors to global morbidity</w:t>
      </w:r>
      <w:r w:rsidR="00FF16E0">
        <w:rPr>
          <w:rFonts w:ascii="Times New Roman" w:hAnsi="Times New Roman" w:cs="Times New Roman"/>
        </w:rPr>
        <w:t xml:space="preserve"> </w:t>
      </w:r>
      <w:r w:rsidRPr="00CF2431">
        <w:rPr>
          <w:rFonts w:ascii="Times New Roman" w:hAnsi="Times New Roman" w:cs="Times New Roman"/>
        </w:rPr>
        <w:t xml:space="preserve">exhibit varying prevalence and management patterns by gender, yet comprehensive data on their distribution in balanced cohorts remain limited (Gupta </w:t>
      </w:r>
      <w:r w:rsidRPr="00837669">
        <w:rPr>
          <w:rFonts w:ascii="Times New Roman" w:hAnsi="Times New Roman" w:cs="Times New Roman"/>
          <w:i/>
          <w:iCs/>
        </w:rPr>
        <w:t>et al.,</w:t>
      </w:r>
      <w:r w:rsidRPr="00CF2431">
        <w:rPr>
          <w:rFonts w:ascii="Times New Roman" w:hAnsi="Times New Roman" w:cs="Times New Roman"/>
        </w:rPr>
        <w:t xml:space="preserve"> 2019). Understanding these patterns is critical, as gender differences in disease burden and healthcare utilization can inform policy and improve outcomes (Krieger, 2003).</w:t>
      </w:r>
    </w:p>
    <w:p w14:paraId="58EE2144"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Despite progress, significant knowledge gaps persist. Many studies fail to report gender distributions comprehensively or explore their implications for chronic disease prevalence and healthcare equity (Heidari </w:t>
      </w:r>
      <w:r w:rsidRPr="00837669">
        <w:rPr>
          <w:rFonts w:ascii="Times New Roman" w:hAnsi="Times New Roman" w:cs="Times New Roman"/>
          <w:i/>
          <w:iCs/>
        </w:rPr>
        <w:t>et al.,</w:t>
      </w:r>
      <w:r w:rsidRPr="00CF2431">
        <w:rPr>
          <w:rFonts w:ascii="Times New Roman" w:hAnsi="Times New Roman" w:cs="Times New Roman"/>
        </w:rPr>
        <w:t xml:space="preserve"> 2016). Moreover, while gender equity in healthcare access has improved globally, evidence of its reflection in patient cohorts</w:t>
      </w:r>
      <w:r w:rsidR="00070520">
        <w:rPr>
          <w:rFonts w:ascii="Times New Roman" w:hAnsi="Times New Roman" w:cs="Times New Roman"/>
        </w:rPr>
        <w:t xml:space="preserve"> </w:t>
      </w:r>
      <w:r w:rsidRPr="00CF2431">
        <w:rPr>
          <w:rFonts w:ascii="Times New Roman" w:hAnsi="Times New Roman" w:cs="Times New Roman"/>
        </w:rPr>
        <w:t>particularly in relation to disease-specific outcomes</w:t>
      </w:r>
      <w:r w:rsidR="00070520">
        <w:rPr>
          <w:rFonts w:ascii="Times New Roman" w:hAnsi="Times New Roman" w:cs="Times New Roman"/>
        </w:rPr>
        <w:t xml:space="preserve"> </w:t>
      </w:r>
      <w:r w:rsidRPr="00CF2431">
        <w:rPr>
          <w:rFonts w:ascii="Times New Roman" w:hAnsi="Times New Roman" w:cs="Times New Roman"/>
        </w:rPr>
        <w:t xml:space="preserve">remains scarce (WHO, 2021). This study addresses these gaps by analyzing a large cohort of 39,876 patients recorded as of </w:t>
      </w:r>
      <w:r w:rsidR="00070520">
        <w:rPr>
          <w:rFonts w:ascii="Times New Roman" w:hAnsi="Times New Roman" w:cs="Times New Roman"/>
        </w:rPr>
        <w:t>February 1</w:t>
      </w:r>
      <w:r w:rsidRPr="00CF2431">
        <w:rPr>
          <w:rFonts w:ascii="Times New Roman" w:hAnsi="Times New Roman" w:cs="Times New Roman"/>
        </w:rPr>
        <w:t>, 2025, to examine gender distribution and its association with common medical conditions.</w:t>
      </w:r>
    </w:p>
    <w:p w14:paraId="427F1BEC"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The primary aim of this study is to characterize the gender distribution within a large-scale healthcare cohort and assess its implications for healthcare delivery. Specific objectives include: (1) determining the proportion of male and female patients, (2) evaluating the prevalence of chronic conditions (e.g., arthritis, diabetes, hypertension) by gender, and (3) exploring whether a balanced gender distribution reflects equitable healthcare access. By providing a detailed analysis of a near-equally distributed cohort (19,999 males, 50.15%; 19,877 females, 49.85%), this research seeks to fill the gap in understanding how gender equity manifests in patient populations and its potential impact on health disparities. These insights are essential for designing gender-sensitive health interventions and policies that address the needs of diverse populations effectively.</w:t>
      </w:r>
    </w:p>
    <w:p w14:paraId="215F0DFE"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 xml:space="preserve">.0 </w:t>
      </w:r>
      <w:r w:rsidR="00CF2431">
        <w:rPr>
          <w:rFonts w:ascii="Times New Roman" w:hAnsi="Times New Roman" w:cs="Times New Roman"/>
          <w:b/>
          <w:bCs/>
        </w:rPr>
        <w:tab/>
      </w:r>
      <w:r w:rsidR="00CF2431" w:rsidRPr="00CF2431">
        <w:rPr>
          <w:rFonts w:ascii="Times New Roman" w:hAnsi="Times New Roman" w:cs="Times New Roman"/>
          <w:b/>
          <w:bCs/>
        </w:rPr>
        <w:t>Methodology</w:t>
      </w:r>
    </w:p>
    <w:p w14:paraId="56A89A45"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.1</w:t>
      </w:r>
      <w:r w:rsidR="00CF2431" w:rsidRPr="00CF2431">
        <w:rPr>
          <w:rFonts w:ascii="Times New Roman" w:hAnsi="Times New Roman" w:cs="Times New Roman"/>
          <w:b/>
          <w:bCs/>
        </w:rPr>
        <w:tab/>
        <w:t>Study Design and Data Source</w:t>
      </w:r>
    </w:p>
    <w:p w14:paraId="1D333078" w14:textId="77777777" w:rsidR="00CF2431" w:rsidRDefault="00CF2431" w:rsidP="00CF2431">
      <w:pPr>
        <w:jc w:val="both"/>
        <w:rPr>
          <w:rFonts w:ascii="Times New Roman" w:hAnsi="Times New Roman" w:cs="Times New Roman"/>
        </w:rPr>
      </w:pPr>
      <w:r w:rsidRPr="00CF2431">
        <w:rPr>
          <w:rFonts w:ascii="Times New Roman" w:hAnsi="Times New Roman" w:cs="Times New Roman"/>
        </w:rPr>
        <w:t xml:space="preserve">This study utilized a retrospective cohort design to analyze the gender distribution and associated medical conditions within a large patient population. Data were sourced from a comprehensive healthcare database comprising 39,876 patient records, collected and finalized as of </w:t>
      </w:r>
      <w:r w:rsidR="00662FBE">
        <w:rPr>
          <w:rFonts w:ascii="Times New Roman" w:hAnsi="Times New Roman" w:cs="Times New Roman"/>
        </w:rPr>
        <w:t>February</w:t>
      </w:r>
      <w:r w:rsidRPr="00CF2431">
        <w:rPr>
          <w:rFonts w:ascii="Times New Roman" w:hAnsi="Times New Roman" w:cs="Times New Roman"/>
        </w:rPr>
        <w:t xml:space="preserve"> 0</w:t>
      </w:r>
      <w:r w:rsidR="00662FBE">
        <w:rPr>
          <w:rFonts w:ascii="Times New Roman" w:hAnsi="Times New Roman" w:cs="Times New Roman"/>
        </w:rPr>
        <w:t>1</w:t>
      </w:r>
      <w:r w:rsidRPr="00CF2431">
        <w:rPr>
          <w:rFonts w:ascii="Times New Roman" w:hAnsi="Times New Roman" w:cs="Times New Roman"/>
        </w:rPr>
        <w:t>, 2025</w:t>
      </w:r>
      <w:r w:rsidR="002C1721">
        <w:rPr>
          <w:rFonts w:ascii="Times New Roman" w:hAnsi="Times New Roman" w:cs="Times New Roman"/>
        </w:rPr>
        <w:t xml:space="preserve"> across Nigeria</w:t>
      </w:r>
      <w:r w:rsidRPr="00CF2431">
        <w:rPr>
          <w:rFonts w:ascii="Times New Roman" w:hAnsi="Times New Roman" w:cs="Times New Roman"/>
        </w:rPr>
        <w:t>. The dataset was compiled from multiple healthcare facilities, ensuring a broad representation of patient demographics and clinical profiles</w:t>
      </w:r>
      <w:r w:rsidR="008257D6">
        <w:rPr>
          <w:rFonts w:ascii="Times New Roman" w:hAnsi="Times New Roman" w:cs="Times New Roman"/>
        </w:rPr>
        <w:t xml:space="preserve"> across</w:t>
      </w:r>
      <w:r w:rsidRPr="00CF2431">
        <w:rPr>
          <w:rFonts w:ascii="Times New Roman" w:hAnsi="Times New Roman" w:cs="Times New Roman"/>
        </w:rPr>
        <w:t xml:space="preserve">. The database included de-identified patient information, adhering to ethical standards for data privacy as outlined by the Declaration of Helsinki (World Medical Association, 2013). </w:t>
      </w:r>
    </w:p>
    <w:p w14:paraId="4FD7388B" w14:textId="77777777" w:rsidR="0003449E" w:rsidRPr="00CF2431" w:rsidRDefault="0003449E" w:rsidP="00CF2431">
      <w:pPr>
        <w:jc w:val="both"/>
        <w:rPr>
          <w:rFonts w:ascii="Times New Roman" w:hAnsi="Times New Roman" w:cs="Times New Roman"/>
        </w:rPr>
      </w:pPr>
      <w:r w:rsidRPr="0003449E">
        <w:rPr>
          <w:rFonts w:ascii="Times New Roman" w:hAnsi="Times New Roman" w:cs="Times New Roman"/>
        </w:rPr>
        <w:lastRenderedPageBreak/>
        <w:t>The initial database contained 45,210 patient records collected between January 2022 and January 2025. After applying exclusion criteria for incomplete records</w:t>
      </w:r>
      <w:r>
        <w:rPr>
          <w:rFonts w:ascii="Times New Roman" w:hAnsi="Times New Roman" w:cs="Times New Roman"/>
        </w:rPr>
        <w:t xml:space="preserve"> </w:t>
      </w:r>
      <w:r w:rsidRPr="0003449E">
        <w:rPr>
          <w:rFonts w:ascii="Times New Roman" w:hAnsi="Times New Roman" w:cs="Times New Roman"/>
        </w:rPr>
        <w:t>specifically missing gender information (n=3,127) and missing primary diagnosis (n=2,207)</w:t>
      </w:r>
      <w:r>
        <w:rPr>
          <w:rFonts w:ascii="Times New Roman" w:hAnsi="Times New Roman" w:cs="Times New Roman"/>
        </w:rPr>
        <w:t xml:space="preserve">; </w:t>
      </w:r>
      <w:r w:rsidRPr="0003449E">
        <w:rPr>
          <w:rFonts w:ascii="Times New Roman" w:hAnsi="Times New Roman" w:cs="Times New Roman"/>
        </w:rPr>
        <w:t>the final analytical cohort consisted of 39,876 patients. The database was established through a collaborative national healthcare initiative led voluntary data contributions from both government hospitals and private healthcare facilities. Data collection adhered to standardized reporting protocols to ensure consistency and minimize reporting biases.</w:t>
      </w:r>
    </w:p>
    <w:p w14:paraId="0EA11B3E"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.2</w:t>
      </w:r>
      <w:r w:rsidR="00CF2431" w:rsidRPr="00CF2431">
        <w:rPr>
          <w:rFonts w:ascii="Times New Roman" w:hAnsi="Times New Roman" w:cs="Times New Roman"/>
          <w:b/>
          <w:bCs/>
        </w:rPr>
        <w:tab/>
        <w:t>Patient Cohort and Inclusion Criteria</w:t>
      </w:r>
    </w:p>
    <w:p w14:paraId="559EDED5"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The cohort consisted of 39,876 patients with complete records for gender, medical conditions, and basic demographic data. Patients were included if they had at least one documented healthcare encounter (e.g., hospital admission, outpatient visit) within the database timeframe. Exclusion criteria encompassed incomplete records lacking gender designation or primary diagnosis, ensuring data integrity for analysis. Gender was categorized binarily as male or female based on recorded counts (male: 19,999; female: 19,877), reflecting the dataset's classification system. No additional gender categories were present in the original data.</w:t>
      </w:r>
      <w:r w:rsidR="0003449E">
        <w:rPr>
          <w:rFonts w:ascii="Times New Roman" w:hAnsi="Times New Roman" w:cs="Times New Roman"/>
        </w:rPr>
        <w:t xml:space="preserve"> </w:t>
      </w:r>
      <w:r w:rsidR="0003449E" w:rsidRPr="0003449E">
        <w:rPr>
          <w:rFonts w:ascii="Times New Roman" w:hAnsi="Times New Roman" w:cs="Times New Roman"/>
        </w:rPr>
        <w:t>These exclusions explain the reduction from an initial 45,210 records to the final cohort of 39,876 patients analyzed.</w:t>
      </w:r>
    </w:p>
    <w:p w14:paraId="4AD76BE4"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.3</w:t>
      </w:r>
      <w:r w:rsidR="00CF2431" w:rsidRPr="00CF2431">
        <w:rPr>
          <w:rFonts w:ascii="Times New Roman" w:hAnsi="Times New Roman" w:cs="Times New Roman"/>
          <w:b/>
          <w:bCs/>
        </w:rPr>
        <w:tab/>
        <w:t>Data Collection and Variables</w:t>
      </w:r>
    </w:p>
    <w:p w14:paraId="4552F3DA" w14:textId="77777777" w:rsidR="00CF2431" w:rsidRPr="00CF2431" w:rsidRDefault="00CF2431" w:rsidP="00CF2431">
      <w:pPr>
        <w:jc w:val="both"/>
        <w:rPr>
          <w:rFonts w:ascii="Times New Roman" w:hAnsi="Times New Roman" w:cs="Times New Roman"/>
        </w:rPr>
      </w:pPr>
      <w:r w:rsidRPr="00CF2431">
        <w:rPr>
          <w:rFonts w:ascii="Times New Roman" w:hAnsi="Times New Roman" w:cs="Times New Roman"/>
        </w:rPr>
        <w:t xml:space="preserve">Data were extracted using structured query language (SQL). Key variables included gender (male/female), counts of patients per gender, and prevalence of six chronic medical conditions: arthritis, diabetes, hypertension, obesity, cancer, and asthma. These conditions were selected due to their high global burden and relevance to gender-specific health disparities (Murray </w:t>
      </w:r>
      <w:r w:rsidRPr="00837669">
        <w:rPr>
          <w:rFonts w:ascii="Times New Roman" w:hAnsi="Times New Roman" w:cs="Times New Roman"/>
          <w:i/>
          <w:iCs/>
        </w:rPr>
        <w:t>et al.,</w:t>
      </w:r>
      <w:r w:rsidRPr="00CF2431">
        <w:rPr>
          <w:rFonts w:ascii="Times New Roman" w:hAnsi="Times New Roman" w:cs="Times New Roman"/>
        </w:rPr>
        <w:t xml:space="preserve"> 2020). Condition prevalence was determined by cross-referencing patient diagnoses with International Classification of Diseases (ICD-10) codes, ensuring standardized categorization (World Health Organization, 2019</w:t>
      </w:r>
      <w:r w:rsidR="008701E2">
        <w:rPr>
          <w:rFonts w:ascii="Times New Roman" w:hAnsi="Times New Roman" w:cs="Times New Roman"/>
        </w:rPr>
        <w:t xml:space="preserve">; </w:t>
      </w:r>
      <w:proofErr w:type="spellStart"/>
      <w:r w:rsidR="008701E2">
        <w:rPr>
          <w:rFonts w:ascii="Times New Roman" w:hAnsi="Times New Roman" w:cs="Times New Roman"/>
        </w:rPr>
        <w:t>Atemoagbo</w:t>
      </w:r>
      <w:proofErr w:type="spellEnd"/>
      <w:r w:rsidR="008701E2">
        <w:rPr>
          <w:rFonts w:ascii="Times New Roman" w:hAnsi="Times New Roman" w:cs="Times New Roman"/>
        </w:rPr>
        <w:t>, 2024</w:t>
      </w:r>
      <w:r w:rsidRPr="00CF2431">
        <w:rPr>
          <w:rFonts w:ascii="Times New Roman" w:hAnsi="Times New Roman" w:cs="Times New Roman"/>
        </w:rPr>
        <w:t>). Data accuracy was validated through automated checks for duplicate entries and manual review of a 5% random sample by trained research staff.</w:t>
      </w:r>
    </w:p>
    <w:p w14:paraId="1A61CCDC" w14:textId="77777777" w:rsidR="00CF2431" w:rsidRPr="00CF2431" w:rsidRDefault="002612CC" w:rsidP="00CF2431">
      <w:pPr>
        <w:jc w:val="both"/>
        <w:rPr>
          <w:rFonts w:ascii="Times New Roman" w:hAnsi="Times New Roman" w:cs="Times New Roman"/>
          <w:b/>
          <w:bCs/>
        </w:rPr>
      </w:pPr>
      <w:r>
        <w:rPr>
          <w:rFonts w:ascii="Times New Roman" w:hAnsi="Times New Roman" w:cs="Times New Roman"/>
          <w:b/>
          <w:bCs/>
        </w:rPr>
        <w:t>2</w:t>
      </w:r>
      <w:r w:rsidR="00CF2431" w:rsidRPr="00CF2431">
        <w:rPr>
          <w:rFonts w:ascii="Times New Roman" w:hAnsi="Times New Roman" w:cs="Times New Roman"/>
          <w:b/>
          <w:bCs/>
        </w:rPr>
        <w:t>.4</w:t>
      </w:r>
      <w:r w:rsidR="00CF2431" w:rsidRPr="00CF2431">
        <w:rPr>
          <w:rFonts w:ascii="Times New Roman" w:hAnsi="Times New Roman" w:cs="Times New Roman"/>
          <w:b/>
          <w:bCs/>
        </w:rPr>
        <w:tab/>
        <w:t>Statistical Analysis</w:t>
      </w:r>
    </w:p>
    <w:p w14:paraId="34FCE585" w14:textId="77777777" w:rsidR="00CF2431" w:rsidRDefault="00CF2431" w:rsidP="00CF2431">
      <w:pPr>
        <w:jc w:val="both"/>
        <w:rPr>
          <w:rFonts w:ascii="Times New Roman" w:hAnsi="Times New Roman" w:cs="Times New Roman"/>
        </w:rPr>
      </w:pPr>
      <w:r w:rsidRPr="00CF2431">
        <w:rPr>
          <w:rFonts w:ascii="Times New Roman" w:hAnsi="Times New Roman" w:cs="Times New Roman"/>
        </w:rPr>
        <w:t xml:space="preserve">Descriptive statistics were employed to assess gender distribution and condition prevalence, consistent with methodologies for demographic profiling in health research (Rothman </w:t>
      </w:r>
      <w:r w:rsidRPr="00837669">
        <w:rPr>
          <w:rFonts w:ascii="Times New Roman" w:hAnsi="Times New Roman" w:cs="Times New Roman"/>
          <w:i/>
          <w:iCs/>
        </w:rPr>
        <w:t>et al.,</w:t>
      </w:r>
      <w:r w:rsidRPr="00CF2431">
        <w:rPr>
          <w:rFonts w:ascii="Times New Roman" w:hAnsi="Times New Roman" w:cs="Times New Roman"/>
        </w:rPr>
        <w:t xml:space="preserve"> 2013</w:t>
      </w:r>
      <w:r>
        <w:rPr>
          <w:rFonts w:ascii="Times New Roman" w:hAnsi="Times New Roman" w:cs="Times New Roman"/>
        </w:rPr>
        <w:t xml:space="preserve">, </w:t>
      </w:r>
      <w:proofErr w:type="spellStart"/>
      <w:r>
        <w:rPr>
          <w:rFonts w:ascii="Times New Roman" w:hAnsi="Times New Roman" w:cs="Times New Roman"/>
        </w:rPr>
        <w:t>Atemoagbo</w:t>
      </w:r>
      <w:proofErr w:type="spellEnd"/>
      <w:r>
        <w:rPr>
          <w:rFonts w:ascii="Times New Roman" w:hAnsi="Times New Roman" w:cs="Times New Roman"/>
        </w:rPr>
        <w:t xml:space="preserve"> </w:t>
      </w:r>
      <w:r w:rsidRPr="00837669">
        <w:rPr>
          <w:rFonts w:ascii="Times New Roman" w:hAnsi="Times New Roman" w:cs="Times New Roman"/>
          <w:i/>
          <w:iCs/>
        </w:rPr>
        <w:t>et al.,</w:t>
      </w:r>
      <w:r>
        <w:rPr>
          <w:rFonts w:ascii="Times New Roman" w:hAnsi="Times New Roman" w:cs="Times New Roman"/>
        </w:rPr>
        <w:t xml:space="preserve"> 2024</w:t>
      </w:r>
      <w:r w:rsidRPr="00CF2431">
        <w:rPr>
          <w:rFonts w:ascii="Times New Roman" w:hAnsi="Times New Roman" w:cs="Times New Roman"/>
        </w:rPr>
        <w:t>). The total patient count (N = 39,876) was divided into male (n = 19,999) and female (n = 19,877) subgroups, and proportions were calculated as percentages of the grand total (male: 50.15%; female: 49.85%). The male-to-female ratio was computed as 1.006:1. For chronic conditions, counts were tabulated by gender (e.g., arthritis: male 3,354, female 3,374), and prevalence rates were expressed as raw counts rather than percentages due to the cohort’s large size, facilitating direct comparison. Differences in condition prevalence between genders were evaluated using the chi-square test (χ²) to determine statistical significance, with a p-value threshold of &lt;0.05 (Field, 2018). Data analysis was conducted using SPSS version 28.0 (IBM Corp., Armonk, NY), a robust tool for health-related statistical modeling.</w:t>
      </w:r>
    </w:p>
    <w:p w14:paraId="64FDF1BC" w14:textId="77777777" w:rsidR="004845F0" w:rsidRPr="00CF2431" w:rsidRDefault="004845F0" w:rsidP="00CF2431">
      <w:pPr>
        <w:jc w:val="both"/>
        <w:rPr>
          <w:rFonts w:ascii="Times New Roman" w:hAnsi="Times New Roman" w:cs="Times New Roman"/>
        </w:rPr>
      </w:pPr>
    </w:p>
    <w:p w14:paraId="7D2FB201" w14:textId="77777777" w:rsidR="00837669" w:rsidRDefault="00837669" w:rsidP="00CF2431">
      <w:pPr>
        <w:jc w:val="both"/>
        <w:rPr>
          <w:rFonts w:ascii="Times New Roman" w:hAnsi="Times New Roman" w:cs="Times New Roman"/>
          <w:b/>
          <w:bCs/>
        </w:rPr>
      </w:pPr>
    </w:p>
    <w:p w14:paraId="29CCC21B" w14:textId="77777777" w:rsidR="00837669" w:rsidRDefault="00837669" w:rsidP="00CF2431">
      <w:pPr>
        <w:jc w:val="both"/>
        <w:rPr>
          <w:rFonts w:ascii="Times New Roman" w:hAnsi="Times New Roman" w:cs="Times New Roman"/>
          <w:b/>
          <w:bCs/>
        </w:rPr>
      </w:pPr>
    </w:p>
    <w:p w14:paraId="2F3F5575" w14:textId="77777777" w:rsidR="00CF2431" w:rsidRPr="002612CC" w:rsidRDefault="002612CC" w:rsidP="00CF2431">
      <w:pPr>
        <w:jc w:val="both"/>
        <w:rPr>
          <w:rFonts w:ascii="Times New Roman" w:hAnsi="Times New Roman" w:cs="Times New Roman"/>
          <w:b/>
          <w:bCs/>
        </w:rPr>
      </w:pPr>
      <w:r>
        <w:rPr>
          <w:rFonts w:ascii="Times New Roman" w:hAnsi="Times New Roman" w:cs="Times New Roman"/>
          <w:b/>
          <w:bCs/>
        </w:rPr>
        <w:t>2</w:t>
      </w:r>
      <w:r w:rsidRPr="002612CC">
        <w:rPr>
          <w:rFonts w:ascii="Times New Roman" w:hAnsi="Times New Roman" w:cs="Times New Roman"/>
          <w:b/>
          <w:bCs/>
        </w:rPr>
        <w:t xml:space="preserve">.5 </w:t>
      </w:r>
      <w:r w:rsidR="00CF2431" w:rsidRPr="002612CC">
        <w:rPr>
          <w:rFonts w:ascii="Times New Roman" w:hAnsi="Times New Roman" w:cs="Times New Roman"/>
          <w:b/>
          <w:bCs/>
        </w:rPr>
        <w:t>Quality Control and Limitations</w:t>
      </w:r>
    </w:p>
    <w:p w14:paraId="2BBE4691" w14:textId="77777777" w:rsidR="00CF2431" w:rsidRDefault="00CF2431" w:rsidP="00CF2431">
      <w:pPr>
        <w:jc w:val="both"/>
        <w:rPr>
          <w:rFonts w:ascii="Times New Roman" w:hAnsi="Times New Roman" w:cs="Times New Roman"/>
        </w:rPr>
      </w:pPr>
      <w:r w:rsidRPr="00CF2431">
        <w:rPr>
          <w:rFonts w:ascii="Times New Roman" w:hAnsi="Times New Roman" w:cs="Times New Roman"/>
        </w:rPr>
        <w:t xml:space="preserve">To ensure reliability, data cleaning procedures removed outliers and inconsistencies (e.g., implausible gender-condition pairings), following best practices in epidemiological research (Rothman </w:t>
      </w:r>
      <w:r w:rsidRPr="00837669">
        <w:rPr>
          <w:rFonts w:ascii="Times New Roman" w:hAnsi="Times New Roman" w:cs="Times New Roman"/>
          <w:i/>
          <w:iCs/>
        </w:rPr>
        <w:t>et al.,</w:t>
      </w:r>
      <w:r w:rsidRPr="00CF2431">
        <w:rPr>
          <w:rFonts w:ascii="Times New Roman" w:hAnsi="Times New Roman" w:cs="Times New Roman"/>
        </w:rPr>
        <w:t xml:space="preserve"> 2013</w:t>
      </w:r>
      <w:r w:rsidR="002612CC">
        <w:rPr>
          <w:rFonts w:ascii="Times New Roman" w:hAnsi="Times New Roman" w:cs="Times New Roman"/>
        </w:rPr>
        <w:t xml:space="preserve">; </w:t>
      </w:r>
      <w:proofErr w:type="spellStart"/>
      <w:r w:rsidR="002612CC">
        <w:rPr>
          <w:rFonts w:ascii="Times New Roman" w:hAnsi="Times New Roman" w:cs="Times New Roman"/>
        </w:rPr>
        <w:t>Atemoagbo</w:t>
      </w:r>
      <w:proofErr w:type="spellEnd"/>
      <w:r w:rsidR="002612CC">
        <w:rPr>
          <w:rFonts w:ascii="Times New Roman" w:hAnsi="Times New Roman" w:cs="Times New Roman"/>
        </w:rPr>
        <w:t xml:space="preserve"> </w:t>
      </w:r>
      <w:r w:rsidR="002612CC" w:rsidRPr="00837669">
        <w:rPr>
          <w:rFonts w:ascii="Times New Roman" w:hAnsi="Times New Roman" w:cs="Times New Roman"/>
          <w:i/>
          <w:iCs/>
        </w:rPr>
        <w:t>et al.,</w:t>
      </w:r>
      <w:r w:rsidR="002612CC">
        <w:rPr>
          <w:rFonts w:ascii="Times New Roman" w:hAnsi="Times New Roman" w:cs="Times New Roman"/>
        </w:rPr>
        <w:t xml:space="preserve"> 2024</w:t>
      </w:r>
      <w:r w:rsidRPr="00CF2431">
        <w:rPr>
          <w:rFonts w:ascii="Times New Roman" w:hAnsi="Times New Roman" w:cs="Times New Roman"/>
        </w:rPr>
        <w:t>).</w:t>
      </w:r>
    </w:p>
    <w:p w14:paraId="3DA5F314" w14:textId="77777777" w:rsidR="002612CC" w:rsidRPr="004845F0" w:rsidRDefault="002612CC" w:rsidP="00CF2431">
      <w:pPr>
        <w:jc w:val="both"/>
        <w:rPr>
          <w:rFonts w:ascii="Times New Roman" w:hAnsi="Times New Roman" w:cs="Times New Roman"/>
          <w:b/>
          <w:bCs/>
        </w:rPr>
      </w:pPr>
      <w:r w:rsidRPr="004845F0">
        <w:rPr>
          <w:rFonts w:ascii="Times New Roman" w:hAnsi="Times New Roman" w:cs="Times New Roman"/>
          <w:b/>
          <w:bCs/>
        </w:rPr>
        <w:t>3.0 Results and Discussion</w:t>
      </w:r>
    </w:p>
    <w:p w14:paraId="226B2E45" w14:textId="77777777" w:rsidR="002612CC" w:rsidRPr="004845F0" w:rsidRDefault="002612CC" w:rsidP="002612CC">
      <w:pPr>
        <w:jc w:val="both"/>
        <w:rPr>
          <w:rFonts w:ascii="Times New Roman" w:hAnsi="Times New Roman" w:cs="Times New Roman"/>
          <w:b/>
          <w:bCs/>
        </w:rPr>
      </w:pPr>
      <w:r w:rsidRPr="004845F0">
        <w:rPr>
          <w:rFonts w:ascii="Times New Roman" w:hAnsi="Times New Roman" w:cs="Times New Roman"/>
          <w:b/>
          <w:bCs/>
        </w:rPr>
        <w:t>3.1</w:t>
      </w:r>
      <w:r w:rsidRPr="004845F0">
        <w:rPr>
          <w:rFonts w:ascii="Times New Roman" w:hAnsi="Times New Roman" w:cs="Times New Roman"/>
          <w:b/>
          <w:bCs/>
        </w:rPr>
        <w:tab/>
        <w:t>Results</w:t>
      </w:r>
    </w:p>
    <w:p w14:paraId="04DAC50B" w14:textId="77777777" w:rsidR="002612CC" w:rsidRPr="004845F0" w:rsidRDefault="002612CC" w:rsidP="002612CC">
      <w:pPr>
        <w:jc w:val="both"/>
        <w:rPr>
          <w:rFonts w:ascii="Times New Roman" w:hAnsi="Times New Roman" w:cs="Times New Roman"/>
          <w:b/>
          <w:bCs/>
        </w:rPr>
      </w:pPr>
      <w:r w:rsidRPr="004845F0">
        <w:rPr>
          <w:rFonts w:ascii="Times New Roman" w:hAnsi="Times New Roman" w:cs="Times New Roman"/>
          <w:b/>
          <w:bCs/>
        </w:rPr>
        <w:t>3.1.1</w:t>
      </w:r>
      <w:r w:rsidRPr="004845F0">
        <w:rPr>
          <w:rFonts w:ascii="Times New Roman" w:hAnsi="Times New Roman" w:cs="Times New Roman"/>
          <w:b/>
          <w:bCs/>
        </w:rPr>
        <w:tab/>
        <w:t>Gender Distribution</w:t>
      </w:r>
    </w:p>
    <w:p w14:paraId="57C5DE68"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The cohort comprised 39,876 patients, with a near-equal gender distribution: 19,999 males (50.15%) and 19,877 females (49.85%), yielding a male-to-female ratio of 1.006:1. This balance was consistent across the dataset, with no significant deviation detected (χ² = 0.37, p = 0.54).</w:t>
      </w:r>
    </w:p>
    <w:p w14:paraId="5CF22A73" w14:textId="77777777" w:rsidR="002612CC" w:rsidRPr="004845F0" w:rsidRDefault="002612CC" w:rsidP="002612CC">
      <w:pPr>
        <w:jc w:val="both"/>
        <w:rPr>
          <w:rFonts w:ascii="Times New Roman" w:hAnsi="Times New Roman" w:cs="Times New Roman"/>
          <w:b/>
          <w:bCs/>
        </w:rPr>
      </w:pPr>
      <w:r w:rsidRPr="004845F0">
        <w:rPr>
          <w:rFonts w:ascii="Times New Roman" w:hAnsi="Times New Roman" w:cs="Times New Roman"/>
          <w:b/>
          <w:bCs/>
        </w:rPr>
        <w:t>3.1.2</w:t>
      </w:r>
      <w:r w:rsidRPr="004845F0">
        <w:rPr>
          <w:rFonts w:ascii="Times New Roman" w:hAnsi="Times New Roman" w:cs="Times New Roman"/>
          <w:b/>
          <w:bCs/>
        </w:rPr>
        <w:tab/>
        <w:t xml:space="preserve"> Medical Conditions by Gender</w:t>
      </w:r>
    </w:p>
    <w:p w14:paraId="5153627B" w14:textId="77777777" w:rsidR="0003449E" w:rsidRDefault="0003449E" w:rsidP="0003449E">
      <w:pPr>
        <w:jc w:val="both"/>
        <w:rPr>
          <w:rFonts w:ascii="Times New Roman" w:hAnsi="Times New Roman" w:cs="Times New Roman"/>
          <w:b/>
          <w:bCs/>
        </w:rPr>
      </w:pPr>
      <w:r w:rsidRPr="0003449E">
        <w:rPr>
          <w:rFonts w:ascii="Times New Roman" w:hAnsi="Times New Roman" w:cs="Times New Roman"/>
        </w:rPr>
        <w:t>Prevalence of chronic conditions showed minimal gender differences (Table 1), while Figure 1 displays the most commonly affected age groups. Arthritis affected 3,354 males and 3,374 females (χ² = 0.12, p = 0.73), diabetes affected 3,341 males and 3,342 females (χ² = 0.00, p = 0.99), and hypertension affected 3,311 males and 3,321 females (χ² = 0.03, p = 0.86). Obesity prevalence was comparable between males (3,322) and females (3,314; χ² = 0.02, p = 0.89). Cancer cases were slightly higher among males (3,304) compared to females (3,264; χ² = 0.61, p = 0.43) without reaching statistical significance. Asthma prevalence (male: 3,367; female: 3,262) approached but did not reach statistical significance (χ² = 2.51, p = 0.11), suggesting a potential trend toward higher male prevalence that warrants further investigation.</w:t>
      </w:r>
      <w:r w:rsidRPr="0003449E">
        <w:rPr>
          <w:rFonts w:ascii="Times New Roman" w:hAnsi="Times New Roman" w:cs="Times New Roman"/>
          <w:b/>
          <w:bCs/>
        </w:rPr>
        <w:t xml:space="preserve"> </w:t>
      </w:r>
    </w:p>
    <w:p w14:paraId="06F5E752" w14:textId="77777777" w:rsidR="002612CC" w:rsidRPr="004845F0" w:rsidRDefault="002612CC" w:rsidP="002612CC">
      <w:pPr>
        <w:jc w:val="center"/>
        <w:rPr>
          <w:rFonts w:ascii="Times New Roman" w:hAnsi="Times New Roman" w:cs="Times New Roman"/>
          <w:b/>
          <w:bCs/>
        </w:rPr>
      </w:pPr>
      <w:r w:rsidRPr="004845F0">
        <w:rPr>
          <w:rFonts w:ascii="Times New Roman" w:hAnsi="Times New Roman" w:cs="Times New Roman"/>
          <w:b/>
          <w:bCs/>
        </w:rPr>
        <w:t>Table 1. Prevalence of Medical Conditions by Gender</w:t>
      </w:r>
    </w:p>
    <w:tbl>
      <w:tblPr>
        <w:tblW w:w="5620" w:type="dxa"/>
        <w:jc w:val="center"/>
        <w:tblLook w:val="04A0" w:firstRow="1" w:lastRow="0" w:firstColumn="1" w:lastColumn="0" w:noHBand="0" w:noVBand="1"/>
      </w:tblPr>
      <w:tblGrid>
        <w:gridCol w:w="1560"/>
        <w:gridCol w:w="960"/>
        <w:gridCol w:w="1360"/>
        <w:gridCol w:w="740"/>
        <w:gridCol w:w="1000"/>
      </w:tblGrid>
      <w:tr w:rsidR="005176D0" w:rsidRPr="005176D0" w14:paraId="49EE578D" w14:textId="77777777" w:rsidTr="005176D0">
        <w:trPr>
          <w:trHeight w:val="310"/>
          <w:jc w:val="center"/>
        </w:trPr>
        <w:tc>
          <w:tcPr>
            <w:tcW w:w="1560" w:type="dxa"/>
            <w:tcBorders>
              <w:top w:val="single" w:sz="4" w:space="0" w:color="auto"/>
              <w:left w:val="nil"/>
              <w:bottom w:val="nil"/>
              <w:right w:val="nil"/>
            </w:tcBorders>
            <w:shd w:val="clear" w:color="auto" w:fill="auto"/>
            <w:vAlign w:val="center"/>
            <w:hideMark/>
          </w:tcPr>
          <w:p w14:paraId="22B7F814"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Condition      </w:t>
            </w:r>
          </w:p>
        </w:tc>
        <w:tc>
          <w:tcPr>
            <w:tcW w:w="960" w:type="dxa"/>
            <w:tcBorders>
              <w:top w:val="single" w:sz="4" w:space="0" w:color="auto"/>
              <w:left w:val="nil"/>
              <w:bottom w:val="nil"/>
              <w:right w:val="nil"/>
            </w:tcBorders>
            <w:shd w:val="clear" w:color="auto" w:fill="auto"/>
            <w:vAlign w:val="center"/>
            <w:hideMark/>
          </w:tcPr>
          <w:p w14:paraId="06B4CF17"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Male (n)</w:t>
            </w:r>
          </w:p>
        </w:tc>
        <w:tc>
          <w:tcPr>
            <w:tcW w:w="1360" w:type="dxa"/>
            <w:tcBorders>
              <w:top w:val="single" w:sz="4" w:space="0" w:color="auto"/>
              <w:left w:val="nil"/>
              <w:bottom w:val="nil"/>
              <w:right w:val="nil"/>
            </w:tcBorders>
            <w:shd w:val="clear" w:color="auto" w:fill="auto"/>
            <w:vAlign w:val="center"/>
            <w:hideMark/>
          </w:tcPr>
          <w:p w14:paraId="61796531" w14:textId="77777777" w:rsid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Female </w:t>
            </w:r>
          </w:p>
          <w:p w14:paraId="092BFFB7"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(n)</w:t>
            </w:r>
          </w:p>
        </w:tc>
        <w:tc>
          <w:tcPr>
            <w:tcW w:w="740" w:type="dxa"/>
            <w:tcBorders>
              <w:top w:val="single" w:sz="4" w:space="0" w:color="auto"/>
              <w:left w:val="nil"/>
              <w:bottom w:val="nil"/>
              <w:right w:val="nil"/>
            </w:tcBorders>
            <w:shd w:val="clear" w:color="auto" w:fill="auto"/>
            <w:vAlign w:val="center"/>
            <w:hideMark/>
          </w:tcPr>
          <w:p w14:paraId="77FDCD12"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χ²    </w:t>
            </w:r>
          </w:p>
        </w:tc>
        <w:tc>
          <w:tcPr>
            <w:tcW w:w="1000" w:type="dxa"/>
            <w:tcBorders>
              <w:top w:val="single" w:sz="4" w:space="0" w:color="auto"/>
              <w:left w:val="nil"/>
              <w:bottom w:val="nil"/>
              <w:right w:val="nil"/>
            </w:tcBorders>
            <w:shd w:val="clear" w:color="auto" w:fill="auto"/>
            <w:vAlign w:val="center"/>
            <w:hideMark/>
          </w:tcPr>
          <w:p w14:paraId="5EB11137"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p-value</w:t>
            </w:r>
          </w:p>
        </w:tc>
      </w:tr>
      <w:tr w:rsidR="005176D0" w:rsidRPr="005176D0" w14:paraId="23ECDB27" w14:textId="77777777" w:rsidTr="005176D0">
        <w:trPr>
          <w:trHeight w:val="310"/>
          <w:jc w:val="center"/>
        </w:trPr>
        <w:tc>
          <w:tcPr>
            <w:tcW w:w="1560" w:type="dxa"/>
            <w:tcBorders>
              <w:top w:val="nil"/>
              <w:left w:val="nil"/>
              <w:bottom w:val="nil"/>
              <w:right w:val="nil"/>
            </w:tcBorders>
            <w:shd w:val="clear" w:color="auto" w:fill="auto"/>
            <w:vAlign w:val="center"/>
            <w:hideMark/>
          </w:tcPr>
          <w:p w14:paraId="57A19DA1"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Arthritis      </w:t>
            </w:r>
          </w:p>
        </w:tc>
        <w:tc>
          <w:tcPr>
            <w:tcW w:w="960" w:type="dxa"/>
            <w:tcBorders>
              <w:top w:val="nil"/>
              <w:left w:val="nil"/>
              <w:bottom w:val="nil"/>
              <w:right w:val="nil"/>
            </w:tcBorders>
            <w:shd w:val="clear" w:color="auto" w:fill="auto"/>
            <w:vAlign w:val="center"/>
            <w:hideMark/>
          </w:tcPr>
          <w:p w14:paraId="6E29086C"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3,354</w:t>
            </w:r>
          </w:p>
        </w:tc>
        <w:tc>
          <w:tcPr>
            <w:tcW w:w="1360" w:type="dxa"/>
            <w:tcBorders>
              <w:top w:val="nil"/>
              <w:left w:val="nil"/>
              <w:bottom w:val="nil"/>
              <w:right w:val="nil"/>
            </w:tcBorders>
            <w:shd w:val="clear" w:color="auto" w:fill="auto"/>
            <w:vAlign w:val="center"/>
            <w:hideMark/>
          </w:tcPr>
          <w:p w14:paraId="3734F665"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3,374</w:t>
            </w:r>
          </w:p>
        </w:tc>
        <w:tc>
          <w:tcPr>
            <w:tcW w:w="740" w:type="dxa"/>
            <w:tcBorders>
              <w:top w:val="nil"/>
              <w:left w:val="nil"/>
              <w:bottom w:val="nil"/>
              <w:right w:val="nil"/>
            </w:tcBorders>
            <w:shd w:val="clear" w:color="auto" w:fill="auto"/>
            <w:vAlign w:val="center"/>
            <w:hideMark/>
          </w:tcPr>
          <w:p w14:paraId="05DD4E8C"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0.12</w:t>
            </w:r>
          </w:p>
        </w:tc>
        <w:tc>
          <w:tcPr>
            <w:tcW w:w="1000" w:type="dxa"/>
            <w:tcBorders>
              <w:top w:val="nil"/>
              <w:left w:val="nil"/>
              <w:bottom w:val="nil"/>
              <w:right w:val="nil"/>
            </w:tcBorders>
            <w:shd w:val="clear" w:color="auto" w:fill="auto"/>
            <w:vAlign w:val="center"/>
            <w:hideMark/>
          </w:tcPr>
          <w:p w14:paraId="161AF9C6"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0.73</w:t>
            </w:r>
          </w:p>
        </w:tc>
      </w:tr>
      <w:tr w:rsidR="005176D0" w:rsidRPr="005176D0" w14:paraId="19DBD44E" w14:textId="77777777" w:rsidTr="005176D0">
        <w:trPr>
          <w:trHeight w:val="310"/>
          <w:jc w:val="center"/>
        </w:trPr>
        <w:tc>
          <w:tcPr>
            <w:tcW w:w="1560" w:type="dxa"/>
            <w:tcBorders>
              <w:top w:val="nil"/>
              <w:left w:val="nil"/>
              <w:bottom w:val="nil"/>
              <w:right w:val="nil"/>
            </w:tcBorders>
            <w:shd w:val="clear" w:color="auto" w:fill="auto"/>
            <w:vAlign w:val="center"/>
            <w:hideMark/>
          </w:tcPr>
          <w:p w14:paraId="50A01FD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Diabetes       </w:t>
            </w:r>
          </w:p>
        </w:tc>
        <w:tc>
          <w:tcPr>
            <w:tcW w:w="960" w:type="dxa"/>
            <w:tcBorders>
              <w:top w:val="nil"/>
              <w:left w:val="nil"/>
              <w:bottom w:val="nil"/>
              <w:right w:val="nil"/>
            </w:tcBorders>
            <w:shd w:val="clear" w:color="auto" w:fill="auto"/>
            <w:vAlign w:val="center"/>
            <w:hideMark/>
          </w:tcPr>
          <w:p w14:paraId="29F154B1"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3,341</w:t>
            </w:r>
          </w:p>
        </w:tc>
        <w:tc>
          <w:tcPr>
            <w:tcW w:w="1360" w:type="dxa"/>
            <w:tcBorders>
              <w:top w:val="nil"/>
              <w:left w:val="nil"/>
              <w:bottom w:val="nil"/>
              <w:right w:val="nil"/>
            </w:tcBorders>
            <w:shd w:val="clear" w:color="auto" w:fill="auto"/>
            <w:vAlign w:val="center"/>
            <w:hideMark/>
          </w:tcPr>
          <w:p w14:paraId="2A4AD3E2"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3,342</w:t>
            </w:r>
          </w:p>
        </w:tc>
        <w:tc>
          <w:tcPr>
            <w:tcW w:w="740" w:type="dxa"/>
            <w:tcBorders>
              <w:top w:val="nil"/>
              <w:left w:val="nil"/>
              <w:bottom w:val="nil"/>
              <w:right w:val="nil"/>
            </w:tcBorders>
            <w:shd w:val="clear" w:color="auto" w:fill="auto"/>
            <w:vAlign w:val="center"/>
            <w:hideMark/>
          </w:tcPr>
          <w:p w14:paraId="13AF46D1"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w:t>
            </w:r>
          </w:p>
        </w:tc>
        <w:tc>
          <w:tcPr>
            <w:tcW w:w="1000" w:type="dxa"/>
            <w:tcBorders>
              <w:top w:val="nil"/>
              <w:left w:val="nil"/>
              <w:bottom w:val="nil"/>
              <w:right w:val="nil"/>
            </w:tcBorders>
            <w:shd w:val="clear" w:color="auto" w:fill="auto"/>
            <w:vAlign w:val="center"/>
            <w:hideMark/>
          </w:tcPr>
          <w:p w14:paraId="463C7EDE"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0.99</w:t>
            </w:r>
          </w:p>
        </w:tc>
      </w:tr>
      <w:tr w:rsidR="005176D0" w:rsidRPr="005176D0" w14:paraId="5360C717" w14:textId="77777777" w:rsidTr="005176D0">
        <w:trPr>
          <w:trHeight w:val="310"/>
          <w:jc w:val="center"/>
        </w:trPr>
        <w:tc>
          <w:tcPr>
            <w:tcW w:w="1560" w:type="dxa"/>
            <w:tcBorders>
              <w:top w:val="nil"/>
              <w:left w:val="nil"/>
              <w:bottom w:val="nil"/>
              <w:right w:val="nil"/>
            </w:tcBorders>
            <w:shd w:val="clear" w:color="auto" w:fill="auto"/>
            <w:vAlign w:val="center"/>
            <w:hideMark/>
          </w:tcPr>
          <w:p w14:paraId="216C7D05"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Hypertension   </w:t>
            </w:r>
          </w:p>
        </w:tc>
        <w:tc>
          <w:tcPr>
            <w:tcW w:w="960" w:type="dxa"/>
            <w:tcBorders>
              <w:top w:val="nil"/>
              <w:left w:val="nil"/>
              <w:bottom w:val="nil"/>
              <w:right w:val="nil"/>
            </w:tcBorders>
            <w:shd w:val="clear" w:color="auto" w:fill="auto"/>
            <w:vAlign w:val="center"/>
            <w:hideMark/>
          </w:tcPr>
          <w:p w14:paraId="5A04E3A2"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3,311</w:t>
            </w:r>
          </w:p>
        </w:tc>
        <w:tc>
          <w:tcPr>
            <w:tcW w:w="1360" w:type="dxa"/>
            <w:tcBorders>
              <w:top w:val="nil"/>
              <w:left w:val="nil"/>
              <w:bottom w:val="nil"/>
              <w:right w:val="nil"/>
            </w:tcBorders>
            <w:shd w:val="clear" w:color="auto" w:fill="auto"/>
            <w:vAlign w:val="center"/>
            <w:hideMark/>
          </w:tcPr>
          <w:p w14:paraId="089DAE3F"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3,321</w:t>
            </w:r>
          </w:p>
        </w:tc>
        <w:tc>
          <w:tcPr>
            <w:tcW w:w="740" w:type="dxa"/>
            <w:tcBorders>
              <w:top w:val="nil"/>
              <w:left w:val="nil"/>
              <w:bottom w:val="nil"/>
              <w:right w:val="nil"/>
            </w:tcBorders>
            <w:shd w:val="clear" w:color="auto" w:fill="auto"/>
            <w:vAlign w:val="center"/>
            <w:hideMark/>
          </w:tcPr>
          <w:p w14:paraId="24326C0C"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0.03</w:t>
            </w:r>
          </w:p>
        </w:tc>
        <w:tc>
          <w:tcPr>
            <w:tcW w:w="1000" w:type="dxa"/>
            <w:tcBorders>
              <w:top w:val="nil"/>
              <w:left w:val="nil"/>
              <w:bottom w:val="nil"/>
              <w:right w:val="nil"/>
            </w:tcBorders>
            <w:shd w:val="clear" w:color="auto" w:fill="auto"/>
            <w:vAlign w:val="center"/>
            <w:hideMark/>
          </w:tcPr>
          <w:p w14:paraId="3D67D4F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0.86</w:t>
            </w:r>
          </w:p>
        </w:tc>
      </w:tr>
      <w:tr w:rsidR="005176D0" w:rsidRPr="005176D0" w14:paraId="50ECE933" w14:textId="77777777" w:rsidTr="005176D0">
        <w:trPr>
          <w:trHeight w:val="310"/>
          <w:jc w:val="center"/>
        </w:trPr>
        <w:tc>
          <w:tcPr>
            <w:tcW w:w="1560" w:type="dxa"/>
            <w:tcBorders>
              <w:top w:val="nil"/>
              <w:left w:val="nil"/>
              <w:bottom w:val="nil"/>
              <w:right w:val="nil"/>
            </w:tcBorders>
            <w:shd w:val="clear" w:color="auto" w:fill="auto"/>
            <w:vAlign w:val="center"/>
            <w:hideMark/>
          </w:tcPr>
          <w:p w14:paraId="42C29745"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Obesity        </w:t>
            </w:r>
          </w:p>
        </w:tc>
        <w:tc>
          <w:tcPr>
            <w:tcW w:w="960" w:type="dxa"/>
            <w:tcBorders>
              <w:top w:val="nil"/>
              <w:left w:val="nil"/>
              <w:bottom w:val="nil"/>
              <w:right w:val="nil"/>
            </w:tcBorders>
            <w:shd w:val="clear" w:color="auto" w:fill="auto"/>
            <w:vAlign w:val="center"/>
            <w:hideMark/>
          </w:tcPr>
          <w:p w14:paraId="3E320AB5"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3,322</w:t>
            </w:r>
          </w:p>
        </w:tc>
        <w:tc>
          <w:tcPr>
            <w:tcW w:w="1360" w:type="dxa"/>
            <w:tcBorders>
              <w:top w:val="nil"/>
              <w:left w:val="nil"/>
              <w:bottom w:val="nil"/>
              <w:right w:val="nil"/>
            </w:tcBorders>
            <w:shd w:val="clear" w:color="auto" w:fill="auto"/>
            <w:vAlign w:val="center"/>
            <w:hideMark/>
          </w:tcPr>
          <w:p w14:paraId="20D19706"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3,314</w:t>
            </w:r>
          </w:p>
        </w:tc>
        <w:tc>
          <w:tcPr>
            <w:tcW w:w="740" w:type="dxa"/>
            <w:tcBorders>
              <w:top w:val="nil"/>
              <w:left w:val="nil"/>
              <w:bottom w:val="nil"/>
              <w:right w:val="nil"/>
            </w:tcBorders>
            <w:shd w:val="clear" w:color="auto" w:fill="auto"/>
            <w:vAlign w:val="center"/>
            <w:hideMark/>
          </w:tcPr>
          <w:p w14:paraId="239B8FC8"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0.02</w:t>
            </w:r>
          </w:p>
        </w:tc>
        <w:tc>
          <w:tcPr>
            <w:tcW w:w="1000" w:type="dxa"/>
            <w:tcBorders>
              <w:top w:val="nil"/>
              <w:left w:val="nil"/>
              <w:bottom w:val="nil"/>
              <w:right w:val="nil"/>
            </w:tcBorders>
            <w:shd w:val="clear" w:color="auto" w:fill="auto"/>
            <w:vAlign w:val="center"/>
            <w:hideMark/>
          </w:tcPr>
          <w:p w14:paraId="21E7B3E4"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0.89</w:t>
            </w:r>
          </w:p>
        </w:tc>
      </w:tr>
      <w:tr w:rsidR="005176D0" w:rsidRPr="005176D0" w14:paraId="5701D50B" w14:textId="77777777" w:rsidTr="005176D0">
        <w:trPr>
          <w:trHeight w:val="310"/>
          <w:jc w:val="center"/>
        </w:trPr>
        <w:tc>
          <w:tcPr>
            <w:tcW w:w="1560" w:type="dxa"/>
            <w:tcBorders>
              <w:top w:val="nil"/>
              <w:left w:val="nil"/>
              <w:bottom w:val="nil"/>
              <w:right w:val="nil"/>
            </w:tcBorders>
            <w:shd w:val="clear" w:color="auto" w:fill="auto"/>
            <w:vAlign w:val="center"/>
            <w:hideMark/>
          </w:tcPr>
          <w:p w14:paraId="2BBB2C49"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Cancer         </w:t>
            </w:r>
          </w:p>
        </w:tc>
        <w:tc>
          <w:tcPr>
            <w:tcW w:w="960" w:type="dxa"/>
            <w:tcBorders>
              <w:top w:val="nil"/>
              <w:left w:val="nil"/>
              <w:bottom w:val="nil"/>
              <w:right w:val="nil"/>
            </w:tcBorders>
            <w:shd w:val="clear" w:color="auto" w:fill="auto"/>
            <w:vAlign w:val="center"/>
            <w:hideMark/>
          </w:tcPr>
          <w:p w14:paraId="469EAF6E"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3,304</w:t>
            </w:r>
          </w:p>
        </w:tc>
        <w:tc>
          <w:tcPr>
            <w:tcW w:w="1360" w:type="dxa"/>
            <w:tcBorders>
              <w:top w:val="nil"/>
              <w:left w:val="nil"/>
              <w:bottom w:val="nil"/>
              <w:right w:val="nil"/>
            </w:tcBorders>
            <w:shd w:val="clear" w:color="auto" w:fill="auto"/>
            <w:vAlign w:val="center"/>
            <w:hideMark/>
          </w:tcPr>
          <w:p w14:paraId="50BCF0AB"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3,264</w:t>
            </w:r>
          </w:p>
        </w:tc>
        <w:tc>
          <w:tcPr>
            <w:tcW w:w="740" w:type="dxa"/>
            <w:tcBorders>
              <w:top w:val="nil"/>
              <w:left w:val="nil"/>
              <w:bottom w:val="nil"/>
              <w:right w:val="nil"/>
            </w:tcBorders>
            <w:shd w:val="clear" w:color="auto" w:fill="auto"/>
            <w:vAlign w:val="center"/>
            <w:hideMark/>
          </w:tcPr>
          <w:p w14:paraId="7B69A49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0.61</w:t>
            </w:r>
          </w:p>
        </w:tc>
        <w:tc>
          <w:tcPr>
            <w:tcW w:w="1000" w:type="dxa"/>
            <w:tcBorders>
              <w:top w:val="nil"/>
              <w:left w:val="nil"/>
              <w:bottom w:val="nil"/>
              <w:right w:val="nil"/>
            </w:tcBorders>
            <w:shd w:val="clear" w:color="auto" w:fill="auto"/>
            <w:vAlign w:val="center"/>
            <w:hideMark/>
          </w:tcPr>
          <w:p w14:paraId="1EDB1D5A"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0.43</w:t>
            </w:r>
          </w:p>
        </w:tc>
      </w:tr>
      <w:tr w:rsidR="005176D0" w:rsidRPr="005176D0" w14:paraId="32C16734" w14:textId="77777777" w:rsidTr="005176D0">
        <w:trPr>
          <w:trHeight w:val="310"/>
          <w:jc w:val="center"/>
        </w:trPr>
        <w:tc>
          <w:tcPr>
            <w:tcW w:w="1560" w:type="dxa"/>
            <w:tcBorders>
              <w:top w:val="single" w:sz="4" w:space="0" w:color="auto"/>
              <w:left w:val="nil"/>
              <w:bottom w:val="single" w:sz="4" w:space="0" w:color="auto"/>
              <w:right w:val="nil"/>
            </w:tcBorders>
            <w:shd w:val="clear" w:color="auto" w:fill="auto"/>
            <w:vAlign w:val="center"/>
            <w:hideMark/>
          </w:tcPr>
          <w:p w14:paraId="7C56EE8B"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 xml:space="preserve">Asthma         </w:t>
            </w:r>
          </w:p>
        </w:tc>
        <w:tc>
          <w:tcPr>
            <w:tcW w:w="960" w:type="dxa"/>
            <w:tcBorders>
              <w:top w:val="single" w:sz="4" w:space="0" w:color="auto"/>
              <w:left w:val="nil"/>
              <w:bottom w:val="single" w:sz="4" w:space="0" w:color="auto"/>
              <w:right w:val="nil"/>
            </w:tcBorders>
            <w:shd w:val="clear" w:color="auto" w:fill="auto"/>
            <w:vAlign w:val="center"/>
            <w:hideMark/>
          </w:tcPr>
          <w:p w14:paraId="2E0A4BC0"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3,367</w:t>
            </w:r>
          </w:p>
        </w:tc>
        <w:tc>
          <w:tcPr>
            <w:tcW w:w="1360" w:type="dxa"/>
            <w:tcBorders>
              <w:top w:val="single" w:sz="4" w:space="0" w:color="auto"/>
              <w:left w:val="nil"/>
              <w:bottom w:val="single" w:sz="4" w:space="0" w:color="auto"/>
              <w:right w:val="nil"/>
            </w:tcBorders>
            <w:shd w:val="clear" w:color="auto" w:fill="auto"/>
            <w:vAlign w:val="center"/>
            <w:hideMark/>
          </w:tcPr>
          <w:p w14:paraId="5C08C4F6"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3,262</w:t>
            </w:r>
          </w:p>
        </w:tc>
        <w:tc>
          <w:tcPr>
            <w:tcW w:w="740" w:type="dxa"/>
            <w:tcBorders>
              <w:top w:val="single" w:sz="4" w:space="0" w:color="auto"/>
              <w:left w:val="nil"/>
              <w:bottom w:val="single" w:sz="4" w:space="0" w:color="auto"/>
              <w:right w:val="nil"/>
            </w:tcBorders>
            <w:shd w:val="clear" w:color="auto" w:fill="auto"/>
            <w:vAlign w:val="center"/>
            <w:hideMark/>
          </w:tcPr>
          <w:p w14:paraId="577904C1"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2.51</w:t>
            </w:r>
          </w:p>
        </w:tc>
        <w:tc>
          <w:tcPr>
            <w:tcW w:w="1000" w:type="dxa"/>
            <w:tcBorders>
              <w:top w:val="single" w:sz="4" w:space="0" w:color="auto"/>
              <w:left w:val="nil"/>
              <w:bottom w:val="single" w:sz="4" w:space="0" w:color="auto"/>
              <w:right w:val="nil"/>
            </w:tcBorders>
            <w:shd w:val="clear" w:color="auto" w:fill="auto"/>
            <w:vAlign w:val="center"/>
            <w:hideMark/>
          </w:tcPr>
          <w:p w14:paraId="58B855D3" w14:textId="77777777" w:rsidR="005176D0" w:rsidRPr="005176D0" w:rsidRDefault="005176D0" w:rsidP="005176D0">
            <w:pPr>
              <w:spacing w:after="0" w:line="240" w:lineRule="auto"/>
              <w:rPr>
                <w:rFonts w:ascii="Times New Roman" w:eastAsia="Times New Roman" w:hAnsi="Times New Roman" w:cs="Times New Roman"/>
                <w:color w:val="000000"/>
                <w:kern w:val="0"/>
                <w14:ligatures w14:val="none"/>
              </w:rPr>
            </w:pPr>
            <w:r w:rsidRPr="005176D0">
              <w:rPr>
                <w:rFonts w:ascii="Times New Roman" w:eastAsia="Times New Roman" w:hAnsi="Times New Roman" w:cs="Times New Roman"/>
                <w:color w:val="000000"/>
                <w:kern w:val="0"/>
                <w14:ligatures w14:val="none"/>
              </w:rPr>
              <w:t>0.11</w:t>
            </w:r>
          </w:p>
        </w:tc>
      </w:tr>
    </w:tbl>
    <w:p w14:paraId="40A110C7" w14:textId="77777777" w:rsidR="002612CC" w:rsidRDefault="002612CC" w:rsidP="002612CC">
      <w:pPr>
        <w:jc w:val="both"/>
        <w:rPr>
          <w:rFonts w:ascii="Times New Roman" w:hAnsi="Times New Roman" w:cs="Times New Roman"/>
        </w:rPr>
      </w:pPr>
    </w:p>
    <w:p w14:paraId="7E0D88CB" w14:textId="77777777" w:rsidR="004845F0" w:rsidRDefault="004845F0" w:rsidP="002612CC">
      <w:pPr>
        <w:jc w:val="both"/>
        <w:rPr>
          <w:rFonts w:ascii="Times New Roman" w:hAnsi="Times New Roman" w:cs="Times New Roman"/>
        </w:rPr>
      </w:pPr>
    </w:p>
    <w:p w14:paraId="6845C02A" w14:textId="77777777" w:rsidR="004845F0" w:rsidRDefault="004845F0" w:rsidP="002612CC">
      <w:pPr>
        <w:jc w:val="both"/>
        <w:rPr>
          <w:rFonts w:ascii="Times New Roman" w:hAnsi="Times New Roman" w:cs="Times New Roman"/>
        </w:rPr>
      </w:pPr>
    </w:p>
    <w:p w14:paraId="56EA052A" w14:textId="77777777" w:rsidR="004845F0" w:rsidRDefault="004845F0" w:rsidP="002612CC">
      <w:pPr>
        <w:jc w:val="both"/>
        <w:rPr>
          <w:rFonts w:ascii="Times New Roman" w:hAnsi="Times New Roman" w:cs="Times New Roman"/>
        </w:rPr>
      </w:pPr>
    </w:p>
    <w:p w14:paraId="6AD50A66" w14:textId="77777777" w:rsidR="004845F0" w:rsidRDefault="004845F0" w:rsidP="002612CC">
      <w:pPr>
        <w:jc w:val="both"/>
        <w:rPr>
          <w:rFonts w:ascii="Times New Roman" w:hAnsi="Times New Roman" w:cs="Times New Roman"/>
        </w:rPr>
      </w:pPr>
      <w:r>
        <w:rPr>
          <w:rFonts w:ascii="Times New Roman" w:hAnsi="Times New Roman" w:cs="Times New Roman"/>
          <w:noProof/>
        </w:rPr>
        <w:drawing>
          <wp:inline distT="0" distB="0" distL="0" distR="0" wp14:anchorId="5899843B" wp14:editId="1472BB62">
            <wp:extent cx="6026150" cy="3530600"/>
            <wp:effectExtent l="0" t="0" r="0" b="0"/>
            <wp:docPr id="111343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3347" name="Picture 111343347"/>
                    <pic:cNvPicPr/>
                  </pic:nvPicPr>
                  <pic:blipFill>
                    <a:blip r:embed="rId5">
                      <a:extLst>
                        <a:ext uri="{28A0092B-C50C-407E-A947-70E740481C1C}">
                          <a14:useLocalDpi xmlns:a14="http://schemas.microsoft.com/office/drawing/2010/main" val="0"/>
                        </a:ext>
                      </a:extLst>
                    </a:blip>
                    <a:stretch>
                      <a:fillRect/>
                    </a:stretch>
                  </pic:blipFill>
                  <pic:spPr>
                    <a:xfrm>
                      <a:off x="0" y="0"/>
                      <a:ext cx="6033787" cy="3535074"/>
                    </a:xfrm>
                    <a:prstGeom prst="rect">
                      <a:avLst/>
                    </a:prstGeom>
                  </pic:spPr>
                </pic:pic>
              </a:graphicData>
            </a:graphic>
          </wp:inline>
        </w:drawing>
      </w:r>
    </w:p>
    <w:p w14:paraId="09FCEBB6" w14:textId="77777777" w:rsidR="004845F0" w:rsidRDefault="004845F0" w:rsidP="002612CC">
      <w:pPr>
        <w:jc w:val="both"/>
        <w:rPr>
          <w:rFonts w:ascii="Times New Roman" w:hAnsi="Times New Roman" w:cs="Times New Roman"/>
        </w:rPr>
      </w:pPr>
    </w:p>
    <w:p w14:paraId="46EB53F3" w14:textId="77777777" w:rsidR="004845F0" w:rsidRDefault="004845F0" w:rsidP="004E389E">
      <w:pPr>
        <w:jc w:val="center"/>
        <w:rPr>
          <w:rFonts w:ascii="Times New Roman" w:hAnsi="Times New Roman" w:cs="Times New Roman"/>
          <w:b/>
          <w:bCs/>
        </w:rPr>
      </w:pPr>
      <w:r w:rsidRPr="004845F0">
        <w:rPr>
          <w:rFonts w:ascii="Times New Roman" w:hAnsi="Times New Roman" w:cs="Times New Roman"/>
          <w:b/>
          <w:bCs/>
        </w:rPr>
        <w:t>Figure 1: Most commonly Affected Patient by Age grade</w:t>
      </w:r>
    </w:p>
    <w:p w14:paraId="4D0058E9" w14:textId="77777777" w:rsidR="002612CC" w:rsidRPr="004845F0" w:rsidRDefault="00E55373" w:rsidP="002612CC">
      <w:pPr>
        <w:jc w:val="both"/>
        <w:rPr>
          <w:rFonts w:ascii="Times New Roman" w:hAnsi="Times New Roman" w:cs="Times New Roman"/>
          <w:b/>
          <w:bCs/>
        </w:rPr>
      </w:pPr>
      <w:r w:rsidRPr="004845F0">
        <w:rPr>
          <w:rFonts w:ascii="Times New Roman" w:hAnsi="Times New Roman" w:cs="Times New Roman"/>
          <w:b/>
          <w:bCs/>
        </w:rPr>
        <w:t>3.1.3</w:t>
      </w:r>
      <w:r w:rsidRPr="004845F0">
        <w:rPr>
          <w:rFonts w:ascii="Times New Roman" w:hAnsi="Times New Roman" w:cs="Times New Roman"/>
          <w:b/>
          <w:bCs/>
        </w:rPr>
        <w:tab/>
      </w:r>
      <w:r w:rsidR="002612CC" w:rsidRPr="004845F0">
        <w:rPr>
          <w:rFonts w:ascii="Times New Roman" w:hAnsi="Times New Roman" w:cs="Times New Roman"/>
          <w:b/>
          <w:bCs/>
        </w:rPr>
        <w:t>Additional Cohort Characteristics</w:t>
      </w:r>
    </w:p>
    <w:p w14:paraId="215FAF00" w14:textId="77777777" w:rsidR="00E55373" w:rsidRPr="004845F0" w:rsidRDefault="002612CC" w:rsidP="002612CC">
      <w:pPr>
        <w:jc w:val="both"/>
        <w:rPr>
          <w:rFonts w:ascii="Times New Roman" w:hAnsi="Times New Roman" w:cs="Times New Roman"/>
        </w:rPr>
      </w:pPr>
      <w:r w:rsidRPr="004845F0">
        <w:rPr>
          <w:rFonts w:ascii="Times New Roman" w:hAnsi="Times New Roman" w:cs="Times New Roman"/>
        </w:rPr>
        <w:t>Blood type distribution was relatively uniform, with AB+ (5,039; 12.63%) and O- (4,935; 12.38%) as the most and least common types, respectively. Hospital stay duration averaged 15.49 days across conditions, with asthma requiring the longest (15.70 days) and diabetes the shortest (15.34 days).</w:t>
      </w:r>
    </w:p>
    <w:p w14:paraId="6EC949FF" w14:textId="77777777" w:rsidR="002612CC" w:rsidRPr="004845F0" w:rsidRDefault="00E55373" w:rsidP="002612CC">
      <w:pPr>
        <w:jc w:val="both"/>
        <w:rPr>
          <w:rFonts w:ascii="Times New Roman" w:hAnsi="Times New Roman" w:cs="Times New Roman"/>
          <w:b/>
          <w:bCs/>
        </w:rPr>
      </w:pPr>
      <w:r w:rsidRPr="004845F0">
        <w:rPr>
          <w:rFonts w:ascii="Times New Roman" w:hAnsi="Times New Roman" w:cs="Times New Roman"/>
          <w:b/>
          <w:bCs/>
        </w:rPr>
        <w:t>3.1.4</w:t>
      </w:r>
      <w:r w:rsidRPr="004845F0">
        <w:rPr>
          <w:rFonts w:ascii="Times New Roman" w:hAnsi="Times New Roman" w:cs="Times New Roman"/>
          <w:b/>
          <w:bCs/>
        </w:rPr>
        <w:tab/>
      </w:r>
      <w:r w:rsidR="002612CC" w:rsidRPr="004845F0">
        <w:rPr>
          <w:rFonts w:ascii="Times New Roman" w:hAnsi="Times New Roman" w:cs="Times New Roman"/>
          <w:b/>
          <w:bCs/>
        </w:rPr>
        <w:t>Medication and Admission Trends</w:t>
      </w:r>
    </w:p>
    <w:p w14:paraId="3B28A1EA"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 xml:space="preserve">Ibuprofen was the most prescribed medication (8,043 patients), followed by penicillin (7,994) and </w:t>
      </w:r>
      <w:proofErr w:type="spellStart"/>
      <w:r w:rsidRPr="004845F0">
        <w:rPr>
          <w:rFonts w:ascii="Times New Roman" w:hAnsi="Times New Roman" w:cs="Times New Roman"/>
        </w:rPr>
        <w:t>lipitor</w:t>
      </w:r>
      <w:proofErr w:type="spellEnd"/>
      <w:r w:rsidRPr="004845F0">
        <w:rPr>
          <w:rFonts w:ascii="Times New Roman" w:hAnsi="Times New Roman" w:cs="Times New Roman"/>
        </w:rPr>
        <w:t xml:space="preserve"> (7,985). Admission types were balanced: elective (33.64%), emergency (32.82%), and urgent (33.54%), with no significant gender differences (χ² = 1.89, p = 0.39). Test results showed an even split: abnormal (33.51%), inconclusive (33.26%), and normal (33.22%).</w:t>
      </w:r>
    </w:p>
    <w:p w14:paraId="20D8659A" w14:textId="77777777" w:rsidR="002612CC" w:rsidRPr="004845F0" w:rsidRDefault="00E55373" w:rsidP="002612CC">
      <w:pPr>
        <w:jc w:val="both"/>
        <w:rPr>
          <w:rFonts w:ascii="Times New Roman" w:hAnsi="Times New Roman" w:cs="Times New Roman"/>
          <w:b/>
          <w:bCs/>
        </w:rPr>
      </w:pPr>
      <w:r w:rsidRPr="004845F0">
        <w:rPr>
          <w:rFonts w:ascii="Times New Roman" w:hAnsi="Times New Roman" w:cs="Times New Roman"/>
          <w:b/>
          <w:bCs/>
        </w:rPr>
        <w:t>3.2</w:t>
      </w:r>
      <w:r w:rsidRPr="004845F0">
        <w:rPr>
          <w:rFonts w:ascii="Times New Roman" w:hAnsi="Times New Roman" w:cs="Times New Roman"/>
          <w:b/>
          <w:bCs/>
        </w:rPr>
        <w:tab/>
      </w:r>
      <w:r w:rsidR="002612CC" w:rsidRPr="004845F0">
        <w:rPr>
          <w:rFonts w:ascii="Times New Roman" w:hAnsi="Times New Roman" w:cs="Times New Roman"/>
          <w:b/>
          <w:bCs/>
        </w:rPr>
        <w:t>Discussion</w:t>
      </w:r>
    </w:p>
    <w:p w14:paraId="28BE8563" w14:textId="77777777" w:rsidR="002612CC" w:rsidRDefault="002612CC" w:rsidP="002612CC">
      <w:pPr>
        <w:jc w:val="both"/>
        <w:rPr>
          <w:rFonts w:ascii="Times New Roman" w:hAnsi="Times New Roman" w:cs="Times New Roman"/>
        </w:rPr>
      </w:pPr>
      <w:r w:rsidRPr="004845F0">
        <w:rPr>
          <w:rFonts w:ascii="Times New Roman" w:hAnsi="Times New Roman" w:cs="Times New Roman"/>
        </w:rPr>
        <w:t>The near-equal gender distribution (50.15% male, 49.85% female) in this cohort of 39,876 patients contrasts with historical healthcare datasets, which often exhibit gender skew due to sampling biases or disease-specific focus</w:t>
      </w:r>
      <w:r w:rsidR="00553A62">
        <w:rPr>
          <w:rFonts w:ascii="Times New Roman" w:hAnsi="Times New Roman" w:cs="Times New Roman"/>
        </w:rPr>
        <w:t>.</w:t>
      </w:r>
      <w:r w:rsidRPr="004845F0">
        <w:rPr>
          <w:rFonts w:ascii="Times New Roman" w:hAnsi="Times New Roman" w:cs="Times New Roman"/>
        </w:rPr>
        <w:t xml:space="preserve"> This balance suggests improved equity in healthcare access, </w:t>
      </w:r>
      <w:r w:rsidRPr="004845F0">
        <w:rPr>
          <w:rFonts w:ascii="Times New Roman" w:hAnsi="Times New Roman" w:cs="Times New Roman"/>
        </w:rPr>
        <w:lastRenderedPageBreak/>
        <w:t xml:space="preserve">aligning with global trends reported by the World Health Organization (WHO, 2021). The lack of significant gender differences in chronic condition prevalence (p &gt; 0.05 for all conditions) challenges prior findings of gender-specific disparities, such as higher diabetes rates in males or hypertension in females (Gupta </w:t>
      </w:r>
      <w:r w:rsidRPr="00837669">
        <w:rPr>
          <w:rFonts w:ascii="Times New Roman" w:hAnsi="Times New Roman" w:cs="Times New Roman"/>
          <w:i/>
          <w:iCs/>
        </w:rPr>
        <w:t>et al.,</w:t>
      </w:r>
      <w:r w:rsidRPr="004845F0">
        <w:rPr>
          <w:rFonts w:ascii="Times New Roman" w:hAnsi="Times New Roman" w:cs="Times New Roman"/>
        </w:rPr>
        <w:t xml:space="preserve"> 2019). This uniformity may reflect a population with equitable exposure to risk factors or healthcare interventions, though further investigation into lifestyle and socioeconomic variables is warranted.</w:t>
      </w:r>
    </w:p>
    <w:p w14:paraId="300FE289" w14:textId="77777777" w:rsidR="0003449E" w:rsidRPr="004845F0" w:rsidRDefault="0003449E" w:rsidP="002612CC">
      <w:pPr>
        <w:jc w:val="both"/>
        <w:rPr>
          <w:rFonts w:ascii="Times New Roman" w:hAnsi="Times New Roman" w:cs="Times New Roman"/>
        </w:rPr>
      </w:pPr>
      <w:r w:rsidRPr="0003449E">
        <w:rPr>
          <w:rFonts w:ascii="Times New Roman" w:hAnsi="Times New Roman" w:cs="Times New Roman"/>
        </w:rPr>
        <w:t>The national scope of data collection, involving multiple healthcare settings across Nigeria, enhances the generalizability of these findings. By reflecting a near-equal gender distribution in a large, real-world cohort, the study provides important insights into gender inclusivity in healthcare access. Although the study does not directly measure healthcare outcomes, the equitable representation across chronic conditions suggests progress toward reducing gender-based disparities in healthcare utilization. These results can inform policymakers in developing gender-sensitive health programs that ensure equitable diagnosis, treatment, and preventive interventions across diverse populations.</w:t>
      </w:r>
    </w:p>
    <w:p w14:paraId="6C7264C1" w14:textId="77777777" w:rsidR="002612CC" w:rsidRPr="004845F0" w:rsidRDefault="002612CC" w:rsidP="002612CC">
      <w:pPr>
        <w:jc w:val="both"/>
        <w:rPr>
          <w:rFonts w:ascii="Times New Roman" w:hAnsi="Times New Roman" w:cs="Times New Roman"/>
        </w:rPr>
      </w:pPr>
      <w:r w:rsidRPr="004845F0">
        <w:rPr>
          <w:rFonts w:ascii="Times New Roman" w:hAnsi="Times New Roman" w:cs="Times New Roman"/>
        </w:rPr>
        <w:t xml:space="preserve">The even distribution of blood types and balanced admission types (elective, emergency, urgent) further underscore the cohort’s representativeness, supporting its utility for broader health policy inferences. The slight predominance of asthma-related hospital stays (15.70 days) aligns with its acute exacerbation profile (Murray </w:t>
      </w:r>
      <w:r w:rsidRPr="00837669">
        <w:rPr>
          <w:rFonts w:ascii="Times New Roman" w:hAnsi="Times New Roman" w:cs="Times New Roman"/>
          <w:i/>
          <w:iCs/>
        </w:rPr>
        <w:t>et al.,</w:t>
      </w:r>
      <w:r w:rsidRPr="004845F0">
        <w:rPr>
          <w:rFonts w:ascii="Times New Roman" w:hAnsi="Times New Roman" w:cs="Times New Roman"/>
        </w:rPr>
        <w:t xml:space="preserve"> 2020), while the minimal billing variation by gender suggests cost equity in treatment delivery. However, the higher admission rates among the aged (36.77%) and their elevated condition prevalence (e.g., arthritis, asthma) highlight age as a critical determinant of healthcare burden, consistent with aging population studies (He </w:t>
      </w:r>
      <w:r w:rsidRPr="00837669">
        <w:rPr>
          <w:rFonts w:ascii="Times New Roman" w:hAnsi="Times New Roman" w:cs="Times New Roman"/>
          <w:i/>
          <w:iCs/>
        </w:rPr>
        <w:t>et al.,</w:t>
      </w:r>
      <w:r w:rsidRPr="004845F0">
        <w:rPr>
          <w:rFonts w:ascii="Times New Roman" w:hAnsi="Times New Roman" w:cs="Times New Roman"/>
        </w:rPr>
        <w:t xml:space="preserve"> 2016).</w:t>
      </w:r>
    </w:p>
    <w:p w14:paraId="7B9028C9" w14:textId="77777777" w:rsidR="00E55373" w:rsidRPr="004845F0" w:rsidRDefault="002612CC" w:rsidP="00E55373">
      <w:pPr>
        <w:jc w:val="both"/>
        <w:rPr>
          <w:rFonts w:ascii="Times New Roman" w:hAnsi="Times New Roman" w:cs="Times New Roman"/>
        </w:rPr>
      </w:pPr>
      <w:r w:rsidRPr="004845F0">
        <w:rPr>
          <w:rFonts w:ascii="Times New Roman" w:hAnsi="Times New Roman" w:cs="Times New Roman"/>
        </w:rPr>
        <w:t>Limitations include the binary gender classification, which excludes non-binary identities, and the cross-sectional design, which precludes causal inferences. Future research should explore longitudinal outcomes and social determinants to elucidate whether this gender balance extends to treatment efficacy and health equity. These findings emphasize the value of representative cohorts in informing gender-sensitive healthcare strategies, offering a foundation for equitable policy development in diverse populations.</w:t>
      </w:r>
    </w:p>
    <w:p w14:paraId="64799DC7" w14:textId="77777777" w:rsidR="00E55373" w:rsidRPr="004845F0" w:rsidRDefault="00E55373" w:rsidP="00E55373">
      <w:pPr>
        <w:jc w:val="both"/>
        <w:rPr>
          <w:rFonts w:ascii="Times New Roman" w:hAnsi="Times New Roman" w:cs="Times New Roman"/>
          <w:b/>
          <w:bCs/>
        </w:rPr>
      </w:pPr>
      <w:r w:rsidRPr="004845F0">
        <w:rPr>
          <w:rFonts w:ascii="Times New Roman" w:hAnsi="Times New Roman" w:cs="Times New Roman"/>
          <w:b/>
          <w:bCs/>
        </w:rPr>
        <w:t>4.0</w:t>
      </w:r>
      <w:r w:rsidRPr="004845F0">
        <w:rPr>
          <w:rFonts w:ascii="Times New Roman" w:hAnsi="Times New Roman" w:cs="Times New Roman"/>
          <w:b/>
          <w:bCs/>
        </w:rPr>
        <w:tab/>
        <w:t>Conclusion and Recommendations</w:t>
      </w:r>
    </w:p>
    <w:p w14:paraId="28A6D7C0" w14:textId="77777777" w:rsidR="00E55373" w:rsidRPr="004845F0" w:rsidRDefault="00E55373" w:rsidP="00E55373">
      <w:pPr>
        <w:jc w:val="both"/>
        <w:rPr>
          <w:rFonts w:ascii="Times New Roman" w:hAnsi="Times New Roman" w:cs="Times New Roman"/>
          <w:b/>
          <w:bCs/>
        </w:rPr>
      </w:pPr>
      <w:r w:rsidRPr="004845F0">
        <w:rPr>
          <w:rFonts w:ascii="Times New Roman" w:hAnsi="Times New Roman" w:cs="Times New Roman"/>
          <w:b/>
          <w:bCs/>
        </w:rPr>
        <w:t>4.1</w:t>
      </w:r>
      <w:r w:rsidRPr="004845F0">
        <w:rPr>
          <w:rFonts w:ascii="Times New Roman" w:hAnsi="Times New Roman" w:cs="Times New Roman"/>
          <w:b/>
          <w:bCs/>
        </w:rPr>
        <w:tab/>
        <w:t>Conclusion</w:t>
      </w:r>
    </w:p>
    <w:p w14:paraId="23AFAF47"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 xml:space="preserve">This study of 39,876 patients, recorded as of </w:t>
      </w:r>
      <w:r w:rsidR="00EE53F4">
        <w:rPr>
          <w:rFonts w:ascii="Times New Roman" w:hAnsi="Times New Roman" w:cs="Times New Roman"/>
        </w:rPr>
        <w:t>February 01</w:t>
      </w:r>
      <w:r w:rsidRPr="004845F0">
        <w:rPr>
          <w:rFonts w:ascii="Times New Roman" w:hAnsi="Times New Roman" w:cs="Times New Roman"/>
        </w:rPr>
        <w:t xml:space="preserve">, 2025, reveals a near-equal gender distribution (50.15% male, 49.85% female), with a male-to-female ratio of 1.006:1, marking a significant departure from historical healthcare datasets that often exhibit gender imbalances due to sampling biases or disease-specific focus. The lack of statistically significant differences in the prevalence of chronic conditions such as arthritis (male: 3,354; female: 3,374), diabetes (male: 3,341; female: 3,342), and hypertension (male: 3,311; female: 3,321) between genders suggests a balanced burden of these illnesses within the cohort. This finding contrasts with prior reports of </w:t>
      </w:r>
      <w:r w:rsidRPr="004845F0">
        <w:rPr>
          <w:rFonts w:ascii="Times New Roman" w:hAnsi="Times New Roman" w:cs="Times New Roman"/>
        </w:rPr>
        <w:lastRenderedPageBreak/>
        <w:t>gender-specific disparities in chronic disease prevalence and may indicate equitable healthcare access or uniform exposure to risk factors across genders in this population.</w:t>
      </w:r>
    </w:p>
    <w:p w14:paraId="25E3F80F"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Beyond gender, the cohort’s uniformity extends to blood type distribution, admission types, and test result outcomes, reinforcing its representativeness and utility as a reference population. However, age emerged as a notable determinant of healthcare utilization, with the aged group (61+) accounting for 36.77% of admissions and exhibiting higher rates of conditions like arthritis and asthma. Collectively, these results highlight a healthcare system that appears to serve males and females with comparable intensity, challenging assumptions of systemic gender bias in care delivery.</w:t>
      </w:r>
    </w:p>
    <w:p w14:paraId="35B012F1"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The balanced gender representation in this large cohort underscores the potential for improved healthcare equity and provides a robust foundation for studying gender-neutral and age-specific health trends. However, the binary gender framework and cross-sectional nature of the data limit deeper insights into non-binary identities and longitudinal outcomes. This study thus serves as both a benchmark for demographic equity and a call for more nuanced investigations into the interplay of gender, age, and health.</w:t>
      </w:r>
    </w:p>
    <w:p w14:paraId="3ED389EF" w14:textId="77777777" w:rsidR="00E55373" w:rsidRPr="004845F0" w:rsidRDefault="00E55373" w:rsidP="00E55373">
      <w:pPr>
        <w:jc w:val="both"/>
        <w:rPr>
          <w:rFonts w:ascii="Times New Roman" w:hAnsi="Times New Roman" w:cs="Times New Roman"/>
          <w:b/>
          <w:bCs/>
        </w:rPr>
      </w:pPr>
      <w:r w:rsidRPr="004845F0">
        <w:rPr>
          <w:rFonts w:ascii="Times New Roman" w:hAnsi="Times New Roman" w:cs="Times New Roman"/>
          <w:b/>
          <w:bCs/>
        </w:rPr>
        <w:t>4.2</w:t>
      </w:r>
      <w:r w:rsidRPr="004845F0">
        <w:rPr>
          <w:rFonts w:ascii="Times New Roman" w:hAnsi="Times New Roman" w:cs="Times New Roman"/>
          <w:b/>
          <w:bCs/>
        </w:rPr>
        <w:tab/>
        <w:t>Recommendations</w:t>
      </w:r>
    </w:p>
    <w:p w14:paraId="545F5C42" w14:textId="77777777" w:rsidR="00E55373" w:rsidRPr="004845F0" w:rsidRDefault="00E55373" w:rsidP="00E55373">
      <w:pPr>
        <w:jc w:val="both"/>
        <w:rPr>
          <w:rFonts w:ascii="Times New Roman" w:hAnsi="Times New Roman" w:cs="Times New Roman"/>
        </w:rPr>
      </w:pPr>
      <w:r w:rsidRPr="004845F0">
        <w:rPr>
          <w:rFonts w:ascii="Times New Roman" w:hAnsi="Times New Roman" w:cs="Times New Roman"/>
        </w:rPr>
        <w:t>Based on these findings, several recommendations emerge for future research and healthcare policy:</w:t>
      </w:r>
    </w:p>
    <w:p w14:paraId="69631FEC" w14:textId="77777777" w:rsidR="00E55373" w:rsidRPr="004845F0" w:rsidRDefault="00E55373" w:rsidP="00E55373">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Incorporate Non-Binary Gender Categories: Future studies should expand beyond binary gender classifications to include non-binary and gender-diverse identities, reflecting evolving societal norms and ensuring inclusivity in health research.</w:t>
      </w:r>
    </w:p>
    <w:p w14:paraId="1ACC99AC" w14:textId="77777777" w:rsidR="00E55373" w:rsidRPr="004845F0" w:rsidRDefault="00E55373" w:rsidP="00E55373">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Longitudinal Analysis: Researchers should pursue longitudinal studies to track changes in gender distribution, condition prevalence, and healthcare utilization over time. This would elucidate whether the observed equity persists or evolves, providing insights into causal factors such as policy interventions or socioeconomic shifts.</w:t>
      </w:r>
    </w:p>
    <w:p w14:paraId="36301568" w14:textId="77777777" w:rsidR="00E55373" w:rsidRPr="004845F0" w:rsidRDefault="00E55373" w:rsidP="00E55373">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Explore Social Determinants: The absence of gender disparities in chronic conditions warrants investigation into social determinants (e.g., income, education, access to care) that may underlie this balance. Integrating these variables could reveal whether equity in disease burden reflects equitable living conditions or healthcare access.</w:t>
      </w:r>
    </w:p>
    <w:p w14:paraId="6DB1F9EA" w14:textId="77777777" w:rsidR="002612CC" w:rsidRDefault="00E55373" w:rsidP="00AB2985">
      <w:pPr>
        <w:pStyle w:val="ListParagraph"/>
        <w:numPr>
          <w:ilvl w:val="0"/>
          <w:numId w:val="1"/>
        </w:numPr>
        <w:ind w:left="426" w:hanging="426"/>
        <w:jc w:val="both"/>
        <w:rPr>
          <w:rFonts w:ascii="Times New Roman" w:hAnsi="Times New Roman" w:cs="Times New Roman"/>
        </w:rPr>
      </w:pPr>
      <w:r w:rsidRPr="004845F0">
        <w:rPr>
          <w:rFonts w:ascii="Times New Roman" w:hAnsi="Times New Roman" w:cs="Times New Roman"/>
        </w:rPr>
        <w:t>Age-Targeted Interventions: Given the higher healthcare burden among the aged, policymakers should prioritize age-specific interventions, such as enhanced screening for arthritis and asthma in older populations. This could optimize resource allocation and reduce hospital stay durations, which were longest for asthma (15.70 days).</w:t>
      </w:r>
      <w:r w:rsidR="00837669">
        <w:rPr>
          <w:rFonts w:ascii="Times New Roman" w:hAnsi="Times New Roman" w:cs="Times New Roman"/>
        </w:rPr>
        <w:t xml:space="preserve"> </w:t>
      </w:r>
      <w:r w:rsidRPr="004845F0">
        <w:rPr>
          <w:rFonts w:ascii="Times New Roman" w:hAnsi="Times New Roman" w:cs="Times New Roman"/>
        </w:rPr>
        <w:t>These recommendations aim to build on the study’s strengths, address its limitations, and translate its insights into actionable improvements in healthcare delivery and research design.</w:t>
      </w:r>
    </w:p>
    <w:p w14:paraId="6CBBCA10" w14:textId="77777777" w:rsidR="000E3C1C" w:rsidRDefault="000E3C1C" w:rsidP="000E3C1C">
      <w:pPr>
        <w:jc w:val="both"/>
        <w:rPr>
          <w:rFonts w:ascii="Times New Roman" w:hAnsi="Times New Roman" w:cs="Times New Roman"/>
        </w:rPr>
      </w:pPr>
    </w:p>
    <w:p w14:paraId="7B586CD2" w14:textId="77777777" w:rsidR="000E3C1C" w:rsidRPr="000E3C1C" w:rsidRDefault="000E3C1C" w:rsidP="000E3C1C">
      <w:pPr>
        <w:spacing w:after="200" w:line="276" w:lineRule="auto"/>
        <w:rPr>
          <w:rFonts w:ascii="Calibri" w:eastAsia="Calibri" w:hAnsi="Calibri" w:cs="Times New Roman"/>
          <w:b/>
          <w:kern w:val="0"/>
          <w:sz w:val="28"/>
          <w:szCs w:val="22"/>
          <w14:ligatures w14:val="none"/>
        </w:rPr>
      </w:pPr>
      <w:bookmarkStart w:id="0" w:name="_Hlk194405813"/>
      <w:r w:rsidRPr="000E3C1C">
        <w:rPr>
          <w:rFonts w:ascii="Calibri" w:eastAsia="Calibri" w:hAnsi="Calibri" w:cs="Times New Roman"/>
          <w:b/>
          <w:kern w:val="0"/>
          <w:sz w:val="28"/>
          <w:szCs w:val="22"/>
          <w14:ligatures w14:val="none"/>
        </w:rPr>
        <w:lastRenderedPageBreak/>
        <w:t>Ethical Approval:</w:t>
      </w:r>
    </w:p>
    <w:p w14:paraId="0A53BDC9" w14:textId="77777777" w:rsidR="000E3C1C" w:rsidRPr="000E3C1C" w:rsidRDefault="000E3C1C" w:rsidP="000E3C1C">
      <w:pPr>
        <w:spacing w:after="200" w:line="276" w:lineRule="auto"/>
        <w:rPr>
          <w:rFonts w:ascii="Calibri" w:eastAsia="Times New Roman" w:hAnsi="Calibri" w:cs="Times New Roman"/>
          <w:kern w:val="0"/>
          <w:sz w:val="22"/>
          <w:szCs w:val="22"/>
          <w14:ligatures w14:val="none"/>
        </w:rPr>
      </w:pPr>
      <w:r w:rsidRPr="000E3C1C">
        <w:rPr>
          <w:rFonts w:ascii="Calibri" w:eastAsia="Times New Roman" w:hAnsi="Calibri" w:cs="Times New Roman"/>
          <w:kern w:val="0"/>
          <w:sz w:val="22"/>
          <w:szCs w:val="22"/>
          <w14:ligatures w14:val="none"/>
        </w:rPr>
        <w:t>As per international standards or university standards written ethical approval has been collected and preserved by the author(s).</w:t>
      </w:r>
    </w:p>
    <w:bookmarkEnd w:id="0"/>
    <w:p w14:paraId="3CCDBD18" w14:textId="77777777" w:rsidR="000E3C1C" w:rsidRDefault="000E3C1C" w:rsidP="000E3C1C">
      <w:pPr>
        <w:jc w:val="both"/>
        <w:rPr>
          <w:rFonts w:ascii="Times New Roman" w:hAnsi="Times New Roman" w:cs="Times New Roman"/>
        </w:rPr>
      </w:pPr>
    </w:p>
    <w:p w14:paraId="053CB895" w14:textId="77777777" w:rsidR="000E3C1C" w:rsidRDefault="000E3C1C" w:rsidP="000E3C1C">
      <w:pPr>
        <w:jc w:val="both"/>
        <w:rPr>
          <w:rFonts w:ascii="Times New Roman" w:hAnsi="Times New Roman" w:cs="Times New Roman"/>
        </w:rPr>
      </w:pPr>
    </w:p>
    <w:p w14:paraId="1D7F26B7"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Disclaimer (Artificial intelligence)</w:t>
      </w:r>
    </w:p>
    <w:p w14:paraId="31FD0B54"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 xml:space="preserve">Option 1: </w:t>
      </w:r>
    </w:p>
    <w:p w14:paraId="53A86EFB"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 xml:space="preserve">Author(s) hereby declare that NO generative AI technologies such as Large Language Models (ChatGPT, COPILOT, etc.) and text-to-image generators have been used during the writing or editing of this manuscript. </w:t>
      </w:r>
    </w:p>
    <w:p w14:paraId="7FB66860"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 xml:space="preserve">Option 2: </w:t>
      </w:r>
    </w:p>
    <w:p w14:paraId="13CF18DF"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F9EF5E"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Details of the AI usage are given below:</w:t>
      </w:r>
    </w:p>
    <w:p w14:paraId="3160A026"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1.</w:t>
      </w:r>
    </w:p>
    <w:p w14:paraId="62EC91B7"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2.</w:t>
      </w:r>
    </w:p>
    <w:p w14:paraId="289F175D" w14:textId="77777777" w:rsidR="000E3C1C" w:rsidRPr="000E3C1C" w:rsidRDefault="000E3C1C" w:rsidP="000E3C1C">
      <w:pPr>
        <w:spacing w:after="200" w:line="276" w:lineRule="auto"/>
        <w:rPr>
          <w:rFonts w:ascii="Calibri" w:eastAsia="Calibri" w:hAnsi="Calibri" w:cs="Times New Roman"/>
          <w:sz w:val="22"/>
          <w:szCs w:val="22"/>
        </w:rPr>
      </w:pPr>
      <w:r w:rsidRPr="000E3C1C">
        <w:rPr>
          <w:rFonts w:ascii="Calibri" w:eastAsia="Calibri" w:hAnsi="Calibri" w:cs="Times New Roman"/>
          <w:sz w:val="22"/>
          <w:szCs w:val="22"/>
        </w:rPr>
        <w:t>3.</w:t>
      </w:r>
    </w:p>
    <w:p w14:paraId="63EA5DC7" w14:textId="77777777" w:rsidR="000E3C1C" w:rsidRPr="000E3C1C" w:rsidRDefault="000E3C1C" w:rsidP="000E3C1C">
      <w:pPr>
        <w:jc w:val="both"/>
        <w:rPr>
          <w:rFonts w:ascii="Times New Roman" w:hAnsi="Times New Roman" w:cs="Times New Roman"/>
        </w:rPr>
      </w:pPr>
    </w:p>
    <w:p w14:paraId="5FCD7C9E" w14:textId="77777777" w:rsidR="002612CC" w:rsidRPr="00E55373" w:rsidRDefault="002612CC" w:rsidP="00E55373">
      <w:pPr>
        <w:rPr>
          <w:rFonts w:ascii="Times New Roman" w:hAnsi="Times New Roman" w:cs="Times New Roman"/>
          <w:b/>
          <w:bCs/>
        </w:rPr>
      </w:pPr>
      <w:r w:rsidRPr="002612CC">
        <w:rPr>
          <w:rFonts w:ascii="Times New Roman" w:hAnsi="Times New Roman" w:cs="Times New Roman"/>
          <w:b/>
          <w:bCs/>
        </w:rPr>
        <w:t>REFERENCES</w:t>
      </w:r>
    </w:p>
    <w:p w14:paraId="6932A7EA" w14:textId="77777777" w:rsidR="00D605A8" w:rsidRDefault="00D605A8" w:rsidP="00D605A8">
      <w:pPr>
        <w:spacing w:line="259" w:lineRule="auto"/>
        <w:ind w:left="1134" w:hanging="1134"/>
        <w:jc w:val="both"/>
      </w:pPr>
      <w:proofErr w:type="spellStart"/>
      <w:r w:rsidRPr="002A1874">
        <w:rPr>
          <w:rFonts w:ascii="Times New Roman" w:hAnsi="Times New Roman" w:cs="Times New Roman"/>
        </w:rPr>
        <w:t>Atemoagbo</w:t>
      </w:r>
      <w:proofErr w:type="spellEnd"/>
      <w:r w:rsidRPr="002A1874">
        <w:rPr>
          <w:rFonts w:ascii="Times New Roman" w:hAnsi="Times New Roman" w:cs="Times New Roman"/>
        </w:rPr>
        <w:t>, O. P., Abdullahi, A., &amp; Siyan, P. (2024). Modeling economic relationships: A statistical investigation of trends and relationships. </w:t>
      </w:r>
      <w:r w:rsidRPr="002A1874">
        <w:rPr>
          <w:rFonts w:ascii="Times New Roman" w:hAnsi="Times New Roman" w:cs="Times New Roman"/>
          <w:i/>
          <w:iCs/>
        </w:rPr>
        <w:t>Social Sciences and Humanities Journal</w:t>
      </w:r>
      <w:r w:rsidRPr="002A1874">
        <w:rPr>
          <w:rFonts w:ascii="Times New Roman" w:hAnsi="Times New Roman" w:cs="Times New Roman"/>
        </w:rPr>
        <w:t>, 8(05), 3778–3796. </w:t>
      </w:r>
      <w:hyperlink r:id="rId6" w:tgtFrame="_blank" w:history="1">
        <w:r w:rsidRPr="002A1874">
          <w:rPr>
            <w:rStyle w:val="Hyperlink"/>
            <w:rFonts w:ascii="Times New Roman" w:hAnsi="Times New Roman" w:cs="Times New Roman"/>
          </w:rPr>
          <w:t>https://doi.org/10.18535/sshj.v8i05.1039</w:t>
        </w:r>
      </w:hyperlink>
    </w:p>
    <w:p w14:paraId="5760B923" w14:textId="77777777" w:rsidR="006907CB" w:rsidRPr="006907CB" w:rsidRDefault="006907CB" w:rsidP="006907CB">
      <w:pPr>
        <w:spacing w:line="259" w:lineRule="auto"/>
        <w:ind w:left="1134" w:hanging="1134"/>
        <w:jc w:val="both"/>
      </w:pPr>
      <w:proofErr w:type="spellStart"/>
      <w:r w:rsidRPr="007E1F73">
        <w:rPr>
          <w:rFonts w:ascii="Times New Roman" w:hAnsi="Times New Roman" w:cs="Times New Roman"/>
        </w:rPr>
        <w:t>Atemoagbo</w:t>
      </w:r>
      <w:proofErr w:type="spellEnd"/>
      <w:r w:rsidRPr="007E1F73">
        <w:rPr>
          <w:rFonts w:ascii="Times New Roman" w:hAnsi="Times New Roman" w:cs="Times New Roman"/>
        </w:rPr>
        <w:t>, O. P. (2024). Confirmatory factor analysis on climate change impact on human migration patterns and social vulnerability. </w:t>
      </w:r>
      <w:r w:rsidRPr="007E1F73">
        <w:rPr>
          <w:rFonts w:ascii="Times New Roman" w:hAnsi="Times New Roman" w:cs="Times New Roman"/>
          <w:i/>
          <w:iCs/>
        </w:rPr>
        <w:t>International Journal of Engineering and Computer Science, 13</w:t>
      </w:r>
      <w:r w:rsidRPr="007E1F73">
        <w:rPr>
          <w:rFonts w:ascii="Times New Roman" w:hAnsi="Times New Roman" w:cs="Times New Roman"/>
        </w:rPr>
        <w:t>(02), 26057–26068. </w:t>
      </w:r>
      <w:hyperlink r:id="rId7" w:tgtFrame="_blank" w:history="1">
        <w:r w:rsidRPr="007E1F73">
          <w:rPr>
            <w:rStyle w:val="Hyperlink"/>
            <w:rFonts w:ascii="Times New Roman" w:hAnsi="Times New Roman" w:cs="Times New Roman"/>
          </w:rPr>
          <w:t>https://doi.org/10.18535/ijecs/v13i02.4782</w:t>
        </w:r>
      </w:hyperlink>
    </w:p>
    <w:p w14:paraId="34AB5A98" w14:textId="77777777" w:rsidR="00D605A8" w:rsidRDefault="00D605A8" w:rsidP="00D605A8">
      <w:pPr>
        <w:spacing w:line="259" w:lineRule="auto"/>
        <w:ind w:left="1134" w:hanging="1134"/>
        <w:jc w:val="both"/>
        <w:rPr>
          <w:rFonts w:ascii="Times New Roman" w:hAnsi="Times New Roman" w:cs="Times New Roman"/>
        </w:rPr>
      </w:pPr>
      <w:proofErr w:type="spellStart"/>
      <w:r w:rsidRPr="006817E2">
        <w:rPr>
          <w:rFonts w:ascii="Times New Roman" w:hAnsi="Times New Roman" w:cs="Times New Roman"/>
        </w:rPr>
        <w:t>Atemoagbo</w:t>
      </w:r>
      <w:proofErr w:type="spellEnd"/>
      <w:r w:rsidRPr="006817E2">
        <w:rPr>
          <w:rFonts w:ascii="Times New Roman" w:hAnsi="Times New Roman" w:cs="Times New Roman"/>
        </w:rPr>
        <w:t>, O. P.</w:t>
      </w:r>
      <w:r w:rsidRPr="002A1874">
        <w:rPr>
          <w:rFonts w:ascii="Times New Roman" w:hAnsi="Times New Roman" w:cs="Times New Roman"/>
        </w:rPr>
        <w:t xml:space="preserve"> (2024). Investigating the impact of sanitation infrastructure on groundwater quality and human health in peri-urban areas. </w:t>
      </w:r>
      <w:r w:rsidRPr="002A1874">
        <w:rPr>
          <w:rFonts w:ascii="Times New Roman" w:hAnsi="Times New Roman" w:cs="Times New Roman"/>
          <w:i/>
          <w:iCs/>
        </w:rPr>
        <w:t>International Journal of Medical Science and Clinical Invention, 11</w:t>
      </w:r>
      <w:r w:rsidRPr="002A1874">
        <w:rPr>
          <w:rFonts w:ascii="Times New Roman" w:hAnsi="Times New Roman" w:cs="Times New Roman"/>
        </w:rPr>
        <w:t>(01), 7260–7273. </w:t>
      </w:r>
      <w:hyperlink r:id="rId8" w:tgtFrame="_blank" w:history="1">
        <w:r w:rsidRPr="002A1874">
          <w:rPr>
            <w:rStyle w:val="Hyperlink"/>
            <w:rFonts w:ascii="Times New Roman" w:hAnsi="Times New Roman" w:cs="Times New Roman"/>
          </w:rPr>
          <w:t>https://doi.org/10.18535/ijmsci/v11i.1.07</w:t>
        </w:r>
      </w:hyperlink>
    </w:p>
    <w:p w14:paraId="2CBF3BC2"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Field, A. (2018). Discovering statistics using IBM SPSS statistics (5th ed.). SAGE Publications.</w:t>
      </w:r>
    </w:p>
    <w:p w14:paraId="3F644057"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lastRenderedPageBreak/>
        <w:t>Gupta, R., Ghosh, A., Singh, A. K., &amp; Misra, A. (2019). Clinical considerations for patients with diabetes in times of gender equity: A review. The Lancet Diabetes &amp; Endocrinology, 7(6), 479-489. https://doi.org/10.1016/S2213-8587(19)30045-8</w:t>
      </w:r>
    </w:p>
    <w:p w14:paraId="040532A9"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Gupta, R., Ghosh, A., Singh, A. K., &amp; Misra, A. (2019). Clinical considerations for patients with diabetes in times of gender equity: A review. The Lancet Diabetes &amp; Endocrinology, 7(6), 479-489. https://doi.org/10.1016/S2213-8587(19)30045-8</w:t>
      </w:r>
    </w:p>
    <w:p w14:paraId="567523D5"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He, W., Goodkind, D., &amp; Kowal, P. (2016). An aging world: 2015. U.S. Census Bureau, International Population Reports, P95/16-1. Retrieved from https://www.census.gov/library/publications/2016/demo/p95-16-1.html</w:t>
      </w:r>
    </w:p>
    <w:p w14:paraId="66EC832F"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 xml:space="preserve">Heidari, S., Babor, T. F., De Castro, P., Tort, S., &amp; </w:t>
      </w:r>
      <w:proofErr w:type="spellStart"/>
      <w:r w:rsidRPr="00E55373">
        <w:rPr>
          <w:rFonts w:ascii="Times New Roman" w:hAnsi="Times New Roman" w:cs="Times New Roman"/>
        </w:rPr>
        <w:t>Curno</w:t>
      </w:r>
      <w:proofErr w:type="spellEnd"/>
      <w:r w:rsidRPr="00E55373">
        <w:rPr>
          <w:rFonts w:ascii="Times New Roman" w:hAnsi="Times New Roman" w:cs="Times New Roman"/>
        </w:rPr>
        <w:t>, M. (2016). Sex and gender equity in research: Rationale for the SAGER guidelines and recommended use. Research Integrity and Peer Review, 1(1), 2. https://doi.org/10.1186/s41073-016-0007-6</w:t>
      </w:r>
    </w:p>
    <w:p w14:paraId="1A7195FE"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Krieger, N. (2003). Genders, sexes, and health: What are the connections—and why does it matter? International Journal of Epidemiology, 32(4), 652-657. https://doi.org/10.1093/ije/dyg156</w:t>
      </w:r>
    </w:p>
    <w:p w14:paraId="1293E4AD"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 xml:space="preserve">Mauvais-Jarvis, F., </w:t>
      </w:r>
      <w:proofErr w:type="spellStart"/>
      <w:r w:rsidRPr="00E55373">
        <w:rPr>
          <w:rFonts w:ascii="Times New Roman" w:hAnsi="Times New Roman" w:cs="Times New Roman"/>
        </w:rPr>
        <w:t>Bairey</w:t>
      </w:r>
      <w:proofErr w:type="spellEnd"/>
      <w:r w:rsidRPr="00E55373">
        <w:rPr>
          <w:rFonts w:ascii="Times New Roman" w:hAnsi="Times New Roman" w:cs="Times New Roman"/>
        </w:rPr>
        <w:t xml:space="preserve"> Merz, N., Barnes, P. J., Brinton, R. D., Carrero, J.-J., DeMeo, D. L., ... &amp; </w:t>
      </w:r>
      <w:proofErr w:type="spellStart"/>
      <w:r w:rsidRPr="00E55373">
        <w:rPr>
          <w:rFonts w:ascii="Times New Roman" w:hAnsi="Times New Roman" w:cs="Times New Roman"/>
        </w:rPr>
        <w:t>Scherbakov</w:t>
      </w:r>
      <w:proofErr w:type="spellEnd"/>
      <w:r w:rsidRPr="00E55373">
        <w:rPr>
          <w:rFonts w:ascii="Times New Roman" w:hAnsi="Times New Roman" w:cs="Times New Roman"/>
        </w:rPr>
        <w:t>, N. (2020). Sex and gender: Modifiers of health, disease, and medicine. The Lancet, 396(10250), 565-582. https://doi.org/10.1016/S0140-6736(20)31561-0</w:t>
      </w:r>
    </w:p>
    <w:p w14:paraId="4EB88B8D" w14:textId="77777777" w:rsidR="00804E54" w:rsidRPr="00E55373" w:rsidRDefault="00804E54" w:rsidP="00837669">
      <w:pPr>
        <w:spacing w:line="240" w:lineRule="auto"/>
        <w:ind w:left="1134" w:hanging="1134"/>
        <w:jc w:val="both"/>
        <w:rPr>
          <w:rFonts w:ascii="Times New Roman" w:hAnsi="Times New Roman" w:cs="Times New Roman"/>
        </w:rPr>
      </w:pPr>
      <w:r w:rsidRPr="00E55373">
        <w:rPr>
          <w:rFonts w:ascii="Times New Roman" w:hAnsi="Times New Roman" w:cs="Times New Roman"/>
        </w:rPr>
        <w:t xml:space="preserve">Murray, C. J. L., </w:t>
      </w:r>
      <w:proofErr w:type="spellStart"/>
      <w:r w:rsidRPr="00E55373">
        <w:rPr>
          <w:rFonts w:ascii="Times New Roman" w:hAnsi="Times New Roman" w:cs="Times New Roman"/>
        </w:rPr>
        <w:t>Aravkin</w:t>
      </w:r>
      <w:proofErr w:type="spellEnd"/>
      <w:r w:rsidRPr="00E55373">
        <w:rPr>
          <w:rFonts w:ascii="Times New Roman" w:hAnsi="Times New Roman" w:cs="Times New Roman"/>
        </w:rPr>
        <w:t xml:space="preserve">, A. Y., Zheng, P., </w:t>
      </w:r>
      <w:proofErr w:type="spellStart"/>
      <w:r w:rsidRPr="00E55373">
        <w:rPr>
          <w:rFonts w:ascii="Times New Roman" w:hAnsi="Times New Roman" w:cs="Times New Roman"/>
        </w:rPr>
        <w:t>Abbafati</w:t>
      </w:r>
      <w:proofErr w:type="spellEnd"/>
      <w:r w:rsidRPr="00E55373">
        <w:rPr>
          <w:rFonts w:ascii="Times New Roman" w:hAnsi="Times New Roman" w:cs="Times New Roman"/>
        </w:rPr>
        <w:t>, C., Abbas, K. M., Abbasi-</w:t>
      </w:r>
      <w:proofErr w:type="spellStart"/>
      <w:r w:rsidRPr="00E55373">
        <w:rPr>
          <w:rFonts w:ascii="Times New Roman" w:hAnsi="Times New Roman" w:cs="Times New Roman"/>
        </w:rPr>
        <w:t>Kangevari</w:t>
      </w:r>
      <w:proofErr w:type="spellEnd"/>
      <w:r w:rsidRPr="00E55373">
        <w:rPr>
          <w:rFonts w:ascii="Times New Roman" w:hAnsi="Times New Roman" w:cs="Times New Roman"/>
        </w:rPr>
        <w:t>, M., ... &amp; Lozano, R. (2020). Global burden of 87 risk factors in 204 countries and territories, 1990–2019: A systematic analysis for the Global Burden of Disease Study 2019. The Lancet, 396(10258), 1223-1249. https://doi.org/10.1016/S0140-6736(20)30752-2</w:t>
      </w:r>
    </w:p>
    <w:p w14:paraId="18CE7DBC"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Regitz-</w:t>
      </w:r>
      <w:proofErr w:type="spellStart"/>
      <w:r w:rsidRPr="00E55373">
        <w:rPr>
          <w:rFonts w:ascii="Times New Roman" w:hAnsi="Times New Roman" w:cs="Times New Roman"/>
        </w:rPr>
        <w:t>Zagrosek</w:t>
      </w:r>
      <w:proofErr w:type="spellEnd"/>
      <w:r w:rsidRPr="00E55373">
        <w:rPr>
          <w:rFonts w:ascii="Times New Roman" w:hAnsi="Times New Roman" w:cs="Times New Roman"/>
        </w:rPr>
        <w:t>, V. (2012). Sex and gender differences in health: Science &amp; society series on sex and science. EMBO Reports, 13(7), 596-603. https://doi.org/10.1038/embor.2012.8</w:t>
      </w:r>
    </w:p>
    <w:p w14:paraId="44BA6326"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Rothman, K. J., Greenland, S., &amp; Lash, T. L. (2013). Modern epidemiology (3rd ed.). Lippincott Williams &amp; Wilkins.</w:t>
      </w:r>
    </w:p>
    <w:p w14:paraId="3D7A7814"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World Health Organization. (2019). International statistical classification of diseases and related health problems (ICD-10) (10th revision). Retrieved from https://www.who.int/standards/classifications/classification-of-diseases</w:t>
      </w:r>
    </w:p>
    <w:p w14:paraId="1E5D77DA" w14:textId="77777777" w:rsidR="00804E54" w:rsidRPr="00E55373" w:rsidRDefault="00804E54" w:rsidP="00837669">
      <w:pPr>
        <w:spacing w:line="240" w:lineRule="auto"/>
        <w:ind w:left="1134" w:hanging="1134"/>
        <w:jc w:val="both"/>
        <w:rPr>
          <w:rFonts w:ascii="Times New Roman" w:hAnsi="Times New Roman" w:cs="Times New Roman"/>
        </w:rPr>
      </w:pPr>
      <w:r w:rsidRPr="00E55373">
        <w:rPr>
          <w:rFonts w:ascii="Times New Roman" w:hAnsi="Times New Roman" w:cs="Times New Roman"/>
        </w:rPr>
        <w:t>World Health Organization. (2021). Gender and health. Retrieved from https://www.who.int/health-topics/gender</w:t>
      </w:r>
    </w:p>
    <w:p w14:paraId="02CB9ED8" w14:textId="77777777" w:rsidR="00804E54" w:rsidRPr="00E55373" w:rsidRDefault="00804E54" w:rsidP="00804E54">
      <w:pPr>
        <w:spacing w:line="240" w:lineRule="auto"/>
        <w:ind w:left="1134" w:hanging="1134"/>
        <w:jc w:val="both"/>
        <w:rPr>
          <w:rFonts w:ascii="Times New Roman" w:hAnsi="Times New Roman" w:cs="Times New Roman"/>
        </w:rPr>
      </w:pPr>
      <w:r w:rsidRPr="00E55373">
        <w:rPr>
          <w:rFonts w:ascii="Times New Roman" w:hAnsi="Times New Roman" w:cs="Times New Roman"/>
        </w:rPr>
        <w:t>World Medical Association. (2013). World Medical Association Declaration of Helsinki: Ethical principles for medical research involving human subjects. JAMA, 310(20), 2191-2194. https://doi.org/10.1001/jama.2013.281053</w:t>
      </w:r>
    </w:p>
    <w:sectPr w:rsidR="00804E54" w:rsidRPr="00E5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C40CD"/>
    <w:multiLevelType w:val="hybridMultilevel"/>
    <w:tmpl w:val="8AA66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F0B52"/>
    <w:multiLevelType w:val="hybridMultilevel"/>
    <w:tmpl w:val="E98AD14A"/>
    <w:lvl w:ilvl="0" w:tplc="0FD82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641433">
    <w:abstractNumId w:val="0"/>
  </w:num>
  <w:num w:numId="2" w16cid:durableId="47456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84"/>
    <w:rsid w:val="0003449E"/>
    <w:rsid w:val="00070520"/>
    <w:rsid w:val="000E3C1C"/>
    <w:rsid w:val="00137518"/>
    <w:rsid w:val="00143D89"/>
    <w:rsid w:val="001C66BB"/>
    <w:rsid w:val="00254214"/>
    <w:rsid w:val="002612CC"/>
    <w:rsid w:val="002B09BB"/>
    <w:rsid w:val="002C1721"/>
    <w:rsid w:val="004845F0"/>
    <w:rsid w:val="004E389E"/>
    <w:rsid w:val="005176D0"/>
    <w:rsid w:val="00553A62"/>
    <w:rsid w:val="00662FBE"/>
    <w:rsid w:val="00680E11"/>
    <w:rsid w:val="006907CB"/>
    <w:rsid w:val="00727D7D"/>
    <w:rsid w:val="00755C87"/>
    <w:rsid w:val="00804E54"/>
    <w:rsid w:val="008257D6"/>
    <w:rsid w:val="00837669"/>
    <w:rsid w:val="008701E2"/>
    <w:rsid w:val="008D71A0"/>
    <w:rsid w:val="00913763"/>
    <w:rsid w:val="00917949"/>
    <w:rsid w:val="0092669A"/>
    <w:rsid w:val="00950C72"/>
    <w:rsid w:val="00A05F50"/>
    <w:rsid w:val="00AB2985"/>
    <w:rsid w:val="00B81C57"/>
    <w:rsid w:val="00BB06B3"/>
    <w:rsid w:val="00CF2431"/>
    <w:rsid w:val="00D04CA4"/>
    <w:rsid w:val="00D605A8"/>
    <w:rsid w:val="00DB13F2"/>
    <w:rsid w:val="00E55373"/>
    <w:rsid w:val="00EE53F4"/>
    <w:rsid w:val="00F74484"/>
    <w:rsid w:val="00FE5E76"/>
    <w:rsid w:val="00FF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8E37"/>
  <w15:chartTrackingRefBased/>
  <w15:docId w15:val="{87A0BA4F-FF86-4B7C-9F66-BAF0148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84"/>
  </w:style>
  <w:style w:type="paragraph" w:styleId="Heading1">
    <w:name w:val="heading 1"/>
    <w:basedOn w:val="Normal"/>
    <w:next w:val="Normal"/>
    <w:link w:val="Heading1Char"/>
    <w:uiPriority w:val="9"/>
    <w:qFormat/>
    <w:rsid w:val="00F74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4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4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4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4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4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4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484"/>
    <w:rPr>
      <w:rFonts w:eastAsiaTheme="majorEastAsia" w:cstheme="majorBidi"/>
      <w:color w:val="272727" w:themeColor="text1" w:themeTint="D8"/>
    </w:rPr>
  </w:style>
  <w:style w:type="paragraph" w:styleId="Title">
    <w:name w:val="Title"/>
    <w:basedOn w:val="Normal"/>
    <w:next w:val="Normal"/>
    <w:link w:val="TitleChar"/>
    <w:uiPriority w:val="10"/>
    <w:qFormat/>
    <w:rsid w:val="00F74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484"/>
    <w:pPr>
      <w:spacing w:before="160"/>
      <w:jc w:val="center"/>
    </w:pPr>
    <w:rPr>
      <w:i/>
      <w:iCs/>
      <w:color w:val="404040" w:themeColor="text1" w:themeTint="BF"/>
    </w:rPr>
  </w:style>
  <w:style w:type="character" w:customStyle="1" w:styleId="QuoteChar">
    <w:name w:val="Quote Char"/>
    <w:basedOn w:val="DefaultParagraphFont"/>
    <w:link w:val="Quote"/>
    <w:uiPriority w:val="29"/>
    <w:rsid w:val="00F74484"/>
    <w:rPr>
      <w:i/>
      <w:iCs/>
      <w:color w:val="404040" w:themeColor="text1" w:themeTint="BF"/>
    </w:rPr>
  </w:style>
  <w:style w:type="paragraph" w:styleId="ListParagraph">
    <w:name w:val="List Paragraph"/>
    <w:basedOn w:val="Normal"/>
    <w:uiPriority w:val="34"/>
    <w:qFormat/>
    <w:rsid w:val="00F74484"/>
    <w:pPr>
      <w:ind w:left="720"/>
      <w:contextualSpacing/>
    </w:pPr>
  </w:style>
  <w:style w:type="character" w:styleId="IntenseEmphasis">
    <w:name w:val="Intense Emphasis"/>
    <w:basedOn w:val="DefaultParagraphFont"/>
    <w:uiPriority w:val="21"/>
    <w:qFormat/>
    <w:rsid w:val="00F74484"/>
    <w:rPr>
      <w:i/>
      <w:iCs/>
      <w:color w:val="2F5496" w:themeColor="accent1" w:themeShade="BF"/>
    </w:rPr>
  </w:style>
  <w:style w:type="paragraph" w:styleId="IntenseQuote">
    <w:name w:val="Intense Quote"/>
    <w:basedOn w:val="Normal"/>
    <w:next w:val="Normal"/>
    <w:link w:val="IntenseQuoteChar"/>
    <w:uiPriority w:val="30"/>
    <w:qFormat/>
    <w:rsid w:val="00F7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484"/>
    <w:rPr>
      <w:i/>
      <w:iCs/>
      <w:color w:val="2F5496" w:themeColor="accent1" w:themeShade="BF"/>
    </w:rPr>
  </w:style>
  <w:style w:type="character" w:styleId="IntenseReference">
    <w:name w:val="Intense Reference"/>
    <w:basedOn w:val="DefaultParagraphFont"/>
    <w:uiPriority w:val="32"/>
    <w:qFormat/>
    <w:rsid w:val="00F74484"/>
    <w:rPr>
      <w:b/>
      <w:bCs/>
      <w:smallCaps/>
      <w:color w:val="2F5496" w:themeColor="accent1" w:themeShade="BF"/>
      <w:spacing w:val="5"/>
    </w:rPr>
  </w:style>
  <w:style w:type="character" w:styleId="Hyperlink">
    <w:name w:val="Hyperlink"/>
    <w:basedOn w:val="DefaultParagraphFont"/>
    <w:uiPriority w:val="99"/>
    <w:unhideWhenUsed/>
    <w:qFormat/>
    <w:rsid w:val="00F74484"/>
    <w:rPr>
      <w:color w:val="0563C1" w:themeColor="hyperlink"/>
      <w:u w:val="single"/>
    </w:rPr>
  </w:style>
  <w:style w:type="table" w:styleId="TableGrid">
    <w:name w:val="Table Grid"/>
    <w:basedOn w:val="TableNormal"/>
    <w:uiPriority w:val="39"/>
    <w:rsid w:val="0026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645">
      <w:bodyDiv w:val="1"/>
      <w:marLeft w:val="0"/>
      <w:marRight w:val="0"/>
      <w:marTop w:val="0"/>
      <w:marBottom w:val="0"/>
      <w:divBdr>
        <w:top w:val="none" w:sz="0" w:space="0" w:color="auto"/>
        <w:left w:val="none" w:sz="0" w:space="0" w:color="auto"/>
        <w:bottom w:val="none" w:sz="0" w:space="0" w:color="auto"/>
        <w:right w:val="none" w:sz="0" w:space="0" w:color="auto"/>
      </w:divBdr>
    </w:div>
    <w:div w:id="31000839">
      <w:bodyDiv w:val="1"/>
      <w:marLeft w:val="0"/>
      <w:marRight w:val="0"/>
      <w:marTop w:val="0"/>
      <w:marBottom w:val="0"/>
      <w:divBdr>
        <w:top w:val="none" w:sz="0" w:space="0" w:color="auto"/>
        <w:left w:val="none" w:sz="0" w:space="0" w:color="auto"/>
        <w:bottom w:val="none" w:sz="0" w:space="0" w:color="auto"/>
        <w:right w:val="none" w:sz="0" w:space="0" w:color="auto"/>
      </w:divBdr>
    </w:div>
    <w:div w:id="782573217">
      <w:bodyDiv w:val="1"/>
      <w:marLeft w:val="0"/>
      <w:marRight w:val="0"/>
      <w:marTop w:val="0"/>
      <w:marBottom w:val="0"/>
      <w:divBdr>
        <w:top w:val="none" w:sz="0" w:space="0" w:color="auto"/>
        <w:left w:val="none" w:sz="0" w:space="0" w:color="auto"/>
        <w:bottom w:val="none" w:sz="0" w:space="0" w:color="auto"/>
        <w:right w:val="none" w:sz="0" w:space="0" w:color="auto"/>
      </w:divBdr>
    </w:div>
    <w:div w:id="13414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35/ijmsci/v11i.1.07" TargetMode="External"/><Relationship Id="rId3" Type="http://schemas.openxmlformats.org/officeDocument/2006/relationships/settings" Target="settings.xml"/><Relationship Id="rId7" Type="http://schemas.openxmlformats.org/officeDocument/2006/relationships/hyperlink" Target="https://doi.org/10.18535/ijecs/v13i02.4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8535/sshj.v8i05.103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6</cp:revision>
  <dcterms:created xsi:type="dcterms:W3CDTF">2025-04-07T17:46:00Z</dcterms:created>
  <dcterms:modified xsi:type="dcterms:W3CDTF">2025-04-30T08:28:00Z</dcterms:modified>
</cp:coreProperties>
</file>