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806B" w14:textId="6A8035E9" w:rsidR="00B13282" w:rsidRDefault="006427C6" w:rsidP="00B13282">
      <w:pPr>
        <w:spacing w:before="100" w:beforeAutospacing="1" w:after="100" w:afterAutospacing="1" w:line="240" w:lineRule="auto"/>
        <w:jc w:val="center"/>
        <w:outlineLvl w:val="2"/>
        <w:rPr>
          <w:rFonts w:asciiTheme="majorBidi" w:hAnsiTheme="majorBidi" w:cstheme="majorBidi"/>
          <w:b/>
          <w:bCs/>
        </w:rPr>
      </w:pPr>
      <w:proofErr w:type="spellStart"/>
      <w:r>
        <w:rPr>
          <w:rFonts w:asciiTheme="majorBidi" w:hAnsiTheme="majorBidi" w:cstheme="majorBidi"/>
          <w:b/>
          <w:bCs/>
        </w:rPr>
        <w:t>Analysing</w:t>
      </w:r>
      <w:proofErr w:type="spellEnd"/>
      <w:r w:rsidR="00490880" w:rsidRPr="00490880">
        <w:rPr>
          <w:rFonts w:asciiTheme="majorBidi" w:hAnsiTheme="majorBidi" w:cstheme="majorBidi"/>
          <w:b/>
          <w:bCs/>
        </w:rPr>
        <w:t xml:space="preserve"> the Role of Non-Traditional Financial Disclosures in Enhancing Corporate Sustainability </w:t>
      </w:r>
      <w:r w:rsidR="006F71CA">
        <w:rPr>
          <w:rFonts w:asciiTheme="majorBidi" w:hAnsiTheme="majorBidi" w:cstheme="majorBidi"/>
          <w:b/>
          <w:bCs/>
        </w:rPr>
        <w:t>of</w:t>
      </w:r>
      <w:r w:rsidR="00490880" w:rsidRPr="00490880">
        <w:rPr>
          <w:rFonts w:asciiTheme="majorBidi" w:hAnsiTheme="majorBidi" w:cstheme="majorBidi"/>
          <w:b/>
          <w:bCs/>
        </w:rPr>
        <w:t xml:space="preserve"> High-Risk Sectors in Iraq</w:t>
      </w:r>
    </w:p>
    <w:p w14:paraId="28C7B4C5" w14:textId="77777777" w:rsidR="003253B0" w:rsidRDefault="003253B0" w:rsidP="003253B0">
      <w:pPr>
        <w:spacing w:after="0" w:line="360" w:lineRule="auto"/>
        <w:jc w:val="center"/>
        <w:rPr>
          <w:rFonts w:asciiTheme="majorBidi" w:hAnsiTheme="majorBidi" w:cstheme="majorBidi"/>
          <w:b/>
          <w:bCs/>
        </w:rPr>
      </w:pPr>
    </w:p>
    <w:p w14:paraId="3A8C3B46" w14:textId="2D83EE81" w:rsidR="00B13282" w:rsidRDefault="00B13282" w:rsidP="00B13282">
      <w:pPr>
        <w:spacing w:before="100" w:beforeAutospacing="1" w:after="100" w:afterAutospacing="1" w:line="240" w:lineRule="auto"/>
        <w:jc w:val="center"/>
        <w:outlineLvl w:val="2"/>
        <w:rPr>
          <w:rFonts w:asciiTheme="majorBidi" w:hAnsiTheme="majorBidi" w:cstheme="majorBidi"/>
          <w:b/>
          <w:bCs/>
        </w:rPr>
      </w:pPr>
      <w:r>
        <w:rPr>
          <w:rFonts w:asciiTheme="majorBidi" w:hAnsiTheme="majorBidi" w:cstheme="majorBidi"/>
          <w:b/>
          <w:bCs/>
        </w:rPr>
        <w:t>Abstract</w:t>
      </w:r>
    </w:p>
    <w:p w14:paraId="6E6866D3" w14:textId="4E09DDD9" w:rsidR="00B13282" w:rsidRDefault="00B13282" w:rsidP="006D66A2">
      <w:pPr>
        <w:spacing w:before="100" w:beforeAutospacing="1" w:after="100" w:afterAutospacing="1" w:line="240" w:lineRule="auto"/>
        <w:jc w:val="both"/>
        <w:outlineLvl w:val="2"/>
        <w:rPr>
          <w:rFonts w:asciiTheme="majorBidi" w:eastAsia="Times New Roman" w:hAnsiTheme="majorBidi" w:cstheme="majorBidi"/>
          <w:kern w:val="0"/>
          <w14:ligatures w14:val="none"/>
        </w:rPr>
      </w:pPr>
      <w:r w:rsidRPr="006D66A2">
        <w:rPr>
          <w:rFonts w:asciiTheme="majorBidi" w:eastAsia="Times New Roman" w:hAnsiTheme="majorBidi" w:cstheme="majorBidi"/>
          <w:kern w:val="0"/>
          <w14:ligatures w14:val="none"/>
        </w:rPr>
        <w:t xml:space="preserve">Corporate sustainability has emerged as a significant concern for businesses operating in high-risk sectors, particularly in economies facing political instability, economic volatility, and regulatory uncertainties. </w:t>
      </w:r>
      <w:r w:rsidRPr="00B81801">
        <w:rPr>
          <w:rFonts w:asciiTheme="majorBidi" w:eastAsia="Times New Roman" w:hAnsiTheme="majorBidi" w:cstheme="majorBidi"/>
          <w:kern w:val="0"/>
          <w14:ligatures w14:val="none"/>
        </w:rPr>
        <w:t>This study examined the impact of non-</w:t>
      </w:r>
      <w:r w:rsidRPr="006D66A2">
        <w:rPr>
          <w:rFonts w:asciiTheme="majorBidi" w:eastAsia="Times New Roman" w:hAnsiTheme="majorBidi" w:cstheme="majorBidi"/>
          <w:kern w:val="0"/>
          <w14:ligatures w14:val="none"/>
        </w:rPr>
        <w:t xml:space="preserve"> traditional </w:t>
      </w:r>
      <w:r w:rsidRPr="00B81801">
        <w:rPr>
          <w:rFonts w:asciiTheme="majorBidi" w:eastAsia="Times New Roman" w:hAnsiTheme="majorBidi" w:cstheme="majorBidi"/>
          <w:kern w:val="0"/>
          <w14:ligatures w14:val="none"/>
        </w:rPr>
        <w:t xml:space="preserve">financial disclosures, specifically environmental, social, and governance (ESG) disclosures, on corporate sustainability within high-risk sectors in Iraq. Corporate sustainability was assessed using return on assets (ROA) and return on equity (ROE). </w:t>
      </w:r>
      <w:r w:rsidR="006D66A2" w:rsidRPr="006D66A2">
        <w:rPr>
          <w:rFonts w:asciiTheme="majorBidi" w:hAnsiTheme="majorBidi" w:cstheme="majorBidi"/>
        </w:rPr>
        <w:t xml:space="preserve">The study employed </w:t>
      </w:r>
      <w:r w:rsidR="006D66A2" w:rsidRPr="006D66A2">
        <w:rPr>
          <w:rFonts w:asciiTheme="majorBidi" w:hAnsiTheme="majorBidi" w:cstheme="majorBidi"/>
          <w:i/>
          <w:iCs/>
        </w:rPr>
        <w:t>ex-post facto</w:t>
      </w:r>
      <w:r w:rsidR="006D66A2" w:rsidRPr="006D66A2">
        <w:rPr>
          <w:rFonts w:asciiTheme="majorBidi" w:hAnsiTheme="majorBidi" w:cstheme="majorBidi"/>
        </w:rPr>
        <w:t xml:space="preserve"> research design, as it relied on existing data that was not subject to modification. It focused on a population of 15 selected listed companies from high-risk sectors in Iraq, namely banking, oil and gas, and construction. A purposive sampling method was adopted to select the firms. The research covered the period from 2013 to 2024. To analyze the relationships between the variables, variance-weighted least-squares regression analysis was applied.</w:t>
      </w:r>
      <w:r w:rsidR="006D66A2" w:rsidRPr="006D66A2">
        <w:rPr>
          <w:rFonts w:asciiTheme="majorBidi" w:eastAsia="Times New Roman" w:hAnsiTheme="majorBidi" w:cstheme="majorBidi"/>
          <w:kern w:val="0"/>
          <w14:ligatures w14:val="none"/>
        </w:rPr>
        <w:t xml:space="preserve"> </w:t>
      </w:r>
      <w:r w:rsidRPr="00B81801">
        <w:rPr>
          <w:rFonts w:asciiTheme="majorBidi" w:eastAsia="Times New Roman" w:hAnsiTheme="majorBidi" w:cstheme="majorBidi"/>
          <w:kern w:val="0"/>
          <w14:ligatures w14:val="none"/>
        </w:rPr>
        <w:t>The findings revealed that non-</w:t>
      </w:r>
      <w:r w:rsidRPr="006D66A2">
        <w:rPr>
          <w:rFonts w:asciiTheme="majorBidi" w:eastAsia="Times New Roman" w:hAnsiTheme="majorBidi" w:cstheme="majorBidi"/>
          <w:kern w:val="0"/>
          <w14:ligatures w14:val="none"/>
        </w:rPr>
        <w:t xml:space="preserve"> traditional </w:t>
      </w:r>
      <w:r w:rsidRPr="00B81801">
        <w:rPr>
          <w:rFonts w:asciiTheme="majorBidi" w:eastAsia="Times New Roman" w:hAnsiTheme="majorBidi" w:cstheme="majorBidi"/>
          <w:kern w:val="0"/>
          <w14:ligatures w14:val="none"/>
        </w:rPr>
        <w:t xml:space="preserve">financial disclosures had a negative and statistically significant effect on </w:t>
      </w:r>
      <w:r w:rsidRPr="006D66A2">
        <w:rPr>
          <w:rFonts w:asciiTheme="majorBidi" w:eastAsia="Times New Roman" w:hAnsiTheme="majorBidi" w:cstheme="majorBidi"/>
          <w:kern w:val="0"/>
          <w14:ligatures w14:val="none"/>
        </w:rPr>
        <w:t>the firm’s</w:t>
      </w:r>
      <w:r w:rsidRPr="00B81801">
        <w:rPr>
          <w:rFonts w:asciiTheme="majorBidi" w:eastAsia="Times New Roman" w:hAnsiTheme="majorBidi" w:cstheme="majorBidi"/>
          <w:kern w:val="0"/>
          <w14:ligatures w14:val="none"/>
        </w:rPr>
        <w:t xml:space="preserve"> financial performance. </w:t>
      </w:r>
      <w:r w:rsidRPr="006D66A2">
        <w:rPr>
          <w:rFonts w:asciiTheme="majorBidi" w:eastAsia="Times New Roman" w:hAnsiTheme="majorBidi" w:cstheme="majorBidi"/>
          <w:kern w:val="0"/>
          <w14:ligatures w14:val="none"/>
        </w:rPr>
        <w:t>An</w:t>
      </w:r>
      <w:r w:rsidRPr="00B81801">
        <w:rPr>
          <w:rFonts w:asciiTheme="majorBidi" w:eastAsia="Times New Roman" w:hAnsiTheme="majorBidi" w:cstheme="majorBidi"/>
          <w:kern w:val="0"/>
          <w14:ligatures w14:val="none"/>
        </w:rPr>
        <w:t xml:space="preserve"> increase in ESG reporting was associated with a decline in ROA and ROE, suggesting that in unstable environments, the financial and operational burdens of non-financial disclosure may outweigh its short-term benefits.</w:t>
      </w:r>
      <w:r w:rsidRPr="006D66A2">
        <w:rPr>
          <w:rFonts w:asciiTheme="majorBidi" w:eastAsia="Times New Roman" w:hAnsiTheme="majorBidi" w:cstheme="majorBidi"/>
          <w:kern w:val="0"/>
          <w14:ligatures w14:val="none"/>
        </w:rPr>
        <w:t xml:space="preserve"> </w:t>
      </w:r>
      <w:r w:rsidRPr="00B81801">
        <w:rPr>
          <w:rFonts w:asciiTheme="majorBidi" w:eastAsia="Times New Roman" w:hAnsiTheme="majorBidi" w:cstheme="majorBidi"/>
          <w:kern w:val="0"/>
          <w14:ligatures w14:val="none"/>
        </w:rPr>
        <w:t>The study conclude</w:t>
      </w:r>
      <w:r w:rsidRPr="006D66A2">
        <w:rPr>
          <w:rFonts w:asciiTheme="majorBidi" w:eastAsia="Times New Roman" w:hAnsiTheme="majorBidi" w:cstheme="majorBidi"/>
          <w:kern w:val="0"/>
          <w14:ligatures w14:val="none"/>
        </w:rPr>
        <w:t>d</w:t>
      </w:r>
      <w:r w:rsidRPr="00B81801">
        <w:rPr>
          <w:rFonts w:asciiTheme="majorBidi" w:eastAsia="Times New Roman" w:hAnsiTheme="majorBidi" w:cstheme="majorBidi"/>
          <w:kern w:val="0"/>
          <w14:ligatures w14:val="none"/>
        </w:rPr>
        <w:t xml:space="preserve"> that while non-financial disclosures are globally promoted as mechanisms to enhance corporate accountability and long-term sustainability, in high-risk sectors of Iraq, they appear to undermine short-term financial performance. This </w:t>
      </w:r>
      <w:r w:rsidRPr="006D66A2">
        <w:rPr>
          <w:rFonts w:asciiTheme="majorBidi" w:eastAsia="Times New Roman" w:hAnsiTheme="majorBidi" w:cstheme="majorBidi"/>
          <w:kern w:val="0"/>
          <w14:ligatures w14:val="none"/>
        </w:rPr>
        <w:t>suggested that c</w:t>
      </w:r>
      <w:r w:rsidRPr="00B81801">
        <w:rPr>
          <w:rFonts w:asciiTheme="majorBidi" w:eastAsia="Times New Roman" w:hAnsiTheme="majorBidi" w:cstheme="majorBidi"/>
          <w:kern w:val="0"/>
          <w14:ligatures w14:val="none"/>
        </w:rPr>
        <w:t xml:space="preserve">ompanies in </w:t>
      </w:r>
      <w:r w:rsidRPr="006D66A2">
        <w:rPr>
          <w:rFonts w:asciiTheme="majorBidi" w:eastAsia="Times New Roman" w:hAnsiTheme="majorBidi" w:cstheme="majorBidi"/>
          <w:kern w:val="0"/>
          <w14:ligatures w14:val="none"/>
        </w:rPr>
        <w:t>the high</w:t>
      </w:r>
      <w:r w:rsidRPr="00B81801">
        <w:rPr>
          <w:rFonts w:asciiTheme="majorBidi" w:eastAsia="Times New Roman" w:hAnsiTheme="majorBidi" w:cstheme="majorBidi"/>
          <w:kern w:val="0"/>
          <w14:ligatures w14:val="none"/>
        </w:rPr>
        <w:t>-risk sectors should adopt a phased and strategic approach to ESG disclosure, focusing first on areas that align closely with their core business objectives and available resources.</w:t>
      </w:r>
    </w:p>
    <w:p w14:paraId="012E9EA1" w14:textId="5957A782" w:rsidR="006D66A2" w:rsidRDefault="006D66A2" w:rsidP="006D66A2">
      <w:pPr>
        <w:spacing w:before="100" w:beforeAutospacing="1" w:after="100" w:afterAutospacing="1" w:line="240" w:lineRule="auto"/>
        <w:jc w:val="both"/>
        <w:outlineLvl w:val="2"/>
        <w:rPr>
          <w:rFonts w:asciiTheme="majorBidi" w:eastAsia="Times New Roman" w:hAnsiTheme="majorBidi" w:cstheme="majorBidi"/>
          <w:kern w:val="0"/>
          <w14:ligatures w14:val="none"/>
        </w:rPr>
      </w:pPr>
      <w:r>
        <w:rPr>
          <w:rFonts w:asciiTheme="majorBidi" w:eastAsia="Times New Roman" w:hAnsiTheme="majorBidi" w:cstheme="majorBidi"/>
          <w:b/>
          <w:bCs/>
          <w:kern w:val="0"/>
          <w14:ligatures w14:val="none"/>
        </w:rPr>
        <w:t xml:space="preserve">Keywords: </w:t>
      </w:r>
      <w:r>
        <w:rPr>
          <w:rFonts w:asciiTheme="majorBidi" w:eastAsia="Times New Roman" w:hAnsiTheme="majorBidi" w:cstheme="majorBidi"/>
          <w:kern w:val="0"/>
          <w14:ligatures w14:val="none"/>
        </w:rPr>
        <w:t>Corporate sustainability, non-traditional financial disclosures, environmental disclosure, social disclosure, governance disclosure, return on assets, return on equity</w:t>
      </w:r>
    </w:p>
    <w:p w14:paraId="4C908212" w14:textId="2D9707E0" w:rsidR="00490880" w:rsidRDefault="006D66A2" w:rsidP="006D66A2">
      <w:pPr>
        <w:spacing w:before="100" w:beforeAutospacing="1" w:after="100" w:afterAutospacing="1" w:line="240" w:lineRule="auto"/>
        <w:jc w:val="both"/>
        <w:outlineLvl w:val="2"/>
        <w:rPr>
          <w:rFonts w:asciiTheme="majorBidi" w:eastAsia="Times New Roman" w:hAnsiTheme="majorBidi" w:cstheme="majorBidi"/>
          <w:kern w:val="0"/>
          <w:lang w:val="fr-FR"/>
          <w14:ligatures w14:val="none"/>
        </w:rPr>
      </w:pPr>
      <w:r w:rsidRPr="006D66A2">
        <w:rPr>
          <w:rFonts w:asciiTheme="majorBidi" w:eastAsia="Times New Roman" w:hAnsiTheme="majorBidi" w:cstheme="majorBidi"/>
          <w:b/>
          <w:bCs/>
          <w:kern w:val="0"/>
          <w:lang w:val="fr-FR"/>
          <w14:ligatures w14:val="none"/>
        </w:rPr>
        <w:t>JEL Classification</w:t>
      </w:r>
      <w:r>
        <w:rPr>
          <w:rFonts w:asciiTheme="majorBidi" w:eastAsia="Times New Roman" w:hAnsiTheme="majorBidi" w:cstheme="majorBidi"/>
          <w:b/>
          <w:bCs/>
          <w:kern w:val="0"/>
          <w:lang w:val="fr-FR"/>
          <w14:ligatures w14:val="none"/>
        </w:rPr>
        <w:t xml:space="preserve"> </w:t>
      </w:r>
      <w:proofErr w:type="gramStart"/>
      <w:r w:rsidRPr="006D66A2">
        <w:rPr>
          <w:rFonts w:asciiTheme="majorBidi" w:eastAsia="Times New Roman" w:hAnsiTheme="majorBidi" w:cstheme="majorBidi"/>
          <w:b/>
          <w:bCs/>
          <w:kern w:val="0"/>
          <w:lang w:val="fr-FR"/>
          <w14:ligatures w14:val="none"/>
        </w:rPr>
        <w:t>Codes:</w:t>
      </w:r>
      <w:proofErr w:type="gramEnd"/>
      <w:r w:rsidRPr="006D66A2">
        <w:rPr>
          <w:rFonts w:asciiTheme="majorBidi" w:eastAsia="Times New Roman" w:hAnsiTheme="majorBidi" w:cstheme="majorBidi"/>
          <w:b/>
          <w:bCs/>
          <w:kern w:val="0"/>
          <w:lang w:val="fr-FR"/>
          <w14:ligatures w14:val="none"/>
        </w:rPr>
        <w:t xml:space="preserve"> </w:t>
      </w:r>
      <w:r w:rsidRPr="006D66A2">
        <w:rPr>
          <w:rFonts w:asciiTheme="majorBidi" w:eastAsia="Times New Roman" w:hAnsiTheme="majorBidi" w:cstheme="majorBidi"/>
          <w:kern w:val="0"/>
          <w:lang w:val="fr-FR"/>
          <w14:ligatures w14:val="none"/>
        </w:rPr>
        <w:t>G34, M</w:t>
      </w:r>
      <w:r>
        <w:rPr>
          <w:rFonts w:asciiTheme="majorBidi" w:eastAsia="Times New Roman" w:hAnsiTheme="majorBidi" w:cstheme="majorBidi"/>
          <w:kern w:val="0"/>
          <w:lang w:val="fr-FR"/>
          <w14:ligatures w14:val="none"/>
        </w:rPr>
        <w:t>41, Q56</w:t>
      </w:r>
    </w:p>
    <w:p w14:paraId="61320911" w14:textId="77777777" w:rsidR="006D66A2" w:rsidRPr="006D66A2" w:rsidRDefault="006D66A2" w:rsidP="006D66A2">
      <w:pPr>
        <w:spacing w:before="100" w:beforeAutospacing="1" w:after="100" w:afterAutospacing="1" w:line="240" w:lineRule="auto"/>
        <w:jc w:val="both"/>
        <w:outlineLvl w:val="2"/>
        <w:rPr>
          <w:rFonts w:asciiTheme="majorBidi" w:eastAsia="Times New Roman" w:hAnsiTheme="majorBidi" w:cstheme="majorBidi"/>
          <w:kern w:val="0"/>
          <w:lang w:val="fr-FR"/>
          <w14:ligatures w14:val="none"/>
        </w:rPr>
      </w:pPr>
    </w:p>
    <w:p w14:paraId="18E5D672" w14:textId="6431A6AA" w:rsidR="00490880" w:rsidRPr="00490880" w:rsidRDefault="00490880" w:rsidP="0041145F">
      <w:pPr>
        <w:spacing w:after="100" w:afterAutospacing="1" w:line="360" w:lineRule="auto"/>
        <w:outlineLvl w:val="2"/>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1.         </w:t>
      </w:r>
      <w:r w:rsidRPr="00490880">
        <w:rPr>
          <w:rFonts w:ascii="Times New Roman" w:eastAsia="Times New Roman" w:hAnsi="Times New Roman" w:cs="Times New Roman"/>
          <w:b/>
          <w:bCs/>
          <w:kern w:val="0"/>
          <w14:ligatures w14:val="none"/>
        </w:rPr>
        <w:t>Introduction</w:t>
      </w:r>
    </w:p>
    <w:p w14:paraId="44608072" w14:textId="03CE2FDB" w:rsidR="00490880" w:rsidRPr="00490880" w:rsidRDefault="00490880" w:rsidP="00C9588D">
      <w:pPr>
        <w:spacing w:after="100" w:afterAutospacing="1" w:line="360" w:lineRule="auto"/>
        <w:ind w:firstLine="720"/>
        <w:jc w:val="both"/>
        <w:rPr>
          <w:rFonts w:ascii="Times New Roman" w:eastAsia="Times New Roman" w:hAnsi="Times New Roman" w:cs="Times New Roman"/>
          <w:kern w:val="0"/>
          <w14:ligatures w14:val="none"/>
        </w:rPr>
      </w:pPr>
      <w:r w:rsidRPr="00490880">
        <w:rPr>
          <w:rFonts w:ascii="Times New Roman" w:eastAsia="Times New Roman" w:hAnsi="Times New Roman" w:cs="Times New Roman"/>
          <w:kern w:val="0"/>
          <w14:ligatures w14:val="none"/>
        </w:rPr>
        <w:t xml:space="preserve">Corporate sustainability has emerged as a </w:t>
      </w:r>
      <w:r w:rsidR="00C653E5">
        <w:rPr>
          <w:rFonts w:ascii="Times New Roman" w:eastAsia="Times New Roman" w:hAnsi="Times New Roman" w:cs="Times New Roman"/>
          <w:kern w:val="0"/>
          <w14:ligatures w14:val="none"/>
        </w:rPr>
        <w:t>significant</w:t>
      </w:r>
      <w:r w:rsidRPr="00490880">
        <w:rPr>
          <w:rFonts w:ascii="Times New Roman" w:eastAsia="Times New Roman" w:hAnsi="Times New Roman" w:cs="Times New Roman"/>
          <w:kern w:val="0"/>
          <w14:ligatures w14:val="none"/>
        </w:rPr>
        <w:t xml:space="preserve"> concern for businesses operating in high-risk sectors, particularly in economies facing political instability, economic volatility, and regulatory uncertainties (</w:t>
      </w:r>
      <w:r w:rsidR="00BA4982" w:rsidRPr="00657119">
        <w:rPr>
          <w:rFonts w:ascii="Times New Roman" w:eastAsia="Times New Roman" w:hAnsi="Times New Roman" w:cs="Times New Roman"/>
          <w:kern w:val="0"/>
          <w14:ligatures w14:val="none"/>
        </w:rPr>
        <w:t>Al-</w:t>
      </w:r>
      <w:proofErr w:type="spellStart"/>
      <w:r w:rsidR="00BA4982" w:rsidRPr="00657119">
        <w:rPr>
          <w:rFonts w:ascii="Times New Roman" w:eastAsia="Times New Roman" w:hAnsi="Times New Roman" w:cs="Times New Roman"/>
          <w:kern w:val="0"/>
          <w14:ligatures w14:val="none"/>
        </w:rPr>
        <w:t>Tamimi</w:t>
      </w:r>
      <w:proofErr w:type="spellEnd"/>
      <w:r w:rsidR="00BA4982" w:rsidRPr="00657119">
        <w:rPr>
          <w:rFonts w:ascii="Times New Roman" w:eastAsia="Times New Roman" w:hAnsi="Times New Roman" w:cs="Times New Roman"/>
          <w:kern w:val="0"/>
          <w14:ligatures w14:val="none"/>
        </w:rPr>
        <w:t>,</w:t>
      </w:r>
      <w:r w:rsidR="00BA4982">
        <w:rPr>
          <w:rFonts w:ascii="Times New Roman" w:eastAsia="Times New Roman" w:hAnsi="Times New Roman" w:cs="Times New Roman"/>
          <w:kern w:val="0"/>
          <w14:ligatures w14:val="none"/>
        </w:rPr>
        <w:t xml:space="preserve"> </w:t>
      </w:r>
      <w:r w:rsidR="00BA4982" w:rsidRPr="00657119">
        <w:rPr>
          <w:rFonts w:ascii="Times New Roman" w:eastAsia="Times New Roman" w:hAnsi="Times New Roman" w:cs="Times New Roman"/>
          <w:kern w:val="0"/>
          <w14:ligatures w14:val="none"/>
        </w:rPr>
        <w:t>2021</w:t>
      </w:r>
      <w:r w:rsidR="00BA4982">
        <w:rPr>
          <w:rFonts w:ascii="Times New Roman" w:eastAsia="Times New Roman" w:hAnsi="Times New Roman" w:cs="Times New Roman"/>
          <w:kern w:val="0"/>
          <w14:ligatures w14:val="none"/>
        </w:rPr>
        <w:t xml:space="preserve">; </w:t>
      </w:r>
      <w:proofErr w:type="spellStart"/>
      <w:r w:rsidRPr="00490880">
        <w:rPr>
          <w:rFonts w:ascii="Times New Roman" w:eastAsia="Times New Roman" w:hAnsi="Times New Roman" w:cs="Times New Roman"/>
          <w:kern w:val="0"/>
          <w14:ligatures w14:val="none"/>
        </w:rPr>
        <w:t>Elmassri</w:t>
      </w:r>
      <w:proofErr w:type="spellEnd"/>
      <w:r w:rsidRPr="00490880">
        <w:rPr>
          <w:rFonts w:ascii="Times New Roman" w:eastAsia="Times New Roman" w:hAnsi="Times New Roman" w:cs="Times New Roman"/>
          <w:kern w:val="0"/>
          <w14:ligatures w14:val="none"/>
        </w:rPr>
        <w:t xml:space="preserve"> et al., 2023). </w:t>
      </w:r>
      <w:r w:rsidR="00A74286">
        <w:rPr>
          <w:rFonts w:ascii="Times New Roman" w:eastAsia="Times New Roman" w:hAnsi="Times New Roman" w:cs="Times New Roman"/>
          <w:kern w:val="0"/>
          <w14:ligatures w14:val="none"/>
        </w:rPr>
        <w:t xml:space="preserve">While essential for transparency, traditional financial disclosures </w:t>
      </w:r>
      <w:r w:rsidRPr="00490880">
        <w:rPr>
          <w:rFonts w:ascii="Times New Roman" w:eastAsia="Times New Roman" w:hAnsi="Times New Roman" w:cs="Times New Roman"/>
          <w:kern w:val="0"/>
          <w14:ligatures w14:val="none"/>
        </w:rPr>
        <w:t>often fail to capture the broader environmental, social, and governance (ESG) factors that influence long-term corporate sustainability (Hassan et al., 2022</w:t>
      </w:r>
      <w:r w:rsidR="003C767C">
        <w:rPr>
          <w:rFonts w:ascii="Times New Roman" w:eastAsia="Times New Roman" w:hAnsi="Times New Roman" w:cs="Times New Roman"/>
          <w:kern w:val="0"/>
          <w14:ligatures w14:val="none"/>
        </w:rPr>
        <w:t>; Kolawole et al., 2023</w:t>
      </w:r>
      <w:r w:rsidRPr="00490880">
        <w:rPr>
          <w:rFonts w:ascii="Times New Roman" w:eastAsia="Times New Roman" w:hAnsi="Times New Roman" w:cs="Times New Roman"/>
          <w:kern w:val="0"/>
          <w14:ligatures w14:val="none"/>
        </w:rPr>
        <w:t>). As a result, non-traditional financial disclosures</w:t>
      </w:r>
      <w:r w:rsidR="006E05C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490880">
        <w:rPr>
          <w:rFonts w:ascii="Times New Roman" w:eastAsia="Times New Roman" w:hAnsi="Times New Roman" w:cs="Times New Roman"/>
          <w:kern w:val="0"/>
          <w14:ligatures w14:val="none"/>
        </w:rPr>
        <w:t xml:space="preserve">such as </w:t>
      </w:r>
      <w:r w:rsidRPr="00490880">
        <w:rPr>
          <w:rFonts w:ascii="Times New Roman" w:eastAsia="Times New Roman" w:hAnsi="Times New Roman" w:cs="Times New Roman"/>
          <w:kern w:val="0"/>
          <w14:ligatures w14:val="none"/>
        </w:rPr>
        <w:lastRenderedPageBreak/>
        <w:t>sustainability reports, integrated reporting, and voluntary ESG disclosures</w:t>
      </w:r>
      <w:r w:rsidR="006E05C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Pr="00490880">
        <w:rPr>
          <w:rFonts w:ascii="Times New Roman" w:eastAsia="Times New Roman" w:hAnsi="Times New Roman" w:cs="Times New Roman"/>
          <w:kern w:val="0"/>
          <w14:ligatures w14:val="none"/>
        </w:rPr>
        <w:t>are gaining prominence as essential tools for fostering corporate accountability and resilience in high-risk environments (Al-</w:t>
      </w:r>
      <w:proofErr w:type="spellStart"/>
      <w:r w:rsidRPr="00490880">
        <w:rPr>
          <w:rFonts w:ascii="Times New Roman" w:eastAsia="Times New Roman" w:hAnsi="Times New Roman" w:cs="Times New Roman"/>
          <w:kern w:val="0"/>
          <w14:ligatures w14:val="none"/>
        </w:rPr>
        <w:t>Janabi</w:t>
      </w:r>
      <w:proofErr w:type="spellEnd"/>
      <w:r w:rsidRPr="00490880">
        <w:rPr>
          <w:rFonts w:ascii="Times New Roman" w:eastAsia="Times New Roman" w:hAnsi="Times New Roman" w:cs="Times New Roman"/>
          <w:kern w:val="0"/>
          <w14:ligatures w14:val="none"/>
        </w:rPr>
        <w:t>, 2023).</w:t>
      </w:r>
    </w:p>
    <w:p w14:paraId="452C759F" w14:textId="5DDB402A" w:rsidR="00490880" w:rsidRPr="00490880" w:rsidRDefault="00490880" w:rsidP="00C9588D">
      <w:pPr>
        <w:spacing w:after="100" w:afterAutospacing="1" w:line="360" w:lineRule="auto"/>
        <w:ind w:firstLine="720"/>
        <w:jc w:val="both"/>
        <w:rPr>
          <w:rFonts w:ascii="Times New Roman" w:eastAsia="Times New Roman" w:hAnsi="Times New Roman" w:cs="Times New Roman"/>
          <w:kern w:val="0"/>
          <w14:ligatures w14:val="none"/>
        </w:rPr>
      </w:pPr>
      <w:r w:rsidRPr="00490880">
        <w:rPr>
          <w:rFonts w:ascii="Times New Roman" w:eastAsia="Times New Roman" w:hAnsi="Times New Roman" w:cs="Times New Roman"/>
          <w:kern w:val="0"/>
          <w14:ligatures w14:val="none"/>
        </w:rPr>
        <w:t xml:space="preserve">Iraq's high-risk sectors, including </w:t>
      </w:r>
      <w:r w:rsidR="00AB0781">
        <w:rPr>
          <w:rFonts w:ascii="Times New Roman" w:eastAsia="Times New Roman" w:hAnsi="Times New Roman" w:cs="Times New Roman"/>
          <w:kern w:val="0"/>
          <w14:ligatures w14:val="none"/>
        </w:rPr>
        <w:t xml:space="preserve">oil and gas, </w:t>
      </w:r>
      <w:r w:rsidRPr="00490880">
        <w:rPr>
          <w:rFonts w:ascii="Times New Roman" w:eastAsia="Times New Roman" w:hAnsi="Times New Roman" w:cs="Times New Roman"/>
          <w:kern w:val="0"/>
          <w14:ligatures w14:val="none"/>
        </w:rPr>
        <w:t xml:space="preserve">banking, </w:t>
      </w:r>
      <w:r w:rsidR="00AB0781">
        <w:rPr>
          <w:rFonts w:ascii="Times New Roman" w:eastAsia="Times New Roman" w:hAnsi="Times New Roman" w:cs="Times New Roman"/>
          <w:kern w:val="0"/>
          <w14:ligatures w14:val="none"/>
        </w:rPr>
        <w:t xml:space="preserve">insurance, </w:t>
      </w:r>
      <w:r w:rsidRPr="00490880">
        <w:rPr>
          <w:rFonts w:ascii="Times New Roman" w:eastAsia="Times New Roman" w:hAnsi="Times New Roman" w:cs="Times New Roman"/>
          <w:kern w:val="0"/>
          <w14:ligatures w14:val="none"/>
        </w:rPr>
        <w:t xml:space="preserve">and construction, operate in a complex landscape </w:t>
      </w:r>
      <w:proofErr w:type="spellStart"/>
      <w:r w:rsidR="00237C59">
        <w:rPr>
          <w:rFonts w:ascii="Times New Roman" w:eastAsia="Times New Roman" w:hAnsi="Times New Roman" w:cs="Times New Roman"/>
          <w:kern w:val="0"/>
          <w14:ligatures w14:val="none"/>
        </w:rPr>
        <w:t>characterised</w:t>
      </w:r>
      <w:proofErr w:type="spellEnd"/>
      <w:r w:rsidRPr="00490880">
        <w:rPr>
          <w:rFonts w:ascii="Times New Roman" w:eastAsia="Times New Roman" w:hAnsi="Times New Roman" w:cs="Times New Roman"/>
          <w:kern w:val="0"/>
          <w14:ligatures w14:val="none"/>
        </w:rPr>
        <w:t xml:space="preserve"> by fluctuating oil prices, weak institutional frameworks, and governance challenges (Abdullah &amp; Mohammed, 2022). These industries face increasing pressure from investors, regulatory bodies, and international </w:t>
      </w:r>
      <w:proofErr w:type="spellStart"/>
      <w:r w:rsidR="00237C59">
        <w:rPr>
          <w:rFonts w:ascii="Times New Roman" w:eastAsia="Times New Roman" w:hAnsi="Times New Roman" w:cs="Times New Roman"/>
          <w:kern w:val="0"/>
          <w14:ligatures w14:val="none"/>
        </w:rPr>
        <w:t>organisations</w:t>
      </w:r>
      <w:proofErr w:type="spellEnd"/>
      <w:r w:rsidRPr="00490880">
        <w:rPr>
          <w:rFonts w:ascii="Times New Roman" w:eastAsia="Times New Roman" w:hAnsi="Times New Roman" w:cs="Times New Roman"/>
          <w:kern w:val="0"/>
          <w14:ligatures w14:val="none"/>
        </w:rPr>
        <w:t xml:space="preserve"> to enhance their sustainability practices through greater transparency in non-financial disclosures (Al-Shammari &amp; Al-Ansari, 2023). Emerging research suggests that firms that integrate ESG disclosures into their reporting frameworks tend to demonstrate improved financial stability, risk management, and stakeholder confidence (Olayemi et al., 2023). However, the extent to which non-traditional financial disclosures contribute to corporate sustainability in Iraq’s high-risk sectors remains underexplored.</w:t>
      </w:r>
    </w:p>
    <w:p w14:paraId="0F915184" w14:textId="235E31DB" w:rsidR="00D849AB" w:rsidRPr="0096734E" w:rsidRDefault="00D849AB" w:rsidP="00D849AB">
      <w:pPr>
        <w:spacing w:after="100" w:afterAutospacing="1" w:line="360" w:lineRule="auto"/>
        <w:ind w:firstLine="720"/>
        <w:jc w:val="both"/>
        <w:rPr>
          <w:rFonts w:asciiTheme="majorBidi" w:hAnsiTheme="majorBidi" w:cstheme="majorBidi"/>
        </w:rPr>
      </w:pPr>
      <w:r w:rsidRPr="00D849AB">
        <w:rPr>
          <w:rFonts w:asciiTheme="majorBidi" w:hAnsiTheme="majorBidi" w:cstheme="majorBidi"/>
        </w:rPr>
        <w:t xml:space="preserve">Recent studies have </w:t>
      </w:r>
      <w:r w:rsidR="00475072">
        <w:rPr>
          <w:rFonts w:asciiTheme="majorBidi" w:hAnsiTheme="majorBidi" w:cstheme="majorBidi"/>
        </w:rPr>
        <w:t>investigat</w:t>
      </w:r>
      <w:r w:rsidRPr="00D849AB">
        <w:rPr>
          <w:rFonts w:asciiTheme="majorBidi" w:hAnsiTheme="majorBidi" w:cstheme="majorBidi"/>
        </w:rPr>
        <w:t xml:space="preserve">ed the impact of non-traditional financial disclosures (NFD) on corporate sustainability. For instance, a </w:t>
      </w:r>
      <w:proofErr w:type="spellStart"/>
      <w:r w:rsidRPr="00D849AB">
        <w:rPr>
          <w:rFonts w:asciiTheme="majorBidi" w:hAnsiTheme="majorBidi" w:cstheme="majorBidi"/>
        </w:rPr>
        <w:t>scientometric</w:t>
      </w:r>
      <w:proofErr w:type="spellEnd"/>
      <w:r w:rsidRPr="00D849AB">
        <w:rPr>
          <w:rFonts w:asciiTheme="majorBidi" w:hAnsiTheme="majorBidi" w:cstheme="majorBidi"/>
        </w:rPr>
        <w:t xml:space="preserve"> analysis by </w:t>
      </w:r>
      <w:r w:rsidRPr="00657119">
        <w:rPr>
          <w:rFonts w:ascii="Times New Roman" w:eastAsia="Times New Roman" w:hAnsi="Times New Roman" w:cs="Times New Roman"/>
          <w:kern w:val="0"/>
          <w14:ligatures w14:val="none"/>
        </w:rPr>
        <w:t>Saini</w:t>
      </w:r>
      <w:r w:rsidRPr="00D849AB">
        <w:rPr>
          <w:rFonts w:asciiTheme="majorBidi" w:hAnsiTheme="majorBidi" w:cstheme="majorBidi"/>
        </w:rPr>
        <w:t xml:space="preserve"> et al. (2022) examined how NFD contributes to sustainable development, highlighting the increasing pressure on companies to report non-financial dimensions due to heightened stakeholder awareness. Another study by </w:t>
      </w:r>
      <w:proofErr w:type="spellStart"/>
      <w:r w:rsidRPr="00D849AB">
        <w:rPr>
          <w:rFonts w:asciiTheme="majorBidi" w:hAnsiTheme="majorBidi" w:cstheme="majorBidi"/>
        </w:rPr>
        <w:t>Alshuqairy</w:t>
      </w:r>
      <w:proofErr w:type="spellEnd"/>
      <w:r w:rsidRPr="00D849AB">
        <w:rPr>
          <w:rFonts w:asciiTheme="majorBidi" w:hAnsiTheme="majorBidi" w:cstheme="majorBidi"/>
        </w:rPr>
        <w:t xml:space="preserve"> (2022) investigated the effect of sustainability disclosures on financial performance transparency in Iraqi banks, finding that such disclosures enhance user confidence and improve financial performance transparency. </w:t>
      </w:r>
      <w:r w:rsidR="00475072">
        <w:rPr>
          <w:rFonts w:asciiTheme="majorBidi" w:hAnsiTheme="majorBidi" w:cstheme="majorBidi"/>
        </w:rPr>
        <w:t xml:space="preserve">In Nigeria, </w:t>
      </w:r>
      <w:proofErr w:type="spellStart"/>
      <w:r w:rsidR="00475072">
        <w:rPr>
          <w:rFonts w:asciiTheme="majorBidi" w:hAnsiTheme="majorBidi" w:cstheme="majorBidi"/>
        </w:rPr>
        <w:t>Dagunduro</w:t>
      </w:r>
      <w:proofErr w:type="spellEnd"/>
      <w:r w:rsidR="00475072">
        <w:rPr>
          <w:rFonts w:asciiTheme="majorBidi" w:hAnsiTheme="majorBidi" w:cstheme="majorBidi"/>
        </w:rPr>
        <w:t xml:space="preserve"> </w:t>
      </w:r>
      <w:commentRangeStart w:id="0"/>
      <w:r w:rsidR="00475072">
        <w:rPr>
          <w:rFonts w:asciiTheme="majorBidi" w:hAnsiTheme="majorBidi" w:cstheme="majorBidi"/>
        </w:rPr>
        <w:t>et</w:t>
      </w:r>
      <w:commentRangeEnd w:id="0"/>
      <w:r w:rsidR="00137FDE">
        <w:rPr>
          <w:rStyle w:val="CommentReference"/>
        </w:rPr>
        <w:commentReference w:id="0"/>
      </w:r>
      <w:r w:rsidR="00475072">
        <w:rPr>
          <w:rFonts w:asciiTheme="majorBidi" w:hAnsiTheme="majorBidi" w:cstheme="majorBidi"/>
        </w:rPr>
        <w:t xml:space="preserve"> al. found that non-financial disclosure had a significant effect on </w:t>
      </w:r>
      <w:r w:rsidR="006E05CC">
        <w:rPr>
          <w:rFonts w:asciiTheme="majorBidi" w:hAnsiTheme="majorBidi" w:cstheme="majorBidi"/>
        </w:rPr>
        <w:t xml:space="preserve">the </w:t>
      </w:r>
      <w:r w:rsidR="00475072">
        <w:rPr>
          <w:rFonts w:asciiTheme="majorBidi" w:hAnsiTheme="majorBidi" w:cstheme="majorBidi"/>
        </w:rPr>
        <w:t xml:space="preserve">firm performance of listed consumer goods firms in Nigeria. </w:t>
      </w:r>
      <w:r w:rsidRPr="00D849AB">
        <w:rPr>
          <w:rFonts w:asciiTheme="majorBidi" w:hAnsiTheme="majorBidi" w:cstheme="majorBidi"/>
        </w:rPr>
        <w:t xml:space="preserve">Additionally, research by </w:t>
      </w:r>
      <w:r w:rsidR="005460F0" w:rsidRPr="005460F0">
        <w:rPr>
          <w:rFonts w:ascii="Times New Roman" w:eastAsia="Times New Roman" w:hAnsi="Times New Roman" w:cs="Times New Roman"/>
          <w:kern w:val="0"/>
          <w14:ligatures w14:val="none"/>
        </w:rPr>
        <w:t>Al-</w:t>
      </w:r>
      <w:proofErr w:type="spellStart"/>
      <w:r w:rsidR="005460F0" w:rsidRPr="005460F0">
        <w:rPr>
          <w:rFonts w:ascii="Times New Roman" w:eastAsia="Times New Roman" w:hAnsi="Times New Roman" w:cs="Times New Roman"/>
          <w:kern w:val="0"/>
          <w14:ligatures w14:val="none"/>
        </w:rPr>
        <w:t>Dulaimi</w:t>
      </w:r>
      <w:proofErr w:type="spellEnd"/>
      <w:r w:rsidR="005460F0">
        <w:rPr>
          <w:rFonts w:ascii="Times New Roman" w:eastAsia="Times New Roman" w:hAnsi="Times New Roman" w:cs="Times New Roman"/>
          <w:kern w:val="0"/>
          <w14:ligatures w14:val="none"/>
        </w:rPr>
        <w:t xml:space="preserve"> et al.</w:t>
      </w:r>
      <w:r w:rsidRPr="00D849AB">
        <w:rPr>
          <w:rFonts w:asciiTheme="majorBidi" w:hAnsiTheme="majorBidi" w:cstheme="majorBidi"/>
        </w:rPr>
        <w:t xml:space="preserve"> (202</w:t>
      </w:r>
      <w:r w:rsidR="005460F0">
        <w:rPr>
          <w:rFonts w:asciiTheme="majorBidi" w:hAnsiTheme="majorBidi" w:cstheme="majorBidi"/>
        </w:rPr>
        <w:t>0</w:t>
      </w:r>
      <w:r w:rsidRPr="00D849AB">
        <w:rPr>
          <w:rFonts w:asciiTheme="majorBidi" w:hAnsiTheme="majorBidi" w:cstheme="majorBidi"/>
        </w:rPr>
        <w:t xml:space="preserve">) </w:t>
      </w:r>
      <w:proofErr w:type="spellStart"/>
      <w:r w:rsidRPr="00D849AB">
        <w:rPr>
          <w:rFonts w:asciiTheme="majorBidi" w:hAnsiTheme="majorBidi" w:cstheme="majorBidi"/>
        </w:rPr>
        <w:t>analy</w:t>
      </w:r>
      <w:r w:rsidR="005460F0">
        <w:rPr>
          <w:rFonts w:asciiTheme="majorBidi" w:hAnsiTheme="majorBidi" w:cstheme="majorBidi"/>
        </w:rPr>
        <w:t>s</w:t>
      </w:r>
      <w:r w:rsidRPr="00D849AB">
        <w:rPr>
          <w:rFonts w:asciiTheme="majorBidi" w:hAnsiTheme="majorBidi" w:cstheme="majorBidi"/>
        </w:rPr>
        <w:t>ed</w:t>
      </w:r>
      <w:proofErr w:type="spellEnd"/>
      <w:r w:rsidRPr="00D849AB">
        <w:rPr>
          <w:rFonts w:asciiTheme="majorBidi" w:hAnsiTheme="majorBidi" w:cstheme="majorBidi"/>
        </w:rPr>
        <w:t xml:space="preserve"> the influence of corporate social responsibility disclosures on the profitability of Iraqi companies, revealing a significant correlation between CSR disclosure and financial performance.</w:t>
      </w:r>
      <w:r w:rsidR="0096734E">
        <w:rPr>
          <w:rFonts w:asciiTheme="majorBidi" w:hAnsiTheme="majorBidi" w:cstheme="majorBidi"/>
        </w:rPr>
        <w:t xml:space="preserve"> </w:t>
      </w:r>
      <w:r w:rsidR="00237C59">
        <w:rPr>
          <w:rFonts w:asciiTheme="majorBidi" w:hAnsiTheme="majorBidi" w:cstheme="majorBidi"/>
        </w:rPr>
        <w:t>Al-Gabri</w:t>
      </w:r>
      <w:r w:rsidR="0096734E" w:rsidRPr="0096734E">
        <w:rPr>
          <w:rFonts w:asciiTheme="majorBidi" w:hAnsiTheme="majorBidi" w:cstheme="majorBidi"/>
        </w:rPr>
        <w:t xml:space="preserve"> et al. (2022) revealed that corporate social responsibility disclosure had a significant correlation with companies' financial performance based on accounting data. In terms of implications, the findings suggested that investors’ confidence could be enhanced when investing in companies with strong corporate governance.</w:t>
      </w:r>
    </w:p>
    <w:p w14:paraId="781F1288" w14:textId="1DD276B3" w:rsidR="007E73CF" w:rsidRPr="007E73CF" w:rsidRDefault="00D849AB" w:rsidP="007E73CF">
      <w:pPr>
        <w:spacing w:after="100" w:afterAutospacing="1" w:line="360" w:lineRule="auto"/>
        <w:ind w:firstLine="720"/>
        <w:jc w:val="both"/>
        <w:rPr>
          <w:rFonts w:asciiTheme="majorBidi" w:hAnsiTheme="majorBidi" w:cstheme="majorBidi"/>
        </w:rPr>
      </w:pPr>
      <w:r w:rsidRPr="00D849AB">
        <w:rPr>
          <w:rFonts w:asciiTheme="majorBidi" w:hAnsiTheme="majorBidi" w:cstheme="majorBidi"/>
        </w:rPr>
        <w:t xml:space="preserve">While earlier studies have focused on the general impact of </w:t>
      </w:r>
      <w:r w:rsidR="007E73CF">
        <w:rPr>
          <w:rFonts w:asciiTheme="majorBidi" w:hAnsiTheme="majorBidi" w:cstheme="majorBidi"/>
        </w:rPr>
        <w:t>non-financial disclosure</w:t>
      </w:r>
      <w:r w:rsidRPr="00D849AB">
        <w:rPr>
          <w:rFonts w:asciiTheme="majorBidi" w:hAnsiTheme="majorBidi" w:cstheme="majorBidi"/>
        </w:rPr>
        <w:t xml:space="preserve"> on corporate sustainability, there is a lack of research targeting high-risk sectors within Iraq. This </w:t>
      </w:r>
      <w:r w:rsidRPr="00D849AB">
        <w:rPr>
          <w:rFonts w:asciiTheme="majorBidi" w:hAnsiTheme="majorBidi" w:cstheme="majorBidi"/>
        </w:rPr>
        <w:lastRenderedPageBreak/>
        <w:t>study s</w:t>
      </w:r>
      <w:r w:rsidR="003C487C">
        <w:rPr>
          <w:rFonts w:asciiTheme="majorBidi" w:hAnsiTheme="majorBidi" w:cstheme="majorBidi"/>
        </w:rPr>
        <w:t>ought</w:t>
      </w:r>
      <w:r w:rsidRPr="00D849AB">
        <w:rPr>
          <w:rFonts w:asciiTheme="majorBidi" w:hAnsiTheme="majorBidi" w:cstheme="majorBidi"/>
        </w:rPr>
        <w:t xml:space="preserve"> to fill this void by examining how </w:t>
      </w:r>
      <w:r w:rsidR="007E73CF">
        <w:rPr>
          <w:rFonts w:asciiTheme="majorBidi" w:hAnsiTheme="majorBidi" w:cstheme="majorBidi"/>
        </w:rPr>
        <w:t>non-traditional financial disclosure</w:t>
      </w:r>
      <w:r w:rsidRPr="00D849AB">
        <w:rPr>
          <w:rFonts w:asciiTheme="majorBidi" w:hAnsiTheme="majorBidi" w:cstheme="majorBidi"/>
        </w:rPr>
        <w:t xml:space="preserve"> can enhance sustainability practices in industries particularly susceptible to economic and environmental volatility. Furthermore, it intends to provide a nuanced understanding of the mechanisms through which NFD influences corporate </w:t>
      </w:r>
      <w:proofErr w:type="spellStart"/>
      <w:r w:rsidR="00237C59">
        <w:rPr>
          <w:rFonts w:asciiTheme="majorBidi" w:hAnsiTheme="majorBidi" w:cstheme="majorBidi"/>
        </w:rPr>
        <w:t>behaviour</w:t>
      </w:r>
      <w:proofErr w:type="spellEnd"/>
      <w:r w:rsidRPr="00D849AB">
        <w:rPr>
          <w:rFonts w:asciiTheme="majorBidi" w:hAnsiTheme="majorBidi" w:cstheme="majorBidi"/>
        </w:rPr>
        <w:t xml:space="preserve"> and stakeholder perceptions in these high-risk contexts, offering valuable insights for policymakers and business leaders aiming to promote sustainable development in Iraq's most vulnerable sectors.</w:t>
      </w:r>
      <w:r w:rsidR="007E73CF">
        <w:rPr>
          <w:rFonts w:asciiTheme="majorBidi" w:hAnsiTheme="majorBidi" w:cstheme="majorBidi"/>
        </w:rPr>
        <w:t xml:space="preserve"> </w:t>
      </w:r>
      <w:r w:rsidR="007E73CF" w:rsidRPr="00490880">
        <w:rPr>
          <w:rFonts w:ascii="Times New Roman" w:eastAsia="Times New Roman" w:hAnsi="Times New Roman" w:cs="Times New Roman"/>
          <w:kern w:val="0"/>
          <w14:ligatures w14:val="none"/>
        </w:rPr>
        <w:t>By bridging this knowledge gap, the research provides valuable insights for policymakers, corporate executives, and investors seeking to improve sustainability practices in Iraq’s challenging business environment.</w:t>
      </w:r>
    </w:p>
    <w:p w14:paraId="37C5AEE4" w14:textId="77777777" w:rsidR="00334B46" w:rsidRPr="00A9784E" w:rsidRDefault="00334B46" w:rsidP="00334B46">
      <w:pPr>
        <w:spacing w:after="0" w:line="360" w:lineRule="auto"/>
        <w:outlineLvl w:val="2"/>
        <w:rPr>
          <w:rFonts w:asciiTheme="majorBidi" w:eastAsia="Times New Roman" w:hAnsiTheme="majorBidi" w:cstheme="majorBidi"/>
          <w:b/>
          <w:bCs/>
          <w:kern w:val="0"/>
          <w14:ligatures w14:val="none"/>
        </w:rPr>
      </w:pPr>
      <w:r w:rsidRPr="00A9784E">
        <w:rPr>
          <w:rFonts w:asciiTheme="majorBidi" w:eastAsia="Times New Roman" w:hAnsiTheme="majorBidi" w:cstheme="majorBidi"/>
          <w:b/>
          <w:bCs/>
          <w:kern w:val="0"/>
          <w14:ligatures w14:val="none"/>
        </w:rPr>
        <w:t>2.         Literature Review and Hypothesis Development</w:t>
      </w:r>
    </w:p>
    <w:p w14:paraId="35D33A12" w14:textId="77777777" w:rsidR="00334B46" w:rsidRPr="00A9784E" w:rsidRDefault="00334B46" w:rsidP="00334B46">
      <w:pPr>
        <w:spacing w:after="0" w:line="360" w:lineRule="auto"/>
        <w:ind w:firstLine="720"/>
        <w:jc w:val="both"/>
        <w:outlineLvl w:val="2"/>
        <w:rPr>
          <w:rFonts w:asciiTheme="majorBidi" w:eastAsia="Times New Roman" w:hAnsiTheme="majorBidi" w:cstheme="majorBidi"/>
          <w:kern w:val="0"/>
          <w14:ligatures w14:val="none"/>
        </w:rPr>
      </w:pPr>
      <w:r w:rsidRPr="00A9784E">
        <w:rPr>
          <w:rFonts w:asciiTheme="majorBidi" w:eastAsia="Times New Roman" w:hAnsiTheme="majorBidi" w:cstheme="majorBidi"/>
          <w:kern w:val="0"/>
          <w14:ligatures w14:val="none"/>
        </w:rPr>
        <w:t>This section provides details on the concepts, underpinning theory and related literature relevant to this study for better understanding and clarity.</w:t>
      </w:r>
    </w:p>
    <w:p w14:paraId="036784D5" w14:textId="77777777" w:rsidR="00334B46" w:rsidRPr="00A9784E" w:rsidRDefault="00334B46" w:rsidP="00334B46">
      <w:pPr>
        <w:spacing w:after="0" w:line="360" w:lineRule="auto"/>
        <w:jc w:val="both"/>
        <w:outlineLvl w:val="2"/>
        <w:rPr>
          <w:rFonts w:asciiTheme="majorBidi" w:eastAsia="Times New Roman" w:hAnsiTheme="majorBidi" w:cstheme="majorBidi"/>
          <w:b/>
          <w:bCs/>
          <w:kern w:val="0"/>
          <w14:ligatures w14:val="none"/>
        </w:rPr>
      </w:pPr>
      <w:r w:rsidRPr="00A9784E">
        <w:rPr>
          <w:rFonts w:asciiTheme="majorBidi" w:eastAsia="Times New Roman" w:hAnsiTheme="majorBidi" w:cstheme="majorBidi"/>
          <w:b/>
          <w:bCs/>
          <w:kern w:val="0"/>
          <w14:ligatures w14:val="none"/>
        </w:rPr>
        <w:t>2.1       Conceptual Review</w:t>
      </w:r>
    </w:p>
    <w:p w14:paraId="707C029B" w14:textId="3C8DC16D" w:rsidR="00334B46" w:rsidRPr="00334B46" w:rsidRDefault="00334B46" w:rsidP="00334B46">
      <w:pPr>
        <w:spacing w:after="100" w:afterAutospacing="1" w:line="360" w:lineRule="auto"/>
        <w:ind w:firstLine="720"/>
        <w:jc w:val="both"/>
        <w:outlineLvl w:val="2"/>
        <w:rPr>
          <w:rFonts w:asciiTheme="majorBidi" w:eastAsia="Times New Roman" w:hAnsiTheme="majorBidi" w:cstheme="majorBidi"/>
          <w:kern w:val="0"/>
          <w14:ligatures w14:val="none"/>
        </w:rPr>
      </w:pPr>
      <w:r w:rsidRPr="00A9784E">
        <w:rPr>
          <w:rFonts w:asciiTheme="majorBidi" w:eastAsia="Times New Roman" w:hAnsiTheme="majorBidi" w:cstheme="majorBidi"/>
          <w:kern w:val="0"/>
          <w14:ligatures w14:val="none"/>
        </w:rPr>
        <w:t xml:space="preserve">This section </w:t>
      </w:r>
      <w:r w:rsidR="006E05CC">
        <w:rPr>
          <w:rFonts w:asciiTheme="majorBidi" w:eastAsia="Times New Roman" w:hAnsiTheme="majorBidi" w:cstheme="majorBidi"/>
          <w:kern w:val="0"/>
          <w14:ligatures w14:val="none"/>
        </w:rPr>
        <w:t>defines</w:t>
      </w:r>
      <w:r w:rsidRPr="00A9784E">
        <w:rPr>
          <w:rFonts w:asciiTheme="majorBidi" w:eastAsia="Times New Roman" w:hAnsiTheme="majorBidi" w:cstheme="majorBidi"/>
          <w:kern w:val="0"/>
          <w14:ligatures w14:val="none"/>
        </w:rPr>
        <w:t xml:space="preserve"> concepts used in this study.</w:t>
      </w:r>
    </w:p>
    <w:p w14:paraId="416F7CAF" w14:textId="67ABEBEF" w:rsidR="00CC6911" w:rsidRPr="00CC6911" w:rsidRDefault="00CC6911" w:rsidP="00334B46">
      <w:pPr>
        <w:spacing w:after="0" w:line="360" w:lineRule="auto"/>
        <w:jc w:val="both"/>
        <w:rPr>
          <w:rFonts w:asciiTheme="majorBidi" w:eastAsia="Times New Roman" w:hAnsiTheme="majorBidi" w:cstheme="majorBidi"/>
          <w:b/>
          <w:bCs/>
          <w:kern w:val="0"/>
          <w14:ligatures w14:val="none"/>
        </w:rPr>
      </w:pPr>
      <w:r w:rsidRPr="00CC6911">
        <w:rPr>
          <w:rFonts w:asciiTheme="majorBidi" w:eastAsia="Times New Roman" w:hAnsiTheme="majorBidi" w:cstheme="majorBidi"/>
          <w:b/>
          <w:bCs/>
          <w:kern w:val="0"/>
          <w14:ligatures w14:val="none"/>
        </w:rPr>
        <w:t>2.1</w:t>
      </w:r>
      <w:r w:rsidR="00D07683">
        <w:rPr>
          <w:rFonts w:asciiTheme="majorBidi" w:eastAsia="Times New Roman" w:hAnsiTheme="majorBidi" w:cstheme="majorBidi"/>
          <w:b/>
          <w:bCs/>
          <w:kern w:val="0"/>
          <w14:ligatures w14:val="none"/>
        </w:rPr>
        <w:t>.1</w:t>
      </w:r>
      <w:r w:rsidRPr="00CC6911">
        <w:rPr>
          <w:rFonts w:asciiTheme="majorBidi" w:eastAsia="Times New Roman" w:hAnsiTheme="majorBidi" w:cstheme="majorBidi"/>
          <w:b/>
          <w:bCs/>
          <w:kern w:val="0"/>
          <w14:ligatures w14:val="none"/>
        </w:rPr>
        <w:t xml:space="preserve">   Corporate Sustainability</w:t>
      </w:r>
    </w:p>
    <w:p w14:paraId="6603D9F0" w14:textId="356BEB42" w:rsidR="00D849AB" w:rsidRPr="00CC6911" w:rsidRDefault="00CC6911" w:rsidP="00CC6911">
      <w:pPr>
        <w:spacing w:after="100" w:afterAutospacing="1" w:line="360" w:lineRule="auto"/>
        <w:ind w:firstLine="720"/>
        <w:jc w:val="both"/>
        <w:rPr>
          <w:rFonts w:asciiTheme="majorBidi" w:hAnsiTheme="majorBidi" w:cstheme="majorBidi"/>
        </w:rPr>
      </w:pPr>
      <w:r w:rsidRPr="00CC6911">
        <w:rPr>
          <w:rFonts w:asciiTheme="majorBidi" w:hAnsiTheme="majorBidi" w:cstheme="majorBidi"/>
        </w:rPr>
        <w:t xml:space="preserve">Corporate sustainability is a multifaceted concept that has been defined in various ways by scholars and </w:t>
      </w:r>
      <w:proofErr w:type="spellStart"/>
      <w:r w:rsidRPr="00CC6911">
        <w:rPr>
          <w:rFonts w:asciiTheme="majorBidi" w:hAnsiTheme="majorBidi" w:cstheme="majorBidi"/>
        </w:rPr>
        <w:t>organisations</w:t>
      </w:r>
      <w:proofErr w:type="spellEnd"/>
      <w:r w:rsidRPr="00CC6911">
        <w:rPr>
          <w:rFonts w:asciiTheme="majorBidi" w:hAnsiTheme="majorBidi" w:cstheme="majorBidi"/>
        </w:rPr>
        <w:t xml:space="preserve">. According to Gutterman (2022), corporate sustainability involves integrating environmental, social, and economic considerations into a company's operations and decision-making processes to achieve long-term value creation. The </w:t>
      </w:r>
      <w:proofErr w:type="spellStart"/>
      <w:r w:rsidRPr="00CC6911">
        <w:rPr>
          <w:rFonts w:asciiTheme="majorBidi" w:hAnsiTheme="majorBidi" w:cstheme="majorBidi"/>
        </w:rPr>
        <w:t>Organisation</w:t>
      </w:r>
      <w:proofErr w:type="spellEnd"/>
      <w:r w:rsidRPr="00CC6911">
        <w:rPr>
          <w:rFonts w:asciiTheme="majorBidi" w:hAnsiTheme="majorBidi" w:cstheme="majorBidi"/>
        </w:rPr>
        <w:t xml:space="preserve"> for Economic Co-operation and Development (OECD</w:t>
      </w:r>
      <w:r w:rsidR="006E05CC">
        <w:rPr>
          <w:rFonts w:asciiTheme="majorBidi" w:hAnsiTheme="majorBidi" w:cstheme="majorBidi"/>
        </w:rPr>
        <w:t xml:space="preserve">, </w:t>
      </w:r>
      <w:r w:rsidRPr="00CC6911">
        <w:rPr>
          <w:rFonts w:asciiTheme="majorBidi" w:hAnsiTheme="majorBidi" w:cstheme="majorBidi"/>
        </w:rPr>
        <w:t>2023) defines corporate sustainability as the integration of environmental and social considerations into a company's business strategy and operations, fostering sound governance and decision-making. A study by Ahmad et al. (2023) describes corporate sustainability performance as a company's ability to operate in a manner that upholds ecological integrity, social well-being, and sound governance principles, while simultaneously generating value for its shareholders. According to Amini and Bienstock (2014), corporate sustainability is an integrative framework that evaluates corporate practices and guides academic research, encompassing environmental, social, and economic performance dimensions. Montiel and Delgado-Ceballos (2014) define</w:t>
      </w:r>
      <w:r w:rsidR="00C6265D">
        <w:rPr>
          <w:rFonts w:asciiTheme="majorBidi" w:hAnsiTheme="majorBidi" w:cstheme="majorBidi"/>
        </w:rPr>
        <w:t>d</w:t>
      </w:r>
      <w:r w:rsidRPr="00CC6911">
        <w:rPr>
          <w:rFonts w:asciiTheme="majorBidi" w:hAnsiTheme="majorBidi" w:cstheme="majorBidi"/>
        </w:rPr>
        <w:t xml:space="preserve"> corporate sustainability as a management approach that seeks to achieve long-term shareholder value by embracing opportunities and managing risks derived from economic, environmental, and social developments.</w:t>
      </w:r>
    </w:p>
    <w:p w14:paraId="1D763145" w14:textId="44B40F3C" w:rsidR="00305CBA" w:rsidRPr="002B589E" w:rsidRDefault="00D07683" w:rsidP="00334B46">
      <w:pPr>
        <w:spacing w:after="0" w:line="360" w:lineRule="auto"/>
        <w:jc w:val="both"/>
        <w:rPr>
          <w:rFonts w:ascii="Times New Roman" w:eastAsia="Times New Roman" w:hAnsi="Times New Roman" w:cs="Times New Roman"/>
          <w:b/>
          <w:bCs/>
          <w:kern w:val="0"/>
          <w14:ligatures w14:val="none"/>
        </w:rPr>
      </w:pPr>
      <w:r w:rsidRPr="002B589E">
        <w:rPr>
          <w:rFonts w:ascii="Times New Roman" w:eastAsia="Times New Roman" w:hAnsi="Times New Roman" w:cs="Times New Roman"/>
          <w:b/>
          <w:bCs/>
          <w:kern w:val="0"/>
          <w14:ligatures w14:val="none"/>
        </w:rPr>
        <w:lastRenderedPageBreak/>
        <w:t>2.1.2     Non-Traditional Financial Disclosure</w:t>
      </w:r>
    </w:p>
    <w:p w14:paraId="725E8170" w14:textId="773CDAE6" w:rsidR="006E597E" w:rsidRDefault="006E597E" w:rsidP="006E597E">
      <w:pPr>
        <w:spacing w:after="100" w:afterAutospacing="1" w:line="360" w:lineRule="auto"/>
        <w:ind w:firstLine="720"/>
        <w:jc w:val="both"/>
        <w:rPr>
          <w:rFonts w:asciiTheme="majorBidi" w:hAnsiTheme="majorBidi" w:cstheme="majorBidi"/>
        </w:rPr>
      </w:pPr>
      <w:r w:rsidRPr="006E597E">
        <w:rPr>
          <w:rStyle w:val="relative"/>
          <w:rFonts w:asciiTheme="majorBidi" w:hAnsiTheme="majorBidi" w:cstheme="majorBidi"/>
        </w:rPr>
        <w:t>Non-traditional financial disclosures refer to the reporting of information beyond conventional financial statements, encompassing areas such as environmental, social, and governance (ESG) factors, risk management practices, and other qualitative aspects that influence a company's long-term value creation</w:t>
      </w:r>
      <w:r w:rsidR="00334B46">
        <w:rPr>
          <w:rStyle w:val="relative"/>
          <w:rFonts w:asciiTheme="majorBidi" w:hAnsiTheme="majorBidi" w:cstheme="majorBidi"/>
        </w:rPr>
        <w:t xml:space="preserve"> (Abdullah &amp; Mohammad, 2022; Lawal et al., 2024)</w:t>
      </w:r>
      <w:r w:rsidRPr="006E597E">
        <w:rPr>
          <w:rStyle w:val="relative"/>
          <w:rFonts w:asciiTheme="majorBidi" w:hAnsiTheme="majorBidi" w:cstheme="majorBidi"/>
        </w:rPr>
        <w:t>.</w:t>
      </w:r>
      <w:r w:rsidRPr="006E597E">
        <w:rPr>
          <w:rFonts w:asciiTheme="majorBidi" w:hAnsiTheme="majorBidi" w:cstheme="majorBidi"/>
        </w:rPr>
        <w:t xml:space="preserve"> </w:t>
      </w:r>
      <w:r w:rsidRPr="006E597E">
        <w:rPr>
          <w:rStyle w:val="relative"/>
          <w:rFonts w:asciiTheme="majorBidi" w:hAnsiTheme="majorBidi" w:cstheme="majorBidi"/>
        </w:rPr>
        <w:t xml:space="preserve">These disclosures provide stakeholders with a comprehensive view of an </w:t>
      </w:r>
      <w:proofErr w:type="spellStart"/>
      <w:r w:rsidR="00237C59">
        <w:rPr>
          <w:rStyle w:val="relative"/>
          <w:rFonts w:asciiTheme="majorBidi" w:hAnsiTheme="majorBidi" w:cstheme="majorBidi"/>
        </w:rPr>
        <w:t>organisation's</w:t>
      </w:r>
      <w:proofErr w:type="spellEnd"/>
      <w:r w:rsidRPr="006E597E">
        <w:rPr>
          <w:rStyle w:val="relative"/>
          <w:rFonts w:asciiTheme="majorBidi" w:hAnsiTheme="majorBidi" w:cstheme="majorBidi"/>
        </w:rPr>
        <w:t xml:space="preserve"> performance and strategic direction. </w:t>
      </w:r>
      <w:r w:rsidRPr="006E597E">
        <w:rPr>
          <w:rFonts w:asciiTheme="majorBidi" w:hAnsiTheme="majorBidi" w:cstheme="majorBidi"/>
        </w:rPr>
        <w:t>Non-financial reporting is defined as a type of disclosure not based on typical financial data. Nevertheless, it provides stakeholders with an understanding of significant areas of value creation within a company that goes far beyond financial statements</w:t>
      </w:r>
      <w:r w:rsidR="00334B46">
        <w:rPr>
          <w:rFonts w:asciiTheme="majorBidi" w:hAnsiTheme="majorBidi" w:cstheme="majorBidi"/>
        </w:rPr>
        <w:t xml:space="preserve"> (Al-Shammari &amp; Al-Ansari, 2023)</w:t>
      </w:r>
      <w:r w:rsidRPr="006E597E">
        <w:rPr>
          <w:rFonts w:asciiTheme="majorBidi" w:hAnsiTheme="majorBidi" w:cstheme="majorBidi"/>
        </w:rPr>
        <w:t xml:space="preserve">. Non-financial disclosure is defined as the diffusion of financial, social, and environmental information as part of the dialogue between a firm and its stakeholders. Non-financial reporting describes the way an </w:t>
      </w:r>
      <w:proofErr w:type="spellStart"/>
      <w:r w:rsidR="00237C59">
        <w:rPr>
          <w:rFonts w:asciiTheme="majorBidi" w:hAnsiTheme="majorBidi" w:cstheme="majorBidi"/>
        </w:rPr>
        <w:t>organisation</w:t>
      </w:r>
      <w:proofErr w:type="spellEnd"/>
      <w:r w:rsidRPr="006E597E">
        <w:rPr>
          <w:rFonts w:asciiTheme="majorBidi" w:hAnsiTheme="majorBidi" w:cstheme="majorBidi"/>
        </w:rPr>
        <w:t xml:space="preserve"> deals with key themes that can have an impact on its operations, including a financial impact</w:t>
      </w:r>
      <w:r w:rsidR="00334B46">
        <w:rPr>
          <w:rFonts w:asciiTheme="majorBidi" w:hAnsiTheme="majorBidi" w:cstheme="majorBidi"/>
        </w:rPr>
        <w:t xml:space="preserve"> (</w:t>
      </w:r>
      <w:proofErr w:type="spellStart"/>
      <w:r w:rsidR="00334B46">
        <w:rPr>
          <w:rFonts w:asciiTheme="majorBidi" w:hAnsiTheme="majorBidi" w:cstheme="majorBidi"/>
        </w:rPr>
        <w:t>Dagunduro</w:t>
      </w:r>
      <w:proofErr w:type="spellEnd"/>
      <w:r w:rsidR="00334B46">
        <w:rPr>
          <w:rFonts w:asciiTheme="majorBidi" w:hAnsiTheme="majorBidi" w:cstheme="majorBidi"/>
        </w:rPr>
        <w:t xml:space="preserve"> et al., 2024)</w:t>
      </w:r>
      <w:r w:rsidRPr="006E597E">
        <w:rPr>
          <w:rFonts w:asciiTheme="majorBidi" w:hAnsiTheme="majorBidi" w:cstheme="majorBidi"/>
        </w:rPr>
        <w:t>. Non-financial disclosures have always played a secondary role compared to financial disclosures, which have continuously been considered the most critical reporting tool for representing a company’s dynamics</w:t>
      </w:r>
      <w:r w:rsidR="00334B46">
        <w:rPr>
          <w:rFonts w:asciiTheme="majorBidi" w:hAnsiTheme="majorBidi" w:cstheme="majorBidi"/>
        </w:rPr>
        <w:t xml:space="preserve"> (VillaCampa-Porta et al., 2025)</w:t>
      </w:r>
      <w:r w:rsidRPr="006E597E">
        <w:rPr>
          <w:rFonts w:asciiTheme="majorBidi" w:hAnsiTheme="majorBidi" w:cstheme="majorBidi"/>
        </w:rPr>
        <w:t>. Non-financial disclosures help investors understand the nature of the securities of affiliates that have been pledged as collateral by the issuer and the underlying collateral arrangements.</w:t>
      </w:r>
    </w:p>
    <w:p w14:paraId="58C768AE" w14:textId="77777777" w:rsidR="00880590" w:rsidRPr="00880590" w:rsidRDefault="00880590" w:rsidP="00ED1D7C">
      <w:pPr>
        <w:pStyle w:val="ListParagraph"/>
        <w:numPr>
          <w:ilvl w:val="3"/>
          <w:numId w:val="6"/>
        </w:numPr>
        <w:spacing w:after="0" w:line="360" w:lineRule="auto"/>
        <w:jc w:val="both"/>
        <w:rPr>
          <w:rFonts w:asciiTheme="majorBidi" w:hAnsiTheme="majorBidi" w:cstheme="majorBidi"/>
          <w:b/>
          <w:bCs/>
        </w:rPr>
      </w:pPr>
      <w:r w:rsidRPr="00880590">
        <w:rPr>
          <w:rFonts w:asciiTheme="majorBidi" w:hAnsiTheme="majorBidi" w:cstheme="majorBidi"/>
          <w:b/>
          <w:bCs/>
        </w:rPr>
        <w:t>Environmental Information Disclosure</w:t>
      </w:r>
    </w:p>
    <w:p w14:paraId="464BC7C7" w14:textId="0A2177C0" w:rsidR="00880590" w:rsidRPr="00880590" w:rsidRDefault="00880590" w:rsidP="00601ECB">
      <w:pPr>
        <w:spacing w:line="360" w:lineRule="auto"/>
        <w:ind w:firstLine="720"/>
        <w:jc w:val="both"/>
        <w:rPr>
          <w:rFonts w:asciiTheme="majorBidi" w:hAnsiTheme="majorBidi" w:cstheme="majorBidi"/>
        </w:rPr>
      </w:pPr>
      <w:r>
        <w:rPr>
          <w:rFonts w:asciiTheme="majorBidi" w:hAnsiTheme="majorBidi" w:cstheme="majorBidi"/>
        </w:rPr>
        <w:t>Hou et al. (2024) described e</w:t>
      </w:r>
      <w:r w:rsidRPr="00880590">
        <w:rPr>
          <w:rFonts w:asciiTheme="majorBidi" w:hAnsiTheme="majorBidi" w:cstheme="majorBidi"/>
        </w:rPr>
        <w:t xml:space="preserve">nvironmental information disclosure (EID) </w:t>
      </w:r>
      <w:r>
        <w:rPr>
          <w:rFonts w:asciiTheme="majorBidi" w:hAnsiTheme="majorBidi" w:cstheme="majorBidi"/>
        </w:rPr>
        <w:t>as</w:t>
      </w:r>
      <w:r w:rsidRPr="00880590">
        <w:rPr>
          <w:rFonts w:asciiTheme="majorBidi" w:hAnsiTheme="majorBidi" w:cstheme="majorBidi"/>
        </w:rPr>
        <w:t xml:space="preserve"> the practice of corporations providing detailed, transparent reports regarding their environmental impacts, policies, and practices. This disclosure aims to provide stakeholders with a clearer understanding of the company’s environmental footprint and sustainability efforts.</w:t>
      </w:r>
      <w:r>
        <w:rPr>
          <w:rFonts w:asciiTheme="majorBidi" w:hAnsiTheme="majorBidi" w:cstheme="majorBidi"/>
        </w:rPr>
        <w:t xml:space="preserve"> According to Liao et al. (2024)</w:t>
      </w:r>
      <w:r w:rsidR="004D659B">
        <w:rPr>
          <w:rFonts w:asciiTheme="majorBidi" w:hAnsiTheme="majorBidi" w:cstheme="majorBidi"/>
        </w:rPr>
        <w:t>,</w:t>
      </w:r>
      <w:r>
        <w:rPr>
          <w:rFonts w:asciiTheme="majorBidi" w:hAnsiTheme="majorBidi" w:cstheme="majorBidi"/>
        </w:rPr>
        <w:t xml:space="preserve"> </w:t>
      </w:r>
      <w:r w:rsidRPr="00880590">
        <w:rPr>
          <w:rFonts w:asciiTheme="majorBidi" w:hAnsiTheme="majorBidi" w:cstheme="majorBidi"/>
        </w:rPr>
        <w:t>environmental information disclosure involves the voluntary or mandatory sharing of environmental performance data by firms, allowing stakeholders (e.g., investors, regulators, and consumers) to evaluate the company’s sustainability practices and corporate social responsibility (CSR) commitments. Environmental information disclosure reflects a corporation’s commitment to sustainability by voluntarily releasing data on energy consumption, carbon emissions, and waste management, which serves as an indicator of its environmental responsibility (</w:t>
      </w:r>
      <w:proofErr w:type="spellStart"/>
      <w:r w:rsidRPr="00880590">
        <w:rPr>
          <w:rFonts w:asciiTheme="majorBidi" w:hAnsiTheme="majorBidi" w:cstheme="majorBidi"/>
        </w:rPr>
        <w:t>Dagunduro</w:t>
      </w:r>
      <w:proofErr w:type="spellEnd"/>
      <w:r w:rsidRPr="00880590">
        <w:rPr>
          <w:rFonts w:asciiTheme="majorBidi" w:hAnsiTheme="majorBidi" w:cstheme="majorBidi"/>
        </w:rPr>
        <w:t xml:space="preserve"> et al., 2024). </w:t>
      </w:r>
      <w:r w:rsidR="00601ECB">
        <w:rPr>
          <w:rFonts w:asciiTheme="majorBidi" w:hAnsiTheme="majorBidi" w:cstheme="majorBidi"/>
        </w:rPr>
        <w:t xml:space="preserve"> </w:t>
      </w:r>
      <w:r w:rsidRPr="00880590">
        <w:rPr>
          <w:rFonts w:asciiTheme="majorBidi" w:hAnsiTheme="majorBidi" w:cstheme="majorBidi"/>
        </w:rPr>
        <w:t xml:space="preserve">Environmental information disclosure is integral to sustainability reporting frameworks </w:t>
      </w:r>
      <w:r w:rsidRPr="00880590">
        <w:rPr>
          <w:rFonts w:asciiTheme="majorBidi" w:hAnsiTheme="majorBidi" w:cstheme="majorBidi"/>
        </w:rPr>
        <w:lastRenderedPageBreak/>
        <w:t>like the Global Reporting Initiative (GRI), requiring firms to disclose their environmental practices, risks, and performance metrics, thereby ensuring compliance with international standards (</w:t>
      </w:r>
      <w:proofErr w:type="spellStart"/>
      <w:r w:rsidR="00601ECB">
        <w:rPr>
          <w:rFonts w:asciiTheme="majorBidi" w:hAnsiTheme="majorBidi" w:cstheme="majorBidi"/>
        </w:rPr>
        <w:t>Asubiojo</w:t>
      </w:r>
      <w:proofErr w:type="spellEnd"/>
      <w:r w:rsidR="00601ECB">
        <w:rPr>
          <w:rFonts w:asciiTheme="majorBidi" w:hAnsiTheme="majorBidi" w:cstheme="majorBidi"/>
        </w:rPr>
        <w:t xml:space="preserve"> et al., 2023; Kolawole et al., 2023</w:t>
      </w:r>
      <w:r w:rsidRPr="00880590">
        <w:rPr>
          <w:rFonts w:asciiTheme="majorBidi" w:hAnsiTheme="majorBidi" w:cstheme="majorBidi"/>
        </w:rPr>
        <w:t xml:space="preserve">). </w:t>
      </w:r>
    </w:p>
    <w:p w14:paraId="643C061E" w14:textId="77777777" w:rsidR="00880590" w:rsidRPr="00880590" w:rsidRDefault="00880590" w:rsidP="00880590">
      <w:pPr>
        <w:pStyle w:val="ListParagraph"/>
        <w:numPr>
          <w:ilvl w:val="3"/>
          <w:numId w:val="6"/>
        </w:numPr>
        <w:spacing w:line="360" w:lineRule="auto"/>
        <w:jc w:val="both"/>
        <w:rPr>
          <w:rFonts w:asciiTheme="majorBidi" w:hAnsiTheme="majorBidi" w:cstheme="majorBidi"/>
          <w:b/>
          <w:bCs/>
        </w:rPr>
      </w:pPr>
      <w:r w:rsidRPr="00880590">
        <w:rPr>
          <w:rFonts w:asciiTheme="majorBidi" w:hAnsiTheme="majorBidi" w:cstheme="majorBidi"/>
          <w:b/>
          <w:bCs/>
        </w:rPr>
        <w:t>Social Information Disclosure</w:t>
      </w:r>
    </w:p>
    <w:p w14:paraId="68A2E120" w14:textId="161DEB04" w:rsidR="00880590" w:rsidRPr="00880590" w:rsidRDefault="00880590" w:rsidP="00565B21">
      <w:pPr>
        <w:spacing w:line="360" w:lineRule="auto"/>
        <w:ind w:firstLine="720"/>
        <w:jc w:val="both"/>
        <w:rPr>
          <w:rFonts w:asciiTheme="majorBidi" w:hAnsiTheme="majorBidi" w:cstheme="majorBidi"/>
        </w:rPr>
      </w:pPr>
      <w:r w:rsidRPr="00880590">
        <w:rPr>
          <w:rFonts w:asciiTheme="majorBidi" w:hAnsiTheme="majorBidi" w:cstheme="majorBidi"/>
        </w:rPr>
        <w:t>Social information disclosure (SID) refers to the practice of corporations sharing non-financial information about their social, environmental, and ethical practices with stakeholders, aiming to foster transparency and accountability in business operations (</w:t>
      </w:r>
      <w:proofErr w:type="spellStart"/>
      <w:r w:rsidR="00F6465E">
        <w:rPr>
          <w:rFonts w:asciiTheme="majorBidi" w:hAnsiTheme="majorBidi" w:cstheme="majorBidi"/>
        </w:rPr>
        <w:t>Dagunduro</w:t>
      </w:r>
      <w:proofErr w:type="spellEnd"/>
      <w:r w:rsidRPr="00880590">
        <w:rPr>
          <w:rFonts w:asciiTheme="majorBidi" w:hAnsiTheme="majorBidi" w:cstheme="majorBidi"/>
        </w:rPr>
        <w:t xml:space="preserve"> et al., 202</w:t>
      </w:r>
      <w:r w:rsidR="00F6465E">
        <w:rPr>
          <w:rFonts w:asciiTheme="majorBidi" w:hAnsiTheme="majorBidi" w:cstheme="majorBidi"/>
        </w:rPr>
        <w:t>2; Narula et al., 2024</w:t>
      </w:r>
      <w:r w:rsidRPr="00880590">
        <w:rPr>
          <w:rFonts w:asciiTheme="majorBidi" w:hAnsiTheme="majorBidi" w:cstheme="majorBidi"/>
        </w:rPr>
        <w:t xml:space="preserve">). Social information disclosure is the communication of a company’s actions, policies, and impacts on societal issues such as human rights,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practices, community engagement, and ethical governance, aimed at building trust with stakeholders (</w:t>
      </w:r>
      <w:r w:rsidR="00F6465E">
        <w:rPr>
          <w:rFonts w:asciiTheme="majorBidi" w:hAnsiTheme="majorBidi" w:cstheme="majorBidi"/>
        </w:rPr>
        <w:t>Boluwaji</w:t>
      </w:r>
      <w:r w:rsidRPr="00880590">
        <w:rPr>
          <w:rFonts w:asciiTheme="majorBidi" w:hAnsiTheme="majorBidi" w:cstheme="majorBidi"/>
        </w:rPr>
        <w:t xml:space="preserve"> et al., 202</w:t>
      </w:r>
      <w:r w:rsidR="00F6465E">
        <w:rPr>
          <w:rFonts w:asciiTheme="majorBidi" w:hAnsiTheme="majorBidi" w:cstheme="majorBidi"/>
        </w:rPr>
        <w:t xml:space="preserve">4; </w:t>
      </w:r>
      <w:proofErr w:type="spellStart"/>
      <w:r w:rsidR="00F6465E">
        <w:rPr>
          <w:rFonts w:asciiTheme="majorBidi" w:hAnsiTheme="majorBidi" w:cstheme="majorBidi"/>
        </w:rPr>
        <w:t>Cicchiello</w:t>
      </w:r>
      <w:proofErr w:type="spellEnd"/>
      <w:r w:rsidR="00F6465E">
        <w:rPr>
          <w:rFonts w:asciiTheme="majorBidi" w:hAnsiTheme="majorBidi" w:cstheme="majorBidi"/>
        </w:rPr>
        <w:t xml:space="preserve"> et al., 2023</w:t>
      </w:r>
      <w:r w:rsidRPr="00880590">
        <w:rPr>
          <w:rFonts w:asciiTheme="majorBidi" w:hAnsiTheme="majorBidi" w:cstheme="majorBidi"/>
        </w:rPr>
        <w:t xml:space="preserve">). Social information disclosure encompasses the voluntary release of information by firms about their involvement in socially responsible activities, including contributions to societal well-being, sustainability practices, and adherence to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standards (</w:t>
      </w:r>
      <w:proofErr w:type="spellStart"/>
      <w:r w:rsidRPr="00880590">
        <w:rPr>
          <w:rFonts w:asciiTheme="majorBidi" w:hAnsiTheme="majorBidi" w:cstheme="majorBidi"/>
        </w:rPr>
        <w:t>Li</w:t>
      </w:r>
      <w:r w:rsidR="00F6465E">
        <w:rPr>
          <w:rFonts w:asciiTheme="majorBidi" w:hAnsiTheme="majorBidi" w:cstheme="majorBidi"/>
        </w:rPr>
        <w:t>an</w:t>
      </w:r>
      <w:proofErr w:type="spellEnd"/>
      <w:r w:rsidRPr="00880590">
        <w:rPr>
          <w:rFonts w:asciiTheme="majorBidi" w:hAnsiTheme="majorBidi" w:cstheme="majorBidi"/>
        </w:rPr>
        <w:t xml:space="preserve"> et al., 202</w:t>
      </w:r>
      <w:r w:rsidR="00F6465E">
        <w:rPr>
          <w:rFonts w:asciiTheme="majorBidi" w:hAnsiTheme="majorBidi" w:cstheme="majorBidi"/>
        </w:rPr>
        <w:t>4</w:t>
      </w:r>
      <w:r w:rsidRPr="00880590">
        <w:rPr>
          <w:rFonts w:asciiTheme="majorBidi" w:hAnsiTheme="majorBidi" w:cstheme="majorBidi"/>
        </w:rPr>
        <w:t xml:space="preserve">). Social information disclosure involves the publication of information regarding a company's societal and environmental engagements, focusing on ethical </w:t>
      </w:r>
      <w:proofErr w:type="spellStart"/>
      <w:r w:rsidR="00237C59">
        <w:rPr>
          <w:rFonts w:asciiTheme="majorBidi" w:hAnsiTheme="majorBidi" w:cstheme="majorBidi"/>
        </w:rPr>
        <w:t>labour</w:t>
      </w:r>
      <w:proofErr w:type="spellEnd"/>
      <w:r w:rsidRPr="00880590">
        <w:rPr>
          <w:rFonts w:asciiTheme="majorBidi" w:hAnsiTheme="majorBidi" w:cstheme="majorBidi"/>
        </w:rPr>
        <w:t xml:space="preserve"> practices, diversity initiatives, and environmental stewardship as part of corporate social responsibility (CSR) (</w:t>
      </w:r>
      <w:r w:rsidR="00565B21">
        <w:rPr>
          <w:rFonts w:asciiTheme="majorBidi" w:hAnsiTheme="majorBidi" w:cstheme="majorBidi"/>
        </w:rPr>
        <w:t>Dada et al.</w:t>
      </w:r>
      <w:r w:rsidRPr="00880590">
        <w:rPr>
          <w:rFonts w:asciiTheme="majorBidi" w:hAnsiTheme="majorBidi" w:cstheme="majorBidi"/>
        </w:rPr>
        <w:t>, 2023</w:t>
      </w:r>
      <w:r w:rsidR="00565B21">
        <w:rPr>
          <w:rFonts w:asciiTheme="majorBidi" w:hAnsiTheme="majorBidi" w:cstheme="majorBidi"/>
        </w:rPr>
        <w:t>; Hu et al., 2025</w:t>
      </w:r>
      <w:r w:rsidRPr="00880590">
        <w:rPr>
          <w:rFonts w:asciiTheme="majorBidi" w:hAnsiTheme="majorBidi" w:cstheme="majorBidi"/>
        </w:rPr>
        <w:t xml:space="preserve">). </w:t>
      </w:r>
    </w:p>
    <w:p w14:paraId="4BA37DA8" w14:textId="77777777" w:rsidR="00880590" w:rsidRPr="00880590" w:rsidRDefault="00880590" w:rsidP="00880590">
      <w:pPr>
        <w:pStyle w:val="ListParagraph"/>
        <w:numPr>
          <w:ilvl w:val="3"/>
          <w:numId w:val="6"/>
        </w:numPr>
        <w:spacing w:line="360" w:lineRule="auto"/>
        <w:jc w:val="both"/>
        <w:rPr>
          <w:rFonts w:asciiTheme="majorBidi" w:hAnsiTheme="majorBidi" w:cstheme="majorBidi"/>
          <w:b/>
          <w:bCs/>
        </w:rPr>
      </w:pPr>
      <w:r w:rsidRPr="00880590">
        <w:rPr>
          <w:rFonts w:asciiTheme="majorBidi" w:hAnsiTheme="majorBidi" w:cstheme="majorBidi"/>
          <w:b/>
          <w:bCs/>
        </w:rPr>
        <w:t>Governance Information Disclosure</w:t>
      </w:r>
    </w:p>
    <w:p w14:paraId="191B2A69" w14:textId="1261F557" w:rsidR="00427564" w:rsidRDefault="00565B21" w:rsidP="00427564">
      <w:pPr>
        <w:spacing w:line="360" w:lineRule="auto"/>
        <w:ind w:firstLine="720"/>
        <w:jc w:val="both"/>
        <w:rPr>
          <w:rFonts w:asciiTheme="majorBidi" w:hAnsiTheme="majorBidi" w:cstheme="majorBidi"/>
        </w:rPr>
      </w:pPr>
      <w:r>
        <w:rPr>
          <w:rFonts w:asciiTheme="majorBidi" w:hAnsiTheme="majorBidi" w:cstheme="majorBidi"/>
        </w:rPr>
        <w:t xml:space="preserve">According to </w:t>
      </w:r>
      <w:proofErr w:type="spellStart"/>
      <w:r>
        <w:rPr>
          <w:rFonts w:asciiTheme="majorBidi" w:hAnsiTheme="majorBidi" w:cstheme="majorBidi"/>
        </w:rPr>
        <w:t>Dagunduro</w:t>
      </w:r>
      <w:proofErr w:type="spellEnd"/>
      <w:r>
        <w:rPr>
          <w:rFonts w:asciiTheme="majorBidi" w:hAnsiTheme="majorBidi" w:cstheme="majorBidi"/>
        </w:rPr>
        <w:t xml:space="preserve"> et al. (2024)</w:t>
      </w:r>
      <w:r w:rsidR="00237C59">
        <w:rPr>
          <w:rFonts w:asciiTheme="majorBidi" w:hAnsiTheme="majorBidi" w:cstheme="majorBidi"/>
        </w:rPr>
        <w:t>,</w:t>
      </w:r>
      <w:r>
        <w:rPr>
          <w:rFonts w:asciiTheme="majorBidi" w:hAnsiTheme="majorBidi" w:cstheme="majorBidi"/>
        </w:rPr>
        <w:t xml:space="preserve"> governance information disclosure r</w:t>
      </w:r>
      <w:r w:rsidR="00880590" w:rsidRPr="00880590">
        <w:rPr>
          <w:rFonts w:asciiTheme="majorBidi" w:hAnsiTheme="majorBidi" w:cstheme="majorBidi"/>
        </w:rPr>
        <w:t>efers to the process by which companies publicly disclose information about their governance structure, policies, and practices, including board composition, leadership, executive compensation, risk management, and internal controls. This disclosure is crucial for maintaining transparency and accountability to shareholders and stakeholders (</w:t>
      </w:r>
      <w:r w:rsidR="00302857">
        <w:rPr>
          <w:rFonts w:asciiTheme="majorBidi" w:hAnsiTheme="majorBidi" w:cstheme="majorBidi"/>
        </w:rPr>
        <w:t>Lawal</w:t>
      </w:r>
      <w:r w:rsidR="00880590" w:rsidRPr="00880590">
        <w:rPr>
          <w:rFonts w:asciiTheme="majorBidi" w:hAnsiTheme="majorBidi" w:cstheme="majorBidi"/>
        </w:rPr>
        <w:t xml:space="preserve"> et al., 202</w:t>
      </w:r>
      <w:r w:rsidR="00302857">
        <w:rPr>
          <w:rFonts w:asciiTheme="majorBidi" w:hAnsiTheme="majorBidi" w:cstheme="majorBidi"/>
        </w:rPr>
        <w:t>4</w:t>
      </w:r>
      <w:r w:rsidR="00880590" w:rsidRPr="00880590">
        <w:rPr>
          <w:rFonts w:asciiTheme="majorBidi" w:hAnsiTheme="majorBidi" w:cstheme="majorBidi"/>
        </w:rPr>
        <w:t xml:space="preserve">). </w:t>
      </w:r>
      <w:r w:rsidR="00302857">
        <w:rPr>
          <w:rFonts w:asciiTheme="majorBidi" w:hAnsiTheme="majorBidi" w:cstheme="majorBidi"/>
        </w:rPr>
        <w:t>G</w:t>
      </w:r>
      <w:r>
        <w:rPr>
          <w:rFonts w:asciiTheme="majorBidi" w:hAnsiTheme="majorBidi" w:cstheme="majorBidi"/>
        </w:rPr>
        <w:t>overnance information disclosure</w:t>
      </w:r>
      <w:r w:rsidR="00880590" w:rsidRPr="00880590">
        <w:rPr>
          <w:rFonts w:asciiTheme="majorBidi" w:hAnsiTheme="majorBidi" w:cstheme="majorBidi"/>
        </w:rPr>
        <w:t xml:space="preserve"> encompasses the information related to the mechanisms by which corporate governance is </w:t>
      </w:r>
      <w:proofErr w:type="spellStart"/>
      <w:r w:rsidR="00237C59">
        <w:rPr>
          <w:rFonts w:asciiTheme="majorBidi" w:hAnsiTheme="majorBidi" w:cstheme="majorBidi"/>
        </w:rPr>
        <w:t>practised</w:t>
      </w:r>
      <w:proofErr w:type="spellEnd"/>
      <w:r w:rsidR="00880590" w:rsidRPr="00880590">
        <w:rPr>
          <w:rFonts w:asciiTheme="majorBidi" w:hAnsiTheme="majorBidi" w:cstheme="majorBidi"/>
        </w:rPr>
        <w:t xml:space="preserve"> within an </w:t>
      </w:r>
      <w:proofErr w:type="spellStart"/>
      <w:r w:rsidR="00880590" w:rsidRPr="00880590">
        <w:rPr>
          <w:rFonts w:asciiTheme="majorBidi" w:hAnsiTheme="majorBidi" w:cstheme="majorBidi"/>
        </w:rPr>
        <w:t>organi</w:t>
      </w:r>
      <w:r w:rsidR="00302857">
        <w:rPr>
          <w:rFonts w:asciiTheme="majorBidi" w:hAnsiTheme="majorBidi" w:cstheme="majorBidi"/>
        </w:rPr>
        <w:t>s</w:t>
      </w:r>
      <w:r w:rsidR="00880590" w:rsidRPr="00880590">
        <w:rPr>
          <w:rFonts w:asciiTheme="majorBidi" w:hAnsiTheme="majorBidi" w:cstheme="majorBidi"/>
        </w:rPr>
        <w:t>ation</w:t>
      </w:r>
      <w:proofErr w:type="spellEnd"/>
      <w:r w:rsidR="00880590" w:rsidRPr="00880590">
        <w:rPr>
          <w:rFonts w:asciiTheme="majorBidi" w:hAnsiTheme="majorBidi" w:cstheme="majorBidi"/>
        </w:rPr>
        <w:t>. It includes disclosures related to the board of directors, committees, corporate policies, and the decision-making processes that ensure transparency, accountability, and integrity in management (</w:t>
      </w:r>
      <w:r w:rsidR="00302857">
        <w:rPr>
          <w:rFonts w:asciiTheme="majorBidi" w:hAnsiTheme="majorBidi" w:cstheme="majorBidi"/>
        </w:rPr>
        <w:t>Ali</w:t>
      </w:r>
      <w:r w:rsidR="00880590" w:rsidRPr="00880590">
        <w:rPr>
          <w:rFonts w:asciiTheme="majorBidi" w:hAnsiTheme="majorBidi" w:cstheme="majorBidi"/>
        </w:rPr>
        <w:t xml:space="preserve"> et al., 2024). </w:t>
      </w:r>
      <w:r w:rsidR="00302857">
        <w:rPr>
          <w:rFonts w:asciiTheme="majorBidi" w:hAnsiTheme="majorBidi" w:cstheme="majorBidi"/>
        </w:rPr>
        <w:t>Governance information disclosure</w:t>
      </w:r>
      <w:r w:rsidR="00880590" w:rsidRPr="00880590">
        <w:rPr>
          <w:rFonts w:asciiTheme="majorBidi" w:hAnsiTheme="majorBidi" w:cstheme="majorBidi"/>
        </w:rPr>
        <w:t xml:space="preserve"> involves the reporting of practices, decisions, and strategies in corporate governance, aimed at ensuring stakeholders have access to relevant and accurate information about the governance </w:t>
      </w:r>
      <w:r w:rsidR="00880590" w:rsidRPr="00880590">
        <w:rPr>
          <w:rFonts w:asciiTheme="majorBidi" w:hAnsiTheme="majorBidi" w:cstheme="majorBidi"/>
        </w:rPr>
        <w:lastRenderedPageBreak/>
        <w:t>structure and its operations</w:t>
      </w:r>
      <w:r w:rsidR="00302857">
        <w:rPr>
          <w:rFonts w:asciiTheme="majorBidi" w:hAnsiTheme="majorBidi" w:cstheme="majorBidi"/>
        </w:rPr>
        <w:t xml:space="preserve"> (Boluwaji et al., 2024)</w:t>
      </w:r>
      <w:r w:rsidR="00880590" w:rsidRPr="00880590">
        <w:rPr>
          <w:rFonts w:asciiTheme="majorBidi" w:hAnsiTheme="majorBidi" w:cstheme="majorBidi"/>
        </w:rPr>
        <w:t>. It serves as a tool for mitigating information asymmetry between company management and external parties (</w:t>
      </w:r>
      <w:r w:rsidR="00302857">
        <w:rPr>
          <w:rFonts w:asciiTheme="majorBidi" w:hAnsiTheme="majorBidi" w:cstheme="majorBidi"/>
        </w:rPr>
        <w:t>Dada et al.</w:t>
      </w:r>
      <w:r w:rsidR="00880590" w:rsidRPr="00880590">
        <w:rPr>
          <w:rFonts w:asciiTheme="majorBidi" w:hAnsiTheme="majorBidi" w:cstheme="majorBidi"/>
        </w:rPr>
        <w:t>, 202</w:t>
      </w:r>
      <w:r w:rsidR="00302857">
        <w:rPr>
          <w:rFonts w:asciiTheme="majorBidi" w:hAnsiTheme="majorBidi" w:cstheme="majorBidi"/>
        </w:rPr>
        <w:t>3</w:t>
      </w:r>
      <w:r w:rsidR="00880590" w:rsidRPr="00880590">
        <w:rPr>
          <w:rFonts w:asciiTheme="majorBidi" w:hAnsiTheme="majorBidi" w:cstheme="majorBidi"/>
        </w:rPr>
        <w:t xml:space="preserve">). </w:t>
      </w:r>
    </w:p>
    <w:p w14:paraId="28ED9105" w14:textId="1E4B20B9" w:rsidR="00427564" w:rsidRPr="00427564" w:rsidRDefault="00427564" w:rsidP="00427564">
      <w:pPr>
        <w:spacing w:line="360" w:lineRule="auto"/>
        <w:jc w:val="both"/>
        <w:rPr>
          <w:rFonts w:asciiTheme="majorBidi" w:hAnsiTheme="majorBidi" w:cstheme="majorBidi"/>
          <w:b/>
          <w:bCs/>
        </w:rPr>
      </w:pPr>
      <w:r w:rsidRPr="00427564">
        <w:rPr>
          <w:rFonts w:asciiTheme="majorBidi" w:hAnsiTheme="majorBidi" w:cstheme="majorBidi"/>
          <w:b/>
          <w:bCs/>
        </w:rPr>
        <w:t xml:space="preserve">2.2 </w:t>
      </w:r>
      <w:r>
        <w:rPr>
          <w:rFonts w:asciiTheme="majorBidi" w:hAnsiTheme="majorBidi" w:cstheme="majorBidi"/>
          <w:b/>
          <w:bCs/>
        </w:rPr>
        <w:t xml:space="preserve">      </w:t>
      </w:r>
      <w:r w:rsidRPr="00427564">
        <w:rPr>
          <w:rFonts w:asciiTheme="majorBidi" w:hAnsiTheme="majorBidi" w:cstheme="majorBidi"/>
          <w:b/>
          <w:bCs/>
        </w:rPr>
        <w:t>Theoretical Framework</w:t>
      </w:r>
    </w:p>
    <w:p w14:paraId="753CFBB1" w14:textId="2CD83288" w:rsidR="0047287C" w:rsidRPr="0047287C" w:rsidRDefault="00427564" w:rsidP="0047287C">
      <w:pPr>
        <w:spacing w:line="360" w:lineRule="auto"/>
        <w:ind w:firstLine="720"/>
        <w:jc w:val="both"/>
        <w:rPr>
          <w:rFonts w:asciiTheme="majorBidi" w:hAnsiTheme="majorBidi" w:cstheme="majorBidi"/>
        </w:rPr>
      </w:pPr>
      <w:r w:rsidRPr="0047287C">
        <w:rPr>
          <w:rFonts w:asciiTheme="majorBidi" w:hAnsiTheme="majorBidi" w:cstheme="majorBidi"/>
        </w:rPr>
        <w:t xml:space="preserve">This study was </w:t>
      </w:r>
      <w:r w:rsidR="00237C59">
        <w:rPr>
          <w:rFonts w:asciiTheme="majorBidi" w:hAnsiTheme="majorBidi" w:cstheme="majorBidi"/>
        </w:rPr>
        <w:t>based</w:t>
      </w:r>
      <w:r w:rsidRPr="0047287C">
        <w:rPr>
          <w:rFonts w:asciiTheme="majorBidi" w:hAnsiTheme="majorBidi" w:cstheme="majorBidi"/>
        </w:rPr>
        <w:t xml:space="preserve"> on stakeholder theory</w:t>
      </w:r>
      <w:r w:rsidR="00237C59">
        <w:rPr>
          <w:rFonts w:asciiTheme="majorBidi" w:hAnsiTheme="majorBidi" w:cstheme="majorBidi"/>
        </w:rPr>
        <w:t>,</w:t>
      </w:r>
      <w:r w:rsidRPr="0047287C">
        <w:rPr>
          <w:rFonts w:asciiTheme="majorBidi" w:hAnsiTheme="majorBidi" w:cstheme="majorBidi"/>
        </w:rPr>
        <w:t xml:space="preserve"> which was developed in 1984 by Professor </w:t>
      </w:r>
      <w:r w:rsidR="00237C59">
        <w:rPr>
          <w:rFonts w:asciiTheme="majorBidi" w:hAnsiTheme="majorBidi" w:cstheme="majorBidi"/>
        </w:rPr>
        <w:t>Edward</w:t>
      </w:r>
      <w:r w:rsidRPr="0047287C">
        <w:rPr>
          <w:rFonts w:asciiTheme="majorBidi" w:hAnsiTheme="majorBidi" w:cstheme="majorBidi"/>
        </w:rPr>
        <w:t xml:space="preserve"> Freeman. Stakeholder theory (Freeman, 1984) </w:t>
      </w:r>
      <w:proofErr w:type="spellStart"/>
      <w:r w:rsidR="00237C59">
        <w:rPr>
          <w:rFonts w:asciiTheme="majorBidi" w:hAnsiTheme="majorBidi" w:cstheme="majorBidi"/>
        </w:rPr>
        <w:t>emphasises</w:t>
      </w:r>
      <w:proofErr w:type="spellEnd"/>
      <w:r w:rsidRPr="0047287C">
        <w:rPr>
          <w:rFonts w:asciiTheme="majorBidi" w:hAnsiTheme="majorBidi" w:cstheme="majorBidi"/>
        </w:rPr>
        <w:t xml:space="preserve"> that corporations have responsibilities beyond shareholders and must address the interests of various stakeholders, including employees, customers, suppliers, regulators, and communities. In high-risk sectors, non-traditional financial disclosures such as environmental, social, and governance (ESG) reports help build trust and transparency, enhancing corporate sustainability by addressing stakeholder concerns (Donaldson &amp; Preston, 1995). This theory supports the argument that companies operating in volatile environments must provide non-financial disclosures to maintain legitimacy and secure long-term support from stakeholders.</w:t>
      </w:r>
    </w:p>
    <w:p w14:paraId="5A7E0E12" w14:textId="207FA14F" w:rsidR="0047287C" w:rsidRPr="0047287C" w:rsidRDefault="0047287C" w:rsidP="0047287C">
      <w:pPr>
        <w:spacing w:line="360" w:lineRule="auto"/>
        <w:ind w:firstLine="720"/>
        <w:jc w:val="both"/>
        <w:rPr>
          <w:rFonts w:asciiTheme="majorBidi" w:hAnsiTheme="majorBidi" w:cstheme="majorBidi"/>
        </w:rPr>
      </w:pPr>
      <w:r w:rsidRPr="0047287C">
        <w:rPr>
          <w:rFonts w:asciiTheme="majorBidi" w:hAnsiTheme="majorBidi" w:cstheme="majorBidi"/>
        </w:rPr>
        <w:t xml:space="preserve">Recent studies have investigated the relationship between non-financial disclosure and corporate sustainability through the lens of stakeholder theory. For instance, Khan et al. (2023) examined how environmental, social, and governance (ESG) disclosures enhance corporate sustainability by fostering stakeholder trust and long-term value creation. Similarly, Zhang and Li (2022) investigated the role of sustainability reporting in high-risk industries, </w:t>
      </w:r>
      <w:proofErr w:type="spellStart"/>
      <w:r w:rsidR="00237C59">
        <w:rPr>
          <w:rFonts w:asciiTheme="majorBidi" w:hAnsiTheme="majorBidi" w:cstheme="majorBidi"/>
        </w:rPr>
        <w:t>emphasising</w:t>
      </w:r>
      <w:proofErr w:type="spellEnd"/>
      <w:r w:rsidRPr="0047287C">
        <w:rPr>
          <w:rFonts w:asciiTheme="majorBidi" w:hAnsiTheme="majorBidi" w:cstheme="majorBidi"/>
        </w:rPr>
        <w:t xml:space="preserve"> that transparent non-financial disclosures strengthen stakeholder engagement and corporate resilience. Moreover, Al-Dahash and Hassan (2023) highlighted that firms adopting comprehensive non-financial disclosure practices, guided by stakeholder expectations, tend to achieve greater sustainability performance, particularly in sectors facing regulatory and reputational risks. In Nigeria, </w:t>
      </w:r>
      <w:r w:rsidR="00237C59">
        <w:rPr>
          <w:rFonts w:asciiTheme="majorBidi" w:hAnsiTheme="majorBidi" w:cstheme="majorBidi"/>
        </w:rPr>
        <w:t xml:space="preserve">a </w:t>
      </w:r>
      <w:r w:rsidRPr="0047287C">
        <w:rPr>
          <w:rFonts w:asciiTheme="majorBidi" w:hAnsiTheme="majorBidi" w:cstheme="majorBidi"/>
        </w:rPr>
        <w:t xml:space="preserve">study conducted by </w:t>
      </w:r>
      <w:proofErr w:type="spellStart"/>
      <w:r w:rsidRPr="0047287C">
        <w:rPr>
          <w:rFonts w:asciiTheme="majorBidi" w:hAnsiTheme="majorBidi" w:cstheme="majorBidi"/>
        </w:rPr>
        <w:t>Dagunduro</w:t>
      </w:r>
      <w:proofErr w:type="spellEnd"/>
      <w:r w:rsidRPr="0047287C">
        <w:rPr>
          <w:rFonts w:asciiTheme="majorBidi" w:hAnsiTheme="majorBidi" w:cstheme="majorBidi"/>
        </w:rPr>
        <w:t xml:space="preserve"> et al. (2024)</w:t>
      </w:r>
      <w:r w:rsidR="00237C59">
        <w:rPr>
          <w:rFonts w:asciiTheme="majorBidi" w:hAnsiTheme="majorBidi" w:cstheme="majorBidi"/>
        </w:rPr>
        <w:t>,</w:t>
      </w:r>
      <w:r w:rsidRPr="0047287C">
        <w:rPr>
          <w:rFonts w:asciiTheme="majorBidi" w:hAnsiTheme="majorBidi" w:cstheme="majorBidi"/>
        </w:rPr>
        <w:t xml:space="preserve"> which evaluated the effect of non-financial disclosure on </w:t>
      </w:r>
      <w:r w:rsidR="00237C59">
        <w:rPr>
          <w:rFonts w:asciiTheme="majorBidi" w:hAnsiTheme="majorBidi" w:cstheme="majorBidi"/>
        </w:rPr>
        <w:t xml:space="preserve">the </w:t>
      </w:r>
      <w:r w:rsidRPr="0047287C">
        <w:rPr>
          <w:rFonts w:asciiTheme="majorBidi" w:hAnsiTheme="majorBidi" w:cstheme="majorBidi"/>
        </w:rPr>
        <w:t>firm performance of listed consumer goods firms in Nigeria</w:t>
      </w:r>
      <w:r w:rsidR="00237C59">
        <w:rPr>
          <w:rFonts w:asciiTheme="majorBidi" w:hAnsiTheme="majorBidi" w:cstheme="majorBidi"/>
        </w:rPr>
        <w:t>,</w:t>
      </w:r>
      <w:r w:rsidRPr="0047287C">
        <w:rPr>
          <w:rFonts w:asciiTheme="majorBidi" w:hAnsiTheme="majorBidi" w:cstheme="majorBidi"/>
        </w:rPr>
        <w:t xml:space="preserve"> was rooted in stakeholder theory. These studies reinforce the argument that stakeholder theory provides a robust framework for understanding how corporate sustainability is influenced by non-traditional financial disclosures.</w:t>
      </w:r>
    </w:p>
    <w:p w14:paraId="79B7F964" w14:textId="77777777" w:rsidR="0047287C" w:rsidRPr="0047287C" w:rsidRDefault="0047287C" w:rsidP="0047287C">
      <w:pPr>
        <w:spacing w:line="360" w:lineRule="auto"/>
        <w:ind w:firstLine="720"/>
        <w:jc w:val="both"/>
        <w:rPr>
          <w:rFonts w:asciiTheme="majorBidi" w:hAnsiTheme="majorBidi" w:cstheme="majorBidi"/>
        </w:rPr>
      </w:pPr>
      <w:r w:rsidRPr="0047287C">
        <w:rPr>
          <w:rFonts w:asciiTheme="majorBidi" w:hAnsiTheme="majorBidi" w:cstheme="majorBidi"/>
        </w:rPr>
        <w:t xml:space="preserve">Stakeholder theory posits that corporations must account for the interests of all stakeholders, including employees, customers, regulators, and communities, rather than focusing solely on shareholders (Freeman et al., 2020). This perspective is particularly relevant to non-financial disclosure and corporate sustainability, as companies are increasingly required to disclose </w:t>
      </w:r>
      <w:r w:rsidRPr="0047287C">
        <w:rPr>
          <w:rFonts w:asciiTheme="majorBidi" w:hAnsiTheme="majorBidi" w:cstheme="majorBidi"/>
        </w:rPr>
        <w:lastRenderedPageBreak/>
        <w:t>environmental, social, and governance (ESG) information to build trust and maintain legitimacy (Donaldson &amp; Preston, 1995; Eccles et al., 2022). In high-risk sectors, such as oil and gas or mining, non-traditional financial disclosures help mitigate reputational risks and enhance transparency, ensuring long-term corporate sustainability (Michelon et al., 2015). Additionally, stakeholder engagement through sustainability reporting fosters accountability and responsiveness, leading to improved decision-making and competitive advantage (Harrison &amp; Wicks, 2013).</w:t>
      </w:r>
    </w:p>
    <w:p w14:paraId="7A3768BA" w14:textId="5792C83C" w:rsidR="00C649E5" w:rsidRDefault="0047287C" w:rsidP="006D66A2">
      <w:pPr>
        <w:spacing w:line="360" w:lineRule="auto"/>
        <w:ind w:firstLine="720"/>
        <w:jc w:val="both"/>
        <w:rPr>
          <w:rFonts w:asciiTheme="majorBidi" w:hAnsiTheme="majorBidi" w:cstheme="majorBidi"/>
        </w:rPr>
      </w:pPr>
      <w:r w:rsidRPr="0047287C">
        <w:rPr>
          <w:rFonts w:asciiTheme="majorBidi" w:hAnsiTheme="majorBidi" w:cstheme="majorBidi"/>
        </w:rPr>
        <w:t xml:space="preserve">Despite its broad applicability, stakeholder theory faces several critiques, particularly in the context of non-financial disclosure and corporate sustainability. First, the theory is often </w:t>
      </w:r>
      <w:proofErr w:type="spellStart"/>
      <w:r w:rsidR="00237C59">
        <w:rPr>
          <w:rFonts w:asciiTheme="majorBidi" w:hAnsiTheme="majorBidi" w:cstheme="majorBidi"/>
        </w:rPr>
        <w:t>criticised</w:t>
      </w:r>
      <w:proofErr w:type="spellEnd"/>
      <w:r w:rsidRPr="0047287C">
        <w:rPr>
          <w:rFonts w:asciiTheme="majorBidi" w:hAnsiTheme="majorBidi" w:cstheme="majorBidi"/>
        </w:rPr>
        <w:t xml:space="preserve"> for its lack of a clear framework to balance conflicting stakeholder interests, which can lead to inefficiencies in decision-making (Jensen, 2002). Second, scholars argue that it fails to provide concrete mechanisms for enforcing stakeholder-oriented practices, leaving sustainability initiatives largely voluntary and inconsistent across industries (Miles, 2017). Lastly, some researchers contend that stakeholder theory </w:t>
      </w:r>
      <w:proofErr w:type="spellStart"/>
      <w:r w:rsidR="00237C59">
        <w:rPr>
          <w:rFonts w:asciiTheme="majorBidi" w:hAnsiTheme="majorBidi" w:cstheme="majorBidi"/>
        </w:rPr>
        <w:t>overemphasises</w:t>
      </w:r>
      <w:proofErr w:type="spellEnd"/>
      <w:r w:rsidRPr="0047287C">
        <w:rPr>
          <w:rFonts w:asciiTheme="majorBidi" w:hAnsiTheme="majorBidi" w:cstheme="majorBidi"/>
        </w:rPr>
        <w:t xml:space="preserve"> ethical considerations while neglecting the economic realities that drive corporate </w:t>
      </w:r>
      <w:proofErr w:type="spellStart"/>
      <w:r w:rsidR="00237C59">
        <w:rPr>
          <w:rFonts w:asciiTheme="majorBidi" w:hAnsiTheme="majorBidi" w:cstheme="majorBidi"/>
        </w:rPr>
        <w:t>behaviour</w:t>
      </w:r>
      <w:proofErr w:type="spellEnd"/>
      <w:r w:rsidRPr="0047287C">
        <w:rPr>
          <w:rFonts w:asciiTheme="majorBidi" w:hAnsiTheme="majorBidi" w:cstheme="majorBidi"/>
        </w:rPr>
        <w:t>, potentially reducing firm profitability in highly competitive markets (Parmar et al., 2010). These critiques highlight the challenges of integrating stakeholder-driven non-financial disclosures into corporate strategies while maintaining financial sustainability.</w:t>
      </w:r>
    </w:p>
    <w:p w14:paraId="7726F7B3" w14:textId="149DEC97" w:rsidR="00460122" w:rsidRPr="00C649E5" w:rsidRDefault="00460122" w:rsidP="00C649E5">
      <w:pPr>
        <w:spacing w:after="0" w:line="360" w:lineRule="auto"/>
        <w:jc w:val="both"/>
        <w:rPr>
          <w:rFonts w:asciiTheme="majorBidi" w:hAnsiTheme="majorBidi" w:cstheme="majorBidi"/>
          <w:b/>
          <w:bCs/>
        </w:rPr>
      </w:pPr>
      <w:r w:rsidRPr="00C649E5">
        <w:rPr>
          <w:rFonts w:asciiTheme="majorBidi" w:hAnsiTheme="majorBidi" w:cstheme="majorBidi"/>
          <w:b/>
          <w:bCs/>
        </w:rPr>
        <w:t>2.3</w:t>
      </w:r>
      <w:r w:rsidR="00C649E5">
        <w:rPr>
          <w:rFonts w:asciiTheme="majorBidi" w:hAnsiTheme="majorBidi" w:cstheme="majorBidi"/>
          <w:b/>
          <w:bCs/>
        </w:rPr>
        <w:t xml:space="preserve">       </w:t>
      </w:r>
      <w:r w:rsidRPr="00C649E5">
        <w:rPr>
          <w:rFonts w:asciiTheme="majorBidi" w:hAnsiTheme="majorBidi" w:cstheme="majorBidi"/>
          <w:b/>
          <w:bCs/>
        </w:rPr>
        <w:t>Non-Traditional Financial Disclosures and Corporate Sustainability</w:t>
      </w:r>
    </w:p>
    <w:p w14:paraId="71D97484" w14:textId="39706D3C" w:rsidR="00C649E5" w:rsidRPr="00C649E5" w:rsidRDefault="00460122" w:rsidP="00C649E5">
      <w:pPr>
        <w:spacing w:line="360" w:lineRule="auto"/>
        <w:ind w:firstLine="720"/>
        <w:jc w:val="both"/>
        <w:rPr>
          <w:rFonts w:asciiTheme="majorBidi" w:hAnsiTheme="majorBidi" w:cstheme="majorBidi"/>
        </w:rPr>
      </w:pPr>
      <w:r w:rsidRPr="00C649E5">
        <w:rPr>
          <w:rFonts w:asciiTheme="majorBidi" w:hAnsiTheme="majorBidi" w:cstheme="majorBidi"/>
        </w:rPr>
        <w:t>The reviewed studies collectively highlight the significance of non-traditional financial disclosures, particularly environmental</w:t>
      </w:r>
      <w:r w:rsidR="00C649E5" w:rsidRPr="00C649E5">
        <w:rPr>
          <w:rFonts w:asciiTheme="majorBidi" w:hAnsiTheme="majorBidi" w:cstheme="majorBidi"/>
        </w:rPr>
        <w:t>, social, and governance</w:t>
      </w:r>
      <w:r w:rsidRPr="00C649E5">
        <w:rPr>
          <w:rFonts w:asciiTheme="majorBidi" w:hAnsiTheme="majorBidi" w:cstheme="majorBidi"/>
        </w:rPr>
        <w:t xml:space="preserve"> </w:t>
      </w:r>
      <w:r w:rsidR="00C649E5" w:rsidRPr="00C649E5">
        <w:rPr>
          <w:rFonts w:asciiTheme="majorBidi" w:hAnsiTheme="majorBidi" w:cstheme="majorBidi"/>
        </w:rPr>
        <w:t xml:space="preserve">information </w:t>
      </w:r>
      <w:r w:rsidRPr="00C649E5">
        <w:rPr>
          <w:rFonts w:asciiTheme="majorBidi" w:hAnsiTheme="majorBidi" w:cstheme="majorBidi"/>
        </w:rPr>
        <w:t xml:space="preserve">disclosure, in shaping corporate performance, green finance, and innovation. Hu et al. (2025) demonstrated that environmental disclosures positively impact corporate green total factor productivity (GTFP) by easing financing constraints and fostering green innovation, with stronger effects observed in smaller and younger firms. Similarly, Hou et al. (2024) extended this argument by showing that environmental disclosures enhance regional green finance development and improve green capital </w:t>
      </w:r>
      <w:proofErr w:type="spellStart"/>
      <w:r w:rsidR="00237C59">
        <w:rPr>
          <w:rFonts w:asciiTheme="majorBidi" w:hAnsiTheme="majorBidi" w:cstheme="majorBidi"/>
        </w:rPr>
        <w:t>utilisation</w:t>
      </w:r>
      <w:proofErr w:type="spellEnd"/>
      <w:r w:rsidRPr="00C649E5">
        <w:rPr>
          <w:rFonts w:asciiTheme="majorBidi" w:hAnsiTheme="majorBidi" w:cstheme="majorBidi"/>
        </w:rPr>
        <w:t xml:space="preserve">, particularly in areas with stricter regulations. Liao et al. (2024) further explored how environmental disclosures promote corporate growth through eco-product and eco-process innovations, highlighting the role of media attention in reinforcing these effects. On a different note,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focused on non-financial disclosures in the banking sector, revealing that </w:t>
      </w:r>
      <w:r w:rsidRPr="00C649E5">
        <w:rPr>
          <w:rFonts w:asciiTheme="majorBidi" w:hAnsiTheme="majorBidi" w:cstheme="majorBidi"/>
        </w:rPr>
        <w:lastRenderedPageBreak/>
        <w:t>economic performance influences sustainability reporting, rather than the other way around, and applied machine learning as an innovative approach to disclosure analysis.</w:t>
      </w:r>
    </w:p>
    <w:p w14:paraId="36B15ECF" w14:textId="53552A6B" w:rsidR="00C649E5" w:rsidRPr="00C649E5" w:rsidRDefault="00C649E5" w:rsidP="00C649E5">
      <w:pPr>
        <w:spacing w:line="360" w:lineRule="auto"/>
        <w:ind w:firstLine="720"/>
        <w:jc w:val="both"/>
        <w:rPr>
          <w:rFonts w:asciiTheme="majorBidi" w:hAnsiTheme="majorBidi" w:cstheme="majorBidi"/>
        </w:rPr>
      </w:pPr>
      <w:proofErr w:type="spellStart"/>
      <w:r w:rsidRPr="00C649E5">
        <w:rPr>
          <w:rFonts w:asciiTheme="majorBidi" w:eastAsia="Times New Roman" w:hAnsiTheme="majorBidi" w:cstheme="majorBidi"/>
          <w:kern w:val="0"/>
          <w:lang w:val="fr-FR"/>
          <w14:ligatures w14:val="none"/>
        </w:rPr>
        <w:t>Narula</w:t>
      </w:r>
      <w:proofErr w:type="spellEnd"/>
      <w:r w:rsidRPr="00C649E5">
        <w:rPr>
          <w:rFonts w:asciiTheme="majorBidi" w:eastAsia="Times New Roman" w:hAnsiTheme="majorBidi" w:cstheme="majorBidi"/>
          <w:kern w:val="0"/>
          <w:lang w:val="fr-FR"/>
          <w14:ligatures w14:val="none"/>
        </w:rPr>
        <w:t xml:space="preserve"> et al. (2024) and </w:t>
      </w:r>
      <w:proofErr w:type="spellStart"/>
      <w:r w:rsidRPr="00C649E5">
        <w:rPr>
          <w:rFonts w:asciiTheme="majorBidi" w:eastAsia="Times New Roman" w:hAnsiTheme="majorBidi" w:cstheme="majorBidi"/>
          <w:kern w:val="0"/>
          <w:lang w:val="fr-FR"/>
          <w14:ligatures w14:val="none"/>
        </w:rPr>
        <w:t>Agarwala</w:t>
      </w:r>
      <w:proofErr w:type="spellEnd"/>
      <w:r w:rsidRPr="00C649E5">
        <w:rPr>
          <w:rFonts w:asciiTheme="majorBidi" w:eastAsia="Times New Roman" w:hAnsiTheme="majorBidi" w:cstheme="majorBidi"/>
          <w:kern w:val="0"/>
          <w:lang w:val="fr-FR"/>
          <w14:ligatures w14:val="none"/>
        </w:rPr>
        <w:t xml:space="preserve"> et al. </w:t>
      </w:r>
      <w:r w:rsidRPr="00C649E5">
        <w:rPr>
          <w:rFonts w:asciiTheme="majorBidi" w:eastAsia="Times New Roman" w:hAnsiTheme="majorBidi" w:cstheme="majorBidi"/>
          <w:kern w:val="0"/>
          <w14:ligatures w14:val="none"/>
        </w:rPr>
        <w:t xml:space="preserve">(2024) focused on ESG disclosure in Indian firms, finding mixed effects on firm performance. While Narula et al. (2024) found no significant relationship between ESG components and performance, Agarwala et al. (2024) discovered that ESG disclosures positively influenced market performance, with a U-shaped relationship between environmental disclosures and market outcomes. These studies highlight the evolving nature of ESG disclosures and their complex interactions with financial metrics, but they do not specifically address high-risk sectors like oil, gas, and mining, nor do they </w:t>
      </w:r>
      <w:r>
        <w:rPr>
          <w:rFonts w:asciiTheme="majorBidi" w:eastAsia="Times New Roman" w:hAnsiTheme="majorBidi" w:cstheme="majorBidi"/>
          <w:kern w:val="0"/>
          <w14:ligatures w14:val="none"/>
        </w:rPr>
        <w:t>assess</w:t>
      </w:r>
      <w:r w:rsidRPr="00C649E5">
        <w:rPr>
          <w:rFonts w:asciiTheme="majorBidi" w:eastAsia="Times New Roman" w:hAnsiTheme="majorBidi" w:cstheme="majorBidi"/>
          <w:kern w:val="0"/>
          <w14:ligatures w14:val="none"/>
        </w:rPr>
        <w:t xml:space="preserve"> the contextual differences in an unstable economic environment such as Iraq’s.</w:t>
      </w:r>
    </w:p>
    <w:p w14:paraId="38418E4A" w14:textId="394F99B4" w:rsidR="00C649E5" w:rsidRPr="00C649E5" w:rsidRDefault="00C649E5" w:rsidP="00C649E5">
      <w:pPr>
        <w:spacing w:line="360" w:lineRule="auto"/>
        <w:ind w:firstLine="720"/>
        <w:jc w:val="both"/>
        <w:rPr>
          <w:rFonts w:asciiTheme="majorBidi" w:hAnsiTheme="majorBidi" w:cstheme="majorBidi"/>
        </w:rPr>
      </w:pPr>
      <w:r w:rsidRPr="00C649E5">
        <w:rPr>
          <w:rFonts w:asciiTheme="majorBidi" w:eastAsia="Times New Roman" w:hAnsiTheme="majorBidi" w:cstheme="majorBidi"/>
          <w:kern w:val="0"/>
          <w14:ligatures w14:val="none"/>
        </w:rPr>
        <w:t>Similarly, Agyemang et al. (2024) examined environmental accounting disclosures in mining firms and found that such disclosures positively correlated with return on equity and liquidity measures but had an insignificant impact on return on assets. Th</w:t>
      </w:r>
      <w:r w:rsidR="004551B8">
        <w:rPr>
          <w:rFonts w:asciiTheme="majorBidi" w:eastAsia="Times New Roman" w:hAnsiTheme="majorBidi" w:cstheme="majorBidi"/>
          <w:kern w:val="0"/>
          <w14:ligatures w14:val="none"/>
        </w:rPr>
        <w:t>e</w:t>
      </w:r>
      <w:r w:rsidRPr="00C649E5">
        <w:rPr>
          <w:rFonts w:asciiTheme="majorBidi" w:eastAsia="Times New Roman" w:hAnsiTheme="majorBidi" w:cstheme="majorBidi"/>
          <w:kern w:val="0"/>
          <w14:ligatures w14:val="none"/>
        </w:rPr>
        <w:t xml:space="preserve"> study </w:t>
      </w:r>
      <w:r w:rsidR="004551B8">
        <w:rPr>
          <w:rFonts w:asciiTheme="majorBidi" w:eastAsia="Times New Roman" w:hAnsiTheme="majorBidi" w:cstheme="majorBidi"/>
          <w:kern w:val="0"/>
          <w14:ligatures w14:val="none"/>
        </w:rPr>
        <w:t>showed that</w:t>
      </w:r>
      <w:r w:rsidRPr="00C649E5">
        <w:rPr>
          <w:rFonts w:asciiTheme="majorBidi" w:eastAsia="Times New Roman" w:hAnsiTheme="majorBidi" w:cstheme="majorBidi"/>
          <w:kern w:val="0"/>
          <w14:ligatures w14:val="none"/>
        </w:rPr>
        <w:t xml:space="preserve"> </w:t>
      </w:r>
      <w:r w:rsidR="00237C59">
        <w:rPr>
          <w:rFonts w:asciiTheme="majorBidi" w:eastAsia="Times New Roman" w:hAnsiTheme="majorBidi" w:cstheme="majorBidi"/>
          <w:kern w:val="0"/>
          <w14:ligatures w14:val="none"/>
        </w:rPr>
        <w:t xml:space="preserve">the </w:t>
      </w:r>
      <w:r w:rsidRPr="00C649E5">
        <w:rPr>
          <w:rFonts w:asciiTheme="majorBidi" w:eastAsia="Times New Roman" w:hAnsiTheme="majorBidi" w:cstheme="majorBidi"/>
          <w:kern w:val="0"/>
          <w14:ligatures w14:val="none"/>
        </w:rPr>
        <w:t>financial relevance of environmental disclosures in high-risk sectors, yet it does not e</w:t>
      </w:r>
      <w:r w:rsidR="004551B8">
        <w:rPr>
          <w:rFonts w:asciiTheme="majorBidi" w:eastAsia="Times New Roman" w:hAnsiTheme="majorBidi" w:cstheme="majorBidi"/>
          <w:kern w:val="0"/>
          <w14:ligatures w14:val="none"/>
        </w:rPr>
        <w:t>valuate</w:t>
      </w:r>
      <w:r w:rsidRPr="00C649E5">
        <w:rPr>
          <w:rFonts w:asciiTheme="majorBidi" w:eastAsia="Times New Roman" w:hAnsiTheme="majorBidi" w:cstheme="majorBidi"/>
          <w:kern w:val="0"/>
          <w14:ligatures w14:val="none"/>
        </w:rPr>
        <w:t xml:space="preserve"> how broader sustainability metrics beyond financial performance are affected by these disclosures. </w:t>
      </w:r>
      <w:proofErr w:type="spellStart"/>
      <w:r w:rsidRPr="00C649E5">
        <w:rPr>
          <w:rFonts w:asciiTheme="majorBidi" w:eastAsia="Times New Roman" w:hAnsiTheme="majorBidi" w:cstheme="majorBidi"/>
          <w:kern w:val="0"/>
          <w14:ligatures w14:val="none"/>
        </w:rPr>
        <w:t>Cicchiello</w:t>
      </w:r>
      <w:proofErr w:type="spellEnd"/>
      <w:r w:rsidRPr="00C649E5">
        <w:rPr>
          <w:rFonts w:asciiTheme="majorBidi" w:eastAsia="Times New Roman" w:hAnsiTheme="majorBidi" w:cstheme="majorBidi"/>
          <w:kern w:val="0"/>
          <w14:ligatures w14:val="none"/>
        </w:rPr>
        <w:t xml:space="preserve"> et al. (2023) extended the discussion by investigating the impact of the European Non-Financial Reporting Directive (NFRD) and found that regulatory mandates effectively enhanced ESG performance and transparency. However, their study primarily focused on the European context, leaving gaps in understanding how such regulations or their absence affect firms in developing economies and high-risk industries.</w:t>
      </w:r>
    </w:p>
    <w:p w14:paraId="724C8F02" w14:textId="2554A805" w:rsidR="00C649E5" w:rsidRPr="00C649E5" w:rsidRDefault="00C649E5" w:rsidP="00C649E5">
      <w:pPr>
        <w:spacing w:line="360" w:lineRule="auto"/>
        <w:ind w:firstLine="720"/>
        <w:jc w:val="both"/>
        <w:rPr>
          <w:rFonts w:asciiTheme="majorBidi" w:hAnsiTheme="majorBidi" w:cstheme="majorBidi"/>
        </w:rPr>
      </w:pPr>
      <w:r w:rsidRPr="00C649E5">
        <w:rPr>
          <w:rFonts w:asciiTheme="majorBidi" w:eastAsia="Times New Roman" w:hAnsiTheme="majorBidi" w:cstheme="majorBidi"/>
          <w:kern w:val="0"/>
          <w:lang w:val="fr-FR"/>
          <w14:ligatures w14:val="none"/>
        </w:rPr>
        <w:t xml:space="preserve">Liang et al. (2024) and Ali et al. </w:t>
      </w:r>
      <w:r w:rsidRPr="00C649E5">
        <w:rPr>
          <w:rFonts w:asciiTheme="majorBidi" w:eastAsia="Times New Roman" w:hAnsiTheme="majorBidi" w:cstheme="majorBidi"/>
          <w:kern w:val="0"/>
          <w14:ligatures w14:val="none"/>
        </w:rPr>
        <w:t>(2024) further explored the consequences of CSR disclosure mandates. Liang et al.</w:t>
      </w:r>
      <w:r w:rsidR="006E05CC">
        <w:rPr>
          <w:rFonts w:asciiTheme="majorBidi" w:eastAsia="Times New Roman" w:hAnsiTheme="majorBidi" w:cstheme="majorBidi"/>
          <w:kern w:val="0"/>
          <w14:ligatures w14:val="none"/>
        </w:rPr>
        <w:t xml:space="preserve"> (2024)</w:t>
      </w:r>
      <w:r w:rsidRPr="00C649E5">
        <w:rPr>
          <w:rFonts w:asciiTheme="majorBidi" w:eastAsia="Times New Roman" w:hAnsiTheme="majorBidi" w:cstheme="majorBidi"/>
          <w:kern w:val="0"/>
          <w14:ligatures w14:val="none"/>
        </w:rPr>
        <w:t xml:space="preserve"> found that mandatory CSR disclosures increased financial constraints in Chinese firms, particularly due to controlling shareholder expropriation, while Ali et al. identified a positive link between CSR disclosure and firm performance, which was further strengthened by ownership structure. These studies suggest that while non-traditional disclosures can enhance transparency and investor confidence, they may also introduce unintended financial burdens, particularly in regulatory environments with weak governance. However, they do not directly examine how such disclosures impact corporate sustainability in high-risk sectors, where operational uncertainties, regulatory volatility, and socio-environmental risks are more pronounced.</w:t>
      </w:r>
    </w:p>
    <w:p w14:paraId="7B5FCAEE" w14:textId="3510AF5B" w:rsidR="00C649E5" w:rsidRPr="00C649E5" w:rsidRDefault="00C649E5" w:rsidP="00C649E5">
      <w:pPr>
        <w:spacing w:line="360" w:lineRule="auto"/>
        <w:ind w:firstLine="720"/>
        <w:jc w:val="both"/>
        <w:rPr>
          <w:rFonts w:asciiTheme="majorBidi" w:hAnsiTheme="majorBidi" w:cstheme="majorBidi"/>
        </w:rPr>
      </w:pPr>
      <w:r w:rsidRPr="00C649E5">
        <w:rPr>
          <w:rFonts w:asciiTheme="majorBidi" w:hAnsiTheme="majorBidi" w:cstheme="majorBidi"/>
        </w:rPr>
        <w:lastRenderedPageBreak/>
        <w:t xml:space="preserve">Despite these valuable contributions, several research gaps remain, particularly concerning high-risk sectors in Iraq. First, while Hu et al. (2025), Hou et al. (2024), and Liao et al. (2024) primarily focused on environmental disclosures, their studies were limited to China and did not explore broader aspects of non-traditional financial disclosures, such as governance and risk disclosures.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contributed to this gap by examining non-financial reporting in the banking sector</w:t>
      </w:r>
      <w:r w:rsidR="00237C59">
        <w:rPr>
          <w:rFonts w:asciiTheme="majorBidi" w:hAnsiTheme="majorBidi" w:cstheme="majorBidi"/>
        </w:rPr>
        <w:t>,</w:t>
      </w:r>
      <w:r w:rsidRPr="00C649E5">
        <w:rPr>
          <w:rFonts w:asciiTheme="majorBidi" w:hAnsiTheme="majorBidi" w:cstheme="majorBidi"/>
        </w:rPr>
        <w:t xml:space="preserve"> but did not address industries with higher environmental and financial risks, such as oil and gas, construction, and heavy manufacturing sectors that are critical in Iraq. Furthermore, these studies did not consider the unique challenges of Iraq’s high-risk sectors, including regulatory inconsistencies, economic instability, and limited corporate transparency, which could influence the effectiveness of non-traditional financial disclosures on corporate sustainability.</w:t>
      </w:r>
    </w:p>
    <w:p w14:paraId="27440D92" w14:textId="7CC59041" w:rsidR="00C649E5" w:rsidRPr="00C649E5" w:rsidRDefault="00460122" w:rsidP="00C649E5">
      <w:pPr>
        <w:spacing w:line="360" w:lineRule="auto"/>
        <w:ind w:firstLine="720"/>
        <w:jc w:val="both"/>
        <w:rPr>
          <w:rFonts w:asciiTheme="majorBidi" w:hAnsiTheme="majorBidi" w:cstheme="majorBidi"/>
        </w:rPr>
      </w:pPr>
      <w:r w:rsidRPr="00C649E5">
        <w:rPr>
          <w:rFonts w:asciiTheme="majorBidi" w:hAnsiTheme="majorBidi" w:cstheme="majorBidi"/>
        </w:rPr>
        <w:t xml:space="preserve">Another key gap is the lack of </w:t>
      </w:r>
      <w:r w:rsidR="006E05CC" w:rsidRPr="00C649E5">
        <w:rPr>
          <w:rFonts w:asciiTheme="majorBidi" w:hAnsiTheme="majorBidi" w:cstheme="majorBidi"/>
        </w:rPr>
        <w:t>research</w:t>
      </w:r>
      <w:r w:rsidRPr="00C649E5">
        <w:rPr>
          <w:rFonts w:asciiTheme="majorBidi" w:hAnsiTheme="majorBidi" w:cstheme="majorBidi"/>
        </w:rPr>
        <w:t xml:space="preserve"> into how different types of non-traditional financial disclosures interact to influence corporate sustainability. While existing studies </w:t>
      </w:r>
      <w:proofErr w:type="spellStart"/>
      <w:r w:rsidR="00237C59">
        <w:rPr>
          <w:rFonts w:asciiTheme="majorBidi" w:hAnsiTheme="majorBidi" w:cstheme="majorBidi"/>
        </w:rPr>
        <w:t>emphasise</w:t>
      </w:r>
      <w:proofErr w:type="spellEnd"/>
      <w:r w:rsidRPr="00C649E5">
        <w:rPr>
          <w:rFonts w:asciiTheme="majorBidi" w:hAnsiTheme="majorBidi" w:cstheme="majorBidi"/>
        </w:rPr>
        <w:t xml:space="preserve"> environmental disclosures, the role of other disclosures</w:t>
      </w:r>
      <w:r w:rsidR="00237C59">
        <w:rPr>
          <w:rFonts w:asciiTheme="majorBidi" w:hAnsiTheme="majorBidi" w:cstheme="majorBidi"/>
        </w:rPr>
        <w:t xml:space="preserve">, </w:t>
      </w:r>
      <w:r w:rsidRPr="00C649E5">
        <w:rPr>
          <w:rFonts w:asciiTheme="majorBidi" w:hAnsiTheme="majorBidi" w:cstheme="majorBidi"/>
        </w:rPr>
        <w:t>such as corporate governance, risk reporting, and social responsibility</w:t>
      </w:r>
      <w:r w:rsidR="00237C59">
        <w:rPr>
          <w:rFonts w:asciiTheme="majorBidi" w:hAnsiTheme="majorBidi" w:cstheme="majorBidi"/>
        </w:rPr>
        <w:t>,</w:t>
      </w:r>
      <w:r w:rsidR="00C649E5" w:rsidRPr="00C649E5">
        <w:rPr>
          <w:rFonts w:asciiTheme="majorBidi" w:hAnsiTheme="majorBidi" w:cstheme="majorBidi"/>
        </w:rPr>
        <w:t xml:space="preserve"> </w:t>
      </w:r>
      <w:r w:rsidRPr="00C649E5">
        <w:rPr>
          <w:rFonts w:asciiTheme="majorBidi" w:hAnsiTheme="majorBidi" w:cstheme="majorBidi"/>
        </w:rPr>
        <w:t xml:space="preserve">remains underexplored, particularly in regions with weak regulatory frameworks. Moreover, </w:t>
      </w:r>
      <w:proofErr w:type="spellStart"/>
      <w:r w:rsidRPr="00C649E5">
        <w:rPr>
          <w:rFonts w:asciiTheme="majorBidi" w:hAnsiTheme="majorBidi" w:cstheme="majorBidi"/>
        </w:rPr>
        <w:t>Baldissera</w:t>
      </w:r>
      <w:proofErr w:type="spellEnd"/>
      <w:r w:rsidRPr="00C649E5">
        <w:rPr>
          <w:rFonts w:asciiTheme="majorBidi" w:hAnsiTheme="majorBidi" w:cstheme="majorBidi"/>
        </w:rPr>
        <w:t xml:space="preserve"> (2022) introduced machine learning as a novel analytical tool for disclosure analysis, yet none of the studies applied advanced methodologies to assess the impact of non-traditional financial disclosures holistically on corporate sustainability in high-risk environments. This suggests a need for research incorporating a multidimensional approach to disclosure and sustainability measurement, particularly in Iraq, where data availability and transparency remain significant concerns.</w:t>
      </w:r>
    </w:p>
    <w:p w14:paraId="0A448D45" w14:textId="70ECFFB3" w:rsidR="00460122" w:rsidRDefault="00460122" w:rsidP="00C649E5">
      <w:pPr>
        <w:spacing w:line="360" w:lineRule="auto"/>
        <w:ind w:firstLine="720"/>
        <w:jc w:val="both"/>
        <w:rPr>
          <w:rFonts w:asciiTheme="majorBidi" w:hAnsiTheme="majorBidi" w:cstheme="majorBidi"/>
        </w:rPr>
      </w:pPr>
      <w:r w:rsidRPr="00C649E5">
        <w:rPr>
          <w:rFonts w:asciiTheme="majorBidi" w:hAnsiTheme="majorBidi" w:cstheme="majorBidi"/>
        </w:rPr>
        <w:t>Addressing these gaps, future research could explore how non-traditional financial disclosures</w:t>
      </w:r>
      <w:r w:rsidR="00C649E5" w:rsidRPr="00C649E5">
        <w:rPr>
          <w:rFonts w:asciiTheme="majorBidi" w:hAnsiTheme="majorBidi" w:cstheme="majorBidi"/>
        </w:rPr>
        <w:t xml:space="preserve"> </w:t>
      </w:r>
      <w:r w:rsidRPr="00C649E5">
        <w:rPr>
          <w:rFonts w:asciiTheme="majorBidi" w:hAnsiTheme="majorBidi" w:cstheme="majorBidi"/>
        </w:rPr>
        <w:t>beyond just environmental reporting</w:t>
      </w:r>
      <w:r w:rsidR="00C649E5" w:rsidRPr="00C649E5">
        <w:rPr>
          <w:rFonts w:asciiTheme="majorBidi" w:hAnsiTheme="majorBidi" w:cstheme="majorBidi"/>
        </w:rPr>
        <w:t xml:space="preserve"> </w:t>
      </w:r>
      <w:r w:rsidRPr="00C649E5">
        <w:rPr>
          <w:rFonts w:asciiTheme="majorBidi" w:hAnsiTheme="majorBidi" w:cstheme="majorBidi"/>
        </w:rPr>
        <w:t>impact corporate sustainability in Iraq’s high-risk sectors. By incorporating governance and risk disclosures, this study would provide a more comprehensive view of how firms navigate sustainability challenges in a volatile economic and regulatory environment. Additionally, leveraging advanced analytical techniques, such as machine learning and big data analytics, could offer deeper insights into the effectiveness of these disclosures in driving corporate sustainability. This research would not only fill a contextual gap by focusing on Iraq but also contribute to the broader discourse on the role of non-traditional financial disclosures in enhancing corporate resilience and long-term sustainability in high-risk industries.</w:t>
      </w:r>
      <w:r w:rsidR="004551B8">
        <w:rPr>
          <w:rFonts w:asciiTheme="majorBidi" w:hAnsiTheme="majorBidi" w:cstheme="majorBidi"/>
        </w:rPr>
        <w:t xml:space="preserve"> Thus, this study </w:t>
      </w:r>
      <w:proofErr w:type="spellStart"/>
      <w:r w:rsidR="006E05CC">
        <w:rPr>
          <w:rFonts w:asciiTheme="majorBidi" w:hAnsiTheme="majorBidi" w:cstheme="majorBidi"/>
        </w:rPr>
        <w:t>hypothesised</w:t>
      </w:r>
      <w:proofErr w:type="spellEnd"/>
      <w:r w:rsidR="004551B8">
        <w:rPr>
          <w:rFonts w:asciiTheme="majorBidi" w:hAnsiTheme="majorBidi" w:cstheme="majorBidi"/>
        </w:rPr>
        <w:t xml:space="preserve"> that:</w:t>
      </w:r>
    </w:p>
    <w:p w14:paraId="2E7C84F1" w14:textId="5CB6A913" w:rsidR="004551B8" w:rsidRDefault="004551B8" w:rsidP="00C649E5">
      <w:pPr>
        <w:spacing w:line="360" w:lineRule="auto"/>
        <w:ind w:firstLine="720"/>
        <w:jc w:val="both"/>
        <w:rPr>
          <w:rFonts w:asciiTheme="majorBidi" w:hAnsiTheme="majorBidi" w:cstheme="majorBidi"/>
          <w:i/>
          <w:iCs/>
        </w:rPr>
      </w:pPr>
      <w:r w:rsidRPr="004551B8">
        <w:rPr>
          <w:rFonts w:asciiTheme="majorBidi" w:hAnsiTheme="majorBidi" w:cstheme="majorBidi"/>
          <w:b/>
          <w:bCs/>
          <w:i/>
          <w:iCs/>
        </w:rPr>
        <w:lastRenderedPageBreak/>
        <w:t>H</w:t>
      </w:r>
      <w:r w:rsidRPr="004551B8">
        <w:rPr>
          <w:rFonts w:asciiTheme="majorBidi" w:hAnsiTheme="majorBidi" w:cstheme="majorBidi"/>
          <w:b/>
          <w:bCs/>
          <w:i/>
          <w:iCs/>
          <w:vertAlign w:val="subscript"/>
        </w:rPr>
        <w:t>0</w:t>
      </w:r>
      <w:r w:rsidRPr="004551B8">
        <w:rPr>
          <w:rFonts w:asciiTheme="majorBidi" w:hAnsiTheme="majorBidi" w:cstheme="majorBidi"/>
          <w:b/>
          <w:bCs/>
          <w:i/>
          <w:iCs/>
        </w:rPr>
        <w:t>1:</w:t>
      </w:r>
      <w:r w:rsidRPr="004551B8">
        <w:rPr>
          <w:rFonts w:asciiTheme="majorBidi" w:hAnsiTheme="majorBidi" w:cstheme="majorBidi"/>
          <w:i/>
          <w:iCs/>
        </w:rPr>
        <w:t xml:space="preserve"> Non-traditional financial disclosures have no significant effect on corporate sustainability.</w:t>
      </w:r>
    </w:p>
    <w:p w14:paraId="0322128F" w14:textId="40608033" w:rsidR="004551B8" w:rsidRDefault="004551B8" w:rsidP="00C649E5">
      <w:pPr>
        <w:spacing w:line="360" w:lineRule="auto"/>
        <w:ind w:firstLine="720"/>
        <w:jc w:val="both"/>
        <w:rPr>
          <w:rFonts w:asciiTheme="majorBidi" w:hAnsiTheme="majorBidi" w:cstheme="majorBidi"/>
        </w:rPr>
      </w:pPr>
      <w:r>
        <w:rPr>
          <w:rFonts w:asciiTheme="majorBidi" w:hAnsiTheme="majorBidi" w:cstheme="majorBidi"/>
        </w:rPr>
        <w:t>2.4       Conceptual Framework</w:t>
      </w:r>
    </w:p>
    <w:p w14:paraId="041E74E3" w14:textId="351897B0" w:rsidR="004551B8" w:rsidRDefault="004551B8" w:rsidP="006D66A2">
      <w:pPr>
        <w:spacing w:line="360" w:lineRule="auto"/>
        <w:ind w:firstLine="720"/>
        <w:jc w:val="both"/>
        <w:rPr>
          <w:rFonts w:asciiTheme="majorBidi" w:hAnsiTheme="majorBidi" w:cstheme="majorBidi"/>
        </w:rPr>
      </w:pPr>
      <w:r w:rsidRPr="004551B8">
        <w:rPr>
          <w:rFonts w:asciiTheme="majorBidi" w:hAnsiTheme="majorBidi" w:cstheme="majorBidi"/>
        </w:rPr>
        <w:t>Figure 1 illustrates the relationship between non-traditional financial disclosures (NTFD) as the independent variable and corporate sustainability as the dependent variable, with the study grounded in stakeholder theory. NTFD includes environmental, social, and governance information disclosures, reflecting a firm's transparency in reporting its sustainability efforts. Corporate sustainability represents a firm's ability to balance economic, environmental, and social considerations for long-term success. Stakeholder theory suggests that businesses must address the interests of multiple stakeholders, and by disclosing ESG-related information, firms can enhance trust, compliance, and risk management. The framework indicates that higher levels of NTFD can improve corporate sustainability outcomes, though effectiveness may depend on industry type, regulations, and governance structures. Figure 1 visually supports the study’s investigation into how NTFD contributes to sustainability in high-risk sectors in Iraq.</w:t>
      </w:r>
    </w:p>
    <w:p w14:paraId="12F03D8C" w14:textId="3CD7E08B" w:rsidR="004551B8" w:rsidRPr="004551B8" w:rsidRDefault="004551B8" w:rsidP="006D66A2">
      <w:pPr>
        <w:spacing w:after="0" w:line="360" w:lineRule="auto"/>
        <w:jc w:val="center"/>
        <w:rPr>
          <w:rFonts w:asciiTheme="majorBidi" w:hAnsiTheme="majorBidi" w:cstheme="majorBidi"/>
          <w:b/>
          <w:bCs/>
        </w:rPr>
      </w:pPr>
      <w:r>
        <w:rPr>
          <w:rFonts w:asciiTheme="majorBidi" w:hAnsiTheme="majorBidi" w:cstheme="majorBidi"/>
          <w:b/>
          <w:bCs/>
        </w:rPr>
        <w:t>Figure 1: Conceptual Framework</w:t>
      </w:r>
    </w:p>
    <w:p w14:paraId="1387E99A" w14:textId="77777777" w:rsidR="00447D0B" w:rsidRDefault="00447D0B" w:rsidP="00447D0B">
      <w:pPr>
        <w:spacing w:line="360" w:lineRule="auto"/>
        <w:jc w:val="both"/>
        <w:rPr>
          <w:rFonts w:asciiTheme="majorBidi" w:hAnsiTheme="majorBidi" w:cstheme="majorBidi"/>
          <w:b/>
          <w:bCs/>
        </w:rPr>
      </w:pPr>
      <w:r>
        <w:rPr>
          <w:rFonts w:asciiTheme="majorBidi" w:hAnsiTheme="majorBidi" w:cstheme="majorBidi"/>
          <w:noProof/>
        </w:rPr>
        <w:drawing>
          <wp:inline distT="0" distB="0" distL="0" distR="0" wp14:anchorId="659F697B" wp14:editId="5F41C8C5">
            <wp:extent cx="5837555" cy="3352800"/>
            <wp:effectExtent l="0" t="0" r="0" b="0"/>
            <wp:docPr id="1455216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16523" name="Picture 14552165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81420" cy="3377994"/>
                    </a:xfrm>
                    <a:prstGeom prst="rect">
                      <a:avLst/>
                    </a:prstGeom>
                  </pic:spPr>
                </pic:pic>
              </a:graphicData>
            </a:graphic>
          </wp:inline>
        </w:drawing>
      </w:r>
    </w:p>
    <w:p w14:paraId="5391E693" w14:textId="3A2404A6" w:rsidR="006E597E" w:rsidRPr="000C74CA" w:rsidRDefault="00A81DF3" w:rsidP="000C74CA">
      <w:pPr>
        <w:spacing w:line="360" w:lineRule="auto"/>
        <w:jc w:val="both"/>
        <w:rPr>
          <w:rFonts w:asciiTheme="majorBidi" w:hAnsiTheme="majorBidi" w:cstheme="majorBidi"/>
        </w:rPr>
      </w:pPr>
      <w:r>
        <w:rPr>
          <w:rFonts w:asciiTheme="majorBidi" w:hAnsiTheme="majorBidi" w:cstheme="majorBidi"/>
          <w:b/>
          <w:bCs/>
        </w:rPr>
        <w:t>Source: Authors’ Design (2025)</w:t>
      </w:r>
    </w:p>
    <w:p w14:paraId="26032225" w14:textId="6C474111" w:rsidR="00305CBA" w:rsidRPr="00E65D72" w:rsidRDefault="00305CBA" w:rsidP="00C9588D">
      <w:pPr>
        <w:spacing w:after="0" w:line="360" w:lineRule="auto"/>
        <w:jc w:val="both"/>
        <w:rPr>
          <w:rFonts w:ascii="Times New Roman" w:hAnsi="Times New Roman" w:cs="Times New Roman"/>
          <w:b/>
          <w:bCs/>
        </w:rPr>
      </w:pPr>
      <w:r w:rsidRPr="00E65D72">
        <w:rPr>
          <w:rFonts w:ascii="Times New Roman" w:hAnsi="Times New Roman" w:cs="Times New Roman"/>
          <w:b/>
          <w:bCs/>
        </w:rPr>
        <w:lastRenderedPageBreak/>
        <w:t xml:space="preserve">3.   </w:t>
      </w:r>
      <w:r w:rsidR="000C74CA">
        <w:rPr>
          <w:rFonts w:ascii="Times New Roman" w:hAnsi="Times New Roman" w:cs="Times New Roman"/>
          <w:b/>
          <w:bCs/>
        </w:rPr>
        <w:t xml:space="preserve">      </w:t>
      </w:r>
      <w:r w:rsidRPr="00E65D72">
        <w:rPr>
          <w:rFonts w:ascii="Times New Roman" w:hAnsi="Times New Roman" w:cs="Times New Roman"/>
          <w:b/>
          <w:bCs/>
        </w:rPr>
        <w:t>Data and Methods</w:t>
      </w:r>
    </w:p>
    <w:p w14:paraId="7D6A99D5" w14:textId="52EC1926" w:rsidR="00284363" w:rsidRDefault="00284363" w:rsidP="000C74CA">
      <w:pPr>
        <w:autoSpaceDE w:val="0"/>
        <w:autoSpaceDN w:val="0"/>
        <w:adjustRightInd w:val="0"/>
        <w:spacing w:after="0" w:line="360" w:lineRule="auto"/>
        <w:ind w:firstLine="720"/>
        <w:jc w:val="both"/>
        <w:rPr>
          <w:rFonts w:asciiTheme="majorBidi" w:hAnsiTheme="majorBidi" w:cstheme="majorBidi"/>
        </w:rPr>
      </w:pPr>
      <w:r w:rsidRPr="00284363">
        <w:rPr>
          <w:rFonts w:asciiTheme="majorBidi" w:hAnsiTheme="majorBidi" w:cstheme="majorBidi"/>
        </w:rPr>
        <w:t xml:space="preserve">The investigation adopted an ex-post facto research methodology, which was appropriate given that the data utilized were pre-existing and not subject to manipulation by the researcher. This approach enabled the study to observe and analyze existing phenomena without exerting any influence on the variables involved. The research population comprised 15 selected listed firms operating in high-risk </w:t>
      </w:r>
      <w:r w:rsidR="006D66A2" w:rsidRPr="00284363">
        <w:rPr>
          <w:rFonts w:asciiTheme="majorBidi" w:hAnsiTheme="majorBidi" w:cstheme="majorBidi"/>
        </w:rPr>
        <w:t xml:space="preserve">sectors </w:t>
      </w:r>
      <w:r w:rsidR="006D66A2">
        <w:rPr>
          <w:rFonts w:asciiTheme="majorBidi" w:hAnsiTheme="majorBidi" w:cstheme="majorBidi"/>
        </w:rPr>
        <w:t>specifically</w:t>
      </w:r>
      <w:r w:rsidRPr="00284363">
        <w:rPr>
          <w:rFonts w:asciiTheme="majorBidi" w:hAnsiTheme="majorBidi" w:cstheme="majorBidi"/>
        </w:rPr>
        <w:t xml:space="preserve"> banks, oil and gas, and construction companies within Iraq. These sectors were chosen due to their heightened exposure to financial and operational risks, making them particularly relevant for the study’s objectives. A purposive sampling technique was employed to deliberately select firms that met specific criteria aligned with the research focus. The study covered the period from 2013 to 2024, providing a robust longitudinal dataset for comprehensive analysis. Variance-weighted least-squares (VWLS) regression analysis was utilized to examine the relationship between the variables, as this technique is particularly effective in addressing issues of heteroscedasticity and ensuring more efficient and unbiased estimates in the presence of variance differences across observations.</w:t>
      </w:r>
    </w:p>
    <w:p w14:paraId="58036605" w14:textId="77777777" w:rsidR="003E3C85" w:rsidRPr="00284363" w:rsidRDefault="003E3C85" w:rsidP="000C74CA">
      <w:pPr>
        <w:autoSpaceDE w:val="0"/>
        <w:autoSpaceDN w:val="0"/>
        <w:adjustRightInd w:val="0"/>
        <w:spacing w:after="0" w:line="360" w:lineRule="auto"/>
        <w:ind w:firstLine="720"/>
        <w:jc w:val="both"/>
        <w:rPr>
          <w:rFonts w:asciiTheme="majorBidi" w:hAnsiTheme="majorBidi" w:cstheme="majorBidi"/>
        </w:rPr>
      </w:pPr>
    </w:p>
    <w:p w14:paraId="51D1E8AF" w14:textId="308E0D69" w:rsidR="000C74CA" w:rsidRPr="00284363" w:rsidRDefault="00305CBA" w:rsidP="000C74CA">
      <w:pPr>
        <w:autoSpaceDE w:val="0"/>
        <w:autoSpaceDN w:val="0"/>
        <w:adjustRightInd w:val="0"/>
        <w:spacing w:after="0" w:line="360" w:lineRule="auto"/>
        <w:jc w:val="both"/>
        <w:rPr>
          <w:rFonts w:asciiTheme="majorBidi" w:hAnsiTheme="majorBidi" w:cstheme="majorBidi"/>
        </w:rPr>
      </w:pPr>
      <w:r w:rsidRPr="00284363">
        <w:rPr>
          <w:rFonts w:asciiTheme="majorBidi" w:hAnsiTheme="majorBidi" w:cstheme="majorBidi"/>
          <w:b/>
          <w:bCs/>
          <w:color w:val="000000"/>
          <w:kern w:val="0"/>
        </w:rPr>
        <w:t xml:space="preserve">3.1 </w:t>
      </w:r>
      <w:r w:rsidR="000C74CA" w:rsidRPr="00284363">
        <w:rPr>
          <w:rFonts w:asciiTheme="majorBidi" w:hAnsiTheme="majorBidi" w:cstheme="majorBidi"/>
          <w:b/>
          <w:bCs/>
          <w:color w:val="000000"/>
          <w:kern w:val="0"/>
        </w:rPr>
        <w:t xml:space="preserve">    </w:t>
      </w:r>
      <w:r w:rsidRPr="00284363">
        <w:rPr>
          <w:rFonts w:asciiTheme="majorBidi" w:hAnsiTheme="majorBidi" w:cstheme="majorBidi"/>
          <w:b/>
          <w:bCs/>
          <w:color w:val="000000"/>
          <w:kern w:val="0"/>
        </w:rPr>
        <w:t xml:space="preserve">  Model Specification</w:t>
      </w:r>
    </w:p>
    <w:p w14:paraId="4027D9FA" w14:textId="327D8E0A" w:rsidR="00305CBA" w:rsidRPr="00115D35" w:rsidRDefault="00115D35" w:rsidP="00115D35">
      <w:pPr>
        <w:autoSpaceDE w:val="0"/>
        <w:autoSpaceDN w:val="0"/>
        <w:adjustRightInd w:val="0"/>
        <w:spacing w:after="0" w:line="360" w:lineRule="auto"/>
        <w:ind w:firstLine="720"/>
        <w:jc w:val="both"/>
        <w:rPr>
          <w:rFonts w:asciiTheme="majorBidi" w:hAnsiTheme="majorBidi" w:cstheme="majorBidi"/>
          <w:color w:val="000000"/>
          <w:kern w:val="0"/>
        </w:rPr>
      </w:pPr>
      <w:r w:rsidRPr="00284363">
        <w:rPr>
          <w:rFonts w:asciiTheme="majorBidi" w:hAnsiTheme="majorBidi" w:cstheme="majorBidi"/>
        </w:rPr>
        <w:t>This study adopted the econometric model used by Al-</w:t>
      </w:r>
      <w:proofErr w:type="spellStart"/>
      <w:r w:rsidRPr="00284363">
        <w:rPr>
          <w:rFonts w:asciiTheme="majorBidi" w:hAnsiTheme="majorBidi" w:cstheme="majorBidi"/>
        </w:rPr>
        <w:t>Janabi</w:t>
      </w:r>
      <w:proofErr w:type="spellEnd"/>
      <w:r w:rsidRPr="00284363">
        <w:rPr>
          <w:rFonts w:asciiTheme="majorBidi" w:hAnsiTheme="majorBidi" w:cstheme="majorBidi"/>
        </w:rPr>
        <w:t xml:space="preserve"> (2023), which examined the effect of environmental, social, and governance (ESG) information disclosures in Iraq’s oil and gas sec</w:t>
      </w:r>
      <w:r w:rsidRPr="00115D35">
        <w:rPr>
          <w:rFonts w:asciiTheme="majorBidi" w:hAnsiTheme="majorBidi" w:cstheme="majorBidi"/>
        </w:rPr>
        <w:t xml:space="preserve">tor. The justification for adopting this model lies in its relevance to evaluating the impact of ESG disclosures on corporate performance in a high-risk industry. Given that the current study focuses on </w:t>
      </w:r>
      <w:proofErr w:type="spellStart"/>
      <w:r w:rsidR="00237C59">
        <w:rPr>
          <w:rFonts w:asciiTheme="majorBidi" w:hAnsiTheme="majorBidi" w:cstheme="majorBidi"/>
        </w:rPr>
        <w:t>analysing</w:t>
      </w:r>
      <w:proofErr w:type="spellEnd"/>
      <w:r w:rsidRPr="00115D35">
        <w:rPr>
          <w:rFonts w:asciiTheme="majorBidi" w:hAnsiTheme="majorBidi" w:cstheme="majorBidi"/>
        </w:rPr>
        <w:t xml:space="preserve"> the role of non-traditional financial disclosures in enhancing corporate sustainability in high-risk sectors in Iraq, Al-</w:t>
      </w:r>
      <w:proofErr w:type="spellStart"/>
      <w:r w:rsidRPr="00115D35">
        <w:rPr>
          <w:rFonts w:asciiTheme="majorBidi" w:hAnsiTheme="majorBidi" w:cstheme="majorBidi"/>
        </w:rPr>
        <w:t>Janabi’s</w:t>
      </w:r>
      <w:proofErr w:type="spellEnd"/>
      <w:r w:rsidRPr="00115D35">
        <w:rPr>
          <w:rFonts w:asciiTheme="majorBidi" w:hAnsiTheme="majorBidi" w:cstheme="majorBidi"/>
        </w:rPr>
        <w:t xml:space="preserve"> (2023) model provides a robust methodological foundation. The model effectively captures the relationship between ESG disclosures and corporate sustainability, making it suitable for assessing similar dynamics in other high-risk industries. By leveraging this approach, the study ensures methodological consistency and facilitates meaningful comparisons within the Iraqi business context.</w:t>
      </w:r>
      <w:r>
        <w:rPr>
          <w:rFonts w:asciiTheme="majorBidi" w:hAnsiTheme="majorBidi" w:cstheme="majorBidi"/>
          <w:color w:val="000000"/>
          <w:kern w:val="0"/>
        </w:rPr>
        <w:t xml:space="preserve"> </w:t>
      </w:r>
      <w:r w:rsidR="00305CBA" w:rsidRPr="00E65D72">
        <w:rPr>
          <w:rFonts w:ascii="Times New Roman" w:hAnsi="Times New Roman" w:cs="Times New Roman"/>
          <w:color w:val="000000"/>
          <w:kern w:val="0"/>
        </w:rPr>
        <w:t>The model was outlined as follows</w:t>
      </w:r>
      <w:r w:rsidR="00305CBA">
        <w:rPr>
          <w:rFonts w:ascii="Times New Roman" w:hAnsi="Times New Roman" w:cs="Times New Roman"/>
          <w:color w:val="000000"/>
          <w:kern w:val="0"/>
        </w:rPr>
        <w:t>:</w:t>
      </w:r>
    </w:p>
    <w:p w14:paraId="53E223B6" w14:textId="7EE71917" w:rsidR="00305CBA" w:rsidRPr="000D329F" w:rsidRDefault="00725C87" w:rsidP="00C9588D">
      <w:pPr>
        <w:autoSpaceDE w:val="0"/>
        <w:autoSpaceDN w:val="0"/>
        <w:adjustRightInd w:val="0"/>
        <w:spacing w:after="0" w:line="360" w:lineRule="auto"/>
        <w:jc w:val="both"/>
        <w:rPr>
          <w:rFonts w:ascii="Times New Roman" w:hAnsi="Times New Roman" w:cs="Times New Roman"/>
          <w:color w:val="000000"/>
          <w:kern w:val="0"/>
        </w:rPr>
      </w:pPr>
      <w:r>
        <w:rPr>
          <w:rFonts w:ascii="Times New Roman" w:hAnsi="Times New Roman" w:cs="Times New Roman"/>
          <w:color w:val="000000"/>
          <w:kern w:val="0"/>
        </w:rPr>
        <w:t>CS</w:t>
      </w:r>
      <w:r w:rsidR="00305CBA" w:rsidRPr="000D329F">
        <w:rPr>
          <w:rFonts w:ascii="Times New Roman" w:hAnsi="Times New Roman" w:cs="Times New Roman"/>
          <w:color w:val="000000"/>
          <w:kern w:val="0"/>
        </w:rPr>
        <w:t xml:space="preserve"> =</w:t>
      </w:r>
      <w:r>
        <w:rPr>
          <w:rFonts w:ascii="Times New Roman" w:hAnsi="Times New Roman" w:cs="Times New Roman"/>
          <w:color w:val="000000"/>
          <w:kern w:val="0"/>
        </w:rPr>
        <w:t xml:space="preserve"> </w:t>
      </w:r>
      <w:r w:rsidR="00305CBA" w:rsidRPr="00725C87">
        <w:rPr>
          <w:rFonts w:ascii="Times New Roman" w:hAnsi="Times New Roman" w:cs="Times New Roman"/>
          <w:i/>
          <w:iCs/>
          <w:color w:val="000000"/>
          <w:kern w:val="0"/>
        </w:rPr>
        <w:t>f</w:t>
      </w:r>
      <w:r w:rsidR="00305CBA" w:rsidRPr="000D329F">
        <w:rPr>
          <w:rFonts w:ascii="Times New Roman" w:hAnsi="Times New Roman" w:cs="Times New Roman"/>
          <w:color w:val="000000"/>
          <w:kern w:val="0"/>
        </w:rPr>
        <w:t>(N</w:t>
      </w:r>
      <w:r>
        <w:rPr>
          <w:rFonts w:ascii="Times New Roman" w:hAnsi="Times New Roman" w:cs="Times New Roman"/>
          <w:color w:val="000000"/>
          <w:kern w:val="0"/>
        </w:rPr>
        <w:t>T</w:t>
      </w:r>
      <w:r w:rsidR="00305CBA" w:rsidRPr="000D329F">
        <w:rPr>
          <w:rFonts w:ascii="Times New Roman" w:hAnsi="Times New Roman" w:cs="Times New Roman"/>
          <w:color w:val="000000"/>
          <w:kern w:val="0"/>
        </w:rPr>
        <w:t>F</w:t>
      </w:r>
      <w:r w:rsidR="00305CBA">
        <w:rPr>
          <w:rFonts w:ascii="Times New Roman" w:hAnsi="Times New Roman" w:cs="Times New Roman"/>
          <w:color w:val="000000"/>
          <w:kern w:val="0"/>
        </w:rPr>
        <w:t>D</w:t>
      </w:r>
      <w:r w:rsidR="00305CBA" w:rsidRPr="000D329F">
        <w:rPr>
          <w:rFonts w:ascii="Times New Roman" w:hAnsi="Times New Roman" w:cs="Times New Roman"/>
          <w:color w:val="000000"/>
          <w:kern w:val="0"/>
        </w:rPr>
        <w:t>)</w:t>
      </w:r>
    </w:p>
    <w:p w14:paraId="2580D96E" w14:textId="50DE8A6F" w:rsidR="00305CBA" w:rsidRDefault="00725C87" w:rsidP="00C9588D">
      <w:pPr>
        <w:autoSpaceDE w:val="0"/>
        <w:autoSpaceDN w:val="0"/>
        <w:adjustRightInd w:val="0"/>
        <w:spacing w:after="0" w:line="360" w:lineRule="auto"/>
        <w:jc w:val="both"/>
        <w:rPr>
          <w:rFonts w:ascii="Times New Roman" w:hAnsi="Times New Roman" w:cs="Times New Roman"/>
        </w:rPr>
      </w:pPr>
      <w:proofErr w:type="spellStart"/>
      <w:r>
        <w:rPr>
          <w:rFonts w:ascii="Times New Roman" w:hAnsi="Times New Roman" w:cs="Times New Roman"/>
        </w:rPr>
        <w:t>S</w:t>
      </w:r>
      <w:r w:rsidR="00CB05C3">
        <w:rPr>
          <w:rFonts w:ascii="Times New Roman" w:hAnsi="Times New Roman" w:cs="Times New Roman"/>
        </w:rPr>
        <w:t>I</w:t>
      </w:r>
      <w:r w:rsidRPr="00725C87">
        <w:rPr>
          <w:rFonts w:ascii="Times New Roman" w:hAnsi="Times New Roman" w:cs="Times New Roman"/>
          <w:vertAlign w:val="subscript"/>
        </w:rPr>
        <w:t>it</w:t>
      </w:r>
      <w:proofErr w:type="spellEnd"/>
      <w:r>
        <w:rPr>
          <w:rFonts w:ascii="Times New Roman" w:hAnsi="Times New Roman" w:cs="Times New Roman"/>
          <w:vertAlign w:val="subscript"/>
        </w:rPr>
        <w:t xml:space="preserve">       </w:t>
      </w:r>
      <w:r w:rsidR="00305CBA" w:rsidRPr="000A7301">
        <w:rPr>
          <w:rFonts w:ascii="Times New Roman" w:hAnsi="Times New Roman" w:cs="Times New Roman"/>
        </w:rPr>
        <w:t xml:space="preserve">   =   </w:t>
      </w:r>
      <w:r w:rsidR="00305CBA">
        <w:rPr>
          <w:rFonts w:ascii="Times New Roman" w:hAnsi="Times New Roman" w:cs="Times New Roman"/>
        </w:rPr>
        <w:t>β</w:t>
      </w:r>
      <w:r w:rsidR="00305CBA" w:rsidRPr="000A7301">
        <w:rPr>
          <w:rFonts w:ascii="Times New Roman" w:hAnsi="Times New Roman" w:cs="Times New Roman"/>
          <w:vertAlign w:val="subscript"/>
        </w:rPr>
        <w:t>0</w:t>
      </w:r>
      <w:r w:rsidR="00305CBA" w:rsidRPr="000A7301">
        <w:rPr>
          <w:rFonts w:ascii="Times New Roman" w:hAnsi="Times New Roman" w:cs="Times New Roman"/>
        </w:rPr>
        <w:t xml:space="preserve">+ </w:t>
      </w:r>
      <w:r w:rsidR="00305CBA">
        <w:rPr>
          <w:rFonts w:ascii="Times New Roman" w:hAnsi="Times New Roman" w:cs="Times New Roman"/>
        </w:rPr>
        <w:t>β</w:t>
      </w:r>
      <w:r w:rsidR="00305CBA" w:rsidRPr="000A7301">
        <w:rPr>
          <w:rFonts w:ascii="Times New Roman" w:hAnsi="Times New Roman" w:cs="Times New Roman"/>
          <w:vertAlign w:val="subscript"/>
        </w:rPr>
        <w:t>1</w:t>
      </w:r>
      <w:r w:rsidR="00305CBA">
        <w:rPr>
          <w:rFonts w:ascii="Times New Roman" w:hAnsi="Times New Roman" w:cs="Times New Roman"/>
        </w:rPr>
        <w:t>E</w:t>
      </w:r>
      <w:r>
        <w:rPr>
          <w:rFonts w:ascii="Times New Roman" w:hAnsi="Times New Roman" w:cs="Times New Roman"/>
        </w:rPr>
        <w:t>I</w:t>
      </w:r>
      <w:r w:rsidR="00305CBA">
        <w:rPr>
          <w:rFonts w:ascii="Times New Roman" w:hAnsi="Times New Roman" w:cs="Times New Roman"/>
        </w:rPr>
        <w:t>D</w:t>
      </w:r>
      <w:r w:rsidRPr="00725C87">
        <w:rPr>
          <w:rFonts w:ascii="Times New Roman" w:hAnsi="Times New Roman" w:cs="Times New Roman"/>
          <w:vertAlign w:val="subscript"/>
        </w:rPr>
        <w:t>it</w:t>
      </w:r>
      <w:r w:rsidR="00305CBA" w:rsidRPr="000A7301">
        <w:rPr>
          <w:rFonts w:ascii="Times New Roman" w:hAnsi="Times New Roman" w:cs="Times New Roman"/>
        </w:rPr>
        <w:t xml:space="preserve">+ </w:t>
      </w:r>
      <w:r w:rsidR="00305CBA">
        <w:rPr>
          <w:rFonts w:ascii="Times New Roman" w:hAnsi="Times New Roman" w:cs="Times New Roman"/>
        </w:rPr>
        <w:t>β</w:t>
      </w:r>
      <w:r w:rsidR="00305CBA" w:rsidRPr="000A7301">
        <w:rPr>
          <w:rFonts w:ascii="Times New Roman" w:hAnsi="Times New Roman" w:cs="Times New Roman"/>
          <w:vertAlign w:val="subscript"/>
        </w:rPr>
        <w:t>2</w:t>
      </w:r>
      <w:r w:rsidR="00305CBA">
        <w:rPr>
          <w:rFonts w:ascii="Times New Roman" w:hAnsi="Times New Roman" w:cs="Times New Roman"/>
        </w:rPr>
        <w:t>S</w:t>
      </w:r>
      <w:r>
        <w:rPr>
          <w:rFonts w:ascii="Times New Roman" w:hAnsi="Times New Roman" w:cs="Times New Roman"/>
        </w:rPr>
        <w:t>I</w:t>
      </w:r>
      <w:r w:rsidR="00305CBA" w:rsidRPr="000A7301">
        <w:rPr>
          <w:rFonts w:ascii="Times New Roman" w:hAnsi="Times New Roman" w:cs="Times New Roman"/>
        </w:rPr>
        <w:t>D</w:t>
      </w:r>
      <w:r w:rsidRPr="00725C87">
        <w:rPr>
          <w:rFonts w:ascii="Times New Roman" w:hAnsi="Times New Roman" w:cs="Times New Roman"/>
          <w:vertAlign w:val="subscript"/>
        </w:rPr>
        <w:t>it</w:t>
      </w:r>
      <w:r w:rsidR="00305CBA">
        <w:rPr>
          <w:rFonts w:ascii="Times New Roman" w:hAnsi="Times New Roman" w:cs="Times New Roman"/>
        </w:rPr>
        <w:t xml:space="preserve"> </w:t>
      </w:r>
      <w:r w:rsidR="00305CBA" w:rsidRPr="000A7301">
        <w:rPr>
          <w:rFonts w:ascii="Times New Roman" w:hAnsi="Times New Roman" w:cs="Times New Roman"/>
        </w:rPr>
        <w:t xml:space="preserve">+ </w:t>
      </w:r>
      <w:r w:rsidR="00305CBA">
        <w:rPr>
          <w:rFonts w:ascii="Times New Roman" w:hAnsi="Times New Roman" w:cs="Times New Roman"/>
        </w:rPr>
        <w:t>β</w:t>
      </w:r>
      <w:r w:rsidR="00305CBA">
        <w:rPr>
          <w:rFonts w:ascii="Times New Roman" w:hAnsi="Times New Roman" w:cs="Times New Roman"/>
          <w:vertAlign w:val="subscript"/>
        </w:rPr>
        <w:t>3</w:t>
      </w:r>
      <w:r w:rsidR="00305CBA">
        <w:rPr>
          <w:rFonts w:ascii="Times New Roman" w:hAnsi="Times New Roman" w:cs="Times New Roman"/>
        </w:rPr>
        <w:t>G</w:t>
      </w:r>
      <w:r>
        <w:rPr>
          <w:rFonts w:ascii="Times New Roman" w:hAnsi="Times New Roman" w:cs="Times New Roman"/>
        </w:rPr>
        <w:t>I</w:t>
      </w:r>
      <w:r w:rsidR="00305CBA">
        <w:rPr>
          <w:rFonts w:ascii="Times New Roman" w:hAnsi="Times New Roman" w:cs="Times New Roman"/>
        </w:rPr>
        <w:t xml:space="preserve">D + </w:t>
      </w:r>
      <w:proofErr w:type="spellStart"/>
      <w:r w:rsidR="00305CBA">
        <w:rPr>
          <w:rFonts w:ascii="Times New Roman" w:hAnsi="Times New Roman" w:cs="Times New Roman"/>
        </w:rPr>
        <w:t>ε</w:t>
      </w:r>
      <w:r w:rsidR="00305CBA" w:rsidRPr="00725C87">
        <w:rPr>
          <w:rFonts w:ascii="Times New Roman" w:hAnsi="Times New Roman" w:cs="Times New Roman"/>
          <w:vertAlign w:val="subscript"/>
        </w:rPr>
        <w:t>it</w:t>
      </w:r>
      <w:proofErr w:type="spellEnd"/>
    </w:p>
    <w:p w14:paraId="5B222268" w14:textId="77777777" w:rsidR="00305CBA" w:rsidRDefault="00305CBA" w:rsidP="00C9588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Where: </w:t>
      </w:r>
    </w:p>
    <w:p w14:paraId="478EDAA1" w14:textId="43B0C686" w:rsidR="00305CBA" w:rsidRDefault="00725C87" w:rsidP="00C9588D">
      <w:pPr>
        <w:spacing w:after="0" w:line="360" w:lineRule="auto"/>
        <w:jc w:val="both"/>
        <w:rPr>
          <w:rFonts w:ascii="Times New Roman" w:hAnsi="Times New Roman" w:cs="Times New Roman"/>
        </w:rPr>
      </w:pPr>
      <w:r>
        <w:rPr>
          <w:rFonts w:ascii="Times New Roman" w:hAnsi="Times New Roman" w:cs="Times New Roman"/>
        </w:rPr>
        <w:t>CS</w:t>
      </w:r>
      <w:r w:rsidR="00305CBA" w:rsidRPr="000A7301">
        <w:rPr>
          <w:rFonts w:ascii="Times New Roman" w:hAnsi="Times New Roman" w:cs="Times New Roman"/>
        </w:rPr>
        <w:t xml:space="preserve">   </w:t>
      </w:r>
      <w:r w:rsidR="00305CBA">
        <w:rPr>
          <w:rFonts w:ascii="Times New Roman" w:hAnsi="Times New Roman" w:cs="Times New Roman"/>
        </w:rPr>
        <w:t xml:space="preserve"> </w:t>
      </w:r>
      <w:r w:rsidR="00305CBA" w:rsidRPr="000A7301">
        <w:rPr>
          <w:rFonts w:ascii="Times New Roman" w:hAnsi="Times New Roman" w:cs="Times New Roman"/>
        </w:rPr>
        <w:t xml:space="preserve"> </w:t>
      </w:r>
      <w:r>
        <w:rPr>
          <w:rFonts w:ascii="Times New Roman" w:hAnsi="Times New Roman" w:cs="Times New Roman"/>
        </w:rPr>
        <w:t xml:space="preserve">    </w:t>
      </w:r>
      <w:r w:rsidR="00305CBA" w:rsidRPr="000A7301">
        <w:rPr>
          <w:rFonts w:ascii="Times New Roman" w:hAnsi="Times New Roman" w:cs="Times New Roman"/>
        </w:rPr>
        <w:t xml:space="preserve">= </w:t>
      </w:r>
      <w:r>
        <w:rPr>
          <w:rFonts w:ascii="Times New Roman" w:hAnsi="Times New Roman" w:cs="Times New Roman"/>
        </w:rPr>
        <w:t>Corporate Sustainability</w:t>
      </w:r>
    </w:p>
    <w:p w14:paraId="33027365" w14:textId="26F5A17B" w:rsidR="00F477DF" w:rsidRPr="00A74286" w:rsidRDefault="00CB05C3" w:rsidP="00F477DF">
      <w:pPr>
        <w:spacing w:after="0" w:line="360" w:lineRule="auto"/>
        <w:jc w:val="both"/>
        <w:rPr>
          <w:rFonts w:ascii="Times New Roman" w:hAnsi="Times New Roman" w:cs="Times New Roman"/>
        </w:rPr>
      </w:pPr>
      <w:proofErr w:type="gramStart"/>
      <w:r w:rsidRPr="00A74286">
        <w:rPr>
          <w:rFonts w:ascii="Times New Roman" w:hAnsi="Times New Roman" w:cs="Times New Roman"/>
        </w:rPr>
        <w:lastRenderedPageBreak/>
        <w:t>SI  =</w:t>
      </w:r>
      <w:proofErr w:type="gramEnd"/>
      <w:r w:rsidRPr="00A74286">
        <w:rPr>
          <w:rFonts w:ascii="Times New Roman" w:hAnsi="Times New Roman" w:cs="Times New Roman"/>
        </w:rPr>
        <w:t xml:space="preserve">   </w:t>
      </w:r>
      <w:r w:rsidR="00C05E9D" w:rsidRPr="00A74286">
        <w:rPr>
          <w:rFonts w:ascii="Times New Roman" w:hAnsi="Times New Roman" w:cs="Times New Roman"/>
        </w:rPr>
        <w:t>Sustainable</w:t>
      </w:r>
      <w:r w:rsidRPr="00A74286">
        <w:rPr>
          <w:rFonts w:ascii="Times New Roman" w:hAnsi="Times New Roman" w:cs="Times New Roman"/>
        </w:rPr>
        <w:t xml:space="preserve"> </w:t>
      </w:r>
      <w:r w:rsidR="00C05E9D">
        <w:rPr>
          <w:rFonts w:ascii="Times New Roman" w:hAnsi="Times New Roman" w:cs="Times New Roman"/>
        </w:rPr>
        <w:t>Profit</w:t>
      </w:r>
      <w:r w:rsidR="00B774A6">
        <w:rPr>
          <w:rFonts w:ascii="Times New Roman" w:hAnsi="Times New Roman" w:cs="Times New Roman"/>
        </w:rPr>
        <w:t>ability</w:t>
      </w:r>
      <w:r w:rsidR="00F477DF">
        <w:rPr>
          <w:rFonts w:ascii="Times New Roman" w:hAnsi="Times New Roman" w:cs="Times New Roman"/>
        </w:rPr>
        <w:t xml:space="preserve"> represented by a three-year average of ROA and ROE</w:t>
      </w:r>
    </w:p>
    <w:p w14:paraId="4E662D13" w14:textId="510EDBE0" w:rsidR="00305CBA" w:rsidRPr="00A74286"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A74286">
        <w:rPr>
          <w:rFonts w:ascii="Times New Roman" w:hAnsi="Times New Roman" w:cs="Times New Roman"/>
          <w:color w:val="000000"/>
          <w:kern w:val="0"/>
        </w:rPr>
        <w:t>N</w:t>
      </w:r>
      <w:r w:rsidR="00725C87" w:rsidRPr="00A74286">
        <w:rPr>
          <w:rFonts w:ascii="Times New Roman" w:hAnsi="Times New Roman" w:cs="Times New Roman"/>
          <w:color w:val="000000"/>
          <w:kern w:val="0"/>
        </w:rPr>
        <w:t>T</w:t>
      </w:r>
      <w:r w:rsidRPr="00A74286">
        <w:rPr>
          <w:rFonts w:ascii="Times New Roman" w:hAnsi="Times New Roman" w:cs="Times New Roman"/>
          <w:color w:val="000000"/>
          <w:kern w:val="0"/>
        </w:rPr>
        <w:t>FD</w:t>
      </w:r>
      <w:r w:rsidR="00725C87" w:rsidRPr="00A74286">
        <w:rPr>
          <w:rFonts w:ascii="Times New Roman" w:hAnsi="Times New Roman" w:cs="Times New Roman"/>
          <w:color w:val="000000"/>
          <w:kern w:val="0"/>
        </w:rPr>
        <w:t xml:space="preserve">  </w:t>
      </w:r>
      <w:r w:rsidRPr="00A74286">
        <w:rPr>
          <w:rFonts w:ascii="Times New Roman" w:hAnsi="Times New Roman" w:cs="Times New Roman"/>
          <w:color w:val="000000"/>
          <w:kern w:val="0"/>
        </w:rPr>
        <w:t xml:space="preserve"> = Non-</w:t>
      </w:r>
      <w:r w:rsidR="00725C87" w:rsidRPr="00A74286">
        <w:rPr>
          <w:rFonts w:ascii="Times New Roman" w:hAnsi="Times New Roman" w:cs="Times New Roman"/>
          <w:color w:val="000000"/>
          <w:kern w:val="0"/>
        </w:rPr>
        <w:t xml:space="preserve">Traditional </w:t>
      </w:r>
      <w:r w:rsidRPr="00A74286">
        <w:rPr>
          <w:rFonts w:ascii="Times New Roman" w:hAnsi="Times New Roman" w:cs="Times New Roman"/>
          <w:color w:val="000000"/>
          <w:kern w:val="0"/>
        </w:rPr>
        <w:t>Financial Disclosure</w:t>
      </w:r>
    </w:p>
    <w:p w14:paraId="40DC22E5" w14:textId="45DD73EF"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E</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Environmental </w:t>
      </w:r>
      <w:r w:rsidR="00725C87">
        <w:rPr>
          <w:rFonts w:ascii="Times New Roman" w:hAnsi="Times New Roman" w:cs="Times New Roman"/>
          <w:color w:val="000000"/>
          <w:kern w:val="0"/>
        </w:rPr>
        <w:t xml:space="preserve">Information </w:t>
      </w:r>
      <w:r w:rsidRPr="00E65D72">
        <w:rPr>
          <w:rFonts w:ascii="Times New Roman" w:hAnsi="Times New Roman" w:cs="Times New Roman"/>
          <w:color w:val="000000"/>
          <w:kern w:val="0"/>
        </w:rPr>
        <w:t xml:space="preserve">Disclosure </w:t>
      </w:r>
    </w:p>
    <w:p w14:paraId="583381BC" w14:textId="3A85B271"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S</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Social </w:t>
      </w:r>
      <w:r w:rsidR="00725C87">
        <w:rPr>
          <w:rFonts w:ascii="Times New Roman" w:hAnsi="Times New Roman" w:cs="Times New Roman"/>
          <w:color w:val="000000"/>
          <w:kern w:val="0"/>
        </w:rPr>
        <w:t xml:space="preserve">Information </w:t>
      </w:r>
      <w:r w:rsidR="00725C87" w:rsidRPr="00E65D72">
        <w:rPr>
          <w:rFonts w:ascii="Times New Roman" w:hAnsi="Times New Roman" w:cs="Times New Roman"/>
          <w:color w:val="000000"/>
          <w:kern w:val="0"/>
        </w:rPr>
        <w:t>Disclosure</w:t>
      </w:r>
    </w:p>
    <w:p w14:paraId="4B04DB45" w14:textId="511B0C32" w:rsidR="00305CBA" w:rsidRPr="00E65D72" w:rsidRDefault="00305CBA" w:rsidP="00C9588D">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G</w:t>
      </w:r>
      <w:r w:rsidR="00725C87" w:rsidRPr="00E65D72">
        <w:rPr>
          <w:rFonts w:ascii="Times New Roman" w:hAnsi="Times New Roman" w:cs="Times New Roman"/>
          <w:color w:val="000000"/>
          <w:kern w:val="0"/>
        </w:rPr>
        <w:t>I</w:t>
      </w:r>
      <w:r w:rsidRPr="00E65D72">
        <w:rPr>
          <w:rFonts w:ascii="Times New Roman" w:hAnsi="Times New Roman" w:cs="Times New Roman"/>
          <w:color w:val="000000"/>
          <w:kern w:val="0"/>
        </w:rPr>
        <w:t xml:space="preserve">D </w:t>
      </w:r>
      <w:r w:rsidR="00725C87">
        <w:rPr>
          <w:rFonts w:ascii="Times New Roman" w:hAnsi="Times New Roman" w:cs="Times New Roman"/>
          <w:color w:val="000000"/>
          <w:kern w:val="0"/>
        </w:rPr>
        <w:t xml:space="preserve">    </w:t>
      </w:r>
      <w:r w:rsidRPr="00E65D72">
        <w:rPr>
          <w:rFonts w:ascii="Times New Roman" w:hAnsi="Times New Roman" w:cs="Times New Roman"/>
          <w:color w:val="000000"/>
          <w:kern w:val="0"/>
        </w:rPr>
        <w:t xml:space="preserve">= Governance </w:t>
      </w:r>
      <w:r w:rsidR="00725C87">
        <w:rPr>
          <w:rFonts w:ascii="Times New Roman" w:hAnsi="Times New Roman" w:cs="Times New Roman"/>
          <w:color w:val="000000"/>
          <w:kern w:val="0"/>
        </w:rPr>
        <w:t xml:space="preserve">Information </w:t>
      </w:r>
      <w:r w:rsidR="00725C87" w:rsidRPr="00E65D72">
        <w:rPr>
          <w:rFonts w:ascii="Times New Roman" w:hAnsi="Times New Roman" w:cs="Times New Roman"/>
          <w:color w:val="000000"/>
          <w:kern w:val="0"/>
        </w:rPr>
        <w:t>Disclosure</w:t>
      </w:r>
    </w:p>
    <w:p w14:paraId="145CB4F8" w14:textId="77777777" w:rsidR="00305CBA" w:rsidRPr="00E65D72" w:rsidRDefault="00305CBA" w:rsidP="00305CBA">
      <w:pPr>
        <w:autoSpaceDE w:val="0"/>
        <w:autoSpaceDN w:val="0"/>
        <w:adjustRightInd w:val="0"/>
        <w:spacing w:after="0" w:line="360" w:lineRule="auto"/>
        <w:jc w:val="both"/>
        <w:rPr>
          <w:rFonts w:ascii="Times New Roman" w:hAnsi="Times New Roman" w:cs="Times New Roman"/>
          <w:color w:val="000000"/>
          <w:kern w:val="0"/>
        </w:rPr>
      </w:pPr>
      <w:r w:rsidRPr="00E65D72">
        <w:rPr>
          <w:rFonts w:ascii="Times New Roman" w:hAnsi="Times New Roman" w:cs="Times New Roman"/>
          <w:color w:val="000000"/>
          <w:kern w:val="0"/>
        </w:rPr>
        <w:t>β = Intercept</w:t>
      </w:r>
    </w:p>
    <w:p w14:paraId="43974BD6" w14:textId="4D9E7D39" w:rsidR="00305CBA" w:rsidRPr="004F796A" w:rsidRDefault="00305CBA" w:rsidP="00305CBA">
      <w:pPr>
        <w:pStyle w:val="NoSpacing"/>
        <w:spacing w:line="360" w:lineRule="auto"/>
        <w:jc w:val="both"/>
        <w:rPr>
          <w:rFonts w:ascii="Times New Roman" w:hAnsi="Times New Roman" w:cs="Times New Roman"/>
          <w:sz w:val="24"/>
          <w:szCs w:val="24"/>
        </w:rPr>
      </w:pPr>
      <w:r w:rsidRPr="00E65D72">
        <w:rPr>
          <w:rFonts w:ascii="Times New Roman" w:hAnsi="Times New Roman" w:cs="Times New Roman"/>
          <w:color w:val="000000"/>
          <w:sz w:val="24"/>
          <w:szCs w:val="24"/>
        </w:rPr>
        <w:t>e = stochastic error term</w:t>
      </w:r>
      <w:r w:rsidRPr="004F796A">
        <w:rPr>
          <w:rFonts w:ascii="Times New Roman" w:hAnsi="Times New Roman" w:cs="Times New Roman"/>
          <w:sz w:val="24"/>
          <w:szCs w:val="24"/>
        </w:rPr>
        <w:t xml:space="preserve"> β</w:t>
      </w:r>
      <w:r w:rsidRPr="00E82346">
        <w:rPr>
          <w:rFonts w:ascii="Times New Roman" w:hAnsi="Times New Roman" w:cs="Times New Roman"/>
          <w:sz w:val="24"/>
          <w:szCs w:val="24"/>
          <w:vertAlign w:val="subscript"/>
        </w:rPr>
        <w:t>1</w:t>
      </w:r>
      <w:r w:rsidRPr="004F796A">
        <w:rPr>
          <w:rFonts w:ascii="Times New Roman" w:hAnsi="Times New Roman" w:cs="Times New Roman"/>
          <w:sz w:val="24"/>
          <w:szCs w:val="24"/>
        </w:rPr>
        <w:t>, β</w:t>
      </w:r>
      <w:r w:rsidRPr="00E82346">
        <w:rPr>
          <w:rFonts w:ascii="Times New Roman" w:hAnsi="Times New Roman" w:cs="Times New Roman"/>
          <w:sz w:val="24"/>
          <w:szCs w:val="24"/>
          <w:vertAlign w:val="subscript"/>
        </w:rPr>
        <w:t>2</w:t>
      </w:r>
      <w:r w:rsidRPr="004F796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3</w:t>
      </w:r>
      <w:r w:rsidRPr="004F796A">
        <w:rPr>
          <w:rFonts w:ascii="Times New Roman" w:hAnsi="Times New Roman" w:cs="Times New Roman"/>
          <w:sz w:val="24"/>
          <w:szCs w:val="24"/>
        </w:rPr>
        <w:t xml:space="preserve"> represent the coefficients of the unknown variables.</w:t>
      </w:r>
    </w:p>
    <w:p w14:paraId="1E451DFF" w14:textId="5B6054AA" w:rsidR="00305CBA" w:rsidRDefault="00305CBA" w:rsidP="0088164E">
      <w:pPr>
        <w:pStyle w:val="NoSpacing"/>
        <w:spacing w:after="240" w:line="360" w:lineRule="auto"/>
        <w:jc w:val="both"/>
        <w:rPr>
          <w:rFonts w:ascii="Times New Roman" w:hAnsi="Times New Roman" w:cs="Times New Roman"/>
          <w:sz w:val="24"/>
          <w:szCs w:val="24"/>
        </w:rPr>
      </w:pPr>
      <w:r w:rsidRPr="004F796A">
        <w:rPr>
          <w:rFonts w:ascii="Times New Roman" w:hAnsi="Times New Roman" w:cs="Times New Roman"/>
          <w:sz w:val="24"/>
          <w:szCs w:val="24"/>
        </w:rPr>
        <w:t xml:space="preserve">The </w:t>
      </w:r>
      <w:r w:rsidRPr="004F796A">
        <w:rPr>
          <w:rFonts w:ascii="Times New Roman" w:hAnsi="Times New Roman" w:cs="Times New Roman"/>
          <w:i/>
          <w:iCs/>
          <w:sz w:val="24"/>
          <w:szCs w:val="24"/>
        </w:rPr>
        <w:t>a-priori</w:t>
      </w:r>
      <w:r w:rsidRPr="004F796A">
        <w:rPr>
          <w:rFonts w:ascii="Times New Roman" w:hAnsi="Times New Roman" w:cs="Times New Roman"/>
          <w:sz w:val="24"/>
          <w:szCs w:val="24"/>
        </w:rPr>
        <w:t xml:space="preserve"> expectation is that </w:t>
      </w:r>
      <w:r w:rsidR="00E82346"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1</w:t>
      </w:r>
      <w:r w:rsidR="00E82346" w:rsidRPr="004F796A">
        <w:rPr>
          <w:rFonts w:ascii="Times New Roman" w:hAnsi="Times New Roman" w:cs="Times New Roman"/>
          <w:sz w:val="24"/>
          <w:szCs w:val="24"/>
        </w:rPr>
        <w:t>, β</w:t>
      </w:r>
      <w:r w:rsidR="00E82346" w:rsidRPr="00E82346">
        <w:rPr>
          <w:rFonts w:ascii="Times New Roman" w:hAnsi="Times New Roman" w:cs="Times New Roman"/>
          <w:sz w:val="24"/>
          <w:szCs w:val="24"/>
          <w:vertAlign w:val="subscript"/>
        </w:rPr>
        <w:t>2</w:t>
      </w:r>
      <w:r w:rsidR="00E82346" w:rsidRPr="004F796A">
        <w:rPr>
          <w:rFonts w:ascii="Times New Roman" w:hAnsi="Times New Roman" w:cs="Times New Roman"/>
          <w:sz w:val="24"/>
          <w:szCs w:val="24"/>
        </w:rPr>
        <w:t>,</w:t>
      </w:r>
      <w:r w:rsidR="00E82346">
        <w:rPr>
          <w:rFonts w:ascii="Times New Roman" w:hAnsi="Times New Roman" w:cs="Times New Roman"/>
          <w:sz w:val="24"/>
          <w:szCs w:val="24"/>
        </w:rPr>
        <w:t xml:space="preserve"> </w:t>
      </w:r>
      <w:r w:rsidR="00E82346" w:rsidRPr="004F796A">
        <w:rPr>
          <w:rFonts w:ascii="Times New Roman" w:hAnsi="Times New Roman" w:cs="Times New Roman"/>
          <w:sz w:val="24"/>
          <w:szCs w:val="24"/>
        </w:rPr>
        <w:t>β</w:t>
      </w:r>
      <w:r w:rsidR="00E82346" w:rsidRPr="00E82346">
        <w:rPr>
          <w:rFonts w:ascii="Times New Roman" w:hAnsi="Times New Roman" w:cs="Times New Roman"/>
          <w:sz w:val="24"/>
          <w:szCs w:val="24"/>
          <w:vertAlign w:val="subscript"/>
        </w:rPr>
        <w:t>3</w:t>
      </w:r>
      <w:r w:rsidRPr="004F796A">
        <w:rPr>
          <w:rFonts w:ascii="Times New Roman" w:hAnsi="Times New Roman" w:cs="Times New Roman"/>
          <w:sz w:val="24"/>
          <w:szCs w:val="24"/>
        </w:rPr>
        <w:t xml:space="preserve"> &gt; 0, which implies that a positive relationship is anticipated between the explanatory variables and the explained variable.</w:t>
      </w:r>
    </w:p>
    <w:p w14:paraId="18453771" w14:textId="39B98BAC" w:rsidR="0088164E" w:rsidRPr="0088164E" w:rsidRDefault="0088164E" w:rsidP="0088164E">
      <w:pPr>
        <w:spacing w:after="0" w:line="360" w:lineRule="auto"/>
        <w:jc w:val="both"/>
        <w:outlineLvl w:val="2"/>
        <w:rPr>
          <w:rFonts w:ascii="Times New Roman" w:eastAsia="Times New Roman" w:hAnsi="Times New Roman" w:cs="Times New Roman"/>
          <w:b/>
          <w:bCs/>
          <w:kern w:val="0"/>
          <w14:ligatures w14:val="none"/>
        </w:rPr>
      </w:pPr>
      <w:r w:rsidRPr="0088164E">
        <w:rPr>
          <w:rFonts w:ascii="Times New Roman" w:eastAsia="Times New Roman" w:hAnsi="Times New Roman" w:cs="Times New Roman"/>
          <w:b/>
          <w:bCs/>
          <w:kern w:val="0"/>
          <w14:ligatures w14:val="none"/>
        </w:rPr>
        <w:t xml:space="preserve">3.2  </w:t>
      </w:r>
      <w:r w:rsidR="00ED1D7C">
        <w:rPr>
          <w:rFonts w:ascii="Times New Roman" w:eastAsia="Times New Roman" w:hAnsi="Times New Roman" w:cs="Times New Roman"/>
          <w:b/>
          <w:bCs/>
          <w:kern w:val="0"/>
          <w14:ligatures w14:val="none"/>
        </w:rPr>
        <w:t xml:space="preserve">    </w:t>
      </w:r>
      <w:r w:rsidRPr="0088164E">
        <w:rPr>
          <w:rFonts w:ascii="Times New Roman" w:eastAsia="Times New Roman" w:hAnsi="Times New Roman" w:cs="Times New Roman"/>
          <w:b/>
          <w:bCs/>
          <w:kern w:val="0"/>
          <w14:ligatures w14:val="none"/>
        </w:rPr>
        <w:t xml:space="preserve"> Measurements and Descriptions of Variables</w:t>
      </w:r>
    </w:p>
    <w:p w14:paraId="16A2D97A" w14:textId="28A5855D" w:rsidR="0088164E" w:rsidRDefault="00ED1D7C" w:rsidP="004B1F5F">
      <w:pPr>
        <w:spacing w:line="360" w:lineRule="auto"/>
        <w:ind w:firstLine="720"/>
        <w:rPr>
          <w:rFonts w:ascii="Times New Roman" w:eastAsia="Times New Roman" w:hAnsi="Times New Roman" w:cs="Times New Roman"/>
          <w:kern w:val="0"/>
          <w14:ligatures w14:val="none"/>
        </w:rPr>
      </w:pPr>
      <w:r w:rsidRPr="00931BAD">
        <w:rPr>
          <w:rFonts w:asciiTheme="majorBidi" w:eastAsia="Times New Roman" w:hAnsiTheme="majorBidi" w:cstheme="majorBidi"/>
          <w:kern w:val="0"/>
        </w:rPr>
        <w:t xml:space="preserve">The description and measurements of the variables are stated in </w:t>
      </w:r>
      <w:r w:rsidR="00551D6B">
        <w:rPr>
          <w:rFonts w:asciiTheme="majorBidi" w:eastAsia="Times New Roman" w:hAnsiTheme="majorBidi" w:cstheme="majorBidi"/>
          <w:kern w:val="0"/>
        </w:rPr>
        <w:t>Table</w:t>
      </w:r>
      <w:r w:rsidRPr="00931BAD">
        <w:rPr>
          <w:rFonts w:asciiTheme="majorBidi" w:eastAsia="Times New Roman" w:hAnsiTheme="majorBidi" w:cstheme="majorBidi"/>
          <w:kern w:val="0"/>
        </w:rPr>
        <w:t xml:space="preserve"> </w:t>
      </w:r>
      <w:r>
        <w:rPr>
          <w:rFonts w:asciiTheme="majorBidi" w:eastAsia="Times New Roman" w:hAnsiTheme="majorBidi" w:cstheme="majorBidi"/>
          <w:kern w:val="0"/>
        </w:rPr>
        <w:t>1</w:t>
      </w:r>
      <w:r w:rsidRPr="00931BAD">
        <w:rPr>
          <w:rFonts w:asciiTheme="majorBidi" w:eastAsia="Times New Roman" w:hAnsiTheme="majorBidi" w:cstheme="majorBidi"/>
          <w:kern w:val="0"/>
        </w:rPr>
        <w:t>.</w:t>
      </w:r>
      <w:r>
        <w:rPr>
          <w:rFonts w:asciiTheme="majorBidi" w:eastAsia="Times New Roman" w:hAnsiTheme="majorBidi" w:cstheme="majorBidi"/>
          <w:kern w:val="0"/>
        </w:rPr>
        <w:t xml:space="preserve"> </w:t>
      </w:r>
      <w:r>
        <w:rPr>
          <w:rFonts w:ascii="Times New Roman" w:eastAsia="Times New Roman" w:hAnsi="Times New Roman" w:cs="Times New Roman"/>
          <w:kern w:val="0"/>
          <w14:ligatures w14:val="none"/>
        </w:rPr>
        <w:t>T</w:t>
      </w:r>
      <w:r w:rsidR="0088164E" w:rsidRPr="0088164E">
        <w:rPr>
          <w:rFonts w:ascii="Times New Roman" w:eastAsia="Times New Roman" w:hAnsi="Times New Roman" w:cs="Times New Roman"/>
          <w:kern w:val="0"/>
          <w14:ligatures w14:val="none"/>
        </w:rPr>
        <w:t>able</w:t>
      </w:r>
      <w:r>
        <w:rPr>
          <w:rFonts w:ascii="Times New Roman" w:eastAsia="Times New Roman" w:hAnsi="Times New Roman" w:cs="Times New Roman"/>
          <w:kern w:val="0"/>
          <w14:ligatures w14:val="none"/>
        </w:rPr>
        <w:t xml:space="preserve"> 1 </w:t>
      </w:r>
      <w:r w:rsidR="00FC6035">
        <w:rPr>
          <w:rFonts w:ascii="Times New Roman" w:eastAsia="Times New Roman" w:hAnsi="Times New Roman" w:cs="Times New Roman"/>
          <w:kern w:val="0"/>
          <w14:ligatures w14:val="none"/>
        </w:rPr>
        <w:t>shows</w:t>
      </w:r>
      <w:r w:rsidR="00CB05C3">
        <w:rPr>
          <w:rFonts w:ascii="Times New Roman" w:eastAsia="Times New Roman" w:hAnsi="Times New Roman" w:cs="Times New Roman"/>
          <w:kern w:val="0"/>
          <w14:ligatures w14:val="none"/>
        </w:rPr>
        <w:t xml:space="preserve"> </w:t>
      </w:r>
      <w:r w:rsidR="00FC6035">
        <w:rPr>
          <w:rFonts w:ascii="Times New Roman" w:eastAsia="Times New Roman" w:hAnsi="Times New Roman" w:cs="Times New Roman"/>
          <w:kern w:val="0"/>
          <w14:ligatures w14:val="none"/>
        </w:rPr>
        <w:t xml:space="preserve">the </w:t>
      </w:r>
      <w:r w:rsidR="009371F8">
        <w:rPr>
          <w:rFonts w:ascii="Times New Roman" w:eastAsia="Times New Roman" w:hAnsi="Times New Roman" w:cs="Times New Roman"/>
          <w:kern w:val="0"/>
          <w14:ligatures w14:val="none"/>
        </w:rPr>
        <w:t>measurements</w:t>
      </w:r>
      <w:r w:rsidR="00FC6035">
        <w:rPr>
          <w:rFonts w:ascii="Times New Roman" w:eastAsia="Times New Roman" w:hAnsi="Times New Roman" w:cs="Times New Roman"/>
          <w:kern w:val="0"/>
          <w14:ligatures w14:val="none"/>
        </w:rPr>
        <w:t xml:space="preserve"> for </w:t>
      </w:r>
      <w:r w:rsidR="00CB05C3">
        <w:rPr>
          <w:rFonts w:ascii="Times New Roman" w:eastAsia="Times New Roman" w:hAnsi="Times New Roman" w:cs="Times New Roman"/>
          <w:kern w:val="0"/>
          <w14:ligatures w14:val="none"/>
        </w:rPr>
        <w:t>both dependent and</w:t>
      </w:r>
      <w:r w:rsidR="00237C59">
        <w:rPr>
          <w:rFonts w:ascii="Times New Roman" w:eastAsia="Times New Roman" w:hAnsi="Times New Roman" w:cs="Times New Roman"/>
          <w:kern w:val="0"/>
          <w14:ligatures w14:val="none"/>
        </w:rPr>
        <w:t xml:space="preserve"> </w:t>
      </w:r>
      <w:r w:rsidR="00FC6035">
        <w:rPr>
          <w:rFonts w:ascii="Times New Roman" w:eastAsia="Times New Roman" w:hAnsi="Times New Roman" w:cs="Times New Roman"/>
          <w:kern w:val="0"/>
          <w14:ligatures w14:val="none"/>
        </w:rPr>
        <w:t>independent variables.</w:t>
      </w:r>
    </w:p>
    <w:p w14:paraId="2CD3B20A" w14:textId="77777777" w:rsidR="003E3C85" w:rsidRDefault="003E3C85" w:rsidP="004B1F5F">
      <w:pPr>
        <w:spacing w:line="360" w:lineRule="auto"/>
        <w:ind w:firstLine="720"/>
        <w:rPr>
          <w:rFonts w:ascii="Times New Roman" w:eastAsia="Times New Roman" w:hAnsi="Times New Roman" w:cs="Times New Roman"/>
          <w:kern w:val="0"/>
          <w14:ligatures w14:val="none"/>
        </w:rPr>
      </w:pPr>
    </w:p>
    <w:p w14:paraId="575216FD" w14:textId="77777777" w:rsidR="003E3C85" w:rsidRPr="004B1F5F" w:rsidRDefault="003E3C85" w:rsidP="004B1F5F">
      <w:pPr>
        <w:spacing w:line="360" w:lineRule="auto"/>
        <w:ind w:firstLine="720"/>
        <w:rPr>
          <w:rFonts w:asciiTheme="majorBidi" w:eastAsia="Times New Roman" w:hAnsiTheme="majorBidi" w:cstheme="majorBidi"/>
          <w:kern w:val="0"/>
        </w:rPr>
      </w:pPr>
    </w:p>
    <w:p w14:paraId="53E39F59" w14:textId="6C7E9712" w:rsidR="00ED1D7C" w:rsidRPr="00A76377" w:rsidRDefault="00ED1D7C" w:rsidP="00ED1D7C">
      <w:pPr>
        <w:spacing w:after="0" w:line="240" w:lineRule="auto"/>
        <w:jc w:val="both"/>
        <w:rPr>
          <w:rFonts w:asciiTheme="majorBidi" w:hAnsiTheme="majorBidi" w:cstheme="majorBidi"/>
          <w:b/>
          <w:bCs/>
        </w:rPr>
      </w:pPr>
      <w:r w:rsidRPr="00A76377">
        <w:rPr>
          <w:rFonts w:asciiTheme="majorBidi" w:hAnsiTheme="majorBidi" w:cstheme="majorBidi"/>
          <w:b/>
          <w:bCs/>
        </w:rPr>
        <w:t xml:space="preserve">Table </w:t>
      </w:r>
      <w:r w:rsidR="000717B2">
        <w:rPr>
          <w:rFonts w:asciiTheme="majorBidi" w:hAnsiTheme="majorBidi" w:cstheme="majorBidi"/>
          <w:b/>
          <w:bCs/>
        </w:rPr>
        <w:t>1</w:t>
      </w:r>
      <w:r w:rsidRPr="00A76377">
        <w:rPr>
          <w:rFonts w:asciiTheme="majorBidi" w:hAnsiTheme="majorBidi" w:cstheme="majorBidi"/>
          <w:b/>
          <w:bCs/>
        </w:rPr>
        <w:t xml:space="preserve">: </w:t>
      </w:r>
      <w:proofErr w:type="spellStart"/>
      <w:r w:rsidR="00237C59">
        <w:rPr>
          <w:rFonts w:asciiTheme="majorBidi" w:hAnsiTheme="majorBidi" w:cstheme="majorBidi"/>
          <w:b/>
          <w:bCs/>
        </w:rPr>
        <w:t>Operationalisation</w:t>
      </w:r>
      <w:proofErr w:type="spellEnd"/>
      <w:r>
        <w:rPr>
          <w:rFonts w:asciiTheme="majorBidi" w:hAnsiTheme="majorBidi" w:cstheme="majorBidi"/>
          <w:b/>
          <w:bCs/>
        </w:rPr>
        <w:t xml:space="preserve">, </w:t>
      </w:r>
      <w:r w:rsidRPr="00A76377">
        <w:rPr>
          <w:rFonts w:asciiTheme="majorBidi" w:hAnsiTheme="majorBidi" w:cstheme="majorBidi"/>
          <w:b/>
          <w:bCs/>
        </w:rPr>
        <w:t>Measurement and Description of Research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1643"/>
        <w:gridCol w:w="2446"/>
        <w:gridCol w:w="1403"/>
        <w:gridCol w:w="1883"/>
        <w:gridCol w:w="1462"/>
      </w:tblGrid>
      <w:tr w:rsidR="00ED1D7C" w:rsidRPr="00A76377" w14:paraId="40CAD812" w14:textId="77777777" w:rsidTr="00652D9F">
        <w:tc>
          <w:tcPr>
            <w:tcW w:w="523" w:type="dxa"/>
            <w:tcBorders>
              <w:top w:val="single" w:sz="4" w:space="0" w:color="auto"/>
              <w:bottom w:val="single" w:sz="4" w:space="0" w:color="auto"/>
            </w:tcBorders>
          </w:tcPr>
          <w:p w14:paraId="5E64FB30"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SN</w:t>
            </w:r>
          </w:p>
        </w:tc>
        <w:tc>
          <w:tcPr>
            <w:tcW w:w="1643" w:type="dxa"/>
            <w:tcBorders>
              <w:top w:val="single" w:sz="4" w:space="0" w:color="auto"/>
              <w:bottom w:val="single" w:sz="4" w:space="0" w:color="auto"/>
            </w:tcBorders>
          </w:tcPr>
          <w:p w14:paraId="630542D1"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Variable</w:t>
            </w:r>
          </w:p>
        </w:tc>
        <w:tc>
          <w:tcPr>
            <w:tcW w:w="2446" w:type="dxa"/>
            <w:tcBorders>
              <w:top w:val="single" w:sz="4" w:space="0" w:color="auto"/>
              <w:bottom w:val="single" w:sz="4" w:space="0" w:color="auto"/>
            </w:tcBorders>
          </w:tcPr>
          <w:p w14:paraId="5BE138B8" w14:textId="77777777" w:rsidR="00ED1D7C" w:rsidRPr="00A76377" w:rsidRDefault="00ED1D7C" w:rsidP="007A6580">
            <w:pPr>
              <w:rPr>
                <w:rFonts w:asciiTheme="majorBidi" w:hAnsiTheme="majorBidi" w:cstheme="majorBidi"/>
                <w:b/>
                <w:bCs/>
                <w:sz w:val="24"/>
              </w:rPr>
            </w:pPr>
            <w:r>
              <w:rPr>
                <w:rFonts w:asciiTheme="majorBidi" w:hAnsiTheme="majorBidi" w:cstheme="majorBidi"/>
                <w:b/>
                <w:bCs/>
                <w:sz w:val="24"/>
              </w:rPr>
              <w:t>Description</w:t>
            </w:r>
          </w:p>
        </w:tc>
        <w:tc>
          <w:tcPr>
            <w:tcW w:w="1403" w:type="dxa"/>
            <w:tcBorders>
              <w:top w:val="single" w:sz="4" w:space="0" w:color="auto"/>
              <w:bottom w:val="single" w:sz="4" w:space="0" w:color="auto"/>
            </w:tcBorders>
          </w:tcPr>
          <w:p w14:paraId="6A49E127" w14:textId="77777777" w:rsidR="00ED1D7C" w:rsidRPr="00A76377" w:rsidRDefault="00ED1D7C" w:rsidP="007A6580">
            <w:pPr>
              <w:rPr>
                <w:rFonts w:asciiTheme="majorBidi" w:hAnsiTheme="majorBidi" w:cstheme="majorBidi"/>
                <w:b/>
                <w:bCs/>
                <w:sz w:val="24"/>
              </w:rPr>
            </w:pPr>
            <w:r>
              <w:rPr>
                <w:rFonts w:asciiTheme="majorBidi" w:hAnsiTheme="majorBidi" w:cstheme="majorBidi"/>
                <w:b/>
                <w:bCs/>
                <w:sz w:val="24"/>
              </w:rPr>
              <w:t>Role</w:t>
            </w:r>
          </w:p>
        </w:tc>
        <w:tc>
          <w:tcPr>
            <w:tcW w:w="1883" w:type="dxa"/>
            <w:tcBorders>
              <w:top w:val="single" w:sz="4" w:space="0" w:color="auto"/>
              <w:bottom w:val="single" w:sz="4" w:space="0" w:color="auto"/>
            </w:tcBorders>
          </w:tcPr>
          <w:p w14:paraId="2F4F8E1B"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Measurement</w:t>
            </w:r>
          </w:p>
        </w:tc>
        <w:tc>
          <w:tcPr>
            <w:tcW w:w="1462" w:type="dxa"/>
            <w:tcBorders>
              <w:top w:val="single" w:sz="4" w:space="0" w:color="auto"/>
              <w:bottom w:val="single" w:sz="4" w:space="0" w:color="auto"/>
            </w:tcBorders>
          </w:tcPr>
          <w:p w14:paraId="1A0B5BBB" w14:textId="77777777" w:rsidR="00ED1D7C" w:rsidRPr="00A76377" w:rsidRDefault="00ED1D7C" w:rsidP="007A6580">
            <w:pPr>
              <w:rPr>
                <w:rFonts w:asciiTheme="majorBidi" w:hAnsiTheme="majorBidi" w:cstheme="majorBidi"/>
                <w:b/>
                <w:bCs/>
                <w:sz w:val="24"/>
              </w:rPr>
            </w:pPr>
            <w:r w:rsidRPr="00A76377">
              <w:rPr>
                <w:rFonts w:asciiTheme="majorBidi" w:hAnsiTheme="majorBidi" w:cstheme="majorBidi"/>
                <w:b/>
                <w:bCs/>
                <w:sz w:val="24"/>
              </w:rPr>
              <w:t>Source</w:t>
            </w:r>
          </w:p>
        </w:tc>
      </w:tr>
      <w:tr w:rsidR="004B1F5F" w:rsidRPr="00C05E9D" w14:paraId="6717DE99" w14:textId="77777777" w:rsidTr="00652D9F">
        <w:tc>
          <w:tcPr>
            <w:tcW w:w="523" w:type="dxa"/>
          </w:tcPr>
          <w:p w14:paraId="299288D4" w14:textId="78E8577A" w:rsidR="004B1F5F" w:rsidRPr="00CE711C" w:rsidRDefault="004B1F5F" w:rsidP="007A6580">
            <w:pPr>
              <w:spacing w:after="240"/>
              <w:rPr>
                <w:rFonts w:asciiTheme="majorBidi" w:hAnsiTheme="majorBidi" w:cstheme="majorBidi"/>
                <w:sz w:val="24"/>
                <w:szCs w:val="24"/>
              </w:rPr>
            </w:pPr>
            <w:r w:rsidRPr="00CE711C">
              <w:rPr>
                <w:rFonts w:asciiTheme="majorBidi" w:hAnsiTheme="majorBidi" w:cstheme="majorBidi"/>
                <w:sz w:val="24"/>
                <w:szCs w:val="24"/>
              </w:rPr>
              <w:t>1</w:t>
            </w:r>
          </w:p>
        </w:tc>
        <w:tc>
          <w:tcPr>
            <w:tcW w:w="1643" w:type="dxa"/>
          </w:tcPr>
          <w:p w14:paraId="7597EA4E" w14:textId="0CD3969B" w:rsidR="004B1F5F" w:rsidRPr="00CE711C" w:rsidRDefault="00B774A6" w:rsidP="00B774A6">
            <w:pPr>
              <w:spacing w:after="240"/>
              <w:rPr>
                <w:rFonts w:asciiTheme="majorBidi" w:hAnsiTheme="majorBidi" w:cstheme="majorBidi"/>
                <w:sz w:val="24"/>
                <w:szCs w:val="24"/>
              </w:rPr>
            </w:pPr>
            <w:r w:rsidRPr="00CE711C">
              <w:rPr>
                <w:rFonts w:ascii="Times New Roman" w:hAnsi="Times New Roman" w:cs="Times New Roman"/>
                <w:sz w:val="24"/>
                <w:szCs w:val="24"/>
              </w:rPr>
              <w:t>Sustainable profitability</w:t>
            </w:r>
          </w:p>
        </w:tc>
        <w:tc>
          <w:tcPr>
            <w:tcW w:w="2446" w:type="dxa"/>
          </w:tcPr>
          <w:p w14:paraId="59AC6719" w14:textId="36709C81" w:rsidR="009463DB" w:rsidRPr="009463DB" w:rsidRDefault="009463DB" w:rsidP="009463DB">
            <w:pPr>
              <w:pStyle w:val="NormalWeb"/>
              <w:spacing w:after="240"/>
              <w:jc w:val="both"/>
              <w:rPr>
                <w:rFonts w:asciiTheme="majorBidi" w:hAnsiTheme="majorBidi" w:cstheme="majorBidi"/>
                <w:sz w:val="24"/>
                <w:szCs w:val="24"/>
              </w:rPr>
            </w:pPr>
            <w:r w:rsidRPr="009463DB">
              <w:rPr>
                <w:rFonts w:asciiTheme="majorBidi" w:hAnsiTheme="majorBidi" w:cstheme="majorBidi"/>
                <w:sz w:val="24"/>
                <w:szCs w:val="24"/>
              </w:rPr>
              <w:t xml:space="preserve">Sustainable profitability refers to a firm's ability to earn consistent and sufficient profits over a long </w:t>
            </w:r>
            <w:r w:rsidRPr="00CE711C">
              <w:rPr>
                <w:rFonts w:asciiTheme="majorBidi" w:hAnsiTheme="majorBidi" w:cstheme="majorBidi"/>
                <w:sz w:val="24"/>
                <w:szCs w:val="24"/>
              </w:rPr>
              <w:t>period. It captures profitability trends over time,</w:t>
            </w:r>
          </w:p>
          <w:p w14:paraId="6004A281" w14:textId="1D9E36E3" w:rsidR="004B1F5F" w:rsidRPr="00CE711C" w:rsidRDefault="004B1F5F" w:rsidP="007A6580">
            <w:pPr>
              <w:pStyle w:val="NormalWeb"/>
              <w:spacing w:after="240" w:afterAutospacing="0"/>
              <w:jc w:val="both"/>
              <w:rPr>
                <w:rFonts w:asciiTheme="majorBidi" w:hAnsiTheme="majorBidi" w:cstheme="majorBidi"/>
                <w:sz w:val="24"/>
                <w:szCs w:val="24"/>
              </w:rPr>
            </w:pPr>
          </w:p>
        </w:tc>
        <w:tc>
          <w:tcPr>
            <w:tcW w:w="1403" w:type="dxa"/>
          </w:tcPr>
          <w:p w14:paraId="2CDB058F" w14:textId="75A808C4" w:rsidR="004B1F5F" w:rsidRPr="00CE711C" w:rsidRDefault="004B1F5F" w:rsidP="007A6580">
            <w:pPr>
              <w:spacing w:after="240"/>
              <w:rPr>
                <w:rFonts w:asciiTheme="majorBidi" w:hAnsiTheme="majorBidi" w:cstheme="majorBidi"/>
                <w:sz w:val="24"/>
                <w:szCs w:val="24"/>
              </w:rPr>
            </w:pPr>
            <w:r w:rsidRPr="00CE711C">
              <w:rPr>
                <w:rFonts w:asciiTheme="majorBidi" w:hAnsiTheme="majorBidi" w:cstheme="majorBidi"/>
                <w:sz w:val="24"/>
                <w:szCs w:val="24"/>
              </w:rPr>
              <w:t>Dependent</w:t>
            </w:r>
          </w:p>
        </w:tc>
        <w:tc>
          <w:tcPr>
            <w:tcW w:w="1883" w:type="dxa"/>
          </w:tcPr>
          <w:p w14:paraId="6970F87E" w14:textId="34187297" w:rsidR="004B1F5F" w:rsidRPr="00CE711C" w:rsidRDefault="00C72397" w:rsidP="00652D9F">
            <w:pPr>
              <w:spacing w:after="240"/>
              <w:jc w:val="both"/>
              <w:rPr>
                <w:rFonts w:asciiTheme="majorBidi" w:hAnsiTheme="majorBidi" w:cstheme="majorBidi"/>
                <w:bCs/>
                <w:sz w:val="24"/>
                <w:szCs w:val="24"/>
              </w:rPr>
            </w:pPr>
            <w:r w:rsidRPr="00CE711C">
              <w:rPr>
                <w:rFonts w:asciiTheme="majorBidi" w:hAnsiTheme="majorBidi" w:cstheme="majorBidi"/>
                <w:bCs/>
                <w:sz w:val="24"/>
                <w:szCs w:val="24"/>
              </w:rPr>
              <w:t xml:space="preserve">It is measured by </w:t>
            </w:r>
            <w:r w:rsidR="009463DB" w:rsidRPr="00CE711C">
              <w:rPr>
                <w:rFonts w:asciiTheme="majorBidi" w:hAnsiTheme="majorBidi" w:cstheme="majorBidi"/>
                <w:bCs/>
                <w:sz w:val="24"/>
                <w:szCs w:val="24"/>
              </w:rPr>
              <w:t>averaging three-year ROA and ROE ratios.</w:t>
            </w:r>
          </w:p>
        </w:tc>
        <w:tc>
          <w:tcPr>
            <w:tcW w:w="1462" w:type="dxa"/>
          </w:tcPr>
          <w:p w14:paraId="2DF9E6CC" w14:textId="62623DA6" w:rsidR="004B1F5F" w:rsidRPr="00CE711C" w:rsidRDefault="009463DB" w:rsidP="00652D9F">
            <w:pPr>
              <w:spacing w:after="240"/>
              <w:jc w:val="both"/>
              <w:rPr>
                <w:rFonts w:asciiTheme="majorBidi" w:hAnsiTheme="majorBidi" w:cstheme="majorBidi"/>
                <w:sz w:val="24"/>
                <w:szCs w:val="24"/>
                <w:lang w:val="fr-FR"/>
              </w:rPr>
            </w:pPr>
            <w:r w:rsidRPr="00CE711C">
              <w:rPr>
                <w:rFonts w:asciiTheme="majorBidi" w:eastAsia="Times New Roman" w:hAnsiTheme="majorBidi" w:cstheme="majorBidi"/>
                <w:sz w:val="24"/>
                <w:szCs w:val="24"/>
              </w:rPr>
              <w:t xml:space="preserve">Lozano, R. (2018). </w:t>
            </w:r>
          </w:p>
        </w:tc>
      </w:tr>
      <w:tr w:rsidR="00ED1D7C" w:rsidRPr="005E51ED" w14:paraId="4342FA49" w14:textId="77777777" w:rsidTr="00652D9F">
        <w:tc>
          <w:tcPr>
            <w:tcW w:w="523" w:type="dxa"/>
          </w:tcPr>
          <w:p w14:paraId="03888C8B" w14:textId="42A622C9" w:rsidR="00ED1D7C" w:rsidRPr="00652D9F" w:rsidRDefault="004B1F5F" w:rsidP="007A6580">
            <w:pPr>
              <w:spacing w:after="240"/>
              <w:rPr>
                <w:rFonts w:asciiTheme="majorBidi" w:hAnsiTheme="majorBidi" w:cstheme="majorBidi"/>
                <w:sz w:val="24"/>
                <w:szCs w:val="24"/>
              </w:rPr>
            </w:pPr>
            <w:r>
              <w:rPr>
                <w:rFonts w:asciiTheme="majorBidi" w:hAnsiTheme="majorBidi" w:cstheme="majorBidi"/>
                <w:sz w:val="24"/>
                <w:szCs w:val="24"/>
              </w:rPr>
              <w:t>2</w:t>
            </w:r>
          </w:p>
        </w:tc>
        <w:tc>
          <w:tcPr>
            <w:tcW w:w="1643" w:type="dxa"/>
          </w:tcPr>
          <w:p w14:paraId="28846B04" w14:textId="77777777" w:rsidR="00ED1D7C" w:rsidRPr="00652D9F" w:rsidRDefault="00ED1D7C" w:rsidP="007A6580">
            <w:pPr>
              <w:spacing w:after="240"/>
              <w:rPr>
                <w:rFonts w:asciiTheme="majorBidi" w:hAnsiTheme="majorBidi" w:cstheme="majorBidi"/>
                <w:sz w:val="24"/>
                <w:szCs w:val="24"/>
              </w:rPr>
            </w:pPr>
            <w:r w:rsidRPr="00652D9F">
              <w:rPr>
                <w:rFonts w:asciiTheme="majorBidi" w:hAnsiTheme="majorBidi" w:cstheme="majorBidi"/>
                <w:sz w:val="24"/>
                <w:szCs w:val="24"/>
              </w:rPr>
              <w:t>Environmental Information Disclosure (EID)</w:t>
            </w:r>
          </w:p>
        </w:tc>
        <w:tc>
          <w:tcPr>
            <w:tcW w:w="2446" w:type="dxa"/>
          </w:tcPr>
          <w:p w14:paraId="7B0A4CF8" w14:textId="65DCFBAF" w:rsidR="00ED1D7C" w:rsidRPr="00652D9F" w:rsidRDefault="00ED1D7C" w:rsidP="007A6580">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Environmental Information Disclosure (EID) refers to the practice of </w:t>
            </w:r>
            <w:proofErr w:type="spellStart"/>
            <w:r w:rsidR="00551D6B">
              <w:rPr>
                <w:rFonts w:asciiTheme="majorBidi" w:hAnsiTheme="majorBidi" w:cstheme="majorBidi"/>
                <w:sz w:val="24"/>
                <w:szCs w:val="24"/>
              </w:rPr>
              <w:t>organisations</w:t>
            </w:r>
            <w:proofErr w:type="spellEnd"/>
            <w:r w:rsidRPr="00652D9F">
              <w:rPr>
                <w:rFonts w:asciiTheme="majorBidi" w:hAnsiTheme="majorBidi" w:cstheme="majorBidi"/>
                <w:sz w:val="24"/>
                <w:szCs w:val="24"/>
              </w:rPr>
              <w:t xml:space="preserve"> voluntarily or mandatorily reporting their environmental performance, policies, and impacts in a </w:t>
            </w:r>
            <w:r w:rsidRPr="00652D9F">
              <w:rPr>
                <w:rFonts w:asciiTheme="majorBidi" w:hAnsiTheme="majorBidi" w:cstheme="majorBidi"/>
                <w:sz w:val="24"/>
                <w:szCs w:val="24"/>
              </w:rPr>
              <w:lastRenderedPageBreak/>
              <w:t xml:space="preserve">transparent manner. This includes information on resource usage, waste management, emissions, sustainability initiatives, and compliance with environmental regulations. </w:t>
            </w:r>
          </w:p>
        </w:tc>
        <w:tc>
          <w:tcPr>
            <w:tcW w:w="1403" w:type="dxa"/>
          </w:tcPr>
          <w:p w14:paraId="5537C219" w14:textId="77777777" w:rsidR="00ED1D7C" w:rsidRPr="00652D9F" w:rsidRDefault="00ED1D7C" w:rsidP="007A6580">
            <w:pPr>
              <w:spacing w:after="240"/>
              <w:rPr>
                <w:rFonts w:asciiTheme="majorBidi" w:hAnsiTheme="majorBidi" w:cstheme="majorBidi"/>
                <w:sz w:val="24"/>
                <w:szCs w:val="24"/>
              </w:rPr>
            </w:pPr>
            <w:r w:rsidRPr="00652D9F">
              <w:rPr>
                <w:rFonts w:asciiTheme="majorBidi" w:hAnsiTheme="majorBidi" w:cstheme="majorBidi"/>
                <w:sz w:val="24"/>
                <w:szCs w:val="24"/>
              </w:rPr>
              <w:lastRenderedPageBreak/>
              <w:t>Independent</w:t>
            </w:r>
          </w:p>
        </w:tc>
        <w:tc>
          <w:tcPr>
            <w:tcW w:w="1883" w:type="dxa"/>
          </w:tcPr>
          <w:p w14:paraId="571E2A99" w14:textId="730B2F7E" w:rsidR="00ED1D7C" w:rsidRPr="00652D9F" w:rsidRDefault="00ED1D7C" w:rsidP="00652D9F">
            <w:pPr>
              <w:spacing w:after="240"/>
              <w:jc w:val="both"/>
              <w:rPr>
                <w:rFonts w:asciiTheme="majorBidi" w:hAnsiTheme="majorBidi" w:cstheme="majorBidi"/>
                <w:bCs/>
                <w:sz w:val="24"/>
                <w:szCs w:val="24"/>
              </w:rPr>
            </w:pPr>
            <w:r w:rsidRPr="00652D9F">
              <w:rPr>
                <w:rFonts w:asciiTheme="majorBidi" w:hAnsiTheme="majorBidi" w:cstheme="majorBidi"/>
                <w:bCs/>
                <w:sz w:val="24"/>
                <w:szCs w:val="24"/>
              </w:rPr>
              <w:t>The aggregate of these disclosures</w:t>
            </w:r>
            <w:r w:rsidR="006E05CC">
              <w:rPr>
                <w:rFonts w:asciiTheme="majorBidi" w:hAnsiTheme="majorBidi" w:cstheme="majorBidi"/>
                <w:bCs/>
                <w:sz w:val="24"/>
                <w:szCs w:val="24"/>
              </w:rPr>
              <w:t>,</w:t>
            </w:r>
            <w:r w:rsidRPr="00652D9F">
              <w:rPr>
                <w:rFonts w:asciiTheme="majorBidi" w:hAnsiTheme="majorBidi" w:cstheme="majorBidi"/>
                <w:bCs/>
                <w:sz w:val="24"/>
                <w:szCs w:val="24"/>
              </w:rPr>
              <w:t xml:space="preserve"> as stated in the index</w:t>
            </w:r>
            <w:r w:rsidR="00551D6B">
              <w:rPr>
                <w:rFonts w:asciiTheme="majorBidi" w:hAnsiTheme="majorBidi" w:cstheme="majorBidi"/>
                <w:bCs/>
                <w:sz w:val="24"/>
                <w:szCs w:val="24"/>
              </w:rPr>
              <w:t xml:space="preserve">, </w:t>
            </w:r>
            <w:r w:rsidR="00A0306C">
              <w:rPr>
                <w:rFonts w:asciiTheme="majorBidi" w:hAnsiTheme="majorBidi" w:cstheme="majorBidi"/>
                <w:bCs/>
                <w:sz w:val="24"/>
                <w:szCs w:val="24"/>
              </w:rPr>
              <w:t>includes</w:t>
            </w:r>
            <w:r w:rsidR="00551D6B">
              <w:rPr>
                <w:rFonts w:asciiTheme="majorBidi" w:hAnsiTheme="majorBidi" w:cstheme="majorBidi"/>
                <w:bCs/>
                <w:sz w:val="24"/>
                <w:szCs w:val="24"/>
              </w:rPr>
              <w:t xml:space="preserve"> Environmental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Material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Energy</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Water</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Biodiversity</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Emissions</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Effluents and </w:t>
            </w:r>
            <w:r w:rsidR="00551D6B">
              <w:rPr>
                <w:rFonts w:asciiTheme="majorBidi" w:hAnsiTheme="majorBidi" w:cstheme="majorBidi"/>
                <w:bCs/>
                <w:sz w:val="24"/>
                <w:szCs w:val="24"/>
              </w:rPr>
              <w:lastRenderedPageBreak/>
              <w:t>waste disposal</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Product service environmental impact</w:t>
            </w:r>
            <w:r w:rsidR="009371F8">
              <w:rPr>
                <w:rFonts w:asciiTheme="majorBidi" w:hAnsiTheme="majorBidi" w:cstheme="majorBidi"/>
                <w:bCs/>
                <w:sz w:val="24"/>
                <w:szCs w:val="24"/>
              </w:rPr>
              <w:t>,</w:t>
            </w:r>
            <w:r w:rsidR="00551D6B">
              <w:rPr>
                <w:rFonts w:asciiTheme="majorBidi" w:hAnsiTheme="majorBidi" w:cstheme="majorBidi"/>
                <w:bCs/>
                <w:sz w:val="24"/>
                <w:szCs w:val="24"/>
              </w:rPr>
              <w:t xml:space="preserve"> and Compliance with</w:t>
            </w:r>
            <w:r w:rsidRPr="00652D9F">
              <w:rPr>
                <w:rFonts w:asciiTheme="majorBidi" w:hAnsiTheme="majorBidi" w:cstheme="majorBidi"/>
                <w:bCs/>
                <w:sz w:val="24"/>
                <w:szCs w:val="24"/>
              </w:rPr>
              <w:t xml:space="preserve"> environmental laws and regulations.</w:t>
            </w:r>
          </w:p>
        </w:tc>
        <w:tc>
          <w:tcPr>
            <w:tcW w:w="1462" w:type="dxa"/>
          </w:tcPr>
          <w:p w14:paraId="3B55108A" w14:textId="79728197" w:rsidR="00ED1D7C" w:rsidRPr="00652D9F" w:rsidRDefault="00780930" w:rsidP="00652D9F">
            <w:pPr>
              <w:spacing w:after="240"/>
              <w:jc w:val="both"/>
              <w:rPr>
                <w:rFonts w:asciiTheme="majorBidi" w:hAnsiTheme="majorBidi" w:cstheme="majorBidi"/>
                <w:sz w:val="24"/>
                <w:szCs w:val="24"/>
                <w:lang w:val="fr-FR"/>
              </w:rPr>
            </w:pPr>
            <w:proofErr w:type="spellStart"/>
            <w:r>
              <w:rPr>
                <w:rFonts w:asciiTheme="majorBidi" w:hAnsiTheme="majorBidi" w:cstheme="majorBidi"/>
                <w:sz w:val="24"/>
                <w:szCs w:val="24"/>
                <w:lang w:val="fr-FR"/>
              </w:rPr>
              <w:lastRenderedPageBreak/>
              <w:t>Dagunduro</w:t>
            </w:r>
            <w:proofErr w:type="spellEnd"/>
            <w:r w:rsidR="00ED1D7C" w:rsidRPr="00652D9F">
              <w:rPr>
                <w:rFonts w:asciiTheme="majorBidi" w:hAnsiTheme="majorBidi" w:cstheme="majorBidi"/>
                <w:sz w:val="24"/>
                <w:szCs w:val="24"/>
                <w:lang w:val="fr-FR"/>
              </w:rPr>
              <w:t xml:space="preserve"> et al. (202</w:t>
            </w:r>
            <w:r>
              <w:rPr>
                <w:rFonts w:asciiTheme="majorBidi" w:hAnsiTheme="majorBidi" w:cstheme="majorBidi"/>
                <w:sz w:val="24"/>
                <w:szCs w:val="24"/>
                <w:lang w:val="fr-FR"/>
              </w:rPr>
              <w:t>4</w:t>
            </w:r>
            <w:proofErr w:type="gramStart"/>
            <w:r w:rsidR="00ED1D7C" w:rsidRPr="00652D9F">
              <w:rPr>
                <w:rFonts w:asciiTheme="majorBidi" w:hAnsiTheme="majorBidi" w:cstheme="majorBidi"/>
                <w:sz w:val="24"/>
                <w:szCs w:val="24"/>
                <w:lang w:val="fr-FR"/>
              </w:rPr>
              <w:t>);</w:t>
            </w:r>
            <w:proofErr w:type="gramEnd"/>
            <w:r w:rsidR="00ED1D7C" w:rsidRPr="00652D9F">
              <w:rPr>
                <w:rFonts w:asciiTheme="majorBidi" w:hAnsiTheme="majorBidi" w:cstheme="majorBidi"/>
                <w:sz w:val="24"/>
                <w:szCs w:val="24"/>
                <w:lang w:val="fr-FR"/>
              </w:rPr>
              <w:t xml:space="preserve"> </w:t>
            </w:r>
            <w:r w:rsidR="00DC44D6">
              <w:rPr>
                <w:rFonts w:asciiTheme="majorBidi" w:hAnsiTheme="majorBidi" w:cstheme="majorBidi"/>
                <w:sz w:val="24"/>
                <w:szCs w:val="24"/>
                <w:lang w:val="fr-FR"/>
              </w:rPr>
              <w:t>Hou et al.</w:t>
            </w:r>
            <w:r w:rsidR="00ED1D7C" w:rsidRPr="00652D9F">
              <w:rPr>
                <w:rFonts w:asciiTheme="majorBidi" w:hAnsiTheme="majorBidi" w:cstheme="majorBidi"/>
                <w:sz w:val="24"/>
                <w:szCs w:val="24"/>
                <w:lang w:val="fr-FR"/>
              </w:rPr>
              <w:t>, (202</w:t>
            </w:r>
            <w:r w:rsidR="00DC44D6">
              <w:rPr>
                <w:rFonts w:asciiTheme="majorBidi" w:hAnsiTheme="majorBidi" w:cstheme="majorBidi"/>
                <w:sz w:val="24"/>
                <w:szCs w:val="24"/>
                <w:lang w:val="fr-FR"/>
              </w:rPr>
              <w:t>4</w:t>
            </w:r>
            <w:r w:rsidR="00ED1D7C" w:rsidRPr="00652D9F">
              <w:rPr>
                <w:rFonts w:asciiTheme="majorBidi" w:hAnsiTheme="majorBidi" w:cstheme="majorBidi"/>
                <w:sz w:val="24"/>
                <w:szCs w:val="24"/>
                <w:lang w:val="fr-FR"/>
              </w:rPr>
              <w:t>).</w:t>
            </w:r>
          </w:p>
          <w:p w14:paraId="4968599F" w14:textId="77777777" w:rsidR="00ED1D7C" w:rsidRPr="00652D9F" w:rsidRDefault="00ED1D7C" w:rsidP="00652D9F">
            <w:pPr>
              <w:spacing w:after="240"/>
              <w:jc w:val="both"/>
              <w:rPr>
                <w:rFonts w:asciiTheme="majorBidi" w:hAnsiTheme="majorBidi" w:cstheme="majorBidi"/>
                <w:sz w:val="24"/>
                <w:szCs w:val="24"/>
                <w:lang w:val="fr-FR"/>
              </w:rPr>
            </w:pPr>
          </w:p>
        </w:tc>
      </w:tr>
      <w:tr w:rsidR="00DC44D6" w:rsidRPr="005E51ED" w14:paraId="5A08D9EF" w14:textId="77777777" w:rsidTr="00652D9F">
        <w:tc>
          <w:tcPr>
            <w:tcW w:w="523" w:type="dxa"/>
          </w:tcPr>
          <w:p w14:paraId="7B888DF8" w14:textId="327B26BC" w:rsidR="00DC44D6" w:rsidRPr="00652D9F" w:rsidRDefault="004B1F5F" w:rsidP="00DC44D6">
            <w:pPr>
              <w:spacing w:after="240"/>
              <w:rPr>
                <w:rFonts w:asciiTheme="majorBidi" w:hAnsiTheme="majorBidi" w:cstheme="majorBidi"/>
                <w:sz w:val="24"/>
                <w:szCs w:val="24"/>
              </w:rPr>
            </w:pPr>
            <w:r>
              <w:rPr>
                <w:rFonts w:asciiTheme="majorBidi" w:hAnsiTheme="majorBidi" w:cstheme="majorBidi"/>
                <w:sz w:val="24"/>
                <w:szCs w:val="24"/>
              </w:rPr>
              <w:lastRenderedPageBreak/>
              <w:t>3</w:t>
            </w:r>
          </w:p>
        </w:tc>
        <w:tc>
          <w:tcPr>
            <w:tcW w:w="1643" w:type="dxa"/>
          </w:tcPr>
          <w:p w14:paraId="40BB5FED"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Social Information Disclosure (SID)</w:t>
            </w:r>
          </w:p>
        </w:tc>
        <w:tc>
          <w:tcPr>
            <w:tcW w:w="2446" w:type="dxa"/>
          </w:tcPr>
          <w:p w14:paraId="6F5BD240" w14:textId="5DF6507D" w:rsidR="00DC44D6" w:rsidRPr="00652D9F" w:rsidRDefault="00DC44D6" w:rsidP="00DC44D6">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Social Information Disclosure (SID) refers to the practice of companies voluntarily reporting on their social, environmental, and ethical activities, particularly those impacting society and stakeholders. This can include details on corporate social responsibility (CSR) initiatives, community engagement, </w:t>
            </w:r>
            <w:proofErr w:type="spellStart"/>
            <w:r w:rsidR="00237C59">
              <w:rPr>
                <w:rFonts w:asciiTheme="majorBidi" w:hAnsiTheme="majorBidi" w:cstheme="majorBidi"/>
                <w:sz w:val="24"/>
                <w:szCs w:val="24"/>
              </w:rPr>
              <w:t>labour</w:t>
            </w:r>
            <w:proofErr w:type="spellEnd"/>
            <w:r w:rsidRPr="00652D9F">
              <w:rPr>
                <w:rFonts w:asciiTheme="majorBidi" w:hAnsiTheme="majorBidi" w:cstheme="majorBidi"/>
                <w:sz w:val="24"/>
                <w:szCs w:val="24"/>
              </w:rPr>
              <w:t xml:space="preserve"> practices, environmental sustainability efforts, and ethical governance. </w:t>
            </w:r>
          </w:p>
          <w:p w14:paraId="309DC235" w14:textId="77777777" w:rsidR="00DC44D6" w:rsidRPr="00652D9F" w:rsidRDefault="00DC44D6" w:rsidP="00DC44D6">
            <w:pPr>
              <w:spacing w:after="240"/>
              <w:rPr>
                <w:rFonts w:asciiTheme="majorBidi" w:hAnsiTheme="majorBidi" w:cstheme="majorBidi"/>
                <w:sz w:val="24"/>
                <w:szCs w:val="24"/>
              </w:rPr>
            </w:pPr>
          </w:p>
        </w:tc>
        <w:tc>
          <w:tcPr>
            <w:tcW w:w="1403" w:type="dxa"/>
          </w:tcPr>
          <w:p w14:paraId="2F3046E4"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Independent</w:t>
            </w:r>
          </w:p>
        </w:tc>
        <w:tc>
          <w:tcPr>
            <w:tcW w:w="1883" w:type="dxa"/>
          </w:tcPr>
          <w:p w14:paraId="6A1C7849" w14:textId="1236C590" w:rsidR="00DC44D6" w:rsidRPr="00652D9F" w:rsidRDefault="00DC44D6" w:rsidP="00DC44D6">
            <w:pPr>
              <w:spacing w:after="240"/>
              <w:jc w:val="both"/>
              <w:rPr>
                <w:rFonts w:asciiTheme="majorBidi" w:hAnsiTheme="majorBidi" w:cstheme="majorBidi"/>
                <w:bCs/>
                <w:sz w:val="24"/>
                <w:szCs w:val="24"/>
              </w:rPr>
            </w:pPr>
            <w:r w:rsidRPr="00652D9F">
              <w:rPr>
                <w:rFonts w:asciiTheme="majorBidi" w:hAnsiTheme="majorBidi" w:cstheme="majorBidi"/>
                <w:bCs/>
                <w:sz w:val="24"/>
                <w:szCs w:val="24"/>
              </w:rPr>
              <w:t>The aggregate of these disclosures</w:t>
            </w:r>
            <w:r w:rsidR="00A0306C">
              <w:rPr>
                <w:rFonts w:asciiTheme="majorBidi" w:hAnsiTheme="majorBidi" w:cstheme="majorBidi"/>
                <w:bCs/>
                <w:sz w:val="24"/>
                <w:szCs w:val="24"/>
              </w:rPr>
              <w:t>,</w:t>
            </w:r>
            <w:r w:rsidRPr="00652D9F">
              <w:rPr>
                <w:rFonts w:asciiTheme="majorBidi" w:hAnsiTheme="majorBidi" w:cstheme="majorBidi"/>
                <w:bCs/>
                <w:sz w:val="24"/>
                <w:szCs w:val="24"/>
              </w:rPr>
              <w:t xml:space="preserve"> as stated in the index: </w:t>
            </w:r>
            <w:proofErr w:type="spellStart"/>
            <w:r w:rsidRPr="00652D9F">
              <w:rPr>
                <w:rFonts w:asciiTheme="majorBidi" w:hAnsiTheme="majorBidi" w:cstheme="majorBidi"/>
                <w:bCs/>
                <w:sz w:val="24"/>
                <w:szCs w:val="24"/>
              </w:rPr>
              <w:t>Labour</w:t>
            </w:r>
            <w:proofErr w:type="spellEnd"/>
            <w:r w:rsidRPr="00652D9F">
              <w:rPr>
                <w:rFonts w:asciiTheme="majorBidi" w:hAnsiTheme="majorBidi" w:cstheme="majorBidi"/>
                <w:bCs/>
                <w:sz w:val="24"/>
                <w:szCs w:val="24"/>
              </w:rPr>
              <w:t xml:space="preserve"> practices; Human rights; Diversity </w:t>
            </w:r>
            <w:r w:rsidR="00237C59">
              <w:rPr>
                <w:rFonts w:asciiTheme="majorBidi" w:hAnsiTheme="majorBidi" w:cstheme="majorBidi"/>
                <w:bCs/>
                <w:sz w:val="24"/>
                <w:szCs w:val="24"/>
              </w:rPr>
              <w:t xml:space="preserve">and </w:t>
            </w:r>
            <w:r w:rsidRPr="00652D9F">
              <w:rPr>
                <w:rFonts w:asciiTheme="majorBidi" w:hAnsiTheme="majorBidi" w:cstheme="majorBidi"/>
                <w:bCs/>
                <w:sz w:val="24"/>
                <w:szCs w:val="24"/>
              </w:rPr>
              <w:t xml:space="preserve">inclusion; </w:t>
            </w:r>
            <w:r w:rsidR="00237C59">
              <w:rPr>
                <w:rFonts w:asciiTheme="majorBidi" w:hAnsiTheme="majorBidi" w:cstheme="majorBidi"/>
                <w:bCs/>
                <w:sz w:val="24"/>
                <w:szCs w:val="24"/>
              </w:rPr>
              <w:t>Employees'</w:t>
            </w:r>
            <w:r w:rsidRPr="00652D9F">
              <w:rPr>
                <w:rFonts w:asciiTheme="majorBidi" w:hAnsiTheme="majorBidi" w:cstheme="majorBidi"/>
                <w:bCs/>
                <w:sz w:val="24"/>
                <w:szCs w:val="24"/>
              </w:rPr>
              <w:t xml:space="preserve"> well-being and development; Community engagement; </w:t>
            </w:r>
            <w:r w:rsidR="00237C59">
              <w:rPr>
                <w:rFonts w:asciiTheme="majorBidi" w:hAnsiTheme="majorBidi" w:cstheme="majorBidi"/>
                <w:bCs/>
                <w:sz w:val="24"/>
                <w:szCs w:val="24"/>
              </w:rPr>
              <w:t>Employees'</w:t>
            </w:r>
            <w:r w:rsidRPr="00652D9F">
              <w:rPr>
                <w:rFonts w:asciiTheme="majorBidi" w:hAnsiTheme="majorBidi" w:cstheme="majorBidi"/>
                <w:bCs/>
                <w:sz w:val="24"/>
                <w:szCs w:val="24"/>
              </w:rPr>
              <w:t xml:space="preserve"> health and safety; and Philanthropic activities.</w:t>
            </w:r>
          </w:p>
        </w:tc>
        <w:tc>
          <w:tcPr>
            <w:tcW w:w="1462" w:type="dxa"/>
          </w:tcPr>
          <w:p w14:paraId="613F7217" w14:textId="371756EE" w:rsidR="00DC44D6" w:rsidRPr="00DC44D6" w:rsidRDefault="00DC44D6" w:rsidP="00DC44D6">
            <w:pPr>
              <w:spacing w:after="240"/>
              <w:jc w:val="both"/>
              <w:rPr>
                <w:rFonts w:asciiTheme="majorBidi" w:hAnsiTheme="majorBidi" w:cstheme="majorBidi"/>
                <w:sz w:val="24"/>
                <w:szCs w:val="24"/>
                <w:lang w:val="fr-FR"/>
              </w:rPr>
            </w:pPr>
            <w:proofErr w:type="spellStart"/>
            <w:r w:rsidRPr="006D4AA4">
              <w:rPr>
                <w:rFonts w:asciiTheme="majorBidi" w:hAnsiTheme="majorBidi" w:cstheme="majorBidi"/>
                <w:sz w:val="24"/>
                <w:szCs w:val="24"/>
                <w:lang w:val="fr-FR"/>
              </w:rPr>
              <w:t>Dagunduro</w:t>
            </w:r>
            <w:proofErr w:type="spellEnd"/>
            <w:r w:rsidRPr="006D4AA4">
              <w:rPr>
                <w:rFonts w:asciiTheme="majorBidi" w:hAnsiTheme="majorBidi" w:cstheme="majorBidi"/>
                <w:sz w:val="24"/>
                <w:szCs w:val="24"/>
                <w:lang w:val="fr-FR"/>
              </w:rPr>
              <w:t xml:space="preserve"> et al. (2024); Hou et al., (2024).</w:t>
            </w:r>
          </w:p>
        </w:tc>
      </w:tr>
      <w:tr w:rsidR="00DC44D6" w:rsidRPr="005E51ED" w14:paraId="6415C1D3" w14:textId="77777777" w:rsidTr="00652D9F">
        <w:tc>
          <w:tcPr>
            <w:tcW w:w="523" w:type="dxa"/>
          </w:tcPr>
          <w:p w14:paraId="209D9026" w14:textId="76FB1BA0" w:rsidR="00DC44D6" w:rsidRPr="00652D9F" w:rsidRDefault="004B1F5F" w:rsidP="00DC44D6">
            <w:pPr>
              <w:spacing w:after="240"/>
              <w:rPr>
                <w:rFonts w:asciiTheme="majorBidi" w:hAnsiTheme="majorBidi" w:cstheme="majorBidi"/>
                <w:sz w:val="24"/>
                <w:szCs w:val="24"/>
              </w:rPr>
            </w:pPr>
            <w:r>
              <w:rPr>
                <w:rFonts w:asciiTheme="majorBidi" w:hAnsiTheme="majorBidi" w:cstheme="majorBidi"/>
                <w:sz w:val="24"/>
                <w:szCs w:val="24"/>
              </w:rPr>
              <w:t>4</w:t>
            </w:r>
          </w:p>
        </w:tc>
        <w:tc>
          <w:tcPr>
            <w:tcW w:w="1643" w:type="dxa"/>
          </w:tcPr>
          <w:p w14:paraId="57AFD1FA"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t>Governance Information Disclosure (GID)</w:t>
            </w:r>
          </w:p>
        </w:tc>
        <w:tc>
          <w:tcPr>
            <w:tcW w:w="2446" w:type="dxa"/>
          </w:tcPr>
          <w:p w14:paraId="0F174B4D" w14:textId="77777777" w:rsidR="00DC44D6" w:rsidRPr="00652D9F" w:rsidRDefault="00DC44D6" w:rsidP="00DC44D6">
            <w:pPr>
              <w:pStyle w:val="NormalWeb"/>
              <w:spacing w:after="240" w:afterAutospacing="0"/>
              <w:jc w:val="both"/>
              <w:rPr>
                <w:rFonts w:asciiTheme="majorBidi" w:hAnsiTheme="majorBidi" w:cstheme="majorBidi"/>
                <w:sz w:val="24"/>
                <w:szCs w:val="24"/>
              </w:rPr>
            </w:pPr>
            <w:r w:rsidRPr="00652D9F">
              <w:rPr>
                <w:rFonts w:asciiTheme="majorBidi" w:hAnsiTheme="majorBidi" w:cstheme="majorBidi"/>
                <w:sz w:val="24"/>
                <w:szCs w:val="24"/>
              </w:rPr>
              <w:t xml:space="preserve">Governance Information Disclosure (GID) refers to the process by which companies provide transparent and detailed information about their governance structures, practices, and policies. This includes disclosures related to the </w:t>
            </w:r>
            <w:r w:rsidRPr="00652D9F">
              <w:rPr>
                <w:rFonts w:asciiTheme="majorBidi" w:hAnsiTheme="majorBidi" w:cstheme="majorBidi"/>
                <w:sz w:val="24"/>
                <w:szCs w:val="24"/>
              </w:rPr>
              <w:lastRenderedPageBreak/>
              <w:t xml:space="preserve">composition of the board of directors, executive remuneration, internal controls, risk management frameworks, shareholder rights, and other key aspects of corporate governance. </w:t>
            </w:r>
          </w:p>
        </w:tc>
        <w:tc>
          <w:tcPr>
            <w:tcW w:w="1403" w:type="dxa"/>
          </w:tcPr>
          <w:p w14:paraId="0BB07688" w14:textId="77777777" w:rsidR="00DC44D6" w:rsidRPr="00652D9F" w:rsidRDefault="00DC44D6" w:rsidP="00DC44D6">
            <w:pPr>
              <w:spacing w:after="240"/>
              <w:rPr>
                <w:rFonts w:asciiTheme="majorBidi" w:hAnsiTheme="majorBidi" w:cstheme="majorBidi"/>
                <w:sz w:val="24"/>
                <w:szCs w:val="24"/>
              </w:rPr>
            </w:pPr>
            <w:r w:rsidRPr="00652D9F">
              <w:rPr>
                <w:rFonts w:asciiTheme="majorBidi" w:hAnsiTheme="majorBidi" w:cstheme="majorBidi"/>
                <w:sz w:val="24"/>
                <w:szCs w:val="24"/>
              </w:rPr>
              <w:lastRenderedPageBreak/>
              <w:t>Independent</w:t>
            </w:r>
          </w:p>
        </w:tc>
        <w:tc>
          <w:tcPr>
            <w:tcW w:w="1883" w:type="dxa"/>
          </w:tcPr>
          <w:p w14:paraId="0BC003AB" w14:textId="77777777" w:rsidR="00DC44D6" w:rsidRPr="00652D9F" w:rsidRDefault="00DC44D6" w:rsidP="00DC44D6">
            <w:pPr>
              <w:spacing w:after="240"/>
              <w:jc w:val="both"/>
              <w:rPr>
                <w:rFonts w:asciiTheme="majorBidi" w:hAnsiTheme="majorBidi" w:cstheme="majorBidi"/>
                <w:bCs/>
                <w:sz w:val="24"/>
                <w:szCs w:val="24"/>
              </w:rPr>
            </w:pPr>
            <w:r w:rsidRPr="00652D9F">
              <w:rPr>
                <w:rFonts w:asciiTheme="majorBidi" w:hAnsiTheme="majorBidi" w:cstheme="majorBidi"/>
                <w:bCs/>
                <w:sz w:val="24"/>
                <w:szCs w:val="24"/>
              </w:rPr>
              <w:t xml:space="preserve">The aggregate of these disclosures as stated in the index: Board composition; Executives’ compensation; Ethical Standards; Board members’ financial knowledge; and </w:t>
            </w:r>
            <w:r w:rsidRPr="00652D9F">
              <w:rPr>
                <w:rFonts w:asciiTheme="majorBidi" w:hAnsiTheme="majorBidi" w:cstheme="majorBidi"/>
                <w:bCs/>
                <w:sz w:val="24"/>
                <w:szCs w:val="24"/>
              </w:rPr>
              <w:lastRenderedPageBreak/>
              <w:t>Risk management practices.</w:t>
            </w:r>
          </w:p>
        </w:tc>
        <w:tc>
          <w:tcPr>
            <w:tcW w:w="1462" w:type="dxa"/>
          </w:tcPr>
          <w:p w14:paraId="60597CCE" w14:textId="53E783BD" w:rsidR="00DC44D6" w:rsidRPr="00DC44D6" w:rsidRDefault="00DC44D6" w:rsidP="00DC44D6">
            <w:pPr>
              <w:spacing w:after="240"/>
              <w:jc w:val="both"/>
              <w:rPr>
                <w:rFonts w:asciiTheme="majorBidi" w:hAnsiTheme="majorBidi" w:cstheme="majorBidi"/>
                <w:sz w:val="24"/>
                <w:szCs w:val="24"/>
                <w:lang w:val="fr-FR"/>
              </w:rPr>
            </w:pPr>
            <w:proofErr w:type="spellStart"/>
            <w:r w:rsidRPr="006D4AA4">
              <w:rPr>
                <w:rFonts w:asciiTheme="majorBidi" w:hAnsiTheme="majorBidi" w:cstheme="majorBidi"/>
                <w:sz w:val="24"/>
                <w:szCs w:val="24"/>
                <w:lang w:val="fr-FR"/>
              </w:rPr>
              <w:lastRenderedPageBreak/>
              <w:t>Dagunduro</w:t>
            </w:r>
            <w:proofErr w:type="spellEnd"/>
            <w:r w:rsidRPr="006D4AA4">
              <w:rPr>
                <w:rFonts w:asciiTheme="majorBidi" w:hAnsiTheme="majorBidi" w:cstheme="majorBidi"/>
                <w:sz w:val="24"/>
                <w:szCs w:val="24"/>
                <w:lang w:val="fr-FR"/>
              </w:rPr>
              <w:t xml:space="preserve"> et al. (2024); Hou et al., (2024).</w:t>
            </w:r>
          </w:p>
        </w:tc>
      </w:tr>
    </w:tbl>
    <w:p w14:paraId="10D25B5E" w14:textId="77777777" w:rsidR="00ED1D7C" w:rsidRPr="00FB7D54" w:rsidRDefault="00ED1D7C" w:rsidP="00ED1D7C">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lastRenderedPageBreak/>
        <w:t>Source: Researchers’ compilation (2025)</w:t>
      </w:r>
    </w:p>
    <w:p w14:paraId="7525ADD7" w14:textId="77777777" w:rsidR="00B30648" w:rsidRDefault="00B30648" w:rsidP="00B30648">
      <w:pPr>
        <w:spacing w:after="0" w:line="360" w:lineRule="auto"/>
        <w:jc w:val="both"/>
        <w:rPr>
          <w:rFonts w:asciiTheme="majorBidi" w:hAnsiTheme="majorBidi" w:cstheme="majorBidi"/>
          <w:b/>
          <w:bCs/>
        </w:rPr>
      </w:pPr>
      <w:r w:rsidRPr="0095282E">
        <w:rPr>
          <w:rFonts w:asciiTheme="majorBidi" w:hAnsiTheme="majorBidi" w:cstheme="majorBidi"/>
          <w:b/>
          <w:bCs/>
        </w:rPr>
        <w:t>3.</w:t>
      </w:r>
      <w:r>
        <w:rPr>
          <w:rFonts w:asciiTheme="majorBidi" w:hAnsiTheme="majorBidi" w:cstheme="majorBidi"/>
          <w:b/>
          <w:bCs/>
        </w:rPr>
        <w:t>3</w:t>
      </w:r>
      <w:r w:rsidRPr="0095282E">
        <w:rPr>
          <w:rFonts w:asciiTheme="majorBidi" w:hAnsiTheme="majorBidi" w:cstheme="majorBidi"/>
          <w:b/>
          <w:bCs/>
        </w:rPr>
        <w:t xml:space="preserve"> </w:t>
      </w:r>
      <w:r>
        <w:rPr>
          <w:rFonts w:asciiTheme="majorBidi" w:hAnsiTheme="majorBidi" w:cstheme="majorBidi"/>
          <w:b/>
          <w:bCs/>
        </w:rPr>
        <w:t>Data Analysis Techniques</w:t>
      </w:r>
    </w:p>
    <w:p w14:paraId="48435BB0" w14:textId="19687DBF" w:rsidR="00305CBA" w:rsidRPr="00B30648" w:rsidRDefault="00B30648" w:rsidP="00B30648">
      <w:pPr>
        <w:spacing w:after="100" w:afterAutospacing="1" w:line="360" w:lineRule="auto"/>
        <w:jc w:val="both"/>
        <w:outlineLvl w:val="2"/>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Pr="00B30648">
        <w:rPr>
          <w:rFonts w:ascii="Times New Roman" w:eastAsia="Times New Roman" w:hAnsi="Times New Roman" w:cs="Times New Roman"/>
          <w:kern w:val="0"/>
          <w14:ligatures w14:val="none"/>
        </w:rPr>
        <w:t>This study employed both panel regression analysis, correlational analysis, etc. and descriptive statistics to examine the data.</w:t>
      </w:r>
      <w:r w:rsidR="004319EA">
        <w:rPr>
          <w:rFonts w:ascii="Times New Roman" w:eastAsia="Times New Roman" w:hAnsi="Times New Roman" w:cs="Times New Roman"/>
          <w:kern w:val="0"/>
          <w14:ligatures w14:val="none"/>
        </w:rPr>
        <w:t xml:space="preserve"> This includes </w:t>
      </w:r>
      <w:r w:rsidR="004319EA" w:rsidRPr="00B30648">
        <w:rPr>
          <w:rFonts w:ascii="Times New Roman" w:eastAsia="Times New Roman" w:hAnsi="Times New Roman" w:cs="Times New Roman"/>
          <w:kern w:val="0"/>
          <w14:ligatures w14:val="none"/>
        </w:rPr>
        <w:t>mean, median, variance, standard deviation, skewness, and kurtosis</w:t>
      </w:r>
      <w:r w:rsidR="004319EA">
        <w:rPr>
          <w:rFonts w:ascii="Times New Roman" w:eastAsia="Times New Roman" w:hAnsi="Times New Roman" w:cs="Times New Roman"/>
          <w:kern w:val="0"/>
          <w14:ligatures w14:val="none"/>
        </w:rPr>
        <w:t>.</w:t>
      </w:r>
    </w:p>
    <w:p w14:paraId="6D826659" w14:textId="6E95C381" w:rsidR="00B30648" w:rsidRDefault="00B30648" w:rsidP="00B30648">
      <w:pPr>
        <w:autoSpaceDE w:val="0"/>
        <w:autoSpaceDN w:val="0"/>
        <w:adjustRightInd w:val="0"/>
        <w:spacing w:line="240" w:lineRule="auto"/>
        <w:jc w:val="both"/>
        <w:rPr>
          <w:rFonts w:asciiTheme="majorBidi" w:eastAsia="Calibri" w:hAnsiTheme="majorBidi" w:cstheme="majorBidi"/>
          <w:b/>
        </w:rPr>
      </w:pPr>
      <w:bookmarkStart w:id="1" w:name="_Hlk177910808"/>
      <w:r w:rsidRPr="00BD0359">
        <w:rPr>
          <w:rFonts w:asciiTheme="majorBidi" w:eastAsia="Calibri" w:hAnsiTheme="majorBidi" w:cstheme="majorBidi"/>
          <w:b/>
        </w:rPr>
        <w:t xml:space="preserve">4. </w:t>
      </w:r>
      <w:r w:rsidR="007577C8">
        <w:rPr>
          <w:rFonts w:asciiTheme="majorBidi" w:eastAsia="Calibri" w:hAnsiTheme="majorBidi" w:cstheme="majorBidi"/>
          <w:b/>
        </w:rPr>
        <w:t xml:space="preserve">     </w:t>
      </w:r>
      <w:r w:rsidR="007577C8" w:rsidRPr="00BD0359">
        <w:rPr>
          <w:rFonts w:asciiTheme="majorBidi" w:eastAsia="Calibri" w:hAnsiTheme="majorBidi" w:cstheme="majorBidi"/>
          <w:b/>
        </w:rPr>
        <w:t xml:space="preserve">Data Analysis </w:t>
      </w:r>
      <w:r w:rsidR="007577C8">
        <w:rPr>
          <w:rFonts w:asciiTheme="majorBidi" w:eastAsia="Calibri" w:hAnsiTheme="majorBidi" w:cstheme="majorBidi"/>
          <w:b/>
        </w:rPr>
        <w:t>a</w:t>
      </w:r>
      <w:r w:rsidR="007577C8" w:rsidRPr="00BD0359">
        <w:rPr>
          <w:rFonts w:asciiTheme="majorBidi" w:eastAsia="Calibri" w:hAnsiTheme="majorBidi" w:cstheme="majorBidi"/>
          <w:b/>
        </w:rPr>
        <w:t xml:space="preserve">nd Discussion </w:t>
      </w:r>
      <w:r w:rsidR="007577C8">
        <w:rPr>
          <w:rFonts w:asciiTheme="majorBidi" w:eastAsia="Calibri" w:hAnsiTheme="majorBidi" w:cstheme="majorBidi"/>
          <w:b/>
        </w:rPr>
        <w:t>o</w:t>
      </w:r>
      <w:r w:rsidR="007577C8" w:rsidRPr="00BD0359">
        <w:rPr>
          <w:rFonts w:asciiTheme="majorBidi" w:eastAsia="Calibri" w:hAnsiTheme="majorBidi" w:cstheme="majorBidi"/>
          <w:b/>
        </w:rPr>
        <w:t xml:space="preserve">f Findings </w:t>
      </w:r>
    </w:p>
    <w:bookmarkEnd w:id="1"/>
    <w:p w14:paraId="671B9E84" w14:textId="301CE55D" w:rsidR="004319EA" w:rsidRDefault="004319EA" w:rsidP="004319EA">
      <w:pPr>
        <w:spacing w:after="100" w:afterAutospacing="1" w:line="360" w:lineRule="auto"/>
        <w:jc w:val="both"/>
        <w:outlineLvl w:val="2"/>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         </w:t>
      </w:r>
      <w:r w:rsidRPr="004319EA">
        <w:rPr>
          <w:rFonts w:ascii="Times New Roman" w:eastAsia="Times New Roman" w:hAnsi="Times New Roman" w:cs="Times New Roman"/>
          <w:kern w:val="0"/>
          <w14:ligatures w14:val="none"/>
        </w:rPr>
        <w:t xml:space="preserve">This section explains the characteristics of the variables used, data analysis, and study outcomes. These statistics </w:t>
      </w:r>
      <w:proofErr w:type="spellStart"/>
      <w:r w:rsidRPr="004319EA">
        <w:rPr>
          <w:rFonts w:ascii="Times New Roman" w:eastAsia="Times New Roman" w:hAnsi="Times New Roman" w:cs="Times New Roman"/>
          <w:kern w:val="0"/>
          <w14:ligatures w14:val="none"/>
        </w:rPr>
        <w:t>summarise</w:t>
      </w:r>
      <w:proofErr w:type="spellEnd"/>
      <w:r w:rsidRPr="004319EA">
        <w:rPr>
          <w:rFonts w:ascii="Times New Roman" w:eastAsia="Times New Roman" w:hAnsi="Times New Roman" w:cs="Times New Roman"/>
          <w:kern w:val="0"/>
          <w14:ligatures w14:val="none"/>
        </w:rPr>
        <w:t xml:space="preserve"> the variable distribution.</w:t>
      </w:r>
    </w:p>
    <w:p w14:paraId="65825066" w14:textId="6835F28E" w:rsidR="004036B3" w:rsidRDefault="004036B3" w:rsidP="004036B3">
      <w:pPr>
        <w:autoSpaceDE w:val="0"/>
        <w:autoSpaceDN w:val="0"/>
        <w:adjustRightInd w:val="0"/>
        <w:spacing w:line="240" w:lineRule="auto"/>
        <w:jc w:val="both"/>
        <w:rPr>
          <w:rFonts w:asciiTheme="majorBidi" w:eastAsia="Calibri" w:hAnsiTheme="majorBidi" w:cstheme="majorBidi"/>
          <w:b/>
        </w:rPr>
      </w:pPr>
      <w:bookmarkStart w:id="2" w:name="_Hlk177910951"/>
      <w:r w:rsidRPr="00BD0359">
        <w:rPr>
          <w:rFonts w:asciiTheme="majorBidi" w:eastAsia="Calibri" w:hAnsiTheme="majorBidi" w:cstheme="majorBidi"/>
          <w:b/>
        </w:rPr>
        <w:t>4.1</w:t>
      </w:r>
      <w:r>
        <w:rPr>
          <w:rFonts w:asciiTheme="majorBidi" w:eastAsia="Calibri" w:hAnsiTheme="majorBidi" w:cstheme="majorBidi"/>
          <w:b/>
        </w:rPr>
        <w:t xml:space="preserve"> </w:t>
      </w:r>
      <w:r w:rsidR="007577C8">
        <w:rPr>
          <w:rFonts w:asciiTheme="majorBidi" w:eastAsia="Calibri" w:hAnsiTheme="majorBidi" w:cstheme="majorBidi"/>
          <w:b/>
        </w:rPr>
        <w:t xml:space="preserve">  </w:t>
      </w:r>
      <w:r w:rsidRPr="00BD0359">
        <w:rPr>
          <w:rFonts w:asciiTheme="majorBidi" w:eastAsia="Calibri" w:hAnsiTheme="majorBidi" w:cstheme="majorBidi"/>
          <w:b/>
        </w:rPr>
        <w:t>Descriptive Statistics</w:t>
      </w:r>
    </w:p>
    <w:p w14:paraId="2D7BBC60" w14:textId="30AF45BB" w:rsidR="00647EC0" w:rsidRDefault="00647EC0" w:rsidP="007A58C7">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
        </w:rPr>
        <w:t xml:space="preserve">        </w:t>
      </w:r>
      <w:r w:rsidRPr="00647EC0">
        <w:rPr>
          <w:rFonts w:asciiTheme="majorBidi" w:eastAsia="Calibri" w:hAnsiTheme="majorBidi" w:cstheme="majorBidi"/>
          <w:bCs/>
        </w:rPr>
        <w:t xml:space="preserve">Table 2 portrays the descriptive information on the variables used in the course of this study. The dependent variable, which is represented by </w:t>
      </w:r>
      <w:r w:rsidR="00F477DF">
        <w:rPr>
          <w:rFonts w:asciiTheme="majorBidi" w:eastAsia="Calibri" w:hAnsiTheme="majorBidi" w:cstheme="majorBidi"/>
          <w:bCs/>
        </w:rPr>
        <w:t>ROE on the one hand</w:t>
      </w:r>
      <w:r w:rsidRPr="00647EC0">
        <w:rPr>
          <w:rFonts w:asciiTheme="majorBidi" w:eastAsia="Calibri" w:hAnsiTheme="majorBidi" w:cstheme="majorBidi"/>
          <w:bCs/>
        </w:rPr>
        <w:t>, has a mean size of 0</w:t>
      </w:r>
      <w:r w:rsidR="002627B6">
        <w:rPr>
          <w:rFonts w:asciiTheme="majorBidi" w:eastAsia="Calibri" w:hAnsiTheme="majorBidi" w:cstheme="majorBidi"/>
          <w:bCs/>
        </w:rPr>
        <w:t xml:space="preserve">.0095. </w:t>
      </w:r>
      <w:r>
        <w:rPr>
          <w:rFonts w:asciiTheme="majorBidi" w:eastAsia="Calibri" w:hAnsiTheme="majorBidi" w:cstheme="majorBidi"/>
          <w:bCs/>
        </w:rPr>
        <w:t xml:space="preserve"> </w:t>
      </w:r>
      <w:r w:rsidR="002627B6">
        <w:rPr>
          <w:rFonts w:asciiTheme="majorBidi" w:eastAsia="Calibri" w:hAnsiTheme="majorBidi" w:cstheme="majorBidi"/>
          <w:bCs/>
        </w:rPr>
        <w:t>This shows modest profitability</w:t>
      </w:r>
      <w:r w:rsidR="00F7684B">
        <w:rPr>
          <w:rFonts w:asciiTheme="majorBidi" w:eastAsia="Calibri" w:hAnsiTheme="majorBidi" w:cstheme="majorBidi"/>
          <w:bCs/>
        </w:rPr>
        <w:t>.</w:t>
      </w:r>
      <w:r w:rsidR="002627B6">
        <w:rPr>
          <w:rFonts w:asciiTheme="majorBidi" w:eastAsia="Calibri" w:hAnsiTheme="majorBidi" w:cstheme="majorBidi"/>
          <w:bCs/>
        </w:rPr>
        <w:t xml:space="preserve"> </w:t>
      </w:r>
      <w:r w:rsidR="00F7684B">
        <w:rPr>
          <w:rFonts w:asciiTheme="majorBidi" w:eastAsia="Calibri" w:hAnsiTheme="majorBidi" w:cstheme="majorBidi"/>
          <w:bCs/>
        </w:rPr>
        <w:t>With low variation, the standard deviation was 0.</w:t>
      </w:r>
      <w:r w:rsidR="002627B6">
        <w:rPr>
          <w:rFonts w:asciiTheme="majorBidi" w:eastAsia="Calibri" w:hAnsiTheme="majorBidi" w:cstheme="majorBidi"/>
          <w:bCs/>
        </w:rPr>
        <w:t>0119</w:t>
      </w:r>
      <w:r w:rsidR="00F7684B">
        <w:rPr>
          <w:rFonts w:asciiTheme="majorBidi" w:eastAsia="Calibri" w:hAnsiTheme="majorBidi" w:cstheme="majorBidi"/>
          <w:bCs/>
        </w:rPr>
        <w:t xml:space="preserve">. </w:t>
      </w:r>
      <w:r w:rsidR="002627B6">
        <w:rPr>
          <w:rFonts w:asciiTheme="majorBidi" w:eastAsia="Calibri" w:hAnsiTheme="majorBidi" w:cstheme="majorBidi"/>
          <w:bCs/>
        </w:rPr>
        <w:t xml:space="preserve">This indicates stable performance across all banks. </w:t>
      </w:r>
      <w:r w:rsidR="00F7684B">
        <w:rPr>
          <w:rFonts w:asciiTheme="majorBidi" w:eastAsia="Calibri" w:hAnsiTheme="majorBidi" w:cstheme="majorBidi"/>
          <w:bCs/>
        </w:rPr>
        <w:t>The s</w:t>
      </w:r>
      <w:r w:rsidR="00F7684B" w:rsidRPr="00F7684B">
        <w:rPr>
          <w:rFonts w:asciiTheme="majorBidi" w:eastAsia="Calibri" w:hAnsiTheme="majorBidi" w:cstheme="majorBidi"/>
          <w:bCs/>
        </w:rPr>
        <w:t xml:space="preserve">kewness </w:t>
      </w:r>
      <w:r w:rsidR="00F7684B">
        <w:rPr>
          <w:rFonts w:asciiTheme="majorBidi" w:eastAsia="Calibri" w:hAnsiTheme="majorBidi" w:cstheme="majorBidi"/>
          <w:bCs/>
        </w:rPr>
        <w:t>of</w:t>
      </w:r>
      <w:r w:rsidR="00F7684B" w:rsidRPr="00F7684B">
        <w:rPr>
          <w:rFonts w:asciiTheme="majorBidi" w:eastAsia="Calibri" w:hAnsiTheme="majorBidi" w:cstheme="majorBidi"/>
          <w:bCs/>
        </w:rPr>
        <w:t xml:space="preserve"> </w:t>
      </w:r>
      <w:r w:rsidR="002627B6">
        <w:rPr>
          <w:rFonts w:asciiTheme="majorBidi" w:eastAsia="Calibri" w:hAnsiTheme="majorBidi" w:cstheme="majorBidi"/>
          <w:bCs/>
        </w:rPr>
        <w:t>0.79</w:t>
      </w:r>
      <w:r w:rsidR="00F7684B">
        <w:rPr>
          <w:rFonts w:asciiTheme="majorBidi" w:eastAsia="Calibri" w:hAnsiTheme="majorBidi" w:cstheme="majorBidi"/>
          <w:bCs/>
        </w:rPr>
        <w:t xml:space="preserve"> indicates</w:t>
      </w:r>
      <w:r w:rsidR="00F7684B" w:rsidRPr="00F7684B">
        <w:rPr>
          <w:rFonts w:asciiTheme="majorBidi" w:eastAsia="Calibri" w:hAnsiTheme="majorBidi" w:cstheme="majorBidi"/>
          <w:bCs/>
        </w:rPr>
        <w:t xml:space="preserve"> </w:t>
      </w:r>
      <w:r w:rsidR="00F7684B">
        <w:rPr>
          <w:rFonts w:asciiTheme="majorBidi" w:eastAsia="Calibri" w:hAnsiTheme="majorBidi" w:cstheme="majorBidi"/>
          <w:bCs/>
        </w:rPr>
        <w:t xml:space="preserve">that </w:t>
      </w:r>
      <w:r w:rsidR="002627B6">
        <w:rPr>
          <w:rFonts w:asciiTheme="majorBidi" w:eastAsia="Calibri" w:hAnsiTheme="majorBidi" w:cstheme="majorBidi"/>
          <w:bCs/>
        </w:rPr>
        <w:t xml:space="preserve">few </w:t>
      </w:r>
      <w:r w:rsidR="00F7684B" w:rsidRPr="00F7684B">
        <w:rPr>
          <w:rFonts w:asciiTheme="majorBidi" w:eastAsia="Calibri" w:hAnsiTheme="majorBidi" w:cstheme="majorBidi"/>
          <w:bCs/>
        </w:rPr>
        <w:t xml:space="preserve">firms </w:t>
      </w:r>
      <w:r w:rsidR="002627B6">
        <w:rPr>
          <w:rFonts w:asciiTheme="majorBidi" w:eastAsia="Calibri" w:hAnsiTheme="majorBidi" w:cstheme="majorBidi"/>
          <w:bCs/>
        </w:rPr>
        <w:t>perform better than others</w:t>
      </w:r>
      <w:r w:rsidR="00F7684B">
        <w:rPr>
          <w:rFonts w:asciiTheme="majorBidi" w:eastAsia="Calibri" w:hAnsiTheme="majorBidi" w:cstheme="majorBidi"/>
          <w:bCs/>
        </w:rPr>
        <w:t>. Although the k</w:t>
      </w:r>
      <w:r w:rsidR="00F7684B" w:rsidRPr="00F7684B">
        <w:rPr>
          <w:rFonts w:asciiTheme="majorBidi" w:eastAsia="Calibri" w:hAnsiTheme="majorBidi" w:cstheme="majorBidi"/>
          <w:bCs/>
        </w:rPr>
        <w:t xml:space="preserve">urtosis </w:t>
      </w:r>
      <w:r w:rsidR="00F7684B">
        <w:rPr>
          <w:rFonts w:asciiTheme="majorBidi" w:eastAsia="Calibri" w:hAnsiTheme="majorBidi" w:cstheme="majorBidi"/>
          <w:bCs/>
        </w:rPr>
        <w:t xml:space="preserve">of </w:t>
      </w:r>
      <w:r w:rsidR="002627B6">
        <w:rPr>
          <w:rFonts w:asciiTheme="majorBidi" w:eastAsia="Calibri" w:hAnsiTheme="majorBidi" w:cstheme="majorBidi"/>
          <w:bCs/>
        </w:rPr>
        <w:t>3</w:t>
      </w:r>
      <w:r w:rsidR="00F7684B" w:rsidRPr="00F7684B">
        <w:rPr>
          <w:rFonts w:asciiTheme="majorBidi" w:eastAsia="Calibri" w:hAnsiTheme="majorBidi" w:cstheme="majorBidi"/>
          <w:bCs/>
        </w:rPr>
        <w:t>.0</w:t>
      </w:r>
      <w:r w:rsidR="002627B6">
        <w:rPr>
          <w:rFonts w:asciiTheme="majorBidi" w:eastAsia="Calibri" w:hAnsiTheme="majorBidi" w:cstheme="majorBidi"/>
          <w:bCs/>
        </w:rPr>
        <w:t>4</w:t>
      </w:r>
      <w:r w:rsidR="00F7684B">
        <w:rPr>
          <w:rFonts w:asciiTheme="majorBidi" w:eastAsia="Calibri" w:hAnsiTheme="majorBidi" w:cstheme="majorBidi"/>
          <w:bCs/>
        </w:rPr>
        <w:t xml:space="preserve"> is </w:t>
      </w:r>
      <w:r w:rsidR="002627B6">
        <w:rPr>
          <w:rFonts w:asciiTheme="majorBidi" w:eastAsia="Calibri" w:hAnsiTheme="majorBidi" w:cstheme="majorBidi"/>
          <w:bCs/>
        </w:rPr>
        <w:t xml:space="preserve">close to normal, </w:t>
      </w:r>
      <w:r w:rsidR="00F7684B">
        <w:rPr>
          <w:rFonts w:asciiTheme="majorBidi" w:eastAsia="Calibri" w:hAnsiTheme="majorBidi" w:cstheme="majorBidi"/>
          <w:bCs/>
        </w:rPr>
        <w:t xml:space="preserve">it implies that </w:t>
      </w:r>
      <w:r w:rsidR="002627B6" w:rsidRPr="002627B6">
        <w:rPr>
          <w:rFonts w:asciiTheme="majorBidi" w:eastAsia="Calibri" w:hAnsiTheme="majorBidi" w:cstheme="majorBidi"/>
          <w:bCs/>
        </w:rPr>
        <w:t>mild tails</w:t>
      </w:r>
      <w:r w:rsidR="002967D7">
        <w:rPr>
          <w:rFonts w:asciiTheme="majorBidi" w:eastAsia="Calibri" w:hAnsiTheme="majorBidi" w:cstheme="majorBidi"/>
          <w:bCs/>
        </w:rPr>
        <w:t xml:space="preserve">. </w:t>
      </w:r>
      <w:r w:rsidR="002627B6">
        <w:rPr>
          <w:rFonts w:asciiTheme="majorBidi" w:eastAsia="Calibri" w:hAnsiTheme="majorBidi" w:cstheme="majorBidi"/>
          <w:bCs/>
        </w:rPr>
        <w:t xml:space="preserve">On the other hand, </w:t>
      </w:r>
      <w:r w:rsidR="002967D7">
        <w:rPr>
          <w:rFonts w:asciiTheme="majorBidi" w:eastAsia="Calibri" w:hAnsiTheme="majorBidi" w:cstheme="majorBidi"/>
          <w:bCs/>
        </w:rPr>
        <w:t>the average size of ROA is 0.0240. This implies that some</w:t>
      </w:r>
      <w:r w:rsidR="002967D7" w:rsidRPr="002967D7">
        <w:rPr>
          <w:rFonts w:asciiTheme="majorBidi" w:eastAsia="Calibri" w:hAnsiTheme="majorBidi" w:cstheme="majorBidi"/>
          <w:bCs/>
        </w:rPr>
        <w:t xml:space="preserve"> banks' equity returns are extremely high, either due to leverage or erratic performance.</w:t>
      </w:r>
      <w:r w:rsidR="002967D7">
        <w:rPr>
          <w:rFonts w:asciiTheme="majorBidi" w:eastAsia="Calibri" w:hAnsiTheme="majorBidi" w:cstheme="majorBidi"/>
          <w:bCs/>
        </w:rPr>
        <w:t xml:space="preserve"> There is little high variability in terms of spread</w:t>
      </w:r>
      <w:r w:rsidR="00070F12">
        <w:rPr>
          <w:rFonts w:asciiTheme="majorBidi" w:eastAsia="Calibri" w:hAnsiTheme="majorBidi" w:cstheme="majorBidi"/>
          <w:bCs/>
        </w:rPr>
        <w:t>,</w:t>
      </w:r>
      <w:r w:rsidR="002967D7">
        <w:rPr>
          <w:rFonts w:asciiTheme="majorBidi" w:eastAsia="Calibri" w:hAnsiTheme="majorBidi" w:cstheme="majorBidi"/>
          <w:bCs/>
        </w:rPr>
        <w:t xml:space="preserve"> as the standard deviation is 0.0344. </w:t>
      </w:r>
      <w:r w:rsidR="00070F12">
        <w:rPr>
          <w:rFonts w:asciiTheme="majorBidi" w:eastAsia="Calibri" w:hAnsiTheme="majorBidi" w:cstheme="majorBidi"/>
          <w:bCs/>
        </w:rPr>
        <w:t>The</w:t>
      </w:r>
      <w:r w:rsidR="002967D7">
        <w:rPr>
          <w:rFonts w:asciiTheme="majorBidi" w:eastAsia="Calibri" w:hAnsiTheme="majorBidi" w:cstheme="majorBidi"/>
          <w:bCs/>
        </w:rPr>
        <w:t xml:space="preserve"> distribution is highly skewed and leptokurtic</w:t>
      </w:r>
      <w:r w:rsidR="00070F12">
        <w:rPr>
          <w:rFonts w:asciiTheme="majorBidi" w:eastAsia="Calibri" w:hAnsiTheme="majorBidi" w:cstheme="majorBidi"/>
          <w:bCs/>
        </w:rPr>
        <w:t>,</w:t>
      </w:r>
      <w:r w:rsidR="002967D7">
        <w:rPr>
          <w:rFonts w:asciiTheme="majorBidi" w:eastAsia="Calibri" w:hAnsiTheme="majorBidi" w:cstheme="majorBidi"/>
          <w:bCs/>
        </w:rPr>
        <w:t xml:space="preserve"> as the skewness is 1.86 and the kurtosis is 8.14. </w:t>
      </w:r>
    </w:p>
    <w:p w14:paraId="4A7973A7" w14:textId="285ED87E" w:rsidR="00D34165" w:rsidRPr="00D34165" w:rsidRDefault="00D34165" w:rsidP="004667BD">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4667BD">
        <w:rPr>
          <w:rFonts w:asciiTheme="majorBidi" w:eastAsia="Calibri" w:hAnsiTheme="majorBidi" w:cstheme="majorBidi"/>
          <w:bCs/>
        </w:rPr>
        <w:t xml:space="preserve"> </w:t>
      </w:r>
      <w:r>
        <w:rPr>
          <w:rFonts w:asciiTheme="majorBidi" w:eastAsia="Calibri" w:hAnsiTheme="majorBidi" w:cstheme="majorBidi"/>
          <w:bCs/>
        </w:rPr>
        <w:t xml:space="preserve">In the same vein, the average value of </w:t>
      </w:r>
      <w:r w:rsidRPr="00D34165">
        <w:rPr>
          <w:rFonts w:asciiTheme="majorBidi" w:eastAsia="Calibri" w:hAnsiTheme="majorBidi" w:cstheme="majorBidi"/>
          <w:bCs/>
        </w:rPr>
        <w:t>EID</w:t>
      </w:r>
      <w:r>
        <w:rPr>
          <w:rFonts w:asciiTheme="majorBidi" w:eastAsia="Calibri" w:hAnsiTheme="majorBidi" w:cstheme="majorBidi"/>
          <w:bCs/>
        </w:rPr>
        <w:t xml:space="preserve"> is </w:t>
      </w:r>
      <w:r w:rsidRPr="00D34165">
        <w:rPr>
          <w:rFonts w:asciiTheme="majorBidi" w:eastAsia="Calibri" w:hAnsiTheme="majorBidi" w:cstheme="majorBidi"/>
          <w:bCs/>
        </w:rPr>
        <w:t>0.</w:t>
      </w:r>
      <w:r w:rsidR="00070F12">
        <w:rPr>
          <w:rFonts w:asciiTheme="majorBidi" w:eastAsia="Calibri" w:hAnsiTheme="majorBidi" w:cstheme="majorBidi"/>
          <w:bCs/>
        </w:rPr>
        <w:t>063</w:t>
      </w:r>
      <w:r>
        <w:rPr>
          <w:rFonts w:asciiTheme="majorBidi" w:eastAsia="Calibri" w:hAnsiTheme="majorBidi" w:cstheme="majorBidi"/>
          <w:bCs/>
        </w:rPr>
        <w:t xml:space="preserve">. While </w:t>
      </w:r>
      <w:r w:rsidRPr="00D34165">
        <w:rPr>
          <w:rFonts w:asciiTheme="majorBidi" w:eastAsia="Calibri" w:hAnsiTheme="majorBidi" w:cstheme="majorBidi"/>
          <w:bCs/>
        </w:rPr>
        <w:t>low</w:t>
      </w:r>
      <w:r>
        <w:rPr>
          <w:rFonts w:asciiTheme="majorBidi" w:eastAsia="Calibri" w:hAnsiTheme="majorBidi" w:cstheme="majorBidi"/>
          <w:bCs/>
        </w:rPr>
        <w:t>, this implies that m</w:t>
      </w:r>
      <w:r w:rsidRPr="00D34165">
        <w:rPr>
          <w:rFonts w:asciiTheme="majorBidi" w:eastAsia="Calibri" w:hAnsiTheme="majorBidi" w:cstheme="majorBidi"/>
          <w:bCs/>
        </w:rPr>
        <w:t xml:space="preserve">ost firms disclose </w:t>
      </w:r>
      <w:r>
        <w:rPr>
          <w:rFonts w:asciiTheme="majorBidi" w:eastAsia="Calibri" w:hAnsiTheme="majorBidi" w:cstheme="majorBidi"/>
          <w:bCs/>
        </w:rPr>
        <w:t>very</w:t>
      </w:r>
      <w:r w:rsidRPr="00D34165">
        <w:rPr>
          <w:rFonts w:asciiTheme="majorBidi" w:eastAsia="Calibri" w:hAnsiTheme="majorBidi" w:cstheme="majorBidi"/>
          <w:bCs/>
        </w:rPr>
        <w:t xml:space="preserve"> minimal environmental information</w:t>
      </w:r>
      <w:r>
        <w:rPr>
          <w:rFonts w:asciiTheme="majorBidi" w:eastAsia="Calibri" w:hAnsiTheme="majorBidi" w:cstheme="majorBidi"/>
          <w:bCs/>
        </w:rPr>
        <w:t xml:space="preserve"> in their annual reports. In terms of dispersion, the spread is </w:t>
      </w:r>
      <w:r w:rsidR="00070F12">
        <w:rPr>
          <w:rFonts w:asciiTheme="majorBidi" w:eastAsia="Calibri" w:hAnsiTheme="majorBidi" w:cstheme="majorBidi"/>
          <w:bCs/>
        </w:rPr>
        <w:t>0</w:t>
      </w:r>
      <w:r w:rsidR="00070F12" w:rsidRPr="00070F12">
        <w:rPr>
          <w:rFonts w:asciiTheme="majorBidi" w:eastAsia="Calibri" w:hAnsiTheme="majorBidi" w:cstheme="majorBidi"/>
          <w:bCs/>
        </w:rPr>
        <w:t>.1468</w:t>
      </w:r>
      <w:r>
        <w:rPr>
          <w:rFonts w:asciiTheme="majorBidi" w:eastAsia="Calibri" w:hAnsiTheme="majorBidi" w:cstheme="majorBidi"/>
          <w:bCs/>
        </w:rPr>
        <w:t xml:space="preserve">. While being on the high side, this indicates a high spread from the mean. In </w:t>
      </w:r>
      <w:r>
        <w:rPr>
          <w:rFonts w:asciiTheme="majorBidi" w:eastAsia="Calibri" w:hAnsiTheme="majorBidi" w:cstheme="majorBidi"/>
          <w:bCs/>
        </w:rPr>
        <w:lastRenderedPageBreak/>
        <w:t>relation to distribution, the e</w:t>
      </w:r>
      <w:r w:rsidRPr="00D34165">
        <w:rPr>
          <w:rFonts w:asciiTheme="majorBidi" w:eastAsia="Calibri" w:hAnsiTheme="majorBidi" w:cstheme="majorBidi"/>
          <w:bCs/>
        </w:rPr>
        <w:t xml:space="preserve">xtreme right-skew </w:t>
      </w:r>
      <w:r>
        <w:rPr>
          <w:rFonts w:asciiTheme="majorBidi" w:eastAsia="Calibri" w:hAnsiTheme="majorBidi" w:cstheme="majorBidi"/>
          <w:bCs/>
        </w:rPr>
        <w:t xml:space="preserve">distribution of </w:t>
      </w:r>
      <w:r w:rsidR="00070F12">
        <w:rPr>
          <w:rFonts w:asciiTheme="majorBidi" w:eastAsia="Calibri" w:hAnsiTheme="majorBidi" w:cstheme="majorBidi"/>
          <w:bCs/>
        </w:rPr>
        <w:t>8.0695</w:t>
      </w:r>
      <w:r>
        <w:rPr>
          <w:rFonts w:asciiTheme="majorBidi" w:eastAsia="Calibri" w:hAnsiTheme="majorBidi" w:cstheme="majorBidi"/>
          <w:bCs/>
        </w:rPr>
        <w:t xml:space="preserve"> indicates that f</w:t>
      </w:r>
      <w:r w:rsidRPr="00D34165">
        <w:rPr>
          <w:rFonts w:asciiTheme="majorBidi" w:eastAsia="Calibri" w:hAnsiTheme="majorBidi" w:cstheme="majorBidi"/>
          <w:bCs/>
        </w:rPr>
        <w:t>ew firms disclose extensively</w:t>
      </w:r>
      <w:r>
        <w:rPr>
          <w:rFonts w:asciiTheme="majorBidi" w:eastAsia="Calibri" w:hAnsiTheme="majorBidi" w:cstheme="majorBidi"/>
          <w:bCs/>
        </w:rPr>
        <w:t>. The h</w:t>
      </w:r>
      <w:r w:rsidRPr="00D34165">
        <w:rPr>
          <w:rFonts w:asciiTheme="majorBidi" w:eastAsia="Calibri" w:hAnsiTheme="majorBidi" w:cstheme="majorBidi"/>
          <w:bCs/>
        </w:rPr>
        <w:t xml:space="preserve">igh </w:t>
      </w:r>
      <w:r>
        <w:rPr>
          <w:rFonts w:asciiTheme="majorBidi" w:eastAsia="Calibri" w:hAnsiTheme="majorBidi" w:cstheme="majorBidi"/>
          <w:bCs/>
        </w:rPr>
        <w:t>k</w:t>
      </w:r>
      <w:r w:rsidRPr="00D34165">
        <w:rPr>
          <w:rFonts w:asciiTheme="majorBidi" w:eastAsia="Calibri" w:hAnsiTheme="majorBidi" w:cstheme="majorBidi"/>
          <w:bCs/>
        </w:rPr>
        <w:t xml:space="preserve">urtosis </w:t>
      </w:r>
      <w:r>
        <w:rPr>
          <w:rFonts w:asciiTheme="majorBidi" w:eastAsia="Calibri" w:hAnsiTheme="majorBidi" w:cstheme="majorBidi"/>
          <w:bCs/>
        </w:rPr>
        <w:t xml:space="preserve">of </w:t>
      </w:r>
      <w:r w:rsidR="00070F12">
        <w:rPr>
          <w:rFonts w:asciiTheme="majorBidi" w:eastAsia="Calibri" w:hAnsiTheme="majorBidi" w:cstheme="majorBidi"/>
          <w:bCs/>
        </w:rPr>
        <w:t>76.3000</w:t>
      </w:r>
      <w:r>
        <w:rPr>
          <w:rFonts w:asciiTheme="majorBidi" w:eastAsia="Calibri" w:hAnsiTheme="majorBidi" w:cstheme="majorBidi"/>
          <w:bCs/>
        </w:rPr>
        <w:t xml:space="preserve"> indicates the presence </w:t>
      </w:r>
      <w:r w:rsidR="004667BD">
        <w:rPr>
          <w:rFonts w:asciiTheme="majorBidi" w:eastAsia="Calibri" w:hAnsiTheme="majorBidi" w:cstheme="majorBidi"/>
          <w:bCs/>
        </w:rPr>
        <w:t>of outliers</w:t>
      </w:r>
      <w:r w:rsidRPr="00D34165">
        <w:rPr>
          <w:rFonts w:asciiTheme="majorBidi" w:eastAsia="Calibri" w:hAnsiTheme="majorBidi" w:cstheme="majorBidi"/>
          <w:bCs/>
        </w:rPr>
        <w:t>.</w:t>
      </w:r>
    </w:p>
    <w:p w14:paraId="5F5D4FFB" w14:textId="13578B7D" w:rsidR="00D34165" w:rsidRPr="00537E87" w:rsidRDefault="00D34165" w:rsidP="00537E87">
      <w:pPr>
        <w:autoSpaceDE w:val="0"/>
        <w:autoSpaceDN w:val="0"/>
        <w:adjustRightInd w:val="0"/>
        <w:spacing w:line="360" w:lineRule="auto"/>
        <w:jc w:val="both"/>
        <w:rPr>
          <w:rFonts w:asciiTheme="majorBidi" w:eastAsia="Calibri" w:hAnsiTheme="majorBidi" w:cstheme="majorBidi"/>
          <w:bCs/>
        </w:rPr>
      </w:pPr>
      <w:r w:rsidRPr="00D34165">
        <w:rPr>
          <w:rFonts w:asciiTheme="majorBidi" w:eastAsia="Calibri" w:hAnsiTheme="majorBidi" w:cstheme="majorBidi"/>
          <w:bCs/>
        </w:rPr>
        <w:t xml:space="preserve"> </w:t>
      </w:r>
      <w:r w:rsidR="004667BD">
        <w:rPr>
          <w:rFonts w:asciiTheme="majorBidi" w:eastAsia="Calibri" w:hAnsiTheme="majorBidi" w:cstheme="majorBidi"/>
          <w:bCs/>
        </w:rPr>
        <w:t xml:space="preserve">      </w:t>
      </w:r>
      <w:r w:rsidRPr="00D34165">
        <w:rPr>
          <w:rFonts w:asciiTheme="majorBidi" w:eastAsia="Calibri" w:hAnsiTheme="majorBidi" w:cstheme="majorBidi"/>
          <w:bCs/>
        </w:rPr>
        <w:t>S</w:t>
      </w:r>
      <w:r w:rsidR="004667BD">
        <w:rPr>
          <w:rFonts w:asciiTheme="majorBidi" w:eastAsia="Calibri" w:hAnsiTheme="majorBidi" w:cstheme="majorBidi"/>
          <w:bCs/>
        </w:rPr>
        <w:t xml:space="preserve">imilarly, </w:t>
      </w:r>
      <w:r w:rsidRPr="00D34165">
        <w:rPr>
          <w:rFonts w:asciiTheme="majorBidi" w:eastAsia="Calibri" w:hAnsiTheme="majorBidi" w:cstheme="majorBidi"/>
          <w:bCs/>
        </w:rPr>
        <w:t>SID</w:t>
      </w:r>
      <w:r w:rsidR="004667BD">
        <w:rPr>
          <w:rFonts w:asciiTheme="majorBidi" w:eastAsia="Calibri" w:hAnsiTheme="majorBidi" w:cstheme="majorBidi"/>
          <w:bCs/>
        </w:rPr>
        <w:t xml:space="preserve">’s mean value is </w:t>
      </w:r>
      <w:r w:rsidR="00AA78FE">
        <w:rPr>
          <w:rFonts w:asciiTheme="majorBidi" w:eastAsia="Calibri" w:hAnsiTheme="majorBidi" w:cstheme="majorBidi"/>
          <w:bCs/>
        </w:rPr>
        <w:t>0</w:t>
      </w:r>
      <w:r w:rsidR="00AA78FE" w:rsidRPr="00AA78FE">
        <w:rPr>
          <w:rFonts w:asciiTheme="majorBidi" w:eastAsia="Calibri" w:hAnsiTheme="majorBidi" w:cstheme="majorBidi"/>
          <w:bCs/>
        </w:rPr>
        <w:t>.1345</w:t>
      </w:r>
      <w:r w:rsidR="004667BD">
        <w:rPr>
          <w:rFonts w:asciiTheme="majorBidi" w:eastAsia="Calibri" w:hAnsiTheme="majorBidi" w:cstheme="majorBidi"/>
          <w:bCs/>
        </w:rPr>
        <w:t xml:space="preserve">. While this is </w:t>
      </w:r>
      <w:r w:rsidRPr="00D34165">
        <w:rPr>
          <w:rFonts w:asciiTheme="majorBidi" w:eastAsia="Calibri" w:hAnsiTheme="majorBidi" w:cstheme="majorBidi"/>
          <w:bCs/>
        </w:rPr>
        <w:t>higher than EID</w:t>
      </w:r>
      <w:r w:rsidR="004667BD">
        <w:rPr>
          <w:rFonts w:asciiTheme="majorBidi" w:eastAsia="Calibri" w:hAnsiTheme="majorBidi" w:cstheme="majorBidi"/>
          <w:bCs/>
        </w:rPr>
        <w:t>, the disclosure is</w:t>
      </w:r>
      <w:r w:rsidRPr="00D34165">
        <w:rPr>
          <w:rFonts w:asciiTheme="majorBidi" w:eastAsia="Calibri" w:hAnsiTheme="majorBidi" w:cstheme="majorBidi"/>
          <w:bCs/>
        </w:rPr>
        <w:t xml:space="preserve"> still low.</w:t>
      </w:r>
      <w:r w:rsidR="004667BD">
        <w:rPr>
          <w:rFonts w:asciiTheme="majorBidi" w:eastAsia="Calibri" w:hAnsiTheme="majorBidi" w:cstheme="majorBidi"/>
          <w:bCs/>
        </w:rPr>
        <w:t xml:space="preserve"> But the distribution is r</w:t>
      </w:r>
      <w:r w:rsidRPr="00D34165">
        <w:rPr>
          <w:rFonts w:asciiTheme="majorBidi" w:eastAsia="Calibri" w:hAnsiTheme="majorBidi" w:cstheme="majorBidi"/>
          <w:bCs/>
        </w:rPr>
        <w:t xml:space="preserve">ight-skewed </w:t>
      </w:r>
      <w:r w:rsidR="004667BD">
        <w:rPr>
          <w:rFonts w:asciiTheme="majorBidi" w:eastAsia="Calibri" w:hAnsiTheme="majorBidi" w:cstheme="majorBidi"/>
          <w:bCs/>
        </w:rPr>
        <w:t>at a s</w:t>
      </w:r>
      <w:r w:rsidRPr="00D34165">
        <w:rPr>
          <w:rFonts w:asciiTheme="majorBidi" w:eastAsia="Calibri" w:hAnsiTheme="majorBidi" w:cstheme="majorBidi"/>
          <w:bCs/>
        </w:rPr>
        <w:t xml:space="preserve">kewness </w:t>
      </w:r>
      <w:r w:rsidR="004667BD">
        <w:rPr>
          <w:rFonts w:asciiTheme="majorBidi" w:eastAsia="Calibri" w:hAnsiTheme="majorBidi" w:cstheme="majorBidi"/>
          <w:bCs/>
        </w:rPr>
        <w:t>of</w:t>
      </w:r>
      <w:r w:rsidRPr="00D34165">
        <w:rPr>
          <w:rFonts w:asciiTheme="majorBidi" w:eastAsia="Calibri" w:hAnsiTheme="majorBidi" w:cstheme="majorBidi"/>
          <w:bCs/>
        </w:rPr>
        <w:t xml:space="preserve"> 7.</w:t>
      </w:r>
      <w:r w:rsidR="00AA78FE">
        <w:rPr>
          <w:rFonts w:asciiTheme="majorBidi" w:eastAsia="Calibri" w:hAnsiTheme="majorBidi" w:cstheme="majorBidi"/>
          <w:bCs/>
        </w:rPr>
        <w:t>9614</w:t>
      </w:r>
      <w:r w:rsidR="004667BD">
        <w:rPr>
          <w:rFonts w:asciiTheme="majorBidi" w:eastAsia="Calibri" w:hAnsiTheme="majorBidi" w:cstheme="majorBidi"/>
          <w:bCs/>
        </w:rPr>
        <w:t>. There is a h</w:t>
      </w:r>
      <w:r w:rsidRPr="00D34165">
        <w:rPr>
          <w:rFonts w:asciiTheme="majorBidi" w:eastAsia="Calibri" w:hAnsiTheme="majorBidi" w:cstheme="majorBidi"/>
          <w:bCs/>
        </w:rPr>
        <w:t xml:space="preserve">igh </w:t>
      </w:r>
      <w:r w:rsidR="004667BD">
        <w:rPr>
          <w:rFonts w:asciiTheme="majorBidi" w:eastAsia="Calibri" w:hAnsiTheme="majorBidi" w:cstheme="majorBidi"/>
          <w:bCs/>
        </w:rPr>
        <w:t>v</w:t>
      </w:r>
      <w:r w:rsidRPr="00D34165">
        <w:rPr>
          <w:rFonts w:asciiTheme="majorBidi" w:eastAsia="Calibri" w:hAnsiTheme="majorBidi" w:cstheme="majorBidi"/>
          <w:bCs/>
        </w:rPr>
        <w:t>ariance</w:t>
      </w:r>
      <w:r w:rsidR="004667BD">
        <w:rPr>
          <w:rFonts w:asciiTheme="majorBidi" w:eastAsia="Calibri" w:hAnsiTheme="majorBidi" w:cstheme="majorBidi"/>
          <w:bCs/>
        </w:rPr>
        <w:t xml:space="preserve"> as</w:t>
      </w:r>
      <w:r w:rsidRPr="00D34165">
        <w:rPr>
          <w:rFonts w:asciiTheme="majorBidi" w:eastAsia="Calibri" w:hAnsiTheme="majorBidi" w:cstheme="majorBidi"/>
          <w:bCs/>
        </w:rPr>
        <w:t xml:space="preserve"> </w:t>
      </w:r>
      <w:r w:rsidR="004667BD">
        <w:rPr>
          <w:rFonts w:asciiTheme="majorBidi" w:eastAsia="Calibri" w:hAnsiTheme="majorBidi" w:cstheme="majorBidi"/>
          <w:bCs/>
        </w:rPr>
        <w:t>d</w:t>
      </w:r>
      <w:r w:rsidRPr="00D34165">
        <w:rPr>
          <w:rFonts w:asciiTheme="majorBidi" w:eastAsia="Calibri" w:hAnsiTheme="majorBidi" w:cstheme="majorBidi"/>
          <w:bCs/>
        </w:rPr>
        <w:t xml:space="preserve">isclosures vary widely </w:t>
      </w:r>
      <w:r w:rsidR="004667BD">
        <w:rPr>
          <w:rFonts w:asciiTheme="majorBidi" w:eastAsia="Calibri" w:hAnsiTheme="majorBidi" w:cstheme="majorBidi"/>
          <w:bCs/>
        </w:rPr>
        <w:t>at a s</w:t>
      </w:r>
      <w:r w:rsidRPr="00D34165">
        <w:rPr>
          <w:rFonts w:asciiTheme="majorBidi" w:eastAsia="Calibri" w:hAnsiTheme="majorBidi" w:cstheme="majorBidi"/>
          <w:bCs/>
        </w:rPr>
        <w:t>t</w:t>
      </w:r>
      <w:r w:rsidR="004667BD">
        <w:rPr>
          <w:rFonts w:asciiTheme="majorBidi" w:eastAsia="Calibri" w:hAnsiTheme="majorBidi" w:cstheme="majorBidi"/>
          <w:bCs/>
        </w:rPr>
        <w:t>andar</w:t>
      </w:r>
      <w:r w:rsidRPr="00D34165">
        <w:rPr>
          <w:rFonts w:asciiTheme="majorBidi" w:eastAsia="Calibri" w:hAnsiTheme="majorBidi" w:cstheme="majorBidi"/>
          <w:bCs/>
        </w:rPr>
        <w:t xml:space="preserve">d </w:t>
      </w:r>
      <w:r w:rsidR="004667BD">
        <w:rPr>
          <w:rFonts w:asciiTheme="majorBidi" w:eastAsia="Calibri" w:hAnsiTheme="majorBidi" w:cstheme="majorBidi"/>
          <w:bCs/>
        </w:rPr>
        <w:t>d</w:t>
      </w:r>
      <w:r w:rsidRPr="00D34165">
        <w:rPr>
          <w:rFonts w:asciiTheme="majorBidi" w:eastAsia="Calibri" w:hAnsiTheme="majorBidi" w:cstheme="majorBidi"/>
          <w:bCs/>
        </w:rPr>
        <w:t>ev</w:t>
      </w:r>
      <w:r w:rsidR="004667BD">
        <w:rPr>
          <w:rFonts w:asciiTheme="majorBidi" w:eastAsia="Calibri" w:hAnsiTheme="majorBidi" w:cstheme="majorBidi"/>
          <w:bCs/>
        </w:rPr>
        <w:t xml:space="preserve">iation of </w:t>
      </w:r>
      <w:r w:rsidRPr="00D34165">
        <w:rPr>
          <w:rFonts w:asciiTheme="majorBidi" w:eastAsia="Calibri" w:hAnsiTheme="majorBidi" w:cstheme="majorBidi"/>
          <w:bCs/>
        </w:rPr>
        <w:t>0.</w:t>
      </w:r>
      <w:r w:rsidR="00AA78FE">
        <w:rPr>
          <w:rFonts w:asciiTheme="majorBidi" w:eastAsia="Calibri" w:hAnsiTheme="majorBidi" w:cstheme="majorBidi"/>
          <w:bCs/>
        </w:rPr>
        <w:t>2978</w:t>
      </w:r>
      <w:r w:rsidRPr="00D34165">
        <w:rPr>
          <w:rFonts w:asciiTheme="majorBidi" w:eastAsia="Calibri" w:hAnsiTheme="majorBidi" w:cstheme="majorBidi"/>
          <w:bCs/>
        </w:rPr>
        <w:t>.</w:t>
      </w:r>
      <w:r w:rsidR="00E80B39">
        <w:rPr>
          <w:rFonts w:asciiTheme="majorBidi" w:eastAsia="Calibri" w:hAnsiTheme="majorBidi" w:cstheme="majorBidi"/>
          <w:bCs/>
        </w:rPr>
        <w:t xml:space="preserve"> Also, the average size of </w:t>
      </w:r>
      <w:r w:rsidRPr="00D34165">
        <w:rPr>
          <w:rFonts w:asciiTheme="majorBidi" w:eastAsia="Calibri" w:hAnsiTheme="majorBidi" w:cstheme="majorBidi"/>
          <w:bCs/>
        </w:rPr>
        <w:t>GID</w:t>
      </w:r>
      <w:r w:rsidR="00E80B39">
        <w:rPr>
          <w:rFonts w:asciiTheme="majorBidi" w:eastAsia="Calibri" w:hAnsiTheme="majorBidi" w:cstheme="majorBidi"/>
          <w:bCs/>
        </w:rPr>
        <w:t xml:space="preserve"> is </w:t>
      </w:r>
      <w:r w:rsidRPr="00D34165">
        <w:rPr>
          <w:rFonts w:asciiTheme="majorBidi" w:eastAsia="Calibri" w:hAnsiTheme="majorBidi" w:cstheme="majorBidi"/>
          <w:bCs/>
        </w:rPr>
        <w:t>0.</w:t>
      </w:r>
      <w:r w:rsidR="00AA78FE" w:rsidRPr="00AA78FE">
        <w:rPr>
          <w:rFonts w:asciiTheme="majorBidi" w:eastAsia="Calibri" w:hAnsiTheme="majorBidi" w:cstheme="majorBidi"/>
          <w:bCs/>
        </w:rPr>
        <w:t>2223</w:t>
      </w:r>
      <w:r w:rsidR="00E80B39">
        <w:rPr>
          <w:rFonts w:asciiTheme="majorBidi" w:eastAsia="Calibri" w:hAnsiTheme="majorBidi" w:cstheme="majorBidi"/>
          <w:bCs/>
        </w:rPr>
        <w:t>,</w:t>
      </w:r>
      <w:r w:rsidRPr="00D34165">
        <w:rPr>
          <w:rFonts w:asciiTheme="majorBidi" w:eastAsia="Calibri" w:hAnsiTheme="majorBidi" w:cstheme="majorBidi"/>
          <w:bCs/>
        </w:rPr>
        <w:t xml:space="preserve"> </w:t>
      </w:r>
      <w:r w:rsidR="00E80B39">
        <w:rPr>
          <w:rFonts w:asciiTheme="majorBidi" w:eastAsia="Calibri" w:hAnsiTheme="majorBidi" w:cstheme="majorBidi"/>
          <w:bCs/>
        </w:rPr>
        <w:t xml:space="preserve">suggesting that </w:t>
      </w:r>
      <w:r w:rsidR="00E80B39" w:rsidRPr="00D34165">
        <w:rPr>
          <w:rFonts w:asciiTheme="majorBidi" w:eastAsia="Calibri" w:hAnsiTheme="majorBidi" w:cstheme="majorBidi"/>
          <w:bCs/>
        </w:rPr>
        <w:t>governance</w:t>
      </w:r>
      <w:r w:rsidRPr="00D34165">
        <w:rPr>
          <w:rFonts w:asciiTheme="majorBidi" w:eastAsia="Calibri" w:hAnsiTheme="majorBidi" w:cstheme="majorBidi"/>
          <w:bCs/>
        </w:rPr>
        <w:t xml:space="preserve"> is </w:t>
      </w:r>
      <w:proofErr w:type="spellStart"/>
      <w:r w:rsidR="00E80B39">
        <w:rPr>
          <w:rFonts w:asciiTheme="majorBidi" w:eastAsia="Calibri" w:hAnsiTheme="majorBidi" w:cstheme="majorBidi"/>
          <w:bCs/>
        </w:rPr>
        <w:t>prioritised</w:t>
      </w:r>
      <w:proofErr w:type="spellEnd"/>
      <w:r w:rsidR="00E80B39">
        <w:rPr>
          <w:rFonts w:asciiTheme="majorBidi" w:eastAsia="Calibri" w:hAnsiTheme="majorBidi" w:cstheme="majorBidi"/>
          <w:bCs/>
        </w:rPr>
        <w:t>. The distribution is r</w:t>
      </w:r>
      <w:r w:rsidRPr="00D34165">
        <w:rPr>
          <w:rFonts w:asciiTheme="majorBidi" w:eastAsia="Calibri" w:hAnsiTheme="majorBidi" w:cstheme="majorBidi"/>
          <w:bCs/>
        </w:rPr>
        <w:t>ight-skewed</w:t>
      </w:r>
      <w:r w:rsidR="00E80B39">
        <w:rPr>
          <w:rFonts w:asciiTheme="majorBidi" w:eastAsia="Calibri" w:hAnsiTheme="majorBidi" w:cstheme="majorBidi"/>
          <w:bCs/>
        </w:rPr>
        <w:t>,</w:t>
      </w:r>
      <w:r w:rsidRPr="00D34165">
        <w:rPr>
          <w:rFonts w:asciiTheme="majorBidi" w:eastAsia="Calibri" w:hAnsiTheme="majorBidi" w:cstheme="majorBidi"/>
          <w:bCs/>
        </w:rPr>
        <w:t xml:space="preserve"> </w:t>
      </w:r>
      <w:r w:rsidR="00E80B39">
        <w:rPr>
          <w:rFonts w:asciiTheme="majorBidi" w:eastAsia="Calibri" w:hAnsiTheme="majorBidi" w:cstheme="majorBidi"/>
          <w:bCs/>
        </w:rPr>
        <w:t>with a s</w:t>
      </w:r>
      <w:r w:rsidRPr="00D34165">
        <w:rPr>
          <w:rFonts w:asciiTheme="majorBidi" w:eastAsia="Calibri" w:hAnsiTheme="majorBidi" w:cstheme="majorBidi"/>
          <w:bCs/>
        </w:rPr>
        <w:t xml:space="preserve">kewness </w:t>
      </w:r>
      <w:r w:rsidR="00AA78FE">
        <w:rPr>
          <w:rFonts w:asciiTheme="majorBidi" w:eastAsia="Calibri" w:hAnsiTheme="majorBidi" w:cstheme="majorBidi"/>
          <w:bCs/>
        </w:rPr>
        <w:t xml:space="preserve">of </w:t>
      </w:r>
      <w:r w:rsidR="00AA78FE" w:rsidRPr="00AA78FE">
        <w:rPr>
          <w:rFonts w:asciiTheme="majorBidi" w:eastAsia="Calibri" w:hAnsiTheme="majorBidi" w:cstheme="majorBidi"/>
          <w:bCs/>
        </w:rPr>
        <w:t>8.1296.</w:t>
      </w:r>
      <w:r w:rsidR="00E80B39">
        <w:rPr>
          <w:rFonts w:asciiTheme="majorBidi" w:eastAsia="Calibri" w:hAnsiTheme="majorBidi" w:cstheme="majorBidi"/>
          <w:bCs/>
        </w:rPr>
        <w:t xml:space="preserve"> While this indicates</w:t>
      </w:r>
      <w:r w:rsidRPr="00D34165">
        <w:rPr>
          <w:rFonts w:asciiTheme="majorBidi" w:eastAsia="Calibri" w:hAnsiTheme="majorBidi" w:cstheme="majorBidi"/>
          <w:bCs/>
        </w:rPr>
        <w:t xml:space="preserve"> extreme outliers</w:t>
      </w:r>
      <w:r w:rsidR="00E80B39">
        <w:rPr>
          <w:rFonts w:asciiTheme="majorBidi" w:eastAsia="Calibri" w:hAnsiTheme="majorBidi" w:cstheme="majorBidi"/>
          <w:bCs/>
        </w:rPr>
        <w:t xml:space="preserve">, there is </w:t>
      </w:r>
      <w:r w:rsidR="00AA78FE">
        <w:rPr>
          <w:rFonts w:asciiTheme="majorBidi" w:eastAsia="Calibri" w:hAnsiTheme="majorBidi" w:cstheme="majorBidi"/>
          <w:bCs/>
        </w:rPr>
        <w:t>high</w:t>
      </w:r>
      <w:r w:rsidRPr="00D34165">
        <w:rPr>
          <w:rFonts w:asciiTheme="majorBidi" w:eastAsia="Calibri" w:hAnsiTheme="majorBidi" w:cstheme="majorBidi"/>
          <w:bCs/>
        </w:rPr>
        <w:t xml:space="preserve"> </w:t>
      </w:r>
      <w:r w:rsidR="00E80B39">
        <w:rPr>
          <w:rFonts w:asciiTheme="majorBidi" w:eastAsia="Calibri" w:hAnsiTheme="majorBidi" w:cstheme="majorBidi"/>
          <w:bCs/>
        </w:rPr>
        <w:t>v</w:t>
      </w:r>
      <w:r w:rsidRPr="00D34165">
        <w:rPr>
          <w:rFonts w:asciiTheme="majorBidi" w:eastAsia="Calibri" w:hAnsiTheme="majorBidi" w:cstheme="majorBidi"/>
          <w:bCs/>
        </w:rPr>
        <w:t>olatility</w:t>
      </w:r>
      <w:r w:rsidR="00E80B39">
        <w:rPr>
          <w:rFonts w:asciiTheme="majorBidi" w:eastAsia="Calibri" w:hAnsiTheme="majorBidi" w:cstheme="majorBidi"/>
          <w:bCs/>
        </w:rPr>
        <w:t xml:space="preserve"> in terms of spread, as the</w:t>
      </w:r>
      <w:r w:rsidRPr="00D34165">
        <w:rPr>
          <w:rFonts w:asciiTheme="majorBidi" w:eastAsia="Calibri" w:hAnsiTheme="majorBidi" w:cstheme="majorBidi"/>
          <w:bCs/>
        </w:rPr>
        <w:t xml:space="preserve"> </w:t>
      </w:r>
      <w:r w:rsidR="00E80B39">
        <w:rPr>
          <w:rFonts w:asciiTheme="majorBidi" w:eastAsia="Calibri" w:hAnsiTheme="majorBidi" w:cstheme="majorBidi"/>
          <w:bCs/>
        </w:rPr>
        <w:t>s</w:t>
      </w:r>
      <w:r w:rsidRPr="00D34165">
        <w:rPr>
          <w:rFonts w:asciiTheme="majorBidi" w:eastAsia="Calibri" w:hAnsiTheme="majorBidi" w:cstheme="majorBidi"/>
          <w:bCs/>
        </w:rPr>
        <w:t>t</w:t>
      </w:r>
      <w:r w:rsidR="00E80B39">
        <w:rPr>
          <w:rFonts w:asciiTheme="majorBidi" w:eastAsia="Calibri" w:hAnsiTheme="majorBidi" w:cstheme="majorBidi"/>
          <w:bCs/>
        </w:rPr>
        <w:t>andar</w:t>
      </w:r>
      <w:r w:rsidRPr="00D34165">
        <w:rPr>
          <w:rFonts w:asciiTheme="majorBidi" w:eastAsia="Calibri" w:hAnsiTheme="majorBidi" w:cstheme="majorBidi"/>
          <w:bCs/>
        </w:rPr>
        <w:t>d</w:t>
      </w:r>
      <w:r w:rsidR="00E80B39">
        <w:rPr>
          <w:rFonts w:asciiTheme="majorBidi" w:eastAsia="Calibri" w:hAnsiTheme="majorBidi" w:cstheme="majorBidi"/>
          <w:bCs/>
        </w:rPr>
        <w:t xml:space="preserve"> d</w:t>
      </w:r>
      <w:r w:rsidRPr="00D34165">
        <w:rPr>
          <w:rFonts w:asciiTheme="majorBidi" w:eastAsia="Calibri" w:hAnsiTheme="majorBidi" w:cstheme="majorBidi"/>
          <w:bCs/>
        </w:rPr>
        <w:t>ev</w:t>
      </w:r>
      <w:r w:rsidR="00E80B39">
        <w:rPr>
          <w:rFonts w:asciiTheme="majorBidi" w:eastAsia="Calibri" w:hAnsiTheme="majorBidi" w:cstheme="majorBidi"/>
          <w:bCs/>
        </w:rPr>
        <w:t>iation is</w:t>
      </w:r>
      <w:r w:rsidRPr="00D34165">
        <w:rPr>
          <w:rFonts w:asciiTheme="majorBidi" w:eastAsia="Calibri" w:hAnsiTheme="majorBidi" w:cstheme="majorBidi"/>
          <w:bCs/>
        </w:rPr>
        <w:t xml:space="preserve"> 0</w:t>
      </w:r>
      <w:r w:rsidR="00AA78FE" w:rsidRPr="00AA78FE">
        <w:rPr>
          <w:rFonts w:asciiTheme="majorBidi" w:eastAsia="Calibri" w:hAnsiTheme="majorBidi" w:cstheme="majorBidi"/>
          <w:bCs/>
        </w:rPr>
        <w:t>.5359</w:t>
      </w:r>
      <w:r w:rsidR="00E80B39">
        <w:rPr>
          <w:rFonts w:asciiTheme="majorBidi" w:eastAsia="Calibri" w:hAnsiTheme="majorBidi" w:cstheme="majorBidi"/>
          <w:bCs/>
        </w:rPr>
        <w:t xml:space="preserve">. </w:t>
      </w:r>
      <w:r w:rsidR="00537E87" w:rsidRPr="00537E87">
        <w:rPr>
          <w:rFonts w:asciiTheme="majorBidi" w:eastAsia="Calibri" w:hAnsiTheme="majorBidi" w:cstheme="majorBidi"/>
          <w:bCs/>
        </w:rPr>
        <w:t>Although generally low, profitability (AROA/AROE) is positive</w:t>
      </w:r>
      <w:r w:rsidR="00B17430">
        <w:rPr>
          <w:rFonts w:asciiTheme="majorBidi" w:eastAsia="Calibri" w:hAnsiTheme="majorBidi" w:cstheme="majorBidi"/>
          <w:bCs/>
        </w:rPr>
        <w:t xml:space="preserve">. </w:t>
      </w:r>
      <w:r w:rsidR="00B17430" w:rsidRPr="00B17430">
        <w:rPr>
          <w:rFonts w:asciiTheme="majorBidi" w:eastAsia="Calibri" w:hAnsiTheme="majorBidi" w:cstheme="majorBidi"/>
          <w:bCs/>
        </w:rPr>
        <w:t xml:space="preserve">All three ESG </w:t>
      </w:r>
      <w:r w:rsidR="00B17430">
        <w:rPr>
          <w:rFonts w:asciiTheme="majorBidi" w:eastAsia="Calibri" w:hAnsiTheme="majorBidi" w:cstheme="majorBidi"/>
          <w:bCs/>
        </w:rPr>
        <w:t xml:space="preserve">descriptive statistics </w:t>
      </w:r>
      <w:r w:rsidR="00B17430" w:rsidRPr="00B17430">
        <w:rPr>
          <w:rFonts w:asciiTheme="majorBidi" w:eastAsia="Calibri" w:hAnsiTheme="majorBidi" w:cstheme="majorBidi"/>
          <w:bCs/>
        </w:rPr>
        <w:t xml:space="preserve">indicators </w:t>
      </w:r>
      <w:r w:rsidR="00B17430">
        <w:rPr>
          <w:rFonts w:asciiTheme="majorBidi" w:eastAsia="Calibri" w:hAnsiTheme="majorBidi" w:cstheme="majorBidi"/>
          <w:bCs/>
        </w:rPr>
        <w:t>show</w:t>
      </w:r>
      <w:r w:rsidR="00B17430" w:rsidRPr="00B17430">
        <w:rPr>
          <w:rFonts w:asciiTheme="majorBidi" w:eastAsia="Calibri" w:hAnsiTheme="majorBidi" w:cstheme="majorBidi"/>
          <w:bCs/>
        </w:rPr>
        <w:t xml:space="preserve"> that </w:t>
      </w:r>
      <w:r w:rsidR="00B17430" w:rsidRPr="00B17430">
        <w:rPr>
          <w:rFonts w:asciiTheme="majorBidi" w:eastAsia="Calibri" w:hAnsiTheme="majorBidi" w:cstheme="majorBidi"/>
        </w:rPr>
        <w:t>most firms disclose little</w:t>
      </w:r>
      <w:r w:rsidR="00B17430">
        <w:rPr>
          <w:rFonts w:asciiTheme="majorBidi" w:eastAsia="Calibri" w:hAnsiTheme="majorBidi" w:cstheme="majorBidi"/>
        </w:rPr>
        <w:t xml:space="preserve">. </w:t>
      </w:r>
    </w:p>
    <w:tbl>
      <w:tblPr>
        <w:tblW w:w="5000" w:type="pct"/>
        <w:tblLook w:val="04A0" w:firstRow="1" w:lastRow="0" w:firstColumn="1" w:lastColumn="0" w:noHBand="0" w:noVBand="1"/>
      </w:tblPr>
      <w:tblGrid>
        <w:gridCol w:w="1383"/>
        <w:gridCol w:w="1153"/>
        <w:gridCol w:w="1499"/>
        <w:gridCol w:w="1155"/>
        <w:gridCol w:w="1286"/>
        <w:gridCol w:w="1531"/>
        <w:gridCol w:w="1353"/>
      </w:tblGrid>
      <w:tr w:rsidR="004A68C5" w:rsidRPr="004A68C5" w14:paraId="7F2CC4D8" w14:textId="77777777" w:rsidTr="007577C8">
        <w:trPr>
          <w:trHeight w:val="312"/>
        </w:trPr>
        <w:tc>
          <w:tcPr>
            <w:tcW w:w="2771" w:type="pct"/>
            <w:gridSpan w:val="4"/>
            <w:tcBorders>
              <w:top w:val="nil"/>
              <w:left w:val="nil"/>
              <w:bottom w:val="nil"/>
              <w:right w:val="nil"/>
            </w:tcBorders>
            <w:shd w:val="clear" w:color="auto" w:fill="auto"/>
            <w:noWrap/>
            <w:vAlign w:val="bottom"/>
            <w:hideMark/>
          </w:tcPr>
          <w:p w14:paraId="3211DF4A" w14:textId="78A72BA4" w:rsidR="004A68C5" w:rsidRPr="007577C8" w:rsidRDefault="004A68C5" w:rsidP="004A68C5">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2: Descriptive Statistics</w:t>
            </w:r>
          </w:p>
        </w:tc>
        <w:tc>
          <w:tcPr>
            <w:tcW w:w="687" w:type="pct"/>
            <w:tcBorders>
              <w:top w:val="nil"/>
              <w:left w:val="nil"/>
              <w:bottom w:val="nil"/>
              <w:right w:val="nil"/>
            </w:tcBorders>
            <w:shd w:val="clear" w:color="auto" w:fill="auto"/>
            <w:noWrap/>
            <w:vAlign w:val="bottom"/>
            <w:hideMark/>
          </w:tcPr>
          <w:p w14:paraId="72AFED5A" w14:textId="77777777" w:rsidR="004A68C5" w:rsidRPr="007577C8" w:rsidRDefault="004A68C5" w:rsidP="004A68C5">
            <w:pPr>
              <w:spacing w:after="0" w:line="240" w:lineRule="auto"/>
              <w:rPr>
                <w:rFonts w:ascii="Times New Roman" w:eastAsia="Times New Roman" w:hAnsi="Times New Roman" w:cs="Times New Roman"/>
                <w:b/>
                <w:bCs/>
                <w:color w:val="000000"/>
                <w:kern w:val="0"/>
                <w14:ligatures w14:val="none"/>
              </w:rPr>
            </w:pPr>
          </w:p>
        </w:tc>
        <w:tc>
          <w:tcPr>
            <w:tcW w:w="818" w:type="pct"/>
            <w:tcBorders>
              <w:top w:val="nil"/>
              <w:left w:val="nil"/>
              <w:bottom w:val="nil"/>
              <w:right w:val="nil"/>
            </w:tcBorders>
            <w:shd w:val="clear" w:color="auto" w:fill="auto"/>
            <w:noWrap/>
            <w:vAlign w:val="bottom"/>
            <w:hideMark/>
          </w:tcPr>
          <w:p w14:paraId="62317CDF" w14:textId="77777777" w:rsidR="004A68C5" w:rsidRPr="004A68C5" w:rsidRDefault="004A68C5" w:rsidP="004A68C5">
            <w:pPr>
              <w:spacing w:after="0" w:line="240" w:lineRule="auto"/>
              <w:rPr>
                <w:rFonts w:ascii="Times New Roman" w:eastAsia="Times New Roman" w:hAnsi="Times New Roman" w:cs="Times New Roman"/>
                <w:kern w:val="0"/>
                <w:sz w:val="20"/>
                <w:szCs w:val="20"/>
                <w14:ligatures w14:val="none"/>
              </w:rPr>
            </w:pPr>
          </w:p>
        </w:tc>
        <w:tc>
          <w:tcPr>
            <w:tcW w:w="724" w:type="pct"/>
            <w:tcBorders>
              <w:top w:val="nil"/>
              <w:left w:val="nil"/>
              <w:bottom w:val="nil"/>
              <w:right w:val="nil"/>
            </w:tcBorders>
            <w:shd w:val="clear" w:color="auto" w:fill="auto"/>
            <w:noWrap/>
            <w:vAlign w:val="bottom"/>
            <w:hideMark/>
          </w:tcPr>
          <w:p w14:paraId="1F905580" w14:textId="77777777" w:rsidR="004A68C5" w:rsidRPr="004A68C5" w:rsidRDefault="004A68C5" w:rsidP="004A68C5">
            <w:pPr>
              <w:spacing w:after="0" w:line="240" w:lineRule="auto"/>
              <w:rPr>
                <w:rFonts w:ascii="Times New Roman" w:eastAsia="Times New Roman" w:hAnsi="Times New Roman" w:cs="Times New Roman"/>
                <w:kern w:val="0"/>
                <w:sz w:val="20"/>
                <w:szCs w:val="20"/>
                <w14:ligatures w14:val="none"/>
              </w:rPr>
            </w:pPr>
          </w:p>
        </w:tc>
      </w:tr>
      <w:tr w:rsidR="004A68C5" w:rsidRPr="004A68C5" w14:paraId="612BC7A8" w14:textId="77777777" w:rsidTr="007577C8">
        <w:trPr>
          <w:trHeight w:val="312"/>
        </w:trPr>
        <w:tc>
          <w:tcPr>
            <w:tcW w:w="738" w:type="pct"/>
            <w:tcBorders>
              <w:top w:val="single" w:sz="4" w:space="0" w:color="auto"/>
              <w:left w:val="nil"/>
              <w:bottom w:val="single" w:sz="4" w:space="0" w:color="auto"/>
              <w:right w:val="nil"/>
            </w:tcBorders>
            <w:shd w:val="clear" w:color="auto" w:fill="auto"/>
            <w:noWrap/>
            <w:vAlign w:val="bottom"/>
            <w:hideMark/>
          </w:tcPr>
          <w:p w14:paraId="73889F42"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Variable</w:t>
            </w:r>
          </w:p>
        </w:tc>
        <w:tc>
          <w:tcPr>
            <w:tcW w:w="616" w:type="pct"/>
            <w:tcBorders>
              <w:top w:val="single" w:sz="4" w:space="0" w:color="auto"/>
              <w:left w:val="nil"/>
              <w:bottom w:val="single" w:sz="4" w:space="0" w:color="auto"/>
              <w:right w:val="nil"/>
            </w:tcBorders>
            <w:shd w:val="clear" w:color="auto" w:fill="auto"/>
            <w:noWrap/>
            <w:vAlign w:val="bottom"/>
            <w:hideMark/>
          </w:tcPr>
          <w:p w14:paraId="5B528C81"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Mean</w:t>
            </w:r>
          </w:p>
        </w:tc>
        <w:tc>
          <w:tcPr>
            <w:tcW w:w="801" w:type="pct"/>
            <w:tcBorders>
              <w:top w:val="single" w:sz="4" w:space="0" w:color="auto"/>
              <w:left w:val="nil"/>
              <w:bottom w:val="single" w:sz="4" w:space="0" w:color="auto"/>
              <w:right w:val="nil"/>
            </w:tcBorders>
            <w:shd w:val="clear" w:color="auto" w:fill="auto"/>
            <w:noWrap/>
            <w:vAlign w:val="bottom"/>
            <w:hideMark/>
          </w:tcPr>
          <w:p w14:paraId="08E50F80"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Std. Dev.</w:t>
            </w:r>
          </w:p>
        </w:tc>
        <w:tc>
          <w:tcPr>
            <w:tcW w:w="617" w:type="pct"/>
            <w:tcBorders>
              <w:top w:val="single" w:sz="4" w:space="0" w:color="auto"/>
              <w:left w:val="nil"/>
              <w:bottom w:val="single" w:sz="4" w:space="0" w:color="auto"/>
              <w:right w:val="nil"/>
            </w:tcBorders>
            <w:shd w:val="clear" w:color="auto" w:fill="auto"/>
            <w:noWrap/>
            <w:vAlign w:val="bottom"/>
            <w:hideMark/>
          </w:tcPr>
          <w:p w14:paraId="569064C9"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Min</w:t>
            </w:r>
          </w:p>
        </w:tc>
        <w:tc>
          <w:tcPr>
            <w:tcW w:w="687" w:type="pct"/>
            <w:tcBorders>
              <w:top w:val="single" w:sz="4" w:space="0" w:color="auto"/>
              <w:left w:val="nil"/>
              <w:bottom w:val="single" w:sz="4" w:space="0" w:color="auto"/>
              <w:right w:val="nil"/>
            </w:tcBorders>
            <w:shd w:val="clear" w:color="auto" w:fill="auto"/>
            <w:noWrap/>
            <w:vAlign w:val="bottom"/>
            <w:hideMark/>
          </w:tcPr>
          <w:p w14:paraId="7C775133"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Max</w:t>
            </w:r>
          </w:p>
        </w:tc>
        <w:tc>
          <w:tcPr>
            <w:tcW w:w="818" w:type="pct"/>
            <w:tcBorders>
              <w:top w:val="single" w:sz="4" w:space="0" w:color="auto"/>
              <w:left w:val="nil"/>
              <w:bottom w:val="single" w:sz="4" w:space="0" w:color="auto"/>
              <w:right w:val="nil"/>
            </w:tcBorders>
            <w:shd w:val="clear" w:color="auto" w:fill="auto"/>
            <w:noWrap/>
            <w:vAlign w:val="bottom"/>
            <w:hideMark/>
          </w:tcPr>
          <w:p w14:paraId="08731E19"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Skewness</w:t>
            </w:r>
          </w:p>
        </w:tc>
        <w:tc>
          <w:tcPr>
            <w:tcW w:w="724" w:type="pct"/>
            <w:tcBorders>
              <w:top w:val="single" w:sz="4" w:space="0" w:color="auto"/>
              <w:left w:val="nil"/>
              <w:bottom w:val="single" w:sz="4" w:space="0" w:color="auto"/>
              <w:right w:val="nil"/>
            </w:tcBorders>
            <w:shd w:val="clear" w:color="auto" w:fill="auto"/>
            <w:noWrap/>
            <w:vAlign w:val="bottom"/>
            <w:hideMark/>
          </w:tcPr>
          <w:p w14:paraId="43564F44"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Kurtosis</w:t>
            </w:r>
          </w:p>
        </w:tc>
      </w:tr>
      <w:tr w:rsidR="004A68C5" w:rsidRPr="004A68C5" w14:paraId="05CA6F8E" w14:textId="77777777" w:rsidTr="007577C8">
        <w:trPr>
          <w:trHeight w:val="312"/>
        </w:trPr>
        <w:tc>
          <w:tcPr>
            <w:tcW w:w="738" w:type="pct"/>
            <w:tcBorders>
              <w:top w:val="nil"/>
              <w:left w:val="nil"/>
              <w:bottom w:val="nil"/>
              <w:right w:val="nil"/>
            </w:tcBorders>
            <w:shd w:val="clear" w:color="auto" w:fill="auto"/>
            <w:noWrap/>
            <w:vAlign w:val="bottom"/>
            <w:hideMark/>
          </w:tcPr>
          <w:p w14:paraId="67975DB5" w14:textId="5FDBB454" w:rsidR="004A68C5" w:rsidRPr="004A68C5" w:rsidRDefault="00693FD5" w:rsidP="004A68C5">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ROE</w:t>
            </w:r>
          </w:p>
        </w:tc>
        <w:tc>
          <w:tcPr>
            <w:tcW w:w="616" w:type="pct"/>
            <w:tcBorders>
              <w:top w:val="nil"/>
              <w:left w:val="nil"/>
              <w:bottom w:val="nil"/>
              <w:right w:val="nil"/>
            </w:tcBorders>
            <w:shd w:val="clear" w:color="auto" w:fill="auto"/>
            <w:noWrap/>
            <w:vAlign w:val="bottom"/>
            <w:hideMark/>
          </w:tcPr>
          <w:p w14:paraId="34F2D540" w14:textId="28C9958D"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47EC0">
              <w:rPr>
                <w:rFonts w:asciiTheme="majorBidi" w:eastAsia="Calibri" w:hAnsiTheme="majorBidi" w:cstheme="majorBidi"/>
                <w:bCs/>
              </w:rPr>
              <w:t>0</w:t>
            </w:r>
            <w:r>
              <w:rPr>
                <w:rFonts w:asciiTheme="majorBidi" w:eastAsia="Calibri" w:hAnsiTheme="majorBidi" w:cstheme="majorBidi"/>
                <w:bCs/>
              </w:rPr>
              <w:t>.0095</w:t>
            </w:r>
          </w:p>
        </w:tc>
        <w:tc>
          <w:tcPr>
            <w:tcW w:w="801" w:type="pct"/>
            <w:tcBorders>
              <w:top w:val="nil"/>
              <w:left w:val="nil"/>
              <w:bottom w:val="nil"/>
              <w:right w:val="nil"/>
            </w:tcBorders>
            <w:shd w:val="clear" w:color="auto" w:fill="auto"/>
            <w:noWrap/>
            <w:vAlign w:val="bottom"/>
            <w:hideMark/>
          </w:tcPr>
          <w:p w14:paraId="62EBD2B0" w14:textId="7390C575"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0.0119</w:t>
            </w:r>
          </w:p>
        </w:tc>
        <w:tc>
          <w:tcPr>
            <w:tcW w:w="617" w:type="pct"/>
            <w:tcBorders>
              <w:top w:val="nil"/>
              <w:left w:val="nil"/>
              <w:bottom w:val="nil"/>
              <w:right w:val="nil"/>
            </w:tcBorders>
            <w:shd w:val="clear" w:color="auto" w:fill="auto"/>
            <w:noWrap/>
            <w:vAlign w:val="bottom"/>
            <w:hideMark/>
          </w:tcPr>
          <w:p w14:paraId="0BFE8CFF" w14:textId="35A4B7A3"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.0137</w:t>
            </w:r>
          </w:p>
        </w:tc>
        <w:tc>
          <w:tcPr>
            <w:tcW w:w="687" w:type="pct"/>
            <w:tcBorders>
              <w:top w:val="nil"/>
              <w:left w:val="nil"/>
              <w:bottom w:val="nil"/>
              <w:right w:val="nil"/>
            </w:tcBorders>
            <w:shd w:val="clear" w:color="auto" w:fill="auto"/>
            <w:noWrap/>
            <w:vAlign w:val="bottom"/>
            <w:hideMark/>
          </w:tcPr>
          <w:p w14:paraId="3F73CB0F" w14:textId="29C897C5"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.0523</w:t>
            </w:r>
          </w:p>
        </w:tc>
        <w:tc>
          <w:tcPr>
            <w:tcW w:w="818" w:type="pct"/>
            <w:tcBorders>
              <w:top w:val="nil"/>
              <w:left w:val="nil"/>
              <w:bottom w:val="nil"/>
              <w:right w:val="nil"/>
            </w:tcBorders>
            <w:shd w:val="clear" w:color="auto" w:fill="auto"/>
            <w:noWrap/>
            <w:vAlign w:val="bottom"/>
            <w:hideMark/>
          </w:tcPr>
          <w:p w14:paraId="5841CFAC" w14:textId="2E5F0CA0"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.7892</w:t>
            </w:r>
          </w:p>
        </w:tc>
        <w:tc>
          <w:tcPr>
            <w:tcW w:w="724" w:type="pct"/>
            <w:tcBorders>
              <w:top w:val="nil"/>
              <w:left w:val="nil"/>
              <w:bottom w:val="nil"/>
              <w:right w:val="nil"/>
            </w:tcBorders>
            <w:shd w:val="clear" w:color="auto" w:fill="auto"/>
            <w:noWrap/>
            <w:vAlign w:val="bottom"/>
            <w:hideMark/>
          </w:tcPr>
          <w:p w14:paraId="6FC8CF6D" w14:textId="04EAEE3A" w:rsidR="004A68C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3.4010</w:t>
            </w:r>
          </w:p>
        </w:tc>
      </w:tr>
      <w:tr w:rsidR="00693FD5" w:rsidRPr="004A68C5" w14:paraId="37E85515" w14:textId="77777777" w:rsidTr="007577C8">
        <w:trPr>
          <w:trHeight w:val="312"/>
        </w:trPr>
        <w:tc>
          <w:tcPr>
            <w:tcW w:w="738" w:type="pct"/>
            <w:tcBorders>
              <w:top w:val="nil"/>
              <w:left w:val="nil"/>
              <w:bottom w:val="nil"/>
              <w:right w:val="nil"/>
            </w:tcBorders>
            <w:shd w:val="clear" w:color="auto" w:fill="auto"/>
            <w:noWrap/>
            <w:vAlign w:val="bottom"/>
          </w:tcPr>
          <w:p w14:paraId="4050F21D" w14:textId="7A500D52" w:rsidR="00693FD5" w:rsidRPr="004A68C5" w:rsidRDefault="00693FD5" w:rsidP="004A68C5">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ROA</w:t>
            </w:r>
          </w:p>
        </w:tc>
        <w:tc>
          <w:tcPr>
            <w:tcW w:w="616" w:type="pct"/>
            <w:tcBorders>
              <w:top w:val="nil"/>
              <w:left w:val="nil"/>
              <w:bottom w:val="nil"/>
              <w:right w:val="nil"/>
            </w:tcBorders>
            <w:shd w:val="clear" w:color="auto" w:fill="auto"/>
            <w:noWrap/>
            <w:vAlign w:val="bottom"/>
          </w:tcPr>
          <w:p w14:paraId="7C6514A7" w14:textId="7233D81D"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0.0240</w:t>
            </w:r>
          </w:p>
        </w:tc>
        <w:tc>
          <w:tcPr>
            <w:tcW w:w="801" w:type="pct"/>
            <w:tcBorders>
              <w:top w:val="nil"/>
              <w:left w:val="nil"/>
              <w:bottom w:val="nil"/>
              <w:right w:val="nil"/>
            </w:tcBorders>
            <w:shd w:val="clear" w:color="auto" w:fill="auto"/>
            <w:noWrap/>
            <w:vAlign w:val="bottom"/>
          </w:tcPr>
          <w:p w14:paraId="4CD64DDE" w14:textId="4224D583"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heme="majorBidi" w:eastAsia="Calibri" w:hAnsiTheme="majorBidi" w:cstheme="majorBidi"/>
                <w:bCs/>
              </w:rPr>
              <w:t>0.0344</w:t>
            </w:r>
          </w:p>
        </w:tc>
        <w:tc>
          <w:tcPr>
            <w:tcW w:w="617" w:type="pct"/>
            <w:tcBorders>
              <w:top w:val="nil"/>
              <w:left w:val="nil"/>
              <w:bottom w:val="nil"/>
              <w:right w:val="nil"/>
            </w:tcBorders>
            <w:shd w:val="clear" w:color="auto" w:fill="auto"/>
            <w:noWrap/>
            <w:vAlign w:val="bottom"/>
          </w:tcPr>
          <w:p w14:paraId="54761996" w14:textId="4E065CCD"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.0342</w:t>
            </w:r>
          </w:p>
        </w:tc>
        <w:tc>
          <w:tcPr>
            <w:tcW w:w="687" w:type="pct"/>
            <w:tcBorders>
              <w:top w:val="nil"/>
              <w:left w:val="nil"/>
              <w:bottom w:val="nil"/>
              <w:right w:val="nil"/>
            </w:tcBorders>
            <w:shd w:val="clear" w:color="auto" w:fill="auto"/>
            <w:noWrap/>
            <w:vAlign w:val="bottom"/>
          </w:tcPr>
          <w:p w14:paraId="51C06476" w14:textId="60C2DD8A"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w:t>
            </w:r>
            <w:r w:rsidRPr="00693FD5">
              <w:rPr>
                <w:rFonts w:ascii="Times New Roman" w:eastAsia="Times New Roman" w:hAnsi="Times New Roman" w:cs="Times New Roman"/>
                <w:color w:val="000000"/>
                <w:kern w:val="0"/>
                <w14:ligatures w14:val="none"/>
              </w:rPr>
              <w:t>.1836</w:t>
            </w:r>
          </w:p>
        </w:tc>
        <w:tc>
          <w:tcPr>
            <w:tcW w:w="818" w:type="pct"/>
            <w:tcBorders>
              <w:top w:val="nil"/>
              <w:left w:val="nil"/>
              <w:bottom w:val="nil"/>
              <w:right w:val="nil"/>
            </w:tcBorders>
            <w:shd w:val="clear" w:color="auto" w:fill="auto"/>
            <w:noWrap/>
            <w:vAlign w:val="bottom"/>
          </w:tcPr>
          <w:p w14:paraId="5CDADBF5" w14:textId="19205500"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1.8618</w:t>
            </w:r>
          </w:p>
        </w:tc>
        <w:tc>
          <w:tcPr>
            <w:tcW w:w="724" w:type="pct"/>
            <w:tcBorders>
              <w:top w:val="nil"/>
              <w:left w:val="nil"/>
              <w:bottom w:val="nil"/>
              <w:right w:val="nil"/>
            </w:tcBorders>
            <w:shd w:val="clear" w:color="auto" w:fill="auto"/>
            <w:noWrap/>
            <w:vAlign w:val="bottom"/>
          </w:tcPr>
          <w:p w14:paraId="53351EB8" w14:textId="5198FE39" w:rsidR="00693FD5" w:rsidRPr="004A68C5" w:rsidRDefault="00693FD5" w:rsidP="004A68C5">
            <w:pPr>
              <w:spacing w:after="0" w:line="240" w:lineRule="auto"/>
              <w:jc w:val="right"/>
              <w:rPr>
                <w:rFonts w:ascii="Times New Roman" w:eastAsia="Times New Roman" w:hAnsi="Times New Roman" w:cs="Times New Roman"/>
                <w:color w:val="000000"/>
                <w:kern w:val="0"/>
                <w14:ligatures w14:val="none"/>
              </w:rPr>
            </w:pPr>
            <w:r w:rsidRPr="00693FD5">
              <w:rPr>
                <w:rFonts w:ascii="Times New Roman" w:eastAsia="Times New Roman" w:hAnsi="Times New Roman" w:cs="Times New Roman"/>
                <w:color w:val="000000"/>
                <w:kern w:val="0"/>
                <w14:ligatures w14:val="none"/>
              </w:rPr>
              <w:t>8.1350</w:t>
            </w:r>
          </w:p>
        </w:tc>
      </w:tr>
      <w:tr w:rsidR="004A68C5" w:rsidRPr="004A68C5" w14:paraId="5BF19D54" w14:textId="77777777" w:rsidTr="007577C8">
        <w:trPr>
          <w:trHeight w:val="312"/>
        </w:trPr>
        <w:tc>
          <w:tcPr>
            <w:tcW w:w="738" w:type="pct"/>
            <w:tcBorders>
              <w:top w:val="nil"/>
              <w:left w:val="nil"/>
              <w:bottom w:val="nil"/>
              <w:right w:val="nil"/>
            </w:tcBorders>
            <w:shd w:val="clear" w:color="auto" w:fill="auto"/>
            <w:noWrap/>
            <w:vAlign w:val="bottom"/>
            <w:hideMark/>
          </w:tcPr>
          <w:p w14:paraId="42263DE1"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EID</w:t>
            </w:r>
          </w:p>
        </w:tc>
        <w:tc>
          <w:tcPr>
            <w:tcW w:w="616" w:type="pct"/>
            <w:tcBorders>
              <w:top w:val="nil"/>
              <w:left w:val="nil"/>
              <w:bottom w:val="nil"/>
              <w:right w:val="nil"/>
            </w:tcBorders>
            <w:shd w:val="clear" w:color="auto" w:fill="auto"/>
            <w:noWrap/>
            <w:vAlign w:val="bottom"/>
            <w:hideMark/>
          </w:tcPr>
          <w:p w14:paraId="5020A96B" w14:textId="55C83104"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0632</w:t>
            </w:r>
          </w:p>
        </w:tc>
        <w:tc>
          <w:tcPr>
            <w:tcW w:w="801" w:type="pct"/>
            <w:tcBorders>
              <w:top w:val="nil"/>
              <w:left w:val="nil"/>
              <w:bottom w:val="nil"/>
              <w:right w:val="nil"/>
            </w:tcBorders>
            <w:shd w:val="clear" w:color="auto" w:fill="auto"/>
            <w:noWrap/>
            <w:vAlign w:val="bottom"/>
            <w:hideMark/>
          </w:tcPr>
          <w:p w14:paraId="10104F0E" w14:textId="225E56CA"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1469</w:t>
            </w:r>
          </w:p>
        </w:tc>
        <w:tc>
          <w:tcPr>
            <w:tcW w:w="617" w:type="pct"/>
            <w:tcBorders>
              <w:top w:val="nil"/>
              <w:left w:val="nil"/>
              <w:bottom w:val="nil"/>
              <w:right w:val="nil"/>
            </w:tcBorders>
            <w:shd w:val="clear" w:color="auto" w:fill="auto"/>
            <w:noWrap/>
            <w:vAlign w:val="bottom"/>
            <w:hideMark/>
          </w:tcPr>
          <w:p w14:paraId="5CB5961D" w14:textId="3F80C4EF"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bottom w:val="nil"/>
              <w:right w:val="nil"/>
            </w:tcBorders>
            <w:shd w:val="clear" w:color="auto" w:fill="auto"/>
            <w:noWrap/>
            <w:vAlign w:val="bottom"/>
            <w:hideMark/>
          </w:tcPr>
          <w:p w14:paraId="3D4CC20F"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1.5379</w:t>
            </w:r>
          </w:p>
        </w:tc>
        <w:tc>
          <w:tcPr>
            <w:tcW w:w="818" w:type="pct"/>
            <w:tcBorders>
              <w:top w:val="nil"/>
              <w:left w:val="nil"/>
              <w:bottom w:val="nil"/>
              <w:right w:val="nil"/>
            </w:tcBorders>
            <w:shd w:val="clear" w:color="auto" w:fill="auto"/>
            <w:noWrap/>
            <w:vAlign w:val="bottom"/>
            <w:hideMark/>
          </w:tcPr>
          <w:p w14:paraId="44BD8607" w14:textId="11C581B7"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8.0696</w:t>
            </w:r>
          </w:p>
        </w:tc>
        <w:tc>
          <w:tcPr>
            <w:tcW w:w="724" w:type="pct"/>
            <w:tcBorders>
              <w:top w:val="nil"/>
              <w:left w:val="nil"/>
              <w:bottom w:val="nil"/>
              <w:right w:val="nil"/>
            </w:tcBorders>
            <w:shd w:val="clear" w:color="auto" w:fill="auto"/>
            <w:noWrap/>
            <w:vAlign w:val="bottom"/>
            <w:hideMark/>
          </w:tcPr>
          <w:p w14:paraId="35CB8672" w14:textId="1264D48C"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76.300</w:t>
            </w:r>
          </w:p>
        </w:tc>
      </w:tr>
      <w:tr w:rsidR="004A68C5" w:rsidRPr="004A68C5" w14:paraId="47443F78" w14:textId="77777777" w:rsidTr="007577C8">
        <w:trPr>
          <w:trHeight w:val="312"/>
        </w:trPr>
        <w:tc>
          <w:tcPr>
            <w:tcW w:w="738" w:type="pct"/>
            <w:tcBorders>
              <w:top w:val="nil"/>
              <w:left w:val="nil"/>
              <w:bottom w:val="nil"/>
              <w:right w:val="nil"/>
            </w:tcBorders>
            <w:shd w:val="clear" w:color="auto" w:fill="auto"/>
            <w:noWrap/>
            <w:vAlign w:val="bottom"/>
            <w:hideMark/>
          </w:tcPr>
          <w:p w14:paraId="5F2D7827"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SID</w:t>
            </w:r>
          </w:p>
        </w:tc>
        <w:tc>
          <w:tcPr>
            <w:tcW w:w="616" w:type="pct"/>
            <w:tcBorders>
              <w:top w:val="nil"/>
              <w:left w:val="nil"/>
              <w:bottom w:val="nil"/>
              <w:right w:val="nil"/>
            </w:tcBorders>
            <w:shd w:val="clear" w:color="auto" w:fill="auto"/>
            <w:noWrap/>
            <w:vAlign w:val="bottom"/>
            <w:hideMark/>
          </w:tcPr>
          <w:p w14:paraId="6E676BCC" w14:textId="19167C39"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1345</w:t>
            </w:r>
          </w:p>
        </w:tc>
        <w:tc>
          <w:tcPr>
            <w:tcW w:w="801" w:type="pct"/>
            <w:tcBorders>
              <w:top w:val="nil"/>
              <w:left w:val="nil"/>
              <w:bottom w:val="nil"/>
              <w:right w:val="nil"/>
            </w:tcBorders>
            <w:shd w:val="clear" w:color="auto" w:fill="auto"/>
            <w:noWrap/>
            <w:vAlign w:val="bottom"/>
            <w:hideMark/>
          </w:tcPr>
          <w:p w14:paraId="109F6613" w14:textId="201383AB"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2978</w:t>
            </w:r>
          </w:p>
        </w:tc>
        <w:tc>
          <w:tcPr>
            <w:tcW w:w="617" w:type="pct"/>
            <w:tcBorders>
              <w:top w:val="nil"/>
              <w:left w:val="nil"/>
              <w:bottom w:val="nil"/>
              <w:right w:val="nil"/>
            </w:tcBorders>
            <w:shd w:val="clear" w:color="auto" w:fill="auto"/>
            <w:noWrap/>
            <w:vAlign w:val="bottom"/>
            <w:hideMark/>
          </w:tcPr>
          <w:p w14:paraId="4E1BAF35" w14:textId="4646D9EE"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bottom w:val="nil"/>
              <w:right w:val="nil"/>
            </w:tcBorders>
            <w:shd w:val="clear" w:color="auto" w:fill="auto"/>
            <w:noWrap/>
            <w:vAlign w:val="bottom"/>
            <w:hideMark/>
          </w:tcPr>
          <w:p w14:paraId="171D68F6"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3.1115</w:t>
            </w:r>
          </w:p>
        </w:tc>
        <w:tc>
          <w:tcPr>
            <w:tcW w:w="818" w:type="pct"/>
            <w:tcBorders>
              <w:top w:val="nil"/>
              <w:left w:val="nil"/>
              <w:bottom w:val="nil"/>
              <w:right w:val="nil"/>
            </w:tcBorders>
            <w:shd w:val="clear" w:color="auto" w:fill="auto"/>
            <w:noWrap/>
            <w:vAlign w:val="bottom"/>
            <w:hideMark/>
          </w:tcPr>
          <w:p w14:paraId="5E505DA3" w14:textId="05D06336"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7.</w:t>
            </w:r>
            <w:r w:rsidR="00227D96">
              <w:rPr>
                <w:rFonts w:ascii="Times New Roman" w:eastAsia="Times New Roman" w:hAnsi="Times New Roman" w:cs="Times New Roman"/>
                <w:color w:val="000000"/>
                <w:kern w:val="0"/>
                <w14:ligatures w14:val="none"/>
              </w:rPr>
              <w:t>9614</w:t>
            </w:r>
          </w:p>
        </w:tc>
        <w:tc>
          <w:tcPr>
            <w:tcW w:w="724" w:type="pct"/>
            <w:tcBorders>
              <w:top w:val="nil"/>
              <w:left w:val="nil"/>
              <w:bottom w:val="nil"/>
              <w:right w:val="nil"/>
            </w:tcBorders>
            <w:shd w:val="clear" w:color="auto" w:fill="auto"/>
            <w:noWrap/>
            <w:vAlign w:val="bottom"/>
            <w:hideMark/>
          </w:tcPr>
          <w:p w14:paraId="4C251FDD" w14:textId="382FAC80"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w:t>
            </w:r>
            <w:r w:rsidR="004A68C5" w:rsidRPr="004A68C5">
              <w:rPr>
                <w:rFonts w:ascii="Times New Roman" w:eastAsia="Times New Roman" w:hAnsi="Times New Roman" w:cs="Times New Roman"/>
                <w:color w:val="000000"/>
                <w:kern w:val="0"/>
                <w14:ligatures w14:val="none"/>
              </w:rPr>
              <w:t>4.</w:t>
            </w:r>
            <w:r>
              <w:rPr>
                <w:rFonts w:ascii="Times New Roman" w:eastAsia="Times New Roman" w:hAnsi="Times New Roman" w:cs="Times New Roman"/>
                <w:color w:val="000000"/>
                <w:kern w:val="0"/>
                <w14:ligatures w14:val="none"/>
              </w:rPr>
              <w:t>9956</w:t>
            </w:r>
          </w:p>
        </w:tc>
      </w:tr>
      <w:tr w:rsidR="004A68C5" w:rsidRPr="004A68C5" w14:paraId="450303D3" w14:textId="77777777" w:rsidTr="007577C8">
        <w:trPr>
          <w:trHeight w:val="312"/>
        </w:trPr>
        <w:tc>
          <w:tcPr>
            <w:tcW w:w="738" w:type="pct"/>
            <w:tcBorders>
              <w:top w:val="nil"/>
              <w:left w:val="nil"/>
              <w:right w:val="nil"/>
            </w:tcBorders>
            <w:shd w:val="clear" w:color="auto" w:fill="auto"/>
            <w:noWrap/>
            <w:vAlign w:val="bottom"/>
            <w:hideMark/>
          </w:tcPr>
          <w:p w14:paraId="2043C4CC" w14:textId="77777777" w:rsidR="004A68C5" w:rsidRPr="004A68C5" w:rsidRDefault="004A68C5" w:rsidP="004A68C5">
            <w:pPr>
              <w:spacing w:after="0" w:line="240" w:lineRule="auto"/>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GID</w:t>
            </w:r>
          </w:p>
        </w:tc>
        <w:tc>
          <w:tcPr>
            <w:tcW w:w="616" w:type="pct"/>
            <w:tcBorders>
              <w:top w:val="nil"/>
              <w:left w:val="nil"/>
              <w:right w:val="nil"/>
            </w:tcBorders>
            <w:shd w:val="clear" w:color="auto" w:fill="auto"/>
            <w:noWrap/>
            <w:vAlign w:val="bottom"/>
            <w:hideMark/>
          </w:tcPr>
          <w:p w14:paraId="62E196A8" w14:textId="11BE09ED"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2223</w:t>
            </w:r>
          </w:p>
        </w:tc>
        <w:tc>
          <w:tcPr>
            <w:tcW w:w="801" w:type="pct"/>
            <w:tcBorders>
              <w:top w:val="nil"/>
              <w:left w:val="nil"/>
              <w:right w:val="nil"/>
            </w:tcBorders>
            <w:shd w:val="clear" w:color="auto" w:fill="auto"/>
            <w:noWrap/>
            <w:vAlign w:val="bottom"/>
            <w:hideMark/>
          </w:tcPr>
          <w:p w14:paraId="035D8EFD" w14:textId="13A3087B"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r w:rsidR="00227D96">
              <w:rPr>
                <w:rFonts w:ascii="Times New Roman" w:eastAsia="Times New Roman" w:hAnsi="Times New Roman" w:cs="Times New Roman"/>
                <w:color w:val="000000"/>
                <w:kern w:val="0"/>
                <w14:ligatures w14:val="none"/>
              </w:rPr>
              <w:t>5359</w:t>
            </w:r>
          </w:p>
        </w:tc>
        <w:tc>
          <w:tcPr>
            <w:tcW w:w="617" w:type="pct"/>
            <w:tcBorders>
              <w:top w:val="nil"/>
              <w:left w:val="nil"/>
              <w:right w:val="nil"/>
            </w:tcBorders>
            <w:shd w:val="clear" w:color="auto" w:fill="auto"/>
            <w:noWrap/>
            <w:vAlign w:val="bottom"/>
            <w:hideMark/>
          </w:tcPr>
          <w:p w14:paraId="37433F3A" w14:textId="357FA383"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0</w:t>
            </w:r>
          </w:p>
        </w:tc>
        <w:tc>
          <w:tcPr>
            <w:tcW w:w="687" w:type="pct"/>
            <w:tcBorders>
              <w:top w:val="nil"/>
              <w:left w:val="nil"/>
              <w:right w:val="nil"/>
            </w:tcBorders>
            <w:shd w:val="clear" w:color="auto" w:fill="auto"/>
            <w:noWrap/>
            <w:vAlign w:val="bottom"/>
            <w:hideMark/>
          </w:tcPr>
          <w:p w14:paraId="29DD5A34" w14:textId="77777777" w:rsidR="004A68C5" w:rsidRPr="004A68C5" w:rsidRDefault="004A68C5" w:rsidP="004A68C5">
            <w:pPr>
              <w:spacing w:after="0" w:line="240" w:lineRule="auto"/>
              <w:jc w:val="right"/>
              <w:rPr>
                <w:rFonts w:ascii="Times New Roman" w:eastAsia="Times New Roman" w:hAnsi="Times New Roman" w:cs="Times New Roman"/>
                <w:color w:val="000000"/>
                <w:kern w:val="0"/>
                <w14:ligatures w14:val="none"/>
              </w:rPr>
            </w:pPr>
            <w:r w:rsidRPr="004A68C5">
              <w:rPr>
                <w:rFonts w:ascii="Times New Roman" w:eastAsia="Times New Roman" w:hAnsi="Times New Roman" w:cs="Times New Roman"/>
                <w:color w:val="000000"/>
                <w:kern w:val="0"/>
                <w14:ligatures w14:val="none"/>
              </w:rPr>
              <w:t>5.6175</w:t>
            </w:r>
          </w:p>
        </w:tc>
        <w:tc>
          <w:tcPr>
            <w:tcW w:w="818" w:type="pct"/>
            <w:tcBorders>
              <w:top w:val="nil"/>
              <w:left w:val="nil"/>
              <w:right w:val="nil"/>
            </w:tcBorders>
            <w:shd w:val="clear" w:color="auto" w:fill="auto"/>
            <w:noWrap/>
            <w:vAlign w:val="bottom"/>
            <w:hideMark/>
          </w:tcPr>
          <w:p w14:paraId="2BDA5755" w14:textId="6063C97D"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8.1296</w:t>
            </w:r>
          </w:p>
        </w:tc>
        <w:tc>
          <w:tcPr>
            <w:tcW w:w="724" w:type="pct"/>
            <w:tcBorders>
              <w:top w:val="nil"/>
              <w:left w:val="nil"/>
              <w:right w:val="nil"/>
            </w:tcBorders>
            <w:shd w:val="clear" w:color="auto" w:fill="auto"/>
            <w:noWrap/>
            <w:vAlign w:val="bottom"/>
            <w:hideMark/>
          </w:tcPr>
          <w:p w14:paraId="72551491" w14:textId="54512211" w:rsidR="004A68C5" w:rsidRPr="004A68C5" w:rsidRDefault="00227D96" w:rsidP="004A68C5">
            <w:pPr>
              <w:spacing w:after="0" w:line="240" w:lineRule="auto"/>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77.0824</w:t>
            </w:r>
          </w:p>
        </w:tc>
      </w:tr>
    </w:tbl>
    <w:p w14:paraId="038F9182" w14:textId="40B5D788" w:rsidR="004A68C5"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18495F6B" w14:textId="77777777" w:rsidR="003E3C85" w:rsidRDefault="003E3C85" w:rsidP="00172D52">
      <w:pPr>
        <w:spacing w:after="0" w:line="360" w:lineRule="auto"/>
        <w:jc w:val="both"/>
        <w:rPr>
          <w:rFonts w:asciiTheme="majorBidi" w:eastAsia="Times New Roman" w:hAnsiTheme="majorBidi" w:cstheme="majorBidi"/>
          <w:b/>
        </w:rPr>
      </w:pPr>
      <w:bookmarkStart w:id="3" w:name="_Hlk177913390"/>
    </w:p>
    <w:p w14:paraId="6D873382" w14:textId="0348BB62" w:rsidR="00172D52" w:rsidRDefault="00172D52" w:rsidP="00172D52">
      <w:pPr>
        <w:spacing w:after="0" w:line="360" w:lineRule="auto"/>
        <w:jc w:val="both"/>
        <w:rPr>
          <w:rFonts w:asciiTheme="majorBidi" w:eastAsia="Times New Roman" w:hAnsiTheme="majorBidi" w:cstheme="majorBidi"/>
          <w:b/>
        </w:rPr>
      </w:pPr>
      <w:r w:rsidRPr="00BD0359">
        <w:rPr>
          <w:rFonts w:asciiTheme="majorBidi" w:eastAsia="Times New Roman" w:hAnsiTheme="majorBidi" w:cstheme="majorBidi"/>
          <w:b/>
        </w:rPr>
        <w:t xml:space="preserve">4.2 </w:t>
      </w:r>
      <w:r w:rsidR="007577C8">
        <w:rPr>
          <w:rFonts w:asciiTheme="majorBidi" w:eastAsia="Times New Roman" w:hAnsiTheme="majorBidi" w:cstheme="majorBidi"/>
          <w:b/>
        </w:rPr>
        <w:t xml:space="preserve">   </w:t>
      </w:r>
      <w:r w:rsidRPr="00BD0359">
        <w:rPr>
          <w:rFonts w:asciiTheme="majorBidi" w:eastAsia="Times New Roman" w:hAnsiTheme="majorBidi" w:cstheme="majorBidi"/>
          <w:b/>
        </w:rPr>
        <w:t xml:space="preserve">Test of Variables </w:t>
      </w:r>
    </w:p>
    <w:bookmarkEnd w:id="3"/>
    <w:p w14:paraId="55457426" w14:textId="26A61DA6" w:rsidR="00D34165" w:rsidRDefault="00D34165" w:rsidP="00F7684B">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1846C1">
        <w:rPr>
          <w:rFonts w:asciiTheme="majorBidi" w:eastAsia="Calibri" w:hAnsiTheme="majorBidi" w:cstheme="majorBidi"/>
          <w:bCs/>
        </w:rPr>
        <w:t xml:space="preserve">        </w:t>
      </w:r>
      <w:r w:rsidR="001846C1" w:rsidRPr="001846C1">
        <w:rPr>
          <w:rFonts w:asciiTheme="majorBidi" w:eastAsia="Calibri" w:hAnsiTheme="majorBidi" w:cstheme="majorBidi"/>
          <w:bCs/>
        </w:rPr>
        <w:t>This section comprises important pre-estimation and post-estimation testing meant to guarantee the validity and dependability of the findings of the research. To validate model efficiency, pre-estimation techniques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including the unit root test, correlation analysis, and multicollinearity and post-estimation tests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including the Hausman and heteroscedasticity tests</w:t>
      </w:r>
      <w:r w:rsidR="00D143DE">
        <w:rPr>
          <w:rFonts w:asciiTheme="majorBidi" w:eastAsia="Calibri" w:hAnsiTheme="majorBidi" w:cstheme="majorBidi"/>
          <w:bCs/>
        </w:rPr>
        <w:t>,</w:t>
      </w:r>
      <w:r w:rsidR="001846C1" w:rsidRPr="001846C1">
        <w:rPr>
          <w:rFonts w:asciiTheme="majorBidi" w:eastAsia="Calibri" w:hAnsiTheme="majorBidi" w:cstheme="majorBidi"/>
          <w:bCs/>
        </w:rPr>
        <w:t xml:space="preserve"> were performed.</w:t>
      </w:r>
    </w:p>
    <w:p w14:paraId="7DE8EB4C" w14:textId="5A9415C4" w:rsidR="001846C1" w:rsidRDefault="001846C1" w:rsidP="001846C1">
      <w:pPr>
        <w:spacing w:line="360" w:lineRule="auto"/>
        <w:jc w:val="both"/>
        <w:rPr>
          <w:rFonts w:asciiTheme="majorBidi" w:hAnsiTheme="majorBidi" w:cstheme="majorBidi"/>
          <w:b/>
          <w:bCs/>
        </w:rPr>
      </w:pPr>
      <w:bookmarkStart w:id="4" w:name="_Hlk177913456"/>
      <w:r w:rsidRPr="000B774F">
        <w:rPr>
          <w:rFonts w:asciiTheme="majorBidi" w:hAnsiTheme="majorBidi" w:cstheme="majorBidi"/>
          <w:b/>
          <w:bCs/>
        </w:rPr>
        <w:t>4.2.1 Pre-estimation Test</w:t>
      </w:r>
      <w:r w:rsidR="007577C8">
        <w:rPr>
          <w:rFonts w:asciiTheme="majorBidi" w:hAnsiTheme="majorBidi" w:cstheme="majorBidi"/>
          <w:b/>
          <w:bCs/>
        </w:rPr>
        <w:t xml:space="preserve"> </w:t>
      </w:r>
    </w:p>
    <w:p w14:paraId="6BB71E88" w14:textId="14674D8E" w:rsidR="001846C1" w:rsidRDefault="001846C1" w:rsidP="00D143DE">
      <w:pPr>
        <w:spacing w:line="360" w:lineRule="auto"/>
        <w:jc w:val="both"/>
        <w:rPr>
          <w:rFonts w:asciiTheme="majorBidi" w:eastAsia="Calibri" w:hAnsiTheme="majorBidi" w:cstheme="majorBidi"/>
          <w:bCs/>
        </w:rPr>
      </w:pPr>
      <w:r>
        <w:rPr>
          <w:rFonts w:asciiTheme="majorBidi" w:hAnsiTheme="majorBidi" w:cstheme="majorBidi"/>
          <w:b/>
          <w:bCs/>
        </w:rPr>
        <w:t xml:space="preserve">       </w:t>
      </w:r>
      <w:r w:rsidR="00065F63">
        <w:rPr>
          <w:rFonts w:asciiTheme="majorBidi" w:hAnsiTheme="majorBidi" w:cstheme="majorBidi"/>
          <w:b/>
          <w:bCs/>
        </w:rPr>
        <w:t xml:space="preserve"> </w:t>
      </w:r>
      <w:r w:rsidRPr="001846C1">
        <w:rPr>
          <w:rFonts w:asciiTheme="majorBidi" w:hAnsiTheme="majorBidi" w:cstheme="majorBidi"/>
        </w:rPr>
        <w:t>The following tests guaranteed that the data used for analysis was adequate and that the presumptions of the selected model were satisfied</w:t>
      </w:r>
      <w:r w:rsidR="00D143DE" w:rsidRPr="00D143DE">
        <w:rPr>
          <w:rFonts w:asciiTheme="majorBidi" w:eastAsia="Calibri" w:hAnsiTheme="majorBidi" w:cstheme="majorBidi"/>
          <w:bCs/>
        </w:rPr>
        <w:t>.</w:t>
      </w:r>
    </w:p>
    <w:p w14:paraId="01672C87" w14:textId="3717E20E" w:rsidR="00683DAD" w:rsidRDefault="00683DAD" w:rsidP="00683DAD">
      <w:pPr>
        <w:spacing w:after="0" w:line="360" w:lineRule="auto"/>
        <w:rPr>
          <w:rFonts w:asciiTheme="majorBidi" w:eastAsia="Times New Roman" w:hAnsiTheme="majorBidi" w:cstheme="majorBidi"/>
          <w:b/>
        </w:rPr>
      </w:pPr>
      <w:r w:rsidRPr="00BD0359">
        <w:rPr>
          <w:rFonts w:asciiTheme="majorBidi" w:eastAsia="Calibri" w:hAnsiTheme="majorBidi" w:cstheme="majorBidi"/>
          <w:b/>
        </w:rPr>
        <w:t>4.2.1</w:t>
      </w:r>
      <w:r>
        <w:rPr>
          <w:rFonts w:asciiTheme="majorBidi" w:eastAsia="Calibri" w:hAnsiTheme="majorBidi" w:cstheme="majorBidi"/>
          <w:b/>
        </w:rPr>
        <w:t>.1</w:t>
      </w:r>
      <w:r w:rsidRPr="00BD0359">
        <w:rPr>
          <w:rFonts w:asciiTheme="majorBidi" w:eastAsia="Calibri" w:hAnsiTheme="majorBidi" w:cstheme="majorBidi"/>
          <w:b/>
        </w:rPr>
        <w:t xml:space="preserve"> </w:t>
      </w:r>
      <w:r>
        <w:rPr>
          <w:rFonts w:asciiTheme="majorBidi" w:eastAsia="Times New Roman" w:hAnsiTheme="majorBidi" w:cstheme="majorBidi"/>
          <w:b/>
        </w:rPr>
        <w:t>Stationarity Test</w:t>
      </w:r>
    </w:p>
    <w:p w14:paraId="3D695336" w14:textId="10C807B2" w:rsidR="00683DAD" w:rsidRDefault="00227382" w:rsidP="005A6500">
      <w:pPr>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Pr="00227382">
        <w:rPr>
          <w:rFonts w:asciiTheme="majorBidi" w:eastAsia="Calibri" w:hAnsiTheme="majorBidi" w:cstheme="majorBidi"/>
          <w:bCs/>
        </w:rPr>
        <w:t>Table 3 displays the results of the panel unit root test</w:t>
      </w:r>
      <w:r>
        <w:rPr>
          <w:rFonts w:asciiTheme="majorBidi" w:eastAsia="Calibri" w:hAnsiTheme="majorBidi" w:cstheme="majorBidi"/>
          <w:bCs/>
        </w:rPr>
        <w:t xml:space="preserve"> conducted using </w:t>
      </w:r>
      <w:r w:rsidR="00ED51EB">
        <w:rPr>
          <w:rFonts w:asciiTheme="majorBidi" w:eastAsia="Calibri" w:hAnsiTheme="majorBidi" w:cstheme="majorBidi"/>
          <w:bCs/>
        </w:rPr>
        <w:t xml:space="preserve">the </w:t>
      </w:r>
      <w:r w:rsidRPr="00227382">
        <w:rPr>
          <w:rFonts w:asciiTheme="majorBidi" w:eastAsia="Calibri" w:hAnsiTheme="majorBidi" w:cstheme="majorBidi"/>
          <w:bCs/>
        </w:rPr>
        <w:t>Levin-Lin-Chu (LLC) unit-root test</w:t>
      </w:r>
      <w:r>
        <w:rPr>
          <w:rFonts w:asciiTheme="majorBidi" w:eastAsia="Calibri" w:hAnsiTheme="majorBidi" w:cstheme="majorBidi"/>
          <w:bCs/>
        </w:rPr>
        <w:t xml:space="preserve">. </w:t>
      </w:r>
      <w:r w:rsidRPr="00227382">
        <w:rPr>
          <w:rFonts w:asciiTheme="majorBidi" w:eastAsia="Calibri" w:hAnsiTheme="majorBidi" w:cstheme="majorBidi"/>
          <w:bCs/>
        </w:rPr>
        <w:t xml:space="preserve">According to the null hypothesis, </w:t>
      </w:r>
      <w:r w:rsidR="00817882">
        <w:rPr>
          <w:rFonts w:asciiTheme="majorBidi" w:eastAsia="Calibri" w:hAnsiTheme="majorBidi" w:cstheme="majorBidi"/>
          <w:bCs/>
        </w:rPr>
        <w:t>a</w:t>
      </w:r>
      <w:r w:rsidR="00817882" w:rsidRPr="00817882">
        <w:rPr>
          <w:rFonts w:asciiTheme="majorBidi" w:eastAsia="Calibri" w:hAnsiTheme="majorBidi" w:cstheme="majorBidi"/>
          <w:bCs/>
        </w:rPr>
        <w:t>ll panels contain unit roots</w:t>
      </w:r>
      <w:r w:rsidRPr="00227382">
        <w:rPr>
          <w:rFonts w:asciiTheme="majorBidi" w:eastAsia="Calibri" w:hAnsiTheme="majorBidi" w:cstheme="majorBidi"/>
          <w:bCs/>
        </w:rPr>
        <w:t xml:space="preserve">. According to </w:t>
      </w:r>
      <w:r w:rsidRPr="00227382">
        <w:rPr>
          <w:rFonts w:asciiTheme="majorBidi" w:eastAsia="Calibri" w:hAnsiTheme="majorBidi" w:cstheme="majorBidi"/>
          <w:bCs/>
        </w:rPr>
        <w:lastRenderedPageBreak/>
        <w:t xml:space="preserve">the alternative theory, </w:t>
      </w:r>
      <w:r w:rsidR="00817882">
        <w:rPr>
          <w:rFonts w:asciiTheme="majorBidi" w:eastAsia="Calibri" w:hAnsiTheme="majorBidi" w:cstheme="majorBidi"/>
          <w:bCs/>
        </w:rPr>
        <w:t>a</w:t>
      </w:r>
      <w:r w:rsidR="00817882" w:rsidRPr="00817882">
        <w:rPr>
          <w:rFonts w:asciiTheme="majorBidi" w:eastAsia="Calibri" w:hAnsiTheme="majorBidi" w:cstheme="majorBidi"/>
          <w:bCs/>
        </w:rPr>
        <w:t>ll panels are stationary</w:t>
      </w:r>
      <w:r w:rsidRPr="00227382">
        <w:rPr>
          <w:rFonts w:asciiTheme="majorBidi" w:eastAsia="Calibri" w:hAnsiTheme="majorBidi" w:cstheme="majorBidi"/>
          <w:bCs/>
        </w:rPr>
        <w:t>. The null hypothesis</w:t>
      </w:r>
      <w:r w:rsidR="00ED51EB">
        <w:rPr>
          <w:rFonts w:asciiTheme="majorBidi" w:eastAsia="Calibri" w:hAnsiTheme="majorBidi" w:cstheme="majorBidi"/>
          <w:bCs/>
        </w:rPr>
        <w:t xml:space="preserve"> </w:t>
      </w:r>
      <w:r w:rsidRPr="00227382">
        <w:rPr>
          <w:rFonts w:asciiTheme="majorBidi" w:eastAsia="Calibri" w:hAnsiTheme="majorBidi" w:cstheme="majorBidi"/>
          <w:bCs/>
        </w:rPr>
        <w:t xml:space="preserve">is rejected if the p-value is less than 0.05 and accepted otherwise. </w:t>
      </w:r>
      <w:r w:rsidR="00ED51EB">
        <w:rPr>
          <w:rFonts w:asciiTheme="majorBidi" w:eastAsia="Calibri" w:hAnsiTheme="majorBidi" w:cstheme="majorBidi"/>
          <w:bCs/>
        </w:rPr>
        <w:t>ROE, ROA</w:t>
      </w:r>
      <w:r w:rsidRPr="00227382">
        <w:rPr>
          <w:rFonts w:asciiTheme="majorBidi" w:eastAsia="Calibri" w:hAnsiTheme="majorBidi" w:cstheme="majorBidi"/>
          <w:bCs/>
        </w:rPr>
        <w:t xml:space="preserve">, </w:t>
      </w:r>
      <w:r w:rsidR="00ED51EB">
        <w:rPr>
          <w:rFonts w:asciiTheme="majorBidi" w:eastAsia="Calibri" w:hAnsiTheme="majorBidi" w:cstheme="majorBidi"/>
          <w:bCs/>
        </w:rPr>
        <w:t>EID</w:t>
      </w:r>
      <w:r w:rsidRPr="00227382">
        <w:rPr>
          <w:rFonts w:asciiTheme="majorBidi" w:eastAsia="Calibri" w:hAnsiTheme="majorBidi" w:cstheme="majorBidi"/>
          <w:bCs/>
        </w:rPr>
        <w:t xml:space="preserve">, </w:t>
      </w:r>
      <w:r w:rsidR="00ED51EB">
        <w:rPr>
          <w:rFonts w:asciiTheme="majorBidi" w:eastAsia="Calibri" w:hAnsiTheme="majorBidi" w:cstheme="majorBidi"/>
          <w:bCs/>
        </w:rPr>
        <w:t>SID</w:t>
      </w:r>
      <w:r w:rsidRPr="00227382">
        <w:rPr>
          <w:rFonts w:asciiTheme="majorBidi" w:eastAsia="Calibri" w:hAnsiTheme="majorBidi" w:cstheme="majorBidi"/>
          <w:bCs/>
        </w:rPr>
        <w:t xml:space="preserve">, and </w:t>
      </w:r>
      <w:r w:rsidR="00ED51EB">
        <w:rPr>
          <w:rFonts w:asciiTheme="majorBidi" w:eastAsia="Calibri" w:hAnsiTheme="majorBidi" w:cstheme="majorBidi"/>
          <w:bCs/>
        </w:rPr>
        <w:t>GID</w:t>
      </w:r>
      <w:r w:rsidRPr="00227382">
        <w:rPr>
          <w:rFonts w:asciiTheme="majorBidi" w:eastAsia="Calibri" w:hAnsiTheme="majorBidi" w:cstheme="majorBidi"/>
          <w:bCs/>
        </w:rPr>
        <w:t xml:space="preserve"> all had p-values below 0.05. According</w:t>
      </w:r>
      <w:r w:rsidR="007B709A">
        <w:rPr>
          <w:rFonts w:asciiTheme="majorBidi" w:eastAsia="Calibri" w:hAnsiTheme="majorBidi" w:cstheme="majorBidi"/>
          <w:bCs/>
        </w:rPr>
        <w:t>ly</w:t>
      </w:r>
      <w:r w:rsidRPr="00227382">
        <w:rPr>
          <w:rFonts w:asciiTheme="majorBidi" w:eastAsia="Calibri" w:hAnsiTheme="majorBidi" w:cstheme="majorBidi"/>
          <w:bCs/>
        </w:rPr>
        <w:t>, every variable was stationary</w:t>
      </w:r>
      <w:r w:rsidR="005A6500">
        <w:rPr>
          <w:rFonts w:asciiTheme="majorBidi" w:eastAsia="Calibri" w:hAnsiTheme="majorBidi" w:cstheme="majorBidi"/>
          <w:bCs/>
        </w:rPr>
        <w:t xml:space="preserve"> </w:t>
      </w:r>
      <w:r w:rsidR="005A6500" w:rsidRPr="005A6500">
        <w:rPr>
          <w:rFonts w:asciiTheme="majorBidi" w:eastAsia="Calibri" w:hAnsiTheme="majorBidi" w:cstheme="majorBidi"/>
          <w:bCs/>
        </w:rPr>
        <w:t xml:space="preserve">across </w:t>
      </w:r>
      <w:r w:rsidR="005A6500">
        <w:rPr>
          <w:rFonts w:asciiTheme="majorBidi" w:eastAsia="Calibri" w:hAnsiTheme="majorBidi" w:cstheme="majorBidi"/>
          <w:bCs/>
        </w:rPr>
        <w:t xml:space="preserve">all </w:t>
      </w:r>
      <w:r w:rsidR="005A6500" w:rsidRPr="005A6500">
        <w:rPr>
          <w:rFonts w:asciiTheme="majorBidi" w:eastAsia="Calibri" w:hAnsiTheme="majorBidi" w:cstheme="majorBidi"/>
          <w:bCs/>
        </w:rPr>
        <w:t>panels over</w:t>
      </w:r>
      <w:r w:rsidR="005A6500">
        <w:rPr>
          <w:rFonts w:asciiTheme="majorBidi" w:eastAsia="Calibri" w:hAnsiTheme="majorBidi" w:cstheme="majorBidi"/>
          <w:bCs/>
        </w:rPr>
        <w:t xml:space="preserve"> the</w:t>
      </w:r>
      <w:r w:rsidR="005A6500" w:rsidRPr="005A6500">
        <w:rPr>
          <w:rFonts w:asciiTheme="majorBidi" w:eastAsia="Calibri" w:hAnsiTheme="majorBidi" w:cstheme="majorBidi"/>
          <w:bCs/>
        </w:rPr>
        <w:t xml:space="preserve"> periods.</w:t>
      </w:r>
      <w:r w:rsidR="005A6500">
        <w:rPr>
          <w:rFonts w:asciiTheme="majorBidi" w:eastAsia="Calibri" w:hAnsiTheme="majorBidi" w:cstheme="majorBidi"/>
          <w:bCs/>
        </w:rPr>
        <w:t xml:space="preserve"> </w:t>
      </w:r>
      <w:r w:rsidR="002F7F76">
        <w:rPr>
          <w:rFonts w:asciiTheme="majorBidi" w:eastAsia="Calibri" w:hAnsiTheme="majorBidi" w:cstheme="majorBidi"/>
          <w:bCs/>
        </w:rPr>
        <w:t xml:space="preserve">Therefore, </w:t>
      </w:r>
      <w:r w:rsidR="002F7F76" w:rsidRPr="005A6500">
        <w:rPr>
          <w:rFonts w:asciiTheme="majorBidi" w:eastAsia="Calibri" w:hAnsiTheme="majorBidi" w:cstheme="majorBidi"/>
          <w:bCs/>
        </w:rPr>
        <w:t>all</w:t>
      </w:r>
      <w:r w:rsidR="005A6500">
        <w:rPr>
          <w:rFonts w:asciiTheme="majorBidi" w:eastAsia="Calibri" w:hAnsiTheme="majorBidi" w:cstheme="majorBidi"/>
          <w:bCs/>
        </w:rPr>
        <w:t xml:space="preserve"> variables </w:t>
      </w:r>
      <w:r w:rsidR="005A6500" w:rsidRPr="005A6500">
        <w:rPr>
          <w:rFonts w:asciiTheme="majorBidi" w:eastAsia="Calibri" w:hAnsiTheme="majorBidi" w:cstheme="majorBidi"/>
          <w:bCs/>
        </w:rPr>
        <w:t>d</w:t>
      </w:r>
      <w:r w:rsidR="005A6500">
        <w:rPr>
          <w:rFonts w:asciiTheme="majorBidi" w:eastAsia="Calibri" w:hAnsiTheme="majorBidi" w:cstheme="majorBidi"/>
          <w:bCs/>
        </w:rPr>
        <w:t>o</w:t>
      </w:r>
      <w:r w:rsidR="005A6500" w:rsidRPr="005A6500">
        <w:rPr>
          <w:rFonts w:asciiTheme="majorBidi" w:eastAsia="Calibri" w:hAnsiTheme="majorBidi" w:cstheme="majorBidi"/>
          <w:bCs/>
        </w:rPr>
        <w:t xml:space="preserve"> not exhibit a random walk</w:t>
      </w:r>
      <w:r w:rsidR="002F7F76">
        <w:rPr>
          <w:rFonts w:asciiTheme="majorBidi" w:eastAsia="Calibri" w:hAnsiTheme="majorBidi" w:cstheme="majorBidi"/>
          <w:bCs/>
        </w:rPr>
        <w:t>,</w:t>
      </w:r>
      <w:r w:rsidR="005A6500">
        <w:rPr>
          <w:rFonts w:asciiTheme="majorBidi" w:eastAsia="Calibri" w:hAnsiTheme="majorBidi" w:cstheme="majorBidi"/>
          <w:bCs/>
        </w:rPr>
        <w:t xml:space="preserve"> </w:t>
      </w:r>
      <w:r w:rsidR="002F7F76">
        <w:rPr>
          <w:rFonts w:asciiTheme="majorBidi" w:eastAsia="Calibri" w:hAnsiTheme="majorBidi" w:cstheme="majorBidi"/>
          <w:bCs/>
        </w:rPr>
        <w:t>nor are</w:t>
      </w:r>
      <w:r w:rsidR="005A6500">
        <w:rPr>
          <w:rFonts w:asciiTheme="majorBidi" w:eastAsia="Calibri" w:hAnsiTheme="majorBidi" w:cstheme="majorBidi"/>
          <w:bCs/>
        </w:rPr>
        <w:t xml:space="preserve"> their</w:t>
      </w:r>
      <w:r w:rsidR="005A6500" w:rsidRPr="005A6500">
        <w:rPr>
          <w:rFonts w:asciiTheme="majorBidi" w:eastAsia="Calibri" w:hAnsiTheme="majorBidi" w:cstheme="majorBidi"/>
          <w:bCs/>
        </w:rPr>
        <w:t xml:space="preserve"> statistical properties </w:t>
      </w:r>
      <w:r w:rsidR="005A6500">
        <w:rPr>
          <w:rFonts w:asciiTheme="majorBidi" w:eastAsia="Calibri" w:hAnsiTheme="majorBidi" w:cstheme="majorBidi"/>
          <w:bCs/>
        </w:rPr>
        <w:t>un</w:t>
      </w:r>
      <w:r w:rsidR="005A6500" w:rsidRPr="005A6500">
        <w:rPr>
          <w:rFonts w:asciiTheme="majorBidi" w:eastAsia="Calibri" w:hAnsiTheme="majorBidi" w:cstheme="majorBidi"/>
          <w:bCs/>
        </w:rPr>
        <w:t>stable over time</w:t>
      </w:r>
      <w:r w:rsidR="005A6500">
        <w:rPr>
          <w:rFonts w:asciiTheme="majorBidi" w:eastAsia="Calibri" w:hAnsiTheme="majorBidi" w:cstheme="majorBidi"/>
          <w:bCs/>
        </w:rPr>
        <w:t>.</w:t>
      </w:r>
    </w:p>
    <w:p w14:paraId="40B4FE7F" w14:textId="77777777" w:rsidR="006D66A2" w:rsidRDefault="006D66A2" w:rsidP="005A6500">
      <w:pPr>
        <w:spacing w:line="360" w:lineRule="auto"/>
        <w:jc w:val="both"/>
        <w:rPr>
          <w:rFonts w:asciiTheme="majorBidi" w:eastAsia="Calibri" w:hAnsiTheme="majorBidi" w:cstheme="majorBidi"/>
          <w:bCs/>
        </w:rPr>
      </w:pPr>
    </w:p>
    <w:tbl>
      <w:tblPr>
        <w:tblW w:w="5000" w:type="pct"/>
        <w:tblLook w:val="04A0" w:firstRow="1" w:lastRow="0" w:firstColumn="1" w:lastColumn="0" w:noHBand="0" w:noVBand="1"/>
      </w:tblPr>
      <w:tblGrid>
        <w:gridCol w:w="2160"/>
        <w:gridCol w:w="2713"/>
        <w:gridCol w:w="2465"/>
        <w:gridCol w:w="2022"/>
      </w:tblGrid>
      <w:tr w:rsidR="002F7F76" w:rsidRPr="002F7F76" w14:paraId="1F79C5D9" w14:textId="77777777" w:rsidTr="002F7F76">
        <w:trPr>
          <w:trHeight w:val="312"/>
        </w:trPr>
        <w:tc>
          <w:tcPr>
            <w:tcW w:w="3920" w:type="pct"/>
            <w:gridSpan w:val="3"/>
            <w:tcBorders>
              <w:top w:val="nil"/>
              <w:left w:val="nil"/>
              <w:bottom w:val="nil"/>
              <w:right w:val="nil"/>
            </w:tcBorders>
            <w:shd w:val="clear" w:color="auto" w:fill="auto"/>
            <w:noWrap/>
            <w:vAlign w:val="bottom"/>
            <w:hideMark/>
          </w:tcPr>
          <w:p w14:paraId="0FF5D1C2" w14:textId="77777777" w:rsidR="002F7F76" w:rsidRPr="007577C8" w:rsidRDefault="002F7F76" w:rsidP="002F7F76">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3: Panel Unit Root Test</w:t>
            </w:r>
          </w:p>
        </w:tc>
        <w:tc>
          <w:tcPr>
            <w:tcW w:w="1080" w:type="pct"/>
            <w:tcBorders>
              <w:top w:val="nil"/>
              <w:left w:val="nil"/>
              <w:bottom w:val="nil"/>
              <w:right w:val="nil"/>
            </w:tcBorders>
            <w:shd w:val="clear" w:color="auto" w:fill="auto"/>
            <w:noWrap/>
            <w:vAlign w:val="bottom"/>
            <w:hideMark/>
          </w:tcPr>
          <w:p w14:paraId="647CB6B2"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p>
        </w:tc>
      </w:tr>
      <w:tr w:rsidR="002F7F76" w:rsidRPr="002F7F76" w14:paraId="403849CC" w14:textId="77777777" w:rsidTr="002F7F76">
        <w:trPr>
          <w:trHeight w:val="312"/>
        </w:trPr>
        <w:tc>
          <w:tcPr>
            <w:tcW w:w="1154" w:type="pct"/>
            <w:tcBorders>
              <w:top w:val="single" w:sz="4" w:space="0" w:color="auto"/>
              <w:left w:val="nil"/>
              <w:bottom w:val="single" w:sz="4" w:space="0" w:color="auto"/>
              <w:right w:val="nil"/>
            </w:tcBorders>
            <w:shd w:val="clear" w:color="auto" w:fill="auto"/>
            <w:noWrap/>
            <w:vAlign w:val="bottom"/>
            <w:hideMark/>
          </w:tcPr>
          <w:p w14:paraId="1DA7E0FD"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Variable</w:t>
            </w:r>
          </w:p>
        </w:tc>
        <w:tc>
          <w:tcPr>
            <w:tcW w:w="1449" w:type="pct"/>
            <w:tcBorders>
              <w:top w:val="single" w:sz="4" w:space="0" w:color="auto"/>
              <w:left w:val="nil"/>
              <w:bottom w:val="single" w:sz="4" w:space="0" w:color="auto"/>
              <w:right w:val="nil"/>
            </w:tcBorders>
            <w:shd w:val="clear" w:color="auto" w:fill="auto"/>
            <w:noWrap/>
            <w:vAlign w:val="bottom"/>
            <w:hideMark/>
          </w:tcPr>
          <w:p w14:paraId="4C6F0481"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Unadjusted t</w:t>
            </w:r>
          </w:p>
        </w:tc>
        <w:tc>
          <w:tcPr>
            <w:tcW w:w="1317" w:type="pct"/>
            <w:tcBorders>
              <w:top w:val="single" w:sz="4" w:space="0" w:color="auto"/>
              <w:left w:val="nil"/>
              <w:bottom w:val="single" w:sz="4" w:space="0" w:color="auto"/>
              <w:right w:val="nil"/>
            </w:tcBorders>
            <w:shd w:val="clear" w:color="auto" w:fill="auto"/>
            <w:noWrap/>
            <w:vAlign w:val="bottom"/>
            <w:hideMark/>
          </w:tcPr>
          <w:p w14:paraId="5A0CA459"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Adjusted t*</w:t>
            </w:r>
          </w:p>
        </w:tc>
        <w:tc>
          <w:tcPr>
            <w:tcW w:w="1080" w:type="pct"/>
            <w:tcBorders>
              <w:top w:val="single" w:sz="4" w:space="0" w:color="auto"/>
              <w:left w:val="nil"/>
              <w:bottom w:val="single" w:sz="4" w:space="0" w:color="auto"/>
              <w:right w:val="nil"/>
            </w:tcBorders>
            <w:shd w:val="clear" w:color="auto" w:fill="auto"/>
            <w:noWrap/>
            <w:vAlign w:val="bottom"/>
            <w:hideMark/>
          </w:tcPr>
          <w:p w14:paraId="3209E238"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p-value</w:t>
            </w:r>
          </w:p>
        </w:tc>
      </w:tr>
      <w:tr w:rsidR="002F7F76" w:rsidRPr="002F7F76" w14:paraId="4487EE7B" w14:textId="77777777" w:rsidTr="002F7F76">
        <w:trPr>
          <w:trHeight w:val="312"/>
        </w:trPr>
        <w:tc>
          <w:tcPr>
            <w:tcW w:w="1154" w:type="pct"/>
            <w:tcBorders>
              <w:top w:val="nil"/>
              <w:left w:val="nil"/>
              <w:bottom w:val="nil"/>
              <w:right w:val="nil"/>
            </w:tcBorders>
            <w:shd w:val="clear" w:color="auto" w:fill="auto"/>
            <w:noWrap/>
            <w:vAlign w:val="bottom"/>
            <w:hideMark/>
          </w:tcPr>
          <w:p w14:paraId="4A73ED94"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ROA</w:t>
            </w:r>
          </w:p>
        </w:tc>
        <w:tc>
          <w:tcPr>
            <w:tcW w:w="1449" w:type="pct"/>
            <w:tcBorders>
              <w:top w:val="nil"/>
              <w:left w:val="nil"/>
              <w:bottom w:val="nil"/>
              <w:right w:val="nil"/>
            </w:tcBorders>
            <w:shd w:val="clear" w:color="auto" w:fill="auto"/>
            <w:noWrap/>
            <w:vAlign w:val="bottom"/>
            <w:hideMark/>
          </w:tcPr>
          <w:p w14:paraId="5C6E11C4"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-7.6982</w:t>
            </w:r>
          </w:p>
        </w:tc>
        <w:tc>
          <w:tcPr>
            <w:tcW w:w="1317" w:type="pct"/>
            <w:tcBorders>
              <w:top w:val="nil"/>
              <w:left w:val="nil"/>
              <w:bottom w:val="nil"/>
              <w:right w:val="nil"/>
            </w:tcBorders>
            <w:shd w:val="clear" w:color="auto" w:fill="auto"/>
            <w:noWrap/>
            <w:vAlign w:val="bottom"/>
            <w:hideMark/>
          </w:tcPr>
          <w:p w14:paraId="05AC8597"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-2.7674</w:t>
            </w:r>
          </w:p>
        </w:tc>
        <w:tc>
          <w:tcPr>
            <w:tcW w:w="1080" w:type="pct"/>
            <w:tcBorders>
              <w:top w:val="nil"/>
              <w:left w:val="nil"/>
              <w:bottom w:val="nil"/>
              <w:right w:val="nil"/>
            </w:tcBorders>
            <w:shd w:val="clear" w:color="auto" w:fill="auto"/>
            <w:noWrap/>
            <w:vAlign w:val="bottom"/>
            <w:hideMark/>
          </w:tcPr>
          <w:p w14:paraId="468DAF39"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0.0028</w:t>
            </w:r>
          </w:p>
        </w:tc>
      </w:tr>
      <w:tr w:rsidR="002F7F76" w:rsidRPr="002F7F76" w14:paraId="3DD95216" w14:textId="77777777" w:rsidTr="002F7F76">
        <w:trPr>
          <w:trHeight w:val="312"/>
        </w:trPr>
        <w:tc>
          <w:tcPr>
            <w:tcW w:w="1154" w:type="pct"/>
            <w:tcBorders>
              <w:top w:val="nil"/>
              <w:left w:val="nil"/>
              <w:bottom w:val="nil"/>
              <w:right w:val="nil"/>
            </w:tcBorders>
            <w:shd w:val="clear" w:color="auto" w:fill="auto"/>
            <w:noWrap/>
            <w:vAlign w:val="bottom"/>
            <w:hideMark/>
          </w:tcPr>
          <w:p w14:paraId="2DD4B72E"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ROE</w:t>
            </w:r>
          </w:p>
        </w:tc>
        <w:tc>
          <w:tcPr>
            <w:tcW w:w="1449" w:type="pct"/>
            <w:tcBorders>
              <w:top w:val="nil"/>
              <w:left w:val="nil"/>
              <w:bottom w:val="nil"/>
              <w:right w:val="nil"/>
            </w:tcBorders>
            <w:shd w:val="clear" w:color="auto" w:fill="auto"/>
            <w:noWrap/>
            <w:vAlign w:val="bottom"/>
            <w:hideMark/>
          </w:tcPr>
          <w:p w14:paraId="54843906"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-7.5739</w:t>
            </w:r>
          </w:p>
        </w:tc>
        <w:tc>
          <w:tcPr>
            <w:tcW w:w="1317" w:type="pct"/>
            <w:tcBorders>
              <w:top w:val="nil"/>
              <w:left w:val="nil"/>
              <w:bottom w:val="nil"/>
              <w:right w:val="nil"/>
            </w:tcBorders>
            <w:shd w:val="clear" w:color="auto" w:fill="auto"/>
            <w:noWrap/>
            <w:vAlign w:val="bottom"/>
            <w:hideMark/>
          </w:tcPr>
          <w:p w14:paraId="6F8C88CC"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-2.5822</w:t>
            </w:r>
          </w:p>
        </w:tc>
        <w:tc>
          <w:tcPr>
            <w:tcW w:w="1080" w:type="pct"/>
            <w:tcBorders>
              <w:top w:val="nil"/>
              <w:left w:val="nil"/>
              <w:bottom w:val="nil"/>
              <w:right w:val="nil"/>
            </w:tcBorders>
            <w:shd w:val="clear" w:color="auto" w:fill="auto"/>
            <w:noWrap/>
            <w:vAlign w:val="bottom"/>
            <w:hideMark/>
          </w:tcPr>
          <w:p w14:paraId="7D68F058"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0.0049</w:t>
            </w:r>
          </w:p>
        </w:tc>
      </w:tr>
      <w:tr w:rsidR="002F7F76" w:rsidRPr="002F7F76" w14:paraId="27AA19B4" w14:textId="77777777" w:rsidTr="002F7F76">
        <w:trPr>
          <w:trHeight w:val="312"/>
        </w:trPr>
        <w:tc>
          <w:tcPr>
            <w:tcW w:w="1154" w:type="pct"/>
            <w:tcBorders>
              <w:top w:val="nil"/>
              <w:left w:val="nil"/>
              <w:bottom w:val="nil"/>
              <w:right w:val="nil"/>
            </w:tcBorders>
            <w:shd w:val="clear" w:color="auto" w:fill="auto"/>
            <w:noWrap/>
            <w:vAlign w:val="bottom"/>
            <w:hideMark/>
          </w:tcPr>
          <w:p w14:paraId="552EE20B"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EID</w:t>
            </w:r>
          </w:p>
        </w:tc>
        <w:tc>
          <w:tcPr>
            <w:tcW w:w="1449" w:type="pct"/>
            <w:tcBorders>
              <w:top w:val="nil"/>
              <w:left w:val="nil"/>
              <w:bottom w:val="nil"/>
              <w:right w:val="nil"/>
            </w:tcBorders>
            <w:shd w:val="clear" w:color="auto" w:fill="auto"/>
            <w:noWrap/>
            <w:vAlign w:val="bottom"/>
            <w:hideMark/>
          </w:tcPr>
          <w:p w14:paraId="02A2A7DA"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-8.5937</w:t>
            </w:r>
          </w:p>
        </w:tc>
        <w:tc>
          <w:tcPr>
            <w:tcW w:w="1317" w:type="pct"/>
            <w:tcBorders>
              <w:top w:val="nil"/>
              <w:left w:val="nil"/>
              <w:bottom w:val="nil"/>
              <w:right w:val="nil"/>
            </w:tcBorders>
            <w:shd w:val="clear" w:color="auto" w:fill="auto"/>
            <w:noWrap/>
            <w:vAlign w:val="bottom"/>
            <w:hideMark/>
          </w:tcPr>
          <w:p w14:paraId="350E003B"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-3.1406</w:t>
            </w:r>
          </w:p>
        </w:tc>
        <w:tc>
          <w:tcPr>
            <w:tcW w:w="1080" w:type="pct"/>
            <w:tcBorders>
              <w:top w:val="nil"/>
              <w:left w:val="nil"/>
              <w:bottom w:val="nil"/>
              <w:right w:val="nil"/>
            </w:tcBorders>
            <w:shd w:val="clear" w:color="auto" w:fill="auto"/>
            <w:noWrap/>
            <w:vAlign w:val="bottom"/>
            <w:hideMark/>
          </w:tcPr>
          <w:p w14:paraId="752BAD73"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0.0008</w:t>
            </w:r>
          </w:p>
        </w:tc>
      </w:tr>
      <w:tr w:rsidR="002F7F76" w:rsidRPr="002F7F76" w14:paraId="593FDB38" w14:textId="77777777" w:rsidTr="002F7F76">
        <w:trPr>
          <w:trHeight w:val="312"/>
        </w:trPr>
        <w:tc>
          <w:tcPr>
            <w:tcW w:w="1154" w:type="pct"/>
            <w:tcBorders>
              <w:top w:val="nil"/>
              <w:left w:val="nil"/>
              <w:bottom w:val="nil"/>
              <w:right w:val="nil"/>
            </w:tcBorders>
            <w:shd w:val="clear" w:color="auto" w:fill="auto"/>
            <w:noWrap/>
            <w:vAlign w:val="bottom"/>
            <w:hideMark/>
          </w:tcPr>
          <w:p w14:paraId="43A8CADC"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SID</w:t>
            </w:r>
          </w:p>
        </w:tc>
        <w:tc>
          <w:tcPr>
            <w:tcW w:w="1449" w:type="pct"/>
            <w:tcBorders>
              <w:top w:val="nil"/>
              <w:left w:val="nil"/>
              <w:bottom w:val="nil"/>
              <w:right w:val="nil"/>
            </w:tcBorders>
            <w:shd w:val="clear" w:color="auto" w:fill="auto"/>
            <w:noWrap/>
            <w:vAlign w:val="bottom"/>
            <w:hideMark/>
          </w:tcPr>
          <w:p w14:paraId="3D7B23CD"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-8.498</w:t>
            </w:r>
          </w:p>
        </w:tc>
        <w:tc>
          <w:tcPr>
            <w:tcW w:w="1317" w:type="pct"/>
            <w:tcBorders>
              <w:top w:val="nil"/>
              <w:left w:val="nil"/>
              <w:bottom w:val="nil"/>
              <w:right w:val="nil"/>
            </w:tcBorders>
            <w:shd w:val="clear" w:color="auto" w:fill="auto"/>
            <w:noWrap/>
            <w:vAlign w:val="bottom"/>
            <w:hideMark/>
          </w:tcPr>
          <w:p w14:paraId="38194D0F"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-3.9007</w:t>
            </w:r>
          </w:p>
        </w:tc>
        <w:tc>
          <w:tcPr>
            <w:tcW w:w="1080" w:type="pct"/>
            <w:tcBorders>
              <w:top w:val="nil"/>
              <w:left w:val="nil"/>
              <w:bottom w:val="nil"/>
              <w:right w:val="nil"/>
            </w:tcBorders>
            <w:shd w:val="clear" w:color="auto" w:fill="auto"/>
            <w:noWrap/>
            <w:vAlign w:val="bottom"/>
            <w:hideMark/>
          </w:tcPr>
          <w:p w14:paraId="3DAE0D45" w14:textId="0723933B"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w:t>
            </w:r>
            <w:r w:rsidR="00576E31">
              <w:rPr>
                <w:rFonts w:ascii="Times New Roman" w:eastAsia="Times New Roman" w:hAnsi="Times New Roman" w:cs="Times New Roman"/>
                <w:color w:val="000000"/>
                <w:kern w:val="0"/>
                <w14:ligatures w14:val="none"/>
              </w:rPr>
              <w:t>.0000</w:t>
            </w:r>
          </w:p>
        </w:tc>
      </w:tr>
      <w:tr w:rsidR="002F7F76" w:rsidRPr="002F7F76" w14:paraId="66251F6B" w14:textId="77777777" w:rsidTr="002F7F76">
        <w:trPr>
          <w:trHeight w:val="312"/>
        </w:trPr>
        <w:tc>
          <w:tcPr>
            <w:tcW w:w="1154" w:type="pct"/>
            <w:tcBorders>
              <w:top w:val="nil"/>
              <w:left w:val="nil"/>
              <w:bottom w:val="single" w:sz="4" w:space="0" w:color="auto"/>
              <w:right w:val="nil"/>
            </w:tcBorders>
            <w:shd w:val="clear" w:color="auto" w:fill="auto"/>
            <w:noWrap/>
            <w:vAlign w:val="bottom"/>
            <w:hideMark/>
          </w:tcPr>
          <w:p w14:paraId="01C9D44E" w14:textId="77777777" w:rsidR="002F7F76" w:rsidRPr="002F7F76" w:rsidRDefault="002F7F76" w:rsidP="002F7F76">
            <w:pPr>
              <w:spacing w:after="0" w:line="240" w:lineRule="auto"/>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GID</w:t>
            </w:r>
          </w:p>
        </w:tc>
        <w:tc>
          <w:tcPr>
            <w:tcW w:w="1449" w:type="pct"/>
            <w:tcBorders>
              <w:top w:val="nil"/>
              <w:left w:val="nil"/>
              <w:bottom w:val="single" w:sz="4" w:space="0" w:color="auto"/>
              <w:right w:val="nil"/>
            </w:tcBorders>
            <w:shd w:val="clear" w:color="auto" w:fill="auto"/>
            <w:noWrap/>
            <w:vAlign w:val="bottom"/>
            <w:hideMark/>
          </w:tcPr>
          <w:p w14:paraId="36E26976"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-12.7375</w:t>
            </w:r>
          </w:p>
        </w:tc>
        <w:tc>
          <w:tcPr>
            <w:tcW w:w="1317" w:type="pct"/>
            <w:tcBorders>
              <w:top w:val="nil"/>
              <w:left w:val="nil"/>
              <w:bottom w:val="single" w:sz="4" w:space="0" w:color="auto"/>
              <w:right w:val="nil"/>
            </w:tcBorders>
            <w:shd w:val="clear" w:color="auto" w:fill="auto"/>
            <w:noWrap/>
            <w:vAlign w:val="bottom"/>
            <w:hideMark/>
          </w:tcPr>
          <w:p w14:paraId="26F4A565" w14:textId="77777777"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-9.3865</w:t>
            </w:r>
          </w:p>
        </w:tc>
        <w:tc>
          <w:tcPr>
            <w:tcW w:w="1080" w:type="pct"/>
            <w:tcBorders>
              <w:top w:val="nil"/>
              <w:left w:val="nil"/>
              <w:bottom w:val="single" w:sz="4" w:space="0" w:color="auto"/>
              <w:right w:val="nil"/>
            </w:tcBorders>
            <w:shd w:val="clear" w:color="auto" w:fill="auto"/>
            <w:noWrap/>
            <w:vAlign w:val="bottom"/>
            <w:hideMark/>
          </w:tcPr>
          <w:p w14:paraId="1279CFC9" w14:textId="73E89930" w:rsidR="002F7F76" w:rsidRPr="002F7F76" w:rsidRDefault="002F7F76" w:rsidP="002F7F76">
            <w:pPr>
              <w:spacing w:after="0" w:line="240" w:lineRule="auto"/>
              <w:jc w:val="right"/>
              <w:rPr>
                <w:rFonts w:ascii="Times New Roman" w:eastAsia="Times New Roman" w:hAnsi="Times New Roman" w:cs="Times New Roman"/>
                <w:color w:val="000000"/>
                <w:kern w:val="0"/>
                <w14:ligatures w14:val="none"/>
              </w:rPr>
            </w:pPr>
            <w:r w:rsidRPr="002F7F76">
              <w:rPr>
                <w:rFonts w:ascii="Times New Roman" w:eastAsia="Times New Roman" w:hAnsi="Times New Roman" w:cs="Times New Roman"/>
                <w:color w:val="000000"/>
                <w:kern w:val="0"/>
                <w14:ligatures w14:val="none"/>
              </w:rPr>
              <w:t>0</w:t>
            </w:r>
            <w:r w:rsidR="00576E31">
              <w:rPr>
                <w:rFonts w:ascii="Times New Roman" w:eastAsia="Times New Roman" w:hAnsi="Times New Roman" w:cs="Times New Roman"/>
                <w:color w:val="000000"/>
                <w:kern w:val="0"/>
                <w14:ligatures w14:val="none"/>
              </w:rPr>
              <w:t>.0000</w:t>
            </w:r>
          </w:p>
        </w:tc>
      </w:tr>
    </w:tbl>
    <w:p w14:paraId="7152CDB0" w14:textId="33C3F334" w:rsidR="00D261D5" w:rsidRPr="007577C8" w:rsidRDefault="007577C8" w:rsidP="007577C8">
      <w:pPr>
        <w:pBdr>
          <w:top w:val="single" w:sz="4" w:space="1" w:color="auto"/>
        </w:pBdr>
        <w:spacing w:after="240"/>
        <w:rPr>
          <w:rFonts w:asciiTheme="majorBidi" w:eastAsia="Times New Roman" w:hAnsiTheme="majorBidi" w:cstheme="majorBidi"/>
          <w:b/>
          <w:bCs/>
        </w:rPr>
      </w:pPr>
      <w:bookmarkStart w:id="5" w:name="_Hlk177913497"/>
      <w:bookmarkStart w:id="6" w:name="_Hlk195182664"/>
      <w:bookmarkEnd w:id="4"/>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30CE8AA8" w14:textId="47DC8122" w:rsidR="001846C1" w:rsidRDefault="001846C1" w:rsidP="001846C1">
      <w:pPr>
        <w:spacing w:after="0" w:line="360" w:lineRule="auto"/>
        <w:rPr>
          <w:rFonts w:asciiTheme="majorBidi" w:eastAsia="Times New Roman" w:hAnsiTheme="majorBidi" w:cstheme="majorBidi"/>
          <w:b/>
        </w:rPr>
      </w:pPr>
      <w:r w:rsidRPr="00BD0359">
        <w:rPr>
          <w:rFonts w:asciiTheme="majorBidi" w:eastAsia="Calibri" w:hAnsiTheme="majorBidi" w:cstheme="majorBidi"/>
          <w:b/>
        </w:rPr>
        <w:t>4.2.1</w:t>
      </w:r>
      <w:r>
        <w:rPr>
          <w:rFonts w:asciiTheme="majorBidi" w:eastAsia="Calibri" w:hAnsiTheme="majorBidi" w:cstheme="majorBidi"/>
          <w:b/>
        </w:rPr>
        <w:t>.</w:t>
      </w:r>
      <w:r w:rsidR="00683DAD">
        <w:rPr>
          <w:rFonts w:asciiTheme="majorBidi" w:eastAsia="Calibri" w:hAnsiTheme="majorBidi" w:cstheme="majorBidi"/>
          <w:b/>
        </w:rPr>
        <w:t>2</w:t>
      </w:r>
      <w:r w:rsidRPr="00BD0359">
        <w:rPr>
          <w:rFonts w:asciiTheme="majorBidi" w:eastAsia="Calibri" w:hAnsiTheme="majorBidi" w:cstheme="majorBidi"/>
          <w:b/>
        </w:rPr>
        <w:t xml:space="preserve"> </w:t>
      </w:r>
      <w:bookmarkEnd w:id="5"/>
      <w:r w:rsidR="00D143DE" w:rsidRPr="00374F49">
        <w:rPr>
          <w:rFonts w:asciiTheme="majorBidi" w:eastAsia="Times New Roman" w:hAnsiTheme="majorBidi" w:cstheme="majorBidi"/>
          <w:b/>
        </w:rPr>
        <w:t>Correlation Analysis</w:t>
      </w:r>
    </w:p>
    <w:p w14:paraId="2781EF27" w14:textId="7A941B62" w:rsidR="007577C8" w:rsidRDefault="00065F63" w:rsidP="006D66A2">
      <w:pPr>
        <w:spacing w:after="0" w:line="360" w:lineRule="auto"/>
        <w:jc w:val="both"/>
        <w:rPr>
          <w:rFonts w:asciiTheme="majorBidi" w:eastAsia="Calibri" w:hAnsiTheme="majorBidi" w:cstheme="majorBidi"/>
        </w:rPr>
      </w:pPr>
      <w:r>
        <w:rPr>
          <w:rFonts w:asciiTheme="majorBidi" w:eastAsia="Calibri" w:hAnsiTheme="majorBidi" w:cstheme="majorBidi"/>
        </w:rPr>
        <w:t xml:space="preserve">       </w:t>
      </w:r>
      <w:r w:rsidR="007577C8">
        <w:rPr>
          <w:rFonts w:asciiTheme="majorBidi" w:eastAsia="Calibri" w:hAnsiTheme="majorBidi" w:cstheme="majorBidi"/>
        </w:rPr>
        <w:t xml:space="preserve">     </w:t>
      </w:r>
      <w:r w:rsidRPr="00065F63">
        <w:rPr>
          <w:rFonts w:asciiTheme="majorBidi" w:eastAsia="Calibri" w:hAnsiTheme="majorBidi" w:cstheme="majorBidi"/>
        </w:rPr>
        <w:t>The findings of a pairwise correlation coefficient test between independent variables are shown in Table 4. With a coefficient value of 0.</w:t>
      </w:r>
      <w:r w:rsidR="004F0C60">
        <w:rPr>
          <w:rFonts w:asciiTheme="majorBidi" w:eastAsia="Calibri" w:hAnsiTheme="majorBidi" w:cstheme="majorBidi"/>
        </w:rPr>
        <w:t>9985</w:t>
      </w:r>
      <w:r w:rsidRPr="00065F63">
        <w:rPr>
          <w:rFonts w:asciiTheme="majorBidi" w:eastAsia="Calibri" w:hAnsiTheme="majorBidi" w:cstheme="majorBidi"/>
        </w:rPr>
        <w:t xml:space="preserve"> and a p-value of 0.0000, the test result demonstrated a significant positive association between </w:t>
      </w:r>
      <w:r w:rsidR="004F0C60">
        <w:rPr>
          <w:rFonts w:asciiTheme="majorBidi" w:eastAsia="Calibri" w:hAnsiTheme="majorBidi" w:cstheme="majorBidi"/>
        </w:rPr>
        <w:t>EID</w:t>
      </w:r>
      <w:r w:rsidRPr="00065F63">
        <w:rPr>
          <w:rFonts w:asciiTheme="majorBidi" w:eastAsia="Calibri" w:hAnsiTheme="majorBidi" w:cstheme="majorBidi"/>
        </w:rPr>
        <w:t xml:space="preserve"> and </w:t>
      </w:r>
      <w:r w:rsidR="004F0C60">
        <w:rPr>
          <w:rFonts w:asciiTheme="majorBidi" w:eastAsia="Calibri" w:hAnsiTheme="majorBidi" w:cstheme="majorBidi"/>
        </w:rPr>
        <w:t>SID</w:t>
      </w:r>
      <w:r w:rsidRPr="00065F63">
        <w:rPr>
          <w:rFonts w:asciiTheme="majorBidi" w:eastAsia="Calibri" w:hAnsiTheme="majorBidi" w:cstheme="majorBidi"/>
        </w:rPr>
        <w:t>. Additionally, with a coefficient value of 0.</w:t>
      </w:r>
      <w:r w:rsidR="004F0C60">
        <w:rPr>
          <w:rFonts w:asciiTheme="majorBidi" w:eastAsia="Calibri" w:hAnsiTheme="majorBidi" w:cstheme="majorBidi"/>
        </w:rPr>
        <w:t>9980</w:t>
      </w:r>
      <w:r w:rsidRPr="00065F63">
        <w:rPr>
          <w:rFonts w:asciiTheme="majorBidi" w:eastAsia="Calibri" w:hAnsiTheme="majorBidi" w:cstheme="majorBidi"/>
        </w:rPr>
        <w:t xml:space="preserve">, there is a </w:t>
      </w:r>
      <w:r w:rsidR="004F0C60">
        <w:rPr>
          <w:rFonts w:asciiTheme="majorBidi" w:eastAsia="Calibri" w:hAnsiTheme="majorBidi" w:cstheme="majorBidi"/>
        </w:rPr>
        <w:t>strong</w:t>
      </w:r>
      <w:r w:rsidRPr="00065F63">
        <w:rPr>
          <w:rFonts w:asciiTheme="majorBidi" w:eastAsia="Calibri" w:hAnsiTheme="majorBidi" w:cstheme="majorBidi"/>
        </w:rPr>
        <w:t xml:space="preserve"> positive association between </w:t>
      </w:r>
      <w:r w:rsidR="004F0C60">
        <w:rPr>
          <w:rFonts w:asciiTheme="majorBidi" w:eastAsia="Calibri" w:hAnsiTheme="majorBidi" w:cstheme="majorBidi"/>
        </w:rPr>
        <w:t>EID</w:t>
      </w:r>
      <w:r w:rsidRPr="00065F63">
        <w:rPr>
          <w:rFonts w:asciiTheme="majorBidi" w:eastAsia="Calibri" w:hAnsiTheme="majorBidi" w:cstheme="majorBidi"/>
        </w:rPr>
        <w:t xml:space="preserve"> and </w:t>
      </w:r>
      <w:r w:rsidR="004F0C60">
        <w:rPr>
          <w:rFonts w:asciiTheme="majorBidi" w:eastAsia="Calibri" w:hAnsiTheme="majorBidi" w:cstheme="majorBidi"/>
        </w:rPr>
        <w:t xml:space="preserve">GID. GID </w:t>
      </w:r>
      <w:r w:rsidRPr="00065F63">
        <w:rPr>
          <w:rFonts w:asciiTheme="majorBidi" w:eastAsia="Calibri" w:hAnsiTheme="majorBidi" w:cstheme="majorBidi"/>
        </w:rPr>
        <w:t xml:space="preserve">and </w:t>
      </w:r>
      <w:r w:rsidR="004F0C60">
        <w:rPr>
          <w:rFonts w:asciiTheme="majorBidi" w:eastAsia="Calibri" w:hAnsiTheme="majorBidi" w:cstheme="majorBidi"/>
        </w:rPr>
        <w:t>SID</w:t>
      </w:r>
      <w:r w:rsidRPr="00065F63">
        <w:rPr>
          <w:rFonts w:asciiTheme="majorBidi" w:eastAsia="Calibri" w:hAnsiTheme="majorBidi" w:cstheme="majorBidi"/>
        </w:rPr>
        <w:t xml:space="preserve"> have a direct but </w:t>
      </w:r>
      <w:r w:rsidR="004F0C60">
        <w:rPr>
          <w:rFonts w:asciiTheme="majorBidi" w:eastAsia="Calibri" w:hAnsiTheme="majorBidi" w:cstheme="majorBidi"/>
        </w:rPr>
        <w:t>strong</w:t>
      </w:r>
      <w:r w:rsidRPr="00065F63">
        <w:rPr>
          <w:rFonts w:asciiTheme="majorBidi" w:eastAsia="Calibri" w:hAnsiTheme="majorBidi" w:cstheme="majorBidi"/>
        </w:rPr>
        <w:t xml:space="preserve"> positive linear relationship, as indicated by the correlation coefficient of 0.</w:t>
      </w:r>
      <w:r w:rsidR="004F0C60">
        <w:rPr>
          <w:rFonts w:asciiTheme="majorBidi" w:eastAsia="Calibri" w:hAnsiTheme="majorBidi" w:cstheme="majorBidi"/>
        </w:rPr>
        <w:t>9984</w:t>
      </w:r>
      <w:r w:rsidRPr="00065F63">
        <w:rPr>
          <w:rFonts w:asciiTheme="majorBidi" w:eastAsia="Calibri" w:hAnsiTheme="majorBidi" w:cstheme="majorBidi"/>
        </w:rPr>
        <w:t xml:space="preserve"> and p-value of 0.</w:t>
      </w:r>
      <w:r w:rsidR="004F0C60">
        <w:rPr>
          <w:rFonts w:asciiTheme="majorBidi" w:eastAsia="Calibri" w:hAnsiTheme="majorBidi" w:cstheme="majorBidi"/>
        </w:rPr>
        <w:t>0000</w:t>
      </w:r>
      <w:r w:rsidRPr="00065F63">
        <w:rPr>
          <w:rFonts w:asciiTheme="majorBidi" w:eastAsia="Calibri" w:hAnsiTheme="majorBidi" w:cstheme="majorBidi"/>
        </w:rPr>
        <w:t xml:space="preserve">. Ultimately, the results showed that </w:t>
      </w:r>
      <w:r w:rsidR="00D261D5">
        <w:rPr>
          <w:rFonts w:asciiTheme="majorBidi" w:eastAsia="Calibri" w:hAnsiTheme="majorBidi" w:cstheme="majorBidi"/>
        </w:rPr>
        <w:t>independent</w:t>
      </w:r>
      <w:r w:rsidRPr="00065F63">
        <w:rPr>
          <w:rFonts w:asciiTheme="majorBidi" w:eastAsia="Calibri" w:hAnsiTheme="majorBidi" w:cstheme="majorBidi"/>
        </w:rPr>
        <w:t xml:space="preserve"> variables </w:t>
      </w:r>
      <w:r w:rsidR="004F0C60">
        <w:rPr>
          <w:rFonts w:asciiTheme="majorBidi" w:eastAsia="Calibri" w:hAnsiTheme="majorBidi" w:cstheme="majorBidi"/>
        </w:rPr>
        <w:t>are likely susceptible to multicollinearity issues</w:t>
      </w:r>
      <w:r w:rsidRPr="00065F63">
        <w:rPr>
          <w:rFonts w:asciiTheme="majorBidi" w:eastAsia="Calibri" w:hAnsiTheme="majorBidi" w:cstheme="majorBidi"/>
        </w:rPr>
        <w:t>.</w:t>
      </w:r>
      <w:r w:rsidR="00DF57C6">
        <w:rPr>
          <w:rFonts w:asciiTheme="majorBidi" w:eastAsia="Calibri" w:hAnsiTheme="majorBidi" w:cstheme="majorBidi"/>
        </w:rPr>
        <w:t xml:space="preserve"> Therefore, the independent variables were merged. </w:t>
      </w:r>
    </w:p>
    <w:tbl>
      <w:tblPr>
        <w:tblW w:w="5000" w:type="pct"/>
        <w:tblLook w:val="04A0" w:firstRow="1" w:lastRow="0" w:firstColumn="1" w:lastColumn="0" w:noHBand="0" w:noVBand="1"/>
      </w:tblPr>
      <w:tblGrid>
        <w:gridCol w:w="1401"/>
        <w:gridCol w:w="1604"/>
        <w:gridCol w:w="1604"/>
        <w:gridCol w:w="1608"/>
        <w:gridCol w:w="1572"/>
        <w:gridCol w:w="1571"/>
      </w:tblGrid>
      <w:tr w:rsidR="00D261D5" w:rsidRPr="007577C8" w14:paraId="3A8ADAC1" w14:textId="77777777" w:rsidTr="007577C8">
        <w:trPr>
          <w:trHeight w:val="288"/>
        </w:trPr>
        <w:tc>
          <w:tcPr>
            <w:tcW w:w="3321" w:type="pct"/>
            <w:gridSpan w:val="4"/>
            <w:tcBorders>
              <w:top w:val="nil"/>
              <w:left w:val="nil"/>
              <w:bottom w:val="nil"/>
              <w:right w:val="nil"/>
            </w:tcBorders>
            <w:shd w:val="clear" w:color="auto" w:fill="auto"/>
            <w:noWrap/>
            <w:vAlign w:val="bottom"/>
            <w:hideMark/>
          </w:tcPr>
          <w:p w14:paraId="65C85183" w14:textId="77777777" w:rsidR="00D261D5" w:rsidRPr="007577C8" w:rsidRDefault="00D261D5" w:rsidP="00D261D5">
            <w:pPr>
              <w:spacing w:after="0" w:line="240" w:lineRule="auto"/>
              <w:rPr>
                <w:rFonts w:ascii="Times New Roman" w:eastAsia="Times New Roman" w:hAnsi="Times New Roman" w:cs="Times New Roman"/>
                <w:b/>
                <w:bCs/>
                <w:color w:val="000000"/>
                <w:kern w:val="0"/>
                <w14:ligatures w14:val="none"/>
              </w:rPr>
            </w:pPr>
            <w:r w:rsidRPr="007577C8">
              <w:rPr>
                <w:rFonts w:ascii="Times New Roman" w:eastAsia="Times New Roman" w:hAnsi="Times New Roman" w:cs="Times New Roman"/>
                <w:b/>
                <w:bCs/>
                <w:color w:val="000000"/>
                <w:kern w:val="0"/>
                <w14:ligatures w14:val="none"/>
              </w:rPr>
              <w:t>Table 4: Pairwise Correlation Analysis</w:t>
            </w:r>
          </w:p>
        </w:tc>
        <w:tc>
          <w:tcPr>
            <w:tcW w:w="840" w:type="pct"/>
            <w:tcBorders>
              <w:top w:val="nil"/>
              <w:left w:val="nil"/>
              <w:bottom w:val="nil"/>
              <w:right w:val="nil"/>
            </w:tcBorders>
            <w:shd w:val="clear" w:color="auto" w:fill="auto"/>
            <w:noWrap/>
            <w:vAlign w:val="bottom"/>
            <w:hideMark/>
          </w:tcPr>
          <w:p w14:paraId="50EC02C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0934681D"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r>
      <w:tr w:rsidR="00D261D5" w:rsidRPr="007577C8" w14:paraId="41F0F4E2" w14:textId="77777777" w:rsidTr="007577C8">
        <w:trPr>
          <w:trHeight w:val="288"/>
        </w:trPr>
        <w:tc>
          <w:tcPr>
            <w:tcW w:w="748" w:type="pct"/>
            <w:tcBorders>
              <w:top w:val="single" w:sz="4" w:space="0" w:color="auto"/>
              <w:left w:val="nil"/>
              <w:bottom w:val="single" w:sz="4" w:space="0" w:color="auto"/>
              <w:right w:val="nil"/>
            </w:tcBorders>
            <w:shd w:val="clear" w:color="auto" w:fill="auto"/>
            <w:noWrap/>
            <w:vAlign w:val="bottom"/>
            <w:hideMark/>
          </w:tcPr>
          <w:p w14:paraId="7BF6FD1E" w14:textId="19DF0999"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Variable</w:t>
            </w:r>
          </w:p>
        </w:tc>
        <w:tc>
          <w:tcPr>
            <w:tcW w:w="857" w:type="pct"/>
            <w:tcBorders>
              <w:top w:val="single" w:sz="4" w:space="0" w:color="auto"/>
              <w:left w:val="nil"/>
              <w:bottom w:val="single" w:sz="4" w:space="0" w:color="auto"/>
              <w:right w:val="nil"/>
            </w:tcBorders>
            <w:shd w:val="clear" w:color="auto" w:fill="auto"/>
            <w:noWrap/>
            <w:vAlign w:val="bottom"/>
            <w:hideMark/>
          </w:tcPr>
          <w:p w14:paraId="4D597463" w14:textId="52945AD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AROA</w:t>
            </w:r>
          </w:p>
        </w:tc>
        <w:tc>
          <w:tcPr>
            <w:tcW w:w="857" w:type="pct"/>
            <w:tcBorders>
              <w:top w:val="single" w:sz="4" w:space="0" w:color="auto"/>
              <w:left w:val="nil"/>
              <w:bottom w:val="single" w:sz="4" w:space="0" w:color="auto"/>
              <w:right w:val="nil"/>
            </w:tcBorders>
            <w:shd w:val="clear" w:color="auto" w:fill="auto"/>
            <w:noWrap/>
            <w:vAlign w:val="bottom"/>
            <w:hideMark/>
          </w:tcPr>
          <w:p w14:paraId="7BD2E9FB" w14:textId="2D73330E"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AROE</w:t>
            </w:r>
          </w:p>
        </w:tc>
        <w:tc>
          <w:tcPr>
            <w:tcW w:w="859" w:type="pct"/>
            <w:tcBorders>
              <w:top w:val="single" w:sz="4" w:space="0" w:color="auto"/>
              <w:left w:val="nil"/>
              <w:bottom w:val="single" w:sz="4" w:space="0" w:color="auto"/>
              <w:right w:val="nil"/>
            </w:tcBorders>
            <w:shd w:val="clear" w:color="auto" w:fill="auto"/>
            <w:noWrap/>
            <w:vAlign w:val="bottom"/>
            <w:hideMark/>
          </w:tcPr>
          <w:p w14:paraId="6567313A" w14:textId="6CF57530"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EID</w:t>
            </w:r>
          </w:p>
        </w:tc>
        <w:tc>
          <w:tcPr>
            <w:tcW w:w="840" w:type="pct"/>
            <w:tcBorders>
              <w:top w:val="single" w:sz="4" w:space="0" w:color="auto"/>
              <w:left w:val="nil"/>
              <w:bottom w:val="single" w:sz="4" w:space="0" w:color="auto"/>
              <w:right w:val="nil"/>
            </w:tcBorders>
            <w:shd w:val="clear" w:color="auto" w:fill="auto"/>
            <w:noWrap/>
            <w:vAlign w:val="bottom"/>
            <w:hideMark/>
          </w:tcPr>
          <w:p w14:paraId="42D85F67" w14:textId="7B6302CB"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SID</w:t>
            </w:r>
          </w:p>
        </w:tc>
        <w:tc>
          <w:tcPr>
            <w:tcW w:w="839" w:type="pct"/>
            <w:tcBorders>
              <w:top w:val="single" w:sz="4" w:space="0" w:color="auto"/>
              <w:left w:val="nil"/>
              <w:bottom w:val="single" w:sz="4" w:space="0" w:color="auto"/>
              <w:right w:val="nil"/>
            </w:tcBorders>
            <w:shd w:val="clear" w:color="auto" w:fill="auto"/>
            <w:noWrap/>
            <w:vAlign w:val="bottom"/>
            <w:hideMark/>
          </w:tcPr>
          <w:p w14:paraId="01D0CA63" w14:textId="629F91FE"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GID</w:t>
            </w:r>
          </w:p>
        </w:tc>
      </w:tr>
      <w:tr w:rsidR="00D261D5" w:rsidRPr="007577C8" w14:paraId="3134B544" w14:textId="77777777" w:rsidTr="007577C8">
        <w:trPr>
          <w:trHeight w:val="288"/>
        </w:trPr>
        <w:tc>
          <w:tcPr>
            <w:tcW w:w="748" w:type="pct"/>
            <w:tcBorders>
              <w:top w:val="nil"/>
              <w:left w:val="nil"/>
              <w:bottom w:val="nil"/>
              <w:right w:val="nil"/>
            </w:tcBorders>
            <w:shd w:val="clear" w:color="auto" w:fill="auto"/>
            <w:noWrap/>
            <w:vAlign w:val="bottom"/>
            <w:hideMark/>
          </w:tcPr>
          <w:p w14:paraId="53EF4F6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AROA</w:t>
            </w:r>
          </w:p>
        </w:tc>
        <w:tc>
          <w:tcPr>
            <w:tcW w:w="857" w:type="pct"/>
            <w:tcBorders>
              <w:top w:val="nil"/>
              <w:left w:val="nil"/>
              <w:bottom w:val="nil"/>
              <w:right w:val="nil"/>
            </w:tcBorders>
            <w:shd w:val="clear" w:color="auto" w:fill="auto"/>
            <w:noWrap/>
            <w:vAlign w:val="bottom"/>
            <w:hideMark/>
          </w:tcPr>
          <w:p w14:paraId="1EC70AD3" w14:textId="76142F0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57" w:type="pct"/>
            <w:tcBorders>
              <w:top w:val="nil"/>
              <w:left w:val="nil"/>
              <w:bottom w:val="nil"/>
              <w:right w:val="nil"/>
            </w:tcBorders>
            <w:shd w:val="clear" w:color="auto" w:fill="auto"/>
            <w:noWrap/>
            <w:vAlign w:val="bottom"/>
            <w:hideMark/>
          </w:tcPr>
          <w:p w14:paraId="54F70EA7"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59" w:type="pct"/>
            <w:tcBorders>
              <w:top w:val="nil"/>
              <w:left w:val="nil"/>
              <w:bottom w:val="nil"/>
              <w:right w:val="nil"/>
            </w:tcBorders>
            <w:shd w:val="clear" w:color="auto" w:fill="auto"/>
            <w:noWrap/>
            <w:vAlign w:val="bottom"/>
            <w:hideMark/>
          </w:tcPr>
          <w:p w14:paraId="24F9F9E1"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40" w:type="pct"/>
            <w:tcBorders>
              <w:top w:val="nil"/>
              <w:left w:val="nil"/>
              <w:bottom w:val="nil"/>
              <w:right w:val="nil"/>
            </w:tcBorders>
            <w:shd w:val="clear" w:color="auto" w:fill="auto"/>
            <w:noWrap/>
            <w:vAlign w:val="bottom"/>
            <w:hideMark/>
          </w:tcPr>
          <w:p w14:paraId="24F40515"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4073B006"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1F611D8" w14:textId="77777777" w:rsidTr="007577C8">
        <w:trPr>
          <w:trHeight w:val="288"/>
        </w:trPr>
        <w:tc>
          <w:tcPr>
            <w:tcW w:w="748" w:type="pct"/>
            <w:tcBorders>
              <w:top w:val="nil"/>
              <w:left w:val="nil"/>
              <w:bottom w:val="nil"/>
              <w:right w:val="nil"/>
            </w:tcBorders>
            <w:shd w:val="clear" w:color="auto" w:fill="auto"/>
            <w:noWrap/>
            <w:vAlign w:val="bottom"/>
            <w:hideMark/>
          </w:tcPr>
          <w:p w14:paraId="4E1AB86F"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AROE</w:t>
            </w:r>
          </w:p>
        </w:tc>
        <w:tc>
          <w:tcPr>
            <w:tcW w:w="857" w:type="pct"/>
            <w:tcBorders>
              <w:top w:val="nil"/>
              <w:left w:val="nil"/>
              <w:bottom w:val="nil"/>
              <w:right w:val="nil"/>
            </w:tcBorders>
            <w:shd w:val="clear" w:color="auto" w:fill="auto"/>
            <w:noWrap/>
            <w:vAlign w:val="bottom"/>
            <w:hideMark/>
          </w:tcPr>
          <w:p w14:paraId="72226625"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0.7882*</w:t>
            </w:r>
          </w:p>
        </w:tc>
        <w:tc>
          <w:tcPr>
            <w:tcW w:w="857" w:type="pct"/>
            <w:tcBorders>
              <w:top w:val="nil"/>
              <w:left w:val="nil"/>
              <w:bottom w:val="nil"/>
              <w:right w:val="nil"/>
            </w:tcBorders>
            <w:shd w:val="clear" w:color="auto" w:fill="auto"/>
            <w:noWrap/>
            <w:vAlign w:val="bottom"/>
            <w:hideMark/>
          </w:tcPr>
          <w:p w14:paraId="2CB581E5" w14:textId="390F09AF"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59" w:type="pct"/>
            <w:tcBorders>
              <w:top w:val="nil"/>
              <w:left w:val="nil"/>
              <w:bottom w:val="nil"/>
              <w:right w:val="nil"/>
            </w:tcBorders>
            <w:shd w:val="clear" w:color="auto" w:fill="auto"/>
            <w:noWrap/>
            <w:vAlign w:val="bottom"/>
            <w:hideMark/>
          </w:tcPr>
          <w:p w14:paraId="4A44E9C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40" w:type="pct"/>
            <w:tcBorders>
              <w:top w:val="nil"/>
              <w:left w:val="nil"/>
              <w:bottom w:val="nil"/>
              <w:right w:val="nil"/>
            </w:tcBorders>
            <w:shd w:val="clear" w:color="auto" w:fill="auto"/>
            <w:noWrap/>
            <w:vAlign w:val="bottom"/>
            <w:hideMark/>
          </w:tcPr>
          <w:p w14:paraId="50C8A0D3"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3BCEA754"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6C2CFDFE" w14:textId="77777777" w:rsidTr="007577C8">
        <w:trPr>
          <w:trHeight w:val="288"/>
        </w:trPr>
        <w:tc>
          <w:tcPr>
            <w:tcW w:w="748" w:type="pct"/>
            <w:tcBorders>
              <w:top w:val="nil"/>
              <w:left w:val="nil"/>
              <w:bottom w:val="nil"/>
              <w:right w:val="nil"/>
            </w:tcBorders>
            <w:shd w:val="clear" w:color="auto" w:fill="auto"/>
            <w:noWrap/>
            <w:vAlign w:val="bottom"/>
            <w:hideMark/>
          </w:tcPr>
          <w:p w14:paraId="58173427"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0D38AE37" w14:textId="14C6BD0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57" w:type="pct"/>
            <w:tcBorders>
              <w:top w:val="nil"/>
              <w:left w:val="nil"/>
              <w:bottom w:val="nil"/>
              <w:right w:val="nil"/>
            </w:tcBorders>
            <w:shd w:val="clear" w:color="auto" w:fill="auto"/>
            <w:noWrap/>
            <w:vAlign w:val="bottom"/>
            <w:hideMark/>
          </w:tcPr>
          <w:p w14:paraId="528029A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59" w:type="pct"/>
            <w:tcBorders>
              <w:top w:val="nil"/>
              <w:left w:val="nil"/>
              <w:bottom w:val="nil"/>
              <w:right w:val="nil"/>
            </w:tcBorders>
            <w:shd w:val="clear" w:color="auto" w:fill="auto"/>
            <w:noWrap/>
            <w:vAlign w:val="bottom"/>
            <w:hideMark/>
          </w:tcPr>
          <w:p w14:paraId="19C9E16E"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40" w:type="pct"/>
            <w:tcBorders>
              <w:top w:val="nil"/>
              <w:left w:val="nil"/>
              <w:bottom w:val="nil"/>
              <w:right w:val="nil"/>
            </w:tcBorders>
            <w:shd w:val="clear" w:color="auto" w:fill="auto"/>
            <w:noWrap/>
            <w:vAlign w:val="bottom"/>
            <w:hideMark/>
          </w:tcPr>
          <w:p w14:paraId="70D9E790"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72957EC3"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D750C73" w14:textId="77777777" w:rsidTr="007577C8">
        <w:trPr>
          <w:trHeight w:val="288"/>
        </w:trPr>
        <w:tc>
          <w:tcPr>
            <w:tcW w:w="748" w:type="pct"/>
            <w:tcBorders>
              <w:top w:val="nil"/>
              <w:left w:val="nil"/>
              <w:bottom w:val="nil"/>
              <w:right w:val="nil"/>
            </w:tcBorders>
            <w:shd w:val="clear" w:color="auto" w:fill="auto"/>
            <w:noWrap/>
            <w:vAlign w:val="bottom"/>
            <w:hideMark/>
          </w:tcPr>
          <w:p w14:paraId="1518DC8E"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EID</w:t>
            </w:r>
          </w:p>
        </w:tc>
        <w:tc>
          <w:tcPr>
            <w:tcW w:w="857" w:type="pct"/>
            <w:tcBorders>
              <w:top w:val="nil"/>
              <w:left w:val="nil"/>
              <w:bottom w:val="nil"/>
              <w:right w:val="nil"/>
            </w:tcBorders>
            <w:shd w:val="clear" w:color="auto" w:fill="auto"/>
            <w:noWrap/>
            <w:vAlign w:val="bottom"/>
            <w:hideMark/>
          </w:tcPr>
          <w:p w14:paraId="75D200F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-0.0254</w:t>
            </w:r>
          </w:p>
        </w:tc>
        <w:tc>
          <w:tcPr>
            <w:tcW w:w="857" w:type="pct"/>
            <w:tcBorders>
              <w:top w:val="nil"/>
              <w:left w:val="nil"/>
              <w:bottom w:val="nil"/>
              <w:right w:val="nil"/>
            </w:tcBorders>
            <w:shd w:val="clear" w:color="auto" w:fill="auto"/>
            <w:noWrap/>
            <w:vAlign w:val="bottom"/>
            <w:hideMark/>
          </w:tcPr>
          <w:p w14:paraId="147CB5BE"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0.1738*</w:t>
            </w:r>
          </w:p>
        </w:tc>
        <w:tc>
          <w:tcPr>
            <w:tcW w:w="859" w:type="pct"/>
            <w:tcBorders>
              <w:top w:val="nil"/>
              <w:left w:val="nil"/>
              <w:bottom w:val="nil"/>
              <w:right w:val="nil"/>
            </w:tcBorders>
            <w:shd w:val="clear" w:color="auto" w:fill="auto"/>
            <w:noWrap/>
            <w:vAlign w:val="bottom"/>
            <w:hideMark/>
          </w:tcPr>
          <w:p w14:paraId="0F54E69C" w14:textId="01EBB018"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40" w:type="pct"/>
            <w:tcBorders>
              <w:top w:val="nil"/>
              <w:left w:val="nil"/>
              <w:bottom w:val="nil"/>
              <w:right w:val="nil"/>
            </w:tcBorders>
            <w:shd w:val="clear" w:color="auto" w:fill="auto"/>
            <w:noWrap/>
            <w:vAlign w:val="bottom"/>
            <w:hideMark/>
          </w:tcPr>
          <w:p w14:paraId="471FA51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240C786F"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317537C6" w14:textId="77777777" w:rsidTr="007577C8">
        <w:trPr>
          <w:trHeight w:val="288"/>
        </w:trPr>
        <w:tc>
          <w:tcPr>
            <w:tcW w:w="748" w:type="pct"/>
            <w:tcBorders>
              <w:top w:val="nil"/>
              <w:left w:val="nil"/>
              <w:bottom w:val="nil"/>
              <w:right w:val="nil"/>
            </w:tcBorders>
            <w:shd w:val="clear" w:color="auto" w:fill="auto"/>
            <w:noWrap/>
            <w:vAlign w:val="bottom"/>
            <w:hideMark/>
          </w:tcPr>
          <w:p w14:paraId="5E6B4E40"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55A5C91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0.7622</w:t>
            </w:r>
          </w:p>
        </w:tc>
        <w:tc>
          <w:tcPr>
            <w:tcW w:w="857" w:type="pct"/>
            <w:tcBorders>
              <w:top w:val="nil"/>
              <w:left w:val="nil"/>
              <w:bottom w:val="nil"/>
              <w:right w:val="nil"/>
            </w:tcBorders>
            <w:shd w:val="clear" w:color="auto" w:fill="auto"/>
            <w:noWrap/>
            <w:vAlign w:val="bottom"/>
            <w:hideMark/>
          </w:tcPr>
          <w:p w14:paraId="54212B89"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0.0372</w:t>
            </w:r>
          </w:p>
        </w:tc>
        <w:tc>
          <w:tcPr>
            <w:tcW w:w="859" w:type="pct"/>
            <w:tcBorders>
              <w:top w:val="nil"/>
              <w:left w:val="nil"/>
              <w:bottom w:val="nil"/>
              <w:right w:val="nil"/>
            </w:tcBorders>
            <w:shd w:val="clear" w:color="auto" w:fill="auto"/>
            <w:noWrap/>
            <w:vAlign w:val="bottom"/>
            <w:hideMark/>
          </w:tcPr>
          <w:p w14:paraId="179003FC"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40" w:type="pct"/>
            <w:tcBorders>
              <w:top w:val="nil"/>
              <w:left w:val="nil"/>
              <w:bottom w:val="nil"/>
              <w:right w:val="nil"/>
            </w:tcBorders>
            <w:shd w:val="clear" w:color="auto" w:fill="auto"/>
            <w:noWrap/>
            <w:vAlign w:val="bottom"/>
            <w:hideMark/>
          </w:tcPr>
          <w:p w14:paraId="0AF58C87"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c>
          <w:tcPr>
            <w:tcW w:w="839" w:type="pct"/>
            <w:tcBorders>
              <w:top w:val="nil"/>
              <w:left w:val="nil"/>
              <w:bottom w:val="nil"/>
              <w:right w:val="nil"/>
            </w:tcBorders>
            <w:shd w:val="clear" w:color="auto" w:fill="auto"/>
            <w:noWrap/>
            <w:vAlign w:val="bottom"/>
            <w:hideMark/>
          </w:tcPr>
          <w:p w14:paraId="091CD071"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028F1B78" w14:textId="77777777" w:rsidTr="007577C8">
        <w:trPr>
          <w:trHeight w:val="288"/>
        </w:trPr>
        <w:tc>
          <w:tcPr>
            <w:tcW w:w="748" w:type="pct"/>
            <w:tcBorders>
              <w:top w:val="nil"/>
              <w:left w:val="nil"/>
              <w:bottom w:val="nil"/>
              <w:right w:val="nil"/>
            </w:tcBorders>
            <w:shd w:val="clear" w:color="auto" w:fill="auto"/>
            <w:noWrap/>
            <w:vAlign w:val="bottom"/>
            <w:hideMark/>
          </w:tcPr>
          <w:p w14:paraId="78E96DA9"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SID</w:t>
            </w:r>
          </w:p>
        </w:tc>
        <w:tc>
          <w:tcPr>
            <w:tcW w:w="857" w:type="pct"/>
            <w:tcBorders>
              <w:top w:val="nil"/>
              <w:left w:val="nil"/>
              <w:bottom w:val="nil"/>
              <w:right w:val="nil"/>
            </w:tcBorders>
            <w:shd w:val="clear" w:color="auto" w:fill="auto"/>
            <w:noWrap/>
            <w:vAlign w:val="bottom"/>
            <w:hideMark/>
          </w:tcPr>
          <w:p w14:paraId="2E20D838"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-0.0209</w:t>
            </w:r>
          </w:p>
        </w:tc>
        <w:tc>
          <w:tcPr>
            <w:tcW w:w="857" w:type="pct"/>
            <w:tcBorders>
              <w:top w:val="nil"/>
              <w:left w:val="nil"/>
              <w:bottom w:val="nil"/>
              <w:right w:val="nil"/>
            </w:tcBorders>
            <w:shd w:val="clear" w:color="auto" w:fill="auto"/>
            <w:noWrap/>
            <w:vAlign w:val="bottom"/>
            <w:hideMark/>
          </w:tcPr>
          <w:p w14:paraId="3D139E8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0.1751*</w:t>
            </w:r>
          </w:p>
        </w:tc>
        <w:tc>
          <w:tcPr>
            <w:tcW w:w="859" w:type="pct"/>
            <w:tcBorders>
              <w:top w:val="nil"/>
              <w:left w:val="nil"/>
              <w:bottom w:val="nil"/>
              <w:right w:val="nil"/>
            </w:tcBorders>
            <w:shd w:val="clear" w:color="auto" w:fill="auto"/>
            <w:noWrap/>
            <w:vAlign w:val="bottom"/>
            <w:hideMark/>
          </w:tcPr>
          <w:p w14:paraId="34B4A39D"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0.9985*</w:t>
            </w:r>
          </w:p>
        </w:tc>
        <w:tc>
          <w:tcPr>
            <w:tcW w:w="840" w:type="pct"/>
            <w:tcBorders>
              <w:top w:val="nil"/>
              <w:left w:val="nil"/>
              <w:bottom w:val="nil"/>
              <w:right w:val="nil"/>
            </w:tcBorders>
            <w:shd w:val="clear" w:color="auto" w:fill="auto"/>
            <w:noWrap/>
            <w:vAlign w:val="bottom"/>
            <w:hideMark/>
          </w:tcPr>
          <w:p w14:paraId="10F59554" w14:textId="5F6CDE79"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c>
          <w:tcPr>
            <w:tcW w:w="839" w:type="pct"/>
            <w:tcBorders>
              <w:top w:val="nil"/>
              <w:left w:val="nil"/>
              <w:bottom w:val="nil"/>
              <w:right w:val="nil"/>
            </w:tcBorders>
            <w:shd w:val="clear" w:color="auto" w:fill="auto"/>
            <w:noWrap/>
            <w:vAlign w:val="bottom"/>
            <w:hideMark/>
          </w:tcPr>
          <w:p w14:paraId="386E827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r>
      <w:tr w:rsidR="00D261D5" w:rsidRPr="007577C8" w14:paraId="468A7B0A" w14:textId="77777777" w:rsidTr="007577C8">
        <w:trPr>
          <w:trHeight w:val="288"/>
        </w:trPr>
        <w:tc>
          <w:tcPr>
            <w:tcW w:w="748" w:type="pct"/>
            <w:tcBorders>
              <w:top w:val="nil"/>
              <w:left w:val="nil"/>
              <w:bottom w:val="nil"/>
              <w:right w:val="nil"/>
            </w:tcBorders>
            <w:shd w:val="clear" w:color="auto" w:fill="auto"/>
            <w:noWrap/>
            <w:vAlign w:val="bottom"/>
            <w:hideMark/>
          </w:tcPr>
          <w:p w14:paraId="471D8C15" w14:textId="77777777" w:rsidR="00D261D5" w:rsidRPr="007577C8" w:rsidRDefault="00D261D5" w:rsidP="00D261D5">
            <w:pPr>
              <w:spacing w:after="0" w:line="240" w:lineRule="auto"/>
              <w:rPr>
                <w:rFonts w:ascii="Times New Roman" w:eastAsia="Times New Roman" w:hAnsi="Times New Roman" w:cs="Times New Roman"/>
                <w:kern w:val="0"/>
                <w14:ligatures w14:val="none"/>
              </w:rPr>
            </w:pPr>
          </w:p>
        </w:tc>
        <w:tc>
          <w:tcPr>
            <w:tcW w:w="857" w:type="pct"/>
            <w:tcBorders>
              <w:top w:val="nil"/>
              <w:left w:val="nil"/>
              <w:bottom w:val="nil"/>
              <w:right w:val="nil"/>
            </w:tcBorders>
            <w:shd w:val="clear" w:color="auto" w:fill="auto"/>
            <w:noWrap/>
            <w:vAlign w:val="bottom"/>
            <w:hideMark/>
          </w:tcPr>
          <w:p w14:paraId="5393D207"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0.8035</w:t>
            </w:r>
          </w:p>
        </w:tc>
        <w:tc>
          <w:tcPr>
            <w:tcW w:w="857" w:type="pct"/>
            <w:tcBorders>
              <w:top w:val="nil"/>
              <w:left w:val="nil"/>
              <w:bottom w:val="nil"/>
              <w:right w:val="nil"/>
            </w:tcBorders>
            <w:shd w:val="clear" w:color="auto" w:fill="auto"/>
            <w:noWrap/>
            <w:vAlign w:val="bottom"/>
            <w:hideMark/>
          </w:tcPr>
          <w:p w14:paraId="68ED4390"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0.0358</w:t>
            </w:r>
          </w:p>
        </w:tc>
        <w:tc>
          <w:tcPr>
            <w:tcW w:w="859" w:type="pct"/>
            <w:tcBorders>
              <w:top w:val="nil"/>
              <w:left w:val="nil"/>
              <w:bottom w:val="nil"/>
              <w:right w:val="nil"/>
            </w:tcBorders>
            <w:shd w:val="clear" w:color="auto" w:fill="auto"/>
            <w:noWrap/>
            <w:vAlign w:val="bottom"/>
            <w:hideMark/>
          </w:tcPr>
          <w:p w14:paraId="7145D02A" w14:textId="689E44B5"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40" w:type="pct"/>
            <w:tcBorders>
              <w:top w:val="nil"/>
              <w:left w:val="nil"/>
              <w:bottom w:val="nil"/>
              <w:right w:val="nil"/>
            </w:tcBorders>
            <w:shd w:val="clear" w:color="auto" w:fill="auto"/>
            <w:noWrap/>
            <w:vAlign w:val="bottom"/>
            <w:hideMark/>
          </w:tcPr>
          <w:p w14:paraId="1E4FC7D5"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p>
        </w:tc>
        <w:tc>
          <w:tcPr>
            <w:tcW w:w="839" w:type="pct"/>
            <w:tcBorders>
              <w:top w:val="nil"/>
              <w:left w:val="nil"/>
              <w:bottom w:val="nil"/>
              <w:right w:val="nil"/>
            </w:tcBorders>
            <w:shd w:val="clear" w:color="auto" w:fill="auto"/>
            <w:noWrap/>
            <w:vAlign w:val="bottom"/>
            <w:hideMark/>
          </w:tcPr>
          <w:p w14:paraId="75B1F17F" w14:textId="77777777" w:rsidR="00D261D5" w:rsidRPr="007577C8" w:rsidRDefault="00D261D5" w:rsidP="00D261D5">
            <w:pPr>
              <w:spacing w:after="0" w:line="240" w:lineRule="auto"/>
              <w:jc w:val="right"/>
              <w:rPr>
                <w:rFonts w:ascii="Times New Roman" w:eastAsia="Times New Roman" w:hAnsi="Times New Roman" w:cs="Times New Roman"/>
                <w:kern w:val="0"/>
                <w14:ligatures w14:val="none"/>
              </w:rPr>
            </w:pPr>
          </w:p>
        </w:tc>
      </w:tr>
      <w:tr w:rsidR="00D261D5" w:rsidRPr="007577C8" w14:paraId="1AB27EBD" w14:textId="77777777" w:rsidTr="007577C8">
        <w:trPr>
          <w:trHeight w:val="288"/>
        </w:trPr>
        <w:tc>
          <w:tcPr>
            <w:tcW w:w="748" w:type="pct"/>
            <w:tcBorders>
              <w:top w:val="nil"/>
              <w:left w:val="nil"/>
              <w:bottom w:val="nil"/>
              <w:right w:val="nil"/>
            </w:tcBorders>
            <w:shd w:val="clear" w:color="auto" w:fill="auto"/>
            <w:noWrap/>
            <w:vAlign w:val="bottom"/>
            <w:hideMark/>
          </w:tcPr>
          <w:p w14:paraId="499F09AC"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GID</w:t>
            </w:r>
          </w:p>
        </w:tc>
        <w:tc>
          <w:tcPr>
            <w:tcW w:w="857" w:type="pct"/>
            <w:tcBorders>
              <w:top w:val="nil"/>
              <w:left w:val="nil"/>
              <w:bottom w:val="nil"/>
              <w:right w:val="nil"/>
            </w:tcBorders>
            <w:shd w:val="clear" w:color="auto" w:fill="auto"/>
            <w:noWrap/>
            <w:vAlign w:val="bottom"/>
            <w:hideMark/>
          </w:tcPr>
          <w:p w14:paraId="7542D98F"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-0.0303</w:t>
            </w:r>
          </w:p>
        </w:tc>
        <w:tc>
          <w:tcPr>
            <w:tcW w:w="857" w:type="pct"/>
            <w:tcBorders>
              <w:top w:val="nil"/>
              <w:left w:val="nil"/>
              <w:bottom w:val="nil"/>
              <w:right w:val="nil"/>
            </w:tcBorders>
            <w:shd w:val="clear" w:color="auto" w:fill="auto"/>
            <w:noWrap/>
            <w:vAlign w:val="bottom"/>
            <w:hideMark/>
          </w:tcPr>
          <w:p w14:paraId="20A1272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0.1687*</w:t>
            </w:r>
          </w:p>
        </w:tc>
        <w:tc>
          <w:tcPr>
            <w:tcW w:w="859" w:type="pct"/>
            <w:tcBorders>
              <w:top w:val="nil"/>
              <w:left w:val="nil"/>
              <w:bottom w:val="nil"/>
              <w:right w:val="nil"/>
            </w:tcBorders>
            <w:shd w:val="clear" w:color="auto" w:fill="auto"/>
            <w:noWrap/>
            <w:vAlign w:val="bottom"/>
            <w:hideMark/>
          </w:tcPr>
          <w:p w14:paraId="6166F148"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0.9980*</w:t>
            </w:r>
          </w:p>
        </w:tc>
        <w:tc>
          <w:tcPr>
            <w:tcW w:w="840" w:type="pct"/>
            <w:tcBorders>
              <w:top w:val="nil"/>
              <w:left w:val="nil"/>
              <w:bottom w:val="nil"/>
              <w:right w:val="nil"/>
            </w:tcBorders>
            <w:shd w:val="clear" w:color="auto" w:fill="auto"/>
            <w:noWrap/>
            <w:vAlign w:val="bottom"/>
            <w:hideMark/>
          </w:tcPr>
          <w:p w14:paraId="45433E42"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0.9984*</w:t>
            </w:r>
          </w:p>
        </w:tc>
        <w:tc>
          <w:tcPr>
            <w:tcW w:w="839" w:type="pct"/>
            <w:tcBorders>
              <w:top w:val="nil"/>
              <w:left w:val="nil"/>
              <w:bottom w:val="nil"/>
              <w:right w:val="nil"/>
            </w:tcBorders>
            <w:shd w:val="clear" w:color="auto" w:fill="auto"/>
            <w:noWrap/>
            <w:vAlign w:val="bottom"/>
            <w:hideMark/>
          </w:tcPr>
          <w:p w14:paraId="3FB8416B" w14:textId="52CA8371"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1.0000</w:t>
            </w:r>
          </w:p>
        </w:tc>
      </w:tr>
      <w:tr w:rsidR="00D261D5" w:rsidRPr="007577C8" w14:paraId="2DBEDD1E" w14:textId="77777777" w:rsidTr="007577C8">
        <w:trPr>
          <w:trHeight w:val="288"/>
        </w:trPr>
        <w:tc>
          <w:tcPr>
            <w:tcW w:w="748" w:type="pct"/>
            <w:tcBorders>
              <w:top w:val="nil"/>
              <w:left w:val="nil"/>
              <w:bottom w:val="single" w:sz="4" w:space="0" w:color="auto"/>
              <w:right w:val="nil"/>
            </w:tcBorders>
            <w:shd w:val="clear" w:color="auto" w:fill="auto"/>
            <w:noWrap/>
            <w:vAlign w:val="bottom"/>
            <w:hideMark/>
          </w:tcPr>
          <w:p w14:paraId="4CB4DC78" w14:textId="77777777" w:rsidR="00D261D5" w:rsidRPr="007577C8" w:rsidRDefault="00D261D5" w:rsidP="00D261D5">
            <w:pPr>
              <w:spacing w:after="0" w:line="240" w:lineRule="auto"/>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 </w:t>
            </w:r>
          </w:p>
        </w:tc>
        <w:tc>
          <w:tcPr>
            <w:tcW w:w="857" w:type="pct"/>
            <w:tcBorders>
              <w:top w:val="nil"/>
              <w:left w:val="nil"/>
              <w:bottom w:val="single" w:sz="4" w:space="0" w:color="auto"/>
              <w:right w:val="nil"/>
            </w:tcBorders>
            <w:shd w:val="clear" w:color="auto" w:fill="auto"/>
            <w:noWrap/>
            <w:vAlign w:val="bottom"/>
            <w:hideMark/>
          </w:tcPr>
          <w:p w14:paraId="517AD031"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0.7185</w:t>
            </w:r>
          </w:p>
        </w:tc>
        <w:tc>
          <w:tcPr>
            <w:tcW w:w="857" w:type="pct"/>
            <w:tcBorders>
              <w:top w:val="nil"/>
              <w:left w:val="nil"/>
              <w:bottom w:val="single" w:sz="4" w:space="0" w:color="auto"/>
              <w:right w:val="nil"/>
            </w:tcBorders>
            <w:shd w:val="clear" w:color="auto" w:fill="auto"/>
            <w:noWrap/>
            <w:vAlign w:val="bottom"/>
            <w:hideMark/>
          </w:tcPr>
          <w:p w14:paraId="6F91D784"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0.0432</w:t>
            </w:r>
          </w:p>
        </w:tc>
        <w:tc>
          <w:tcPr>
            <w:tcW w:w="859" w:type="pct"/>
            <w:tcBorders>
              <w:top w:val="nil"/>
              <w:left w:val="nil"/>
              <w:bottom w:val="single" w:sz="4" w:space="0" w:color="auto"/>
              <w:right w:val="nil"/>
            </w:tcBorders>
            <w:shd w:val="clear" w:color="auto" w:fill="auto"/>
            <w:noWrap/>
            <w:vAlign w:val="bottom"/>
            <w:hideMark/>
          </w:tcPr>
          <w:p w14:paraId="4905DC7D" w14:textId="638CDFDB"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40" w:type="pct"/>
            <w:tcBorders>
              <w:top w:val="nil"/>
              <w:left w:val="nil"/>
              <w:bottom w:val="single" w:sz="4" w:space="0" w:color="auto"/>
              <w:right w:val="nil"/>
            </w:tcBorders>
            <w:shd w:val="clear" w:color="auto" w:fill="auto"/>
            <w:noWrap/>
            <w:vAlign w:val="bottom"/>
            <w:hideMark/>
          </w:tcPr>
          <w:p w14:paraId="00E872DE" w14:textId="1EC46EAA"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0.0000</w:t>
            </w:r>
          </w:p>
        </w:tc>
        <w:tc>
          <w:tcPr>
            <w:tcW w:w="839" w:type="pct"/>
            <w:tcBorders>
              <w:top w:val="nil"/>
              <w:left w:val="nil"/>
              <w:bottom w:val="single" w:sz="4" w:space="0" w:color="auto"/>
              <w:right w:val="nil"/>
            </w:tcBorders>
            <w:shd w:val="clear" w:color="auto" w:fill="auto"/>
            <w:noWrap/>
            <w:vAlign w:val="bottom"/>
            <w:hideMark/>
          </w:tcPr>
          <w:p w14:paraId="708B5EC0" w14:textId="77777777" w:rsidR="00D261D5" w:rsidRPr="007577C8" w:rsidRDefault="00D261D5" w:rsidP="00D261D5">
            <w:pPr>
              <w:spacing w:after="0" w:line="240" w:lineRule="auto"/>
              <w:jc w:val="right"/>
              <w:rPr>
                <w:rFonts w:ascii="Times New Roman" w:eastAsia="Times New Roman" w:hAnsi="Times New Roman" w:cs="Times New Roman"/>
                <w:color w:val="000000"/>
                <w:kern w:val="0"/>
                <w14:ligatures w14:val="none"/>
              </w:rPr>
            </w:pPr>
            <w:r w:rsidRPr="007577C8">
              <w:rPr>
                <w:rFonts w:ascii="Times New Roman" w:eastAsia="Times New Roman" w:hAnsi="Times New Roman" w:cs="Times New Roman"/>
                <w:color w:val="000000"/>
                <w:kern w:val="0"/>
                <w14:ligatures w14:val="none"/>
              </w:rPr>
              <w:t> </w:t>
            </w:r>
          </w:p>
        </w:tc>
      </w:tr>
    </w:tbl>
    <w:p w14:paraId="1A5DCA10" w14:textId="784BAB76" w:rsidR="00065F63"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233DC311" w14:textId="77777777" w:rsidR="00065F63" w:rsidRPr="004D6FE2" w:rsidRDefault="00065F63" w:rsidP="00065F63">
      <w:pPr>
        <w:spacing w:after="0" w:line="360" w:lineRule="auto"/>
        <w:jc w:val="both"/>
        <w:rPr>
          <w:rFonts w:asciiTheme="majorBidi" w:eastAsia="Calibri" w:hAnsiTheme="majorBidi" w:cstheme="majorBidi"/>
          <w:b/>
        </w:rPr>
      </w:pPr>
      <w:bookmarkStart w:id="7" w:name="_Hlk195624499"/>
      <w:bookmarkEnd w:id="6"/>
      <w:r w:rsidRPr="00BD0359">
        <w:rPr>
          <w:rFonts w:asciiTheme="majorBidi" w:eastAsia="Calibri" w:hAnsiTheme="majorBidi" w:cstheme="majorBidi"/>
          <w:b/>
        </w:rPr>
        <w:t>4</w:t>
      </w:r>
      <w:r>
        <w:rPr>
          <w:rFonts w:asciiTheme="majorBidi" w:eastAsia="Calibri" w:hAnsiTheme="majorBidi" w:cstheme="majorBidi"/>
          <w:b/>
        </w:rPr>
        <w:t>.2.2</w:t>
      </w:r>
      <w:r>
        <w:rPr>
          <w:rFonts w:asciiTheme="majorBidi" w:eastAsia="Calibri" w:hAnsiTheme="majorBidi" w:cstheme="majorBidi"/>
        </w:rPr>
        <w:t xml:space="preserve"> </w:t>
      </w:r>
      <w:r w:rsidRPr="00BD0359">
        <w:rPr>
          <w:rFonts w:asciiTheme="majorBidi" w:eastAsia="Calibri" w:hAnsiTheme="majorBidi" w:cstheme="majorBidi"/>
          <w:b/>
        </w:rPr>
        <w:t>Post-Estimation Tests</w:t>
      </w:r>
    </w:p>
    <w:bookmarkEnd w:id="7"/>
    <w:p w14:paraId="32F4113A" w14:textId="2A4B508E" w:rsidR="001846C1" w:rsidRDefault="00DF57C6" w:rsidP="000A5904">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lastRenderedPageBreak/>
        <w:t xml:space="preserve">      </w:t>
      </w:r>
      <w:r w:rsidR="007577C8">
        <w:rPr>
          <w:rFonts w:asciiTheme="majorBidi" w:eastAsia="Calibri" w:hAnsiTheme="majorBidi" w:cstheme="majorBidi"/>
          <w:bCs/>
        </w:rPr>
        <w:t xml:space="preserve">   </w:t>
      </w:r>
      <w:r w:rsidRPr="00DF57C6">
        <w:rPr>
          <w:rFonts w:asciiTheme="majorBidi" w:eastAsia="Calibri" w:hAnsiTheme="majorBidi" w:cstheme="majorBidi"/>
          <w:bCs/>
        </w:rPr>
        <w:t xml:space="preserve">The Ramsey RESET test was used to assess model specifications, including bias, functional forms, linearities, and powers of fitted values. </w:t>
      </w:r>
      <w:r>
        <w:rPr>
          <w:rFonts w:asciiTheme="majorBidi" w:eastAsia="Calibri" w:hAnsiTheme="majorBidi" w:cstheme="majorBidi"/>
          <w:bCs/>
        </w:rPr>
        <w:t xml:space="preserve">The test result </w:t>
      </w:r>
      <w:r w:rsidR="000B230B">
        <w:rPr>
          <w:rFonts w:asciiTheme="majorBidi" w:eastAsia="Calibri" w:hAnsiTheme="majorBidi" w:cstheme="majorBidi"/>
          <w:bCs/>
        </w:rPr>
        <w:t>f-statistic</w:t>
      </w:r>
      <w:r>
        <w:rPr>
          <w:rFonts w:asciiTheme="majorBidi" w:eastAsia="Calibri" w:hAnsiTheme="majorBidi" w:cstheme="majorBidi"/>
          <w:bCs/>
        </w:rPr>
        <w:t xml:space="preserve"> of 0.05 and p-value of 0.9849. </w:t>
      </w:r>
      <w:r w:rsidRPr="00DF57C6">
        <w:rPr>
          <w:rFonts w:asciiTheme="majorBidi" w:eastAsia="Calibri" w:hAnsiTheme="majorBidi" w:cstheme="majorBidi"/>
          <w:bCs/>
        </w:rPr>
        <w:t>Th</w:t>
      </w:r>
      <w:r>
        <w:rPr>
          <w:rFonts w:asciiTheme="majorBidi" w:eastAsia="Calibri" w:hAnsiTheme="majorBidi" w:cstheme="majorBidi"/>
          <w:bCs/>
        </w:rPr>
        <w:t>is</w:t>
      </w:r>
      <w:r w:rsidRPr="00DF57C6">
        <w:rPr>
          <w:rFonts w:asciiTheme="majorBidi" w:eastAsia="Calibri" w:hAnsiTheme="majorBidi" w:cstheme="majorBidi"/>
          <w:bCs/>
        </w:rPr>
        <w:t xml:space="preserve"> showed </w:t>
      </w:r>
      <w:r>
        <w:rPr>
          <w:rFonts w:asciiTheme="majorBidi" w:eastAsia="Calibri" w:hAnsiTheme="majorBidi" w:cstheme="majorBidi"/>
          <w:bCs/>
        </w:rPr>
        <w:t xml:space="preserve">that </w:t>
      </w:r>
      <w:r w:rsidRPr="00DF57C6">
        <w:rPr>
          <w:rFonts w:asciiTheme="majorBidi" w:eastAsia="Calibri" w:hAnsiTheme="majorBidi" w:cstheme="majorBidi"/>
          <w:bCs/>
        </w:rPr>
        <w:t xml:space="preserve">no significant evidence of omitted </w:t>
      </w:r>
      <w:r w:rsidR="00C21BF9">
        <w:rPr>
          <w:rFonts w:asciiTheme="majorBidi" w:eastAsia="Calibri" w:hAnsiTheme="majorBidi" w:cstheme="majorBidi"/>
          <w:bCs/>
        </w:rPr>
        <w:t>variable</w:t>
      </w:r>
      <w:r w:rsidRPr="00DF57C6">
        <w:rPr>
          <w:rFonts w:asciiTheme="majorBidi" w:eastAsia="Calibri" w:hAnsiTheme="majorBidi" w:cstheme="majorBidi"/>
          <w:bCs/>
        </w:rPr>
        <w:t xml:space="preserve"> </w:t>
      </w:r>
      <w:r w:rsidR="00C21BF9" w:rsidRPr="00DF57C6">
        <w:rPr>
          <w:rFonts w:asciiTheme="majorBidi" w:eastAsia="Calibri" w:hAnsiTheme="majorBidi" w:cstheme="majorBidi"/>
          <w:bCs/>
        </w:rPr>
        <w:t>biases</w:t>
      </w:r>
      <w:r w:rsidRPr="00DF57C6">
        <w:rPr>
          <w:rFonts w:asciiTheme="majorBidi" w:eastAsia="Calibri" w:hAnsiTheme="majorBidi" w:cstheme="majorBidi"/>
          <w:bCs/>
        </w:rPr>
        <w:t xml:space="preserve"> or incorrect specification in terms of functional form.</w:t>
      </w:r>
      <w:r w:rsidR="00C21BF9">
        <w:rPr>
          <w:rFonts w:asciiTheme="majorBidi" w:eastAsia="Calibri" w:hAnsiTheme="majorBidi" w:cstheme="majorBidi"/>
          <w:bCs/>
        </w:rPr>
        <w:t xml:space="preserve"> Also, the</w:t>
      </w:r>
      <w:r w:rsidR="00C21BF9" w:rsidRPr="00C21BF9">
        <w:rPr>
          <w:rFonts w:asciiTheme="majorBidi" w:eastAsia="Calibri" w:hAnsiTheme="majorBidi" w:cstheme="majorBidi"/>
          <w:bCs/>
        </w:rPr>
        <w:t xml:space="preserve"> Breusch-Pagan/Cook-Weisberg test was used to assess the constant variance of residuals with fitted values. </w:t>
      </w:r>
      <w:r w:rsidR="00C21BF9">
        <w:rPr>
          <w:rFonts w:asciiTheme="majorBidi" w:eastAsia="Calibri" w:hAnsiTheme="majorBidi" w:cstheme="majorBidi"/>
          <w:bCs/>
        </w:rPr>
        <w:t xml:space="preserve">The test result chi-squared of 0.10 and p-value of 0.7462. </w:t>
      </w:r>
      <w:r w:rsidR="00C21BF9" w:rsidRPr="00C21BF9">
        <w:rPr>
          <w:rFonts w:asciiTheme="majorBidi" w:eastAsia="Calibri" w:hAnsiTheme="majorBidi" w:cstheme="majorBidi"/>
          <w:bCs/>
        </w:rPr>
        <w:t>The results showed strong evidence of h</w:t>
      </w:r>
      <w:r w:rsidR="00C21BF9">
        <w:rPr>
          <w:rFonts w:asciiTheme="majorBidi" w:eastAsia="Calibri" w:hAnsiTheme="majorBidi" w:cstheme="majorBidi"/>
          <w:bCs/>
        </w:rPr>
        <w:t>om</w:t>
      </w:r>
      <w:r w:rsidR="00C21BF9" w:rsidRPr="00C21BF9">
        <w:rPr>
          <w:rFonts w:asciiTheme="majorBidi" w:eastAsia="Calibri" w:hAnsiTheme="majorBidi" w:cstheme="majorBidi"/>
          <w:bCs/>
        </w:rPr>
        <w:t xml:space="preserve">oskedasticity, suggesting that the variance of the residuals </w:t>
      </w:r>
      <w:r w:rsidR="00791610">
        <w:rPr>
          <w:rFonts w:asciiTheme="majorBidi" w:eastAsia="Calibri" w:hAnsiTheme="majorBidi" w:cstheme="majorBidi"/>
          <w:bCs/>
        </w:rPr>
        <w:t>does not vary</w:t>
      </w:r>
      <w:r w:rsidR="00C21BF9" w:rsidRPr="00C21BF9">
        <w:rPr>
          <w:rFonts w:asciiTheme="majorBidi" w:eastAsia="Calibri" w:hAnsiTheme="majorBidi" w:cstheme="majorBidi"/>
          <w:bCs/>
        </w:rPr>
        <w:t xml:space="preserve"> with the fitted values</w:t>
      </w:r>
      <w:r w:rsidR="000A5904">
        <w:rPr>
          <w:rFonts w:asciiTheme="majorBidi" w:eastAsia="Calibri" w:hAnsiTheme="majorBidi" w:cstheme="majorBidi"/>
          <w:bCs/>
        </w:rPr>
        <w:t xml:space="preserve">. </w:t>
      </w:r>
    </w:p>
    <w:p w14:paraId="60676E9D" w14:textId="17DF909F" w:rsidR="000B224E" w:rsidRDefault="000A5904" w:rsidP="00B17E19">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0B224E">
        <w:rPr>
          <w:rFonts w:asciiTheme="majorBidi" w:eastAsia="Calibri" w:hAnsiTheme="majorBidi" w:cstheme="majorBidi"/>
          <w:bCs/>
        </w:rPr>
        <w:t>Similarly, the</w:t>
      </w:r>
      <w:r w:rsidR="000B224E" w:rsidRPr="000B224E">
        <w:rPr>
          <w:rFonts w:asciiTheme="majorBidi" w:eastAsia="Calibri" w:hAnsiTheme="majorBidi" w:cstheme="majorBidi"/>
          <w:bCs/>
        </w:rPr>
        <w:t xml:space="preserve"> Shapiro-Wilk test was used to determine if variables follow a normal distribution. The null hypothesis was accepted </w:t>
      </w:r>
      <w:r w:rsidR="00945AF6">
        <w:rPr>
          <w:rFonts w:asciiTheme="majorBidi" w:eastAsia="Calibri" w:hAnsiTheme="majorBidi" w:cstheme="majorBidi"/>
          <w:bCs/>
        </w:rPr>
        <w:t>because t</w:t>
      </w:r>
      <w:r w:rsidR="000B224E" w:rsidRPr="000B224E">
        <w:rPr>
          <w:rFonts w:asciiTheme="majorBidi" w:eastAsia="Calibri" w:hAnsiTheme="majorBidi" w:cstheme="majorBidi"/>
          <w:bCs/>
        </w:rPr>
        <w:t xml:space="preserve">he p-value was larger than 0.05, </w:t>
      </w:r>
      <w:r w:rsidR="00945AF6">
        <w:rPr>
          <w:rFonts w:asciiTheme="majorBidi" w:eastAsia="Calibri" w:hAnsiTheme="majorBidi" w:cstheme="majorBidi"/>
          <w:bCs/>
        </w:rPr>
        <w:t xml:space="preserve">indicating </w:t>
      </w:r>
      <w:r w:rsidR="000B224E" w:rsidRPr="000B224E">
        <w:rPr>
          <w:rFonts w:asciiTheme="majorBidi" w:eastAsia="Calibri" w:hAnsiTheme="majorBidi" w:cstheme="majorBidi"/>
          <w:bCs/>
        </w:rPr>
        <w:t>non-normality.</w:t>
      </w:r>
      <w:r w:rsidR="00945AF6">
        <w:rPr>
          <w:rFonts w:asciiTheme="majorBidi" w:eastAsia="Calibri" w:hAnsiTheme="majorBidi" w:cstheme="majorBidi"/>
          <w:bCs/>
        </w:rPr>
        <w:t xml:space="preserve"> Again, the </w:t>
      </w:r>
      <w:r w:rsidR="00945AF6" w:rsidRPr="00945AF6">
        <w:rPr>
          <w:rFonts w:asciiTheme="majorBidi" w:eastAsia="Calibri" w:hAnsiTheme="majorBidi" w:cstheme="majorBidi"/>
          <w:bCs/>
        </w:rPr>
        <w:t>Wooldridge test for autocorrelation in panel data</w:t>
      </w:r>
      <w:r w:rsidR="00945AF6">
        <w:rPr>
          <w:rFonts w:asciiTheme="majorBidi" w:eastAsia="Calibri" w:hAnsiTheme="majorBidi" w:cstheme="majorBidi"/>
          <w:bCs/>
        </w:rPr>
        <w:t xml:space="preserve"> was conducted to ascertain the autocorrelation in the dataset. The </w:t>
      </w:r>
      <w:r w:rsidR="00945AF6" w:rsidRPr="00945AF6">
        <w:rPr>
          <w:rFonts w:asciiTheme="majorBidi" w:eastAsia="Calibri" w:hAnsiTheme="majorBidi" w:cstheme="majorBidi"/>
          <w:bCs/>
        </w:rPr>
        <w:t xml:space="preserve">Null Hypothesis </w:t>
      </w:r>
      <w:r w:rsidR="00945AF6">
        <w:rPr>
          <w:rFonts w:asciiTheme="majorBidi" w:eastAsia="Calibri" w:hAnsiTheme="majorBidi" w:cstheme="majorBidi"/>
          <w:bCs/>
        </w:rPr>
        <w:t>states that</w:t>
      </w:r>
      <w:r w:rsidR="00945AF6" w:rsidRPr="00945AF6">
        <w:rPr>
          <w:rFonts w:asciiTheme="majorBidi" w:eastAsia="Calibri" w:hAnsiTheme="majorBidi" w:cstheme="majorBidi"/>
          <w:bCs/>
        </w:rPr>
        <w:t xml:space="preserve"> </w:t>
      </w:r>
      <w:r w:rsidR="00945AF6">
        <w:rPr>
          <w:rFonts w:asciiTheme="majorBidi" w:eastAsia="Calibri" w:hAnsiTheme="majorBidi" w:cstheme="majorBidi"/>
          <w:bCs/>
        </w:rPr>
        <w:t>n</w:t>
      </w:r>
      <w:r w:rsidR="00945AF6" w:rsidRPr="00945AF6">
        <w:rPr>
          <w:rFonts w:asciiTheme="majorBidi" w:eastAsia="Calibri" w:hAnsiTheme="majorBidi" w:cstheme="majorBidi"/>
          <w:bCs/>
        </w:rPr>
        <w:t>o first-order autocorrelation (i.e., no serial correlation in the error terms)</w:t>
      </w:r>
      <w:r w:rsidR="00945AF6">
        <w:rPr>
          <w:rFonts w:asciiTheme="majorBidi" w:eastAsia="Calibri" w:hAnsiTheme="majorBidi" w:cstheme="majorBidi"/>
          <w:bCs/>
        </w:rPr>
        <w:t>, while the a</w:t>
      </w:r>
      <w:r w:rsidR="00945AF6" w:rsidRPr="00945AF6">
        <w:rPr>
          <w:rFonts w:asciiTheme="majorBidi" w:eastAsia="Calibri" w:hAnsiTheme="majorBidi" w:cstheme="majorBidi"/>
          <w:bCs/>
        </w:rPr>
        <w:t xml:space="preserve">lternative Hypothesis </w:t>
      </w:r>
      <w:r w:rsidR="00945AF6">
        <w:rPr>
          <w:rFonts w:asciiTheme="majorBidi" w:eastAsia="Calibri" w:hAnsiTheme="majorBidi" w:cstheme="majorBidi"/>
          <w:bCs/>
        </w:rPr>
        <w:t>states</w:t>
      </w:r>
      <w:r w:rsidR="00945AF6" w:rsidRPr="00945AF6">
        <w:rPr>
          <w:rFonts w:asciiTheme="majorBidi" w:eastAsia="Calibri" w:hAnsiTheme="majorBidi" w:cstheme="majorBidi"/>
          <w:bCs/>
        </w:rPr>
        <w:t xml:space="preserve"> </w:t>
      </w:r>
      <w:r w:rsidR="00945AF6">
        <w:rPr>
          <w:rFonts w:asciiTheme="majorBidi" w:eastAsia="Calibri" w:hAnsiTheme="majorBidi" w:cstheme="majorBidi"/>
          <w:bCs/>
        </w:rPr>
        <w:t>that t</w:t>
      </w:r>
      <w:r w:rsidR="00945AF6" w:rsidRPr="00945AF6">
        <w:rPr>
          <w:rFonts w:asciiTheme="majorBidi" w:eastAsia="Calibri" w:hAnsiTheme="majorBidi" w:cstheme="majorBidi"/>
          <w:bCs/>
        </w:rPr>
        <w:t>here is first-order autocorrelation.</w:t>
      </w:r>
      <w:r w:rsidR="00B17E19">
        <w:rPr>
          <w:rFonts w:asciiTheme="majorBidi" w:eastAsia="Calibri" w:hAnsiTheme="majorBidi" w:cstheme="majorBidi"/>
          <w:bCs/>
        </w:rPr>
        <w:t xml:space="preserve"> Since the </w:t>
      </w:r>
      <w:r w:rsidR="00B17E19" w:rsidRPr="00B17E19">
        <w:rPr>
          <w:rFonts w:asciiTheme="majorBidi" w:eastAsia="Calibri" w:hAnsiTheme="majorBidi" w:cstheme="majorBidi"/>
          <w:bCs/>
        </w:rPr>
        <w:t xml:space="preserve">p-value </w:t>
      </w:r>
      <w:r w:rsidR="00B17E19">
        <w:rPr>
          <w:rFonts w:asciiTheme="majorBidi" w:eastAsia="Calibri" w:hAnsiTheme="majorBidi" w:cstheme="majorBidi"/>
          <w:bCs/>
        </w:rPr>
        <w:t>of</w:t>
      </w:r>
      <w:r w:rsidR="00B17E19" w:rsidRPr="00B17E19">
        <w:rPr>
          <w:rFonts w:asciiTheme="majorBidi" w:eastAsia="Calibri" w:hAnsiTheme="majorBidi" w:cstheme="majorBidi"/>
          <w:bCs/>
        </w:rPr>
        <w:t xml:space="preserve"> 0.3297 </w:t>
      </w:r>
      <w:r w:rsidR="00B17E19">
        <w:rPr>
          <w:rFonts w:asciiTheme="majorBidi" w:eastAsia="Calibri" w:hAnsiTheme="majorBidi" w:cstheme="majorBidi"/>
          <w:bCs/>
        </w:rPr>
        <w:t>is greater than</w:t>
      </w:r>
      <w:r w:rsidR="00B17E19" w:rsidRPr="00B17E19">
        <w:rPr>
          <w:rFonts w:asciiTheme="majorBidi" w:eastAsia="Calibri" w:hAnsiTheme="majorBidi" w:cstheme="majorBidi"/>
          <w:bCs/>
        </w:rPr>
        <w:t xml:space="preserve"> 0.05</w:t>
      </w:r>
      <w:r w:rsidR="00B17E19">
        <w:rPr>
          <w:rFonts w:asciiTheme="majorBidi" w:eastAsia="Calibri" w:hAnsiTheme="majorBidi" w:cstheme="majorBidi"/>
          <w:bCs/>
        </w:rPr>
        <w:t>, the study</w:t>
      </w:r>
      <w:r w:rsidR="00B17E19" w:rsidRPr="00B17E19">
        <w:rPr>
          <w:rFonts w:asciiTheme="majorBidi" w:eastAsia="Calibri" w:hAnsiTheme="majorBidi" w:cstheme="majorBidi"/>
          <w:bCs/>
        </w:rPr>
        <w:t xml:space="preserve"> </w:t>
      </w:r>
      <w:r w:rsidR="00B17E19">
        <w:rPr>
          <w:rFonts w:asciiTheme="majorBidi" w:eastAsia="Calibri" w:hAnsiTheme="majorBidi" w:cstheme="majorBidi"/>
          <w:bCs/>
        </w:rPr>
        <w:t xml:space="preserve">failed to </w:t>
      </w:r>
      <w:r w:rsidR="00B17E19" w:rsidRPr="00B17E19">
        <w:rPr>
          <w:rFonts w:asciiTheme="majorBidi" w:eastAsia="Calibri" w:hAnsiTheme="majorBidi" w:cstheme="majorBidi"/>
          <w:bCs/>
        </w:rPr>
        <w:t>reject the null hypothesis.</w:t>
      </w:r>
    </w:p>
    <w:p w14:paraId="35912BB8" w14:textId="265E237D" w:rsidR="007B4D76" w:rsidRDefault="00CD26E8" w:rsidP="007577C8">
      <w:pPr>
        <w:autoSpaceDE w:val="0"/>
        <w:autoSpaceDN w:val="0"/>
        <w:adjustRightInd w:val="0"/>
        <w:spacing w:line="360" w:lineRule="auto"/>
        <w:jc w:val="both"/>
        <w:rPr>
          <w:rFonts w:asciiTheme="majorBidi" w:eastAsia="Calibri" w:hAnsiTheme="majorBidi" w:cstheme="majorBidi"/>
          <w:bCs/>
        </w:rPr>
      </w:pPr>
      <w:r>
        <w:rPr>
          <w:rFonts w:asciiTheme="majorBidi" w:eastAsia="Calibri" w:hAnsiTheme="majorBidi" w:cstheme="majorBidi"/>
          <w:bCs/>
        </w:rPr>
        <w:t xml:space="preserve">      </w:t>
      </w:r>
      <w:r w:rsidR="00121363">
        <w:rPr>
          <w:rFonts w:asciiTheme="majorBidi" w:eastAsia="Calibri" w:hAnsiTheme="majorBidi" w:cstheme="majorBidi"/>
          <w:bCs/>
        </w:rPr>
        <w:t>In the same vein</w:t>
      </w:r>
      <w:r>
        <w:rPr>
          <w:rFonts w:asciiTheme="majorBidi" w:eastAsia="Calibri" w:hAnsiTheme="majorBidi" w:cstheme="majorBidi"/>
          <w:bCs/>
        </w:rPr>
        <w:t xml:space="preserve">, to decide which model to adopt in panel regression analysis, </w:t>
      </w:r>
      <w:r w:rsidRPr="00CD26E8">
        <w:rPr>
          <w:rFonts w:asciiTheme="majorBidi" w:eastAsia="Calibri" w:hAnsiTheme="majorBidi" w:cstheme="majorBidi"/>
        </w:rPr>
        <w:t>Hausman test</w:t>
      </w:r>
      <w:r w:rsidRPr="00CD26E8">
        <w:rPr>
          <w:rFonts w:asciiTheme="majorBidi" w:eastAsia="Calibri" w:hAnsiTheme="majorBidi" w:cstheme="majorBidi"/>
          <w:bCs/>
        </w:rPr>
        <w:t xml:space="preserve"> </w:t>
      </w:r>
      <w:r>
        <w:rPr>
          <w:rFonts w:asciiTheme="majorBidi" w:eastAsia="Calibri" w:hAnsiTheme="majorBidi" w:cstheme="majorBidi"/>
          <w:bCs/>
        </w:rPr>
        <w:t xml:space="preserve">was conducted. </w:t>
      </w:r>
      <w:r w:rsidR="006C060E">
        <w:rPr>
          <w:rFonts w:asciiTheme="majorBidi" w:eastAsia="Calibri" w:hAnsiTheme="majorBidi" w:cstheme="majorBidi"/>
          <w:bCs/>
        </w:rPr>
        <w:t>The null hypothesis states that</w:t>
      </w:r>
      <w:r w:rsidR="006C060E" w:rsidRPr="006C060E">
        <w:rPr>
          <w:rFonts w:asciiTheme="majorBidi" w:eastAsia="Calibri" w:hAnsiTheme="majorBidi" w:cstheme="majorBidi"/>
          <w:bCs/>
        </w:rPr>
        <w:t xml:space="preserve"> </w:t>
      </w:r>
      <w:r w:rsidR="006C060E">
        <w:rPr>
          <w:rFonts w:asciiTheme="majorBidi" w:eastAsia="Calibri" w:hAnsiTheme="majorBidi" w:cstheme="majorBidi"/>
          <w:bCs/>
        </w:rPr>
        <w:t>the r</w:t>
      </w:r>
      <w:r w:rsidR="006C060E" w:rsidRPr="006C060E">
        <w:rPr>
          <w:rFonts w:asciiTheme="majorBidi" w:eastAsia="Calibri" w:hAnsiTheme="majorBidi" w:cstheme="majorBidi"/>
          <w:bCs/>
        </w:rPr>
        <w:t>andom effects model is preferred (no correlation between regressors and the unobserved effect)</w:t>
      </w:r>
      <w:r w:rsidR="006C060E">
        <w:rPr>
          <w:rFonts w:asciiTheme="majorBidi" w:eastAsia="Calibri" w:hAnsiTheme="majorBidi" w:cstheme="majorBidi"/>
          <w:bCs/>
        </w:rPr>
        <w:t xml:space="preserve">. The </w:t>
      </w:r>
      <w:r w:rsidR="006C060E" w:rsidRPr="006C060E">
        <w:rPr>
          <w:rFonts w:asciiTheme="majorBidi" w:eastAsia="Calibri" w:hAnsiTheme="majorBidi" w:cstheme="majorBidi"/>
          <w:bCs/>
        </w:rPr>
        <w:t>alternative</w:t>
      </w:r>
      <w:r w:rsidR="006C060E">
        <w:rPr>
          <w:rFonts w:asciiTheme="majorBidi" w:eastAsia="Calibri" w:hAnsiTheme="majorBidi" w:cstheme="majorBidi"/>
          <w:bCs/>
        </w:rPr>
        <w:t xml:space="preserve"> hypothesis states that the f</w:t>
      </w:r>
      <w:r w:rsidR="006C060E" w:rsidRPr="006C060E">
        <w:rPr>
          <w:rFonts w:asciiTheme="majorBidi" w:eastAsia="Calibri" w:hAnsiTheme="majorBidi" w:cstheme="majorBidi"/>
          <w:bCs/>
        </w:rPr>
        <w:t>ixed effects model is preferred</w:t>
      </w:r>
      <w:r w:rsidR="006C060E">
        <w:rPr>
          <w:rFonts w:asciiTheme="majorBidi" w:eastAsia="Calibri" w:hAnsiTheme="majorBidi" w:cstheme="majorBidi"/>
          <w:bCs/>
        </w:rPr>
        <w:t xml:space="preserve">. The test results showed a chi-square of 1.34 and a p-value of 0.7193, indicating a random effect model. </w:t>
      </w:r>
      <w:r w:rsidR="006C060E" w:rsidRPr="006C060E">
        <w:rPr>
          <w:rFonts w:asciiTheme="majorBidi" w:eastAsia="Calibri" w:hAnsiTheme="majorBidi" w:cstheme="majorBidi"/>
          <w:bCs/>
        </w:rPr>
        <w:t xml:space="preserve">The F-test showed that the fixed model is effective, with an F-statistic of </w:t>
      </w:r>
      <w:r w:rsidR="006C060E">
        <w:rPr>
          <w:rFonts w:asciiTheme="majorBidi" w:eastAsia="Calibri" w:hAnsiTheme="majorBidi" w:cstheme="majorBidi"/>
          <w:bCs/>
        </w:rPr>
        <w:t>5.22</w:t>
      </w:r>
      <w:r w:rsidR="006C060E" w:rsidRPr="006C060E">
        <w:rPr>
          <w:rFonts w:asciiTheme="majorBidi" w:eastAsia="Calibri" w:hAnsiTheme="majorBidi" w:cstheme="majorBidi"/>
          <w:bCs/>
        </w:rPr>
        <w:t xml:space="preserve"> and a p-value of 0.000</w:t>
      </w:r>
      <w:r w:rsidR="006C060E">
        <w:rPr>
          <w:rFonts w:asciiTheme="majorBidi" w:eastAsia="Calibri" w:hAnsiTheme="majorBidi" w:cstheme="majorBidi"/>
          <w:bCs/>
        </w:rPr>
        <w:t>0</w:t>
      </w:r>
      <w:r w:rsidR="006C060E" w:rsidRPr="006C060E">
        <w:rPr>
          <w:rFonts w:asciiTheme="majorBidi" w:eastAsia="Calibri" w:hAnsiTheme="majorBidi" w:cstheme="majorBidi"/>
          <w:bCs/>
        </w:rPr>
        <w:t xml:space="preserve">. The Breusch and Pagan Lagrange multiplier test </w:t>
      </w:r>
      <w:r w:rsidR="006C060E">
        <w:rPr>
          <w:rFonts w:asciiTheme="majorBidi" w:eastAsia="Calibri" w:hAnsiTheme="majorBidi" w:cstheme="majorBidi"/>
          <w:bCs/>
        </w:rPr>
        <w:t xml:space="preserve">of 51.07 and a p-value of 0.0000 </w:t>
      </w:r>
      <w:r w:rsidR="006C060E" w:rsidRPr="006C060E">
        <w:rPr>
          <w:rFonts w:asciiTheme="majorBidi" w:eastAsia="Calibri" w:hAnsiTheme="majorBidi" w:cstheme="majorBidi"/>
          <w:bCs/>
        </w:rPr>
        <w:t xml:space="preserve">indicated the </w:t>
      </w:r>
      <w:r w:rsidR="006C060E">
        <w:rPr>
          <w:rFonts w:asciiTheme="majorBidi" w:eastAsia="Calibri" w:hAnsiTheme="majorBidi" w:cstheme="majorBidi"/>
          <w:bCs/>
        </w:rPr>
        <w:t>random effect</w:t>
      </w:r>
      <w:r w:rsidR="006C060E" w:rsidRPr="006C060E">
        <w:rPr>
          <w:rFonts w:asciiTheme="majorBidi" w:eastAsia="Calibri" w:hAnsiTheme="majorBidi" w:cstheme="majorBidi"/>
          <w:bCs/>
        </w:rPr>
        <w:t xml:space="preserve"> model was more appropriate.</w:t>
      </w:r>
      <w:r w:rsidR="00121363">
        <w:rPr>
          <w:rFonts w:asciiTheme="majorBidi" w:eastAsia="Calibri" w:hAnsiTheme="majorBidi" w:cstheme="majorBidi"/>
          <w:bCs/>
        </w:rPr>
        <w:t xml:space="preserve"> However,</w:t>
      </w:r>
      <w:r w:rsidR="00851E75">
        <w:rPr>
          <w:rFonts w:asciiTheme="majorBidi" w:eastAsia="Calibri" w:hAnsiTheme="majorBidi" w:cstheme="majorBidi"/>
          <w:bCs/>
        </w:rPr>
        <w:t xml:space="preserve"> </w:t>
      </w:r>
      <w:r w:rsidR="00787C80" w:rsidRPr="001A3DE2">
        <w:rPr>
          <w:rFonts w:asciiTheme="majorBidi" w:hAnsiTheme="majorBidi" w:cstheme="majorBidi"/>
        </w:rPr>
        <w:t xml:space="preserve">a variance-weighted least squares (VWLS) method </w:t>
      </w:r>
      <w:r w:rsidR="00851E75">
        <w:rPr>
          <w:rFonts w:asciiTheme="majorBidi" w:eastAsia="Calibri" w:hAnsiTheme="majorBidi" w:cstheme="majorBidi"/>
          <w:bCs/>
        </w:rPr>
        <w:t xml:space="preserve">was carried out. </w:t>
      </w:r>
    </w:p>
    <w:tbl>
      <w:tblPr>
        <w:tblW w:w="5000" w:type="pct"/>
        <w:tblLook w:val="04A0" w:firstRow="1" w:lastRow="0" w:firstColumn="1" w:lastColumn="0" w:noHBand="0" w:noVBand="1"/>
      </w:tblPr>
      <w:tblGrid>
        <w:gridCol w:w="6632"/>
        <w:gridCol w:w="1778"/>
        <w:gridCol w:w="950"/>
      </w:tblGrid>
      <w:tr w:rsidR="007B4D76" w:rsidRPr="007577C8" w14:paraId="335B74D6" w14:textId="77777777" w:rsidTr="007577C8">
        <w:trPr>
          <w:trHeight w:val="288"/>
        </w:trPr>
        <w:tc>
          <w:tcPr>
            <w:tcW w:w="4493" w:type="pct"/>
            <w:gridSpan w:val="2"/>
            <w:tcBorders>
              <w:top w:val="nil"/>
              <w:left w:val="nil"/>
              <w:bottom w:val="nil"/>
              <w:right w:val="nil"/>
            </w:tcBorders>
            <w:shd w:val="clear" w:color="auto" w:fill="auto"/>
            <w:noWrap/>
            <w:vAlign w:val="center"/>
            <w:hideMark/>
          </w:tcPr>
          <w:p w14:paraId="06F9B44E" w14:textId="55AF60CA" w:rsidR="007B4D76" w:rsidRPr="007577C8" w:rsidRDefault="007B4D76" w:rsidP="001D407C">
            <w:pPr>
              <w:spacing w:after="0" w:line="240" w:lineRule="auto"/>
              <w:rPr>
                <w:rFonts w:ascii="Times New Roman" w:eastAsia="Times New Roman" w:hAnsi="Times New Roman" w:cs="Times New Roman"/>
                <w:b/>
                <w:bCs/>
                <w:color w:val="000000"/>
              </w:rPr>
            </w:pPr>
            <w:r w:rsidRPr="007577C8">
              <w:rPr>
                <w:rFonts w:ascii="Times New Roman" w:eastAsia="Times New Roman" w:hAnsi="Times New Roman" w:cs="Times New Roman"/>
                <w:b/>
                <w:bCs/>
                <w:color w:val="000000"/>
              </w:rPr>
              <w:t xml:space="preserve">Table 5: Summary </w:t>
            </w:r>
            <w:r w:rsidR="007577C8">
              <w:rPr>
                <w:rFonts w:ascii="Times New Roman" w:eastAsia="Times New Roman" w:hAnsi="Times New Roman" w:cs="Times New Roman"/>
                <w:b/>
                <w:bCs/>
                <w:color w:val="000000"/>
              </w:rPr>
              <w:t>o</w:t>
            </w:r>
            <w:r w:rsidRPr="007577C8">
              <w:rPr>
                <w:rFonts w:ascii="Times New Roman" w:eastAsia="Times New Roman" w:hAnsi="Times New Roman" w:cs="Times New Roman"/>
                <w:b/>
                <w:bCs/>
                <w:color w:val="000000"/>
              </w:rPr>
              <w:t>f Post-Estimation Test Results</w:t>
            </w:r>
          </w:p>
        </w:tc>
        <w:tc>
          <w:tcPr>
            <w:tcW w:w="507" w:type="pct"/>
            <w:tcBorders>
              <w:top w:val="nil"/>
              <w:left w:val="nil"/>
              <w:bottom w:val="nil"/>
              <w:right w:val="nil"/>
            </w:tcBorders>
            <w:shd w:val="clear" w:color="auto" w:fill="auto"/>
            <w:noWrap/>
            <w:vAlign w:val="center"/>
            <w:hideMark/>
          </w:tcPr>
          <w:p w14:paraId="3486D30D" w14:textId="77777777" w:rsidR="007B4D76" w:rsidRPr="007577C8" w:rsidRDefault="007B4D76" w:rsidP="001D407C">
            <w:pPr>
              <w:spacing w:after="0" w:line="240" w:lineRule="auto"/>
              <w:rPr>
                <w:rFonts w:ascii="Times New Roman" w:eastAsia="Times New Roman" w:hAnsi="Times New Roman" w:cs="Times New Roman"/>
                <w:color w:val="000000"/>
              </w:rPr>
            </w:pPr>
          </w:p>
        </w:tc>
      </w:tr>
      <w:tr w:rsidR="007B4D76" w:rsidRPr="007577C8" w14:paraId="1EDDA218" w14:textId="77777777" w:rsidTr="007577C8">
        <w:trPr>
          <w:trHeight w:val="288"/>
        </w:trPr>
        <w:tc>
          <w:tcPr>
            <w:tcW w:w="3543" w:type="pct"/>
            <w:tcBorders>
              <w:top w:val="single" w:sz="4" w:space="0" w:color="auto"/>
              <w:left w:val="nil"/>
              <w:bottom w:val="single" w:sz="4" w:space="0" w:color="auto"/>
              <w:right w:val="nil"/>
            </w:tcBorders>
            <w:shd w:val="clear" w:color="auto" w:fill="auto"/>
            <w:noWrap/>
            <w:vAlign w:val="center"/>
            <w:hideMark/>
          </w:tcPr>
          <w:p w14:paraId="042AE48A"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Test</w:t>
            </w:r>
          </w:p>
        </w:tc>
        <w:tc>
          <w:tcPr>
            <w:tcW w:w="949" w:type="pct"/>
            <w:tcBorders>
              <w:top w:val="single" w:sz="4" w:space="0" w:color="auto"/>
              <w:left w:val="nil"/>
              <w:bottom w:val="single" w:sz="4" w:space="0" w:color="auto"/>
              <w:right w:val="nil"/>
            </w:tcBorders>
            <w:shd w:val="clear" w:color="auto" w:fill="auto"/>
            <w:noWrap/>
            <w:vAlign w:val="center"/>
            <w:hideMark/>
          </w:tcPr>
          <w:p w14:paraId="7C8E22B9"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F-Statistics</w:t>
            </w:r>
          </w:p>
        </w:tc>
        <w:tc>
          <w:tcPr>
            <w:tcW w:w="507" w:type="pct"/>
            <w:tcBorders>
              <w:top w:val="single" w:sz="4" w:space="0" w:color="auto"/>
              <w:left w:val="nil"/>
              <w:bottom w:val="single" w:sz="4" w:space="0" w:color="auto"/>
              <w:right w:val="nil"/>
            </w:tcBorders>
            <w:shd w:val="clear" w:color="auto" w:fill="auto"/>
            <w:noWrap/>
            <w:vAlign w:val="center"/>
            <w:hideMark/>
          </w:tcPr>
          <w:p w14:paraId="73D71F6E"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P-value</w:t>
            </w:r>
          </w:p>
        </w:tc>
      </w:tr>
      <w:tr w:rsidR="007B4D76" w:rsidRPr="007577C8" w14:paraId="6D0D2B04" w14:textId="77777777" w:rsidTr="007577C8">
        <w:trPr>
          <w:trHeight w:val="288"/>
        </w:trPr>
        <w:tc>
          <w:tcPr>
            <w:tcW w:w="3543" w:type="pct"/>
            <w:tcBorders>
              <w:top w:val="nil"/>
              <w:left w:val="nil"/>
              <w:bottom w:val="nil"/>
              <w:right w:val="nil"/>
            </w:tcBorders>
            <w:shd w:val="clear" w:color="auto" w:fill="auto"/>
            <w:noWrap/>
            <w:vAlign w:val="center"/>
            <w:hideMark/>
          </w:tcPr>
          <w:p w14:paraId="37A0322F"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Breusch-Pagan / Cook-Weisberg test for Heteroscedasticity </w:t>
            </w:r>
          </w:p>
        </w:tc>
        <w:tc>
          <w:tcPr>
            <w:tcW w:w="949" w:type="pct"/>
            <w:tcBorders>
              <w:top w:val="nil"/>
              <w:left w:val="nil"/>
              <w:bottom w:val="nil"/>
              <w:right w:val="nil"/>
            </w:tcBorders>
            <w:shd w:val="clear" w:color="auto" w:fill="auto"/>
            <w:noWrap/>
            <w:vAlign w:val="center"/>
            <w:hideMark/>
          </w:tcPr>
          <w:p w14:paraId="17B20926" w14:textId="31E807F8"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0.10</w:t>
            </w:r>
          </w:p>
        </w:tc>
        <w:tc>
          <w:tcPr>
            <w:tcW w:w="507" w:type="pct"/>
            <w:tcBorders>
              <w:top w:val="nil"/>
              <w:left w:val="nil"/>
              <w:bottom w:val="nil"/>
              <w:right w:val="nil"/>
            </w:tcBorders>
            <w:shd w:val="clear" w:color="auto" w:fill="auto"/>
            <w:noWrap/>
            <w:vAlign w:val="center"/>
            <w:hideMark/>
          </w:tcPr>
          <w:p w14:paraId="2415A2A4" w14:textId="42CC8F3F"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heme="majorBidi" w:eastAsia="Calibri" w:hAnsiTheme="majorBidi" w:cstheme="majorBidi"/>
                <w:bCs/>
              </w:rPr>
              <w:t>0.7462</w:t>
            </w:r>
          </w:p>
        </w:tc>
      </w:tr>
      <w:tr w:rsidR="007B4D76" w:rsidRPr="007577C8" w14:paraId="48EF3B18" w14:textId="77777777" w:rsidTr="007577C8">
        <w:trPr>
          <w:trHeight w:val="288"/>
        </w:trPr>
        <w:tc>
          <w:tcPr>
            <w:tcW w:w="3543" w:type="pct"/>
            <w:tcBorders>
              <w:top w:val="nil"/>
              <w:left w:val="nil"/>
              <w:bottom w:val="nil"/>
              <w:right w:val="nil"/>
            </w:tcBorders>
            <w:shd w:val="clear" w:color="auto" w:fill="auto"/>
            <w:noWrap/>
            <w:vAlign w:val="center"/>
            <w:hideMark/>
          </w:tcPr>
          <w:p w14:paraId="2D38368F"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The Shapiro-Wilk test </w:t>
            </w:r>
          </w:p>
        </w:tc>
        <w:tc>
          <w:tcPr>
            <w:tcW w:w="949" w:type="pct"/>
            <w:tcBorders>
              <w:top w:val="nil"/>
              <w:left w:val="nil"/>
              <w:bottom w:val="nil"/>
              <w:right w:val="nil"/>
            </w:tcBorders>
            <w:shd w:val="clear" w:color="auto" w:fill="auto"/>
            <w:noWrap/>
            <w:vAlign w:val="center"/>
            <w:hideMark/>
          </w:tcPr>
          <w:p w14:paraId="6091DA66" w14:textId="64E27126"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4.640</w:t>
            </w:r>
          </w:p>
        </w:tc>
        <w:tc>
          <w:tcPr>
            <w:tcW w:w="507" w:type="pct"/>
            <w:tcBorders>
              <w:top w:val="nil"/>
              <w:left w:val="nil"/>
              <w:bottom w:val="nil"/>
              <w:right w:val="nil"/>
            </w:tcBorders>
            <w:shd w:val="clear" w:color="auto" w:fill="auto"/>
            <w:noWrap/>
            <w:vAlign w:val="center"/>
            <w:hideMark/>
          </w:tcPr>
          <w:p w14:paraId="56745BB6"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7B4D76" w:rsidRPr="007577C8" w14:paraId="6A66817E" w14:textId="77777777" w:rsidTr="007577C8">
        <w:trPr>
          <w:trHeight w:val="312"/>
        </w:trPr>
        <w:tc>
          <w:tcPr>
            <w:tcW w:w="3543" w:type="pct"/>
            <w:tcBorders>
              <w:top w:val="nil"/>
              <w:left w:val="nil"/>
              <w:bottom w:val="nil"/>
              <w:right w:val="nil"/>
            </w:tcBorders>
            <w:shd w:val="clear" w:color="auto" w:fill="auto"/>
            <w:noWrap/>
            <w:vAlign w:val="center"/>
            <w:hideMark/>
          </w:tcPr>
          <w:p w14:paraId="1CBAE9BA"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Wooldridge test for autocorrelation in panel data</w:t>
            </w:r>
          </w:p>
        </w:tc>
        <w:tc>
          <w:tcPr>
            <w:tcW w:w="949" w:type="pct"/>
            <w:tcBorders>
              <w:top w:val="nil"/>
              <w:left w:val="nil"/>
              <w:bottom w:val="nil"/>
              <w:right w:val="nil"/>
            </w:tcBorders>
            <w:shd w:val="clear" w:color="auto" w:fill="auto"/>
            <w:noWrap/>
            <w:vAlign w:val="center"/>
            <w:hideMark/>
          </w:tcPr>
          <w:p w14:paraId="49A54E86" w14:textId="6CBBC1BD"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1.015</w:t>
            </w:r>
          </w:p>
        </w:tc>
        <w:tc>
          <w:tcPr>
            <w:tcW w:w="507" w:type="pct"/>
            <w:tcBorders>
              <w:top w:val="nil"/>
              <w:left w:val="nil"/>
              <w:bottom w:val="nil"/>
              <w:right w:val="nil"/>
            </w:tcBorders>
            <w:shd w:val="clear" w:color="auto" w:fill="auto"/>
            <w:noWrap/>
            <w:vAlign w:val="center"/>
            <w:hideMark/>
          </w:tcPr>
          <w:p w14:paraId="65C24F3B" w14:textId="007564F3"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0.3297 </w:t>
            </w:r>
          </w:p>
        </w:tc>
      </w:tr>
      <w:tr w:rsidR="007B4D76" w:rsidRPr="007577C8" w14:paraId="050F4FA1" w14:textId="77777777" w:rsidTr="007577C8">
        <w:trPr>
          <w:trHeight w:val="288"/>
        </w:trPr>
        <w:tc>
          <w:tcPr>
            <w:tcW w:w="3543" w:type="pct"/>
            <w:tcBorders>
              <w:top w:val="nil"/>
              <w:left w:val="nil"/>
              <w:bottom w:val="nil"/>
              <w:right w:val="nil"/>
            </w:tcBorders>
            <w:shd w:val="clear" w:color="auto" w:fill="auto"/>
            <w:noWrap/>
            <w:vAlign w:val="center"/>
            <w:hideMark/>
          </w:tcPr>
          <w:p w14:paraId="7982B0A9"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F test that all </w:t>
            </w:r>
            <w:proofErr w:type="spellStart"/>
            <w:r w:rsidRPr="007577C8">
              <w:rPr>
                <w:rFonts w:ascii="Times New Roman" w:eastAsia="Times New Roman" w:hAnsi="Times New Roman" w:cs="Times New Roman"/>
                <w:color w:val="000000"/>
              </w:rPr>
              <w:t>ui</w:t>
            </w:r>
            <w:proofErr w:type="spellEnd"/>
            <w:r w:rsidRPr="007577C8">
              <w:rPr>
                <w:rFonts w:ascii="Times New Roman" w:eastAsia="Times New Roman" w:hAnsi="Times New Roman" w:cs="Times New Roman"/>
                <w:color w:val="000000"/>
              </w:rPr>
              <w:t>=0: F (45, 549)</w:t>
            </w:r>
          </w:p>
        </w:tc>
        <w:tc>
          <w:tcPr>
            <w:tcW w:w="949" w:type="pct"/>
            <w:tcBorders>
              <w:top w:val="nil"/>
              <w:left w:val="nil"/>
              <w:bottom w:val="nil"/>
              <w:right w:val="nil"/>
            </w:tcBorders>
            <w:shd w:val="clear" w:color="auto" w:fill="auto"/>
            <w:noWrap/>
            <w:vAlign w:val="center"/>
            <w:hideMark/>
          </w:tcPr>
          <w:p w14:paraId="25C04732" w14:textId="443E02BD"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5.22</w:t>
            </w:r>
          </w:p>
        </w:tc>
        <w:tc>
          <w:tcPr>
            <w:tcW w:w="507" w:type="pct"/>
            <w:tcBorders>
              <w:top w:val="nil"/>
              <w:left w:val="nil"/>
              <w:bottom w:val="nil"/>
              <w:right w:val="nil"/>
            </w:tcBorders>
            <w:shd w:val="clear" w:color="auto" w:fill="auto"/>
            <w:noWrap/>
            <w:vAlign w:val="center"/>
            <w:hideMark/>
          </w:tcPr>
          <w:p w14:paraId="5C78101F"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9573DF" w:rsidRPr="007577C8" w14:paraId="5F50D110" w14:textId="77777777" w:rsidTr="007577C8">
        <w:trPr>
          <w:trHeight w:val="288"/>
        </w:trPr>
        <w:tc>
          <w:tcPr>
            <w:tcW w:w="3543" w:type="pct"/>
            <w:tcBorders>
              <w:top w:val="nil"/>
              <w:left w:val="nil"/>
              <w:bottom w:val="nil"/>
              <w:right w:val="nil"/>
            </w:tcBorders>
            <w:shd w:val="clear" w:color="auto" w:fill="auto"/>
            <w:noWrap/>
            <w:vAlign w:val="center"/>
          </w:tcPr>
          <w:p w14:paraId="4C98AF33" w14:textId="46A51C3B" w:rsidR="009573DF" w:rsidRPr="007577C8" w:rsidRDefault="009573DF" w:rsidP="001D407C">
            <w:pPr>
              <w:spacing w:after="0" w:line="240" w:lineRule="auto"/>
              <w:rPr>
                <w:rFonts w:ascii="Times New Roman" w:eastAsia="Times New Roman" w:hAnsi="Times New Roman" w:cs="Times New Roman"/>
                <w:color w:val="000000"/>
              </w:rPr>
            </w:pPr>
            <w:proofErr w:type="spellStart"/>
            <w:r w:rsidRPr="007577C8">
              <w:rPr>
                <w:rFonts w:ascii="Times New Roman" w:eastAsia="Times New Roman" w:hAnsi="Times New Roman" w:cs="Times New Roman"/>
                <w:color w:val="000000"/>
              </w:rPr>
              <w:t>Ranset</w:t>
            </w:r>
            <w:proofErr w:type="spellEnd"/>
            <w:r w:rsidRPr="007577C8">
              <w:rPr>
                <w:rFonts w:ascii="Times New Roman" w:eastAsia="Times New Roman" w:hAnsi="Times New Roman" w:cs="Times New Roman"/>
                <w:color w:val="000000"/>
              </w:rPr>
              <w:t xml:space="preserve"> test</w:t>
            </w:r>
          </w:p>
        </w:tc>
        <w:tc>
          <w:tcPr>
            <w:tcW w:w="949" w:type="pct"/>
            <w:tcBorders>
              <w:top w:val="nil"/>
              <w:left w:val="nil"/>
              <w:bottom w:val="nil"/>
              <w:right w:val="nil"/>
            </w:tcBorders>
            <w:shd w:val="clear" w:color="auto" w:fill="auto"/>
            <w:noWrap/>
            <w:vAlign w:val="center"/>
          </w:tcPr>
          <w:p w14:paraId="18860575" w14:textId="58099271" w:rsidR="009573DF"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0.05</w:t>
            </w:r>
          </w:p>
        </w:tc>
        <w:tc>
          <w:tcPr>
            <w:tcW w:w="507" w:type="pct"/>
            <w:tcBorders>
              <w:top w:val="nil"/>
              <w:left w:val="nil"/>
              <w:bottom w:val="nil"/>
              <w:right w:val="nil"/>
            </w:tcBorders>
            <w:shd w:val="clear" w:color="auto" w:fill="auto"/>
            <w:noWrap/>
            <w:vAlign w:val="center"/>
          </w:tcPr>
          <w:p w14:paraId="688C0962" w14:textId="76377F93" w:rsidR="009573DF"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0.9849</w:t>
            </w:r>
          </w:p>
        </w:tc>
      </w:tr>
      <w:tr w:rsidR="007B4D76" w:rsidRPr="007577C8" w14:paraId="794D3C81" w14:textId="77777777" w:rsidTr="007577C8">
        <w:trPr>
          <w:trHeight w:val="288"/>
        </w:trPr>
        <w:tc>
          <w:tcPr>
            <w:tcW w:w="3543" w:type="pct"/>
            <w:tcBorders>
              <w:top w:val="nil"/>
              <w:left w:val="nil"/>
              <w:bottom w:val="nil"/>
              <w:right w:val="nil"/>
            </w:tcBorders>
            <w:shd w:val="clear" w:color="auto" w:fill="auto"/>
            <w:noWrap/>
            <w:vAlign w:val="center"/>
            <w:hideMark/>
          </w:tcPr>
          <w:p w14:paraId="376E8936"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Breusch and Pagan </w:t>
            </w:r>
            <w:proofErr w:type="spellStart"/>
            <w:r w:rsidRPr="007577C8">
              <w:rPr>
                <w:rFonts w:ascii="Times New Roman" w:eastAsia="Times New Roman" w:hAnsi="Times New Roman" w:cs="Times New Roman"/>
                <w:color w:val="000000"/>
              </w:rPr>
              <w:t>Lagrangian</w:t>
            </w:r>
            <w:proofErr w:type="spellEnd"/>
            <w:r w:rsidRPr="007577C8">
              <w:rPr>
                <w:rFonts w:ascii="Times New Roman" w:eastAsia="Times New Roman" w:hAnsi="Times New Roman" w:cs="Times New Roman"/>
                <w:color w:val="000000"/>
              </w:rPr>
              <w:t xml:space="preserve"> multiplier test for random effects</w:t>
            </w:r>
          </w:p>
        </w:tc>
        <w:tc>
          <w:tcPr>
            <w:tcW w:w="949" w:type="pct"/>
            <w:tcBorders>
              <w:top w:val="nil"/>
              <w:left w:val="nil"/>
              <w:bottom w:val="nil"/>
              <w:right w:val="nil"/>
            </w:tcBorders>
            <w:shd w:val="clear" w:color="auto" w:fill="auto"/>
            <w:noWrap/>
            <w:vAlign w:val="center"/>
            <w:hideMark/>
          </w:tcPr>
          <w:p w14:paraId="2692BF86" w14:textId="7526908B" w:rsidR="007B4D76" w:rsidRPr="007577C8" w:rsidRDefault="009573DF" w:rsidP="009573DF">
            <w:pPr>
              <w:spacing w:after="0" w:line="240" w:lineRule="auto"/>
              <w:jc w:val="center"/>
              <w:rPr>
                <w:rFonts w:ascii="Times New Roman" w:eastAsia="Times New Roman" w:hAnsi="Times New Roman" w:cs="Times New Roman"/>
                <w:color w:val="000000"/>
              </w:rPr>
            </w:pPr>
            <w:r w:rsidRPr="007577C8">
              <w:rPr>
                <w:rFonts w:ascii="Times New Roman" w:eastAsia="Times New Roman" w:hAnsi="Times New Roman" w:cs="Times New Roman"/>
                <w:color w:val="000000"/>
              </w:rPr>
              <w:t xml:space="preserve">                 51.07</w:t>
            </w:r>
          </w:p>
        </w:tc>
        <w:tc>
          <w:tcPr>
            <w:tcW w:w="507" w:type="pct"/>
            <w:tcBorders>
              <w:top w:val="nil"/>
              <w:left w:val="nil"/>
              <w:bottom w:val="nil"/>
              <w:right w:val="nil"/>
            </w:tcBorders>
            <w:shd w:val="clear" w:color="auto" w:fill="auto"/>
            <w:noWrap/>
            <w:vAlign w:val="center"/>
            <w:hideMark/>
          </w:tcPr>
          <w:p w14:paraId="66CA4886" w14:textId="77777777" w:rsidR="007B4D76" w:rsidRPr="007577C8" w:rsidRDefault="007B4D76"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0.0000</w:t>
            </w:r>
          </w:p>
        </w:tc>
      </w:tr>
      <w:tr w:rsidR="007B4D76" w:rsidRPr="007577C8" w14:paraId="46442640" w14:textId="77777777" w:rsidTr="007577C8">
        <w:trPr>
          <w:trHeight w:val="288"/>
        </w:trPr>
        <w:tc>
          <w:tcPr>
            <w:tcW w:w="3543" w:type="pct"/>
            <w:tcBorders>
              <w:top w:val="nil"/>
              <w:left w:val="nil"/>
              <w:bottom w:val="single" w:sz="4" w:space="0" w:color="auto"/>
              <w:right w:val="nil"/>
            </w:tcBorders>
            <w:shd w:val="clear" w:color="auto" w:fill="auto"/>
            <w:noWrap/>
            <w:vAlign w:val="center"/>
            <w:hideMark/>
          </w:tcPr>
          <w:p w14:paraId="23171C6C" w14:textId="77777777" w:rsidR="007B4D76" w:rsidRPr="007577C8" w:rsidRDefault="007B4D76" w:rsidP="001D407C">
            <w:pPr>
              <w:spacing w:after="0" w:line="240" w:lineRule="auto"/>
              <w:rPr>
                <w:rFonts w:ascii="Times New Roman" w:eastAsia="Times New Roman" w:hAnsi="Times New Roman" w:cs="Times New Roman"/>
                <w:color w:val="000000"/>
              </w:rPr>
            </w:pPr>
            <w:r w:rsidRPr="007577C8">
              <w:rPr>
                <w:rFonts w:ascii="Times New Roman" w:eastAsia="Times New Roman" w:hAnsi="Times New Roman" w:cs="Times New Roman"/>
                <w:color w:val="000000"/>
              </w:rPr>
              <w:t>Hausman Test</w:t>
            </w:r>
          </w:p>
        </w:tc>
        <w:tc>
          <w:tcPr>
            <w:tcW w:w="949" w:type="pct"/>
            <w:tcBorders>
              <w:top w:val="nil"/>
              <w:left w:val="nil"/>
              <w:bottom w:val="single" w:sz="4" w:space="0" w:color="auto"/>
              <w:right w:val="nil"/>
            </w:tcBorders>
            <w:shd w:val="clear" w:color="auto" w:fill="auto"/>
            <w:noWrap/>
            <w:vAlign w:val="center"/>
            <w:hideMark/>
          </w:tcPr>
          <w:p w14:paraId="48AA22F1" w14:textId="68B7C416"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0.34</w:t>
            </w:r>
          </w:p>
        </w:tc>
        <w:tc>
          <w:tcPr>
            <w:tcW w:w="507" w:type="pct"/>
            <w:tcBorders>
              <w:top w:val="nil"/>
              <w:left w:val="nil"/>
              <w:bottom w:val="single" w:sz="4" w:space="0" w:color="auto"/>
              <w:right w:val="nil"/>
            </w:tcBorders>
            <w:shd w:val="clear" w:color="auto" w:fill="auto"/>
            <w:noWrap/>
            <w:vAlign w:val="center"/>
            <w:hideMark/>
          </w:tcPr>
          <w:p w14:paraId="420B4ADF" w14:textId="53949CA2" w:rsidR="007B4D76" w:rsidRPr="007577C8" w:rsidRDefault="009573DF" w:rsidP="001D407C">
            <w:pPr>
              <w:spacing w:after="0" w:line="240" w:lineRule="auto"/>
              <w:jc w:val="right"/>
              <w:rPr>
                <w:rFonts w:ascii="Times New Roman" w:eastAsia="Times New Roman" w:hAnsi="Times New Roman" w:cs="Times New Roman"/>
                <w:color w:val="000000"/>
              </w:rPr>
            </w:pPr>
            <w:r w:rsidRPr="007577C8">
              <w:rPr>
                <w:rFonts w:ascii="Times New Roman" w:eastAsia="Times New Roman" w:hAnsi="Times New Roman" w:cs="Times New Roman"/>
                <w:color w:val="000000"/>
              </w:rPr>
              <w:t>0.7193</w:t>
            </w:r>
          </w:p>
        </w:tc>
      </w:tr>
    </w:tbl>
    <w:p w14:paraId="1969B2B6" w14:textId="41A6D6F9" w:rsidR="007B4D76"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253DBCE2" w14:textId="6BE29C3B" w:rsidR="00535A03" w:rsidRDefault="00535A03" w:rsidP="006C060E">
      <w:pPr>
        <w:autoSpaceDE w:val="0"/>
        <w:autoSpaceDN w:val="0"/>
        <w:adjustRightInd w:val="0"/>
        <w:spacing w:line="360" w:lineRule="auto"/>
        <w:jc w:val="both"/>
        <w:rPr>
          <w:rFonts w:asciiTheme="majorBidi" w:hAnsiTheme="majorBidi" w:cstheme="majorBidi"/>
          <w:b/>
          <w:bCs/>
        </w:rPr>
      </w:pPr>
      <w:r>
        <w:rPr>
          <w:rFonts w:asciiTheme="majorBidi" w:hAnsiTheme="majorBidi" w:cstheme="majorBidi"/>
          <w:b/>
          <w:bCs/>
        </w:rPr>
        <w:lastRenderedPageBreak/>
        <w:t xml:space="preserve">4.3 </w:t>
      </w:r>
      <w:r w:rsidR="007577C8">
        <w:rPr>
          <w:rFonts w:asciiTheme="majorBidi" w:hAnsiTheme="majorBidi" w:cstheme="majorBidi"/>
          <w:b/>
          <w:bCs/>
        </w:rPr>
        <w:t xml:space="preserve">      </w:t>
      </w:r>
      <w:r w:rsidRPr="00490880">
        <w:rPr>
          <w:rFonts w:asciiTheme="majorBidi" w:hAnsiTheme="majorBidi" w:cstheme="majorBidi"/>
          <w:b/>
          <w:bCs/>
        </w:rPr>
        <w:t xml:space="preserve">Non-Traditional Financial Disclosures </w:t>
      </w:r>
      <w:r>
        <w:rPr>
          <w:rFonts w:asciiTheme="majorBidi" w:hAnsiTheme="majorBidi" w:cstheme="majorBidi"/>
          <w:b/>
          <w:bCs/>
        </w:rPr>
        <w:t>and</w:t>
      </w:r>
      <w:r w:rsidRPr="00490880">
        <w:rPr>
          <w:rFonts w:asciiTheme="majorBidi" w:hAnsiTheme="majorBidi" w:cstheme="majorBidi"/>
          <w:b/>
          <w:bCs/>
        </w:rPr>
        <w:t xml:space="preserve"> Corporate Sustainability</w:t>
      </w:r>
    </w:p>
    <w:p w14:paraId="7F8F6F0C" w14:textId="68D87B4A" w:rsidR="001A3DE2" w:rsidRDefault="001A3DE2" w:rsidP="001A3DE2">
      <w:pPr>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            The study e</w:t>
      </w:r>
      <w:r w:rsidRPr="001A3DE2">
        <w:rPr>
          <w:rFonts w:asciiTheme="majorBidi" w:hAnsiTheme="majorBidi" w:cstheme="majorBidi"/>
        </w:rPr>
        <w:t>mploy</w:t>
      </w:r>
      <w:r>
        <w:rPr>
          <w:rFonts w:asciiTheme="majorBidi" w:hAnsiTheme="majorBidi" w:cstheme="majorBidi"/>
        </w:rPr>
        <w:t>ed</w:t>
      </w:r>
      <w:r w:rsidRPr="001A3DE2">
        <w:rPr>
          <w:rFonts w:asciiTheme="majorBidi" w:hAnsiTheme="majorBidi" w:cstheme="majorBidi"/>
        </w:rPr>
        <w:t xml:space="preserve"> a variance-weighted least squares (VWLS) method to examine the connection between non-traditional financial disclosures and corporate sustainability. This </w:t>
      </w:r>
      <w:r w:rsidR="003178AD">
        <w:rPr>
          <w:rFonts w:asciiTheme="majorBidi" w:hAnsiTheme="majorBidi" w:cstheme="majorBidi"/>
        </w:rPr>
        <w:t>relationship</w:t>
      </w:r>
      <w:r w:rsidRPr="001A3DE2">
        <w:rPr>
          <w:rFonts w:asciiTheme="majorBidi" w:hAnsiTheme="majorBidi" w:cstheme="majorBidi"/>
        </w:rPr>
        <w:t xml:space="preserve"> was inferred using the p-value and coefficients generated </w:t>
      </w:r>
      <w:r w:rsidR="003178AD">
        <w:rPr>
          <w:rFonts w:asciiTheme="majorBidi" w:hAnsiTheme="majorBidi" w:cstheme="majorBidi"/>
        </w:rPr>
        <w:t>from the analysis</w:t>
      </w:r>
      <w:r w:rsidRPr="001A3DE2">
        <w:rPr>
          <w:rFonts w:asciiTheme="majorBidi" w:hAnsiTheme="majorBidi" w:cstheme="majorBidi"/>
        </w:rPr>
        <w:t xml:space="preserve">. The </w:t>
      </w:r>
      <w:r w:rsidR="009D3302">
        <w:rPr>
          <w:rFonts w:asciiTheme="majorBidi" w:hAnsiTheme="majorBidi" w:cstheme="majorBidi"/>
        </w:rPr>
        <w:t>model’s chi-square was 28.37, and the</w:t>
      </w:r>
      <w:r w:rsidRPr="001A3DE2">
        <w:rPr>
          <w:rFonts w:asciiTheme="majorBidi" w:hAnsiTheme="majorBidi" w:cstheme="majorBidi"/>
        </w:rPr>
        <w:t xml:space="preserve"> p-value of 0.000</w:t>
      </w:r>
      <w:r w:rsidR="009D3302">
        <w:rPr>
          <w:rFonts w:asciiTheme="majorBidi" w:hAnsiTheme="majorBidi" w:cstheme="majorBidi"/>
        </w:rPr>
        <w:t xml:space="preserve">0. </w:t>
      </w:r>
      <w:r w:rsidR="009D3302" w:rsidRPr="009D3302">
        <w:rPr>
          <w:rFonts w:asciiTheme="majorBidi" w:hAnsiTheme="majorBidi" w:cstheme="majorBidi"/>
        </w:rPr>
        <w:t>The very low p-value</w:t>
      </w:r>
      <w:r w:rsidR="009D3302">
        <w:rPr>
          <w:rFonts w:asciiTheme="majorBidi" w:hAnsiTheme="majorBidi" w:cstheme="majorBidi"/>
        </w:rPr>
        <w:t xml:space="preserve"> </w:t>
      </w:r>
      <w:r w:rsidR="009D3302" w:rsidRPr="009D3302">
        <w:rPr>
          <w:rFonts w:asciiTheme="majorBidi" w:hAnsiTheme="majorBidi" w:cstheme="majorBidi"/>
        </w:rPr>
        <w:t xml:space="preserve">for both the overall model and the individual coefficient </w:t>
      </w:r>
      <w:r w:rsidR="009D3302">
        <w:rPr>
          <w:rFonts w:asciiTheme="majorBidi" w:hAnsiTheme="majorBidi" w:cstheme="majorBidi"/>
        </w:rPr>
        <w:t>shows</w:t>
      </w:r>
      <w:r w:rsidR="009D3302" w:rsidRPr="009D3302">
        <w:rPr>
          <w:rFonts w:asciiTheme="majorBidi" w:hAnsiTheme="majorBidi" w:cstheme="majorBidi"/>
        </w:rPr>
        <w:t xml:space="preserve"> that </w:t>
      </w:r>
      <w:r w:rsidR="009D3302">
        <w:rPr>
          <w:rFonts w:asciiTheme="majorBidi" w:hAnsiTheme="majorBidi" w:cstheme="majorBidi"/>
        </w:rPr>
        <w:t xml:space="preserve">non-traditional disclosure </w:t>
      </w:r>
      <w:r w:rsidR="009D3302" w:rsidRPr="009D3302">
        <w:rPr>
          <w:rFonts w:asciiTheme="majorBidi" w:hAnsiTheme="majorBidi" w:cstheme="majorBidi"/>
        </w:rPr>
        <w:t xml:space="preserve">is a strong predictor of both ROA and ROE in </w:t>
      </w:r>
      <w:r w:rsidR="009D3302">
        <w:rPr>
          <w:rFonts w:asciiTheme="majorBidi" w:hAnsiTheme="majorBidi" w:cstheme="majorBidi"/>
        </w:rPr>
        <w:t>the</w:t>
      </w:r>
      <w:r w:rsidR="009D3302" w:rsidRPr="009D3302">
        <w:rPr>
          <w:rFonts w:asciiTheme="majorBidi" w:hAnsiTheme="majorBidi" w:cstheme="majorBidi"/>
        </w:rPr>
        <w:t xml:space="preserve"> model</w:t>
      </w:r>
      <w:r w:rsidRPr="001A3DE2">
        <w:rPr>
          <w:rFonts w:asciiTheme="majorBidi" w:hAnsiTheme="majorBidi" w:cstheme="majorBidi"/>
        </w:rPr>
        <w:t xml:space="preserve">. </w:t>
      </w:r>
    </w:p>
    <w:p w14:paraId="4BA3CBE1" w14:textId="2F809F43" w:rsidR="002F7C97" w:rsidRDefault="002F7C97" w:rsidP="002F7C97">
      <w:pPr>
        <w:autoSpaceDE w:val="0"/>
        <w:autoSpaceDN w:val="0"/>
        <w:adjustRightInd w:val="0"/>
        <w:spacing w:line="360" w:lineRule="auto"/>
        <w:jc w:val="both"/>
        <w:rPr>
          <w:rFonts w:asciiTheme="majorBidi" w:hAnsiTheme="majorBidi" w:cstheme="majorBidi"/>
        </w:rPr>
      </w:pPr>
      <w:r>
        <w:rPr>
          <w:rFonts w:asciiTheme="majorBidi" w:hAnsiTheme="majorBidi" w:cstheme="majorBidi"/>
        </w:rPr>
        <w:t xml:space="preserve">          </w:t>
      </w:r>
      <w:r w:rsidRPr="002F7C97">
        <w:rPr>
          <w:rFonts w:asciiTheme="majorBidi" w:hAnsiTheme="majorBidi" w:cstheme="majorBidi"/>
        </w:rPr>
        <w:t xml:space="preserve">The coefficient of </w:t>
      </w:r>
      <w:r>
        <w:rPr>
          <w:rFonts w:asciiTheme="majorBidi" w:hAnsiTheme="majorBidi" w:cstheme="majorBidi"/>
        </w:rPr>
        <w:t xml:space="preserve">non-traditional disclosure </w:t>
      </w:r>
      <w:r w:rsidRPr="002F7C97">
        <w:rPr>
          <w:rFonts w:asciiTheme="majorBidi" w:hAnsiTheme="majorBidi" w:cstheme="majorBidi"/>
        </w:rPr>
        <w:t>is -</w:t>
      </w:r>
      <w:r>
        <w:rPr>
          <w:rFonts w:asciiTheme="majorBidi" w:hAnsiTheme="majorBidi" w:cstheme="majorBidi"/>
        </w:rPr>
        <w:t>0</w:t>
      </w:r>
      <w:r w:rsidRPr="002F7C97">
        <w:rPr>
          <w:rFonts w:asciiTheme="majorBidi" w:hAnsiTheme="majorBidi" w:cstheme="majorBidi"/>
        </w:rPr>
        <w:t>.01038</w:t>
      </w:r>
      <w:r w:rsidR="00BA592F">
        <w:rPr>
          <w:rFonts w:asciiTheme="majorBidi" w:hAnsiTheme="majorBidi" w:cstheme="majorBidi"/>
        </w:rPr>
        <w:t xml:space="preserve"> with </w:t>
      </w:r>
      <w:r w:rsidR="00DF2FEA">
        <w:rPr>
          <w:rFonts w:asciiTheme="majorBidi" w:hAnsiTheme="majorBidi" w:cstheme="majorBidi"/>
        </w:rPr>
        <w:t xml:space="preserve">a </w:t>
      </w:r>
      <w:r w:rsidR="00BA592F">
        <w:rPr>
          <w:rFonts w:asciiTheme="majorBidi" w:hAnsiTheme="majorBidi" w:cstheme="majorBidi"/>
        </w:rPr>
        <w:t>p-value of 0.0000</w:t>
      </w:r>
      <w:r w:rsidRPr="002F7C97">
        <w:rPr>
          <w:rFonts w:asciiTheme="majorBidi" w:hAnsiTheme="majorBidi" w:cstheme="majorBidi"/>
        </w:rPr>
        <w:t xml:space="preserve">, meaning a one-unit increase in </w:t>
      </w:r>
      <w:r>
        <w:rPr>
          <w:rFonts w:asciiTheme="majorBidi" w:hAnsiTheme="majorBidi" w:cstheme="majorBidi"/>
        </w:rPr>
        <w:t>non-traditional disclosure</w:t>
      </w:r>
      <w:r w:rsidRPr="002F7C97">
        <w:rPr>
          <w:rFonts w:asciiTheme="majorBidi" w:hAnsiTheme="majorBidi" w:cstheme="majorBidi"/>
        </w:rPr>
        <w:t xml:space="preserve"> is associated with a 1.</w:t>
      </w:r>
      <w:r>
        <w:rPr>
          <w:rFonts w:asciiTheme="majorBidi" w:hAnsiTheme="majorBidi" w:cstheme="majorBidi"/>
        </w:rPr>
        <w:t>038</w:t>
      </w:r>
      <w:r w:rsidRPr="002F7C97">
        <w:rPr>
          <w:rFonts w:asciiTheme="majorBidi" w:hAnsiTheme="majorBidi" w:cstheme="majorBidi"/>
        </w:rPr>
        <w:t xml:space="preserve"> </w:t>
      </w:r>
      <w:r w:rsidR="00BA592F" w:rsidRPr="002F7C97">
        <w:rPr>
          <w:rFonts w:asciiTheme="majorBidi" w:hAnsiTheme="majorBidi" w:cstheme="majorBidi"/>
        </w:rPr>
        <w:t>percentage</w:t>
      </w:r>
      <w:r w:rsidRPr="002F7C97">
        <w:rPr>
          <w:rFonts w:asciiTheme="majorBidi" w:hAnsiTheme="majorBidi" w:cstheme="majorBidi"/>
        </w:rPr>
        <w:t xml:space="preserve"> decrease in RO</w:t>
      </w:r>
      <w:r w:rsidR="00DF2FEA">
        <w:rPr>
          <w:rFonts w:asciiTheme="majorBidi" w:hAnsiTheme="majorBidi" w:cstheme="majorBidi"/>
        </w:rPr>
        <w:t>A</w:t>
      </w:r>
      <w:r w:rsidRPr="002F7C97">
        <w:rPr>
          <w:rFonts w:asciiTheme="majorBidi" w:hAnsiTheme="majorBidi" w:cstheme="majorBidi"/>
        </w:rPr>
        <w:t>, all else equal.</w:t>
      </w:r>
      <w:r w:rsidR="00BA592F">
        <w:rPr>
          <w:rFonts w:asciiTheme="majorBidi" w:hAnsiTheme="majorBidi" w:cstheme="majorBidi"/>
        </w:rPr>
        <w:t xml:space="preserve"> While </w:t>
      </w:r>
      <w:r w:rsidR="00DF2FEA">
        <w:rPr>
          <w:rFonts w:asciiTheme="majorBidi" w:hAnsiTheme="majorBidi" w:cstheme="majorBidi"/>
        </w:rPr>
        <w:t xml:space="preserve">the coefficient of non-traditional </w:t>
      </w:r>
      <w:r w:rsidR="00A95FA3">
        <w:rPr>
          <w:rFonts w:asciiTheme="majorBidi" w:hAnsiTheme="majorBidi" w:cstheme="majorBidi"/>
        </w:rPr>
        <w:t>disclosures</w:t>
      </w:r>
      <w:r w:rsidR="00DF2FEA">
        <w:rPr>
          <w:rFonts w:asciiTheme="majorBidi" w:hAnsiTheme="majorBidi" w:cstheme="majorBidi"/>
        </w:rPr>
        <w:t xml:space="preserve"> in the second model is </w:t>
      </w:r>
      <w:r w:rsidR="00DF2FEA" w:rsidRPr="00DF2FEA">
        <w:rPr>
          <w:rFonts w:asciiTheme="majorBidi" w:hAnsiTheme="majorBidi" w:cstheme="majorBidi"/>
        </w:rPr>
        <w:t>-</w:t>
      </w:r>
      <w:r w:rsidR="00DF2FEA">
        <w:rPr>
          <w:rFonts w:asciiTheme="majorBidi" w:hAnsiTheme="majorBidi" w:cstheme="majorBidi"/>
        </w:rPr>
        <w:t>0</w:t>
      </w:r>
      <w:r w:rsidR="00DF2FEA" w:rsidRPr="00DF2FEA">
        <w:rPr>
          <w:rFonts w:asciiTheme="majorBidi" w:hAnsiTheme="majorBidi" w:cstheme="majorBidi"/>
        </w:rPr>
        <w:t>.1109</w:t>
      </w:r>
      <w:r w:rsidR="00DF2FEA">
        <w:rPr>
          <w:rFonts w:asciiTheme="majorBidi" w:hAnsiTheme="majorBidi" w:cstheme="majorBidi"/>
        </w:rPr>
        <w:t xml:space="preserve"> with a p-value of 0.0000, this implies that </w:t>
      </w:r>
      <w:r w:rsidR="00DF2FEA" w:rsidRPr="002F7C97">
        <w:rPr>
          <w:rFonts w:asciiTheme="majorBidi" w:hAnsiTheme="majorBidi" w:cstheme="majorBidi"/>
        </w:rPr>
        <w:t xml:space="preserve">a one-unit increase in </w:t>
      </w:r>
      <w:r w:rsidR="00DF2FEA">
        <w:rPr>
          <w:rFonts w:asciiTheme="majorBidi" w:hAnsiTheme="majorBidi" w:cstheme="majorBidi"/>
        </w:rPr>
        <w:t>non-traditional disclosure</w:t>
      </w:r>
      <w:r w:rsidR="00DF2FEA" w:rsidRPr="002F7C97">
        <w:rPr>
          <w:rFonts w:asciiTheme="majorBidi" w:hAnsiTheme="majorBidi" w:cstheme="majorBidi"/>
        </w:rPr>
        <w:t xml:space="preserve"> is associated with a 1.</w:t>
      </w:r>
      <w:r w:rsidR="00DF2FEA">
        <w:rPr>
          <w:rFonts w:asciiTheme="majorBidi" w:hAnsiTheme="majorBidi" w:cstheme="majorBidi"/>
        </w:rPr>
        <w:t>038</w:t>
      </w:r>
      <w:r w:rsidR="00DF2FEA" w:rsidRPr="002F7C97">
        <w:rPr>
          <w:rFonts w:asciiTheme="majorBidi" w:hAnsiTheme="majorBidi" w:cstheme="majorBidi"/>
        </w:rPr>
        <w:t xml:space="preserve"> percentage decrease in RO</w:t>
      </w:r>
      <w:r w:rsidR="00DF2FEA">
        <w:rPr>
          <w:rFonts w:asciiTheme="majorBidi" w:hAnsiTheme="majorBidi" w:cstheme="majorBidi"/>
        </w:rPr>
        <w:t xml:space="preserve">E. </w:t>
      </w:r>
    </w:p>
    <w:p w14:paraId="56E07A1E" w14:textId="77777777" w:rsidR="003E3C85" w:rsidRDefault="003E3C85" w:rsidP="002F7C97">
      <w:pPr>
        <w:autoSpaceDE w:val="0"/>
        <w:autoSpaceDN w:val="0"/>
        <w:adjustRightInd w:val="0"/>
        <w:spacing w:line="360" w:lineRule="auto"/>
        <w:jc w:val="both"/>
        <w:rPr>
          <w:rFonts w:asciiTheme="majorBidi" w:hAnsiTheme="majorBidi" w:cstheme="majorBidi"/>
        </w:rPr>
      </w:pPr>
    </w:p>
    <w:p w14:paraId="7AFD1923" w14:textId="77777777" w:rsidR="003E3C85" w:rsidRDefault="003E3C85" w:rsidP="002F7C97">
      <w:pPr>
        <w:autoSpaceDE w:val="0"/>
        <w:autoSpaceDN w:val="0"/>
        <w:adjustRightInd w:val="0"/>
        <w:spacing w:line="360" w:lineRule="auto"/>
        <w:jc w:val="both"/>
        <w:rPr>
          <w:rFonts w:asciiTheme="majorBidi" w:hAnsiTheme="majorBidi" w:cstheme="majorBidi"/>
        </w:rPr>
      </w:pPr>
    </w:p>
    <w:p w14:paraId="39602E0D" w14:textId="77777777" w:rsidR="003E3C85" w:rsidRDefault="003E3C85" w:rsidP="002F7C97">
      <w:pPr>
        <w:autoSpaceDE w:val="0"/>
        <w:autoSpaceDN w:val="0"/>
        <w:adjustRightInd w:val="0"/>
        <w:spacing w:line="360" w:lineRule="auto"/>
        <w:jc w:val="both"/>
        <w:rPr>
          <w:rFonts w:asciiTheme="majorBidi" w:hAnsiTheme="majorBidi" w:cstheme="majorBidi"/>
        </w:rPr>
      </w:pPr>
    </w:p>
    <w:p w14:paraId="7F1CE452" w14:textId="77777777" w:rsidR="003E3C85" w:rsidRPr="001A3DE2" w:rsidRDefault="003E3C85" w:rsidP="002F7C97">
      <w:pPr>
        <w:autoSpaceDE w:val="0"/>
        <w:autoSpaceDN w:val="0"/>
        <w:adjustRightInd w:val="0"/>
        <w:spacing w:line="360" w:lineRule="auto"/>
        <w:jc w:val="both"/>
        <w:rPr>
          <w:rFonts w:asciiTheme="majorBidi" w:hAnsiTheme="majorBidi" w:cstheme="majorBidi"/>
        </w:rPr>
      </w:pPr>
    </w:p>
    <w:tbl>
      <w:tblPr>
        <w:tblW w:w="5000" w:type="pct"/>
        <w:tblLayout w:type="fixed"/>
        <w:tblLook w:val="04A0" w:firstRow="1" w:lastRow="0" w:firstColumn="1" w:lastColumn="0" w:noHBand="0" w:noVBand="1"/>
      </w:tblPr>
      <w:tblGrid>
        <w:gridCol w:w="5414"/>
        <w:gridCol w:w="1816"/>
        <w:gridCol w:w="2130"/>
      </w:tblGrid>
      <w:tr w:rsidR="00A95FA3" w:rsidRPr="00AE34CD" w14:paraId="05716DD6" w14:textId="77777777" w:rsidTr="00A95FA3">
        <w:trPr>
          <w:trHeight w:val="312"/>
        </w:trPr>
        <w:tc>
          <w:tcPr>
            <w:tcW w:w="3862" w:type="pct"/>
            <w:gridSpan w:val="2"/>
            <w:tcBorders>
              <w:top w:val="nil"/>
              <w:left w:val="nil"/>
              <w:bottom w:val="nil"/>
              <w:right w:val="nil"/>
            </w:tcBorders>
            <w:shd w:val="clear" w:color="auto" w:fill="auto"/>
            <w:noWrap/>
            <w:vAlign w:val="bottom"/>
            <w:hideMark/>
          </w:tcPr>
          <w:p w14:paraId="5FA34B9F" w14:textId="434ECD2D" w:rsidR="00A95FA3" w:rsidRPr="007577C8" w:rsidRDefault="00A95FA3" w:rsidP="001D407C">
            <w:pPr>
              <w:spacing w:after="0" w:line="240" w:lineRule="auto"/>
              <w:rPr>
                <w:rFonts w:ascii="Times New Roman" w:eastAsia="Times New Roman" w:hAnsi="Times New Roman" w:cs="Times New Roman"/>
                <w:b/>
                <w:bCs/>
                <w:color w:val="000000"/>
              </w:rPr>
            </w:pPr>
            <w:r w:rsidRPr="007577C8">
              <w:rPr>
                <w:rFonts w:ascii="Times New Roman" w:eastAsia="Times New Roman" w:hAnsi="Times New Roman" w:cs="Times New Roman"/>
                <w:b/>
                <w:bCs/>
                <w:color w:val="000000"/>
              </w:rPr>
              <w:t xml:space="preserve">Table </w:t>
            </w:r>
            <w:r w:rsidR="00B112B6">
              <w:rPr>
                <w:rFonts w:ascii="Times New Roman" w:eastAsia="Times New Roman" w:hAnsi="Times New Roman" w:cs="Times New Roman"/>
                <w:b/>
                <w:bCs/>
                <w:color w:val="000000"/>
              </w:rPr>
              <w:t>6</w:t>
            </w:r>
            <w:r w:rsidRPr="007577C8">
              <w:rPr>
                <w:rFonts w:ascii="Times New Roman" w:eastAsia="Times New Roman" w:hAnsi="Times New Roman" w:cs="Times New Roman"/>
                <w:b/>
                <w:bCs/>
                <w:color w:val="000000"/>
              </w:rPr>
              <w:t>: Variance-weighted Least-squares Regression</w:t>
            </w:r>
            <w:r w:rsidR="00D955DD">
              <w:rPr>
                <w:rFonts w:ascii="Times New Roman" w:eastAsia="Times New Roman" w:hAnsi="Times New Roman" w:cs="Times New Roman"/>
                <w:b/>
                <w:bCs/>
                <w:color w:val="000000"/>
              </w:rPr>
              <w:t xml:space="preserve"> Analysis</w:t>
            </w:r>
          </w:p>
        </w:tc>
        <w:tc>
          <w:tcPr>
            <w:tcW w:w="1138" w:type="pct"/>
            <w:tcBorders>
              <w:top w:val="nil"/>
              <w:left w:val="nil"/>
              <w:bottom w:val="nil"/>
              <w:right w:val="nil"/>
            </w:tcBorders>
            <w:shd w:val="clear" w:color="auto" w:fill="auto"/>
            <w:noWrap/>
            <w:vAlign w:val="bottom"/>
            <w:hideMark/>
          </w:tcPr>
          <w:p w14:paraId="1698F811" w14:textId="77777777" w:rsidR="00A95FA3" w:rsidRPr="00AE34CD" w:rsidRDefault="00A95FA3" w:rsidP="001D407C">
            <w:pPr>
              <w:spacing w:after="0" w:line="240" w:lineRule="auto"/>
              <w:rPr>
                <w:rFonts w:ascii="Times New Roman" w:eastAsia="Times New Roman" w:hAnsi="Times New Roman" w:cs="Times New Roman"/>
                <w:color w:val="000000"/>
              </w:rPr>
            </w:pPr>
          </w:p>
        </w:tc>
      </w:tr>
      <w:tr w:rsidR="00A95FA3" w:rsidRPr="00AE34CD" w14:paraId="467CF435" w14:textId="77777777" w:rsidTr="00A95FA3">
        <w:trPr>
          <w:trHeight w:val="312"/>
        </w:trPr>
        <w:tc>
          <w:tcPr>
            <w:tcW w:w="2892" w:type="pct"/>
            <w:tcBorders>
              <w:top w:val="single" w:sz="4" w:space="0" w:color="auto"/>
              <w:left w:val="nil"/>
              <w:bottom w:val="single" w:sz="4" w:space="0" w:color="auto"/>
              <w:right w:val="nil"/>
            </w:tcBorders>
            <w:shd w:val="clear" w:color="auto" w:fill="auto"/>
            <w:noWrap/>
            <w:vAlign w:val="bottom"/>
            <w:hideMark/>
          </w:tcPr>
          <w:p w14:paraId="6B8F4D0F" w14:textId="77777777"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Variable</w:t>
            </w:r>
          </w:p>
        </w:tc>
        <w:tc>
          <w:tcPr>
            <w:tcW w:w="970" w:type="pct"/>
            <w:tcBorders>
              <w:top w:val="single" w:sz="4" w:space="0" w:color="auto"/>
              <w:left w:val="nil"/>
              <w:bottom w:val="single" w:sz="4" w:space="0" w:color="auto"/>
              <w:right w:val="nil"/>
            </w:tcBorders>
            <w:shd w:val="clear" w:color="auto" w:fill="auto"/>
            <w:noWrap/>
            <w:vAlign w:val="bottom"/>
            <w:hideMark/>
          </w:tcPr>
          <w:p w14:paraId="738C19A1"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 Coef.</w:t>
            </w:r>
          </w:p>
        </w:tc>
        <w:tc>
          <w:tcPr>
            <w:tcW w:w="1138" w:type="pct"/>
            <w:tcBorders>
              <w:top w:val="single" w:sz="4" w:space="0" w:color="auto"/>
              <w:left w:val="nil"/>
              <w:bottom w:val="single" w:sz="4" w:space="0" w:color="auto"/>
              <w:right w:val="nil"/>
            </w:tcBorders>
            <w:shd w:val="clear" w:color="auto" w:fill="auto"/>
            <w:noWrap/>
            <w:vAlign w:val="bottom"/>
            <w:hideMark/>
          </w:tcPr>
          <w:p w14:paraId="60C025F4"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P&gt;z    </w:t>
            </w:r>
          </w:p>
        </w:tc>
      </w:tr>
      <w:tr w:rsidR="00A95FA3" w:rsidRPr="00AE34CD" w14:paraId="28C79AE3" w14:textId="77777777" w:rsidTr="00A95FA3">
        <w:trPr>
          <w:trHeight w:val="312"/>
        </w:trPr>
        <w:tc>
          <w:tcPr>
            <w:tcW w:w="2892" w:type="pct"/>
            <w:tcBorders>
              <w:top w:val="nil"/>
              <w:left w:val="nil"/>
              <w:bottom w:val="nil"/>
              <w:right w:val="nil"/>
            </w:tcBorders>
            <w:shd w:val="clear" w:color="auto" w:fill="auto"/>
            <w:noWrap/>
            <w:vAlign w:val="bottom"/>
            <w:hideMark/>
          </w:tcPr>
          <w:p w14:paraId="42B164AE" w14:textId="0D62C73C"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Non-traditional Disclosure </w:t>
            </w:r>
          </w:p>
        </w:tc>
        <w:tc>
          <w:tcPr>
            <w:tcW w:w="970" w:type="pct"/>
            <w:tcBorders>
              <w:top w:val="nil"/>
              <w:left w:val="nil"/>
              <w:bottom w:val="nil"/>
              <w:right w:val="nil"/>
            </w:tcBorders>
            <w:shd w:val="clear" w:color="auto" w:fill="auto"/>
            <w:noWrap/>
            <w:vAlign w:val="bottom"/>
            <w:hideMark/>
          </w:tcPr>
          <w:p w14:paraId="2A702F5E" w14:textId="493AA234" w:rsidR="00A95FA3" w:rsidRPr="00AE34CD" w:rsidRDefault="00A95FA3" w:rsidP="001D407C">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.010</w:t>
            </w:r>
            <w:r>
              <w:rPr>
                <w:rFonts w:ascii="Times New Roman" w:eastAsia="Times New Roman" w:hAnsi="Times New Roman" w:cs="Times New Roman"/>
                <w:color w:val="000000"/>
              </w:rPr>
              <w:t>4</w:t>
            </w:r>
            <w:r w:rsidRPr="00A95FA3">
              <w:rPr>
                <w:rFonts w:ascii="Times New Roman" w:eastAsia="Times New Roman" w:hAnsi="Times New Roman" w:cs="Times New Roman"/>
                <w:color w:val="000000"/>
              </w:rPr>
              <w:t xml:space="preserve">   </w:t>
            </w:r>
          </w:p>
        </w:tc>
        <w:tc>
          <w:tcPr>
            <w:tcW w:w="1138" w:type="pct"/>
            <w:tcBorders>
              <w:top w:val="nil"/>
              <w:left w:val="nil"/>
              <w:bottom w:val="nil"/>
              <w:right w:val="nil"/>
            </w:tcBorders>
            <w:shd w:val="clear" w:color="auto" w:fill="auto"/>
            <w:noWrap/>
            <w:hideMark/>
          </w:tcPr>
          <w:p w14:paraId="2CD5FFEB"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3643CE10" w14:textId="77777777" w:rsidTr="00A95FA3">
        <w:trPr>
          <w:trHeight w:val="312"/>
        </w:trPr>
        <w:tc>
          <w:tcPr>
            <w:tcW w:w="2892" w:type="pct"/>
            <w:tcBorders>
              <w:top w:val="nil"/>
              <w:left w:val="nil"/>
              <w:bottom w:val="nil"/>
              <w:right w:val="nil"/>
            </w:tcBorders>
            <w:shd w:val="clear" w:color="auto" w:fill="auto"/>
            <w:noWrap/>
            <w:vAlign w:val="bottom"/>
            <w:hideMark/>
          </w:tcPr>
          <w:p w14:paraId="0C8DB901" w14:textId="7F948A5A" w:rsidR="00A95FA3" w:rsidRPr="00AE34CD" w:rsidRDefault="00A95FA3" w:rsidP="001D407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constant </w:t>
            </w:r>
          </w:p>
        </w:tc>
        <w:tc>
          <w:tcPr>
            <w:tcW w:w="970" w:type="pct"/>
            <w:tcBorders>
              <w:top w:val="nil"/>
              <w:left w:val="nil"/>
              <w:bottom w:val="nil"/>
              <w:right w:val="nil"/>
            </w:tcBorders>
            <w:shd w:val="clear" w:color="auto" w:fill="auto"/>
            <w:noWrap/>
            <w:vAlign w:val="bottom"/>
            <w:hideMark/>
          </w:tcPr>
          <w:p w14:paraId="33FF1A3B" w14:textId="08B5B3E9" w:rsidR="00A95FA3" w:rsidRPr="00AE34CD" w:rsidRDefault="00A95FA3" w:rsidP="001D407C">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.0065</w:t>
            </w:r>
          </w:p>
        </w:tc>
        <w:tc>
          <w:tcPr>
            <w:tcW w:w="1138" w:type="pct"/>
            <w:tcBorders>
              <w:top w:val="nil"/>
              <w:left w:val="nil"/>
              <w:bottom w:val="nil"/>
              <w:right w:val="nil"/>
            </w:tcBorders>
            <w:shd w:val="clear" w:color="auto" w:fill="auto"/>
            <w:noWrap/>
            <w:hideMark/>
          </w:tcPr>
          <w:p w14:paraId="5C9E0C1E" w14:textId="77777777" w:rsidR="00A95FA3" w:rsidRPr="00AE34CD" w:rsidRDefault="00A95FA3" w:rsidP="001D407C">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0598D770" w14:textId="77777777" w:rsidTr="00A95FA3">
        <w:trPr>
          <w:trHeight w:val="312"/>
        </w:trPr>
        <w:tc>
          <w:tcPr>
            <w:tcW w:w="2892" w:type="pct"/>
            <w:tcBorders>
              <w:top w:val="nil"/>
              <w:left w:val="nil"/>
              <w:bottom w:val="nil"/>
              <w:right w:val="nil"/>
            </w:tcBorders>
            <w:shd w:val="clear" w:color="auto" w:fill="auto"/>
            <w:noWrap/>
            <w:vAlign w:val="bottom"/>
          </w:tcPr>
          <w:p w14:paraId="7373E852" w14:textId="7E148495"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Model chi2(7)</w:t>
            </w:r>
          </w:p>
        </w:tc>
        <w:tc>
          <w:tcPr>
            <w:tcW w:w="970" w:type="pct"/>
            <w:tcBorders>
              <w:top w:val="nil"/>
              <w:left w:val="nil"/>
              <w:bottom w:val="nil"/>
              <w:right w:val="nil"/>
            </w:tcBorders>
            <w:shd w:val="clear" w:color="auto" w:fill="auto"/>
            <w:noWrap/>
            <w:vAlign w:val="bottom"/>
          </w:tcPr>
          <w:p w14:paraId="40A48015" w14:textId="3D30A0E4"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26.09</w:t>
            </w:r>
          </w:p>
        </w:tc>
        <w:tc>
          <w:tcPr>
            <w:tcW w:w="1138" w:type="pct"/>
            <w:tcBorders>
              <w:top w:val="nil"/>
              <w:left w:val="nil"/>
              <w:bottom w:val="nil"/>
              <w:right w:val="nil"/>
            </w:tcBorders>
            <w:shd w:val="clear" w:color="auto" w:fill="auto"/>
            <w:noWrap/>
          </w:tcPr>
          <w:p w14:paraId="01D28DDC"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23CCA345" w14:textId="77777777" w:rsidTr="00A95FA3">
        <w:trPr>
          <w:trHeight w:val="312"/>
        </w:trPr>
        <w:tc>
          <w:tcPr>
            <w:tcW w:w="2892" w:type="pct"/>
            <w:tcBorders>
              <w:top w:val="nil"/>
              <w:left w:val="nil"/>
              <w:bottom w:val="nil"/>
              <w:right w:val="nil"/>
            </w:tcBorders>
            <w:shd w:val="clear" w:color="auto" w:fill="auto"/>
            <w:noWrap/>
            <w:vAlign w:val="bottom"/>
          </w:tcPr>
          <w:p w14:paraId="63FF62D4" w14:textId="5715FE1B"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tcPr>
          <w:p w14:paraId="577F46F1" w14:textId="01C24607" w:rsidR="00A95FA3" w:rsidRPr="00A95FA3"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tcPr>
          <w:p w14:paraId="48D162EB"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4D702835" w14:textId="77777777" w:rsidTr="00A95FA3">
        <w:trPr>
          <w:trHeight w:val="312"/>
        </w:trPr>
        <w:tc>
          <w:tcPr>
            <w:tcW w:w="2892" w:type="pct"/>
            <w:tcBorders>
              <w:top w:val="nil"/>
              <w:left w:val="nil"/>
              <w:bottom w:val="nil"/>
              <w:right w:val="nil"/>
            </w:tcBorders>
            <w:shd w:val="clear" w:color="auto" w:fill="auto"/>
            <w:noWrap/>
            <w:vAlign w:val="bottom"/>
          </w:tcPr>
          <w:p w14:paraId="3F273376" w14:textId="15052375"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Goodness-of-fit chi2(22)   </w:t>
            </w:r>
          </w:p>
        </w:tc>
        <w:tc>
          <w:tcPr>
            <w:tcW w:w="970" w:type="pct"/>
            <w:tcBorders>
              <w:top w:val="nil"/>
              <w:left w:val="nil"/>
              <w:bottom w:val="nil"/>
              <w:right w:val="nil"/>
            </w:tcBorders>
            <w:shd w:val="clear" w:color="auto" w:fill="auto"/>
            <w:noWrap/>
            <w:vAlign w:val="bottom"/>
          </w:tcPr>
          <w:p w14:paraId="5DEE145A" w14:textId="413BD74A"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107.58</w:t>
            </w:r>
          </w:p>
        </w:tc>
        <w:tc>
          <w:tcPr>
            <w:tcW w:w="1138" w:type="pct"/>
            <w:tcBorders>
              <w:top w:val="nil"/>
              <w:left w:val="nil"/>
              <w:bottom w:val="nil"/>
              <w:right w:val="nil"/>
            </w:tcBorders>
            <w:shd w:val="clear" w:color="auto" w:fill="auto"/>
            <w:noWrap/>
          </w:tcPr>
          <w:p w14:paraId="118F9C69"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216D756B" w14:textId="77777777" w:rsidTr="00A95FA3">
        <w:trPr>
          <w:trHeight w:val="312"/>
        </w:trPr>
        <w:tc>
          <w:tcPr>
            <w:tcW w:w="2892" w:type="pct"/>
            <w:tcBorders>
              <w:top w:val="nil"/>
              <w:left w:val="nil"/>
              <w:bottom w:val="nil"/>
              <w:right w:val="nil"/>
            </w:tcBorders>
            <w:shd w:val="clear" w:color="auto" w:fill="auto"/>
            <w:noWrap/>
            <w:vAlign w:val="bottom"/>
          </w:tcPr>
          <w:p w14:paraId="6EF3C299" w14:textId="27C45568" w:rsidR="00A95FA3"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tcPr>
          <w:p w14:paraId="187D671D" w14:textId="0C5EC30E" w:rsidR="00A95FA3" w:rsidRPr="00A95FA3" w:rsidRDefault="00CA7BF5"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tcPr>
          <w:p w14:paraId="1DE97D02"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19CF42B9" w14:textId="77777777" w:rsidTr="00A95FA3">
        <w:trPr>
          <w:trHeight w:val="312"/>
        </w:trPr>
        <w:tc>
          <w:tcPr>
            <w:tcW w:w="2892" w:type="pct"/>
            <w:tcBorders>
              <w:top w:val="nil"/>
              <w:left w:val="nil"/>
              <w:bottom w:val="nil"/>
              <w:right w:val="nil"/>
            </w:tcBorders>
            <w:shd w:val="clear" w:color="auto" w:fill="auto"/>
            <w:noWrap/>
            <w:vAlign w:val="bottom"/>
            <w:hideMark/>
          </w:tcPr>
          <w:p w14:paraId="62451C9E" w14:textId="405BE532" w:rsidR="00A95FA3" w:rsidRPr="00AE34CD" w:rsidRDefault="00A95FA3" w:rsidP="00A95FA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Non-traditional Disclosure </w:t>
            </w:r>
          </w:p>
        </w:tc>
        <w:tc>
          <w:tcPr>
            <w:tcW w:w="970" w:type="pct"/>
            <w:tcBorders>
              <w:top w:val="nil"/>
              <w:left w:val="nil"/>
              <w:bottom w:val="nil"/>
              <w:right w:val="nil"/>
            </w:tcBorders>
            <w:shd w:val="clear" w:color="auto" w:fill="auto"/>
            <w:noWrap/>
            <w:vAlign w:val="bottom"/>
            <w:hideMark/>
          </w:tcPr>
          <w:p w14:paraId="1067CD51" w14:textId="341461E1" w:rsidR="00A95FA3" w:rsidRPr="00AE34CD" w:rsidRDefault="00A95FA3" w:rsidP="00A95FA3">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.1109</w:t>
            </w:r>
          </w:p>
        </w:tc>
        <w:tc>
          <w:tcPr>
            <w:tcW w:w="1138" w:type="pct"/>
            <w:tcBorders>
              <w:top w:val="nil"/>
              <w:left w:val="nil"/>
              <w:bottom w:val="nil"/>
              <w:right w:val="nil"/>
            </w:tcBorders>
            <w:shd w:val="clear" w:color="auto" w:fill="auto"/>
            <w:noWrap/>
            <w:hideMark/>
          </w:tcPr>
          <w:p w14:paraId="793C4FD3" w14:textId="2FE97B34"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15C79F3C" w14:textId="77777777" w:rsidTr="00A95FA3">
        <w:trPr>
          <w:trHeight w:val="312"/>
        </w:trPr>
        <w:tc>
          <w:tcPr>
            <w:tcW w:w="2892" w:type="pct"/>
            <w:tcBorders>
              <w:top w:val="nil"/>
              <w:left w:val="nil"/>
              <w:bottom w:val="nil"/>
              <w:right w:val="nil"/>
            </w:tcBorders>
            <w:shd w:val="clear" w:color="auto" w:fill="auto"/>
            <w:noWrap/>
            <w:vAlign w:val="bottom"/>
            <w:hideMark/>
          </w:tcPr>
          <w:p w14:paraId="3F3F6A6E" w14:textId="449258B0"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co</w:t>
            </w:r>
            <w:r>
              <w:rPr>
                <w:rFonts w:ascii="Times New Roman" w:eastAsia="Times New Roman" w:hAnsi="Times New Roman" w:cs="Times New Roman"/>
                <w:color w:val="000000"/>
              </w:rPr>
              <w:t>nstant</w:t>
            </w:r>
            <w:r w:rsidRPr="00AE34CD">
              <w:rPr>
                <w:rFonts w:ascii="Times New Roman" w:eastAsia="Times New Roman" w:hAnsi="Times New Roman" w:cs="Times New Roman"/>
                <w:color w:val="000000"/>
              </w:rPr>
              <w:t xml:space="preserve">    </w:t>
            </w:r>
          </w:p>
        </w:tc>
        <w:tc>
          <w:tcPr>
            <w:tcW w:w="970" w:type="pct"/>
            <w:tcBorders>
              <w:top w:val="nil"/>
              <w:left w:val="nil"/>
              <w:bottom w:val="nil"/>
              <w:right w:val="nil"/>
            </w:tcBorders>
            <w:shd w:val="clear" w:color="auto" w:fill="auto"/>
            <w:noWrap/>
            <w:vAlign w:val="bottom"/>
            <w:hideMark/>
          </w:tcPr>
          <w:p w14:paraId="7EE2D2C7" w14:textId="033361E2" w:rsidR="00A95FA3" w:rsidRPr="00AE34CD" w:rsidRDefault="00A95FA3" w:rsidP="00A95FA3">
            <w:pPr>
              <w:spacing w:after="0" w:line="240" w:lineRule="auto"/>
              <w:jc w:val="right"/>
              <w:rPr>
                <w:rFonts w:ascii="Times New Roman" w:eastAsia="Times New Roman" w:hAnsi="Times New Roman" w:cs="Times New Roman"/>
                <w:color w:val="000000"/>
              </w:rPr>
            </w:pPr>
            <w:r w:rsidRPr="00A95FA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0</w:t>
            </w:r>
            <w:r w:rsidRPr="00A95FA3">
              <w:rPr>
                <w:rFonts w:ascii="Times New Roman" w:eastAsia="Times New Roman" w:hAnsi="Times New Roman" w:cs="Times New Roman"/>
                <w:color w:val="000000"/>
              </w:rPr>
              <w:t xml:space="preserve">.0311 </w:t>
            </w:r>
          </w:p>
        </w:tc>
        <w:tc>
          <w:tcPr>
            <w:tcW w:w="1138" w:type="pct"/>
            <w:tcBorders>
              <w:top w:val="nil"/>
              <w:left w:val="nil"/>
              <w:bottom w:val="nil"/>
              <w:right w:val="nil"/>
            </w:tcBorders>
            <w:shd w:val="clear" w:color="auto" w:fill="auto"/>
            <w:noWrap/>
            <w:hideMark/>
          </w:tcPr>
          <w:p w14:paraId="5EBD0DCF"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w:t>
            </w:r>
            <w:r w:rsidRPr="00DA7593">
              <w:rPr>
                <w:rFonts w:ascii="Times New Roman" w:eastAsia="Times New Roman" w:hAnsi="Times New Roman" w:cs="Times New Roman"/>
                <w:color w:val="000000"/>
              </w:rPr>
              <w:t>.0000</w:t>
            </w:r>
          </w:p>
        </w:tc>
      </w:tr>
      <w:tr w:rsidR="00A95FA3" w:rsidRPr="00AE34CD" w14:paraId="38B6B1D9" w14:textId="77777777" w:rsidTr="00A95FA3">
        <w:trPr>
          <w:trHeight w:val="312"/>
        </w:trPr>
        <w:tc>
          <w:tcPr>
            <w:tcW w:w="2892" w:type="pct"/>
            <w:tcBorders>
              <w:top w:val="nil"/>
              <w:left w:val="nil"/>
              <w:bottom w:val="nil"/>
              <w:right w:val="nil"/>
            </w:tcBorders>
            <w:shd w:val="clear" w:color="auto" w:fill="auto"/>
            <w:noWrap/>
            <w:vAlign w:val="bottom"/>
            <w:hideMark/>
          </w:tcPr>
          <w:p w14:paraId="00A2F3A2"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Model chi2(7)</w:t>
            </w:r>
          </w:p>
        </w:tc>
        <w:tc>
          <w:tcPr>
            <w:tcW w:w="970" w:type="pct"/>
            <w:tcBorders>
              <w:top w:val="nil"/>
              <w:left w:val="nil"/>
              <w:bottom w:val="nil"/>
              <w:right w:val="nil"/>
            </w:tcBorders>
            <w:shd w:val="clear" w:color="auto" w:fill="auto"/>
            <w:noWrap/>
            <w:vAlign w:val="bottom"/>
            <w:hideMark/>
          </w:tcPr>
          <w:p w14:paraId="066931E5" w14:textId="5D591E3D" w:rsidR="00A95FA3" w:rsidRPr="00AE34CD" w:rsidRDefault="00A95FA3"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2319.15</w:t>
            </w:r>
          </w:p>
        </w:tc>
        <w:tc>
          <w:tcPr>
            <w:tcW w:w="1138" w:type="pct"/>
            <w:tcBorders>
              <w:top w:val="nil"/>
              <w:left w:val="nil"/>
              <w:bottom w:val="nil"/>
              <w:right w:val="nil"/>
            </w:tcBorders>
            <w:shd w:val="clear" w:color="auto" w:fill="auto"/>
            <w:noWrap/>
            <w:vAlign w:val="bottom"/>
            <w:hideMark/>
          </w:tcPr>
          <w:p w14:paraId="0CABDFD5"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73ED7ECB" w14:textId="77777777" w:rsidTr="00A95FA3">
        <w:trPr>
          <w:trHeight w:val="312"/>
        </w:trPr>
        <w:tc>
          <w:tcPr>
            <w:tcW w:w="2892" w:type="pct"/>
            <w:tcBorders>
              <w:top w:val="nil"/>
              <w:left w:val="nil"/>
              <w:bottom w:val="nil"/>
              <w:right w:val="nil"/>
            </w:tcBorders>
            <w:shd w:val="clear" w:color="auto" w:fill="auto"/>
            <w:noWrap/>
            <w:vAlign w:val="bottom"/>
            <w:hideMark/>
          </w:tcPr>
          <w:p w14:paraId="53D1A6A2"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Prob &gt; chi2</w:t>
            </w:r>
          </w:p>
        </w:tc>
        <w:tc>
          <w:tcPr>
            <w:tcW w:w="970" w:type="pct"/>
            <w:tcBorders>
              <w:top w:val="nil"/>
              <w:left w:val="nil"/>
              <w:bottom w:val="nil"/>
              <w:right w:val="nil"/>
            </w:tcBorders>
            <w:shd w:val="clear" w:color="auto" w:fill="auto"/>
            <w:noWrap/>
            <w:vAlign w:val="bottom"/>
            <w:hideMark/>
          </w:tcPr>
          <w:p w14:paraId="2CF267E0"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bottom w:val="nil"/>
              <w:right w:val="nil"/>
            </w:tcBorders>
            <w:shd w:val="clear" w:color="auto" w:fill="auto"/>
            <w:noWrap/>
            <w:vAlign w:val="bottom"/>
            <w:hideMark/>
          </w:tcPr>
          <w:p w14:paraId="6A87B9BD"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454DA33D" w14:textId="77777777" w:rsidTr="00A95FA3">
        <w:trPr>
          <w:trHeight w:val="312"/>
        </w:trPr>
        <w:tc>
          <w:tcPr>
            <w:tcW w:w="2892" w:type="pct"/>
            <w:tcBorders>
              <w:top w:val="nil"/>
              <w:left w:val="nil"/>
              <w:bottom w:val="nil"/>
              <w:right w:val="nil"/>
            </w:tcBorders>
            <w:shd w:val="clear" w:color="auto" w:fill="auto"/>
            <w:noWrap/>
            <w:vAlign w:val="bottom"/>
            <w:hideMark/>
          </w:tcPr>
          <w:p w14:paraId="79262A9A"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Goodness-of-fit chi2(22)   </w:t>
            </w:r>
          </w:p>
        </w:tc>
        <w:tc>
          <w:tcPr>
            <w:tcW w:w="970" w:type="pct"/>
            <w:tcBorders>
              <w:top w:val="nil"/>
              <w:left w:val="nil"/>
              <w:bottom w:val="nil"/>
              <w:right w:val="nil"/>
            </w:tcBorders>
            <w:shd w:val="clear" w:color="auto" w:fill="auto"/>
            <w:noWrap/>
            <w:vAlign w:val="bottom"/>
            <w:hideMark/>
          </w:tcPr>
          <w:p w14:paraId="483D55B3" w14:textId="53EA6105" w:rsidR="00A95FA3" w:rsidRPr="00AE34CD" w:rsidRDefault="00A95FA3" w:rsidP="00A95FA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702.31</w:t>
            </w:r>
          </w:p>
        </w:tc>
        <w:tc>
          <w:tcPr>
            <w:tcW w:w="1138" w:type="pct"/>
            <w:tcBorders>
              <w:top w:val="nil"/>
              <w:left w:val="nil"/>
              <w:bottom w:val="nil"/>
              <w:right w:val="nil"/>
            </w:tcBorders>
            <w:shd w:val="clear" w:color="auto" w:fill="auto"/>
            <w:noWrap/>
            <w:vAlign w:val="bottom"/>
            <w:hideMark/>
          </w:tcPr>
          <w:p w14:paraId="740D8253" w14:textId="77777777" w:rsidR="00A95FA3" w:rsidRPr="00AE34CD" w:rsidRDefault="00A95FA3" w:rsidP="00A95FA3">
            <w:pPr>
              <w:spacing w:after="0" w:line="240" w:lineRule="auto"/>
              <w:jc w:val="right"/>
              <w:rPr>
                <w:rFonts w:ascii="Times New Roman" w:eastAsia="Times New Roman" w:hAnsi="Times New Roman" w:cs="Times New Roman"/>
                <w:color w:val="000000"/>
              </w:rPr>
            </w:pPr>
          </w:p>
        </w:tc>
      </w:tr>
      <w:tr w:rsidR="00A95FA3" w:rsidRPr="00AE34CD" w14:paraId="7F7713EF" w14:textId="77777777" w:rsidTr="007577C8">
        <w:trPr>
          <w:trHeight w:val="312"/>
        </w:trPr>
        <w:tc>
          <w:tcPr>
            <w:tcW w:w="2892" w:type="pct"/>
            <w:tcBorders>
              <w:top w:val="nil"/>
              <w:left w:val="nil"/>
              <w:right w:val="nil"/>
            </w:tcBorders>
            <w:shd w:val="clear" w:color="auto" w:fill="auto"/>
            <w:noWrap/>
            <w:vAlign w:val="bottom"/>
            <w:hideMark/>
          </w:tcPr>
          <w:p w14:paraId="4E7C2304"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xml:space="preserve">Prob &gt; chi2 </w:t>
            </w:r>
          </w:p>
        </w:tc>
        <w:tc>
          <w:tcPr>
            <w:tcW w:w="970" w:type="pct"/>
            <w:tcBorders>
              <w:top w:val="nil"/>
              <w:left w:val="nil"/>
              <w:right w:val="nil"/>
            </w:tcBorders>
            <w:shd w:val="clear" w:color="auto" w:fill="auto"/>
            <w:noWrap/>
            <w:vAlign w:val="bottom"/>
            <w:hideMark/>
          </w:tcPr>
          <w:p w14:paraId="0B5831B7" w14:textId="77777777" w:rsidR="00A95FA3" w:rsidRPr="00AE34CD" w:rsidRDefault="00A95FA3" w:rsidP="00A95FA3">
            <w:pPr>
              <w:spacing w:after="0" w:line="240" w:lineRule="auto"/>
              <w:jc w:val="right"/>
              <w:rPr>
                <w:rFonts w:ascii="Times New Roman" w:eastAsia="Times New Roman" w:hAnsi="Times New Roman" w:cs="Times New Roman"/>
                <w:color w:val="000000"/>
              </w:rPr>
            </w:pPr>
            <w:r w:rsidRPr="00AE34CD">
              <w:rPr>
                <w:rFonts w:ascii="Times New Roman" w:eastAsia="Times New Roman" w:hAnsi="Times New Roman" w:cs="Times New Roman"/>
                <w:color w:val="000000"/>
              </w:rPr>
              <w:t>0.0000</w:t>
            </w:r>
          </w:p>
        </w:tc>
        <w:tc>
          <w:tcPr>
            <w:tcW w:w="1138" w:type="pct"/>
            <w:tcBorders>
              <w:top w:val="nil"/>
              <w:left w:val="nil"/>
              <w:right w:val="nil"/>
            </w:tcBorders>
            <w:shd w:val="clear" w:color="auto" w:fill="auto"/>
            <w:noWrap/>
            <w:vAlign w:val="bottom"/>
            <w:hideMark/>
          </w:tcPr>
          <w:p w14:paraId="5177E41D" w14:textId="77777777" w:rsidR="00A95FA3" w:rsidRPr="00AE34CD" w:rsidRDefault="00A95FA3" w:rsidP="00A95FA3">
            <w:pPr>
              <w:spacing w:after="0" w:line="240" w:lineRule="auto"/>
              <w:rPr>
                <w:rFonts w:ascii="Times New Roman" w:eastAsia="Times New Roman" w:hAnsi="Times New Roman" w:cs="Times New Roman"/>
                <w:color w:val="000000"/>
              </w:rPr>
            </w:pPr>
            <w:r w:rsidRPr="00AE34CD">
              <w:rPr>
                <w:rFonts w:ascii="Times New Roman" w:eastAsia="Times New Roman" w:hAnsi="Times New Roman" w:cs="Times New Roman"/>
                <w:color w:val="000000"/>
              </w:rPr>
              <w:t> </w:t>
            </w:r>
          </w:p>
        </w:tc>
      </w:tr>
    </w:tbl>
    <w:p w14:paraId="6F9077DF" w14:textId="77777777" w:rsidR="007577C8" w:rsidRPr="007577C8" w:rsidRDefault="007577C8" w:rsidP="007577C8">
      <w:pPr>
        <w:pBdr>
          <w:top w:val="single" w:sz="4" w:space="1" w:color="auto"/>
        </w:pBdr>
        <w:spacing w:after="240"/>
        <w:rPr>
          <w:rFonts w:asciiTheme="majorBidi" w:eastAsia="Times New Roman" w:hAnsiTheme="majorBidi" w:cstheme="majorBidi"/>
          <w:b/>
          <w:bCs/>
        </w:rPr>
      </w:pPr>
      <w:r w:rsidRPr="00652D9F">
        <w:rPr>
          <w:rFonts w:asciiTheme="majorBidi" w:eastAsia="Times New Roman" w:hAnsiTheme="majorBidi" w:cstheme="majorBidi"/>
          <w:b/>
          <w:bCs/>
        </w:rPr>
        <w:t xml:space="preserve">Source: Researchers’ </w:t>
      </w:r>
      <w:r>
        <w:rPr>
          <w:rFonts w:asciiTheme="majorBidi" w:eastAsia="Times New Roman" w:hAnsiTheme="majorBidi" w:cstheme="majorBidi"/>
          <w:b/>
          <w:bCs/>
        </w:rPr>
        <w:t>C</w:t>
      </w:r>
      <w:r w:rsidRPr="00652D9F">
        <w:rPr>
          <w:rFonts w:asciiTheme="majorBidi" w:eastAsia="Times New Roman" w:hAnsiTheme="majorBidi" w:cstheme="majorBidi"/>
          <w:b/>
          <w:bCs/>
        </w:rPr>
        <w:t>omp</w:t>
      </w:r>
      <w:r>
        <w:rPr>
          <w:rFonts w:asciiTheme="majorBidi" w:eastAsia="Times New Roman" w:hAnsiTheme="majorBidi" w:cstheme="majorBidi"/>
          <w:b/>
          <w:bCs/>
        </w:rPr>
        <w:t>ut</w:t>
      </w:r>
      <w:r w:rsidRPr="00652D9F">
        <w:rPr>
          <w:rFonts w:asciiTheme="majorBidi" w:eastAsia="Times New Roman" w:hAnsiTheme="majorBidi" w:cstheme="majorBidi"/>
          <w:b/>
          <w:bCs/>
        </w:rPr>
        <w:t>ation (2025)</w:t>
      </w:r>
    </w:p>
    <w:p w14:paraId="1644AB24" w14:textId="77777777" w:rsidR="00A95FA3" w:rsidRPr="004C219F" w:rsidRDefault="00A95FA3" w:rsidP="00A95FA3">
      <w:pPr>
        <w:spacing w:line="240" w:lineRule="auto"/>
        <w:jc w:val="both"/>
        <w:rPr>
          <w:rFonts w:asciiTheme="majorBidi" w:hAnsiTheme="majorBidi" w:cstheme="majorBidi"/>
          <w:lang w:val="en-GB"/>
        </w:rPr>
      </w:pPr>
    </w:p>
    <w:p w14:paraId="3B7C7473" w14:textId="727AF5D1" w:rsidR="001A3DE2" w:rsidRDefault="007577C8" w:rsidP="006C060E">
      <w:pPr>
        <w:autoSpaceDE w:val="0"/>
        <w:autoSpaceDN w:val="0"/>
        <w:adjustRightInd w:val="0"/>
        <w:spacing w:line="360" w:lineRule="auto"/>
        <w:jc w:val="both"/>
        <w:rPr>
          <w:rFonts w:asciiTheme="majorBidi" w:hAnsiTheme="majorBidi" w:cstheme="majorBidi"/>
          <w:b/>
          <w:bCs/>
        </w:rPr>
      </w:pPr>
      <w:r>
        <w:rPr>
          <w:rFonts w:asciiTheme="majorBidi" w:hAnsiTheme="majorBidi" w:cstheme="majorBidi"/>
          <w:b/>
          <w:bCs/>
        </w:rPr>
        <w:t>4.4      Discussion of Findings</w:t>
      </w:r>
    </w:p>
    <w:p w14:paraId="3C1F805D" w14:textId="3634E532" w:rsidR="004A164E" w:rsidRDefault="003C487C" w:rsidP="003C487C">
      <w:pPr>
        <w:autoSpaceDE w:val="0"/>
        <w:autoSpaceDN w:val="0"/>
        <w:adjustRightInd w:val="0"/>
        <w:spacing w:line="360" w:lineRule="auto"/>
        <w:ind w:firstLine="720"/>
        <w:jc w:val="both"/>
        <w:rPr>
          <w:rFonts w:asciiTheme="majorBidi" w:hAnsiTheme="majorBidi" w:cstheme="majorBidi"/>
        </w:rPr>
      </w:pPr>
      <w:r w:rsidRPr="003C487C">
        <w:rPr>
          <w:rFonts w:asciiTheme="majorBidi" w:hAnsiTheme="majorBidi" w:cstheme="majorBidi"/>
        </w:rPr>
        <w:t>Corporate sustainability has become a critical focus for businesses operating in high-risk industries, especially in regions characterized by political instability, economic uncertainty, and fluctuating regulatory frameworks. In response, non-traditional financial disclosures</w:t>
      </w:r>
      <w:r>
        <w:rPr>
          <w:rFonts w:asciiTheme="majorBidi" w:hAnsiTheme="majorBidi" w:cstheme="majorBidi"/>
        </w:rPr>
        <w:t xml:space="preserve"> </w:t>
      </w:r>
      <w:r w:rsidRPr="003C487C">
        <w:rPr>
          <w:rFonts w:asciiTheme="majorBidi" w:hAnsiTheme="majorBidi" w:cstheme="majorBidi"/>
        </w:rPr>
        <w:t>such as sustainability reporting, integrated reporting, and voluntary ESG disclosures</w:t>
      </w:r>
      <w:r>
        <w:rPr>
          <w:rFonts w:asciiTheme="majorBidi" w:hAnsiTheme="majorBidi" w:cstheme="majorBidi"/>
        </w:rPr>
        <w:t xml:space="preserve"> </w:t>
      </w:r>
      <w:r w:rsidRPr="003C487C">
        <w:rPr>
          <w:rFonts w:asciiTheme="majorBidi" w:hAnsiTheme="majorBidi" w:cstheme="majorBidi"/>
        </w:rPr>
        <w:t xml:space="preserve">are increasingly recognized as vital instruments for promoting corporate accountability and resilience in these challenging environments. Although previous research has </w:t>
      </w:r>
      <w:r>
        <w:rPr>
          <w:rFonts w:asciiTheme="majorBidi" w:hAnsiTheme="majorBidi" w:cstheme="majorBidi"/>
        </w:rPr>
        <w:t>investigat</w:t>
      </w:r>
      <w:r w:rsidRPr="003C487C">
        <w:rPr>
          <w:rFonts w:asciiTheme="majorBidi" w:hAnsiTheme="majorBidi" w:cstheme="majorBidi"/>
        </w:rPr>
        <w:t>ed the influence of non-financial disclosures on corporate sustainability, there remains a gap in studies specifically addressing high-risk sectors in Iraq. This study aims to bridge that gap by investigating the role of non-traditional financial disclosures in strengthening sustainability practices within industries particularly vulnerable to economic and environmental instability.</w:t>
      </w:r>
    </w:p>
    <w:p w14:paraId="653D0320" w14:textId="243FEC13" w:rsidR="003C487C" w:rsidRDefault="003C487C" w:rsidP="009C695A">
      <w:pPr>
        <w:autoSpaceDE w:val="0"/>
        <w:autoSpaceDN w:val="0"/>
        <w:adjustRightInd w:val="0"/>
        <w:spacing w:line="360" w:lineRule="auto"/>
        <w:ind w:firstLine="720"/>
        <w:jc w:val="both"/>
        <w:rPr>
          <w:rFonts w:ascii="Times New Roman" w:eastAsia="Times New Roman" w:hAnsi="Times New Roman" w:cs="Times New Roman"/>
          <w:kern w:val="0"/>
          <w14:ligatures w14:val="none"/>
        </w:rPr>
      </w:pPr>
      <w:r w:rsidRPr="003C487C">
        <w:rPr>
          <w:rFonts w:ascii="Times New Roman" w:eastAsia="Times New Roman" w:hAnsi="Times New Roman" w:cs="Times New Roman"/>
          <w:kern w:val="0"/>
          <w14:ligatures w14:val="none"/>
        </w:rPr>
        <w:t xml:space="preserve">The study found that non-financial disclosures, specifically environmental, social, and governance (ESG) disclosures, had a negative and statistically significant </w:t>
      </w:r>
      <w:r w:rsidR="00B81801">
        <w:rPr>
          <w:rFonts w:ascii="Times New Roman" w:eastAsia="Times New Roman" w:hAnsi="Times New Roman" w:cs="Times New Roman"/>
          <w:kern w:val="0"/>
          <w14:ligatures w14:val="none"/>
        </w:rPr>
        <w:t>effect</w:t>
      </w:r>
      <w:r w:rsidRPr="003C487C">
        <w:rPr>
          <w:rFonts w:ascii="Times New Roman" w:eastAsia="Times New Roman" w:hAnsi="Times New Roman" w:cs="Times New Roman"/>
          <w:kern w:val="0"/>
          <w14:ligatures w14:val="none"/>
        </w:rPr>
        <w:t xml:space="preserve"> on the corporate sustainability of firms operating in high-risk sectors in Iraq. Corporate sustainability was measured through financial indicators such as return on assets (ROA) and return on equity (ROE).</w:t>
      </w:r>
      <w:r w:rsidR="009C695A">
        <w:rPr>
          <w:rFonts w:asciiTheme="majorBidi" w:hAnsiTheme="majorBidi" w:cstheme="majorBidi"/>
        </w:rPr>
        <w:t xml:space="preserve"> </w:t>
      </w:r>
      <w:r w:rsidR="009C695A">
        <w:rPr>
          <w:rFonts w:ascii="Times New Roman" w:eastAsia="Times New Roman" w:hAnsi="Times New Roman" w:cs="Times New Roman"/>
          <w:kern w:val="0"/>
          <w14:ligatures w14:val="none"/>
        </w:rPr>
        <w:t>The</w:t>
      </w:r>
      <w:r w:rsidRPr="003C487C">
        <w:rPr>
          <w:rFonts w:ascii="Times New Roman" w:eastAsia="Times New Roman" w:hAnsi="Times New Roman" w:cs="Times New Roman"/>
          <w:kern w:val="0"/>
          <w14:ligatures w14:val="none"/>
        </w:rPr>
        <w:t xml:space="preserve"> negative effect indicates that as companies increased their ESG disclosures, their financial performance (in terms of ROA and ROE) tended to decrease. </w:t>
      </w:r>
      <w:r w:rsidR="009C695A" w:rsidRPr="003C487C">
        <w:rPr>
          <w:rFonts w:ascii="Times New Roman" w:eastAsia="Times New Roman" w:hAnsi="Times New Roman" w:cs="Times New Roman"/>
          <w:kern w:val="0"/>
          <w14:ligatures w14:val="none"/>
        </w:rPr>
        <w:t>This</w:t>
      </w:r>
      <w:r w:rsidRPr="003C487C">
        <w:rPr>
          <w:rFonts w:ascii="Times New Roman" w:eastAsia="Times New Roman" w:hAnsi="Times New Roman" w:cs="Times New Roman"/>
          <w:kern w:val="0"/>
          <w14:ligatures w14:val="none"/>
        </w:rPr>
        <w:t xml:space="preserve"> significant effect means that this relationship was not due to random chance but is a meaningful pattern observed in the data.</w:t>
      </w:r>
      <w:r w:rsidR="009C695A">
        <w:rPr>
          <w:rFonts w:asciiTheme="majorBidi" w:hAnsiTheme="majorBidi" w:cstheme="majorBidi"/>
        </w:rPr>
        <w:t xml:space="preserve"> </w:t>
      </w:r>
      <w:r w:rsidR="009C695A">
        <w:rPr>
          <w:rFonts w:ascii="Times New Roman" w:eastAsia="Times New Roman" w:hAnsi="Times New Roman" w:cs="Times New Roman"/>
          <w:kern w:val="0"/>
          <w14:ligatures w14:val="none"/>
        </w:rPr>
        <w:t>The result</w:t>
      </w:r>
      <w:r w:rsidRPr="003C487C">
        <w:rPr>
          <w:rFonts w:ascii="Times New Roman" w:eastAsia="Times New Roman" w:hAnsi="Times New Roman" w:cs="Times New Roman"/>
          <w:kern w:val="0"/>
          <w14:ligatures w14:val="none"/>
        </w:rPr>
        <w:t xml:space="preserve"> suggests that engaging in extensive ESG reporting may impose additional costs and operational burdens on firms already facing political instability, economic volatility, and regulatory uncertainty. Instead of strengthening immediate financial sustainability, such disclosures might strain the limited financial and managerial resources of companies, leading to lower profitability and shareholder returns in the short term.</w:t>
      </w:r>
      <w:r w:rsidR="009C695A">
        <w:rPr>
          <w:rFonts w:asciiTheme="majorBidi" w:hAnsiTheme="majorBidi" w:cstheme="majorBidi"/>
        </w:rPr>
        <w:t xml:space="preserve"> </w:t>
      </w:r>
      <w:r w:rsidR="009C695A">
        <w:rPr>
          <w:rFonts w:ascii="Times New Roman" w:eastAsia="Times New Roman" w:hAnsi="Times New Roman" w:cs="Times New Roman"/>
          <w:kern w:val="0"/>
          <w14:ligatures w14:val="none"/>
        </w:rPr>
        <w:t>W</w:t>
      </w:r>
      <w:r w:rsidRPr="003C487C">
        <w:rPr>
          <w:rFonts w:ascii="Times New Roman" w:eastAsia="Times New Roman" w:hAnsi="Times New Roman" w:cs="Times New Roman"/>
          <w:kern w:val="0"/>
          <w14:ligatures w14:val="none"/>
        </w:rPr>
        <w:t>hile ESG disclosures are generally intended to promote long-term corporate sustainability, in the challenging environment of Iraq's high-risk sectors, they currently seem to negatively affect short-term financial performance.</w:t>
      </w:r>
    </w:p>
    <w:p w14:paraId="7ACE93B6" w14:textId="7B72F782" w:rsidR="0069514F" w:rsidRDefault="00B81801" w:rsidP="00B81801">
      <w:pPr>
        <w:pStyle w:val="NormalWeb"/>
        <w:jc w:val="both"/>
        <w:rPr>
          <w:b/>
          <w:bCs/>
        </w:rPr>
      </w:pPr>
      <w:r>
        <w:rPr>
          <w:b/>
          <w:bCs/>
        </w:rPr>
        <w:t>5.         Conclusion and Recommendations</w:t>
      </w:r>
    </w:p>
    <w:p w14:paraId="6EADC301" w14:textId="77777777" w:rsidR="007E4F94" w:rsidRDefault="00B81801"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r w:rsidRPr="00B81801">
        <w:rPr>
          <w:rFonts w:ascii="Times New Roman" w:eastAsia="Times New Roman" w:hAnsi="Times New Roman" w:cs="Times New Roman"/>
          <w:kern w:val="0"/>
          <w14:ligatures w14:val="none"/>
        </w:rPr>
        <w:t xml:space="preserve">This study examined the impact of non-financial disclosures, specifically environmental, social, and governance (ESG) disclosures, on corporate sustainability within high-risk sectors in </w:t>
      </w:r>
      <w:r w:rsidRPr="00B81801">
        <w:rPr>
          <w:rFonts w:ascii="Times New Roman" w:eastAsia="Times New Roman" w:hAnsi="Times New Roman" w:cs="Times New Roman"/>
          <w:kern w:val="0"/>
          <w14:ligatures w14:val="none"/>
        </w:rPr>
        <w:lastRenderedPageBreak/>
        <w:t xml:space="preserve">Iraq. Corporate sustainability was assessed using return on assets (ROA) and return on equity (ROE). The findings revealed that ESG disclosures had a negative and statistically significant effect on </w:t>
      </w:r>
      <w:r w:rsidR="007E4F94" w:rsidRPr="00B81801">
        <w:rPr>
          <w:rFonts w:ascii="Times New Roman" w:eastAsia="Times New Roman" w:hAnsi="Times New Roman" w:cs="Times New Roman"/>
          <w:kern w:val="0"/>
          <w14:ligatures w14:val="none"/>
        </w:rPr>
        <w:t>the firm’s</w:t>
      </w:r>
      <w:r w:rsidRPr="00B81801">
        <w:rPr>
          <w:rFonts w:ascii="Times New Roman" w:eastAsia="Times New Roman" w:hAnsi="Times New Roman" w:cs="Times New Roman"/>
          <w:kern w:val="0"/>
          <w14:ligatures w14:val="none"/>
        </w:rPr>
        <w:t xml:space="preserve"> financial performance. </w:t>
      </w:r>
      <w:r w:rsidR="007E4F94" w:rsidRPr="00B81801">
        <w:rPr>
          <w:rFonts w:ascii="Times New Roman" w:eastAsia="Times New Roman" w:hAnsi="Times New Roman" w:cs="Times New Roman"/>
          <w:kern w:val="0"/>
          <w14:ligatures w14:val="none"/>
        </w:rPr>
        <w:t>An</w:t>
      </w:r>
      <w:r w:rsidRPr="00B81801">
        <w:rPr>
          <w:rFonts w:ascii="Times New Roman" w:eastAsia="Times New Roman" w:hAnsi="Times New Roman" w:cs="Times New Roman"/>
          <w:kern w:val="0"/>
          <w14:ligatures w14:val="none"/>
        </w:rPr>
        <w:t xml:space="preserve"> increase in ESG reporting was associated with a decline in ROA and ROE, suggesting that in unstable environments, the financial and operational burdens of non-financial disclosure may outweigh its short-term benefits.</w:t>
      </w:r>
      <w:r w:rsidR="007E4F94">
        <w:rPr>
          <w:rFonts w:ascii="Times New Roman" w:eastAsia="Times New Roman" w:hAnsi="Times New Roman" w:cs="Times New Roman"/>
          <w:kern w:val="0"/>
          <w14:ligatures w14:val="none"/>
        </w:rPr>
        <w:t xml:space="preserve"> </w:t>
      </w:r>
      <w:r w:rsidRPr="00B81801">
        <w:rPr>
          <w:rFonts w:ascii="Times New Roman" w:eastAsia="Times New Roman" w:hAnsi="Times New Roman" w:cs="Times New Roman"/>
          <w:kern w:val="0"/>
          <w14:ligatures w14:val="none"/>
        </w:rPr>
        <w:t>The study conclude</w:t>
      </w:r>
      <w:r w:rsidR="007E4F94">
        <w:rPr>
          <w:rFonts w:ascii="Times New Roman" w:eastAsia="Times New Roman" w:hAnsi="Times New Roman" w:cs="Times New Roman"/>
          <w:kern w:val="0"/>
          <w14:ligatures w14:val="none"/>
        </w:rPr>
        <w:t>d</w:t>
      </w:r>
      <w:r w:rsidRPr="00B81801">
        <w:rPr>
          <w:rFonts w:ascii="Times New Roman" w:eastAsia="Times New Roman" w:hAnsi="Times New Roman" w:cs="Times New Roman"/>
          <w:kern w:val="0"/>
          <w14:ligatures w14:val="none"/>
        </w:rPr>
        <w:t xml:space="preserve"> that while non-financial disclosures are globally promoted as mechanisms to enhance corporate accountability and long-term sustainability, in high-risk sectors of Iraq, they appear to undermine short-term financial performance. This is likely due to the additional costs and resource allocations required for ESG initiatives, which place further strain on companies already grappling with political, economic, and regulatory challenges.</w:t>
      </w:r>
    </w:p>
    <w:p w14:paraId="59951C44" w14:textId="77777777" w:rsidR="007E4F94" w:rsidRDefault="007E4F94"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following recommendations were suggested, firstly, c</w:t>
      </w:r>
      <w:r w:rsidR="00B81801" w:rsidRPr="00B81801">
        <w:rPr>
          <w:rFonts w:ascii="Times New Roman" w:eastAsia="Times New Roman" w:hAnsi="Times New Roman" w:cs="Times New Roman"/>
          <w:kern w:val="0"/>
          <w14:ligatures w14:val="none"/>
        </w:rPr>
        <w:t xml:space="preserve">ompanies in </w:t>
      </w:r>
      <w:r w:rsidRPr="00B81801">
        <w:rPr>
          <w:rFonts w:ascii="Times New Roman" w:eastAsia="Times New Roman" w:hAnsi="Times New Roman" w:cs="Times New Roman"/>
          <w:kern w:val="0"/>
          <w14:ligatures w14:val="none"/>
        </w:rPr>
        <w:t>the high</w:t>
      </w:r>
      <w:r w:rsidR="00B81801" w:rsidRPr="00B81801">
        <w:rPr>
          <w:rFonts w:ascii="Times New Roman" w:eastAsia="Times New Roman" w:hAnsi="Times New Roman" w:cs="Times New Roman"/>
          <w:kern w:val="0"/>
          <w14:ligatures w14:val="none"/>
        </w:rPr>
        <w:t>-risk sectors should adopt a phased and strategic approach to ESG disclosure, focusing first on areas that align closely with their core business objectives and available resources.</w:t>
      </w:r>
      <w:r>
        <w:rPr>
          <w:rFonts w:ascii="Times New Roman" w:eastAsia="Times New Roman" w:hAnsi="Times New Roman" w:cs="Times New Roman"/>
          <w:kern w:val="0"/>
          <w14:ligatures w14:val="none"/>
        </w:rPr>
        <w:t xml:space="preserve"> Additionally, f</w:t>
      </w:r>
      <w:r w:rsidR="00B81801" w:rsidRPr="00B81801">
        <w:rPr>
          <w:rFonts w:ascii="Times New Roman" w:eastAsia="Times New Roman" w:hAnsi="Times New Roman" w:cs="Times New Roman"/>
          <w:kern w:val="0"/>
          <w14:ligatures w14:val="none"/>
        </w:rPr>
        <w:t>irms should invest in capacity building to better integrate ESG practices without significantly disrupting financial performance.</w:t>
      </w:r>
      <w:r>
        <w:rPr>
          <w:rFonts w:ascii="Times New Roman" w:eastAsia="Times New Roman" w:hAnsi="Times New Roman" w:cs="Times New Roman"/>
          <w:kern w:val="0"/>
          <w14:ligatures w14:val="none"/>
        </w:rPr>
        <w:t xml:space="preserve"> Lastly, s</w:t>
      </w:r>
      <w:r w:rsidR="00B81801" w:rsidRPr="00B81801">
        <w:rPr>
          <w:rFonts w:ascii="Times New Roman" w:eastAsia="Times New Roman" w:hAnsi="Times New Roman" w:cs="Times New Roman"/>
          <w:kern w:val="0"/>
          <w14:ligatures w14:val="none"/>
        </w:rPr>
        <w:t>takeholders, including investors and financial institutions, should recognize the contextual challenges and adjust their expectations around ESG compliance and its immediate financial returns.</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This study expands existing knowledge by providing empirical evidence that challenges the generally positive perception of ESG disclosures' impact on corporate sustainability, particularly in politically and economically unstable environments. It highlights that the effects of non-financial disclosures are context-dependent and not uniformly beneficial across all settings.</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For accounting practitioners, the findings suggest the need to tailor ESG reporting practices to the operational realities of high-risk sectors. Accountants should work closely with management to design cost-effective ESG disclosure frameworks that mitigate potential negative financial impacts while maintaining transparency and credibility.</w:t>
      </w:r>
      <w:r>
        <w:rPr>
          <w:rFonts w:ascii="Times New Roman" w:eastAsia="Times New Roman" w:hAnsi="Times New Roman" w:cs="Times New Roman"/>
          <w:kern w:val="0"/>
          <w14:ligatures w14:val="none"/>
        </w:rPr>
        <w:t xml:space="preserve"> </w:t>
      </w:r>
      <w:r w:rsidR="00B81801" w:rsidRPr="00B81801">
        <w:rPr>
          <w:rFonts w:ascii="Times New Roman" w:eastAsia="Times New Roman" w:hAnsi="Times New Roman" w:cs="Times New Roman"/>
          <w:kern w:val="0"/>
          <w14:ligatures w14:val="none"/>
        </w:rPr>
        <w:t>Regulatory bodies and policy makers should consider introducing flexible ESG reporting standards that account for the unique challenges of high-risk environments. Rather than mandating extensive disclosures, they could promote a gradual compliance framework, supported by incentives such as tax breaks or technical assistance to ease the burden on firms.</w:t>
      </w:r>
    </w:p>
    <w:p w14:paraId="5C1A4B51" w14:textId="0DD904AD" w:rsidR="00B81801" w:rsidRPr="00B81801" w:rsidRDefault="00B81801" w:rsidP="00B13282">
      <w:pPr>
        <w:spacing w:before="100" w:beforeAutospacing="1" w:after="100" w:afterAutospacing="1" w:line="360" w:lineRule="auto"/>
        <w:ind w:firstLine="720"/>
        <w:jc w:val="both"/>
        <w:rPr>
          <w:rFonts w:ascii="Times New Roman" w:eastAsia="Times New Roman" w:hAnsi="Times New Roman" w:cs="Times New Roman"/>
          <w:kern w:val="0"/>
          <w14:ligatures w14:val="none"/>
        </w:rPr>
      </w:pPr>
      <w:r w:rsidRPr="00B81801">
        <w:rPr>
          <w:rFonts w:ascii="Times New Roman" w:eastAsia="Times New Roman" w:hAnsi="Times New Roman" w:cs="Times New Roman"/>
          <w:kern w:val="0"/>
          <w14:ligatures w14:val="none"/>
        </w:rPr>
        <w:t xml:space="preserve">Future research could explore the long-term effects of ESG disclosures on financial performance in high-risk sectors, beyond short-term profitability measures like ROA and ROE. </w:t>
      </w:r>
      <w:r w:rsidRPr="00B81801">
        <w:rPr>
          <w:rFonts w:ascii="Times New Roman" w:eastAsia="Times New Roman" w:hAnsi="Times New Roman" w:cs="Times New Roman"/>
          <w:kern w:val="0"/>
          <w14:ligatures w14:val="none"/>
        </w:rPr>
        <w:lastRenderedPageBreak/>
        <w:t>Comparative studies across different regions with varying levels of political and economic stability could also provide a deeper understanding of how context influences the relationship between non-financial disclosures and corporate sustainability. Additionally, qualitative research could investigate how firms perceive and internally manage the costs and benefits of ESG reporting in unstable environments.</w:t>
      </w:r>
    </w:p>
    <w:p w14:paraId="60CF6F97" w14:textId="77777777" w:rsidR="00B81801" w:rsidRPr="00B81801" w:rsidRDefault="00B81801" w:rsidP="00B13282">
      <w:pPr>
        <w:pStyle w:val="NormalWeb"/>
        <w:spacing w:line="360" w:lineRule="auto"/>
        <w:jc w:val="both"/>
      </w:pPr>
    </w:p>
    <w:bookmarkEnd w:id="2"/>
    <w:p w14:paraId="40DDD105" w14:textId="77777777" w:rsidR="00CD1EB5" w:rsidRDefault="00CD1EB5" w:rsidP="00B13282">
      <w:pPr>
        <w:spacing w:after="100" w:afterAutospacing="1" w:line="360" w:lineRule="auto"/>
        <w:outlineLvl w:val="2"/>
        <w:rPr>
          <w:rFonts w:ascii="Times New Roman" w:eastAsia="Times New Roman" w:hAnsi="Times New Roman" w:cs="Times New Roman"/>
          <w:b/>
          <w:bCs/>
          <w:kern w:val="0"/>
          <w14:ligatures w14:val="none"/>
        </w:rPr>
      </w:pPr>
    </w:p>
    <w:p w14:paraId="4CFC04AE" w14:textId="77777777" w:rsidR="006D66A2" w:rsidRDefault="006D66A2" w:rsidP="00B13282">
      <w:pPr>
        <w:spacing w:after="100" w:afterAutospacing="1" w:line="360" w:lineRule="auto"/>
        <w:outlineLvl w:val="2"/>
        <w:rPr>
          <w:rFonts w:ascii="Times New Roman" w:eastAsia="Times New Roman" w:hAnsi="Times New Roman" w:cs="Times New Roman"/>
          <w:b/>
          <w:bCs/>
          <w:kern w:val="0"/>
          <w14:ligatures w14:val="none"/>
        </w:rPr>
      </w:pPr>
    </w:p>
    <w:p w14:paraId="733B3F6F"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FAE23C3"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2DEC579C"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4A96053"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026673E6" w14:textId="77777777" w:rsidR="003E3C85" w:rsidRDefault="003E3C85" w:rsidP="00B13282">
      <w:pPr>
        <w:spacing w:after="100" w:afterAutospacing="1" w:line="360" w:lineRule="auto"/>
        <w:outlineLvl w:val="2"/>
        <w:rPr>
          <w:rFonts w:ascii="Times New Roman" w:eastAsia="Times New Roman" w:hAnsi="Times New Roman" w:cs="Times New Roman"/>
          <w:b/>
          <w:bCs/>
          <w:kern w:val="0"/>
          <w14:ligatures w14:val="none"/>
        </w:rPr>
      </w:pPr>
    </w:p>
    <w:p w14:paraId="57BB0C9D" w14:textId="4567F990" w:rsidR="00490880" w:rsidRPr="00490880" w:rsidRDefault="00490880" w:rsidP="00305CBA">
      <w:pPr>
        <w:spacing w:after="100" w:afterAutospacing="1" w:line="360" w:lineRule="auto"/>
        <w:jc w:val="center"/>
        <w:outlineLvl w:val="2"/>
        <w:rPr>
          <w:rFonts w:ascii="Times New Roman" w:eastAsia="Times New Roman" w:hAnsi="Times New Roman" w:cs="Times New Roman"/>
          <w:b/>
          <w:bCs/>
          <w:kern w:val="0"/>
          <w14:ligatures w14:val="none"/>
        </w:rPr>
      </w:pPr>
      <w:r w:rsidRPr="00490880">
        <w:rPr>
          <w:rFonts w:ascii="Times New Roman" w:eastAsia="Times New Roman" w:hAnsi="Times New Roman" w:cs="Times New Roman"/>
          <w:b/>
          <w:bCs/>
          <w:kern w:val="0"/>
          <w14:ligatures w14:val="none"/>
        </w:rPr>
        <w:t>References</w:t>
      </w:r>
    </w:p>
    <w:p w14:paraId="293C99C0"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Abdullah, S., &amp; Mohammed, K. (2022). The impact of non-financial reporting on corporate performance in volatile economies: Evidence from Iraq. </w:t>
      </w:r>
      <w:r w:rsidRPr="00B57EB9">
        <w:rPr>
          <w:rFonts w:asciiTheme="majorBidi" w:eastAsia="Times New Roman" w:hAnsiTheme="majorBidi" w:cstheme="majorBidi"/>
          <w:i/>
          <w:iCs/>
          <w:kern w:val="0"/>
          <w14:ligatures w14:val="none"/>
        </w:rPr>
        <w:t>Journal of Business Ethics, 178</w:t>
      </w:r>
      <w:r w:rsidRPr="00B57EB9">
        <w:rPr>
          <w:rFonts w:asciiTheme="majorBidi" w:eastAsia="Times New Roman" w:hAnsiTheme="majorBidi" w:cstheme="majorBidi"/>
          <w:kern w:val="0"/>
          <w14:ligatures w14:val="none"/>
        </w:rPr>
        <w:t xml:space="preserve">(3), 523-540. </w:t>
      </w:r>
    </w:p>
    <w:p w14:paraId="14E31220" w14:textId="77777777" w:rsidR="00B57EB9" w:rsidRPr="00B57EB9" w:rsidRDefault="00B57EB9" w:rsidP="00BA34EC">
      <w:pPr>
        <w:pStyle w:val="Default"/>
        <w:spacing w:after="240"/>
        <w:ind w:left="720" w:hanging="720"/>
        <w:jc w:val="both"/>
        <w:rPr>
          <w:rFonts w:asciiTheme="majorBidi" w:hAnsiTheme="majorBidi" w:cstheme="majorBidi"/>
          <w:color w:val="auto"/>
        </w:rPr>
      </w:pPr>
      <w:bookmarkStart w:id="8" w:name="_Hlk186452426"/>
      <w:r w:rsidRPr="00B57EB9">
        <w:rPr>
          <w:rFonts w:asciiTheme="majorBidi" w:eastAsia="Times New Roman" w:hAnsiTheme="majorBidi" w:cstheme="majorBidi"/>
          <w:color w:val="auto"/>
        </w:rPr>
        <w:t xml:space="preserve">Agarwala, N., Jana, S., &amp; Sahu, T. N. (2024). ESG disclosures and corporate performance: A non-linear and disaggregated approach. </w:t>
      </w:r>
      <w:r w:rsidRPr="00B57EB9">
        <w:rPr>
          <w:rFonts w:asciiTheme="majorBidi" w:eastAsia="Times New Roman" w:hAnsiTheme="majorBidi" w:cstheme="majorBidi"/>
          <w:i/>
          <w:iCs/>
          <w:color w:val="auto"/>
        </w:rPr>
        <w:t>Journal of Cleaner Production</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437</w:t>
      </w:r>
      <w:r w:rsidRPr="00B57EB9">
        <w:rPr>
          <w:rFonts w:asciiTheme="majorBidi" w:eastAsia="Times New Roman" w:hAnsiTheme="majorBidi" w:cstheme="majorBidi"/>
          <w:color w:val="auto"/>
        </w:rPr>
        <w:t xml:space="preserve">, 140517. </w:t>
      </w:r>
      <w:hyperlink r:id="rId10" w:tgtFrame="_blank" w:tooltip="Persistent link using digital object identifier" w:history="1">
        <w:r w:rsidRPr="00B57EB9">
          <w:rPr>
            <w:rStyle w:val="anchor-text"/>
            <w:rFonts w:asciiTheme="majorBidi" w:hAnsiTheme="majorBidi" w:cstheme="majorBidi"/>
            <w:color w:val="0070C0"/>
          </w:rPr>
          <w:t>https://doi.org/10.1016/j.jclepro.2023.140517</w:t>
        </w:r>
      </w:hyperlink>
    </w:p>
    <w:bookmarkEnd w:id="8"/>
    <w:p w14:paraId="663B1204" w14:textId="77777777" w:rsidR="00B57EB9" w:rsidRPr="00B57EB9" w:rsidRDefault="00B57EB9" w:rsidP="00BA34EC">
      <w:pPr>
        <w:pStyle w:val="Default"/>
        <w:spacing w:after="240"/>
        <w:ind w:left="720" w:hanging="720"/>
        <w:jc w:val="both"/>
        <w:rPr>
          <w:rFonts w:asciiTheme="majorBidi" w:hAnsiTheme="majorBidi" w:cstheme="majorBidi"/>
          <w:color w:val="auto"/>
          <w:lang w:val="en-US"/>
        </w:rPr>
      </w:pPr>
      <w:r w:rsidRPr="00B57EB9">
        <w:rPr>
          <w:rFonts w:asciiTheme="majorBidi" w:hAnsiTheme="majorBidi" w:cstheme="majorBidi"/>
          <w:color w:val="auto"/>
        </w:rPr>
        <w:t xml:space="preserve">Agyemang, A., Yusheng, K., </w:t>
      </w:r>
      <w:proofErr w:type="spellStart"/>
      <w:r w:rsidRPr="00B57EB9">
        <w:rPr>
          <w:rFonts w:asciiTheme="majorBidi" w:hAnsiTheme="majorBidi" w:cstheme="majorBidi"/>
          <w:color w:val="auto"/>
        </w:rPr>
        <w:t>Kongkuah</w:t>
      </w:r>
      <w:proofErr w:type="spellEnd"/>
      <w:r w:rsidRPr="00B57EB9">
        <w:rPr>
          <w:rFonts w:asciiTheme="majorBidi" w:hAnsiTheme="majorBidi" w:cstheme="majorBidi"/>
          <w:color w:val="auto"/>
        </w:rPr>
        <w:t xml:space="preserve">, M., Musah, A., &amp; Musah, M. (2023). Assessing the impact of environmental accounting disclosure on corporate performance in China. </w:t>
      </w:r>
      <w:r w:rsidRPr="00B57EB9">
        <w:rPr>
          <w:rStyle w:val="Emphasis"/>
          <w:rFonts w:asciiTheme="majorBidi" w:hAnsiTheme="majorBidi" w:cstheme="majorBidi"/>
          <w:color w:val="auto"/>
        </w:rPr>
        <w:t>Environmental Engineering &amp; Management Journal (EEMJ), 22</w:t>
      </w:r>
      <w:r w:rsidRPr="00B57EB9">
        <w:rPr>
          <w:rFonts w:asciiTheme="majorBidi" w:hAnsiTheme="majorBidi" w:cstheme="majorBidi"/>
          <w:color w:val="auto"/>
        </w:rPr>
        <w:t xml:space="preserve">(2), 153-165. </w:t>
      </w:r>
      <w:hyperlink r:id="rId11" w:history="1">
        <w:r w:rsidRPr="00B57EB9">
          <w:rPr>
            <w:rStyle w:val="Hyperlink"/>
            <w:rFonts w:asciiTheme="majorBidi" w:hAnsiTheme="majorBidi" w:cstheme="majorBidi"/>
            <w:color w:val="0070C0"/>
            <w:lang w:val="en-US"/>
          </w:rPr>
          <w:t>https://doi.org/10.30638/eemj.2023.014</w:t>
        </w:r>
      </w:hyperlink>
    </w:p>
    <w:p w14:paraId="032F0CBB" w14:textId="77777777" w:rsidR="00B57EB9" w:rsidRPr="00B57EB9" w:rsidRDefault="00B57EB9" w:rsidP="00BE4405">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hAnsiTheme="majorBidi" w:cstheme="majorBidi"/>
        </w:rPr>
        <w:t xml:space="preserve">Ahmad, N., Zhu, Y., &amp; Rahman, M. F. (2023). Integration of environmental, social, and governance (ESG) criteria. </w:t>
      </w:r>
      <w:r w:rsidRPr="00B57EB9">
        <w:rPr>
          <w:rStyle w:val="Emphasis"/>
          <w:rFonts w:asciiTheme="majorBidi" w:hAnsiTheme="majorBidi" w:cstheme="majorBidi"/>
        </w:rPr>
        <w:t>Humanities and Social Sciences Communications</w:t>
      </w:r>
      <w:r w:rsidRPr="00B57EB9">
        <w:rPr>
          <w:rFonts w:asciiTheme="majorBidi" w:hAnsiTheme="majorBidi" w:cstheme="majorBidi"/>
        </w:rPr>
        <w:t xml:space="preserve">, 10, Article 19. </w:t>
      </w:r>
      <w:hyperlink r:id="rId12" w:history="1">
        <w:r w:rsidRPr="00B57EB9">
          <w:rPr>
            <w:rStyle w:val="Hyperlink"/>
            <w:rFonts w:asciiTheme="majorBidi" w:hAnsiTheme="majorBidi" w:cstheme="majorBidi"/>
          </w:rPr>
          <w:t>https://doi.org/10.1057/s41599-023-01919-0</w:t>
        </w:r>
      </w:hyperlink>
    </w:p>
    <w:p w14:paraId="3F081D47"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lastRenderedPageBreak/>
        <w:t xml:space="preserve">Al-Dahash, H., &amp; Hassan, M. (2023). The impact of non-financial disclosure on corporate sustainability: A stakeholder theory perspective. </w:t>
      </w:r>
      <w:r w:rsidRPr="00B57EB9">
        <w:rPr>
          <w:rStyle w:val="Emphasis"/>
          <w:rFonts w:asciiTheme="majorBidi" w:hAnsiTheme="majorBidi" w:cstheme="majorBidi"/>
        </w:rPr>
        <w:t>Journal of Business Ethics, 178</w:t>
      </w:r>
      <w:r w:rsidRPr="00B57EB9">
        <w:rPr>
          <w:rFonts w:asciiTheme="majorBidi" w:hAnsiTheme="majorBidi" w:cstheme="majorBidi"/>
        </w:rPr>
        <w:t xml:space="preserve">(2), 345-362. </w:t>
      </w:r>
    </w:p>
    <w:p w14:paraId="3558013E" w14:textId="1B71A631" w:rsidR="00B57EB9" w:rsidRPr="00B57EB9" w:rsidRDefault="00B57EB9" w:rsidP="004657C2">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Al-</w:t>
      </w:r>
      <w:proofErr w:type="spellStart"/>
      <w:r w:rsidRPr="00B57EB9">
        <w:rPr>
          <w:rFonts w:asciiTheme="majorBidi" w:eastAsia="Times New Roman" w:hAnsiTheme="majorBidi" w:cstheme="majorBidi"/>
          <w:kern w:val="0"/>
          <w14:ligatures w14:val="none"/>
        </w:rPr>
        <w:t>Dulaimi</w:t>
      </w:r>
      <w:proofErr w:type="spellEnd"/>
      <w:r w:rsidRPr="00B57EB9">
        <w:rPr>
          <w:rFonts w:asciiTheme="majorBidi" w:eastAsia="Times New Roman" w:hAnsiTheme="majorBidi" w:cstheme="majorBidi"/>
          <w:kern w:val="0"/>
          <w14:ligatures w14:val="none"/>
        </w:rPr>
        <w:t xml:space="preserve">, A., Al </w:t>
      </w:r>
      <w:proofErr w:type="spellStart"/>
      <w:r w:rsidRPr="00B57EB9">
        <w:rPr>
          <w:rFonts w:asciiTheme="majorBidi" w:eastAsia="Times New Roman" w:hAnsiTheme="majorBidi" w:cstheme="majorBidi"/>
          <w:kern w:val="0"/>
          <w14:ligatures w14:val="none"/>
        </w:rPr>
        <w:t>Mamoori</w:t>
      </w:r>
      <w:proofErr w:type="spellEnd"/>
      <w:r w:rsidRPr="00B57EB9">
        <w:rPr>
          <w:rFonts w:asciiTheme="majorBidi" w:eastAsia="Times New Roman" w:hAnsiTheme="majorBidi" w:cstheme="majorBidi"/>
          <w:kern w:val="0"/>
          <w14:ligatures w14:val="none"/>
        </w:rPr>
        <w:t>, M., Al-</w:t>
      </w:r>
      <w:proofErr w:type="spellStart"/>
      <w:r w:rsidRPr="00B57EB9">
        <w:rPr>
          <w:rFonts w:asciiTheme="majorBidi" w:eastAsia="Times New Roman" w:hAnsiTheme="majorBidi" w:cstheme="majorBidi"/>
          <w:kern w:val="0"/>
          <w14:ligatures w14:val="none"/>
        </w:rPr>
        <w:t>Khafajy</w:t>
      </w:r>
      <w:proofErr w:type="spellEnd"/>
      <w:r w:rsidRPr="00B57EB9">
        <w:rPr>
          <w:rFonts w:asciiTheme="majorBidi" w:eastAsia="Times New Roman" w:hAnsiTheme="majorBidi" w:cstheme="majorBidi"/>
          <w:kern w:val="0"/>
          <w14:ligatures w14:val="none"/>
        </w:rPr>
        <w:t xml:space="preserve">, E., &amp; Abed, A. (2020). The impact of sustainability reporting on profitability in </w:t>
      </w:r>
      <w:r w:rsidR="00237C59">
        <w:rPr>
          <w:rFonts w:asciiTheme="majorBidi" w:eastAsia="Times New Roman" w:hAnsiTheme="majorBidi" w:cstheme="majorBidi"/>
          <w:kern w:val="0"/>
          <w14:ligatures w14:val="none"/>
        </w:rPr>
        <w:t>the Iraqi</w:t>
      </w:r>
      <w:r w:rsidRPr="00B57EB9">
        <w:rPr>
          <w:rFonts w:asciiTheme="majorBidi" w:eastAsia="Times New Roman" w:hAnsiTheme="majorBidi" w:cstheme="majorBidi"/>
          <w:kern w:val="0"/>
          <w14:ligatures w14:val="none"/>
        </w:rPr>
        <w:t xml:space="preserve"> stock exchange: role of transparency as </w:t>
      </w:r>
      <w:r w:rsidR="00237C59">
        <w:rPr>
          <w:rFonts w:asciiTheme="majorBidi" w:eastAsia="Times New Roman" w:hAnsiTheme="majorBidi" w:cstheme="majorBidi"/>
          <w:kern w:val="0"/>
          <w14:ligatures w14:val="none"/>
        </w:rPr>
        <w:t xml:space="preserve">a </w:t>
      </w:r>
      <w:r w:rsidRPr="00B57EB9">
        <w:rPr>
          <w:rFonts w:asciiTheme="majorBidi" w:eastAsia="Times New Roman" w:hAnsiTheme="majorBidi" w:cstheme="majorBidi"/>
          <w:kern w:val="0"/>
          <w14:ligatures w14:val="none"/>
        </w:rPr>
        <w:t xml:space="preserve">moderating variable. </w:t>
      </w:r>
      <w:r w:rsidRPr="00B57EB9">
        <w:rPr>
          <w:rFonts w:asciiTheme="majorBidi" w:eastAsia="Times New Roman" w:hAnsiTheme="majorBidi" w:cstheme="majorBidi"/>
          <w:i/>
          <w:iCs/>
          <w:kern w:val="0"/>
          <w14:ligatures w14:val="none"/>
        </w:rPr>
        <w:t>International Journal of Supply Chain Management</w:t>
      </w:r>
      <w:r w:rsidRPr="00B57EB9">
        <w:rPr>
          <w:rFonts w:asciiTheme="majorBidi" w:eastAsia="Times New Roman" w:hAnsiTheme="majorBidi" w:cstheme="majorBidi"/>
          <w:kern w:val="0"/>
          <w14:ligatures w14:val="none"/>
        </w:rPr>
        <w:t xml:space="preserve">, </w:t>
      </w:r>
      <w:r w:rsidRPr="00B57EB9">
        <w:rPr>
          <w:rFonts w:asciiTheme="majorBidi" w:eastAsia="Times New Roman" w:hAnsiTheme="majorBidi" w:cstheme="majorBidi"/>
          <w:i/>
          <w:iCs/>
          <w:kern w:val="0"/>
          <w14:ligatures w14:val="none"/>
        </w:rPr>
        <w:t>9</w:t>
      </w:r>
      <w:r w:rsidRPr="00B57EB9">
        <w:rPr>
          <w:rFonts w:asciiTheme="majorBidi" w:eastAsia="Times New Roman" w:hAnsiTheme="majorBidi" w:cstheme="majorBidi"/>
          <w:kern w:val="0"/>
          <w14:ligatures w14:val="none"/>
        </w:rPr>
        <w:t>(5), 1717-1723.</w:t>
      </w:r>
    </w:p>
    <w:p w14:paraId="0C3466D7" w14:textId="3FC1C8E6" w:rsidR="00B57EB9" w:rsidRPr="00B57EB9" w:rsidRDefault="00B57EB9" w:rsidP="00D07683">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Al-</w:t>
      </w:r>
      <w:proofErr w:type="spellStart"/>
      <w:r w:rsidRPr="00B57EB9">
        <w:rPr>
          <w:rFonts w:asciiTheme="majorBidi" w:eastAsia="Times New Roman" w:hAnsiTheme="majorBidi" w:cstheme="majorBidi"/>
          <w:kern w:val="0"/>
          <w14:ligatures w14:val="none"/>
        </w:rPr>
        <w:t>gabri</w:t>
      </w:r>
      <w:proofErr w:type="spellEnd"/>
      <w:r w:rsidRPr="00B57EB9">
        <w:rPr>
          <w:rFonts w:asciiTheme="majorBidi" w:eastAsia="Times New Roman" w:hAnsiTheme="majorBidi" w:cstheme="majorBidi"/>
          <w:kern w:val="0"/>
          <w14:ligatures w14:val="none"/>
        </w:rPr>
        <w:t>, H. M. W., Al-</w:t>
      </w:r>
      <w:proofErr w:type="spellStart"/>
      <w:r w:rsidRPr="00B57EB9">
        <w:rPr>
          <w:rFonts w:asciiTheme="majorBidi" w:eastAsia="Times New Roman" w:hAnsiTheme="majorBidi" w:cstheme="majorBidi"/>
          <w:kern w:val="0"/>
          <w14:ligatures w14:val="none"/>
        </w:rPr>
        <w:t>Dulaimi</w:t>
      </w:r>
      <w:proofErr w:type="spellEnd"/>
      <w:r w:rsidRPr="00B57EB9">
        <w:rPr>
          <w:rFonts w:asciiTheme="majorBidi" w:eastAsia="Times New Roman" w:hAnsiTheme="majorBidi" w:cstheme="majorBidi"/>
          <w:kern w:val="0"/>
          <w14:ligatures w14:val="none"/>
        </w:rPr>
        <w:t xml:space="preserve">, A. A. K., </w:t>
      </w:r>
      <w:proofErr w:type="spellStart"/>
      <w:r w:rsidRPr="00B57EB9">
        <w:rPr>
          <w:rFonts w:asciiTheme="majorBidi" w:eastAsia="Times New Roman" w:hAnsiTheme="majorBidi" w:cstheme="majorBidi"/>
          <w:kern w:val="0"/>
          <w14:ligatures w14:val="none"/>
        </w:rPr>
        <w:t>Jasber</w:t>
      </w:r>
      <w:proofErr w:type="spellEnd"/>
      <w:r w:rsidRPr="00B57EB9">
        <w:rPr>
          <w:rFonts w:asciiTheme="majorBidi" w:eastAsia="Times New Roman" w:hAnsiTheme="majorBidi" w:cstheme="majorBidi"/>
          <w:kern w:val="0"/>
          <w14:ligatures w14:val="none"/>
        </w:rPr>
        <w:t xml:space="preserve">, M. A., Hasan, H. F., Wahid, R. G. A., &amp; </w:t>
      </w:r>
      <w:proofErr w:type="spellStart"/>
      <w:r w:rsidRPr="00B57EB9">
        <w:rPr>
          <w:rFonts w:asciiTheme="majorBidi" w:eastAsia="Times New Roman" w:hAnsiTheme="majorBidi" w:cstheme="majorBidi"/>
          <w:kern w:val="0"/>
          <w14:ligatures w14:val="none"/>
        </w:rPr>
        <w:t>Mutar</w:t>
      </w:r>
      <w:proofErr w:type="spellEnd"/>
      <w:r w:rsidRPr="00B57EB9">
        <w:rPr>
          <w:rFonts w:asciiTheme="majorBidi" w:eastAsia="Times New Roman" w:hAnsiTheme="majorBidi" w:cstheme="majorBidi"/>
          <w:kern w:val="0"/>
          <w14:ligatures w14:val="none"/>
        </w:rPr>
        <w:t xml:space="preserve">, H. K. (2022). The influence of sustainability reporting on profitability in Iraqi companies: Role of information disclosure as </w:t>
      </w:r>
      <w:r w:rsidR="00237C59">
        <w:rPr>
          <w:rFonts w:asciiTheme="majorBidi" w:eastAsia="Times New Roman" w:hAnsiTheme="majorBidi" w:cstheme="majorBidi"/>
          <w:kern w:val="0"/>
          <w14:ligatures w14:val="none"/>
        </w:rPr>
        <w:t xml:space="preserve">a </w:t>
      </w:r>
      <w:r w:rsidRPr="00B57EB9">
        <w:rPr>
          <w:rFonts w:asciiTheme="majorBidi" w:eastAsia="Times New Roman" w:hAnsiTheme="majorBidi" w:cstheme="majorBidi"/>
          <w:kern w:val="0"/>
          <w14:ligatures w14:val="none"/>
        </w:rPr>
        <w:t xml:space="preserve">moderating variable. </w:t>
      </w:r>
      <w:r w:rsidRPr="00B57EB9">
        <w:rPr>
          <w:rFonts w:asciiTheme="majorBidi" w:eastAsia="Times New Roman" w:hAnsiTheme="majorBidi" w:cstheme="majorBidi"/>
          <w:i/>
          <w:iCs/>
          <w:kern w:val="0"/>
          <w14:ligatures w14:val="none"/>
        </w:rPr>
        <w:t>Texas Journal of Multidisciplinary Studies</w:t>
      </w:r>
      <w:r w:rsidRPr="00B57EB9">
        <w:rPr>
          <w:rFonts w:asciiTheme="majorBidi" w:eastAsia="Times New Roman" w:hAnsiTheme="majorBidi" w:cstheme="majorBidi"/>
          <w:kern w:val="0"/>
          <w14:ligatures w14:val="none"/>
        </w:rPr>
        <w:t xml:space="preserve">, </w:t>
      </w:r>
      <w:r w:rsidRPr="00B57EB9">
        <w:rPr>
          <w:rFonts w:asciiTheme="majorBidi" w:eastAsia="Times New Roman" w:hAnsiTheme="majorBidi" w:cstheme="majorBidi"/>
          <w:i/>
          <w:iCs/>
          <w:kern w:val="0"/>
          <w14:ligatures w14:val="none"/>
        </w:rPr>
        <w:t>9</w:t>
      </w:r>
      <w:r w:rsidRPr="00B57EB9">
        <w:rPr>
          <w:rFonts w:asciiTheme="majorBidi" w:eastAsia="Times New Roman" w:hAnsiTheme="majorBidi" w:cstheme="majorBidi"/>
          <w:kern w:val="0"/>
          <w14:ligatures w14:val="none"/>
        </w:rPr>
        <w:t>, 23-41.</w:t>
      </w:r>
    </w:p>
    <w:p w14:paraId="515A0C3D" w14:textId="77777777" w:rsidR="00B57EB9" w:rsidRPr="00B57EB9" w:rsidRDefault="00B57EB9" w:rsidP="00203AB7">
      <w:pPr>
        <w:pStyle w:val="Default"/>
        <w:spacing w:after="240"/>
        <w:ind w:left="720" w:hanging="720"/>
        <w:jc w:val="both"/>
        <w:rPr>
          <w:rFonts w:asciiTheme="majorBidi" w:hAnsiTheme="majorBidi" w:cstheme="majorBidi"/>
        </w:rPr>
      </w:pPr>
      <w:r w:rsidRPr="00B57EB9">
        <w:rPr>
          <w:rFonts w:asciiTheme="majorBidi" w:eastAsia="Times New Roman" w:hAnsiTheme="majorBidi" w:cstheme="majorBidi"/>
          <w:color w:val="auto"/>
        </w:rPr>
        <w:t xml:space="preserve">Ali, R., Liu, Y., Rehman, R. U., &amp; Naseem, M. A. (2024). CSR disclosure, financial performance, and ownership: evidence from China. </w:t>
      </w:r>
      <w:r w:rsidRPr="00B57EB9">
        <w:rPr>
          <w:rFonts w:asciiTheme="majorBidi" w:eastAsia="Times New Roman" w:hAnsiTheme="majorBidi" w:cstheme="majorBidi"/>
          <w:i/>
          <w:iCs/>
          <w:color w:val="auto"/>
        </w:rPr>
        <w:t>Journal of Strategy and Management</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17</w:t>
      </w:r>
      <w:r w:rsidRPr="00B57EB9">
        <w:rPr>
          <w:rFonts w:asciiTheme="majorBidi" w:eastAsia="Times New Roman" w:hAnsiTheme="majorBidi" w:cstheme="majorBidi"/>
          <w:color w:val="auto"/>
        </w:rPr>
        <w:t xml:space="preserve">(4), </w:t>
      </w:r>
      <w:r w:rsidRPr="00B57EB9">
        <w:rPr>
          <w:rFonts w:asciiTheme="majorBidi" w:hAnsiTheme="majorBidi" w:cstheme="majorBidi"/>
          <w:color w:val="auto"/>
        </w:rPr>
        <w:t xml:space="preserve">688-706. </w:t>
      </w:r>
      <w:hyperlink r:id="rId13" w:tooltip="DOI: https://doi.org/10.1108/JSMA-07-2023-0180" w:history="1">
        <w:r w:rsidRPr="00B57EB9">
          <w:rPr>
            <w:rStyle w:val="Hyperlink"/>
            <w:rFonts w:asciiTheme="majorBidi" w:hAnsiTheme="majorBidi" w:cstheme="majorBidi"/>
            <w:color w:val="0070C0"/>
          </w:rPr>
          <w:t>https://doi.org/10.1108/JSMA-07-2023-0180</w:t>
        </w:r>
      </w:hyperlink>
    </w:p>
    <w:p w14:paraId="06945A9A" w14:textId="77777777" w:rsidR="00B57EB9" w:rsidRPr="00B57EB9" w:rsidRDefault="00B57EB9" w:rsidP="00145E67">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Al-</w:t>
      </w:r>
      <w:proofErr w:type="spellStart"/>
      <w:r w:rsidRPr="00B57EB9">
        <w:rPr>
          <w:rFonts w:asciiTheme="majorBidi" w:eastAsia="Times New Roman" w:hAnsiTheme="majorBidi" w:cstheme="majorBidi"/>
          <w:kern w:val="0"/>
          <w14:ligatures w14:val="none"/>
        </w:rPr>
        <w:t>Janabi</w:t>
      </w:r>
      <w:proofErr w:type="spellEnd"/>
      <w:r w:rsidRPr="00B57EB9">
        <w:rPr>
          <w:rFonts w:asciiTheme="majorBidi" w:eastAsia="Times New Roman" w:hAnsiTheme="majorBidi" w:cstheme="majorBidi"/>
          <w:kern w:val="0"/>
          <w14:ligatures w14:val="none"/>
        </w:rPr>
        <w:t xml:space="preserve">, M. (2023). ESG disclosures and corporate sustainability: A case study of Iraq’s oil and gas sector. </w:t>
      </w:r>
      <w:r w:rsidRPr="00B57EB9">
        <w:rPr>
          <w:rFonts w:asciiTheme="majorBidi" w:eastAsia="Times New Roman" w:hAnsiTheme="majorBidi" w:cstheme="majorBidi"/>
          <w:i/>
          <w:iCs/>
          <w:kern w:val="0"/>
          <w14:ligatures w14:val="none"/>
        </w:rPr>
        <w:t>International Journal of Finance and Management, 45</w:t>
      </w:r>
      <w:r w:rsidRPr="00B57EB9">
        <w:rPr>
          <w:rFonts w:asciiTheme="majorBidi" w:eastAsia="Times New Roman" w:hAnsiTheme="majorBidi" w:cstheme="majorBidi"/>
          <w:kern w:val="0"/>
          <w14:ligatures w14:val="none"/>
        </w:rPr>
        <w:t xml:space="preserve">(2), 199-214. </w:t>
      </w:r>
    </w:p>
    <w:p w14:paraId="046482A4"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Al-Shammari, R., &amp; Al-Ansari, H. (2023). Non-traditional financial disclosures and their role in enhancing corporate accountability in emerging economies. </w:t>
      </w:r>
      <w:r w:rsidRPr="00B57EB9">
        <w:rPr>
          <w:rFonts w:asciiTheme="majorBidi" w:eastAsia="Times New Roman" w:hAnsiTheme="majorBidi" w:cstheme="majorBidi"/>
          <w:i/>
          <w:iCs/>
          <w:kern w:val="0"/>
          <w14:ligatures w14:val="none"/>
        </w:rPr>
        <w:t>Sustainability Accounting Review, 12</w:t>
      </w:r>
      <w:r w:rsidRPr="00B57EB9">
        <w:rPr>
          <w:rFonts w:asciiTheme="majorBidi" w:eastAsia="Times New Roman" w:hAnsiTheme="majorBidi" w:cstheme="majorBidi"/>
          <w:kern w:val="0"/>
          <w14:ligatures w14:val="none"/>
        </w:rPr>
        <w:t xml:space="preserve">(1), 75-91. </w:t>
      </w:r>
    </w:p>
    <w:p w14:paraId="1EF48600" w14:textId="27DD1454" w:rsidR="00B57EB9" w:rsidRPr="00B57EB9" w:rsidRDefault="00B57EB9" w:rsidP="00657119">
      <w:pPr>
        <w:spacing w:after="240" w:line="240" w:lineRule="auto"/>
        <w:ind w:left="720" w:hanging="720"/>
        <w:jc w:val="both"/>
        <w:rPr>
          <w:rFonts w:asciiTheme="majorBidi" w:hAnsiTheme="majorBidi" w:cstheme="majorBidi"/>
        </w:rPr>
      </w:pPr>
      <w:proofErr w:type="spellStart"/>
      <w:r w:rsidRPr="00B57EB9">
        <w:rPr>
          <w:rFonts w:asciiTheme="majorBidi" w:eastAsia="Times New Roman" w:hAnsiTheme="majorBidi" w:cstheme="majorBidi"/>
          <w:kern w:val="0"/>
          <w14:ligatures w14:val="none"/>
        </w:rPr>
        <w:t>Alshuqairy</w:t>
      </w:r>
      <w:proofErr w:type="spellEnd"/>
      <w:r w:rsidRPr="00B57EB9">
        <w:rPr>
          <w:rFonts w:asciiTheme="majorBidi" w:eastAsia="Times New Roman" w:hAnsiTheme="majorBidi" w:cstheme="majorBidi"/>
          <w:kern w:val="0"/>
          <w14:ligatures w14:val="none"/>
        </w:rPr>
        <w:t xml:space="preserve">, M. (2022). The </w:t>
      </w:r>
      <w:r w:rsidR="00F57895" w:rsidRPr="00B57EB9">
        <w:rPr>
          <w:rFonts w:asciiTheme="majorBidi" w:eastAsia="Times New Roman" w:hAnsiTheme="majorBidi" w:cstheme="majorBidi"/>
          <w:kern w:val="0"/>
          <w14:ligatures w14:val="none"/>
        </w:rPr>
        <w:t xml:space="preserve">impact of sustainability disclosure on the transparency of financial performance </w:t>
      </w:r>
      <w:r w:rsidRPr="00B57EB9">
        <w:rPr>
          <w:rFonts w:asciiTheme="majorBidi" w:eastAsia="Times New Roman" w:hAnsiTheme="majorBidi" w:cstheme="majorBidi"/>
          <w:kern w:val="0"/>
          <w14:ligatures w14:val="none"/>
        </w:rPr>
        <w:t xml:space="preserve">in Iraqi </w:t>
      </w:r>
      <w:r w:rsidR="00F57895">
        <w:rPr>
          <w:rFonts w:asciiTheme="majorBidi" w:eastAsia="Times New Roman" w:hAnsiTheme="majorBidi" w:cstheme="majorBidi"/>
          <w:kern w:val="0"/>
          <w14:ligatures w14:val="none"/>
        </w:rPr>
        <w:t>b</w:t>
      </w:r>
      <w:r w:rsidRPr="00B57EB9">
        <w:rPr>
          <w:rFonts w:asciiTheme="majorBidi" w:eastAsia="Times New Roman" w:hAnsiTheme="majorBidi" w:cstheme="majorBidi"/>
          <w:kern w:val="0"/>
          <w14:ligatures w14:val="none"/>
        </w:rPr>
        <w:t xml:space="preserve">anks. </w:t>
      </w:r>
      <w:r w:rsidRPr="00B57EB9">
        <w:rPr>
          <w:rFonts w:asciiTheme="majorBidi" w:eastAsia="Times New Roman" w:hAnsiTheme="majorBidi" w:cstheme="majorBidi"/>
          <w:i/>
          <w:iCs/>
          <w:kern w:val="0"/>
          <w14:ligatures w14:val="none"/>
        </w:rPr>
        <w:t>Journal of Accounting and Finance</w:t>
      </w:r>
      <w:r w:rsidRPr="00B57EB9">
        <w:rPr>
          <w:rFonts w:asciiTheme="majorBidi" w:eastAsia="Times New Roman" w:hAnsiTheme="majorBidi" w:cstheme="majorBidi"/>
          <w:kern w:val="0"/>
          <w14:ligatures w14:val="none"/>
        </w:rPr>
        <w:t>, 12(3), 45-60.​</w:t>
      </w:r>
      <w:r w:rsidRPr="00B57EB9">
        <w:rPr>
          <w:rFonts w:asciiTheme="majorBidi" w:hAnsiTheme="majorBidi" w:cstheme="majorBidi"/>
        </w:rPr>
        <w:t xml:space="preserve"> </w:t>
      </w:r>
    </w:p>
    <w:p w14:paraId="25C57F39" w14:textId="77777777" w:rsidR="00B57EB9" w:rsidRPr="00B57EB9" w:rsidRDefault="00B57EB9" w:rsidP="005460F0">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Al-Tamimi, A. (2021). The influence of sustainability reporting on profitability in Iraqi companies. </w:t>
      </w:r>
      <w:r w:rsidRPr="00B57EB9">
        <w:rPr>
          <w:rFonts w:asciiTheme="majorBidi" w:eastAsia="Times New Roman" w:hAnsiTheme="majorBidi" w:cstheme="majorBidi"/>
          <w:i/>
          <w:iCs/>
          <w:kern w:val="0"/>
          <w14:ligatures w14:val="none"/>
        </w:rPr>
        <w:t>Tikrit Journal of Management Studies</w:t>
      </w:r>
      <w:r w:rsidRPr="00B57EB9">
        <w:rPr>
          <w:rFonts w:asciiTheme="majorBidi" w:eastAsia="Times New Roman" w:hAnsiTheme="majorBidi" w:cstheme="majorBidi"/>
          <w:kern w:val="0"/>
          <w14:ligatures w14:val="none"/>
        </w:rPr>
        <w:t>, 17(1), 25-38.​</w:t>
      </w:r>
    </w:p>
    <w:p w14:paraId="24AE83A7" w14:textId="77777777" w:rsidR="00B57EB9" w:rsidRPr="00B57EB9" w:rsidRDefault="00B57EB9" w:rsidP="00BE4405">
      <w:pPr>
        <w:spacing w:after="240" w:line="240" w:lineRule="auto"/>
        <w:ind w:left="720" w:hanging="720"/>
        <w:jc w:val="both"/>
        <w:rPr>
          <w:rFonts w:asciiTheme="majorBidi" w:eastAsia="Times New Roman" w:hAnsiTheme="majorBidi" w:cstheme="majorBidi"/>
          <w:kern w:val="0"/>
          <w14:ligatures w14:val="none"/>
        </w:rPr>
      </w:pPr>
      <w:r w:rsidRPr="006E05CC">
        <w:rPr>
          <w:rFonts w:asciiTheme="majorBidi" w:hAnsiTheme="majorBidi" w:cstheme="majorBidi"/>
        </w:rPr>
        <w:t xml:space="preserve">Amini, M., &amp; Bienstock, C. C. (2014). </w:t>
      </w:r>
      <w:r w:rsidRPr="00B57EB9">
        <w:rPr>
          <w:rFonts w:asciiTheme="majorBidi" w:hAnsiTheme="majorBidi" w:cstheme="majorBidi"/>
        </w:rPr>
        <w:t xml:space="preserve">Corporate sustainability: An integrative definition and framework to evaluate corporate practice and guide academic research. </w:t>
      </w:r>
      <w:r w:rsidRPr="00B57EB9">
        <w:rPr>
          <w:rStyle w:val="Emphasis"/>
          <w:rFonts w:asciiTheme="majorBidi" w:hAnsiTheme="majorBidi" w:cstheme="majorBidi"/>
        </w:rPr>
        <w:t>Journal of Cleaner Production</w:t>
      </w:r>
      <w:r w:rsidRPr="00B57EB9">
        <w:rPr>
          <w:rFonts w:asciiTheme="majorBidi" w:hAnsiTheme="majorBidi" w:cstheme="majorBidi"/>
        </w:rPr>
        <w:t xml:space="preserve">, 76, 12–19. </w:t>
      </w:r>
      <w:hyperlink r:id="rId14" w:history="1">
        <w:r w:rsidRPr="00B57EB9">
          <w:rPr>
            <w:rStyle w:val="Hyperlink"/>
            <w:rFonts w:asciiTheme="majorBidi" w:hAnsiTheme="majorBidi" w:cstheme="majorBidi"/>
          </w:rPr>
          <w:t>https://doi.org/10.1016/j.jclepro.2014.02.016</w:t>
        </w:r>
      </w:hyperlink>
    </w:p>
    <w:p w14:paraId="55FD5E41" w14:textId="77777777" w:rsidR="00B57EB9" w:rsidRPr="00B57EB9" w:rsidRDefault="00B57EB9" w:rsidP="00145E67">
      <w:pPr>
        <w:pStyle w:val="Default"/>
        <w:spacing w:after="240"/>
        <w:ind w:left="720" w:hanging="720"/>
        <w:jc w:val="both"/>
        <w:rPr>
          <w:rFonts w:asciiTheme="majorBidi" w:hAnsiTheme="majorBidi" w:cstheme="majorBidi"/>
          <w:bCs/>
        </w:rPr>
      </w:pPr>
      <w:bookmarkStart w:id="9" w:name="_Hlk157586934"/>
      <w:proofErr w:type="spellStart"/>
      <w:r w:rsidRPr="00B57EB9">
        <w:rPr>
          <w:rFonts w:asciiTheme="majorBidi" w:hAnsiTheme="majorBidi" w:cstheme="majorBidi"/>
          <w:bCs/>
        </w:rPr>
        <w:t>Asubiojo</w:t>
      </w:r>
      <w:proofErr w:type="spellEnd"/>
      <w:r w:rsidRPr="00B57EB9">
        <w:rPr>
          <w:rFonts w:asciiTheme="majorBidi" w:hAnsiTheme="majorBidi" w:cstheme="majorBidi"/>
          <w:bCs/>
        </w:rPr>
        <w:t xml:space="preserve">, A. O., </w:t>
      </w:r>
      <w:proofErr w:type="spellStart"/>
      <w:r w:rsidRPr="00B57EB9">
        <w:rPr>
          <w:rFonts w:asciiTheme="majorBidi" w:hAnsiTheme="majorBidi" w:cstheme="majorBidi"/>
          <w:bCs/>
        </w:rPr>
        <w:t>Dagunduro</w:t>
      </w:r>
      <w:proofErr w:type="spellEnd"/>
      <w:r w:rsidRPr="00B57EB9">
        <w:rPr>
          <w:rFonts w:asciiTheme="majorBidi" w:hAnsiTheme="majorBidi" w:cstheme="majorBidi"/>
          <w:bCs/>
        </w:rPr>
        <w:t xml:space="preserve">, M. E., &amp; Falana, G. A. (2023). Environmental conservation cost and corporate performance of quarry companies in Nigeria: An empirical analysis. </w:t>
      </w:r>
      <w:r w:rsidRPr="00B57EB9">
        <w:rPr>
          <w:rFonts w:asciiTheme="majorBidi" w:hAnsiTheme="majorBidi" w:cstheme="majorBidi"/>
          <w:bCs/>
          <w:i/>
          <w:iCs/>
        </w:rPr>
        <w:t>International Journal of Research and Innovation in Social Science (IJRISS), 7</w:t>
      </w:r>
      <w:r w:rsidRPr="00B57EB9">
        <w:rPr>
          <w:rFonts w:asciiTheme="majorBidi" w:hAnsiTheme="majorBidi" w:cstheme="majorBidi"/>
          <w:bCs/>
        </w:rPr>
        <w:t xml:space="preserve">(8), 49-63. </w:t>
      </w:r>
      <w:hyperlink r:id="rId15" w:history="1">
        <w:r w:rsidRPr="00B57EB9">
          <w:rPr>
            <w:rStyle w:val="Hyperlink"/>
            <w:rFonts w:asciiTheme="majorBidi" w:hAnsiTheme="majorBidi" w:cstheme="majorBidi"/>
            <w:bCs/>
          </w:rPr>
          <w:t>https://dx.doi.org/10.47772/IJRISS.2023.7804</w:t>
        </w:r>
      </w:hyperlink>
    </w:p>
    <w:bookmarkEnd w:id="9"/>
    <w:p w14:paraId="7415D37A" w14:textId="62BB2042" w:rsidR="00B57EB9" w:rsidRPr="00B57EB9" w:rsidRDefault="00B57EB9" w:rsidP="0050098C">
      <w:pPr>
        <w:spacing w:after="240" w:line="240" w:lineRule="auto"/>
        <w:ind w:left="720" w:hanging="720"/>
        <w:jc w:val="both"/>
        <w:rPr>
          <w:rFonts w:asciiTheme="majorBidi" w:eastAsia="Times New Roman" w:hAnsiTheme="majorBidi" w:cstheme="majorBidi"/>
          <w:kern w:val="0"/>
          <w14:ligatures w14:val="none"/>
        </w:rPr>
      </w:pPr>
      <w:proofErr w:type="spellStart"/>
      <w:r w:rsidRPr="0050098C">
        <w:rPr>
          <w:rFonts w:asciiTheme="majorBidi" w:eastAsia="Times New Roman" w:hAnsiTheme="majorBidi" w:cstheme="majorBidi"/>
          <w:kern w:val="0"/>
          <w14:ligatures w14:val="none"/>
        </w:rPr>
        <w:t>Baldissera</w:t>
      </w:r>
      <w:proofErr w:type="spellEnd"/>
      <w:r w:rsidRPr="0050098C">
        <w:rPr>
          <w:rFonts w:asciiTheme="majorBidi" w:eastAsia="Times New Roman" w:hAnsiTheme="majorBidi" w:cstheme="majorBidi"/>
          <w:kern w:val="0"/>
          <w14:ligatures w14:val="none"/>
        </w:rPr>
        <w:t xml:space="preserve">, A. (2022). Non-financial disclosure and economic performance of top </w:t>
      </w:r>
      <w:r w:rsidR="00237C59">
        <w:rPr>
          <w:rFonts w:asciiTheme="majorBidi" w:eastAsia="Times New Roman" w:hAnsiTheme="majorBidi" w:cstheme="majorBidi"/>
          <w:kern w:val="0"/>
          <w14:ligatures w14:val="none"/>
        </w:rPr>
        <w:t>Italian</w:t>
      </w:r>
      <w:r w:rsidRPr="0050098C">
        <w:rPr>
          <w:rFonts w:asciiTheme="majorBidi" w:eastAsia="Times New Roman" w:hAnsiTheme="majorBidi" w:cstheme="majorBidi"/>
          <w:kern w:val="0"/>
          <w14:ligatures w14:val="none"/>
        </w:rPr>
        <w:t xml:space="preserve"> listed banks. </w:t>
      </w:r>
      <w:r w:rsidRPr="0050098C">
        <w:rPr>
          <w:rFonts w:asciiTheme="majorBidi" w:eastAsia="Times New Roman" w:hAnsiTheme="majorBidi" w:cstheme="majorBidi"/>
          <w:i/>
          <w:iCs/>
          <w:kern w:val="0"/>
          <w14:ligatures w14:val="none"/>
        </w:rPr>
        <w:t>Advances in Management and Applied Economics</w:t>
      </w:r>
      <w:r w:rsidRPr="0050098C">
        <w:rPr>
          <w:rFonts w:asciiTheme="majorBidi" w:eastAsia="Times New Roman" w:hAnsiTheme="majorBidi" w:cstheme="majorBidi"/>
          <w:kern w:val="0"/>
          <w14:ligatures w14:val="none"/>
        </w:rPr>
        <w:t xml:space="preserve">, </w:t>
      </w:r>
      <w:r w:rsidRPr="0050098C">
        <w:rPr>
          <w:rFonts w:asciiTheme="majorBidi" w:eastAsia="Times New Roman" w:hAnsiTheme="majorBidi" w:cstheme="majorBidi"/>
          <w:i/>
          <w:iCs/>
          <w:kern w:val="0"/>
          <w14:ligatures w14:val="none"/>
        </w:rPr>
        <w:t>12</w:t>
      </w:r>
      <w:r w:rsidRPr="0050098C">
        <w:rPr>
          <w:rFonts w:asciiTheme="majorBidi" w:eastAsia="Times New Roman" w:hAnsiTheme="majorBidi" w:cstheme="majorBidi"/>
          <w:kern w:val="0"/>
          <w14:ligatures w14:val="none"/>
        </w:rPr>
        <w:t xml:space="preserve">(6), </w:t>
      </w:r>
      <w:r w:rsidRPr="00B57EB9">
        <w:rPr>
          <w:rFonts w:asciiTheme="majorBidi" w:eastAsia="Times New Roman" w:hAnsiTheme="majorBidi" w:cstheme="majorBidi"/>
          <w:kern w:val="0"/>
          <w14:ligatures w14:val="none"/>
        </w:rPr>
        <w:t>29-45</w:t>
      </w:r>
      <w:r w:rsidRPr="0050098C">
        <w:rPr>
          <w:rFonts w:asciiTheme="majorBidi" w:eastAsia="Times New Roman" w:hAnsiTheme="majorBidi" w:cstheme="majorBidi"/>
          <w:kern w:val="0"/>
          <w14:ligatures w14:val="none"/>
        </w:rPr>
        <w:t>.</w:t>
      </w:r>
      <w:r w:rsidRPr="00B57EB9">
        <w:rPr>
          <w:rFonts w:asciiTheme="majorBidi" w:eastAsia="Times New Roman" w:hAnsiTheme="majorBidi" w:cstheme="majorBidi"/>
          <w:kern w:val="0"/>
          <w14:ligatures w14:val="none"/>
        </w:rPr>
        <w:t xml:space="preserve"> </w:t>
      </w:r>
      <w:hyperlink r:id="rId16" w:history="1">
        <w:r w:rsidRPr="00B57EB9">
          <w:rPr>
            <w:rStyle w:val="Hyperlink"/>
            <w:rFonts w:asciiTheme="majorBidi" w:eastAsia="Times New Roman" w:hAnsiTheme="majorBidi" w:cstheme="majorBidi"/>
            <w:kern w:val="0"/>
            <w14:ligatures w14:val="none"/>
          </w:rPr>
          <w:t>https://doi.org/10.47260/amae/1262</w:t>
        </w:r>
      </w:hyperlink>
    </w:p>
    <w:p w14:paraId="045EF6CB" w14:textId="761C221D" w:rsidR="00B57EB9" w:rsidRPr="00B57EB9" w:rsidRDefault="00B57EB9" w:rsidP="00145E67">
      <w:pPr>
        <w:pStyle w:val="Default"/>
        <w:spacing w:after="240"/>
        <w:ind w:left="720" w:hanging="720"/>
        <w:jc w:val="both"/>
        <w:rPr>
          <w:rFonts w:asciiTheme="majorBidi" w:hAnsiTheme="majorBidi" w:cstheme="majorBidi"/>
        </w:rPr>
      </w:pPr>
      <w:bookmarkStart w:id="10" w:name="_Hlk180656901"/>
      <w:r w:rsidRPr="00B57EB9">
        <w:rPr>
          <w:rFonts w:asciiTheme="majorBidi" w:hAnsiTheme="majorBidi" w:cstheme="majorBidi"/>
        </w:rPr>
        <w:t xml:space="preserve">Boluwaji, O. D., </w:t>
      </w:r>
      <w:proofErr w:type="spellStart"/>
      <w:r w:rsidRPr="00B57EB9">
        <w:rPr>
          <w:rFonts w:asciiTheme="majorBidi" w:hAnsiTheme="majorBidi" w:cstheme="majorBidi"/>
        </w:rPr>
        <w:t>Igbekoyi</w:t>
      </w:r>
      <w:proofErr w:type="spellEnd"/>
      <w:r w:rsidRPr="00B57EB9">
        <w:rPr>
          <w:rFonts w:asciiTheme="majorBidi" w:hAnsiTheme="majorBidi" w:cstheme="majorBidi"/>
        </w:rPr>
        <w:t xml:space="preserve">, O. E., </w:t>
      </w: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Busayo, T. O., &amp; </w:t>
      </w:r>
      <w:proofErr w:type="spellStart"/>
      <w:r w:rsidRPr="00B57EB9">
        <w:rPr>
          <w:rFonts w:asciiTheme="majorBidi" w:hAnsiTheme="majorBidi" w:cstheme="majorBidi"/>
        </w:rPr>
        <w:t>Osatuyi</w:t>
      </w:r>
      <w:proofErr w:type="spellEnd"/>
      <w:r w:rsidRPr="00B57EB9">
        <w:rPr>
          <w:rFonts w:asciiTheme="majorBidi" w:hAnsiTheme="majorBidi" w:cstheme="majorBidi"/>
        </w:rPr>
        <w:t xml:space="preserve">, O. A. (2024). Sustainable business practice and </w:t>
      </w:r>
      <w:r w:rsidR="00237C59">
        <w:rPr>
          <w:rFonts w:asciiTheme="majorBidi" w:hAnsiTheme="majorBidi" w:cstheme="majorBidi"/>
        </w:rPr>
        <w:t xml:space="preserve">the </w:t>
      </w:r>
      <w:r w:rsidRPr="00B57EB9">
        <w:rPr>
          <w:rFonts w:asciiTheme="majorBidi" w:hAnsiTheme="majorBidi" w:cstheme="majorBidi"/>
        </w:rPr>
        <w:t xml:space="preserve">going concern of selected listed manufacturing companies in Nigeria. </w:t>
      </w:r>
      <w:r w:rsidRPr="00B57EB9">
        <w:rPr>
          <w:rFonts w:asciiTheme="majorBidi" w:hAnsiTheme="majorBidi" w:cstheme="majorBidi"/>
          <w:i/>
          <w:iCs/>
        </w:rPr>
        <w:t>International Journal of Emerging Trends in Social Sciences, 16</w:t>
      </w:r>
      <w:r w:rsidRPr="00B57EB9">
        <w:rPr>
          <w:rFonts w:asciiTheme="majorBidi" w:hAnsiTheme="majorBidi" w:cstheme="majorBidi"/>
        </w:rPr>
        <w:t xml:space="preserve">(1), 1-12. </w:t>
      </w:r>
      <w:hyperlink r:id="rId17" w:history="1">
        <w:r w:rsidRPr="00B57EB9">
          <w:rPr>
            <w:rStyle w:val="Hyperlink"/>
            <w:rFonts w:asciiTheme="majorBidi" w:hAnsiTheme="majorBidi" w:cstheme="majorBidi"/>
          </w:rPr>
          <w:t>https://doi.org/10.55217/103.v16i1.724</w:t>
        </w:r>
      </w:hyperlink>
    </w:p>
    <w:bookmarkEnd w:id="10"/>
    <w:p w14:paraId="4A2E8CCE" w14:textId="77777777" w:rsidR="00B57EB9" w:rsidRPr="00B57EB9" w:rsidRDefault="00B57EB9" w:rsidP="00203AB7">
      <w:pPr>
        <w:pStyle w:val="Default"/>
        <w:spacing w:after="240"/>
        <w:ind w:left="720" w:hanging="720"/>
        <w:jc w:val="both"/>
        <w:rPr>
          <w:rFonts w:asciiTheme="majorBidi" w:eastAsia="Times New Roman" w:hAnsiTheme="majorBidi" w:cstheme="majorBidi"/>
          <w:color w:val="auto"/>
        </w:rPr>
      </w:pPr>
      <w:proofErr w:type="spellStart"/>
      <w:r w:rsidRPr="00B57EB9">
        <w:rPr>
          <w:rFonts w:asciiTheme="majorBidi" w:eastAsia="Times New Roman" w:hAnsiTheme="majorBidi" w:cstheme="majorBidi"/>
          <w:color w:val="auto"/>
        </w:rPr>
        <w:lastRenderedPageBreak/>
        <w:t>Cicchiello</w:t>
      </w:r>
      <w:proofErr w:type="spellEnd"/>
      <w:r w:rsidRPr="00B57EB9">
        <w:rPr>
          <w:rFonts w:asciiTheme="majorBidi" w:eastAsia="Times New Roman" w:hAnsiTheme="majorBidi" w:cstheme="majorBidi"/>
          <w:color w:val="auto"/>
        </w:rPr>
        <w:t xml:space="preserve">, A. F., </w:t>
      </w:r>
      <w:proofErr w:type="spellStart"/>
      <w:r w:rsidRPr="00B57EB9">
        <w:rPr>
          <w:rFonts w:asciiTheme="majorBidi" w:eastAsia="Times New Roman" w:hAnsiTheme="majorBidi" w:cstheme="majorBidi"/>
          <w:color w:val="auto"/>
        </w:rPr>
        <w:t>Marrazza</w:t>
      </w:r>
      <w:proofErr w:type="spellEnd"/>
      <w:r w:rsidRPr="00B57EB9">
        <w:rPr>
          <w:rFonts w:asciiTheme="majorBidi" w:eastAsia="Times New Roman" w:hAnsiTheme="majorBidi" w:cstheme="majorBidi"/>
          <w:color w:val="auto"/>
        </w:rPr>
        <w:t xml:space="preserve">, F., &amp; </w:t>
      </w:r>
      <w:proofErr w:type="spellStart"/>
      <w:r w:rsidRPr="00B57EB9">
        <w:rPr>
          <w:rFonts w:asciiTheme="majorBidi" w:eastAsia="Times New Roman" w:hAnsiTheme="majorBidi" w:cstheme="majorBidi"/>
          <w:color w:val="auto"/>
        </w:rPr>
        <w:t>Perdichizzi</w:t>
      </w:r>
      <w:proofErr w:type="spellEnd"/>
      <w:r w:rsidRPr="00B57EB9">
        <w:rPr>
          <w:rFonts w:asciiTheme="majorBidi" w:eastAsia="Times New Roman" w:hAnsiTheme="majorBidi" w:cstheme="majorBidi"/>
          <w:color w:val="auto"/>
        </w:rPr>
        <w:t xml:space="preserve">, S. (2023). Non‐financial disclosure regulation and environmental, social, and governance (ESG) performance: The case of EU and US firms. </w:t>
      </w:r>
      <w:r w:rsidRPr="00B57EB9">
        <w:rPr>
          <w:rFonts w:asciiTheme="majorBidi" w:eastAsia="Times New Roman" w:hAnsiTheme="majorBidi" w:cstheme="majorBidi"/>
          <w:i/>
          <w:iCs/>
          <w:color w:val="auto"/>
        </w:rPr>
        <w:t>Corporate Social Responsibility and Environmental Management</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30</w:t>
      </w:r>
      <w:r w:rsidRPr="00B57EB9">
        <w:rPr>
          <w:rFonts w:asciiTheme="majorBidi" w:eastAsia="Times New Roman" w:hAnsiTheme="majorBidi" w:cstheme="majorBidi"/>
          <w:color w:val="auto"/>
        </w:rPr>
        <w:t>(3), 1121-1128.</w:t>
      </w:r>
    </w:p>
    <w:p w14:paraId="76DCAA7A" w14:textId="0EA69214" w:rsidR="00B57EB9" w:rsidRPr="00B57EB9" w:rsidRDefault="00B57EB9" w:rsidP="00145E67">
      <w:pPr>
        <w:pStyle w:val="Bibliography"/>
        <w:spacing w:line="240" w:lineRule="auto"/>
        <w:ind w:left="720" w:hanging="720"/>
        <w:jc w:val="both"/>
        <w:rPr>
          <w:rFonts w:asciiTheme="majorBidi" w:hAnsiTheme="majorBidi" w:cstheme="majorBidi"/>
          <w:sz w:val="24"/>
          <w:szCs w:val="24"/>
        </w:rPr>
      </w:pPr>
      <w:bookmarkStart w:id="11" w:name="_Hlk150430083"/>
      <w:r w:rsidRPr="00B57EB9">
        <w:rPr>
          <w:rFonts w:asciiTheme="majorBidi" w:hAnsiTheme="majorBidi" w:cstheme="majorBidi"/>
          <w:sz w:val="24"/>
          <w:szCs w:val="24"/>
        </w:rPr>
        <w:t xml:space="preserve">Dada, S. A., </w:t>
      </w:r>
      <w:proofErr w:type="spellStart"/>
      <w:r w:rsidRPr="00B57EB9">
        <w:rPr>
          <w:rFonts w:asciiTheme="majorBidi" w:hAnsiTheme="majorBidi" w:cstheme="majorBidi"/>
          <w:sz w:val="24"/>
          <w:szCs w:val="24"/>
        </w:rPr>
        <w:t>Igbekoyi</w:t>
      </w:r>
      <w:proofErr w:type="spellEnd"/>
      <w:r w:rsidRPr="00B57EB9">
        <w:rPr>
          <w:rFonts w:asciiTheme="majorBidi" w:hAnsiTheme="majorBidi" w:cstheme="majorBidi"/>
          <w:sz w:val="24"/>
          <w:szCs w:val="24"/>
        </w:rPr>
        <w:t xml:space="preserve">, O. E., &amp; </w:t>
      </w:r>
      <w:proofErr w:type="spellStart"/>
      <w:r w:rsidRPr="00B57EB9">
        <w:rPr>
          <w:rFonts w:asciiTheme="majorBidi" w:hAnsiTheme="majorBidi" w:cstheme="majorBidi"/>
          <w:sz w:val="24"/>
          <w:szCs w:val="24"/>
        </w:rPr>
        <w:t>Dagunduro</w:t>
      </w:r>
      <w:proofErr w:type="spellEnd"/>
      <w:r w:rsidRPr="00B57EB9">
        <w:rPr>
          <w:rFonts w:asciiTheme="majorBidi" w:hAnsiTheme="majorBidi" w:cstheme="majorBidi"/>
          <w:sz w:val="24"/>
          <w:szCs w:val="24"/>
        </w:rPr>
        <w:t xml:space="preserve">, M. E. (2023). Effects of forensic accounting techniques and corporate governance on </w:t>
      </w:r>
      <w:r w:rsidR="00237C59">
        <w:rPr>
          <w:rFonts w:asciiTheme="majorBidi" w:hAnsiTheme="majorBidi" w:cstheme="majorBidi"/>
          <w:sz w:val="24"/>
          <w:szCs w:val="24"/>
        </w:rPr>
        <w:t xml:space="preserve">the </w:t>
      </w:r>
      <w:r w:rsidRPr="00B57EB9">
        <w:rPr>
          <w:rFonts w:asciiTheme="majorBidi" w:hAnsiTheme="majorBidi" w:cstheme="majorBidi"/>
          <w:sz w:val="24"/>
          <w:szCs w:val="24"/>
        </w:rPr>
        <w:t xml:space="preserve">financial performance of listed deposit money banks in Nigeria. </w:t>
      </w:r>
      <w:r w:rsidRPr="00B57EB9">
        <w:rPr>
          <w:rFonts w:asciiTheme="majorBidi" w:hAnsiTheme="majorBidi" w:cstheme="majorBidi"/>
          <w:i/>
          <w:iCs/>
          <w:sz w:val="24"/>
          <w:szCs w:val="24"/>
        </w:rPr>
        <w:t>International Journal of Professional Business Review, 8</w:t>
      </w:r>
      <w:r w:rsidRPr="00B57EB9">
        <w:rPr>
          <w:rFonts w:asciiTheme="majorBidi" w:hAnsiTheme="majorBidi" w:cstheme="majorBidi"/>
          <w:sz w:val="24"/>
          <w:szCs w:val="24"/>
        </w:rPr>
        <w:t xml:space="preserve">(10), 1-26. </w:t>
      </w:r>
      <w:hyperlink r:id="rId18" w:history="1">
        <w:r w:rsidRPr="00B57EB9">
          <w:rPr>
            <w:rStyle w:val="Hyperlink"/>
            <w:rFonts w:asciiTheme="majorBidi" w:hAnsiTheme="majorBidi" w:cstheme="majorBidi"/>
            <w:sz w:val="24"/>
            <w:szCs w:val="24"/>
          </w:rPr>
          <w:t>https://doi.org/10.26668/businessreview/2023.v8i10.3547</w:t>
        </w:r>
      </w:hyperlink>
    </w:p>
    <w:bookmarkEnd w:id="11"/>
    <w:p w14:paraId="0A84FCE4" w14:textId="77777777" w:rsidR="00B57EB9" w:rsidRPr="00B57EB9" w:rsidRDefault="00B57EB9" w:rsidP="00145E67">
      <w:pPr>
        <w:spacing w:after="240" w:line="240" w:lineRule="auto"/>
        <w:ind w:left="720" w:hanging="720"/>
        <w:jc w:val="both"/>
        <w:rPr>
          <w:rFonts w:asciiTheme="majorBidi" w:hAnsiTheme="majorBidi" w:cstheme="majorBidi"/>
        </w:rPr>
      </w:pP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Falana, G. A., Ajayi, J. O., &amp; Boluwaji, O. D. (2024). Non-financial disclosure and firm performance: insights from listed consumer goods manufacturing firms in Nigeria. </w:t>
      </w:r>
      <w:r w:rsidRPr="00B57EB9">
        <w:rPr>
          <w:rFonts w:asciiTheme="majorBidi" w:hAnsiTheme="majorBidi" w:cstheme="majorBidi"/>
          <w:i/>
          <w:iCs/>
        </w:rPr>
        <w:t>Economy, Business &amp; Development, 5</w:t>
      </w:r>
      <w:r w:rsidRPr="00B57EB9">
        <w:rPr>
          <w:rFonts w:asciiTheme="majorBidi" w:hAnsiTheme="majorBidi" w:cstheme="majorBidi"/>
        </w:rPr>
        <w:t xml:space="preserve">(1), 14-27. </w:t>
      </w:r>
      <w:hyperlink r:id="rId19" w:history="1">
        <w:r w:rsidRPr="00B57EB9">
          <w:rPr>
            <w:rStyle w:val="Hyperlink"/>
            <w:rFonts w:asciiTheme="majorBidi" w:hAnsiTheme="majorBidi" w:cstheme="majorBidi"/>
          </w:rPr>
          <w:t>https://doi.org/</w:t>
        </w:r>
        <w:hyperlink r:id="rId20" w:tgtFrame="_blank" w:history="1">
          <w:r w:rsidRPr="00B57EB9">
            <w:rPr>
              <w:rStyle w:val="Hyperlink"/>
              <w:rFonts w:asciiTheme="majorBidi" w:hAnsiTheme="majorBidi" w:cstheme="majorBidi"/>
            </w:rPr>
            <w:t xml:space="preserve">10.47063/ebd.00015 </w:t>
          </w:r>
        </w:hyperlink>
      </w:hyperlink>
    </w:p>
    <w:p w14:paraId="2AE65FF7" w14:textId="596BFF03" w:rsidR="00B57EB9" w:rsidRPr="00B57EB9" w:rsidRDefault="00B57EB9" w:rsidP="00145E67">
      <w:pPr>
        <w:pStyle w:val="Default"/>
        <w:spacing w:after="240"/>
        <w:ind w:left="720" w:hanging="720"/>
        <w:jc w:val="both"/>
        <w:rPr>
          <w:rFonts w:asciiTheme="majorBidi" w:hAnsiTheme="majorBidi" w:cstheme="majorBidi"/>
        </w:rPr>
      </w:pP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w:t>
      </w:r>
      <w:proofErr w:type="spellStart"/>
      <w:r w:rsidRPr="00B57EB9">
        <w:rPr>
          <w:rFonts w:asciiTheme="majorBidi" w:hAnsiTheme="majorBidi" w:cstheme="majorBidi"/>
        </w:rPr>
        <w:t>Igbekoyi</w:t>
      </w:r>
      <w:proofErr w:type="spellEnd"/>
      <w:r w:rsidRPr="00B57EB9">
        <w:rPr>
          <w:rFonts w:asciiTheme="majorBidi" w:hAnsiTheme="majorBidi" w:cstheme="majorBidi"/>
        </w:rPr>
        <w:t xml:space="preserve">, O. E., </w:t>
      </w:r>
      <w:proofErr w:type="spellStart"/>
      <w:r w:rsidRPr="00B57EB9">
        <w:rPr>
          <w:rFonts w:asciiTheme="majorBidi" w:hAnsiTheme="majorBidi" w:cstheme="majorBidi"/>
        </w:rPr>
        <w:t>Ogungbade</w:t>
      </w:r>
      <w:proofErr w:type="spellEnd"/>
      <w:r w:rsidRPr="00B57EB9">
        <w:rPr>
          <w:rFonts w:asciiTheme="majorBidi" w:hAnsiTheme="majorBidi" w:cstheme="majorBidi"/>
        </w:rPr>
        <w:t>, O. I., Aluko, A. F., &amp; Osaloni, B. O. (2022). Corporate social responsibility and financial performance of macro, small, and medium-scale enterprises (</w:t>
      </w:r>
      <w:r w:rsidR="00237C59">
        <w:rPr>
          <w:rFonts w:asciiTheme="majorBidi" w:hAnsiTheme="majorBidi" w:cstheme="majorBidi"/>
        </w:rPr>
        <w:t>MSMES</w:t>
      </w:r>
      <w:r w:rsidRPr="00B57EB9">
        <w:rPr>
          <w:rFonts w:asciiTheme="majorBidi" w:hAnsiTheme="majorBidi" w:cstheme="majorBidi"/>
        </w:rPr>
        <w:t xml:space="preserve">) in Ekiti State, Nigeria. </w:t>
      </w:r>
      <w:r w:rsidRPr="00B57EB9">
        <w:rPr>
          <w:rFonts w:asciiTheme="majorBidi" w:hAnsiTheme="majorBidi" w:cstheme="majorBidi"/>
          <w:i/>
          <w:iCs/>
        </w:rPr>
        <w:t xml:space="preserve">Research Journal of Finance and Accounting, </w:t>
      </w:r>
      <w:r w:rsidRPr="00B57EB9">
        <w:rPr>
          <w:rFonts w:asciiTheme="majorBidi" w:hAnsiTheme="majorBidi" w:cstheme="majorBidi"/>
        </w:rPr>
        <w:t xml:space="preserve">13(22), 61-75. </w:t>
      </w:r>
      <w:hyperlink r:id="rId21" w:history="1">
        <w:r w:rsidRPr="00B57EB9">
          <w:rPr>
            <w:rStyle w:val="Hyperlink"/>
            <w:rFonts w:asciiTheme="majorBidi" w:hAnsiTheme="majorBidi" w:cstheme="majorBidi"/>
          </w:rPr>
          <w:t>https://doi.org/10.7176/RJFA/13-22-06</w:t>
        </w:r>
      </w:hyperlink>
    </w:p>
    <w:p w14:paraId="62FC55DA" w14:textId="77777777" w:rsidR="00B57EB9" w:rsidRPr="006E05CC" w:rsidRDefault="00B57EB9" w:rsidP="00D163C0">
      <w:pPr>
        <w:pStyle w:val="Default"/>
        <w:spacing w:after="240"/>
        <w:ind w:left="720" w:hanging="720"/>
        <w:jc w:val="both"/>
        <w:rPr>
          <w:rFonts w:asciiTheme="majorBidi" w:eastAsia="Times New Roman" w:hAnsiTheme="majorBidi" w:cstheme="majorBidi"/>
          <w:lang w:val="en-US"/>
        </w:rPr>
      </w:pPr>
      <w:r w:rsidRPr="00D163C0">
        <w:rPr>
          <w:rFonts w:asciiTheme="majorBidi" w:eastAsia="Times New Roman" w:hAnsiTheme="majorBidi" w:cstheme="majorBidi"/>
        </w:rPr>
        <w:t xml:space="preserve">Donaldson, T., &amp; Preston, L. E. (1995). The stakeholder theory of the corporation: Concepts, evidence, and implications. </w:t>
      </w:r>
      <w:r w:rsidRPr="00D163C0">
        <w:rPr>
          <w:rFonts w:asciiTheme="majorBidi" w:eastAsia="Times New Roman" w:hAnsiTheme="majorBidi" w:cstheme="majorBidi"/>
          <w:i/>
          <w:iCs/>
        </w:rPr>
        <w:t>Academy of Management Review, 20</w:t>
      </w:r>
      <w:r w:rsidRPr="00D163C0">
        <w:rPr>
          <w:rFonts w:asciiTheme="majorBidi" w:eastAsia="Times New Roman" w:hAnsiTheme="majorBidi" w:cstheme="majorBidi"/>
        </w:rPr>
        <w:t xml:space="preserve">(1), 65-91. </w:t>
      </w:r>
      <w:hyperlink r:id="rId22" w:history="1">
        <w:r w:rsidRPr="006E05CC">
          <w:rPr>
            <w:rStyle w:val="Hyperlink"/>
            <w:rFonts w:asciiTheme="majorBidi" w:eastAsia="Times New Roman" w:hAnsiTheme="majorBidi" w:cstheme="majorBidi"/>
            <w:lang w:val="en-US"/>
          </w:rPr>
          <w:t>https://doi.org/10.2307/258887</w:t>
        </w:r>
      </w:hyperlink>
    </w:p>
    <w:p w14:paraId="2EE10325" w14:textId="0D189EBF" w:rsidR="00B57EB9" w:rsidRPr="006E05CC" w:rsidRDefault="00B57EB9" w:rsidP="0047287C">
      <w:pPr>
        <w:pStyle w:val="Default"/>
        <w:spacing w:after="240"/>
        <w:ind w:left="720" w:hanging="720"/>
        <w:jc w:val="both"/>
        <w:rPr>
          <w:rFonts w:asciiTheme="majorBidi" w:hAnsiTheme="majorBidi" w:cstheme="majorBidi"/>
          <w:lang w:val="en-US"/>
        </w:rPr>
      </w:pPr>
      <w:r w:rsidRPr="006E05CC">
        <w:rPr>
          <w:rFonts w:asciiTheme="majorBidi" w:hAnsiTheme="majorBidi" w:cstheme="majorBidi"/>
          <w:lang w:val="en-US"/>
        </w:rPr>
        <w:t xml:space="preserve">Eccles, R. G., Ioannou, I., &amp; Serafeim, G. (2022). </w:t>
      </w:r>
      <w:r w:rsidRPr="00B57EB9">
        <w:rPr>
          <w:rFonts w:asciiTheme="majorBidi" w:hAnsiTheme="majorBidi" w:cstheme="majorBidi"/>
        </w:rPr>
        <w:t xml:space="preserve">The impact of corporate sustainability on </w:t>
      </w:r>
      <w:r w:rsidR="00237C59">
        <w:rPr>
          <w:rFonts w:asciiTheme="majorBidi" w:hAnsiTheme="majorBidi" w:cstheme="majorBidi"/>
        </w:rPr>
        <w:t>organisational</w:t>
      </w:r>
      <w:r w:rsidRPr="00B57EB9">
        <w:rPr>
          <w:rFonts w:asciiTheme="majorBidi" w:hAnsiTheme="majorBidi" w:cstheme="majorBidi"/>
        </w:rPr>
        <w:t xml:space="preserve"> processes and performance. </w:t>
      </w:r>
      <w:r w:rsidRPr="006E05CC">
        <w:rPr>
          <w:rStyle w:val="Emphasis"/>
          <w:rFonts w:asciiTheme="majorBidi" w:hAnsiTheme="majorBidi" w:cstheme="majorBidi"/>
          <w:lang w:val="en-US"/>
        </w:rPr>
        <w:t>Management Science, 68</w:t>
      </w:r>
      <w:r w:rsidRPr="006E05CC">
        <w:rPr>
          <w:rFonts w:asciiTheme="majorBidi" w:hAnsiTheme="majorBidi" w:cstheme="majorBidi"/>
          <w:lang w:val="en-US"/>
        </w:rPr>
        <w:t xml:space="preserve">(4), 983-1007. </w:t>
      </w:r>
      <w:hyperlink r:id="rId23" w:tgtFrame="_new" w:history="1">
        <w:r w:rsidRPr="006E05CC">
          <w:rPr>
            <w:rStyle w:val="Hyperlink"/>
            <w:rFonts w:asciiTheme="majorBidi" w:hAnsiTheme="majorBidi" w:cstheme="majorBidi"/>
            <w:lang w:val="en-US"/>
          </w:rPr>
          <w:t>https://doi.org/10.1287/mnsc.2021.3994</w:t>
        </w:r>
      </w:hyperlink>
    </w:p>
    <w:p w14:paraId="09426176"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proofErr w:type="spellStart"/>
      <w:r w:rsidRPr="00B57EB9">
        <w:rPr>
          <w:rFonts w:asciiTheme="majorBidi" w:eastAsia="Times New Roman" w:hAnsiTheme="majorBidi" w:cstheme="majorBidi"/>
          <w:kern w:val="0"/>
          <w14:ligatures w14:val="none"/>
        </w:rPr>
        <w:t>Elmassri</w:t>
      </w:r>
      <w:proofErr w:type="spellEnd"/>
      <w:r w:rsidRPr="00B57EB9">
        <w:rPr>
          <w:rFonts w:asciiTheme="majorBidi" w:eastAsia="Times New Roman" w:hAnsiTheme="majorBidi" w:cstheme="majorBidi"/>
          <w:kern w:val="0"/>
          <w14:ligatures w14:val="none"/>
        </w:rPr>
        <w:t xml:space="preserve">, M., Mohamed, E., &amp; Soliman, R. (2023). Beyond financial reporting: The strategic role of sustainability disclosures in risk management. </w:t>
      </w:r>
      <w:r w:rsidRPr="00B57EB9">
        <w:rPr>
          <w:rFonts w:asciiTheme="majorBidi" w:eastAsia="Times New Roman" w:hAnsiTheme="majorBidi" w:cstheme="majorBidi"/>
          <w:i/>
          <w:iCs/>
          <w:kern w:val="0"/>
          <w14:ligatures w14:val="none"/>
        </w:rPr>
        <w:t>Accounting, Auditing &amp; Accountability Journal, 36</w:t>
      </w:r>
      <w:r w:rsidRPr="00B57EB9">
        <w:rPr>
          <w:rFonts w:asciiTheme="majorBidi" w:eastAsia="Times New Roman" w:hAnsiTheme="majorBidi" w:cstheme="majorBidi"/>
          <w:kern w:val="0"/>
          <w14:ligatures w14:val="none"/>
        </w:rPr>
        <w:t xml:space="preserve">(4), 612-635. </w:t>
      </w:r>
    </w:p>
    <w:p w14:paraId="52A19620" w14:textId="77777777" w:rsidR="00B57EB9" w:rsidRPr="00B57EB9" w:rsidRDefault="00B57EB9" w:rsidP="0047287C">
      <w:pPr>
        <w:pStyle w:val="Default"/>
        <w:spacing w:after="240"/>
        <w:ind w:left="720" w:hanging="720"/>
        <w:jc w:val="both"/>
        <w:rPr>
          <w:rFonts w:asciiTheme="majorBidi" w:eastAsia="Times New Roman" w:hAnsiTheme="majorBidi" w:cstheme="majorBidi"/>
        </w:rPr>
      </w:pPr>
      <w:r w:rsidRPr="00D163C0">
        <w:rPr>
          <w:rFonts w:asciiTheme="majorBidi" w:eastAsia="Times New Roman" w:hAnsiTheme="majorBidi" w:cstheme="majorBidi"/>
        </w:rPr>
        <w:t xml:space="preserve">Freeman, R. E. (1984). </w:t>
      </w:r>
      <w:r w:rsidRPr="00D163C0">
        <w:rPr>
          <w:rFonts w:asciiTheme="majorBidi" w:eastAsia="Times New Roman" w:hAnsiTheme="majorBidi" w:cstheme="majorBidi"/>
          <w:i/>
          <w:iCs/>
        </w:rPr>
        <w:t>Strategic management: A stakeholder approach.</w:t>
      </w:r>
      <w:r w:rsidRPr="00D163C0">
        <w:rPr>
          <w:rFonts w:asciiTheme="majorBidi" w:eastAsia="Times New Roman" w:hAnsiTheme="majorBidi" w:cstheme="majorBidi"/>
        </w:rPr>
        <w:t xml:space="preserve"> Pitman.</w:t>
      </w:r>
    </w:p>
    <w:p w14:paraId="1C09348D"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lang w:val="en-US"/>
        </w:rPr>
        <w:t xml:space="preserve">Freeman, R. E., Harrison, J. S., &amp; </w:t>
      </w:r>
      <w:proofErr w:type="spellStart"/>
      <w:r w:rsidRPr="00B57EB9">
        <w:rPr>
          <w:rFonts w:asciiTheme="majorBidi" w:hAnsiTheme="majorBidi" w:cstheme="majorBidi"/>
          <w:lang w:val="en-US"/>
        </w:rPr>
        <w:t>Zyglidopoulos</w:t>
      </w:r>
      <w:proofErr w:type="spellEnd"/>
      <w:r w:rsidRPr="00B57EB9">
        <w:rPr>
          <w:rFonts w:asciiTheme="majorBidi" w:hAnsiTheme="majorBidi" w:cstheme="majorBidi"/>
          <w:lang w:val="en-US"/>
        </w:rPr>
        <w:t xml:space="preserve">, S. C. (2020). </w:t>
      </w:r>
      <w:r w:rsidRPr="00B57EB9">
        <w:rPr>
          <w:rStyle w:val="Emphasis"/>
          <w:rFonts w:asciiTheme="majorBidi" w:hAnsiTheme="majorBidi" w:cstheme="majorBidi"/>
        </w:rPr>
        <w:t>Stakeholder theory: Concepts and strategies.</w:t>
      </w:r>
      <w:r w:rsidRPr="00B57EB9">
        <w:rPr>
          <w:rFonts w:asciiTheme="majorBidi" w:hAnsiTheme="majorBidi" w:cstheme="majorBidi"/>
        </w:rPr>
        <w:t xml:space="preserve"> Cambridge University Press.</w:t>
      </w:r>
    </w:p>
    <w:p w14:paraId="2831C06B" w14:textId="77777777" w:rsidR="00B57EB9" w:rsidRPr="00B57EB9" w:rsidRDefault="00B57EB9" w:rsidP="00D07683">
      <w:pPr>
        <w:spacing w:after="240" w:line="240" w:lineRule="auto"/>
        <w:ind w:left="720" w:hanging="720"/>
        <w:jc w:val="both"/>
        <w:rPr>
          <w:rFonts w:asciiTheme="majorBidi" w:eastAsia="Times New Roman" w:hAnsiTheme="majorBidi" w:cstheme="majorBidi"/>
          <w:kern w:val="0"/>
          <w14:ligatures w14:val="none"/>
        </w:rPr>
      </w:pPr>
      <w:r w:rsidRPr="00B57EB9">
        <w:rPr>
          <w:rFonts w:asciiTheme="majorBidi" w:hAnsiTheme="majorBidi" w:cstheme="majorBidi"/>
        </w:rPr>
        <w:t xml:space="preserve">Gutterman, A. S. (2022). </w:t>
      </w:r>
      <w:r w:rsidRPr="00B57EB9">
        <w:rPr>
          <w:rStyle w:val="Emphasis"/>
          <w:rFonts w:asciiTheme="majorBidi" w:hAnsiTheme="majorBidi" w:cstheme="majorBidi"/>
        </w:rPr>
        <w:t>Corporate sustainability</w:t>
      </w:r>
      <w:r w:rsidRPr="00B57EB9">
        <w:rPr>
          <w:rFonts w:asciiTheme="majorBidi" w:hAnsiTheme="majorBidi" w:cstheme="majorBidi"/>
        </w:rPr>
        <w:t xml:space="preserve">. SSRN. </w:t>
      </w:r>
      <w:hyperlink r:id="rId24" w:history="1">
        <w:r w:rsidRPr="00B57EB9">
          <w:rPr>
            <w:rStyle w:val="Hyperlink"/>
            <w:rFonts w:asciiTheme="majorBidi" w:hAnsiTheme="majorBidi" w:cstheme="majorBidi"/>
          </w:rPr>
          <w:t>https://ssrn.com/abstract=4228623</w:t>
        </w:r>
      </w:hyperlink>
    </w:p>
    <w:p w14:paraId="17AF8F62"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Harrison, J. S., &amp; Wicks, A. C. (2013). Stakeholder theory, value, and firm performance. </w:t>
      </w:r>
      <w:r w:rsidRPr="00B57EB9">
        <w:rPr>
          <w:rStyle w:val="Emphasis"/>
          <w:rFonts w:asciiTheme="majorBidi" w:hAnsiTheme="majorBidi" w:cstheme="majorBidi"/>
        </w:rPr>
        <w:t>Business Ethics Quarterly, 23</w:t>
      </w:r>
      <w:r w:rsidRPr="00B57EB9">
        <w:rPr>
          <w:rFonts w:asciiTheme="majorBidi" w:hAnsiTheme="majorBidi" w:cstheme="majorBidi"/>
        </w:rPr>
        <w:t xml:space="preserve">(1), 97-124. </w:t>
      </w:r>
      <w:hyperlink r:id="rId25" w:tgtFrame="_new" w:history="1">
        <w:r w:rsidRPr="00B57EB9">
          <w:rPr>
            <w:rStyle w:val="Hyperlink"/>
            <w:rFonts w:asciiTheme="majorBidi" w:hAnsiTheme="majorBidi" w:cstheme="majorBidi"/>
          </w:rPr>
          <w:t>https://doi.org/10.5840/beq20132314</w:t>
        </w:r>
      </w:hyperlink>
    </w:p>
    <w:p w14:paraId="451C5328" w14:textId="77777777" w:rsidR="00B57EB9" w:rsidRPr="00B57EB9" w:rsidRDefault="00B57EB9" w:rsidP="00145E67">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t xml:space="preserve">Hassan, R., Kassem, R., &amp; Younis, N. (2022). The interplay between ESG disclosures and financial performance in high-risk industries. </w:t>
      </w:r>
      <w:r w:rsidRPr="00B57EB9">
        <w:rPr>
          <w:rFonts w:asciiTheme="majorBidi" w:eastAsia="Times New Roman" w:hAnsiTheme="majorBidi" w:cstheme="majorBidi"/>
          <w:i/>
          <w:iCs/>
          <w:kern w:val="0"/>
          <w14:ligatures w14:val="none"/>
        </w:rPr>
        <w:t>Journal of Corporate Finance, 39</w:t>
      </w:r>
      <w:r w:rsidRPr="00B57EB9">
        <w:rPr>
          <w:rFonts w:asciiTheme="majorBidi" w:eastAsia="Times New Roman" w:hAnsiTheme="majorBidi" w:cstheme="majorBidi"/>
          <w:kern w:val="0"/>
          <w14:ligatures w14:val="none"/>
        </w:rPr>
        <w:t xml:space="preserve">(5), 821-839. </w:t>
      </w:r>
    </w:p>
    <w:p w14:paraId="6AAEF3FB" w14:textId="77777777" w:rsidR="00B57EB9" w:rsidRPr="00B57EB9" w:rsidRDefault="00B57EB9" w:rsidP="00203AB7">
      <w:pPr>
        <w:pStyle w:val="Default"/>
        <w:spacing w:after="240"/>
        <w:ind w:left="720" w:hanging="720"/>
        <w:jc w:val="both"/>
        <w:rPr>
          <w:rFonts w:asciiTheme="majorBidi" w:eastAsia="Times New Roman" w:hAnsiTheme="majorBidi" w:cstheme="majorBidi"/>
          <w:color w:val="auto"/>
        </w:rPr>
      </w:pPr>
      <w:r w:rsidRPr="00B57EB9">
        <w:rPr>
          <w:rFonts w:asciiTheme="majorBidi" w:eastAsia="Times New Roman" w:hAnsiTheme="majorBidi" w:cstheme="majorBidi"/>
          <w:color w:val="auto"/>
        </w:rPr>
        <w:t xml:space="preserve">Hou, H., Wang, Y., &amp; Zhang, M. (2024). Impact of environmental information disclosure on green finance development: Empirical evidence from China. </w:t>
      </w:r>
      <w:r w:rsidRPr="00B57EB9">
        <w:rPr>
          <w:rFonts w:asciiTheme="majorBidi" w:eastAsia="Times New Roman" w:hAnsiTheme="majorBidi" w:cstheme="majorBidi"/>
          <w:i/>
          <w:iCs/>
          <w:color w:val="auto"/>
        </w:rPr>
        <w:t>Environment, Development and Sustainability</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26</w:t>
      </w:r>
      <w:r w:rsidRPr="00B57EB9">
        <w:rPr>
          <w:rFonts w:asciiTheme="majorBidi" w:eastAsia="Times New Roman" w:hAnsiTheme="majorBidi" w:cstheme="majorBidi"/>
          <w:color w:val="auto"/>
        </w:rPr>
        <w:t>(8), 20279-20309.</w:t>
      </w:r>
    </w:p>
    <w:p w14:paraId="54D2C4D7" w14:textId="77777777" w:rsidR="00B57EB9" w:rsidRPr="00B57EB9" w:rsidRDefault="00B57EB9" w:rsidP="0050098C">
      <w:pPr>
        <w:spacing w:after="240" w:line="240" w:lineRule="auto"/>
        <w:ind w:left="720" w:hanging="720"/>
        <w:jc w:val="both"/>
        <w:rPr>
          <w:rFonts w:asciiTheme="majorBidi" w:hAnsiTheme="majorBidi" w:cstheme="majorBidi"/>
        </w:rPr>
      </w:pPr>
      <w:r w:rsidRPr="006E05CC">
        <w:rPr>
          <w:rFonts w:asciiTheme="majorBidi" w:eastAsia="Times New Roman" w:hAnsiTheme="majorBidi" w:cstheme="majorBidi"/>
          <w:kern w:val="0"/>
          <w14:ligatures w14:val="none"/>
        </w:rPr>
        <w:lastRenderedPageBreak/>
        <w:t xml:space="preserve">Hu, J., Xiao, D., Li, B., &amp; Peng, L. (2025). </w:t>
      </w:r>
      <w:r w:rsidRPr="006E597E">
        <w:rPr>
          <w:rFonts w:asciiTheme="majorBidi" w:eastAsia="Times New Roman" w:hAnsiTheme="majorBidi" w:cstheme="majorBidi"/>
          <w:kern w:val="0"/>
          <w14:ligatures w14:val="none"/>
        </w:rPr>
        <w:t xml:space="preserve">Environmental Information Disclosure and Firms’ Green Total Factor Productivity: Evidence from New Ambient Air Quality Standards in China. </w:t>
      </w:r>
      <w:r w:rsidRPr="006E597E">
        <w:rPr>
          <w:rFonts w:asciiTheme="majorBidi" w:eastAsia="Times New Roman" w:hAnsiTheme="majorBidi" w:cstheme="majorBidi"/>
          <w:i/>
          <w:iCs/>
          <w:kern w:val="0"/>
          <w14:ligatures w14:val="none"/>
        </w:rPr>
        <w:t>Atmosphere</w:t>
      </w:r>
      <w:r w:rsidRPr="006E597E">
        <w:rPr>
          <w:rFonts w:asciiTheme="majorBidi" w:eastAsia="Times New Roman" w:hAnsiTheme="majorBidi" w:cstheme="majorBidi"/>
          <w:kern w:val="0"/>
          <w14:ligatures w14:val="none"/>
        </w:rPr>
        <w:t xml:space="preserve">, </w:t>
      </w:r>
      <w:r w:rsidRPr="006E597E">
        <w:rPr>
          <w:rFonts w:asciiTheme="majorBidi" w:eastAsia="Times New Roman" w:hAnsiTheme="majorBidi" w:cstheme="majorBidi"/>
          <w:i/>
          <w:iCs/>
          <w:kern w:val="0"/>
          <w14:ligatures w14:val="none"/>
        </w:rPr>
        <w:t>16</w:t>
      </w:r>
      <w:r w:rsidRPr="006E597E">
        <w:rPr>
          <w:rFonts w:asciiTheme="majorBidi" w:eastAsia="Times New Roman" w:hAnsiTheme="majorBidi" w:cstheme="majorBidi"/>
          <w:kern w:val="0"/>
          <w14:ligatures w14:val="none"/>
        </w:rPr>
        <w:t>(2), 155.</w:t>
      </w:r>
      <w:r w:rsidRPr="00B57EB9">
        <w:rPr>
          <w:rFonts w:asciiTheme="majorBidi" w:eastAsia="Times New Roman" w:hAnsiTheme="majorBidi" w:cstheme="majorBidi"/>
          <w:kern w:val="0"/>
          <w14:ligatures w14:val="none"/>
        </w:rPr>
        <w:t xml:space="preserve"> </w:t>
      </w:r>
      <w:hyperlink r:id="rId26" w:history="1">
        <w:r w:rsidRPr="00B57EB9">
          <w:rPr>
            <w:rStyle w:val="Hyperlink"/>
            <w:rFonts w:asciiTheme="majorBidi" w:hAnsiTheme="majorBidi" w:cstheme="majorBidi"/>
          </w:rPr>
          <w:t>https://doi.org/10.3390/atmos16020155</w:t>
        </w:r>
      </w:hyperlink>
    </w:p>
    <w:p w14:paraId="34D65215" w14:textId="3E4BED3C"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Jensen, M. C. (2002). Value </w:t>
      </w:r>
      <w:r w:rsidR="00237C59">
        <w:rPr>
          <w:rFonts w:asciiTheme="majorBidi" w:hAnsiTheme="majorBidi" w:cstheme="majorBidi"/>
        </w:rPr>
        <w:t>maximisation</w:t>
      </w:r>
      <w:r w:rsidRPr="00B57EB9">
        <w:rPr>
          <w:rFonts w:asciiTheme="majorBidi" w:hAnsiTheme="majorBidi" w:cstheme="majorBidi"/>
        </w:rPr>
        <w:t xml:space="preserve">, stakeholder theory, and the corporate objective function. </w:t>
      </w:r>
      <w:r w:rsidRPr="00B57EB9">
        <w:rPr>
          <w:rStyle w:val="Emphasis"/>
          <w:rFonts w:asciiTheme="majorBidi" w:hAnsiTheme="majorBidi" w:cstheme="majorBidi"/>
        </w:rPr>
        <w:t>Business Ethics Quarterly, 12</w:t>
      </w:r>
      <w:r w:rsidRPr="00B57EB9">
        <w:rPr>
          <w:rFonts w:asciiTheme="majorBidi" w:hAnsiTheme="majorBidi" w:cstheme="majorBidi"/>
        </w:rPr>
        <w:t xml:space="preserve">(2), 235-256. </w:t>
      </w:r>
      <w:hyperlink r:id="rId27" w:tgtFrame="_new" w:history="1">
        <w:r w:rsidRPr="00B57EB9">
          <w:rPr>
            <w:rStyle w:val="Hyperlink"/>
            <w:rFonts w:asciiTheme="majorBidi" w:hAnsiTheme="majorBidi" w:cstheme="majorBidi"/>
          </w:rPr>
          <w:t>https://doi.org/10.2307/3857812</w:t>
        </w:r>
      </w:hyperlink>
    </w:p>
    <w:p w14:paraId="1D17D1A3"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Khan, M., Ahmed, S., &amp; Rahman, Z. (2023). ESG disclosures and corporate sustainability: Stakeholder theory insights. </w:t>
      </w:r>
      <w:r w:rsidRPr="00B57EB9">
        <w:rPr>
          <w:rStyle w:val="Emphasis"/>
          <w:rFonts w:asciiTheme="majorBidi" w:hAnsiTheme="majorBidi" w:cstheme="majorBidi"/>
        </w:rPr>
        <w:t>Sustainability Accounting, Management and Policy Journal, 14</w:t>
      </w:r>
      <w:r w:rsidRPr="00B57EB9">
        <w:rPr>
          <w:rFonts w:asciiTheme="majorBidi" w:hAnsiTheme="majorBidi" w:cstheme="majorBidi"/>
        </w:rPr>
        <w:t xml:space="preserve">(1), 112-130. </w:t>
      </w:r>
    </w:p>
    <w:p w14:paraId="35D2242C" w14:textId="77777777" w:rsidR="00B57EB9" w:rsidRPr="00B57EB9" w:rsidRDefault="00B57EB9" w:rsidP="00145E67">
      <w:pPr>
        <w:pStyle w:val="Default"/>
        <w:spacing w:after="160"/>
        <w:ind w:left="720" w:hanging="720"/>
        <w:jc w:val="both"/>
        <w:rPr>
          <w:rFonts w:asciiTheme="majorBidi" w:hAnsiTheme="majorBidi" w:cstheme="majorBidi"/>
        </w:rPr>
      </w:pPr>
      <w:r w:rsidRPr="00B57EB9">
        <w:rPr>
          <w:rFonts w:asciiTheme="majorBidi" w:hAnsiTheme="majorBidi" w:cstheme="majorBidi"/>
        </w:rPr>
        <w:t xml:space="preserve">Kolawole, J. S., </w:t>
      </w:r>
      <w:proofErr w:type="spellStart"/>
      <w:r w:rsidRPr="00B57EB9">
        <w:rPr>
          <w:rFonts w:asciiTheme="majorBidi" w:hAnsiTheme="majorBidi" w:cstheme="majorBidi"/>
        </w:rPr>
        <w:t>Igbekoyi</w:t>
      </w:r>
      <w:proofErr w:type="spellEnd"/>
      <w:r w:rsidRPr="00B57EB9">
        <w:rPr>
          <w:rFonts w:asciiTheme="majorBidi" w:hAnsiTheme="majorBidi" w:cstheme="majorBidi"/>
        </w:rPr>
        <w:t xml:space="preserve">, O. E., </w:t>
      </w:r>
      <w:proofErr w:type="spellStart"/>
      <w:r w:rsidRPr="00B57EB9">
        <w:rPr>
          <w:rFonts w:asciiTheme="majorBidi" w:hAnsiTheme="majorBidi" w:cstheme="majorBidi"/>
        </w:rPr>
        <w:t>Ogungbade</w:t>
      </w:r>
      <w:proofErr w:type="spellEnd"/>
      <w:r w:rsidRPr="00B57EB9">
        <w:rPr>
          <w:rFonts w:asciiTheme="majorBidi" w:hAnsiTheme="majorBidi" w:cstheme="majorBidi"/>
        </w:rPr>
        <w:t xml:space="preserve">, O. I., &amp; </w:t>
      </w: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(2023). Environmental accounting practice and financial performance of listed aviation firms in Nigeria. </w:t>
      </w:r>
      <w:r w:rsidRPr="00B57EB9">
        <w:rPr>
          <w:rStyle w:val="Emphasis"/>
          <w:rFonts w:asciiTheme="majorBidi" w:hAnsiTheme="majorBidi" w:cstheme="majorBidi"/>
        </w:rPr>
        <w:t>Asian Journal of Economics, Business and Accounting, 23</w:t>
      </w:r>
      <w:r w:rsidRPr="00B57EB9">
        <w:rPr>
          <w:rFonts w:asciiTheme="majorBidi" w:hAnsiTheme="majorBidi" w:cstheme="majorBidi"/>
        </w:rPr>
        <w:t xml:space="preserve">(13), 70-80. </w:t>
      </w:r>
      <w:hyperlink r:id="rId28" w:tgtFrame="_new" w:history="1">
        <w:r w:rsidRPr="00B57EB9">
          <w:rPr>
            <w:rStyle w:val="Hyperlink"/>
            <w:rFonts w:asciiTheme="majorBidi" w:hAnsiTheme="majorBidi" w:cstheme="majorBidi"/>
          </w:rPr>
          <w:t>https://doi.org/10.9734/ajeba/2023/v23i13996</w:t>
        </w:r>
      </w:hyperlink>
    </w:p>
    <w:p w14:paraId="59C26A2C" w14:textId="77777777" w:rsidR="00B57EB9" w:rsidRPr="00B57EB9" w:rsidRDefault="00B57EB9" w:rsidP="00657119">
      <w:pPr>
        <w:spacing w:after="240" w:line="240" w:lineRule="auto"/>
        <w:ind w:left="720" w:hanging="720"/>
        <w:jc w:val="both"/>
        <w:rPr>
          <w:rFonts w:asciiTheme="majorBidi" w:hAnsiTheme="majorBidi" w:cstheme="majorBidi"/>
        </w:rPr>
      </w:pPr>
      <w:r w:rsidRPr="00B57EB9">
        <w:rPr>
          <w:rFonts w:asciiTheme="majorBidi" w:hAnsiTheme="majorBidi" w:cstheme="majorBidi"/>
        </w:rPr>
        <w:t xml:space="preserve">Lawal, A. M., </w:t>
      </w:r>
      <w:proofErr w:type="spellStart"/>
      <w:r w:rsidRPr="00B57EB9">
        <w:rPr>
          <w:rFonts w:asciiTheme="majorBidi" w:hAnsiTheme="majorBidi" w:cstheme="majorBidi"/>
        </w:rPr>
        <w:t>Igbekoyi</w:t>
      </w:r>
      <w:proofErr w:type="spellEnd"/>
      <w:r w:rsidRPr="00B57EB9">
        <w:rPr>
          <w:rFonts w:asciiTheme="majorBidi" w:hAnsiTheme="majorBidi" w:cstheme="majorBidi"/>
        </w:rPr>
        <w:t xml:space="preserve">, O. E., &amp; </w:t>
      </w:r>
      <w:proofErr w:type="spellStart"/>
      <w:r w:rsidRPr="00B57EB9">
        <w:rPr>
          <w:rFonts w:asciiTheme="majorBidi" w:hAnsiTheme="majorBidi" w:cstheme="majorBidi"/>
        </w:rPr>
        <w:t>Dagunduro</w:t>
      </w:r>
      <w:proofErr w:type="spellEnd"/>
      <w:r w:rsidRPr="00B57EB9">
        <w:rPr>
          <w:rFonts w:asciiTheme="majorBidi" w:hAnsiTheme="majorBidi" w:cstheme="majorBidi"/>
        </w:rPr>
        <w:t xml:space="preserve">, M. E. (2024). Sustainability reporting and value creation in selected listed manufacturing companies in Nigeria. </w:t>
      </w:r>
      <w:r w:rsidRPr="00B57EB9">
        <w:rPr>
          <w:rFonts w:asciiTheme="majorBidi" w:hAnsiTheme="majorBidi" w:cstheme="majorBidi"/>
          <w:i/>
          <w:iCs/>
        </w:rPr>
        <w:t>International Journal of Accounting, Finance and Social Science Research, 2</w:t>
      </w:r>
      <w:r w:rsidRPr="00B57EB9">
        <w:rPr>
          <w:rFonts w:asciiTheme="majorBidi" w:hAnsiTheme="majorBidi" w:cstheme="majorBidi"/>
        </w:rPr>
        <w:t xml:space="preserve">(1), 39-56. </w:t>
      </w:r>
    </w:p>
    <w:p w14:paraId="1270110C" w14:textId="77777777" w:rsidR="00B57EB9" w:rsidRPr="00B57EB9" w:rsidRDefault="00B57EB9" w:rsidP="00203AB7">
      <w:pPr>
        <w:pStyle w:val="Default"/>
        <w:spacing w:after="240"/>
        <w:ind w:left="720" w:hanging="720"/>
        <w:jc w:val="both"/>
        <w:rPr>
          <w:rFonts w:asciiTheme="majorBidi" w:hAnsiTheme="majorBidi" w:cstheme="majorBidi"/>
          <w:color w:val="auto"/>
          <w:lang w:val="en-US"/>
        </w:rPr>
      </w:pPr>
      <w:r w:rsidRPr="00B57EB9">
        <w:rPr>
          <w:rFonts w:asciiTheme="majorBidi" w:eastAsia="Times New Roman" w:hAnsiTheme="majorBidi" w:cstheme="majorBidi"/>
          <w:color w:val="auto"/>
        </w:rPr>
        <w:t xml:space="preserve">Liang, X., &amp; Chen, X. C. (2024). Mandatory corporate social responsibility disclosure and financial constraints: Evidence from China. </w:t>
      </w:r>
      <w:r w:rsidRPr="00B57EB9">
        <w:rPr>
          <w:rFonts w:asciiTheme="majorBidi" w:eastAsia="Times New Roman" w:hAnsiTheme="majorBidi" w:cstheme="majorBidi"/>
          <w:i/>
          <w:iCs/>
          <w:color w:val="auto"/>
        </w:rPr>
        <w:t>International Review of Economics &amp; Finance</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89</w:t>
      </w:r>
      <w:r w:rsidRPr="00B57EB9">
        <w:rPr>
          <w:rFonts w:asciiTheme="majorBidi" w:eastAsia="Times New Roman" w:hAnsiTheme="majorBidi" w:cstheme="majorBidi"/>
          <w:color w:val="auto"/>
        </w:rPr>
        <w:t xml:space="preserve">, 954-974. </w:t>
      </w:r>
      <w:hyperlink r:id="rId29" w:tgtFrame="_blank" w:tooltip="Persistent link using digital object identifier" w:history="1">
        <w:r w:rsidRPr="00B57EB9">
          <w:rPr>
            <w:rStyle w:val="anchor-text"/>
            <w:rFonts w:asciiTheme="majorBidi" w:hAnsiTheme="majorBidi" w:cstheme="majorBidi"/>
            <w:color w:val="0070C0"/>
            <w:lang w:val="en-US"/>
          </w:rPr>
          <w:t>https://doi.org/10.1016/j.iref.2023.08.011</w:t>
        </w:r>
      </w:hyperlink>
    </w:p>
    <w:p w14:paraId="704AC4E2" w14:textId="77777777" w:rsidR="00B57EB9" w:rsidRPr="00B57EB9" w:rsidRDefault="00B57EB9" w:rsidP="00203AB7">
      <w:pPr>
        <w:pStyle w:val="Default"/>
        <w:spacing w:after="240"/>
        <w:ind w:left="720" w:hanging="720"/>
        <w:jc w:val="both"/>
        <w:rPr>
          <w:rFonts w:asciiTheme="majorBidi" w:eastAsia="Times New Roman" w:hAnsiTheme="majorBidi" w:cstheme="majorBidi"/>
          <w:color w:val="auto"/>
        </w:rPr>
      </w:pPr>
      <w:r w:rsidRPr="00B57EB9">
        <w:rPr>
          <w:rFonts w:asciiTheme="majorBidi" w:eastAsia="Times New Roman" w:hAnsiTheme="majorBidi" w:cstheme="majorBidi"/>
          <w:color w:val="auto"/>
        </w:rPr>
        <w:t xml:space="preserve">Liao, Z., Liu, P., &amp; Bao, P. (2024). Environmental information disclosure, environmental innovation, and firms' growth performances: The moderating role of media attention. </w:t>
      </w:r>
      <w:r w:rsidRPr="00B57EB9">
        <w:rPr>
          <w:rFonts w:asciiTheme="majorBidi" w:eastAsia="Times New Roman" w:hAnsiTheme="majorBidi" w:cstheme="majorBidi"/>
          <w:i/>
          <w:iCs/>
          <w:color w:val="auto"/>
        </w:rPr>
        <w:t>Sustainable Development</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32</w:t>
      </w:r>
      <w:r w:rsidRPr="00B57EB9">
        <w:rPr>
          <w:rFonts w:asciiTheme="majorBidi" w:eastAsia="Times New Roman" w:hAnsiTheme="majorBidi" w:cstheme="majorBidi"/>
          <w:color w:val="auto"/>
        </w:rPr>
        <w:t>(1), 425-437.</w:t>
      </w:r>
    </w:p>
    <w:p w14:paraId="7F7015E6"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Michelon, G., </w:t>
      </w:r>
      <w:proofErr w:type="spellStart"/>
      <w:r w:rsidRPr="00B57EB9">
        <w:rPr>
          <w:rFonts w:asciiTheme="majorBidi" w:hAnsiTheme="majorBidi" w:cstheme="majorBidi"/>
        </w:rPr>
        <w:t>Pilonato</w:t>
      </w:r>
      <w:proofErr w:type="spellEnd"/>
      <w:r w:rsidRPr="00B57EB9">
        <w:rPr>
          <w:rFonts w:asciiTheme="majorBidi" w:hAnsiTheme="majorBidi" w:cstheme="majorBidi"/>
        </w:rPr>
        <w:t xml:space="preserve">, S., &amp; </w:t>
      </w:r>
      <w:proofErr w:type="spellStart"/>
      <w:r w:rsidRPr="00B57EB9">
        <w:rPr>
          <w:rFonts w:asciiTheme="majorBidi" w:hAnsiTheme="majorBidi" w:cstheme="majorBidi"/>
        </w:rPr>
        <w:t>Ricceri</w:t>
      </w:r>
      <w:proofErr w:type="spellEnd"/>
      <w:r w:rsidRPr="00B57EB9">
        <w:rPr>
          <w:rFonts w:asciiTheme="majorBidi" w:hAnsiTheme="majorBidi" w:cstheme="majorBidi"/>
        </w:rPr>
        <w:t xml:space="preserve">, F. (2015). CSR reporting practices and the quality of disclosure: An empirical analysis. </w:t>
      </w:r>
      <w:r w:rsidRPr="00B57EB9">
        <w:rPr>
          <w:rStyle w:val="Emphasis"/>
          <w:rFonts w:asciiTheme="majorBidi" w:hAnsiTheme="majorBidi" w:cstheme="majorBidi"/>
        </w:rPr>
        <w:t>Critical Perspectives on Accounting, 33</w:t>
      </w:r>
      <w:r w:rsidRPr="00B57EB9">
        <w:rPr>
          <w:rFonts w:asciiTheme="majorBidi" w:hAnsiTheme="majorBidi" w:cstheme="majorBidi"/>
        </w:rPr>
        <w:t xml:space="preserve">, 59-78. </w:t>
      </w:r>
      <w:hyperlink r:id="rId30" w:tgtFrame="_new" w:history="1">
        <w:r w:rsidRPr="00B57EB9">
          <w:rPr>
            <w:rStyle w:val="Hyperlink"/>
            <w:rFonts w:asciiTheme="majorBidi" w:hAnsiTheme="majorBidi" w:cstheme="majorBidi"/>
          </w:rPr>
          <w:t>https://doi.org/10.1016/j.cpa.2014.10.003</w:t>
        </w:r>
      </w:hyperlink>
    </w:p>
    <w:p w14:paraId="0A0505E1"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Miles, S. (2017). Stakeholder theory classification: A theoretical and empirical evaluation of definitions. </w:t>
      </w:r>
      <w:r w:rsidRPr="00B57EB9">
        <w:rPr>
          <w:rStyle w:val="Emphasis"/>
          <w:rFonts w:asciiTheme="majorBidi" w:hAnsiTheme="majorBidi" w:cstheme="majorBidi"/>
        </w:rPr>
        <w:t>Journal of Business Ethics, 142</w:t>
      </w:r>
      <w:r w:rsidRPr="00B57EB9">
        <w:rPr>
          <w:rFonts w:asciiTheme="majorBidi" w:hAnsiTheme="majorBidi" w:cstheme="majorBidi"/>
        </w:rPr>
        <w:t xml:space="preserve">(3), 437-459. </w:t>
      </w:r>
      <w:hyperlink r:id="rId31" w:tgtFrame="_new" w:history="1">
        <w:r w:rsidRPr="00B57EB9">
          <w:rPr>
            <w:rStyle w:val="Hyperlink"/>
            <w:rFonts w:asciiTheme="majorBidi" w:hAnsiTheme="majorBidi" w:cstheme="majorBidi"/>
          </w:rPr>
          <w:t>https://doi.org/10.1007/s10551-015-2741-y</w:t>
        </w:r>
      </w:hyperlink>
    </w:p>
    <w:p w14:paraId="7DBF3CCF" w14:textId="6C7398E2" w:rsidR="00B57EB9" w:rsidRPr="009371F8" w:rsidRDefault="00B57EB9" w:rsidP="006E597E">
      <w:pPr>
        <w:spacing w:after="240" w:line="240" w:lineRule="auto"/>
        <w:ind w:left="720" w:hanging="720"/>
        <w:jc w:val="both"/>
        <w:rPr>
          <w:rFonts w:asciiTheme="majorBidi" w:hAnsiTheme="majorBidi" w:cstheme="majorBidi"/>
          <w:lang w:val="fr-FR"/>
        </w:rPr>
      </w:pPr>
      <w:r w:rsidRPr="006E05CC">
        <w:rPr>
          <w:rFonts w:asciiTheme="majorBidi" w:hAnsiTheme="majorBidi" w:cstheme="majorBidi"/>
        </w:rPr>
        <w:t xml:space="preserve">Montiel, I., &amp; Delgado-Ceballos, J. (2014). </w:t>
      </w:r>
      <w:r w:rsidRPr="00B57EB9">
        <w:rPr>
          <w:rFonts w:asciiTheme="majorBidi" w:hAnsiTheme="majorBidi" w:cstheme="majorBidi"/>
        </w:rPr>
        <w:t xml:space="preserve">Defining and measuring corporate sustainability: Are we there yet? </w:t>
      </w:r>
      <w:r w:rsidR="00237C59" w:rsidRPr="009371F8">
        <w:rPr>
          <w:rStyle w:val="Emphasis"/>
          <w:rFonts w:asciiTheme="majorBidi" w:hAnsiTheme="majorBidi" w:cstheme="majorBidi"/>
          <w:lang w:val="fr-FR"/>
        </w:rPr>
        <w:t>Organisation</w:t>
      </w:r>
      <w:r w:rsidRPr="009371F8">
        <w:rPr>
          <w:rStyle w:val="Emphasis"/>
          <w:rFonts w:asciiTheme="majorBidi" w:hAnsiTheme="majorBidi" w:cstheme="majorBidi"/>
          <w:lang w:val="fr-FR"/>
        </w:rPr>
        <w:t xml:space="preserve"> &amp; </w:t>
      </w:r>
      <w:proofErr w:type="spellStart"/>
      <w:r w:rsidRPr="009371F8">
        <w:rPr>
          <w:rStyle w:val="Emphasis"/>
          <w:rFonts w:asciiTheme="majorBidi" w:hAnsiTheme="majorBidi" w:cstheme="majorBidi"/>
          <w:lang w:val="fr-FR"/>
        </w:rPr>
        <w:t>Environment</w:t>
      </w:r>
      <w:proofErr w:type="spellEnd"/>
      <w:r w:rsidRPr="009371F8">
        <w:rPr>
          <w:rFonts w:asciiTheme="majorBidi" w:hAnsiTheme="majorBidi" w:cstheme="majorBidi"/>
          <w:lang w:val="fr-FR"/>
        </w:rPr>
        <w:t xml:space="preserve">, 27(2), 113–139. </w:t>
      </w:r>
      <w:hyperlink r:id="rId32" w:history="1">
        <w:r w:rsidRPr="009371F8">
          <w:rPr>
            <w:rStyle w:val="Hyperlink"/>
            <w:rFonts w:asciiTheme="majorBidi" w:hAnsiTheme="majorBidi" w:cstheme="majorBidi"/>
            <w:lang w:val="fr-FR"/>
          </w:rPr>
          <w:t>https://doi.org/10.1177/1086026614526413</w:t>
        </w:r>
      </w:hyperlink>
    </w:p>
    <w:p w14:paraId="2C8CDA9F" w14:textId="3905C2CD" w:rsidR="00B57EB9" w:rsidRPr="00B57EB9" w:rsidRDefault="00B57EB9" w:rsidP="00D163C0">
      <w:pPr>
        <w:pStyle w:val="Default"/>
        <w:spacing w:after="240"/>
        <w:ind w:left="720" w:hanging="720"/>
        <w:jc w:val="both"/>
        <w:rPr>
          <w:rFonts w:asciiTheme="majorBidi" w:eastAsia="Times New Roman" w:hAnsiTheme="majorBidi" w:cstheme="majorBidi"/>
          <w:color w:val="auto"/>
        </w:rPr>
      </w:pPr>
      <w:proofErr w:type="spellStart"/>
      <w:r w:rsidRPr="009371F8">
        <w:rPr>
          <w:rFonts w:asciiTheme="majorBidi" w:eastAsia="Times New Roman" w:hAnsiTheme="majorBidi" w:cstheme="majorBidi"/>
          <w:color w:val="auto"/>
          <w:lang w:val="fr-FR"/>
        </w:rPr>
        <w:t>Narula</w:t>
      </w:r>
      <w:proofErr w:type="spellEnd"/>
      <w:r w:rsidRPr="009371F8">
        <w:rPr>
          <w:rFonts w:asciiTheme="majorBidi" w:eastAsia="Times New Roman" w:hAnsiTheme="majorBidi" w:cstheme="majorBidi"/>
          <w:color w:val="auto"/>
          <w:lang w:val="fr-FR"/>
        </w:rPr>
        <w:t xml:space="preserve">, R., Rao, P., Kumar, S., &amp; Matta, R. (2024). </w:t>
      </w:r>
      <w:r w:rsidRPr="00B57EB9">
        <w:rPr>
          <w:rFonts w:asciiTheme="majorBidi" w:eastAsia="Times New Roman" w:hAnsiTheme="majorBidi" w:cstheme="majorBidi"/>
          <w:color w:val="auto"/>
        </w:rPr>
        <w:t xml:space="preserve">ESG scores and firm performance-evidence from emerging </w:t>
      </w:r>
      <w:r w:rsidR="00237C59">
        <w:rPr>
          <w:rFonts w:asciiTheme="majorBidi" w:eastAsia="Times New Roman" w:hAnsiTheme="majorBidi" w:cstheme="majorBidi"/>
          <w:color w:val="auto"/>
        </w:rPr>
        <w:t>markets</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International Review of Economics &amp; Finance</w:t>
      </w:r>
      <w:r w:rsidRPr="00B57EB9">
        <w:rPr>
          <w:rFonts w:asciiTheme="majorBidi" w:eastAsia="Times New Roman" w:hAnsiTheme="majorBidi" w:cstheme="majorBidi"/>
          <w:color w:val="auto"/>
        </w:rPr>
        <w:t xml:space="preserve">, </w:t>
      </w:r>
      <w:r w:rsidRPr="00B57EB9">
        <w:rPr>
          <w:rFonts w:asciiTheme="majorBidi" w:eastAsia="Times New Roman" w:hAnsiTheme="majorBidi" w:cstheme="majorBidi"/>
          <w:i/>
          <w:iCs/>
          <w:color w:val="auto"/>
        </w:rPr>
        <w:t>89</w:t>
      </w:r>
      <w:r w:rsidRPr="00B57EB9">
        <w:rPr>
          <w:rFonts w:asciiTheme="majorBidi" w:eastAsia="Times New Roman" w:hAnsiTheme="majorBidi" w:cstheme="majorBidi"/>
          <w:color w:val="auto"/>
        </w:rPr>
        <w:t xml:space="preserve">, 1170-1184. </w:t>
      </w:r>
    </w:p>
    <w:p w14:paraId="32ABBE55" w14:textId="77777777" w:rsidR="00B57EB9" w:rsidRPr="00B57EB9" w:rsidRDefault="00B57EB9" w:rsidP="00435F4F">
      <w:pPr>
        <w:spacing w:line="240" w:lineRule="auto"/>
        <w:ind w:left="720" w:hanging="720"/>
        <w:jc w:val="both"/>
        <w:rPr>
          <w:rFonts w:asciiTheme="majorBidi" w:hAnsiTheme="majorBidi" w:cstheme="majorBidi"/>
        </w:rPr>
      </w:pPr>
      <w:proofErr w:type="spellStart"/>
      <w:r w:rsidRPr="006E05CC">
        <w:rPr>
          <w:rFonts w:asciiTheme="majorBidi" w:hAnsiTheme="majorBidi" w:cstheme="majorBidi"/>
        </w:rPr>
        <w:t>Odugbemi</w:t>
      </w:r>
      <w:proofErr w:type="spellEnd"/>
      <w:r w:rsidRPr="006E05CC">
        <w:rPr>
          <w:rFonts w:asciiTheme="majorBidi" w:hAnsiTheme="majorBidi" w:cstheme="majorBidi"/>
        </w:rPr>
        <w:t xml:space="preserve">, O. M., &amp; </w:t>
      </w:r>
      <w:proofErr w:type="spellStart"/>
      <w:r w:rsidRPr="006E05CC">
        <w:rPr>
          <w:rFonts w:asciiTheme="majorBidi" w:hAnsiTheme="majorBidi" w:cstheme="majorBidi"/>
        </w:rPr>
        <w:t>Igbekoyi</w:t>
      </w:r>
      <w:proofErr w:type="spellEnd"/>
      <w:r w:rsidRPr="006E05CC">
        <w:rPr>
          <w:rFonts w:asciiTheme="majorBidi" w:hAnsiTheme="majorBidi" w:cstheme="majorBidi"/>
        </w:rPr>
        <w:t xml:space="preserve">, O. E. (2021). </w:t>
      </w:r>
      <w:r w:rsidRPr="00B57EB9">
        <w:rPr>
          <w:rFonts w:asciiTheme="majorBidi" w:hAnsiTheme="majorBidi" w:cstheme="majorBidi"/>
        </w:rPr>
        <w:t xml:space="preserve">Environmental disclosure practices and economic performance of quoted oil and gas firms in Nigeria. </w:t>
      </w:r>
      <w:r w:rsidRPr="00B57EB9">
        <w:rPr>
          <w:rFonts w:asciiTheme="majorBidi" w:hAnsiTheme="majorBidi" w:cstheme="majorBidi"/>
          <w:i/>
          <w:iCs/>
        </w:rPr>
        <w:t>African Journal of Accounting, Finance &amp; Marketing, 5</w:t>
      </w:r>
      <w:r w:rsidRPr="00B57EB9">
        <w:rPr>
          <w:rFonts w:asciiTheme="majorBidi" w:hAnsiTheme="majorBidi" w:cstheme="majorBidi"/>
        </w:rPr>
        <w:t>(1), 109-128.</w:t>
      </w:r>
    </w:p>
    <w:p w14:paraId="01B1A20B" w14:textId="77777777" w:rsidR="00B57EB9" w:rsidRPr="00B57EB9" w:rsidRDefault="00B57EB9" w:rsidP="00D421E2">
      <w:pPr>
        <w:spacing w:after="100" w:afterAutospacing="1" w:line="240" w:lineRule="auto"/>
        <w:ind w:left="720" w:hanging="720"/>
        <w:jc w:val="both"/>
        <w:rPr>
          <w:rFonts w:asciiTheme="majorBidi" w:eastAsia="Times New Roman" w:hAnsiTheme="majorBidi" w:cstheme="majorBidi"/>
          <w:kern w:val="0"/>
          <w14:ligatures w14:val="none"/>
        </w:rPr>
      </w:pPr>
      <w:r w:rsidRPr="00B57EB9">
        <w:rPr>
          <w:rFonts w:asciiTheme="majorBidi" w:eastAsia="Times New Roman" w:hAnsiTheme="majorBidi" w:cstheme="majorBidi"/>
          <w:kern w:val="0"/>
          <w14:ligatures w14:val="none"/>
        </w:rPr>
        <w:lastRenderedPageBreak/>
        <w:t xml:space="preserve">Olayemi, T., Adegbite, S., &amp; Bello, M. (2023). The role of voluntary ESG disclosures in financial resilience: Evidence from emerging markets. </w:t>
      </w:r>
      <w:r w:rsidRPr="00B57EB9">
        <w:rPr>
          <w:rFonts w:asciiTheme="majorBidi" w:eastAsia="Times New Roman" w:hAnsiTheme="majorBidi" w:cstheme="majorBidi"/>
          <w:i/>
          <w:iCs/>
          <w:kern w:val="0"/>
          <w14:ligatures w14:val="none"/>
        </w:rPr>
        <w:t>Emerging Markets Finance and Trade, 59</w:t>
      </w:r>
      <w:r w:rsidRPr="00B57EB9">
        <w:rPr>
          <w:rFonts w:asciiTheme="majorBidi" w:eastAsia="Times New Roman" w:hAnsiTheme="majorBidi" w:cstheme="majorBidi"/>
          <w:kern w:val="0"/>
          <w14:ligatures w14:val="none"/>
        </w:rPr>
        <w:t xml:space="preserve">(6), 1432-1450. </w:t>
      </w:r>
    </w:p>
    <w:p w14:paraId="16A22756" w14:textId="77777777" w:rsidR="00B57EB9" w:rsidRPr="00B57EB9" w:rsidRDefault="00B57EB9" w:rsidP="00D07683">
      <w:pPr>
        <w:spacing w:after="240" w:line="240" w:lineRule="auto"/>
        <w:ind w:left="720" w:hanging="720"/>
        <w:jc w:val="both"/>
        <w:rPr>
          <w:rFonts w:asciiTheme="majorBidi" w:eastAsia="Times New Roman" w:hAnsiTheme="majorBidi" w:cstheme="majorBidi"/>
          <w:kern w:val="0"/>
          <w14:ligatures w14:val="none"/>
        </w:rPr>
      </w:pPr>
      <w:proofErr w:type="spellStart"/>
      <w:r w:rsidRPr="00B57EB9">
        <w:rPr>
          <w:rFonts w:asciiTheme="majorBidi" w:hAnsiTheme="majorBidi" w:cstheme="majorBidi"/>
        </w:rPr>
        <w:t>Organisation</w:t>
      </w:r>
      <w:proofErr w:type="spellEnd"/>
      <w:r w:rsidRPr="00B57EB9">
        <w:rPr>
          <w:rFonts w:asciiTheme="majorBidi" w:hAnsiTheme="majorBidi" w:cstheme="majorBidi"/>
        </w:rPr>
        <w:t xml:space="preserve"> for Economic Co-operation and Development (OECD). (n.d.). </w:t>
      </w:r>
      <w:r w:rsidRPr="00B57EB9">
        <w:rPr>
          <w:rStyle w:val="Emphasis"/>
          <w:rFonts w:asciiTheme="majorBidi" w:hAnsiTheme="majorBidi" w:cstheme="majorBidi"/>
        </w:rPr>
        <w:t>Corporate sustainability</w:t>
      </w:r>
      <w:r w:rsidRPr="00B57EB9">
        <w:rPr>
          <w:rFonts w:asciiTheme="majorBidi" w:hAnsiTheme="majorBidi" w:cstheme="majorBidi"/>
        </w:rPr>
        <w:t xml:space="preserve">. </w:t>
      </w:r>
      <w:hyperlink r:id="rId33" w:tgtFrame="_new" w:history="1">
        <w:r w:rsidRPr="00B57EB9">
          <w:rPr>
            <w:rStyle w:val="Hyperlink"/>
            <w:rFonts w:asciiTheme="majorBidi" w:hAnsiTheme="majorBidi" w:cstheme="majorBidi"/>
          </w:rPr>
          <w:t>https://www.oecd.org/en/topics/sub-issues/corporate-sustainability.html</w:t>
        </w:r>
      </w:hyperlink>
    </w:p>
    <w:p w14:paraId="65CBCF94" w14:textId="77777777" w:rsidR="00B57EB9" w:rsidRPr="00B57EB9" w:rsidRDefault="00B57EB9" w:rsidP="0047287C">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Parmar, B. L., Freeman, R. E., Harrison, J. S., Wicks, A. C., Purnell, L., &amp; de Colle, S. (2010). Stakeholder theory: The state of the art. </w:t>
      </w:r>
      <w:r w:rsidRPr="00B57EB9">
        <w:rPr>
          <w:rStyle w:val="Emphasis"/>
          <w:rFonts w:asciiTheme="majorBidi" w:hAnsiTheme="majorBidi" w:cstheme="majorBidi"/>
        </w:rPr>
        <w:t>Academy of Management Annals, 4</w:t>
      </w:r>
      <w:r w:rsidRPr="00B57EB9">
        <w:rPr>
          <w:rFonts w:asciiTheme="majorBidi" w:hAnsiTheme="majorBidi" w:cstheme="majorBidi"/>
        </w:rPr>
        <w:t xml:space="preserve">(1), 403-445. </w:t>
      </w:r>
      <w:hyperlink r:id="rId34" w:tgtFrame="_new" w:history="1">
        <w:r w:rsidRPr="00B57EB9">
          <w:rPr>
            <w:rStyle w:val="Hyperlink"/>
            <w:rFonts w:asciiTheme="majorBidi" w:hAnsiTheme="majorBidi" w:cstheme="majorBidi"/>
          </w:rPr>
          <w:t>https://doi.org/10.5465/19416520.2010.495581</w:t>
        </w:r>
      </w:hyperlink>
    </w:p>
    <w:p w14:paraId="56E76098" w14:textId="77777777" w:rsidR="00B57EB9" w:rsidRPr="00B57EB9" w:rsidRDefault="00B57EB9" w:rsidP="00657119">
      <w:pPr>
        <w:spacing w:after="240" w:line="240" w:lineRule="auto"/>
        <w:ind w:left="720" w:hanging="720"/>
        <w:jc w:val="both"/>
        <w:rPr>
          <w:rFonts w:asciiTheme="majorBidi" w:hAnsiTheme="majorBidi" w:cstheme="majorBidi"/>
        </w:rPr>
      </w:pPr>
      <w:r w:rsidRPr="00B57EB9">
        <w:rPr>
          <w:rFonts w:asciiTheme="majorBidi" w:eastAsia="Times New Roman" w:hAnsiTheme="majorBidi" w:cstheme="majorBidi"/>
          <w:kern w:val="0"/>
          <w14:ligatures w14:val="none"/>
        </w:rPr>
        <w:t xml:space="preserve">Saini, N., Singhania, M., Hasan, M., Yadav, M. P., &amp; Abedin, M. Z. (2022). Non-financial disclosures and sustainable development: A </w:t>
      </w:r>
      <w:proofErr w:type="spellStart"/>
      <w:r w:rsidRPr="00B57EB9">
        <w:rPr>
          <w:rFonts w:asciiTheme="majorBidi" w:eastAsia="Times New Roman" w:hAnsiTheme="majorBidi" w:cstheme="majorBidi"/>
          <w:kern w:val="0"/>
          <w14:ligatures w14:val="none"/>
        </w:rPr>
        <w:t>scientometric</w:t>
      </w:r>
      <w:proofErr w:type="spellEnd"/>
      <w:r w:rsidRPr="00B57EB9">
        <w:rPr>
          <w:rFonts w:asciiTheme="majorBidi" w:eastAsia="Times New Roman" w:hAnsiTheme="majorBidi" w:cstheme="majorBidi"/>
          <w:kern w:val="0"/>
          <w14:ligatures w14:val="none"/>
        </w:rPr>
        <w:t xml:space="preserve"> analysis. </w:t>
      </w:r>
      <w:r w:rsidRPr="00B57EB9">
        <w:rPr>
          <w:rFonts w:asciiTheme="majorBidi" w:eastAsia="Times New Roman" w:hAnsiTheme="majorBidi" w:cstheme="majorBidi"/>
          <w:i/>
          <w:iCs/>
          <w:kern w:val="0"/>
          <w14:ligatures w14:val="none"/>
        </w:rPr>
        <w:t>Journal of Cleaner Production</w:t>
      </w:r>
      <w:r w:rsidRPr="00B57EB9">
        <w:rPr>
          <w:rFonts w:asciiTheme="majorBidi" w:eastAsia="Times New Roman" w:hAnsiTheme="majorBidi" w:cstheme="majorBidi"/>
          <w:kern w:val="0"/>
          <w14:ligatures w14:val="none"/>
        </w:rPr>
        <w:t xml:space="preserve">, </w:t>
      </w:r>
      <w:r w:rsidRPr="00B57EB9">
        <w:rPr>
          <w:rFonts w:asciiTheme="majorBidi" w:eastAsia="Times New Roman" w:hAnsiTheme="majorBidi" w:cstheme="majorBidi"/>
          <w:i/>
          <w:iCs/>
          <w:kern w:val="0"/>
          <w14:ligatures w14:val="none"/>
        </w:rPr>
        <w:t>381</w:t>
      </w:r>
      <w:r w:rsidRPr="00B57EB9">
        <w:rPr>
          <w:rFonts w:asciiTheme="majorBidi" w:eastAsia="Times New Roman" w:hAnsiTheme="majorBidi" w:cstheme="majorBidi"/>
          <w:kern w:val="0"/>
          <w14:ligatures w14:val="none"/>
        </w:rPr>
        <w:t>, 135173.</w:t>
      </w:r>
      <w:r w:rsidRPr="00B57EB9">
        <w:rPr>
          <w:rFonts w:asciiTheme="majorBidi" w:hAnsiTheme="majorBidi" w:cstheme="majorBidi"/>
        </w:rPr>
        <w:t xml:space="preserve"> </w:t>
      </w:r>
      <w:hyperlink r:id="rId35" w:history="1">
        <w:r w:rsidRPr="00B57EB9">
          <w:rPr>
            <w:rStyle w:val="Hyperlink"/>
            <w:rFonts w:asciiTheme="majorBidi" w:hAnsiTheme="majorBidi" w:cstheme="majorBidi"/>
          </w:rPr>
          <w:t>https://doi.org/10.1016/j.jclepro.2022.135173</w:t>
        </w:r>
      </w:hyperlink>
    </w:p>
    <w:p w14:paraId="05717C6B" w14:textId="77777777" w:rsidR="00B57EB9" w:rsidRPr="006E05CC" w:rsidRDefault="00B57EB9" w:rsidP="006E597E">
      <w:pPr>
        <w:spacing w:after="240" w:line="240" w:lineRule="auto"/>
        <w:ind w:left="720" w:hanging="720"/>
        <w:jc w:val="both"/>
        <w:rPr>
          <w:rFonts w:asciiTheme="majorBidi" w:eastAsia="Times New Roman" w:hAnsiTheme="majorBidi" w:cstheme="majorBidi"/>
          <w:kern w:val="0"/>
          <w14:ligatures w14:val="none"/>
        </w:rPr>
      </w:pPr>
      <w:r w:rsidRPr="006E597E">
        <w:rPr>
          <w:rFonts w:asciiTheme="majorBidi" w:eastAsia="Times New Roman" w:hAnsiTheme="majorBidi" w:cstheme="majorBidi"/>
          <w:kern w:val="0"/>
          <w14:ligatures w14:val="none"/>
        </w:rPr>
        <w:t xml:space="preserve">Villacampa-Porta, J., Coronado-Vaca, M., &amp; </w:t>
      </w:r>
      <w:proofErr w:type="spellStart"/>
      <w:r w:rsidRPr="006E597E">
        <w:rPr>
          <w:rFonts w:asciiTheme="majorBidi" w:eastAsia="Times New Roman" w:hAnsiTheme="majorBidi" w:cstheme="majorBidi"/>
          <w:kern w:val="0"/>
          <w14:ligatures w14:val="none"/>
        </w:rPr>
        <w:t>Garrido-Merchán</w:t>
      </w:r>
      <w:proofErr w:type="spellEnd"/>
      <w:r w:rsidRPr="006E597E">
        <w:rPr>
          <w:rFonts w:asciiTheme="majorBidi" w:eastAsia="Times New Roman" w:hAnsiTheme="majorBidi" w:cstheme="majorBidi"/>
          <w:kern w:val="0"/>
          <w14:ligatures w14:val="none"/>
        </w:rPr>
        <w:t xml:space="preserve">, E. C. (2025). Impact of EU non-financial reporting regulation on Spanish companies’ environmental disclosure: a cutting-edge natural language processing approach. </w:t>
      </w:r>
      <w:r w:rsidRPr="006E05CC">
        <w:rPr>
          <w:rFonts w:asciiTheme="majorBidi" w:eastAsia="Times New Roman" w:hAnsiTheme="majorBidi" w:cstheme="majorBidi"/>
          <w:i/>
          <w:iCs/>
          <w:kern w:val="0"/>
          <w14:ligatures w14:val="none"/>
        </w:rPr>
        <w:t>Environmental Sciences Europe</w:t>
      </w:r>
      <w:r w:rsidRPr="006E05CC">
        <w:rPr>
          <w:rFonts w:asciiTheme="majorBidi" w:eastAsia="Times New Roman" w:hAnsiTheme="majorBidi" w:cstheme="majorBidi"/>
          <w:kern w:val="0"/>
          <w14:ligatures w14:val="none"/>
        </w:rPr>
        <w:t xml:space="preserve">, </w:t>
      </w:r>
      <w:r w:rsidRPr="006E05CC">
        <w:rPr>
          <w:rFonts w:asciiTheme="majorBidi" w:eastAsia="Times New Roman" w:hAnsiTheme="majorBidi" w:cstheme="majorBidi"/>
          <w:i/>
          <w:iCs/>
          <w:kern w:val="0"/>
          <w14:ligatures w14:val="none"/>
        </w:rPr>
        <w:t>37</w:t>
      </w:r>
      <w:r w:rsidRPr="006E05CC">
        <w:rPr>
          <w:rFonts w:asciiTheme="majorBidi" w:eastAsia="Times New Roman" w:hAnsiTheme="majorBidi" w:cstheme="majorBidi"/>
          <w:kern w:val="0"/>
          <w14:ligatures w14:val="none"/>
        </w:rPr>
        <w:t xml:space="preserve">(1), 1-33. </w:t>
      </w:r>
    </w:p>
    <w:p w14:paraId="5C8E5DC3" w14:textId="651A0C65" w:rsidR="0041145F" w:rsidRDefault="00B57EB9" w:rsidP="00B57EB9">
      <w:pPr>
        <w:pStyle w:val="Default"/>
        <w:spacing w:after="240"/>
        <w:ind w:left="720" w:hanging="720"/>
        <w:jc w:val="both"/>
        <w:rPr>
          <w:rFonts w:asciiTheme="majorBidi" w:hAnsiTheme="majorBidi" w:cstheme="majorBidi"/>
        </w:rPr>
      </w:pPr>
      <w:r w:rsidRPr="00B57EB9">
        <w:rPr>
          <w:rFonts w:asciiTheme="majorBidi" w:hAnsiTheme="majorBidi" w:cstheme="majorBidi"/>
        </w:rPr>
        <w:t xml:space="preserve">Zhang, T., &amp; Li, X. (2022). Sustainability reporting in high-risk industries: A stakeholder theory approach. </w:t>
      </w:r>
      <w:r w:rsidRPr="00B57EB9">
        <w:rPr>
          <w:rStyle w:val="Emphasis"/>
          <w:rFonts w:asciiTheme="majorBidi" w:hAnsiTheme="majorBidi" w:cstheme="majorBidi"/>
        </w:rPr>
        <w:t>Corporate Social Responsibility and Environmental Management, 29</w:t>
      </w:r>
      <w:r w:rsidRPr="00B57EB9">
        <w:rPr>
          <w:rFonts w:asciiTheme="majorBidi" w:hAnsiTheme="majorBidi" w:cstheme="majorBidi"/>
        </w:rPr>
        <w:t>(4), 678-695.</w:t>
      </w:r>
    </w:p>
    <w:p w14:paraId="0A845399" w14:textId="44847675" w:rsidR="00490880" w:rsidRPr="001B3E8F" w:rsidRDefault="009463DB" w:rsidP="001B3E8F">
      <w:pPr>
        <w:pStyle w:val="Default"/>
        <w:spacing w:after="240"/>
        <w:ind w:left="720" w:hanging="720"/>
        <w:jc w:val="both"/>
        <w:rPr>
          <w:rFonts w:asciiTheme="majorBidi" w:eastAsia="Times New Roman" w:hAnsiTheme="majorBidi" w:cstheme="majorBidi"/>
          <w:color w:val="auto"/>
        </w:rPr>
      </w:pPr>
      <w:r w:rsidRPr="009463DB">
        <w:rPr>
          <w:rFonts w:asciiTheme="majorBidi" w:eastAsia="Times New Roman" w:hAnsiTheme="majorBidi" w:cstheme="majorBidi"/>
          <w:color w:val="auto"/>
        </w:rPr>
        <w:t xml:space="preserve">Lozano, R. (2018). Sustainable business models: Providing a more holistic perspective. Business </w:t>
      </w:r>
      <w:bookmarkStart w:id="12" w:name="_GoBack"/>
      <w:bookmarkEnd w:id="12"/>
      <w:r w:rsidRPr="009463DB">
        <w:rPr>
          <w:rFonts w:asciiTheme="majorBidi" w:eastAsia="Times New Roman" w:hAnsiTheme="majorBidi" w:cstheme="majorBidi"/>
          <w:color w:val="auto"/>
        </w:rPr>
        <w:t>Strategy and the Environment, 27(8), 1159-1166.</w:t>
      </w:r>
    </w:p>
    <w:sectPr w:rsidR="00490880" w:rsidRPr="001B3E8F">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iru2" w:date="2025-05-03T20:50:00Z" w:initials="m">
    <w:p w14:paraId="09128754" w14:textId="4B70B83E" w:rsidR="00137FDE" w:rsidRDefault="00137FDE">
      <w:pPr>
        <w:pStyle w:val="CommentText"/>
      </w:pPr>
      <w:r>
        <w:rPr>
          <w:rStyle w:val="CommentReference"/>
        </w:rPr>
        <w:annotationRef/>
      </w:r>
      <w:r>
        <w:t>Add date of publication in APA style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12875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8DFF8" w14:textId="77777777" w:rsidR="00EF4BED" w:rsidRDefault="00EF4BED" w:rsidP="00891815">
      <w:pPr>
        <w:spacing w:after="0" w:line="240" w:lineRule="auto"/>
      </w:pPr>
      <w:r>
        <w:separator/>
      </w:r>
    </w:p>
  </w:endnote>
  <w:endnote w:type="continuationSeparator" w:id="0">
    <w:p w14:paraId="2824A5E9" w14:textId="77777777" w:rsidR="00EF4BED" w:rsidRDefault="00EF4BED" w:rsidP="0089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63C0" w14:textId="77777777" w:rsidR="00BA6266" w:rsidRDefault="00BA62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41187"/>
      <w:docPartObj>
        <w:docPartGallery w:val="Page Numbers (Bottom of Page)"/>
        <w:docPartUnique/>
      </w:docPartObj>
    </w:sdtPr>
    <w:sdtEndPr/>
    <w:sdtContent>
      <w:p w14:paraId="709AAEDA" w14:textId="525A1CE4" w:rsidR="00891815" w:rsidRDefault="00891815">
        <w:pPr>
          <w:pStyle w:val="Footer"/>
          <w:jc w:val="center"/>
        </w:pPr>
        <w:r>
          <w:fldChar w:fldCharType="begin"/>
        </w:r>
        <w:r>
          <w:instrText>PAGE   \* MERGEFORMAT</w:instrText>
        </w:r>
        <w:r>
          <w:fldChar w:fldCharType="separate"/>
        </w:r>
        <w:r w:rsidR="00481E91" w:rsidRPr="00481E91">
          <w:rPr>
            <w:noProof/>
            <w:lang w:val="en-GB"/>
          </w:rPr>
          <w:t>20</w:t>
        </w:r>
        <w:r>
          <w:fldChar w:fldCharType="end"/>
        </w:r>
      </w:p>
    </w:sdtContent>
  </w:sdt>
  <w:p w14:paraId="5ADC139F" w14:textId="77777777" w:rsidR="00891815" w:rsidRDefault="0089181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559D" w14:textId="77777777" w:rsidR="00BA6266" w:rsidRDefault="00BA62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5E749" w14:textId="77777777" w:rsidR="00EF4BED" w:rsidRDefault="00EF4BED" w:rsidP="00891815">
      <w:pPr>
        <w:spacing w:after="0" w:line="240" w:lineRule="auto"/>
      </w:pPr>
      <w:r>
        <w:separator/>
      </w:r>
    </w:p>
  </w:footnote>
  <w:footnote w:type="continuationSeparator" w:id="0">
    <w:p w14:paraId="7E7CF350" w14:textId="77777777" w:rsidR="00EF4BED" w:rsidRDefault="00EF4BED" w:rsidP="0089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507A" w14:textId="0EB0BEDB" w:rsidR="00BA6266" w:rsidRDefault="00EF4BED">
    <w:pPr>
      <w:pStyle w:val="Header"/>
    </w:pPr>
    <w:r>
      <w:rPr>
        <w:noProof/>
      </w:rPr>
      <w:pict w14:anchorId="28603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63456" w14:textId="3CE5788D" w:rsidR="00BA6266" w:rsidRDefault="00EF4BED">
    <w:pPr>
      <w:pStyle w:val="Header"/>
    </w:pPr>
    <w:r>
      <w:rPr>
        <w:noProof/>
      </w:rPr>
      <w:pict w14:anchorId="17D0B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A2B5" w14:textId="5BBA7770" w:rsidR="00BA6266" w:rsidRDefault="00EF4BED">
    <w:pPr>
      <w:pStyle w:val="Header"/>
    </w:pPr>
    <w:r>
      <w:rPr>
        <w:noProof/>
      </w:rPr>
      <w:pict w14:anchorId="398FC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7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2042"/>
    <w:multiLevelType w:val="multilevel"/>
    <w:tmpl w:val="7852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85C68"/>
    <w:multiLevelType w:val="multilevel"/>
    <w:tmpl w:val="BD9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B638F"/>
    <w:multiLevelType w:val="multilevel"/>
    <w:tmpl w:val="8084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62C72"/>
    <w:multiLevelType w:val="multilevel"/>
    <w:tmpl w:val="84BE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D6061"/>
    <w:multiLevelType w:val="multilevel"/>
    <w:tmpl w:val="4608EC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6A1F34"/>
    <w:multiLevelType w:val="multilevel"/>
    <w:tmpl w:val="8E549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DB1B40"/>
    <w:multiLevelType w:val="multilevel"/>
    <w:tmpl w:val="381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AC5FC9"/>
    <w:multiLevelType w:val="hybridMultilevel"/>
    <w:tmpl w:val="01AA2FA8"/>
    <w:lvl w:ilvl="0" w:tplc="6A525F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B067F"/>
    <w:multiLevelType w:val="multilevel"/>
    <w:tmpl w:val="C3DEB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8"/>
  </w:num>
  <w:num w:numId="5">
    <w:abstractNumId w:val="7"/>
  </w:num>
  <w:num w:numId="6">
    <w:abstractNumId w:val="4"/>
  </w:num>
  <w:num w:numId="7">
    <w:abstractNumId w:val="0"/>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iru2">
    <w15:presenceInfo w15:providerId="None" w15:userId="mair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ytzQwsDQ1MzUwMTZV0lEKTi0uzszPAykwqwUABDpYGSwAAAA="/>
  </w:docVars>
  <w:rsids>
    <w:rsidRoot w:val="00490880"/>
    <w:rsid w:val="000360B3"/>
    <w:rsid w:val="00043122"/>
    <w:rsid w:val="000542D8"/>
    <w:rsid w:val="00060766"/>
    <w:rsid w:val="00065F63"/>
    <w:rsid w:val="00070F12"/>
    <w:rsid w:val="000717B2"/>
    <w:rsid w:val="000A5904"/>
    <w:rsid w:val="000B224E"/>
    <w:rsid w:val="000B230B"/>
    <w:rsid w:val="000C0B78"/>
    <w:rsid w:val="000C44A6"/>
    <w:rsid w:val="000C74CA"/>
    <w:rsid w:val="000E5193"/>
    <w:rsid w:val="00115D35"/>
    <w:rsid w:val="00121363"/>
    <w:rsid w:val="00137FDE"/>
    <w:rsid w:val="00145E67"/>
    <w:rsid w:val="00172D52"/>
    <w:rsid w:val="0018247B"/>
    <w:rsid w:val="001846C1"/>
    <w:rsid w:val="001902A9"/>
    <w:rsid w:val="001A3DE2"/>
    <w:rsid w:val="001B3E8F"/>
    <w:rsid w:val="001D3AC9"/>
    <w:rsid w:val="00203AB7"/>
    <w:rsid w:val="00227382"/>
    <w:rsid w:val="00227D96"/>
    <w:rsid w:val="00237C59"/>
    <w:rsid w:val="00252912"/>
    <w:rsid w:val="002627B6"/>
    <w:rsid w:val="002656CD"/>
    <w:rsid w:val="00284363"/>
    <w:rsid w:val="002967D7"/>
    <w:rsid w:val="002B589E"/>
    <w:rsid w:val="002F7C97"/>
    <w:rsid w:val="002F7F76"/>
    <w:rsid w:val="00302857"/>
    <w:rsid w:val="00305CBA"/>
    <w:rsid w:val="00307346"/>
    <w:rsid w:val="003178AD"/>
    <w:rsid w:val="003253B0"/>
    <w:rsid w:val="00334B46"/>
    <w:rsid w:val="003401DB"/>
    <w:rsid w:val="00342A22"/>
    <w:rsid w:val="003625B8"/>
    <w:rsid w:val="0038584B"/>
    <w:rsid w:val="003B1AEF"/>
    <w:rsid w:val="003C487C"/>
    <w:rsid w:val="003C767C"/>
    <w:rsid w:val="003D7F29"/>
    <w:rsid w:val="003E3C85"/>
    <w:rsid w:val="004036B3"/>
    <w:rsid w:val="0041145F"/>
    <w:rsid w:val="00427564"/>
    <w:rsid w:val="004319EA"/>
    <w:rsid w:val="00435F4F"/>
    <w:rsid w:val="00447D0B"/>
    <w:rsid w:val="004551B8"/>
    <w:rsid w:val="00460122"/>
    <w:rsid w:val="004657C2"/>
    <w:rsid w:val="004667BD"/>
    <w:rsid w:val="0047287C"/>
    <w:rsid w:val="00475072"/>
    <w:rsid w:val="00481E91"/>
    <w:rsid w:val="00490880"/>
    <w:rsid w:val="004A164E"/>
    <w:rsid w:val="004A68C5"/>
    <w:rsid w:val="004B1F5F"/>
    <w:rsid w:val="004D659B"/>
    <w:rsid w:val="004F0C60"/>
    <w:rsid w:val="0050098C"/>
    <w:rsid w:val="00526A4A"/>
    <w:rsid w:val="00535A03"/>
    <w:rsid w:val="00537E87"/>
    <w:rsid w:val="00540023"/>
    <w:rsid w:val="005460F0"/>
    <w:rsid w:val="00551D6B"/>
    <w:rsid w:val="005552B3"/>
    <w:rsid w:val="00564C95"/>
    <w:rsid w:val="00565B21"/>
    <w:rsid w:val="00572149"/>
    <w:rsid w:val="00576E31"/>
    <w:rsid w:val="005A6500"/>
    <w:rsid w:val="005B0D92"/>
    <w:rsid w:val="005C5E3D"/>
    <w:rsid w:val="005D6181"/>
    <w:rsid w:val="005E4C18"/>
    <w:rsid w:val="005E51ED"/>
    <w:rsid w:val="005F1C9D"/>
    <w:rsid w:val="00601ECB"/>
    <w:rsid w:val="006427C6"/>
    <w:rsid w:val="00647EC0"/>
    <w:rsid w:val="00652D9F"/>
    <w:rsid w:val="00657119"/>
    <w:rsid w:val="00677D4F"/>
    <w:rsid w:val="00683DAD"/>
    <w:rsid w:val="00693FD5"/>
    <w:rsid w:val="0069514F"/>
    <w:rsid w:val="006C060E"/>
    <w:rsid w:val="006D66A2"/>
    <w:rsid w:val="006E05CC"/>
    <w:rsid w:val="006E3217"/>
    <w:rsid w:val="006E597E"/>
    <w:rsid w:val="006F71CA"/>
    <w:rsid w:val="0070097D"/>
    <w:rsid w:val="00702FAA"/>
    <w:rsid w:val="00717864"/>
    <w:rsid w:val="00725C87"/>
    <w:rsid w:val="007332F5"/>
    <w:rsid w:val="00751B3A"/>
    <w:rsid w:val="007577C8"/>
    <w:rsid w:val="00762F3B"/>
    <w:rsid w:val="00780930"/>
    <w:rsid w:val="00787C80"/>
    <w:rsid w:val="00790898"/>
    <w:rsid w:val="00791610"/>
    <w:rsid w:val="007A58C7"/>
    <w:rsid w:val="007B4D76"/>
    <w:rsid w:val="007B709A"/>
    <w:rsid w:val="007E4F94"/>
    <w:rsid w:val="007E73CF"/>
    <w:rsid w:val="007F451B"/>
    <w:rsid w:val="00817882"/>
    <w:rsid w:val="00851E75"/>
    <w:rsid w:val="00880590"/>
    <w:rsid w:val="0088164E"/>
    <w:rsid w:val="00891815"/>
    <w:rsid w:val="008C5F31"/>
    <w:rsid w:val="008D4F60"/>
    <w:rsid w:val="00912996"/>
    <w:rsid w:val="009371F8"/>
    <w:rsid w:val="00945AF6"/>
    <w:rsid w:val="009463DB"/>
    <w:rsid w:val="009573DF"/>
    <w:rsid w:val="0096734E"/>
    <w:rsid w:val="00977B2F"/>
    <w:rsid w:val="009C695A"/>
    <w:rsid w:val="009D09F8"/>
    <w:rsid w:val="009D3302"/>
    <w:rsid w:val="00A0306C"/>
    <w:rsid w:val="00A36175"/>
    <w:rsid w:val="00A36973"/>
    <w:rsid w:val="00A46710"/>
    <w:rsid w:val="00A600B1"/>
    <w:rsid w:val="00A74286"/>
    <w:rsid w:val="00A81DF3"/>
    <w:rsid w:val="00A822DA"/>
    <w:rsid w:val="00A95FA3"/>
    <w:rsid w:val="00AA78FE"/>
    <w:rsid w:val="00AB0781"/>
    <w:rsid w:val="00AC1BFC"/>
    <w:rsid w:val="00AD2CB4"/>
    <w:rsid w:val="00B112B6"/>
    <w:rsid w:val="00B11BFD"/>
    <w:rsid w:val="00B13282"/>
    <w:rsid w:val="00B14127"/>
    <w:rsid w:val="00B17430"/>
    <w:rsid w:val="00B17E19"/>
    <w:rsid w:val="00B201AF"/>
    <w:rsid w:val="00B30648"/>
    <w:rsid w:val="00B5156C"/>
    <w:rsid w:val="00B57EB9"/>
    <w:rsid w:val="00B774A6"/>
    <w:rsid w:val="00B81801"/>
    <w:rsid w:val="00BA34EC"/>
    <w:rsid w:val="00BA4982"/>
    <w:rsid w:val="00BA592F"/>
    <w:rsid w:val="00BA6266"/>
    <w:rsid w:val="00BB55BD"/>
    <w:rsid w:val="00BD7BE1"/>
    <w:rsid w:val="00BE4405"/>
    <w:rsid w:val="00C05E9D"/>
    <w:rsid w:val="00C21BF9"/>
    <w:rsid w:val="00C6265D"/>
    <w:rsid w:val="00C649E5"/>
    <w:rsid w:val="00C653E5"/>
    <w:rsid w:val="00C72397"/>
    <w:rsid w:val="00C75672"/>
    <w:rsid w:val="00C82C27"/>
    <w:rsid w:val="00C86641"/>
    <w:rsid w:val="00C92197"/>
    <w:rsid w:val="00C9588D"/>
    <w:rsid w:val="00CA7BF5"/>
    <w:rsid w:val="00CB05C3"/>
    <w:rsid w:val="00CB454B"/>
    <w:rsid w:val="00CC6911"/>
    <w:rsid w:val="00CD1EB5"/>
    <w:rsid w:val="00CD26E8"/>
    <w:rsid w:val="00CE711C"/>
    <w:rsid w:val="00CF1E59"/>
    <w:rsid w:val="00CF5B66"/>
    <w:rsid w:val="00D07683"/>
    <w:rsid w:val="00D143DE"/>
    <w:rsid w:val="00D163C0"/>
    <w:rsid w:val="00D178CB"/>
    <w:rsid w:val="00D20514"/>
    <w:rsid w:val="00D261D5"/>
    <w:rsid w:val="00D34165"/>
    <w:rsid w:val="00D421E2"/>
    <w:rsid w:val="00D55CBF"/>
    <w:rsid w:val="00D849AB"/>
    <w:rsid w:val="00D955DD"/>
    <w:rsid w:val="00DC44D6"/>
    <w:rsid w:val="00DF2FEA"/>
    <w:rsid w:val="00DF57C6"/>
    <w:rsid w:val="00DF58C0"/>
    <w:rsid w:val="00E572AA"/>
    <w:rsid w:val="00E67BBD"/>
    <w:rsid w:val="00E80B39"/>
    <w:rsid w:val="00E82346"/>
    <w:rsid w:val="00EA42D5"/>
    <w:rsid w:val="00ED1D7C"/>
    <w:rsid w:val="00ED51EB"/>
    <w:rsid w:val="00EE70FC"/>
    <w:rsid w:val="00EF4BED"/>
    <w:rsid w:val="00F234DA"/>
    <w:rsid w:val="00F477DF"/>
    <w:rsid w:val="00F57895"/>
    <w:rsid w:val="00F6465E"/>
    <w:rsid w:val="00F7684B"/>
    <w:rsid w:val="00F866B3"/>
    <w:rsid w:val="00FA096A"/>
    <w:rsid w:val="00FC6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7703A7"/>
  <w15:chartTrackingRefBased/>
  <w15:docId w15:val="{51C9C032-6ACB-49E4-AECF-C9166F83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0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0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880"/>
    <w:rPr>
      <w:rFonts w:eastAsiaTheme="majorEastAsia" w:cstheme="majorBidi"/>
      <w:color w:val="272727" w:themeColor="text1" w:themeTint="D8"/>
    </w:rPr>
  </w:style>
  <w:style w:type="paragraph" w:styleId="Title">
    <w:name w:val="Title"/>
    <w:basedOn w:val="Normal"/>
    <w:next w:val="Normal"/>
    <w:link w:val="TitleChar"/>
    <w:uiPriority w:val="10"/>
    <w:qFormat/>
    <w:rsid w:val="00490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8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880"/>
    <w:pPr>
      <w:spacing w:before="160"/>
      <w:jc w:val="center"/>
    </w:pPr>
    <w:rPr>
      <w:i/>
      <w:iCs/>
      <w:color w:val="404040" w:themeColor="text1" w:themeTint="BF"/>
    </w:rPr>
  </w:style>
  <w:style w:type="character" w:customStyle="1" w:styleId="QuoteChar">
    <w:name w:val="Quote Char"/>
    <w:basedOn w:val="DefaultParagraphFont"/>
    <w:link w:val="Quote"/>
    <w:uiPriority w:val="29"/>
    <w:rsid w:val="00490880"/>
    <w:rPr>
      <w:i/>
      <w:iCs/>
      <w:color w:val="404040" w:themeColor="text1" w:themeTint="BF"/>
    </w:rPr>
  </w:style>
  <w:style w:type="paragraph" w:styleId="ListParagraph">
    <w:name w:val="List Paragraph"/>
    <w:basedOn w:val="Normal"/>
    <w:uiPriority w:val="34"/>
    <w:qFormat/>
    <w:rsid w:val="00490880"/>
    <w:pPr>
      <w:ind w:left="720"/>
      <w:contextualSpacing/>
    </w:pPr>
  </w:style>
  <w:style w:type="character" w:styleId="IntenseEmphasis">
    <w:name w:val="Intense Emphasis"/>
    <w:basedOn w:val="DefaultParagraphFont"/>
    <w:uiPriority w:val="21"/>
    <w:qFormat/>
    <w:rsid w:val="00490880"/>
    <w:rPr>
      <w:i/>
      <w:iCs/>
      <w:color w:val="0F4761" w:themeColor="accent1" w:themeShade="BF"/>
    </w:rPr>
  </w:style>
  <w:style w:type="paragraph" w:styleId="IntenseQuote">
    <w:name w:val="Intense Quote"/>
    <w:basedOn w:val="Normal"/>
    <w:next w:val="Normal"/>
    <w:link w:val="IntenseQuoteChar"/>
    <w:uiPriority w:val="30"/>
    <w:qFormat/>
    <w:rsid w:val="00490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880"/>
    <w:rPr>
      <w:i/>
      <w:iCs/>
      <w:color w:val="0F4761" w:themeColor="accent1" w:themeShade="BF"/>
    </w:rPr>
  </w:style>
  <w:style w:type="character" w:styleId="IntenseReference">
    <w:name w:val="Intense Reference"/>
    <w:basedOn w:val="DefaultParagraphFont"/>
    <w:uiPriority w:val="32"/>
    <w:qFormat/>
    <w:rsid w:val="00490880"/>
    <w:rPr>
      <w:b/>
      <w:bCs/>
      <w:smallCaps/>
      <w:color w:val="0F4761" w:themeColor="accent1" w:themeShade="BF"/>
      <w:spacing w:val="5"/>
    </w:rPr>
  </w:style>
  <w:style w:type="paragraph" w:styleId="NormalWeb">
    <w:name w:val="Normal (Web)"/>
    <w:basedOn w:val="Normal"/>
    <w:uiPriority w:val="99"/>
    <w:unhideWhenUsed/>
    <w:rsid w:val="004908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90880"/>
    <w:rPr>
      <w:b/>
      <w:bCs/>
    </w:rPr>
  </w:style>
  <w:style w:type="character" w:styleId="Emphasis">
    <w:name w:val="Emphasis"/>
    <w:basedOn w:val="DefaultParagraphFont"/>
    <w:uiPriority w:val="20"/>
    <w:qFormat/>
    <w:rsid w:val="00490880"/>
    <w:rPr>
      <w:i/>
      <w:iCs/>
    </w:rPr>
  </w:style>
  <w:style w:type="character" w:styleId="Hyperlink">
    <w:name w:val="Hyperlink"/>
    <w:basedOn w:val="DefaultParagraphFont"/>
    <w:uiPriority w:val="99"/>
    <w:unhideWhenUsed/>
    <w:rsid w:val="00490880"/>
    <w:rPr>
      <w:color w:val="0000FF"/>
      <w:u w:val="single"/>
    </w:rPr>
  </w:style>
  <w:style w:type="table" w:styleId="TableGrid">
    <w:name w:val="Table Grid"/>
    <w:basedOn w:val="TableNormal"/>
    <w:uiPriority w:val="39"/>
    <w:rsid w:val="00305CB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305CBA"/>
  </w:style>
  <w:style w:type="character" w:customStyle="1" w:styleId="mrel">
    <w:name w:val="mrel"/>
    <w:basedOn w:val="DefaultParagraphFont"/>
    <w:rsid w:val="00305CBA"/>
  </w:style>
  <w:style w:type="character" w:customStyle="1" w:styleId="delimsizing">
    <w:name w:val="delimsizing"/>
    <w:basedOn w:val="DefaultParagraphFont"/>
    <w:rsid w:val="00305CBA"/>
  </w:style>
  <w:style w:type="character" w:customStyle="1" w:styleId="vlist-s">
    <w:name w:val="vlist-s"/>
    <w:basedOn w:val="DefaultParagraphFont"/>
    <w:rsid w:val="00305CBA"/>
  </w:style>
  <w:style w:type="character" w:customStyle="1" w:styleId="mbin">
    <w:name w:val="mbin"/>
    <w:basedOn w:val="DefaultParagraphFont"/>
    <w:rsid w:val="00305CBA"/>
  </w:style>
  <w:style w:type="paragraph" w:styleId="NoSpacing">
    <w:name w:val="No Spacing"/>
    <w:link w:val="NoSpacingChar"/>
    <w:uiPriority w:val="1"/>
    <w:qFormat/>
    <w:rsid w:val="00305CBA"/>
    <w:pPr>
      <w:spacing w:after="0" w:line="240" w:lineRule="auto"/>
    </w:pPr>
    <w:rPr>
      <w:rFonts w:eastAsiaTheme="minorEastAsia"/>
      <w:kern w:val="0"/>
      <w:sz w:val="22"/>
      <w:szCs w:val="22"/>
      <w:lang w:val="en-GB" w:eastAsia="en-GB"/>
      <w14:ligatures w14:val="none"/>
    </w:rPr>
  </w:style>
  <w:style w:type="character" w:customStyle="1" w:styleId="NoSpacingChar">
    <w:name w:val="No Spacing Char"/>
    <w:link w:val="NoSpacing"/>
    <w:uiPriority w:val="1"/>
    <w:locked/>
    <w:rsid w:val="00305CBA"/>
    <w:rPr>
      <w:rFonts w:eastAsiaTheme="minorEastAsia"/>
      <w:kern w:val="0"/>
      <w:sz w:val="22"/>
      <w:szCs w:val="22"/>
      <w:lang w:val="en-GB" w:eastAsia="en-GB"/>
      <w14:ligatures w14:val="none"/>
    </w:rPr>
  </w:style>
  <w:style w:type="paragraph" w:customStyle="1" w:styleId="Default">
    <w:name w:val="Default"/>
    <w:qFormat/>
    <w:rsid w:val="00145E67"/>
    <w:pPr>
      <w:autoSpaceDE w:val="0"/>
      <w:autoSpaceDN w:val="0"/>
      <w:adjustRightInd w:val="0"/>
      <w:spacing w:after="0" w:line="240" w:lineRule="auto"/>
    </w:pPr>
    <w:rPr>
      <w:rFonts w:ascii="Times New Roman" w:hAnsi="Times New Roman" w:cs="Times New Roman"/>
      <w:color w:val="000000"/>
      <w:kern w:val="0"/>
      <w:lang w:val="en-GB"/>
      <w14:ligatures w14:val="none"/>
    </w:rPr>
  </w:style>
  <w:style w:type="paragraph" w:styleId="Bibliography">
    <w:name w:val="Bibliography"/>
    <w:basedOn w:val="Normal"/>
    <w:next w:val="Normal"/>
    <w:uiPriority w:val="37"/>
    <w:unhideWhenUsed/>
    <w:rsid w:val="00145E67"/>
    <w:pPr>
      <w:spacing w:line="259" w:lineRule="auto"/>
    </w:pPr>
    <w:rPr>
      <w:kern w:val="0"/>
      <w:sz w:val="22"/>
      <w:szCs w:val="22"/>
      <w14:ligatures w14:val="none"/>
    </w:rPr>
  </w:style>
  <w:style w:type="paragraph" w:styleId="Header">
    <w:name w:val="header"/>
    <w:basedOn w:val="Normal"/>
    <w:link w:val="HeaderChar"/>
    <w:uiPriority w:val="99"/>
    <w:unhideWhenUsed/>
    <w:rsid w:val="00891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815"/>
  </w:style>
  <w:style w:type="paragraph" w:styleId="Footer">
    <w:name w:val="footer"/>
    <w:basedOn w:val="Normal"/>
    <w:link w:val="FooterChar"/>
    <w:uiPriority w:val="99"/>
    <w:unhideWhenUsed/>
    <w:rsid w:val="0089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815"/>
  </w:style>
  <w:style w:type="character" w:customStyle="1" w:styleId="relative">
    <w:name w:val="relative"/>
    <w:basedOn w:val="DefaultParagraphFont"/>
    <w:rsid w:val="00657119"/>
  </w:style>
  <w:style w:type="character" w:customStyle="1" w:styleId="ml-1">
    <w:name w:val="ml-1"/>
    <w:basedOn w:val="DefaultParagraphFont"/>
    <w:rsid w:val="00657119"/>
  </w:style>
  <w:style w:type="character" w:customStyle="1" w:styleId="max-w-full">
    <w:name w:val="max-w-full"/>
    <w:basedOn w:val="DefaultParagraphFont"/>
    <w:rsid w:val="00657119"/>
  </w:style>
  <w:style w:type="character" w:customStyle="1" w:styleId="-mr-1">
    <w:name w:val="-mr-1"/>
    <w:basedOn w:val="DefaultParagraphFont"/>
    <w:rsid w:val="00657119"/>
  </w:style>
  <w:style w:type="character" w:customStyle="1" w:styleId="anchor-text">
    <w:name w:val="anchor-text"/>
    <w:basedOn w:val="DefaultParagraphFont"/>
    <w:rsid w:val="00657119"/>
  </w:style>
  <w:style w:type="character" w:customStyle="1" w:styleId="UnresolvedMention">
    <w:name w:val="Unresolved Mention"/>
    <w:basedOn w:val="DefaultParagraphFont"/>
    <w:uiPriority w:val="99"/>
    <w:semiHidden/>
    <w:unhideWhenUsed/>
    <w:rsid w:val="00657119"/>
    <w:rPr>
      <w:color w:val="605E5C"/>
      <w:shd w:val="clear" w:color="auto" w:fill="E1DFDD"/>
    </w:rPr>
  </w:style>
  <w:style w:type="character" w:styleId="CommentReference">
    <w:name w:val="annotation reference"/>
    <w:basedOn w:val="DefaultParagraphFont"/>
    <w:uiPriority w:val="99"/>
    <w:semiHidden/>
    <w:unhideWhenUsed/>
    <w:rsid w:val="00137FDE"/>
    <w:rPr>
      <w:sz w:val="16"/>
      <w:szCs w:val="16"/>
    </w:rPr>
  </w:style>
  <w:style w:type="paragraph" w:styleId="CommentText">
    <w:name w:val="annotation text"/>
    <w:basedOn w:val="Normal"/>
    <w:link w:val="CommentTextChar"/>
    <w:uiPriority w:val="99"/>
    <w:semiHidden/>
    <w:unhideWhenUsed/>
    <w:rsid w:val="00137FDE"/>
    <w:pPr>
      <w:spacing w:line="240" w:lineRule="auto"/>
    </w:pPr>
    <w:rPr>
      <w:sz w:val="20"/>
      <w:szCs w:val="20"/>
    </w:rPr>
  </w:style>
  <w:style w:type="character" w:customStyle="1" w:styleId="CommentTextChar">
    <w:name w:val="Comment Text Char"/>
    <w:basedOn w:val="DefaultParagraphFont"/>
    <w:link w:val="CommentText"/>
    <w:uiPriority w:val="99"/>
    <w:semiHidden/>
    <w:rsid w:val="00137FDE"/>
    <w:rPr>
      <w:sz w:val="20"/>
      <w:szCs w:val="20"/>
    </w:rPr>
  </w:style>
  <w:style w:type="paragraph" w:styleId="CommentSubject">
    <w:name w:val="annotation subject"/>
    <w:basedOn w:val="CommentText"/>
    <w:next w:val="CommentText"/>
    <w:link w:val="CommentSubjectChar"/>
    <w:uiPriority w:val="99"/>
    <w:semiHidden/>
    <w:unhideWhenUsed/>
    <w:rsid w:val="00137FDE"/>
    <w:rPr>
      <w:b/>
      <w:bCs/>
    </w:rPr>
  </w:style>
  <w:style w:type="character" w:customStyle="1" w:styleId="CommentSubjectChar">
    <w:name w:val="Comment Subject Char"/>
    <w:basedOn w:val="CommentTextChar"/>
    <w:link w:val="CommentSubject"/>
    <w:uiPriority w:val="99"/>
    <w:semiHidden/>
    <w:rsid w:val="00137FDE"/>
    <w:rPr>
      <w:b/>
      <w:bCs/>
      <w:sz w:val="20"/>
      <w:szCs w:val="20"/>
    </w:rPr>
  </w:style>
  <w:style w:type="paragraph" w:styleId="BalloonText">
    <w:name w:val="Balloon Text"/>
    <w:basedOn w:val="Normal"/>
    <w:link w:val="BalloonTextChar"/>
    <w:uiPriority w:val="99"/>
    <w:semiHidden/>
    <w:unhideWhenUsed/>
    <w:rsid w:val="00137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3635">
      <w:bodyDiv w:val="1"/>
      <w:marLeft w:val="0"/>
      <w:marRight w:val="0"/>
      <w:marTop w:val="0"/>
      <w:marBottom w:val="0"/>
      <w:divBdr>
        <w:top w:val="none" w:sz="0" w:space="0" w:color="auto"/>
        <w:left w:val="none" w:sz="0" w:space="0" w:color="auto"/>
        <w:bottom w:val="none" w:sz="0" w:space="0" w:color="auto"/>
        <w:right w:val="none" w:sz="0" w:space="0" w:color="auto"/>
      </w:divBdr>
    </w:div>
    <w:div w:id="70321816">
      <w:bodyDiv w:val="1"/>
      <w:marLeft w:val="0"/>
      <w:marRight w:val="0"/>
      <w:marTop w:val="0"/>
      <w:marBottom w:val="0"/>
      <w:divBdr>
        <w:top w:val="none" w:sz="0" w:space="0" w:color="auto"/>
        <w:left w:val="none" w:sz="0" w:space="0" w:color="auto"/>
        <w:bottom w:val="none" w:sz="0" w:space="0" w:color="auto"/>
        <w:right w:val="none" w:sz="0" w:space="0" w:color="auto"/>
      </w:divBdr>
    </w:div>
    <w:div w:id="104232110">
      <w:bodyDiv w:val="1"/>
      <w:marLeft w:val="0"/>
      <w:marRight w:val="0"/>
      <w:marTop w:val="0"/>
      <w:marBottom w:val="0"/>
      <w:divBdr>
        <w:top w:val="none" w:sz="0" w:space="0" w:color="auto"/>
        <w:left w:val="none" w:sz="0" w:space="0" w:color="auto"/>
        <w:bottom w:val="none" w:sz="0" w:space="0" w:color="auto"/>
        <w:right w:val="none" w:sz="0" w:space="0" w:color="auto"/>
      </w:divBdr>
    </w:div>
    <w:div w:id="275598646">
      <w:bodyDiv w:val="1"/>
      <w:marLeft w:val="0"/>
      <w:marRight w:val="0"/>
      <w:marTop w:val="0"/>
      <w:marBottom w:val="0"/>
      <w:divBdr>
        <w:top w:val="none" w:sz="0" w:space="0" w:color="auto"/>
        <w:left w:val="none" w:sz="0" w:space="0" w:color="auto"/>
        <w:bottom w:val="none" w:sz="0" w:space="0" w:color="auto"/>
        <w:right w:val="none" w:sz="0" w:space="0" w:color="auto"/>
      </w:divBdr>
    </w:div>
    <w:div w:id="309135137">
      <w:bodyDiv w:val="1"/>
      <w:marLeft w:val="0"/>
      <w:marRight w:val="0"/>
      <w:marTop w:val="0"/>
      <w:marBottom w:val="0"/>
      <w:divBdr>
        <w:top w:val="none" w:sz="0" w:space="0" w:color="auto"/>
        <w:left w:val="none" w:sz="0" w:space="0" w:color="auto"/>
        <w:bottom w:val="none" w:sz="0" w:space="0" w:color="auto"/>
        <w:right w:val="none" w:sz="0" w:space="0" w:color="auto"/>
      </w:divBdr>
    </w:div>
    <w:div w:id="315501547">
      <w:bodyDiv w:val="1"/>
      <w:marLeft w:val="0"/>
      <w:marRight w:val="0"/>
      <w:marTop w:val="0"/>
      <w:marBottom w:val="0"/>
      <w:divBdr>
        <w:top w:val="none" w:sz="0" w:space="0" w:color="auto"/>
        <w:left w:val="none" w:sz="0" w:space="0" w:color="auto"/>
        <w:bottom w:val="none" w:sz="0" w:space="0" w:color="auto"/>
        <w:right w:val="none" w:sz="0" w:space="0" w:color="auto"/>
      </w:divBdr>
    </w:div>
    <w:div w:id="490415148">
      <w:bodyDiv w:val="1"/>
      <w:marLeft w:val="0"/>
      <w:marRight w:val="0"/>
      <w:marTop w:val="0"/>
      <w:marBottom w:val="0"/>
      <w:divBdr>
        <w:top w:val="none" w:sz="0" w:space="0" w:color="auto"/>
        <w:left w:val="none" w:sz="0" w:space="0" w:color="auto"/>
        <w:bottom w:val="none" w:sz="0" w:space="0" w:color="auto"/>
        <w:right w:val="none" w:sz="0" w:space="0" w:color="auto"/>
      </w:divBdr>
      <w:divsChild>
        <w:div w:id="96680348">
          <w:marLeft w:val="0"/>
          <w:marRight w:val="0"/>
          <w:marTop w:val="0"/>
          <w:marBottom w:val="0"/>
          <w:divBdr>
            <w:top w:val="none" w:sz="0" w:space="0" w:color="auto"/>
            <w:left w:val="none" w:sz="0" w:space="0" w:color="auto"/>
            <w:bottom w:val="none" w:sz="0" w:space="0" w:color="auto"/>
            <w:right w:val="none" w:sz="0" w:space="0" w:color="auto"/>
          </w:divBdr>
        </w:div>
      </w:divsChild>
    </w:div>
    <w:div w:id="498693829">
      <w:bodyDiv w:val="1"/>
      <w:marLeft w:val="0"/>
      <w:marRight w:val="0"/>
      <w:marTop w:val="0"/>
      <w:marBottom w:val="0"/>
      <w:divBdr>
        <w:top w:val="none" w:sz="0" w:space="0" w:color="auto"/>
        <w:left w:val="none" w:sz="0" w:space="0" w:color="auto"/>
        <w:bottom w:val="none" w:sz="0" w:space="0" w:color="auto"/>
        <w:right w:val="none" w:sz="0" w:space="0" w:color="auto"/>
      </w:divBdr>
    </w:div>
    <w:div w:id="505901777">
      <w:bodyDiv w:val="1"/>
      <w:marLeft w:val="0"/>
      <w:marRight w:val="0"/>
      <w:marTop w:val="0"/>
      <w:marBottom w:val="0"/>
      <w:divBdr>
        <w:top w:val="none" w:sz="0" w:space="0" w:color="auto"/>
        <w:left w:val="none" w:sz="0" w:space="0" w:color="auto"/>
        <w:bottom w:val="none" w:sz="0" w:space="0" w:color="auto"/>
        <w:right w:val="none" w:sz="0" w:space="0" w:color="auto"/>
      </w:divBdr>
    </w:div>
    <w:div w:id="643778591">
      <w:bodyDiv w:val="1"/>
      <w:marLeft w:val="0"/>
      <w:marRight w:val="0"/>
      <w:marTop w:val="0"/>
      <w:marBottom w:val="0"/>
      <w:divBdr>
        <w:top w:val="none" w:sz="0" w:space="0" w:color="auto"/>
        <w:left w:val="none" w:sz="0" w:space="0" w:color="auto"/>
        <w:bottom w:val="none" w:sz="0" w:space="0" w:color="auto"/>
        <w:right w:val="none" w:sz="0" w:space="0" w:color="auto"/>
      </w:divBdr>
    </w:div>
    <w:div w:id="693655905">
      <w:bodyDiv w:val="1"/>
      <w:marLeft w:val="0"/>
      <w:marRight w:val="0"/>
      <w:marTop w:val="0"/>
      <w:marBottom w:val="0"/>
      <w:divBdr>
        <w:top w:val="none" w:sz="0" w:space="0" w:color="auto"/>
        <w:left w:val="none" w:sz="0" w:space="0" w:color="auto"/>
        <w:bottom w:val="none" w:sz="0" w:space="0" w:color="auto"/>
        <w:right w:val="none" w:sz="0" w:space="0" w:color="auto"/>
      </w:divBdr>
    </w:div>
    <w:div w:id="723406207">
      <w:bodyDiv w:val="1"/>
      <w:marLeft w:val="0"/>
      <w:marRight w:val="0"/>
      <w:marTop w:val="0"/>
      <w:marBottom w:val="0"/>
      <w:divBdr>
        <w:top w:val="none" w:sz="0" w:space="0" w:color="auto"/>
        <w:left w:val="none" w:sz="0" w:space="0" w:color="auto"/>
        <w:bottom w:val="none" w:sz="0" w:space="0" w:color="auto"/>
        <w:right w:val="none" w:sz="0" w:space="0" w:color="auto"/>
      </w:divBdr>
    </w:div>
    <w:div w:id="732696699">
      <w:bodyDiv w:val="1"/>
      <w:marLeft w:val="0"/>
      <w:marRight w:val="0"/>
      <w:marTop w:val="0"/>
      <w:marBottom w:val="0"/>
      <w:divBdr>
        <w:top w:val="none" w:sz="0" w:space="0" w:color="auto"/>
        <w:left w:val="none" w:sz="0" w:space="0" w:color="auto"/>
        <w:bottom w:val="none" w:sz="0" w:space="0" w:color="auto"/>
        <w:right w:val="none" w:sz="0" w:space="0" w:color="auto"/>
      </w:divBdr>
    </w:div>
    <w:div w:id="736896955">
      <w:bodyDiv w:val="1"/>
      <w:marLeft w:val="0"/>
      <w:marRight w:val="0"/>
      <w:marTop w:val="0"/>
      <w:marBottom w:val="0"/>
      <w:divBdr>
        <w:top w:val="none" w:sz="0" w:space="0" w:color="auto"/>
        <w:left w:val="none" w:sz="0" w:space="0" w:color="auto"/>
        <w:bottom w:val="none" w:sz="0" w:space="0" w:color="auto"/>
        <w:right w:val="none" w:sz="0" w:space="0" w:color="auto"/>
      </w:divBdr>
    </w:div>
    <w:div w:id="748189440">
      <w:bodyDiv w:val="1"/>
      <w:marLeft w:val="0"/>
      <w:marRight w:val="0"/>
      <w:marTop w:val="0"/>
      <w:marBottom w:val="0"/>
      <w:divBdr>
        <w:top w:val="none" w:sz="0" w:space="0" w:color="auto"/>
        <w:left w:val="none" w:sz="0" w:space="0" w:color="auto"/>
        <w:bottom w:val="none" w:sz="0" w:space="0" w:color="auto"/>
        <w:right w:val="none" w:sz="0" w:space="0" w:color="auto"/>
      </w:divBdr>
      <w:divsChild>
        <w:div w:id="1008291767">
          <w:marLeft w:val="0"/>
          <w:marRight w:val="0"/>
          <w:marTop w:val="0"/>
          <w:marBottom w:val="0"/>
          <w:divBdr>
            <w:top w:val="none" w:sz="0" w:space="0" w:color="auto"/>
            <w:left w:val="none" w:sz="0" w:space="0" w:color="auto"/>
            <w:bottom w:val="none" w:sz="0" w:space="0" w:color="auto"/>
            <w:right w:val="none" w:sz="0" w:space="0" w:color="auto"/>
          </w:divBdr>
        </w:div>
      </w:divsChild>
    </w:div>
    <w:div w:id="869758164">
      <w:bodyDiv w:val="1"/>
      <w:marLeft w:val="0"/>
      <w:marRight w:val="0"/>
      <w:marTop w:val="0"/>
      <w:marBottom w:val="0"/>
      <w:divBdr>
        <w:top w:val="none" w:sz="0" w:space="0" w:color="auto"/>
        <w:left w:val="none" w:sz="0" w:space="0" w:color="auto"/>
        <w:bottom w:val="none" w:sz="0" w:space="0" w:color="auto"/>
        <w:right w:val="none" w:sz="0" w:space="0" w:color="auto"/>
      </w:divBdr>
    </w:div>
    <w:div w:id="910429313">
      <w:bodyDiv w:val="1"/>
      <w:marLeft w:val="0"/>
      <w:marRight w:val="0"/>
      <w:marTop w:val="0"/>
      <w:marBottom w:val="0"/>
      <w:divBdr>
        <w:top w:val="none" w:sz="0" w:space="0" w:color="auto"/>
        <w:left w:val="none" w:sz="0" w:space="0" w:color="auto"/>
        <w:bottom w:val="none" w:sz="0" w:space="0" w:color="auto"/>
        <w:right w:val="none" w:sz="0" w:space="0" w:color="auto"/>
      </w:divBdr>
    </w:div>
    <w:div w:id="918514688">
      <w:bodyDiv w:val="1"/>
      <w:marLeft w:val="0"/>
      <w:marRight w:val="0"/>
      <w:marTop w:val="0"/>
      <w:marBottom w:val="0"/>
      <w:divBdr>
        <w:top w:val="none" w:sz="0" w:space="0" w:color="auto"/>
        <w:left w:val="none" w:sz="0" w:space="0" w:color="auto"/>
        <w:bottom w:val="none" w:sz="0" w:space="0" w:color="auto"/>
        <w:right w:val="none" w:sz="0" w:space="0" w:color="auto"/>
      </w:divBdr>
    </w:div>
    <w:div w:id="966742035">
      <w:bodyDiv w:val="1"/>
      <w:marLeft w:val="0"/>
      <w:marRight w:val="0"/>
      <w:marTop w:val="0"/>
      <w:marBottom w:val="0"/>
      <w:divBdr>
        <w:top w:val="none" w:sz="0" w:space="0" w:color="auto"/>
        <w:left w:val="none" w:sz="0" w:space="0" w:color="auto"/>
        <w:bottom w:val="none" w:sz="0" w:space="0" w:color="auto"/>
        <w:right w:val="none" w:sz="0" w:space="0" w:color="auto"/>
      </w:divBdr>
    </w:div>
    <w:div w:id="1016466375">
      <w:bodyDiv w:val="1"/>
      <w:marLeft w:val="0"/>
      <w:marRight w:val="0"/>
      <w:marTop w:val="0"/>
      <w:marBottom w:val="0"/>
      <w:divBdr>
        <w:top w:val="none" w:sz="0" w:space="0" w:color="auto"/>
        <w:left w:val="none" w:sz="0" w:space="0" w:color="auto"/>
        <w:bottom w:val="none" w:sz="0" w:space="0" w:color="auto"/>
        <w:right w:val="none" w:sz="0" w:space="0" w:color="auto"/>
      </w:divBdr>
    </w:div>
    <w:div w:id="1060439851">
      <w:bodyDiv w:val="1"/>
      <w:marLeft w:val="0"/>
      <w:marRight w:val="0"/>
      <w:marTop w:val="0"/>
      <w:marBottom w:val="0"/>
      <w:divBdr>
        <w:top w:val="none" w:sz="0" w:space="0" w:color="auto"/>
        <w:left w:val="none" w:sz="0" w:space="0" w:color="auto"/>
        <w:bottom w:val="none" w:sz="0" w:space="0" w:color="auto"/>
        <w:right w:val="none" w:sz="0" w:space="0" w:color="auto"/>
      </w:divBdr>
    </w:div>
    <w:div w:id="1080902892">
      <w:bodyDiv w:val="1"/>
      <w:marLeft w:val="0"/>
      <w:marRight w:val="0"/>
      <w:marTop w:val="0"/>
      <w:marBottom w:val="0"/>
      <w:divBdr>
        <w:top w:val="none" w:sz="0" w:space="0" w:color="auto"/>
        <w:left w:val="none" w:sz="0" w:space="0" w:color="auto"/>
        <w:bottom w:val="none" w:sz="0" w:space="0" w:color="auto"/>
        <w:right w:val="none" w:sz="0" w:space="0" w:color="auto"/>
      </w:divBdr>
    </w:div>
    <w:div w:id="1087851260">
      <w:bodyDiv w:val="1"/>
      <w:marLeft w:val="0"/>
      <w:marRight w:val="0"/>
      <w:marTop w:val="0"/>
      <w:marBottom w:val="0"/>
      <w:divBdr>
        <w:top w:val="none" w:sz="0" w:space="0" w:color="auto"/>
        <w:left w:val="none" w:sz="0" w:space="0" w:color="auto"/>
        <w:bottom w:val="none" w:sz="0" w:space="0" w:color="auto"/>
        <w:right w:val="none" w:sz="0" w:space="0" w:color="auto"/>
      </w:divBdr>
      <w:divsChild>
        <w:div w:id="780031547">
          <w:marLeft w:val="0"/>
          <w:marRight w:val="0"/>
          <w:marTop w:val="0"/>
          <w:marBottom w:val="0"/>
          <w:divBdr>
            <w:top w:val="none" w:sz="0" w:space="0" w:color="auto"/>
            <w:left w:val="none" w:sz="0" w:space="0" w:color="auto"/>
            <w:bottom w:val="none" w:sz="0" w:space="0" w:color="auto"/>
            <w:right w:val="none" w:sz="0" w:space="0" w:color="auto"/>
          </w:divBdr>
        </w:div>
      </w:divsChild>
    </w:div>
    <w:div w:id="1160199242">
      <w:bodyDiv w:val="1"/>
      <w:marLeft w:val="0"/>
      <w:marRight w:val="0"/>
      <w:marTop w:val="0"/>
      <w:marBottom w:val="0"/>
      <w:divBdr>
        <w:top w:val="none" w:sz="0" w:space="0" w:color="auto"/>
        <w:left w:val="none" w:sz="0" w:space="0" w:color="auto"/>
        <w:bottom w:val="none" w:sz="0" w:space="0" w:color="auto"/>
        <w:right w:val="none" w:sz="0" w:space="0" w:color="auto"/>
      </w:divBdr>
    </w:div>
    <w:div w:id="1181354208">
      <w:bodyDiv w:val="1"/>
      <w:marLeft w:val="0"/>
      <w:marRight w:val="0"/>
      <w:marTop w:val="0"/>
      <w:marBottom w:val="0"/>
      <w:divBdr>
        <w:top w:val="none" w:sz="0" w:space="0" w:color="auto"/>
        <w:left w:val="none" w:sz="0" w:space="0" w:color="auto"/>
        <w:bottom w:val="none" w:sz="0" w:space="0" w:color="auto"/>
        <w:right w:val="none" w:sz="0" w:space="0" w:color="auto"/>
      </w:divBdr>
    </w:div>
    <w:div w:id="1264877148">
      <w:bodyDiv w:val="1"/>
      <w:marLeft w:val="0"/>
      <w:marRight w:val="0"/>
      <w:marTop w:val="0"/>
      <w:marBottom w:val="0"/>
      <w:divBdr>
        <w:top w:val="none" w:sz="0" w:space="0" w:color="auto"/>
        <w:left w:val="none" w:sz="0" w:space="0" w:color="auto"/>
        <w:bottom w:val="none" w:sz="0" w:space="0" w:color="auto"/>
        <w:right w:val="none" w:sz="0" w:space="0" w:color="auto"/>
      </w:divBdr>
    </w:div>
    <w:div w:id="1267083589">
      <w:bodyDiv w:val="1"/>
      <w:marLeft w:val="0"/>
      <w:marRight w:val="0"/>
      <w:marTop w:val="0"/>
      <w:marBottom w:val="0"/>
      <w:divBdr>
        <w:top w:val="none" w:sz="0" w:space="0" w:color="auto"/>
        <w:left w:val="none" w:sz="0" w:space="0" w:color="auto"/>
        <w:bottom w:val="none" w:sz="0" w:space="0" w:color="auto"/>
        <w:right w:val="none" w:sz="0" w:space="0" w:color="auto"/>
      </w:divBdr>
    </w:div>
    <w:div w:id="1271551386">
      <w:bodyDiv w:val="1"/>
      <w:marLeft w:val="0"/>
      <w:marRight w:val="0"/>
      <w:marTop w:val="0"/>
      <w:marBottom w:val="0"/>
      <w:divBdr>
        <w:top w:val="none" w:sz="0" w:space="0" w:color="auto"/>
        <w:left w:val="none" w:sz="0" w:space="0" w:color="auto"/>
        <w:bottom w:val="none" w:sz="0" w:space="0" w:color="auto"/>
        <w:right w:val="none" w:sz="0" w:space="0" w:color="auto"/>
      </w:divBdr>
    </w:div>
    <w:div w:id="1382903835">
      <w:bodyDiv w:val="1"/>
      <w:marLeft w:val="0"/>
      <w:marRight w:val="0"/>
      <w:marTop w:val="0"/>
      <w:marBottom w:val="0"/>
      <w:divBdr>
        <w:top w:val="none" w:sz="0" w:space="0" w:color="auto"/>
        <w:left w:val="none" w:sz="0" w:space="0" w:color="auto"/>
        <w:bottom w:val="none" w:sz="0" w:space="0" w:color="auto"/>
        <w:right w:val="none" w:sz="0" w:space="0" w:color="auto"/>
      </w:divBdr>
    </w:div>
    <w:div w:id="1408262356">
      <w:bodyDiv w:val="1"/>
      <w:marLeft w:val="0"/>
      <w:marRight w:val="0"/>
      <w:marTop w:val="0"/>
      <w:marBottom w:val="0"/>
      <w:divBdr>
        <w:top w:val="none" w:sz="0" w:space="0" w:color="auto"/>
        <w:left w:val="none" w:sz="0" w:space="0" w:color="auto"/>
        <w:bottom w:val="none" w:sz="0" w:space="0" w:color="auto"/>
        <w:right w:val="none" w:sz="0" w:space="0" w:color="auto"/>
      </w:divBdr>
    </w:div>
    <w:div w:id="1476096732">
      <w:bodyDiv w:val="1"/>
      <w:marLeft w:val="0"/>
      <w:marRight w:val="0"/>
      <w:marTop w:val="0"/>
      <w:marBottom w:val="0"/>
      <w:divBdr>
        <w:top w:val="none" w:sz="0" w:space="0" w:color="auto"/>
        <w:left w:val="none" w:sz="0" w:space="0" w:color="auto"/>
        <w:bottom w:val="none" w:sz="0" w:space="0" w:color="auto"/>
        <w:right w:val="none" w:sz="0" w:space="0" w:color="auto"/>
      </w:divBdr>
    </w:div>
    <w:div w:id="1539396591">
      <w:bodyDiv w:val="1"/>
      <w:marLeft w:val="0"/>
      <w:marRight w:val="0"/>
      <w:marTop w:val="0"/>
      <w:marBottom w:val="0"/>
      <w:divBdr>
        <w:top w:val="none" w:sz="0" w:space="0" w:color="auto"/>
        <w:left w:val="none" w:sz="0" w:space="0" w:color="auto"/>
        <w:bottom w:val="none" w:sz="0" w:space="0" w:color="auto"/>
        <w:right w:val="none" w:sz="0" w:space="0" w:color="auto"/>
      </w:divBdr>
    </w:div>
    <w:div w:id="1576935391">
      <w:bodyDiv w:val="1"/>
      <w:marLeft w:val="0"/>
      <w:marRight w:val="0"/>
      <w:marTop w:val="0"/>
      <w:marBottom w:val="0"/>
      <w:divBdr>
        <w:top w:val="none" w:sz="0" w:space="0" w:color="auto"/>
        <w:left w:val="none" w:sz="0" w:space="0" w:color="auto"/>
        <w:bottom w:val="none" w:sz="0" w:space="0" w:color="auto"/>
        <w:right w:val="none" w:sz="0" w:space="0" w:color="auto"/>
      </w:divBdr>
    </w:div>
    <w:div w:id="1582837895">
      <w:bodyDiv w:val="1"/>
      <w:marLeft w:val="0"/>
      <w:marRight w:val="0"/>
      <w:marTop w:val="0"/>
      <w:marBottom w:val="0"/>
      <w:divBdr>
        <w:top w:val="none" w:sz="0" w:space="0" w:color="auto"/>
        <w:left w:val="none" w:sz="0" w:space="0" w:color="auto"/>
        <w:bottom w:val="none" w:sz="0" w:space="0" w:color="auto"/>
        <w:right w:val="none" w:sz="0" w:space="0" w:color="auto"/>
      </w:divBdr>
      <w:divsChild>
        <w:div w:id="1652559171">
          <w:marLeft w:val="0"/>
          <w:marRight w:val="0"/>
          <w:marTop w:val="0"/>
          <w:marBottom w:val="0"/>
          <w:divBdr>
            <w:top w:val="none" w:sz="0" w:space="0" w:color="auto"/>
            <w:left w:val="none" w:sz="0" w:space="0" w:color="auto"/>
            <w:bottom w:val="none" w:sz="0" w:space="0" w:color="auto"/>
            <w:right w:val="none" w:sz="0" w:space="0" w:color="auto"/>
          </w:divBdr>
        </w:div>
      </w:divsChild>
    </w:div>
    <w:div w:id="1604874044">
      <w:bodyDiv w:val="1"/>
      <w:marLeft w:val="0"/>
      <w:marRight w:val="0"/>
      <w:marTop w:val="0"/>
      <w:marBottom w:val="0"/>
      <w:divBdr>
        <w:top w:val="none" w:sz="0" w:space="0" w:color="auto"/>
        <w:left w:val="none" w:sz="0" w:space="0" w:color="auto"/>
        <w:bottom w:val="none" w:sz="0" w:space="0" w:color="auto"/>
        <w:right w:val="none" w:sz="0" w:space="0" w:color="auto"/>
      </w:divBdr>
    </w:div>
    <w:div w:id="1625186975">
      <w:bodyDiv w:val="1"/>
      <w:marLeft w:val="0"/>
      <w:marRight w:val="0"/>
      <w:marTop w:val="0"/>
      <w:marBottom w:val="0"/>
      <w:divBdr>
        <w:top w:val="none" w:sz="0" w:space="0" w:color="auto"/>
        <w:left w:val="none" w:sz="0" w:space="0" w:color="auto"/>
        <w:bottom w:val="none" w:sz="0" w:space="0" w:color="auto"/>
        <w:right w:val="none" w:sz="0" w:space="0" w:color="auto"/>
      </w:divBdr>
    </w:div>
    <w:div w:id="1644584261">
      <w:bodyDiv w:val="1"/>
      <w:marLeft w:val="0"/>
      <w:marRight w:val="0"/>
      <w:marTop w:val="0"/>
      <w:marBottom w:val="0"/>
      <w:divBdr>
        <w:top w:val="none" w:sz="0" w:space="0" w:color="auto"/>
        <w:left w:val="none" w:sz="0" w:space="0" w:color="auto"/>
        <w:bottom w:val="none" w:sz="0" w:space="0" w:color="auto"/>
        <w:right w:val="none" w:sz="0" w:space="0" w:color="auto"/>
      </w:divBdr>
      <w:divsChild>
        <w:div w:id="1277254975">
          <w:marLeft w:val="0"/>
          <w:marRight w:val="0"/>
          <w:marTop w:val="0"/>
          <w:marBottom w:val="0"/>
          <w:divBdr>
            <w:top w:val="none" w:sz="0" w:space="0" w:color="auto"/>
            <w:left w:val="none" w:sz="0" w:space="0" w:color="auto"/>
            <w:bottom w:val="none" w:sz="0" w:space="0" w:color="auto"/>
            <w:right w:val="none" w:sz="0" w:space="0" w:color="auto"/>
          </w:divBdr>
        </w:div>
      </w:divsChild>
    </w:div>
    <w:div w:id="1767383993">
      <w:bodyDiv w:val="1"/>
      <w:marLeft w:val="0"/>
      <w:marRight w:val="0"/>
      <w:marTop w:val="0"/>
      <w:marBottom w:val="0"/>
      <w:divBdr>
        <w:top w:val="none" w:sz="0" w:space="0" w:color="auto"/>
        <w:left w:val="none" w:sz="0" w:space="0" w:color="auto"/>
        <w:bottom w:val="none" w:sz="0" w:space="0" w:color="auto"/>
        <w:right w:val="none" w:sz="0" w:space="0" w:color="auto"/>
      </w:divBdr>
      <w:divsChild>
        <w:div w:id="37171880">
          <w:marLeft w:val="0"/>
          <w:marRight w:val="0"/>
          <w:marTop w:val="0"/>
          <w:marBottom w:val="0"/>
          <w:divBdr>
            <w:top w:val="none" w:sz="0" w:space="0" w:color="auto"/>
            <w:left w:val="none" w:sz="0" w:space="0" w:color="auto"/>
            <w:bottom w:val="none" w:sz="0" w:space="0" w:color="auto"/>
            <w:right w:val="none" w:sz="0" w:space="0" w:color="auto"/>
          </w:divBdr>
        </w:div>
      </w:divsChild>
    </w:div>
    <w:div w:id="1807506913">
      <w:bodyDiv w:val="1"/>
      <w:marLeft w:val="0"/>
      <w:marRight w:val="0"/>
      <w:marTop w:val="0"/>
      <w:marBottom w:val="0"/>
      <w:divBdr>
        <w:top w:val="none" w:sz="0" w:space="0" w:color="auto"/>
        <w:left w:val="none" w:sz="0" w:space="0" w:color="auto"/>
        <w:bottom w:val="none" w:sz="0" w:space="0" w:color="auto"/>
        <w:right w:val="none" w:sz="0" w:space="0" w:color="auto"/>
      </w:divBdr>
    </w:div>
    <w:div w:id="1872373646">
      <w:bodyDiv w:val="1"/>
      <w:marLeft w:val="0"/>
      <w:marRight w:val="0"/>
      <w:marTop w:val="0"/>
      <w:marBottom w:val="0"/>
      <w:divBdr>
        <w:top w:val="none" w:sz="0" w:space="0" w:color="auto"/>
        <w:left w:val="none" w:sz="0" w:space="0" w:color="auto"/>
        <w:bottom w:val="none" w:sz="0" w:space="0" w:color="auto"/>
        <w:right w:val="none" w:sz="0" w:space="0" w:color="auto"/>
      </w:divBdr>
    </w:div>
    <w:div w:id="1911193554">
      <w:bodyDiv w:val="1"/>
      <w:marLeft w:val="0"/>
      <w:marRight w:val="0"/>
      <w:marTop w:val="0"/>
      <w:marBottom w:val="0"/>
      <w:divBdr>
        <w:top w:val="none" w:sz="0" w:space="0" w:color="auto"/>
        <w:left w:val="none" w:sz="0" w:space="0" w:color="auto"/>
        <w:bottom w:val="none" w:sz="0" w:space="0" w:color="auto"/>
        <w:right w:val="none" w:sz="0" w:space="0" w:color="auto"/>
      </w:divBdr>
    </w:div>
    <w:div w:id="1921601460">
      <w:bodyDiv w:val="1"/>
      <w:marLeft w:val="0"/>
      <w:marRight w:val="0"/>
      <w:marTop w:val="0"/>
      <w:marBottom w:val="0"/>
      <w:divBdr>
        <w:top w:val="none" w:sz="0" w:space="0" w:color="auto"/>
        <w:left w:val="none" w:sz="0" w:space="0" w:color="auto"/>
        <w:bottom w:val="none" w:sz="0" w:space="0" w:color="auto"/>
        <w:right w:val="none" w:sz="0" w:space="0" w:color="auto"/>
      </w:divBdr>
    </w:div>
    <w:div w:id="1934243385">
      <w:bodyDiv w:val="1"/>
      <w:marLeft w:val="0"/>
      <w:marRight w:val="0"/>
      <w:marTop w:val="0"/>
      <w:marBottom w:val="0"/>
      <w:divBdr>
        <w:top w:val="none" w:sz="0" w:space="0" w:color="auto"/>
        <w:left w:val="none" w:sz="0" w:space="0" w:color="auto"/>
        <w:bottom w:val="none" w:sz="0" w:space="0" w:color="auto"/>
        <w:right w:val="none" w:sz="0" w:space="0" w:color="auto"/>
      </w:divBdr>
    </w:div>
    <w:div w:id="1935630715">
      <w:bodyDiv w:val="1"/>
      <w:marLeft w:val="0"/>
      <w:marRight w:val="0"/>
      <w:marTop w:val="0"/>
      <w:marBottom w:val="0"/>
      <w:divBdr>
        <w:top w:val="none" w:sz="0" w:space="0" w:color="auto"/>
        <w:left w:val="none" w:sz="0" w:space="0" w:color="auto"/>
        <w:bottom w:val="none" w:sz="0" w:space="0" w:color="auto"/>
        <w:right w:val="none" w:sz="0" w:space="0" w:color="auto"/>
      </w:divBdr>
    </w:div>
    <w:div w:id="1974208653">
      <w:bodyDiv w:val="1"/>
      <w:marLeft w:val="0"/>
      <w:marRight w:val="0"/>
      <w:marTop w:val="0"/>
      <w:marBottom w:val="0"/>
      <w:divBdr>
        <w:top w:val="none" w:sz="0" w:space="0" w:color="auto"/>
        <w:left w:val="none" w:sz="0" w:space="0" w:color="auto"/>
        <w:bottom w:val="none" w:sz="0" w:space="0" w:color="auto"/>
        <w:right w:val="none" w:sz="0" w:space="0" w:color="auto"/>
      </w:divBdr>
    </w:div>
    <w:div w:id="2000696161">
      <w:bodyDiv w:val="1"/>
      <w:marLeft w:val="0"/>
      <w:marRight w:val="0"/>
      <w:marTop w:val="0"/>
      <w:marBottom w:val="0"/>
      <w:divBdr>
        <w:top w:val="none" w:sz="0" w:space="0" w:color="auto"/>
        <w:left w:val="none" w:sz="0" w:space="0" w:color="auto"/>
        <w:bottom w:val="none" w:sz="0" w:space="0" w:color="auto"/>
        <w:right w:val="none" w:sz="0" w:space="0" w:color="auto"/>
      </w:divBdr>
    </w:div>
    <w:div w:id="2001302583">
      <w:bodyDiv w:val="1"/>
      <w:marLeft w:val="0"/>
      <w:marRight w:val="0"/>
      <w:marTop w:val="0"/>
      <w:marBottom w:val="0"/>
      <w:divBdr>
        <w:top w:val="none" w:sz="0" w:space="0" w:color="auto"/>
        <w:left w:val="none" w:sz="0" w:space="0" w:color="auto"/>
        <w:bottom w:val="none" w:sz="0" w:space="0" w:color="auto"/>
        <w:right w:val="none" w:sz="0" w:space="0" w:color="auto"/>
      </w:divBdr>
    </w:div>
    <w:div w:id="2027444548">
      <w:bodyDiv w:val="1"/>
      <w:marLeft w:val="0"/>
      <w:marRight w:val="0"/>
      <w:marTop w:val="0"/>
      <w:marBottom w:val="0"/>
      <w:divBdr>
        <w:top w:val="none" w:sz="0" w:space="0" w:color="auto"/>
        <w:left w:val="none" w:sz="0" w:space="0" w:color="auto"/>
        <w:bottom w:val="none" w:sz="0" w:space="0" w:color="auto"/>
        <w:right w:val="none" w:sz="0" w:space="0" w:color="auto"/>
      </w:divBdr>
    </w:div>
    <w:div w:id="2032802268">
      <w:bodyDiv w:val="1"/>
      <w:marLeft w:val="0"/>
      <w:marRight w:val="0"/>
      <w:marTop w:val="0"/>
      <w:marBottom w:val="0"/>
      <w:divBdr>
        <w:top w:val="none" w:sz="0" w:space="0" w:color="auto"/>
        <w:left w:val="none" w:sz="0" w:space="0" w:color="auto"/>
        <w:bottom w:val="none" w:sz="0" w:space="0" w:color="auto"/>
        <w:right w:val="none" w:sz="0" w:space="0" w:color="auto"/>
      </w:divBdr>
    </w:div>
    <w:div w:id="21356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JSMA-07-2023-0180" TargetMode="External"/><Relationship Id="rId18" Type="http://schemas.openxmlformats.org/officeDocument/2006/relationships/hyperlink" Target="https://doi.org/10.26668/businessreview/2023.v8i10.3547" TargetMode="External"/><Relationship Id="rId26" Type="http://schemas.openxmlformats.org/officeDocument/2006/relationships/hyperlink" Target="https://doi.org/10.3390/atmos16020155" TargetMode="External"/><Relationship Id="rId39" Type="http://schemas.openxmlformats.org/officeDocument/2006/relationships/footer" Target="footer2.xml"/><Relationship Id="rId21" Type="http://schemas.openxmlformats.org/officeDocument/2006/relationships/hyperlink" Target="https://doi.org/10.7176/RJFA/13-22-06" TargetMode="External"/><Relationship Id="rId34" Type="http://schemas.openxmlformats.org/officeDocument/2006/relationships/hyperlink" Target="https://doi.org/10.5465/19416520.2010.495581" TargetMode="External"/><Relationship Id="rId42"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47260/amae/1262" TargetMode="External"/><Relationship Id="rId20" Type="http://schemas.openxmlformats.org/officeDocument/2006/relationships/hyperlink" Target="https://doi.org/10.47063/ebd.00015" TargetMode="External"/><Relationship Id="rId29" Type="http://schemas.openxmlformats.org/officeDocument/2006/relationships/hyperlink" Target="https://doi.org/10.1016/j.iref.2023.08.011"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0638/eemj.2023.014" TargetMode="External"/><Relationship Id="rId24" Type="http://schemas.openxmlformats.org/officeDocument/2006/relationships/hyperlink" Target="https://ssrn.com/abstract=4228623" TargetMode="External"/><Relationship Id="rId32" Type="http://schemas.openxmlformats.org/officeDocument/2006/relationships/hyperlink" Target="https://doi.org/10.1177/1086026614526413"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x.doi.org/10.47772/IJRISS.2023.7804" TargetMode="External"/><Relationship Id="rId23" Type="http://schemas.openxmlformats.org/officeDocument/2006/relationships/hyperlink" Target="https://doi.org/10.1287/mnsc.2021.3994" TargetMode="External"/><Relationship Id="rId28" Type="http://schemas.openxmlformats.org/officeDocument/2006/relationships/hyperlink" Target="https://doi.org/10.9734/ajeba/2023/v23i13996" TargetMode="External"/><Relationship Id="rId36" Type="http://schemas.openxmlformats.org/officeDocument/2006/relationships/header" Target="header1.xml"/><Relationship Id="rId10" Type="http://schemas.openxmlformats.org/officeDocument/2006/relationships/hyperlink" Target="https://doi.org/10.1016/j.jclepro.2023.140517" TargetMode="External"/><Relationship Id="rId19" Type="http://schemas.openxmlformats.org/officeDocument/2006/relationships/hyperlink" Target="https://doi.org/10.47772/IJRISS" TargetMode="External"/><Relationship Id="rId31" Type="http://schemas.openxmlformats.org/officeDocument/2006/relationships/hyperlink" Target="https://doi.org/10.1007/s10551-015-2741-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16/j.jclepro.2014.02.016" TargetMode="External"/><Relationship Id="rId22" Type="http://schemas.openxmlformats.org/officeDocument/2006/relationships/hyperlink" Target="https://doi.org/10.2307/258887" TargetMode="External"/><Relationship Id="rId27" Type="http://schemas.openxmlformats.org/officeDocument/2006/relationships/hyperlink" Target="https://doi.org/10.2307/3857812" TargetMode="External"/><Relationship Id="rId30" Type="http://schemas.openxmlformats.org/officeDocument/2006/relationships/hyperlink" Target="https://doi.org/10.1016/j.cpa.2014.10.003" TargetMode="External"/><Relationship Id="rId35" Type="http://schemas.openxmlformats.org/officeDocument/2006/relationships/hyperlink" Target="https://doi.org/10.1016/j.jclepro.2022.135173" TargetMode="External"/><Relationship Id="rId43" Type="http://schemas.microsoft.com/office/2011/relationships/people" Target="people.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yperlink" Target="https://doi.org/10.1057/s41599-023-01919-0" TargetMode="External"/><Relationship Id="rId17" Type="http://schemas.openxmlformats.org/officeDocument/2006/relationships/hyperlink" Target="https://doi.org/10.55217/103.v16i1.724" TargetMode="External"/><Relationship Id="rId25" Type="http://schemas.openxmlformats.org/officeDocument/2006/relationships/hyperlink" Target="https://doi.org/10.5840/beq20132314" TargetMode="External"/><Relationship Id="rId33" Type="http://schemas.openxmlformats.org/officeDocument/2006/relationships/hyperlink" Target="https://www.oecd.org/en/topics/sub-issues/corporate-sustainability.html"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652</TotalTime>
  <Pages>1</Pages>
  <Words>8640</Words>
  <Characters>49253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Muyiwa Dagunduro</dc:creator>
  <cp:keywords/>
  <dc:description/>
  <cp:lastModifiedBy>mairu2</cp:lastModifiedBy>
  <cp:revision>26</cp:revision>
  <dcterms:created xsi:type="dcterms:W3CDTF">2025-04-28T08:25:00Z</dcterms:created>
  <dcterms:modified xsi:type="dcterms:W3CDTF">2025-05-03T16:17:00Z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d22aed12fe6f83f7ed18ab61ccfbd501f37873795ea7e8a2511b4186f53ba64c</vt:lpwstr>
  </property>
</Properties>
</file>