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E576" w14:textId="77777777" w:rsidR="007F040D" w:rsidRDefault="009C5FEE" w:rsidP="00357395">
      <w:pPr>
        <w:jc w:val="center"/>
        <w:rPr>
          <w:rFonts w:asciiTheme="majorBidi" w:hAnsiTheme="majorBidi"/>
          <w:b/>
          <w:bCs/>
          <w:sz w:val="24"/>
          <w:szCs w:val="24"/>
        </w:rPr>
      </w:pPr>
      <w:bookmarkStart w:id="0" w:name="_GoBack"/>
      <w:bookmarkEnd w:id="0"/>
      <w:r w:rsidRPr="00280C96">
        <w:rPr>
          <w:rFonts w:asciiTheme="majorBidi" w:hAnsiTheme="majorBidi"/>
          <w:b/>
          <w:bCs/>
          <w:sz w:val="24"/>
          <w:szCs w:val="24"/>
        </w:rPr>
        <w:t>DETERMINANTS OF FRAUDULENT FINANCIAL REPORTING AMONG DEPOSIT MONEY BANKS (DMB) IN NIGERIA: USING THE FRAUD DIAMOND THEORY</w:t>
      </w:r>
    </w:p>
    <w:p w14:paraId="510A4C68" w14:textId="77777777" w:rsidR="00173E28" w:rsidRDefault="00173E28" w:rsidP="00173E28"/>
    <w:p w14:paraId="772FCDD0" w14:textId="77777777" w:rsidR="002C001E" w:rsidRDefault="002C001E" w:rsidP="00173E28"/>
    <w:p w14:paraId="5C7FEC16" w14:textId="77777777" w:rsidR="000D2DCE" w:rsidRPr="00280C96" w:rsidRDefault="000D2DCE" w:rsidP="00173E28"/>
    <w:p w14:paraId="1A92368B" w14:textId="451E3729" w:rsidR="00173E28" w:rsidRPr="00280C96" w:rsidRDefault="00173E28" w:rsidP="00173E28">
      <w:pPr>
        <w:jc w:val="center"/>
        <w:rPr>
          <w:rFonts w:asciiTheme="majorBidi" w:hAnsiTheme="majorBidi" w:cstheme="majorBidi"/>
          <w:sz w:val="24"/>
          <w:szCs w:val="24"/>
        </w:rPr>
      </w:pPr>
      <w:r w:rsidRPr="00280C96">
        <w:rPr>
          <w:rFonts w:asciiTheme="majorBidi" w:hAnsiTheme="majorBidi" w:cstheme="majorBidi"/>
          <w:sz w:val="24"/>
          <w:szCs w:val="24"/>
        </w:rPr>
        <w:t>Abstract</w:t>
      </w:r>
    </w:p>
    <w:p w14:paraId="59F71374" w14:textId="6284F4A9" w:rsidR="00173E28" w:rsidRPr="00E556BB" w:rsidRDefault="00E556BB" w:rsidP="00770395">
      <w:pPr>
        <w:jc w:val="both"/>
        <w:rPr>
          <w:rFonts w:asciiTheme="majorBidi" w:hAnsiTheme="majorBidi" w:cstheme="majorBidi"/>
          <w:i/>
          <w:iCs/>
          <w:sz w:val="24"/>
          <w:szCs w:val="24"/>
        </w:rPr>
      </w:pPr>
      <w:r w:rsidRPr="00E556BB">
        <w:rPr>
          <w:rFonts w:asciiTheme="majorBidi" w:hAnsiTheme="majorBidi" w:cstheme="majorBidi"/>
          <w:i/>
          <w:iCs/>
          <w:sz w:val="24"/>
          <w:szCs w:val="24"/>
        </w:rPr>
        <w:t xml:space="preserve">This study examines the determinants of fraudulent financial reporting (FFR) among listed deposit money banks (DMBs) in Nigeria using the Fraud Diamond Theory. Panel data covering 12 DMBs from 2012 to 2023 were </w:t>
      </w:r>
      <w:proofErr w:type="spellStart"/>
      <w:r w:rsidRPr="00E556BB">
        <w:rPr>
          <w:rFonts w:asciiTheme="majorBidi" w:hAnsiTheme="majorBidi" w:cstheme="majorBidi"/>
          <w:i/>
          <w:iCs/>
          <w:sz w:val="24"/>
          <w:szCs w:val="24"/>
        </w:rPr>
        <w:t>analysed</w:t>
      </w:r>
      <w:proofErr w:type="spellEnd"/>
      <w:r w:rsidRPr="00E556BB">
        <w:rPr>
          <w:rFonts w:asciiTheme="majorBidi" w:hAnsiTheme="majorBidi" w:cstheme="majorBidi"/>
          <w:i/>
          <w:iCs/>
          <w:sz w:val="24"/>
          <w:szCs w:val="24"/>
        </w:rPr>
        <w:t xml:space="preserve"> using binary logistic regression to assess the effects of pressure (cash flow trend), opportunity (related party transactions), </w:t>
      </w:r>
      <w:proofErr w:type="spellStart"/>
      <w:r w:rsidRPr="00E556BB">
        <w:rPr>
          <w:rFonts w:asciiTheme="majorBidi" w:hAnsiTheme="majorBidi" w:cstheme="majorBidi"/>
          <w:i/>
          <w:iCs/>
          <w:sz w:val="24"/>
          <w:szCs w:val="24"/>
        </w:rPr>
        <w:t>rationalisation</w:t>
      </w:r>
      <w:proofErr w:type="spellEnd"/>
      <w:r w:rsidRPr="00E556BB">
        <w:rPr>
          <w:rFonts w:asciiTheme="majorBidi" w:hAnsiTheme="majorBidi" w:cstheme="majorBidi"/>
          <w:i/>
          <w:iCs/>
          <w:sz w:val="24"/>
          <w:szCs w:val="24"/>
        </w:rPr>
        <w:t xml:space="preserve"> (economic downturn), and capability (earnings forecast pressure) on the likelihood of financial misreporting. Control variables included return on assets (ROA), inflation, and exchange rate.</w:t>
      </w:r>
      <w:r w:rsidR="00770395">
        <w:rPr>
          <w:rFonts w:asciiTheme="majorBidi" w:hAnsiTheme="majorBidi" w:cstheme="majorBidi"/>
          <w:i/>
          <w:iCs/>
          <w:sz w:val="24"/>
          <w:szCs w:val="24"/>
        </w:rPr>
        <w:t xml:space="preserve"> </w:t>
      </w:r>
      <w:r w:rsidRPr="00E556BB">
        <w:rPr>
          <w:rFonts w:asciiTheme="majorBidi" w:hAnsiTheme="majorBidi" w:cstheme="majorBidi"/>
          <w:i/>
          <w:iCs/>
          <w:sz w:val="24"/>
          <w:szCs w:val="24"/>
        </w:rPr>
        <w:t xml:space="preserve">The results reveal that cash flow trend (CFT) has a statistically significant negative relationship with FFR at the 1% level, suggesting that declining cash flows increase fraud risk. Related party transactions (RPT) and economic downturn (ECD) are both positively and significantly associated with FFR, supporting the opportunity and </w:t>
      </w:r>
      <w:proofErr w:type="spellStart"/>
      <w:r w:rsidRPr="00E556BB">
        <w:rPr>
          <w:rFonts w:asciiTheme="majorBidi" w:hAnsiTheme="majorBidi" w:cstheme="majorBidi"/>
          <w:i/>
          <w:iCs/>
          <w:sz w:val="24"/>
          <w:szCs w:val="24"/>
        </w:rPr>
        <w:t>rationalisation</w:t>
      </w:r>
      <w:proofErr w:type="spellEnd"/>
      <w:r w:rsidRPr="00E556BB">
        <w:rPr>
          <w:rFonts w:asciiTheme="majorBidi" w:hAnsiTheme="majorBidi" w:cstheme="majorBidi"/>
          <w:i/>
          <w:iCs/>
          <w:sz w:val="24"/>
          <w:szCs w:val="24"/>
        </w:rPr>
        <w:t xml:space="preserve"> dimensions of fraud. Inflation also shows a significant positive effect, while exchange rate (FXR) exhibits a significant negative relationship, indicating macroeconomic influences. Capability (PEF) and ROA were not statistically significant.</w:t>
      </w:r>
      <w:r w:rsidR="00770395">
        <w:rPr>
          <w:rFonts w:asciiTheme="majorBidi" w:hAnsiTheme="majorBidi" w:cstheme="majorBidi"/>
          <w:i/>
          <w:iCs/>
          <w:sz w:val="24"/>
          <w:szCs w:val="24"/>
        </w:rPr>
        <w:t xml:space="preserve"> </w:t>
      </w:r>
      <w:r w:rsidRPr="00E556BB">
        <w:rPr>
          <w:rFonts w:asciiTheme="majorBidi" w:hAnsiTheme="majorBidi" w:cstheme="majorBidi"/>
          <w:i/>
          <w:iCs/>
          <w:sz w:val="24"/>
          <w:szCs w:val="24"/>
        </w:rPr>
        <w:t>The model demonstrates good predictive power with an AUC of 0.8042 and a classification accuracy of 73.5%. The findings underscore the interplay between financial strain, opportunistic practices, and macroeconomic volatility in driving fraudulent reporting in Nigeria’s banking sector</w:t>
      </w:r>
      <w:r w:rsidR="00173E28" w:rsidRPr="00280C96">
        <w:rPr>
          <w:rFonts w:asciiTheme="majorBidi" w:hAnsiTheme="majorBidi" w:cstheme="majorBidi"/>
          <w:i/>
          <w:iCs/>
          <w:sz w:val="24"/>
          <w:szCs w:val="24"/>
        </w:rPr>
        <w:t>.</w:t>
      </w:r>
    </w:p>
    <w:p w14:paraId="43891361" w14:textId="2A65A0BC" w:rsidR="00E2389C" w:rsidRPr="00280C96" w:rsidRDefault="000E6CD3" w:rsidP="000E6CD3">
      <w:pPr>
        <w:rPr>
          <w:rFonts w:asciiTheme="majorBidi" w:hAnsiTheme="majorBidi" w:cstheme="majorBidi"/>
          <w:sz w:val="24"/>
          <w:szCs w:val="24"/>
        </w:rPr>
      </w:pPr>
      <w:r w:rsidRPr="00280C96">
        <w:rPr>
          <w:rFonts w:asciiTheme="majorBidi" w:hAnsiTheme="majorBidi" w:cstheme="majorBidi"/>
          <w:b/>
          <w:bCs/>
          <w:sz w:val="24"/>
          <w:szCs w:val="24"/>
        </w:rPr>
        <w:t xml:space="preserve">Keywords: </w:t>
      </w:r>
      <w:r w:rsidRPr="00280C96">
        <w:rPr>
          <w:rFonts w:asciiTheme="majorBidi" w:hAnsiTheme="majorBidi" w:cstheme="majorBidi"/>
          <w:sz w:val="24"/>
          <w:szCs w:val="24"/>
        </w:rPr>
        <w:t xml:space="preserve">Fraudulent Financial Reporting, Fraud Diamond Theory, Deposit Money Banks,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w:t>
      </w:r>
    </w:p>
    <w:p w14:paraId="5FD2B03B" w14:textId="6DA808AD" w:rsidR="00962830" w:rsidRPr="00280C96" w:rsidRDefault="00962830" w:rsidP="00962830">
      <w:pPr>
        <w:pStyle w:val="Heading1"/>
        <w:rPr>
          <w:rFonts w:asciiTheme="majorBidi" w:hAnsiTheme="majorBidi"/>
          <w:b/>
          <w:bCs/>
          <w:color w:val="auto"/>
          <w:sz w:val="24"/>
          <w:szCs w:val="24"/>
        </w:rPr>
      </w:pPr>
      <w:r w:rsidRPr="00280C96">
        <w:rPr>
          <w:rFonts w:asciiTheme="majorBidi" w:hAnsiTheme="majorBidi"/>
          <w:b/>
          <w:bCs/>
          <w:color w:val="auto"/>
          <w:sz w:val="24"/>
          <w:szCs w:val="24"/>
        </w:rPr>
        <w:t xml:space="preserve">Introduction </w:t>
      </w:r>
    </w:p>
    <w:p w14:paraId="43F5C6E9" w14:textId="43C46139"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Fraudulent financial reporting has become a pervasive global issue that undermines corporate governance, financial stability, and investor confidence. This unethical practice, particularly common in the banking sector, involves the deliberate manipulation of financial statements to misrepresent a firm’s financial health. Such practices allow organizations to overstate revenues, understate liabilities, and inflate profits, often with the intent to attract unsuspecting investors, secure undeserved financial ratings, or maintain competitive positions. The consequences of fraudulent financial reporting extend beyond the affected firms, posing systemic risks to the financial sector, eroding trust, and destabilizing economies (Hasan et al., 2017).</w:t>
      </w:r>
    </w:p>
    <w:p w14:paraId="46DCA4C6"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Globally, the detrimental impact of financial fraud is exemplified by high-profile scandals such as Enron, WorldCom, and Lehman Brothers, where deliberate misrepresentation of financial information led to widespread financial losses, regulatory interventions, and diminished investor confidence. According to the Association of Certified Fraud Examiners (ACFE) </w:t>
      </w:r>
      <w:r w:rsidRPr="00280C96">
        <w:rPr>
          <w:rFonts w:asciiTheme="majorBidi" w:hAnsiTheme="majorBidi" w:cstheme="majorBidi"/>
          <w:sz w:val="24"/>
          <w:szCs w:val="24"/>
        </w:rPr>
        <w:lastRenderedPageBreak/>
        <w:t>Report on Occupational Fraud (2022), financial statement fraud accounts for 9% of fraud cases but is the costliest form of corporate fraud, with median losses amounting to USD 593,000 per case. These cases underscore the pressing need for stronger corporate governance and regulatory oversight to address the growing incidence of financial fraud.</w:t>
      </w:r>
    </w:p>
    <w:p w14:paraId="19AA0863"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In developing economies such as Bangladesh, Ghana, and Nigeria, the prevalence of financial fraud has exposed systemic vulnerabilities and governance failures. In Bangladesh, scandals like the Hallmark Scam and Bismillah Textile Scandal revealed regulatory loopholes and weak governance structures </w:t>
      </w:r>
      <w:r w:rsidRPr="00BB1C60">
        <w:rPr>
          <w:rFonts w:asciiTheme="majorBidi" w:hAnsiTheme="majorBidi" w:cstheme="majorBidi"/>
          <w:color w:val="000000" w:themeColor="text1"/>
          <w:sz w:val="24"/>
          <w:szCs w:val="24"/>
        </w:rPr>
        <w:t xml:space="preserve">(Khatun et al., 2022). </w:t>
      </w:r>
      <w:r w:rsidRPr="00280C96">
        <w:rPr>
          <w:rFonts w:asciiTheme="majorBidi" w:hAnsiTheme="majorBidi" w:cstheme="majorBidi"/>
          <w:sz w:val="24"/>
          <w:szCs w:val="24"/>
        </w:rPr>
        <w:t>Similarly, in Ghana, financial irregularities within the microfinance sector led to the collapse of numerous institutions, despite regulatory interventions by the Bank of Ghana (</w:t>
      </w:r>
      <w:proofErr w:type="spellStart"/>
      <w:r w:rsidRPr="00280C96">
        <w:rPr>
          <w:rFonts w:asciiTheme="majorBidi" w:hAnsiTheme="majorBidi" w:cstheme="majorBidi"/>
          <w:sz w:val="24"/>
          <w:szCs w:val="24"/>
        </w:rPr>
        <w:t>BoG</w:t>
      </w:r>
      <w:proofErr w:type="spellEnd"/>
      <w:r w:rsidRPr="00280C96">
        <w:rPr>
          <w:rFonts w:asciiTheme="majorBidi" w:hAnsiTheme="majorBidi" w:cstheme="majorBidi"/>
          <w:sz w:val="24"/>
          <w:szCs w:val="24"/>
        </w:rPr>
        <w:t>) (</w:t>
      </w:r>
      <w:proofErr w:type="spellStart"/>
      <w:r w:rsidRPr="00280C96">
        <w:rPr>
          <w:rFonts w:asciiTheme="majorBidi" w:hAnsiTheme="majorBidi" w:cstheme="majorBidi"/>
          <w:sz w:val="24"/>
          <w:szCs w:val="24"/>
        </w:rPr>
        <w:t>Adoboe</w:t>
      </w:r>
      <w:proofErr w:type="spellEnd"/>
      <w:r w:rsidRPr="00280C96">
        <w:rPr>
          <w:rFonts w:asciiTheme="majorBidi" w:hAnsiTheme="majorBidi" w:cstheme="majorBidi"/>
          <w:sz w:val="24"/>
          <w:szCs w:val="24"/>
        </w:rPr>
        <w:t>-Mensah et al., 2023).</w:t>
      </w:r>
    </w:p>
    <w:p w14:paraId="2B108A3E"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In Nigeria, the issue is particularly alarming, with several high-profile cases exposing weaknesses in regulatory frameworks and corporate governance. The 2006 Cadbury Nigeria Plc scandal is a prominent example where financial statements were deliberately falsified to conceal corporate fraud </w:t>
      </w:r>
      <w:r w:rsidRPr="00BB1C60">
        <w:rPr>
          <w:rFonts w:asciiTheme="majorBidi" w:hAnsiTheme="majorBidi" w:cstheme="majorBidi"/>
          <w:color w:val="000000" w:themeColor="text1"/>
          <w:sz w:val="24"/>
          <w:szCs w:val="24"/>
        </w:rPr>
        <w:t>(</w:t>
      </w:r>
      <w:proofErr w:type="spellStart"/>
      <w:r w:rsidRPr="00BB1C60">
        <w:rPr>
          <w:rFonts w:asciiTheme="majorBidi" w:hAnsiTheme="majorBidi" w:cstheme="majorBidi"/>
          <w:color w:val="000000" w:themeColor="text1"/>
          <w:sz w:val="24"/>
          <w:szCs w:val="24"/>
        </w:rPr>
        <w:t>Ijeoma</w:t>
      </w:r>
      <w:proofErr w:type="spellEnd"/>
      <w:r w:rsidRPr="00BB1C60">
        <w:rPr>
          <w:rFonts w:asciiTheme="majorBidi" w:hAnsiTheme="majorBidi" w:cstheme="majorBidi"/>
          <w:color w:val="000000" w:themeColor="text1"/>
          <w:sz w:val="24"/>
          <w:szCs w:val="24"/>
        </w:rPr>
        <w:t xml:space="preserve">, 2014). </w:t>
      </w:r>
      <w:r w:rsidRPr="00280C96">
        <w:rPr>
          <w:rFonts w:asciiTheme="majorBidi" w:hAnsiTheme="majorBidi" w:cstheme="majorBidi"/>
          <w:sz w:val="24"/>
          <w:szCs w:val="24"/>
        </w:rPr>
        <w:t xml:space="preserve">Investigations by the Economic and Financial Crimes Commission (EFCC) uncovered widespread practices, such as round-tripping transactions, unauthorized account openings, and profit inflation. In 2009, the Central Bank of Nigeria (CBN) dismissed five bank directors, which ultimately led to the collapse of Intercontinental Bank, Oceanic Bank, and </w:t>
      </w:r>
      <w:proofErr w:type="spellStart"/>
      <w:r w:rsidRPr="00280C96">
        <w:rPr>
          <w:rFonts w:asciiTheme="majorBidi" w:hAnsiTheme="majorBidi" w:cstheme="majorBidi"/>
          <w:sz w:val="24"/>
          <w:szCs w:val="24"/>
        </w:rPr>
        <w:t>FinBank</w:t>
      </w:r>
      <w:proofErr w:type="spellEnd"/>
      <w:r w:rsidRPr="00280C96">
        <w:rPr>
          <w:rFonts w:asciiTheme="majorBidi" w:hAnsiTheme="majorBidi" w:cstheme="majorBidi"/>
          <w:sz w:val="24"/>
          <w:szCs w:val="24"/>
        </w:rPr>
        <w:t xml:space="preserve"> (</w:t>
      </w:r>
      <w:proofErr w:type="spellStart"/>
      <w:r w:rsidRPr="00280C96">
        <w:rPr>
          <w:rFonts w:asciiTheme="majorBidi" w:hAnsiTheme="majorBidi" w:cstheme="majorBidi"/>
          <w:sz w:val="24"/>
          <w:szCs w:val="24"/>
        </w:rPr>
        <w:t>Ijeoma</w:t>
      </w:r>
      <w:proofErr w:type="spellEnd"/>
      <w:r w:rsidRPr="00280C96">
        <w:rPr>
          <w:rFonts w:asciiTheme="majorBidi" w:hAnsiTheme="majorBidi" w:cstheme="majorBidi"/>
          <w:sz w:val="24"/>
          <w:szCs w:val="24"/>
        </w:rPr>
        <w:t>, 2014). Despite ongoing reforms, fraudulent financial reporting continues to undermine the stability of Nigeria’s financial sector, as evidenced by the rise of non-performing loans (NPLs) to $3.315 billion in 2021 (CBN Report, 2021). This persistent issue highlights the urgency of identifying and addressing the systemic and organizational factors that drive fraudulent financial reporting in Nigerian banks.</w:t>
      </w:r>
    </w:p>
    <w:p w14:paraId="349442EB"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continued prevalence of fraudulent financial reporting in Nigeria, despite regulatory reforms such as the adoption of International Financial Reporting Standards (IFRS) in 2012, raises critical concerns about the effectiveness of existing governance mechanisms. Fraudulent practices not only erode stakeholder trust but also hinder Nigeria’s broader macroeconomic objectives, such as price stability, employment generation, and economic growth. The persistence of these practices underscores the need for a deeper understanding of their underlying causes and enablers. This study is motivated by the failure of current regulatory frameworks to curb financial fraud effectively and aims to provide actionable insights into how systemic and organizational factors contribute to this pervasive issue.</w:t>
      </w:r>
    </w:p>
    <w:p w14:paraId="36D7F568"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While numerous studies have investigated fraudulent financial reporting, most have focused on corporate organizations in general and relied on the Fraud Triangle Theory, which attributes fraud occurrence to pressure, opportunity, and rationalization. However, this framework does </w:t>
      </w:r>
      <w:r w:rsidRPr="00280C96">
        <w:rPr>
          <w:rFonts w:asciiTheme="majorBidi" w:hAnsiTheme="majorBidi" w:cstheme="majorBidi"/>
          <w:sz w:val="24"/>
          <w:szCs w:val="24"/>
        </w:rPr>
        <w:lastRenderedPageBreak/>
        <w:t>not account for the critical role of managerial competence in executing and concealing fraud. The Fraud Diamond Theory, introduced by Wolfe and Hermanson (2004), expands on the Fraud Triangle by incorporating capability as a fourth element. Capability refers to the skills, authority, and influence of individuals to perpetrate fraud. Despite its relevance, there is limited research applying the Fraud Diamond Theory to the banking sector, particularly in Nigeria. Moreover, existing studies often fail to explore how factors such as cash flow trends, related-party transactions, economic downturns, and earnings forecast pressures interact with managerial capability to create an environment conducive to fraud. This study addresses these gaps by examining the determinants of fraudulent financial reporting in Nigerian deposit money banks (DMBs).</w:t>
      </w:r>
    </w:p>
    <w:p w14:paraId="15EE6DED"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aim of this study is to investigate the determinants of fraudulent financial reporting among deposit money banks in Nigeria, using the Fraud Diamond Theory as a conceptual framework. Specifically, it seeks to examine how systemic and organizational factors, such as cash flow trends, related-party transactions, economic downturns, and earnings forecast pressures, interact with managerial capability to enable or sustain fraudulent practices. This study explores the role of these factors both individually and collectively, providing a comprehensive understanding of how fraudulent reporting arises and persists in the Nigerian banking context.</w:t>
      </w:r>
    </w:p>
    <w:p w14:paraId="76FBDA16"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This study also aims to address critical questions, including:</w:t>
      </w:r>
    </w:p>
    <w:p w14:paraId="36EA78A7"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How do cash flow challenges create pressure on bank managers to engage in fraudulent financial reporting?</w:t>
      </w:r>
    </w:p>
    <w:p w14:paraId="5C235F7B"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In what ways do related-party transactions offer opportunities for financial misrepresentation?</w:t>
      </w:r>
    </w:p>
    <w:p w14:paraId="5412D018"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How do economic downturns influence the likelihood of fraudulent reporting in Nigerian banks?</w:t>
      </w:r>
    </w:p>
    <w:p w14:paraId="70C5FD76"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How does pressure from earnings forecasts drive managers to adopt unethical financial practices?</w:t>
      </w:r>
    </w:p>
    <w:p w14:paraId="7A2D01BC"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This research makes significant theoretical, empirical, and practical contributions. Theoretically, it advances the Fraud Diamond Theory by providing empirical evidence of how systemic and organizational factors interact with managerial capability to enable fraud. Empirically, it bridges the gap in literature by examining fraudulent reporting in Nigerian DMBs, a context characterized by unique regulatory challenges and economic pressures. Practically, the findings offer actionable recommendations for improving corporate governance, enhancing fraud detection mechanisms, and strengthening regulatory oversight.</w:t>
      </w:r>
    </w:p>
    <w:p w14:paraId="2BA8726C"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lastRenderedPageBreak/>
        <w:t>From a policy perspective, the insights generated by this study will inform regulators such as the CBN and EFCC on how to refine existing frameworks to address the root causes of financial fraud. For practitioners, the study highlights critical risk factors and red flags, enabling banking institutions to develop more effective internal controls and fraud prevention strategies.</w:t>
      </w:r>
    </w:p>
    <w:p w14:paraId="783A6D13"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structure of this paper is as follows: The Introduction outlines the study’s background, research gap, motivation, objectives, and contributions. The Literature Review contextualizes fraudulent financial reporting within theoretical frameworks and prior empirical research. The Methodology section explains the research design, data collection process, and analytical techniques. The Results and Discussion section presents the key findings and their implications. Finally, the Conclusion summarizes the study’s contributions, acknowledges limitations, and provides directions for future research.</w:t>
      </w:r>
    </w:p>
    <w:p w14:paraId="18260A45" w14:textId="3CA1518B" w:rsidR="00962830" w:rsidRPr="00280C96" w:rsidRDefault="00EC1CF6" w:rsidP="000E689B">
      <w:pPr>
        <w:pStyle w:val="Heading1"/>
        <w:rPr>
          <w:rFonts w:asciiTheme="majorBidi" w:hAnsiTheme="majorBidi"/>
          <w:b/>
          <w:bCs/>
          <w:color w:val="auto"/>
          <w:sz w:val="24"/>
          <w:szCs w:val="24"/>
        </w:rPr>
      </w:pPr>
      <w:r w:rsidRPr="00280C96">
        <w:rPr>
          <w:rFonts w:asciiTheme="majorBidi" w:hAnsiTheme="majorBidi"/>
          <w:b/>
          <w:bCs/>
          <w:color w:val="auto"/>
          <w:sz w:val="24"/>
          <w:szCs w:val="24"/>
        </w:rPr>
        <w:t xml:space="preserve">2.0 </w:t>
      </w:r>
      <w:r w:rsidR="000E689B" w:rsidRPr="00280C96">
        <w:rPr>
          <w:rFonts w:asciiTheme="majorBidi" w:hAnsiTheme="majorBidi"/>
          <w:b/>
          <w:bCs/>
          <w:color w:val="auto"/>
          <w:sz w:val="24"/>
          <w:szCs w:val="24"/>
        </w:rPr>
        <w:t>Literature Review</w:t>
      </w:r>
    </w:p>
    <w:p w14:paraId="799381A3" w14:textId="1158977F" w:rsidR="000E689B" w:rsidRPr="00280C96" w:rsidRDefault="000E689B" w:rsidP="000E689B">
      <w:pPr>
        <w:pStyle w:val="Heading2"/>
        <w:rPr>
          <w:rFonts w:asciiTheme="majorBidi" w:hAnsiTheme="majorBidi"/>
          <w:b/>
          <w:bCs/>
          <w:color w:val="auto"/>
          <w:sz w:val="24"/>
          <w:szCs w:val="24"/>
        </w:rPr>
      </w:pPr>
      <w:r w:rsidRPr="00280C96">
        <w:rPr>
          <w:rFonts w:asciiTheme="majorBidi" w:hAnsiTheme="majorBidi"/>
          <w:b/>
          <w:bCs/>
          <w:color w:val="auto"/>
          <w:sz w:val="24"/>
          <w:szCs w:val="24"/>
        </w:rPr>
        <w:t>2.1 Conceptual Review</w:t>
      </w:r>
    </w:p>
    <w:p w14:paraId="2AE1562F" w14:textId="1A2F47B9" w:rsidR="000E689B" w:rsidRPr="00280C96" w:rsidRDefault="000E689B" w:rsidP="000E689B">
      <w:pPr>
        <w:pStyle w:val="Heading3"/>
        <w:rPr>
          <w:rFonts w:asciiTheme="majorBidi" w:hAnsiTheme="majorBidi"/>
          <w:b/>
          <w:bCs/>
          <w:color w:val="auto"/>
          <w:sz w:val="24"/>
          <w:szCs w:val="24"/>
        </w:rPr>
      </w:pPr>
      <w:r w:rsidRPr="00280C96">
        <w:rPr>
          <w:rFonts w:asciiTheme="majorBidi" w:hAnsiTheme="majorBidi"/>
          <w:b/>
          <w:bCs/>
          <w:color w:val="auto"/>
          <w:sz w:val="24"/>
          <w:szCs w:val="24"/>
        </w:rPr>
        <w:t>2.1.1 Fraudulent Financial Reporting</w:t>
      </w:r>
    </w:p>
    <w:p w14:paraId="21B4083E" w14:textId="77777777"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Fraudulent financial reporting refers to the deliberate misrepresentation, manipulation, or omission of financial information in a company’s financial statements to deceive stakeholders and mislead users of financial reports. This unethical practice is often carried out by inflating revenues, understating expenses, overvaluing assets, or failing to disclose liabilities. It undermines the integrity of financial markets, compromises investor confidence, and damages the reputation of organizations.</w:t>
      </w:r>
    </w:p>
    <w:p w14:paraId="12ACEAB9" w14:textId="41874143"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The motives behind fraudulent financial reporting are diverse. Pressure to meet performance expectations, especially from investors, analysts, or creditors, is a significant driver. For instance, management may manipulate financial data to present a </w:t>
      </w:r>
      <w:proofErr w:type="spellStart"/>
      <w:r w:rsidR="00597539" w:rsidRPr="00280C96">
        <w:rPr>
          <w:rFonts w:asciiTheme="majorBidi" w:hAnsiTheme="majorBidi" w:cstheme="majorBidi"/>
          <w:sz w:val="24"/>
          <w:szCs w:val="24"/>
        </w:rPr>
        <w:t>favourable</w:t>
      </w:r>
      <w:proofErr w:type="spellEnd"/>
      <w:r w:rsidRPr="00280C96">
        <w:rPr>
          <w:rFonts w:asciiTheme="majorBidi" w:hAnsiTheme="majorBidi" w:cstheme="majorBidi"/>
          <w:sz w:val="24"/>
          <w:szCs w:val="24"/>
        </w:rPr>
        <w:t xml:space="preserve"> picture of the company’s performance to meet financial targets. Similarly, executive compensation packages tied to financial metrics, such as bonuses and stock options, incentivize manipulation.</w:t>
      </w:r>
      <w:r w:rsidRPr="00F52192">
        <w:rPr>
          <w:rFonts w:asciiTheme="majorBidi" w:hAnsiTheme="majorBidi" w:cstheme="majorBidi"/>
          <w:color w:val="000000" w:themeColor="text1"/>
          <w:sz w:val="24"/>
          <w:szCs w:val="24"/>
        </w:rPr>
        <w:t xml:space="preserve"> Hartanto et al. (2019</w:t>
      </w:r>
      <w:r w:rsidRPr="00280C96">
        <w:rPr>
          <w:rFonts w:asciiTheme="majorBidi" w:hAnsiTheme="majorBidi" w:cstheme="majorBidi"/>
          <w:sz w:val="24"/>
          <w:szCs w:val="24"/>
        </w:rPr>
        <w:t>) argue that such motivations create opportunities for managers to inflate financial results for personal gain or corporate benefit.</w:t>
      </w:r>
    </w:p>
    <w:p w14:paraId="0EB57787" w14:textId="41FDD5D4"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Fraudulent financial reporting may also be driven by the need to boost stock prices, conceal poor performance, or avoid regulatory scrutiny. Management teams facing financial distress or the risk of bankruptcy may justify financial fraud as a means to "protect" the company. </w:t>
      </w:r>
      <w:proofErr w:type="spellStart"/>
      <w:r w:rsidRPr="00C64E95">
        <w:rPr>
          <w:rFonts w:asciiTheme="majorBidi" w:hAnsiTheme="majorBidi" w:cstheme="majorBidi"/>
          <w:color w:val="000000" w:themeColor="text1"/>
          <w:sz w:val="24"/>
          <w:szCs w:val="24"/>
        </w:rPr>
        <w:t>Indriyanto</w:t>
      </w:r>
      <w:proofErr w:type="spellEnd"/>
      <w:r w:rsidRPr="00C64E95">
        <w:rPr>
          <w:rFonts w:asciiTheme="majorBidi" w:hAnsiTheme="majorBidi" w:cstheme="majorBidi"/>
          <w:color w:val="000000" w:themeColor="text1"/>
          <w:sz w:val="24"/>
          <w:szCs w:val="24"/>
        </w:rPr>
        <w:t xml:space="preserve"> et al. (2021) </w:t>
      </w:r>
      <w:r w:rsidRPr="00280C96">
        <w:rPr>
          <w:rFonts w:asciiTheme="majorBidi" w:hAnsiTheme="majorBidi" w:cstheme="majorBidi"/>
          <w:sz w:val="24"/>
          <w:szCs w:val="24"/>
        </w:rPr>
        <w:t xml:space="preserve">note that personal ambition and greed often drive executives to manipulate financial reports to achieve career advancement or financial rewards. Additionally, external stakeholders, such as suppliers or creditors, may exert pressure on management to </w:t>
      </w:r>
      <w:r w:rsidRPr="00280C96">
        <w:rPr>
          <w:rFonts w:asciiTheme="majorBidi" w:hAnsiTheme="majorBidi" w:cstheme="majorBidi"/>
          <w:sz w:val="24"/>
          <w:szCs w:val="24"/>
        </w:rPr>
        <w:lastRenderedPageBreak/>
        <w:t xml:space="preserve">present </w:t>
      </w:r>
      <w:proofErr w:type="spellStart"/>
      <w:r w:rsidR="005A67B1" w:rsidRPr="00280C96">
        <w:rPr>
          <w:rFonts w:asciiTheme="majorBidi" w:hAnsiTheme="majorBidi" w:cstheme="majorBidi"/>
          <w:sz w:val="24"/>
          <w:szCs w:val="24"/>
        </w:rPr>
        <w:t>favourable</w:t>
      </w:r>
      <w:proofErr w:type="spellEnd"/>
      <w:r w:rsidRPr="00280C96">
        <w:rPr>
          <w:rFonts w:asciiTheme="majorBidi" w:hAnsiTheme="majorBidi" w:cstheme="majorBidi"/>
          <w:sz w:val="24"/>
          <w:szCs w:val="24"/>
        </w:rPr>
        <w:t xml:space="preserve"> financial results to secure financing or maintain business relationships </w:t>
      </w:r>
      <w:r w:rsidRPr="001C4D64">
        <w:rPr>
          <w:rFonts w:asciiTheme="majorBidi" w:hAnsiTheme="majorBidi" w:cstheme="majorBidi"/>
          <w:color w:val="000000" w:themeColor="text1"/>
          <w:sz w:val="24"/>
          <w:szCs w:val="24"/>
        </w:rPr>
        <w:t>(</w:t>
      </w:r>
      <w:proofErr w:type="spellStart"/>
      <w:r w:rsidRPr="001C4D64">
        <w:rPr>
          <w:rFonts w:asciiTheme="majorBidi" w:hAnsiTheme="majorBidi" w:cstheme="majorBidi"/>
          <w:color w:val="000000" w:themeColor="text1"/>
          <w:sz w:val="24"/>
          <w:szCs w:val="24"/>
        </w:rPr>
        <w:t>Mentari</w:t>
      </w:r>
      <w:proofErr w:type="spellEnd"/>
      <w:r w:rsidRPr="001C4D64">
        <w:rPr>
          <w:rFonts w:asciiTheme="majorBidi" w:hAnsiTheme="majorBidi" w:cstheme="majorBidi"/>
          <w:color w:val="000000" w:themeColor="text1"/>
          <w:sz w:val="24"/>
          <w:szCs w:val="24"/>
        </w:rPr>
        <w:t xml:space="preserve"> &amp; </w:t>
      </w:r>
      <w:proofErr w:type="spellStart"/>
      <w:r w:rsidRPr="001C4D64">
        <w:rPr>
          <w:rFonts w:asciiTheme="majorBidi" w:hAnsiTheme="majorBidi" w:cstheme="majorBidi"/>
          <w:color w:val="000000" w:themeColor="text1"/>
          <w:sz w:val="24"/>
          <w:szCs w:val="24"/>
        </w:rPr>
        <w:t>Sopian</w:t>
      </w:r>
      <w:proofErr w:type="spellEnd"/>
      <w:r w:rsidRPr="001C4D64">
        <w:rPr>
          <w:rFonts w:asciiTheme="majorBidi" w:hAnsiTheme="majorBidi" w:cstheme="majorBidi"/>
          <w:color w:val="000000" w:themeColor="text1"/>
          <w:sz w:val="24"/>
          <w:szCs w:val="24"/>
        </w:rPr>
        <w:t>, 2022).</w:t>
      </w:r>
    </w:p>
    <w:p w14:paraId="218CD18B" w14:textId="7FB0E6AC"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prevalence of fraudulent financial reporting highlights the need for robust governance mechanisms, ethical corporate cultures, and effective regulatory frameworks to mitigate these practices.</w:t>
      </w:r>
    </w:p>
    <w:p w14:paraId="7E25801D" w14:textId="12D05B5D" w:rsidR="000E689B" w:rsidRPr="00280C96" w:rsidRDefault="000E689B" w:rsidP="000E689B">
      <w:pPr>
        <w:pStyle w:val="Heading2"/>
        <w:rPr>
          <w:rFonts w:asciiTheme="majorBidi" w:hAnsiTheme="majorBidi"/>
          <w:b/>
          <w:bCs/>
          <w:color w:val="auto"/>
          <w:sz w:val="24"/>
          <w:szCs w:val="24"/>
        </w:rPr>
      </w:pPr>
      <w:r w:rsidRPr="00280C96">
        <w:rPr>
          <w:rFonts w:asciiTheme="majorBidi" w:hAnsiTheme="majorBidi"/>
          <w:b/>
          <w:bCs/>
          <w:color w:val="auto"/>
          <w:sz w:val="24"/>
          <w:szCs w:val="24"/>
        </w:rPr>
        <w:t>2.2 Empirical Review</w:t>
      </w:r>
      <w:r w:rsidR="002D606F" w:rsidRPr="00280C96">
        <w:rPr>
          <w:rFonts w:asciiTheme="majorBidi" w:hAnsiTheme="majorBidi"/>
          <w:b/>
          <w:bCs/>
          <w:color w:val="auto"/>
          <w:sz w:val="24"/>
          <w:szCs w:val="24"/>
        </w:rPr>
        <w:t xml:space="preserve"> and Hypotheses Development </w:t>
      </w:r>
    </w:p>
    <w:p w14:paraId="643B5757" w14:textId="05B2422D"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t xml:space="preserve">2.2.1 Pressure and Fraudulent Financial Reporting </w:t>
      </w:r>
    </w:p>
    <w:p w14:paraId="481629F8"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Pressure, often arising from financial instability, external obligations, or managerial performance targets, has been widely studied as a determinant of fraudulent financial reporting. Several empirical studies provide mixed results regarding the role of pressure in driving financial statement fraud.</w:t>
      </w:r>
    </w:p>
    <w:p w14:paraId="1554DD19" w14:textId="66DEF1DB" w:rsidR="002D606F" w:rsidRPr="00280C96" w:rsidRDefault="002D606F" w:rsidP="002D606F">
      <w:pPr>
        <w:spacing w:line="360" w:lineRule="auto"/>
        <w:jc w:val="both"/>
        <w:rPr>
          <w:rFonts w:asciiTheme="majorBidi" w:hAnsiTheme="majorBidi" w:cstheme="majorBidi"/>
          <w:sz w:val="24"/>
          <w:szCs w:val="24"/>
        </w:rPr>
      </w:pPr>
      <w:proofErr w:type="spellStart"/>
      <w:r w:rsidRPr="00280C96">
        <w:rPr>
          <w:rFonts w:asciiTheme="majorBidi" w:hAnsiTheme="majorBidi" w:cstheme="majorBidi"/>
          <w:sz w:val="24"/>
          <w:szCs w:val="24"/>
        </w:rPr>
        <w:t>Indarto</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Ghozali</w:t>
      </w:r>
      <w:proofErr w:type="spellEnd"/>
      <w:r w:rsidRPr="00280C96">
        <w:rPr>
          <w:rFonts w:asciiTheme="majorBidi" w:hAnsiTheme="majorBidi" w:cstheme="majorBidi"/>
          <w:sz w:val="24"/>
          <w:szCs w:val="24"/>
        </w:rPr>
        <w:t xml:space="preserve"> (2016) </w:t>
      </w:r>
      <w:proofErr w:type="spellStart"/>
      <w:r w:rsidR="00CB53B6" w:rsidRPr="00280C96">
        <w:rPr>
          <w:rFonts w:asciiTheme="majorBidi" w:hAnsiTheme="majorBidi" w:cstheme="majorBidi"/>
          <w:sz w:val="24"/>
          <w:szCs w:val="24"/>
        </w:rPr>
        <w:t>analysed</w:t>
      </w:r>
      <w:proofErr w:type="spellEnd"/>
      <w:r w:rsidRPr="00280C96">
        <w:rPr>
          <w:rFonts w:asciiTheme="majorBidi" w:hAnsiTheme="majorBidi" w:cstheme="majorBidi"/>
          <w:sz w:val="24"/>
          <w:szCs w:val="24"/>
        </w:rPr>
        <w:t xml:space="preserve"> banking companies in Indonesia and found that external pressure and financial stability significantly influenced fraudulent financial reporting. This aligns with the findings of </w:t>
      </w:r>
      <w:proofErr w:type="spellStart"/>
      <w:r w:rsidRPr="00280C96">
        <w:rPr>
          <w:rFonts w:asciiTheme="majorBidi" w:hAnsiTheme="majorBidi" w:cstheme="majorBidi"/>
          <w:sz w:val="24"/>
          <w:szCs w:val="24"/>
        </w:rPr>
        <w:t>Supri</w:t>
      </w:r>
      <w:proofErr w:type="spellEnd"/>
      <w:r w:rsidRPr="00280C96">
        <w:rPr>
          <w:rFonts w:asciiTheme="majorBidi" w:hAnsiTheme="majorBidi" w:cstheme="majorBidi"/>
          <w:sz w:val="24"/>
          <w:szCs w:val="24"/>
        </w:rPr>
        <w:t xml:space="preserve"> et al. (2018), who observed that financial stability, external pressure, and financial targets positively impacted financial statement fraud among Indonesian manufacturing firms. Similarly, </w:t>
      </w:r>
      <w:proofErr w:type="spellStart"/>
      <w:r w:rsidRPr="001C4D64">
        <w:rPr>
          <w:rFonts w:asciiTheme="majorBidi" w:hAnsiTheme="majorBidi" w:cstheme="majorBidi"/>
          <w:color w:val="000000" w:themeColor="text1"/>
          <w:sz w:val="24"/>
          <w:szCs w:val="24"/>
        </w:rPr>
        <w:t>Diansari</w:t>
      </w:r>
      <w:proofErr w:type="spellEnd"/>
      <w:r w:rsidRPr="001C4D64">
        <w:rPr>
          <w:rFonts w:asciiTheme="majorBidi" w:hAnsiTheme="majorBidi" w:cstheme="majorBidi"/>
          <w:color w:val="000000" w:themeColor="text1"/>
          <w:sz w:val="24"/>
          <w:szCs w:val="24"/>
        </w:rPr>
        <w:t xml:space="preserve"> and Wijaya (2022</w:t>
      </w:r>
      <w:r w:rsidRPr="00280C96">
        <w:rPr>
          <w:rFonts w:asciiTheme="majorBidi" w:hAnsiTheme="majorBidi" w:cstheme="majorBidi"/>
          <w:sz w:val="24"/>
          <w:szCs w:val="24"/>
        </w:rPr>
        <w:t>) concluded that financial stability and external pressure influenced fraudulent financial reporting, reinforcing the argument that financial constraints and investor expectations contribute to financial manipulation. Chandra (2023) found that external pressure and financial targets significantly increased fraudulent financial reporting, further corroborating this claim.</w:t>
      </w:r>
    </w:p>
    <w:p w14:paraId="73B2BEED"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However, some studies contradict these findings. </w:t>
      </w:r>
      <w:proofErr w:type="spellStart"/>
      <w:r w:rsidRPr="001C4D64">
        <w:rPr>
          <w:rFonts w:asciiTheme="majorBidi" w:hAnsiTheme="majorBidi" w:cstheme="majorBidi"/>
          <w:color w:val="000000" w:themeColor="text1"/>
          <w:sz w:val="24"/>
          <w:szCs w:val="24"/>
        </w:rPr>
        <w:t>Sunardi</w:t>
      </w:r>
      <w:proofErr w:type="spellEnd"/>
      <w:r w:rsidRPr="001C4D64">
        <w:rPr>
          <w:rFonts w:asciiTheme="majorBidi" w:hAnsiTheme="majorBidi" w:cstheme="majorBidi"/>
          <w:color w:val="000000" w:themeColor="text1"/>
          <w:sz w:val="24"/>
          <w:szCs w:val="24"/>
        </w:rPr>
        <w:t xml:space="preserve"> and Amin (2018</w:t>
      </w:r>
      <w:r w:rsidRPr="00280C96">
        <w:rPr>
          <w:rFonts w:asciiTheme="majorBidi" w:hAnsiTheme="majorBidi" w:cstheme="majorBidi"/>
          <w:sz w:val="24"/>
          <w:szCs w:val="24"/>
        </w:rPr>
        <w:t xml:space="preserve">) reported that financial stability, external pressure, and financial targets negatively affected fraudulent financial reporting, suggesting that companies experiencing financial pressure might adopt more conservative financial practices instead. </w:t>
      </w:r>
      <w:proofErr w:type="spellStart"/>
      <w:r w:rsidRPr="00280C96">
        <w:rPr>
          <w:rFonts w:asciiTheme="majorBidi" w:hAnsiTheme="majorBidi" w:cstheme="majorBidi"/>
          <w:sz w:val="24"/>
          <w:szCs w:val="24"/>
        </w:rPr>
        <w:t>Manurung</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Hardika</w:t>
      </w:r>
      <w:proofErr w:type="spellEnd"/>
      <w:r w:rsidRPr="00280C96">
        <w:rPr>
          <w:rFonts w:asciiTheme="majorBidi" w:hAnsiTheme="majorBidi" w:cstheme="majorBidi"/>
          <w:sz w:val="24"/>
          <w:szCs w:val="24"/>
        </w:rPr>
        <w:t xml:space="preserve"> (2015) found that financial stability and external pressure had no significant impact on fraudulent reporting.</w:t>
      </w:r>
    </w:p>
    <w:p w14:paraId="2B5388CE"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The inconsistency in findings suggests that the relationship between pressure and fraudulent financial reporting may be contingent on firm-specific or industry-specific characteristics. Given the significance of financial pressure in prior research, this study formulates the following hypothesis:</w:t>
      </w:r>
    </w:p>
    <w:p w14:paraId="3EB4004E" w14:textId="77777777" w:rsidR="002D606F" w:rsidRPr="00280C96" w:rsidRDefault="002D606F" w:rsidP="002D606F">
      <w:pPr>
        <w:spacing w:line="360" w:lineRule="auto"/>
        <w:jc w:val="both"/>
        <w:rPr>
          <w:rFonts w:asciiTheme="majorBidi" w:hAnsiTheme="majorBidi" w:cstheme="majorBidi"/>
          <w:i/>
          <w:iCs/>
          <w:sz w:val="24"/>
          <w:szCs w:val="24"/>
        </w:rPr>
      </w:pPr>
      <w:r w:rsidRPr="00280C96">
        <w:rPr>
          <w:rFonts w:asciiTheme="majorBidi" w:hAnsiTheme="majorBidi" w:cstheme="majorBidi"/>
          <w:i/>
          <w:iCs/>
          <w:sz w:val="24"/>
          <w:szCs w:val="24"/>
        </w:rPr>
        <w:t>H01: Cash flow trends (pressure) have no significant effect on the occurrence of fraudulent financial reporting among deposit money banks in Nigeria.</w:t>
      </w:r>
    </w:p>
    <w:p w14:paraId="3D0211E9" w14:textId="40A93AE4"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lastRenderedPageBreak/>
        <w:t>2.2.2 Opportunity and Fraudulent Financial Reporting</w:t>
      </w:r>
    </w:p>
    <w:p w14:paraId="1375F47C"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Opportunity represents conditions that enable fraudulent practices, often resulting from weak governance, poor oversight, or inadequate internal controls. One of the commonly used proxies for opportunity is related-party transactions (RPTs), which provide avenues for financial misrepresentation.</w:t>
      </w:r>
    </w:p>
    <w:p w14:paraId="2F30EE8C" w14:textId="77777777" w:rsidR="002D606F" w:rsidRPr="00280C96" w:rsidRDefault="002D606F" w:rsidP="002D606F">
      <w:pPr>
        <w:spacing w:line="360" w:lineRule="auto"/>
        <w:jc w:val="both"/>
        <w:rPr>
          <w:rFonts w:asciiTheme="majorBidi" w:hAnsiTheme="majorBidi" w:cstheme="majorBidi"/>
          <w:sz w:val="24"/>
          <w:szCs w:val="24"/>
        </w:rPr>
      </w:pPr>
      <w:proofErr w:type="spellStart"/>
      <w:r w:rsidRPr="00280C96">
        <w:rPr>
          <w:rFonts w:asciiTheme="majorBidi" w:hAnsiTheme="majorBidi" w:cstheme="majorBidi"/>
          <w:sz w:val="24"/>
          <w:szCs w:val="24"/>
        </w:rPr>
        <w:t>Supri</w:t>
      </w:r>
      <w:proofErr w:type="spellEnd"/>
      <w:r w:rsidRPr="00280C96">
        <w:rPr>
          <w:rFonts w:asciiTheme="majorBidi" w:hAnsiTheme="majorBidi" w:cstheme="majorBidi"/>
          <w:sz w:val="24"/>
          <w:szCs w:val="24"/>
        </w:rPr>
        <w:t xml:space="preserve"> et al. (2018) found that monitoring effectiveness had a significant negative impact on fraudulent financial reporting, implying that stronger corporate oversight reduces fraud likelihood. Similarly, </w:t>
      </w:r>
      <w:proofErr w:type="spellStart"/>
      <w:r w:rsidRPr="001C4D64">
        <w:rPr>
          <w:rFonts w:asciiTheme="majorBidi" w:hAnsiTheme="majorBidi" w:cstheme="majorBidi"/>
          <w:color w:val="000000" w:themeColor="text1"/>
          <w:sz w:val="24"/>
          <w:szCs w:val="24"/>
        </w:rPr>
        <w:t>Rodhiyuddin</w:t>
      </w:r>
      <w:proofErr w:type="spellEnd"/>
      <w:r w:rsidRPr="001C4D64">
        <w:rPr>
          <w:rFonts w:asciiTheme="majorBidi" w:hAnsiTheme="majorBidi" w:cstheme="majorBidi"/>
          <w:color w:val="000000" w:themeColor="text1"/>
          <w:sz w:val="24"/>
          <w:szCs w:val="24"/>
        </w:rPr>
        <w:t xml:space="preserve"> and </w:t>
      </w:r>
      <w:proofErr w:type="spellStart"/>
      <w:r w:rsidRPr="001C4D64">
        <w:rPr>
          <w:rFonts w:asciiTheme="majorBidi" w:hAnsiTheme="majorBidi" w:cstheme="majorBidi"/>
          <w:color w:val="000000" w:themeColor="text1"/>
          <w:sz w:val="24"/>
          <w:szCs w:val="24"/>
        </w:rPr>
        <w:t>Daryatno</w:t>
      </w:r>
      <w:proofErr w:type="spellEnd"/>
      <w:r w:rsidRPr="001C4D64">
        <w:rPr>
          <w:rFonts w:asciiTheme="majorBidi" w:hAnsiTheme="majorBidi" w:cstheme="majorBidi"/>
          <w:color w:val="000000" w:themeColor="text1"/>
          <w:sz w:val="24"/>
          <w:szCs w:val="24"/>
        </w:rPr>
        <w:t xml:space="preserve"> (2024) </w:t>
      </w:r>
      <w:r w:rsidRPr="00280C96">
        <w:rPr>
          <w:rFonts w:asciiTheme="majorBidi" w:hAnsiTheme="majorBidi" w:cstheme="majorBidi"/>
          <w:sz w:val="24"/>
          <w:szCs w:val="24"/>
        </w:rPr>
        <w:t>discovered that opportunity factors, such as the proportion of independent board members, negatively affected fraudulent reporting, suggesting that good corporate governance practices mitigate financial fraud risks.</w:t>
      </w:r>
    </w:p>
    <w:p w14:paraId="033C3EDD"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Conversely, Akbar (2022) and </w:t>
      </w:r>
      <w:proofErr w:type="spellStart"/>
      <w:r w:rsidRPr="00280C96">
        <w:rPr>
          <w:rFonts w:asciiTheme="majorBidi" w:hAnsiTheme="majorBidi" w:cstheme="majorBidi"/>
          <w:sz w:val="24"/>
          <w:szCs w:val="24"/>
        </w:rPr>
        <w:t>Indarto</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Ghozali</w:t>
      </w:r>
      <w:proofErr w:type="spellEnd"/>
      <w:r w:rsidRPr="00280C96">
        <w:rPr>
          <w:rFonts w:asciiTheme="majorBidi" w:hAnsiTheme="majorBidi" w:cstheme="majorBidi"/>
          <w:sz w:val="24"/>
          <w:szCs w:val="24"/>
        </w:rPr>
        <w:t xml:space="preserve"> (2016) found that opportunity-related factors did not significantly influence fraudulent financial reporting. Their studies concluded that weak internal controls or related-party transactions do not necessarily translate into financial fraud.</w:t>
      </w:r>
    </w:p>
    <w:p w14:paraId="39445B22"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Despite these mixed results, the potential role of related-party transactions in facilitating fraudulent financial reporting remains a subject of interest. Therefore, the following hypothesis is proposed:</w:t>
      </w:r>
    </w:p>
    <w:p w14:paraId="5BDE19D3" w14:textId="24A381F0" w:rsidR="002D606F" w:rsidRPr="00280C96" w:rsidRDefault="002D606F" w:rsidP="002D606F">
      <w:pPr>
        <w:spacing w:line="360" w:lineRule="auto"/>
        <w:jc w:val="both"/>
        <w:rPr>
          <w:rFonts w:asciiTheme="majorBidi" w:hAnsiTheme="majorBidi" w:cstheme="majorBidi"/>
          <w:i/>
          <w:iCs/>
          <w:sz w:val="24"/>
          <w:szCs w:val="24"/>
        </w:rPr>
      </w:pPr>
      <w:r w:rsidRPr="00280C96">
        <w:rPr>
          <w:rFonts w:asciiTheme="majorBidi" w:hAnsiTheme="majorBidi" w:cstheme="majorBidi"/>
          <w:i/>
          <w:iCs/>
          <w:sz w:val="24"/>
          <w:szCs w:val="24"/>
        </w:rPr>
        <w:t>H02: Related-party transactions (opportunity) have no significant effect on the occurrence of fraudulent financial reporting among deposit money banks in Nigeria.</w:t>
      </w:r>
    </w:p>
    <w:p w14:paraId="35C0F063" w14:textId="36FD0B33"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t>2.2.3 Rationalization and Fraudulent Financial Reporting</w:t>
      </w:r>
    </w:p>
    <w:p w14:paraId="45D2E666"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Rationalization reflects the psychological and ethical justifications managers use to commit financial fraud. Previous studies have tested rationalization using different proxies, including auditor change and accrual-based earnings manipulation.</w:t>
      </w:r>
    </w:p>
    <w:p w14:paraId="46DDA821"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The findings on rationalization’s effect on fraudulent financial reporting remain inconclusive. </w:t>
      </w:r>
      <w:proofErr w:type="spellStart"/>
      <w:r w:rsidRPr="00280C96">
        <w:rPr>
          <w:rFonts w:asciiTheme="majorBidi" w:hAnsiTheme="majorBidi" w:cstheme="majorBidi"/>
          <w:sz w:val="24"/>
          <w:szCs w:val="24"/>
        </w:rPr>
        <w:t>Supri</w:t>
      </w:r>
      <w:proofErr w:type="spellEnd"/>
      <w:r w:rsidRPr="00280C96">
        <w:rPr>
          <w:rFonts w:asciiTheme="majorBidi" w:hAnsiTheme="majorBidi" w:cstheme="majorBidi"/>
          <w:sz w:val="24"/>
          <w:szCs w:val="24"/>
        </w:rPr>
        <w:t xml:space="preserve"> et al. (2018) and Akbar (2022) found that rationalization does not significantly influence fraudulent financial reporting, suggesting that even if managers justify unethical behavior, it does not necessarily lead to financial fraud. Similarly, Chandra (2023) discovered that rationalization had a significant positive effect on fraudulent financial reporting, implying that justifying unethical actions leads to greater financial manipulation.</w:t>
      </w:r>
    </w:p>
    <w:p w14:paraId="4087C1FF"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However, </w:t>
      </w:r>
      <w:proofErr w:type="spellStart"/>
      <w:r w:rsidRPr="00896A7E">
        <w:rPr>
          <w:rFonts w:asciiTheme="majorBidi" w:hAnsiTheme="majorBidi" w:cstheme="majorBidi"/>
          <w:color w:val="000000" w:themeColor="text1"/>
          <w:sz w:val="24"/>
          <w:szCs w:val="24"/>
        </w:rPr>
        <w:t>Rodhiyuddin</w:t>
      </w:r>
      <w:proofErr w:type="spellEnd"/>
      <w:r w:rsidRPr="00896A7E">
        <w:rPr>
          <w:rFonts w:asciiTheme="majorBidi" w:hAnsiTheme="majorBidi" w:cstheme="majorBidi"/>
          <w:color w:val="000000" w:themeColor="text1"/>
          <w:sz w:val="24"/>
          <w:szCs w:val="24"/>
        </w:rPr>
        <w:t xml:space="preserve"> and </w:t>
      </w:r>
      <w:proofErr w:type="spellStart"/>
      <w:r w:rsidRPr="00896A7E">
        <w:rPr>
          <w:rFonts w:asciiTheme="majorBidi" w:hAnsiTheme="majorBidi" w:cstheme="majorBidi"/>
          <w:color w:val="000000" w:themeColor="text1"/>
          <w:sz w:val="24"/>
          <w:szCs w:val="24"/>
        </w:rPr>
        <w:t>Daryatno</w:t>
      </w:r>
      <w:proofErr w:type="spellEnd"/>
      <w:r w:rsidRPr="00896A7E">
        <w:rPr>
          <w:rFonts w:asciiTheme="majorBidi" w:hAnsiTheme="majorBidi" w:cstheme="majorBidi"/>
          <w:color w:val="000000" w:themeColor="text1"/>
          <w:sz w:val="24"/>
          <w:szCs w:val="24"/>
        </w:rPr>
        <w:t xml:space="preserve"> (2024) </w:t>
      </w:r>
      <w:r w:rsidRPr="00280C96">
        <w:rPr>
          <w:rFonts w:asciiTheme="majorBidi" w:hAnsiTheme="majorBidi" w:cstheme="majorBidi"/>
          <w:sz w:val="24"/>
          <w:szCs w:val="24"/>
        </w:rPr>
        <w:t xml:space="preserve">found that total accrual income (a rationalization proxy) negatively impacted fraudulent reporting, indicating that firms with higher accrual </w:t>
      </w:r>
      <w:r w:rsidRPr="00280C96">
        <w:rPr>
          <w:rFonts w:asciiTheme="majorBidi" w:hAnsiTheme="majorBidi" w:cstheme="majorBidi"/>
          <w:sz w:val="24"/>
          <w:szCs w:val="24"/>
        </w:rPr>
        <w:lastRenderedPageBreak/>
        <w:t xml:space="preserve">adjustments are less likely to engage in fraud. </w:t>
      </w:r>
      <w:proofErr w:type="spellStart"/>
      <w:r w:rsidRPr="00280C96">
        <w:rPr>
          <w:rFonts w:asciiTheme="majorBidi" w:hAnsiTheme="majorBidi" w:cstheme="majorBidi"/>
          <w:sz w:val="24"/>
          <w:szCs w:val="24"/>
        </w:rPr>
        <w:t>Manurung</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Hardika</w:t>
      </w:r>
      <w:proofErr w:type="spellEnd"/>
      <w:r w:rsidRPr="00280C96">
        <w:rPr>
          <w:rFonts w:asciiTheme="majorBidi" w:hAnsiTheme="majorBidi" w:cstheme="majorBidi"/>
          <w:sz w:val="24"/>
          <w:szCs w:val="24"/>
        </w:rPr>
        <w:t xml:space="preserve"> (2015) and </w:t>
      </w:r>
      <w:proofErr w:type="spellStart"/>
      <w:r w:rsidRPr="00896A7E">
        <w:rPr>
          <w:rFonts w:asciiTheme="majorBidi" w:hAnsiTheme="majorBidi" w:cstheme="majorBidi"/>
          <w:color w:val="000000" w:themeColor="text1"/>
          <w:sz w:val="24"/>
          <w:szCs w:val="24"/>
        </w:rPr>
        <w:t>Sunardi</w:t>
      </w:r>
      <w:proofErr w:type="spellEnd"/>
      <w:r w:rsidRPr="00896A7E">
        <w:rPr>
          <w:rFonts w:asciiTheme="majorBidi" w:hAnsiTheme="majorBidi" w:cstheme="majorBidi"/>
          <w:color w:val="000000" w:themeColor="text1"/>
          <w:sz w:val="24"/>
          <w:szCs w:val="24"/>
        </w:rPr>
        <w:t xml:space="preserve"> and Amin (2018) </w:t>
      </w:r>
      <w:r w:rsidRPr="00280C96">
        <w:rPr>
          <w:rFonts w:asciiTheme="majorBidi" w:hAnsiTheme="majorBidi" w:cstheme="majorBidi"/>
          <w:sz w:val="24"/>
          <w:szCs w:val="24"/>
        </w:rPr>
        <w:t>concluded that rationalization, as proxied by ineffective monitoring and auditor change, had no significant effect on fraudulent reporting.</w:t>
      </w:r>
    </w:p>
    <w:p w14:paraId="332A1C78"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Given these inconsistencies, it is important to reassess the role of rationalization in fraudulent financial reporting. Based on prior empirical evidence, the following hypothesis is developed:</w:t>
      </w:r>
    </w:p>
    <w:p w14:paraId="7192F059" w14:textId="77777777" w:rsidR="002D606F" w:rsidRPr="00280C96" w:rsidRDefault="002D606F" w:rsidP="002D606F">
      <w:pPr>
        <w:spacing w:line="360" w:lineRule="auto"/>
        <w:jc w:val="both"/>
        <w:rPr>
          <w:rFonts w:asciiTheme="majorBidi" w:hAnsiTheme="majorBidi" w:cstheme="majorBidi"/>
          <w:i/>
          <w:iCs/>
          <w:sz w:val="24"/>
          <w:szCs w:val="24"/>
        </w:rPr>
      </w:pPr>
      <w:r w:rsidRPr="00280C96">
        <w:rPr>
          <w:rFonts w:asciiTheme="majorBidi" w:hAnsiTheme="majorBidi" w:cstheme="majorBidi"/>
          <w:i/>
          <w:iCs/>
          <w:sz w:val="24"/>
          <w:szCs w:val="24"/>
        </w:rPr>
        <w:t>H03: Economic downturn (rationalization) has no significant effect on the occurrence of fraudulent financial reporting among deposit money banks in Nigeria.</w:t>
      </w:r>
    </w:p>
    <w:p w14:paraId="0B4E8DE3" w14:textId="2ADABC13"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t>2.2.4 Capability and Fraudulent Financial Reporting</w:t>
      </w:r>
    </w:p>
    <w:p w14:paraId="5FA5E733"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Capability, the distinguishing element of the Fraud Diamond Theory, suggests that fraudulent activities are more likely to occur when perpetrators possess the skills, authority, and knowledge to exploit financial systems. Capability is commonly proxied by changes in management or earnings forecast pressures.</w:t>
      </w:r>
    </w:p>
    <w:p w14:paraId="7AA37008" w14:textId="20B2729A" w:rsidR="002D606F" w:rsidRPr="00280C96" w:rsidRDefault="002D606F" w:rsidP="002D606F">
      <w:pPr>
        <w:spacing w:line="360" w:lineRule="auto"/>
        <w:jc w:val="both"/>
        <w:rPr>
          <w:rFonts w:asciiTheme="majorBidi" w:hAnsiTheme="majorBidi" w:cstheme="majorBidi"/>
          <w:sz w:val="24"/>
          <w:szCs w:val="24"/>
        </w:rPr>
      </w:pPr>
      <w:proofErr w:type="spellStart"/>
      <w:r w:rsidRPr="00280C96">
        <w:rPr>
          <w:rFonts w:asciiTheme="majorBidi" w:hAnsiTheme="majorBidi" w:cstheme="majorBidi"/>
          <w:sz w:val="24"/>
          <w:szCs w:val="24"/>
        </w:rPr>
        <w:t>Manurung</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Hardika</w:t>
      </w:r>
      <w:proofErr w:type="spellEnd"/>
      <w:r w:rsidRPr="00280C96">
        <w:rPr>
          <w:rFonts w:asciiTheme="majorBidi" w:hAnsiTheme="majorBidi" w:cstheme="majorBidi"/>
          <w:sz w:val="24"/>
          <w:szCs w:val="24"/>
        </w:rPr>
        <w:t xml:space="preserve"> (2015) found that capability significantly influenced fraudulent financial reporting, highlighting the importance of managerial authority in executing financial fraud</w:t>
      </w:r>
      <w:r w:rsidRPr="00280C96">
        <w:rPr>
          <w:rFonts w:asciiTheme="majorBidi" w:hAnsiTheme="majorBidi" w:cstheme="majorBidi"/>
          <w:color w:val="FF0000"/>
          <w:sz w:val="24"/>
          <w:szCs w:val="24"/>
        </w:rPr>
        <w:t xml:space="preserve">. </w:t>
      </w:r>
      <w:proofErr w:type="spellStart"/>
      <w:r w:rsidRPr="00896A7E">
        <w:rPr>
          <w:rFonts w:asciiTheme="majorBidi" w:hAnsiTheme="majorBidi" w:cstheme="majorBidi"/>
          <w:color w:val="000000" w:themeColor="text1"/>
          <w:sz w:val="24"/>
          <w:szCs w:val="24"/>
        </w:rPr>
        <w:t>Sunardi</w:t>
      </w:r>
      <w:proofErr w:type="spellEnd"/>
      <w:r w:rsidRPr="00896A7E">
        <w:rPr>
          <w:rFonts w:asciiTheme="majorBidi" w:hAnsiTheme="majorBidi" w:cstheme="majorBidi"/>
          <w:color w:val="000000" w:themeColor="text1"/>
          <w:sz w:val="24"/>
          <w:szCs w:val="24"/>
        </w:rPr>
        <w:t xml:space="preserve"> and Amin (2018</w:t>
      </w:r>
      <w:r w:rsidRPr="00280C96">
        <w:rPr>
          <w:rFonts w:asciiTheme="majorBidi" w:hAnsiTheme="majorBidi" w:cstheme="majorBidi"/>
          <w:sz w:val="24"/>
          <w:szCs w:val="24"/>
        </w:rPr>
        <w:t xml:space="preserve">) similarly reported that capability had a significant positive effect on financial statement fraud, supporting the argument that fraudulent </w:t>
      </w:r>
      <w:proofErr w:type="spellStart"/>
      <w:r w:rsidR="00FD0A96" w:rsidRPr="00280C96">
        <w:rPr>
          <w:rFonts w:asciiTheme="majorBidi" w:hAnsiTheme="majorBidi" w:cstheme="majorBidi"/>
          <w:sz w:val="24"/>
          <w:szCs w:val="24"/>
        </w:rPr>
        <w:t>behaviour</w:t>
      </w:r>
      <w:proofErr w:type="spellEnd"/>
      <w:r w:rsidRPr="00280C96">
        <w:rPr>
          <w:rFonts w:asciiTheme="majorBidi" w:hAnsiTheme="majorBidi" w:cstheme="majorBidi"/>
          <w:sz w:val="24"/>
          <w:szCs w:val="24"/>
        </w:rPr>
        <w:t xml:space="preserve"> requires knowledgeable perpetrators.</w:t>
      </w:r>
    </w:p>
    <w:p w14:paraId="6B0DE14F"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Conversely, Akbar (2022) and </w:t>
      </w:r>
      <w:proofErr w:type="spellStart"/>
      <w:r w:rsidRPr="00280C96">
        <w:rPr>
          <w:rFonts w:asciiTheme="majorBidi" w:hAnsiTheme="majorBidi" w:cstheme="majorBidi"/>
          <w:sz w:val="24"/>
          <w:szCs w:val="24"/>
        </w:rPr>
        <w:t>Supri</w:t>
      </w:r>
      <w:proofErr w:type="spellEnd"/>
      <w:r w:rsidRPr="00280C96">
        <w:rPr>
          <w:rFonts w:asciiTheme="majorBidi" w:hAnsiTheme="majorBidi" w:cstheme="majorBidi"/>
          <w:sz w:val="24"/>
          <w:szCs w:val="24"/>
        </w:rPr>
        <w:t xml:space="preserve"> et al. (2018) found that capability had no significant effect on fraudulent financial reporting, suggesting that managerial skills and authority alone may not be enough to encourage financial fraud. </w:t>
      </w:r>
      <w:proofErr w:type="spellStart"/>
      <w:r w:rsidRPr="00280C96">
        <w:rPr>
          <w:rFonts w:asciiTheme="majorBidi" w:hAnsiTheme="majorBidi" w:cstheme="majorBidi"/>
          <w:sz w:val="24"/>
          <w:szCs w:val="24"/>
        </w:rPr>
        <w:t>Handoko</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Natasya</w:t>
      </w:r>
      <w:proofErr w:type="spellEnd"/>
      <w:r w:rsidRPr="00280C96">
        <w:rPr>
          <w:rFonts w:asciiTheme="majorBidi" w:hAnsiTheme="majorBidi" w:cstheme="majorBidi"/>
          <w:sz w:val="24"/>
          <w:szCs w:val="24"/>
        </w:rPr>
        <w:t xml:space="preserve"> (2019) also concluded that capability does not significantly impact fraudulent reporting, contradicting the Fraud Diamond Theory’s claim that fraud requires a competent perpetrator.</w:t>
      </w:r>
    </w:p>
    <w:p w14:paraId="0E897E07"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Given these contrasting findings, further investigation is warranted to determine whether capability influences financial misrepresentation. Thus, the following hypothesis is proposed:</w:t>
      </w:r>
    </w:p>
    <w:p w14:paraId="4BB47C6D"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i/>
          <w:iCs/>
          <w:sz w:val="24"/>
          <w:szCs w:val="24"/>
        </w:rPr>
        <w:t>H04: Pressure from earnings forecast (capability) has no significant effect on the occurrence of fraudulent financial reporting among deposit money banks in Nigeria</w:t>
      </w:r>
      <w:r w:rsidRPr="00280C96">
        <w:rPr>
          <w:rFonts w:asciiTheme="majorBidi" w:hAnsiTheme="majorBidi" w:cstheme="majorBidi"/>
          <w:sz w:val="24"/>
          <w:szCs w:val="24"/>
        </w:rPr>
        <w:t>.</w:t>
      </w:r>
    </w:p>
    <w:p w14:paraId="1A9392EA" w14:textId="13BD7111" w:rsidR="00913F7D" w:rsidRPr="00280C96" w:rsidRDefault="00913F7D" w:rsidP="00913F7D">
      <w:pPr>
        <w:spacing w:line="360" w:lineRule="auto"/>
        <w:jc w:val="both"/>
        <w:rPr>
          <w:rFonts w:asciiTheme="majorBidi" w:hAnsiTheme="majorBidi" w:cstheme="majorBidi"/>
          <w:sz w:val="24"/>
          <w:szCs w:val="24"/>
        </w:rPr>
      </w:pPr>
    </w:p>
    <w:p w14:paraId="1911A362" w14:textId="77777777" w:rsidR="00913F7D" w:rsidRPr="00280C96" w:rsidRDefault="00913F7D" w:rsidP="00913F7D">
      <w:pPr>
        <w:pStyle w:val="Heading2"/>
        <w:rPr>
          <w:rFonts w:asciiTheme="majorBidi" w:hAnsiTheme="majorBidi"/>
          <w:b/>
          <w:bCs/>
          <w:color w:val="auto"/>
          <w:sz w:val="24"/>
          <w:szCs w:val="24"/>
        </w:rPr>
      </w:pPr>
      <w:r w:rsidRPr="00280C96">
        <w:rPr>
          <w:rFonts w:asciiTheme="majorBidi" w:hAnsiTheme="majorBidi"/>
          <w:b/>
          <w:bCs/>
          <w:color w:val="auto"/>
          <w:sz w:val="24"/>
          <w:szCs w:val="24"/>
        </w:rPr>
        <w:t>2.3 Theoretical Framework: Fraud Diamond Theory</w:t>
      </w:r>
    </w:p>
    <w:p w14:paraId="5CCA5145" w14:textId="77777777" w:rsidR="00AE0E78" w:rsidRPr="00280C96" w:rsidRDefault="00AE0E78" w:rsidP="00AE0E78">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This study is anchored on the Fraud Diamond Theory proposed by Wolfe and Hermanson (2004), an extension of the traditional Fraud Triangle that introduces capability as a fourth </w:t>
      </w:r>
      <w:r w:rsidRPr="00280C96">
        <w:rPr>
          <w:rFonts w:asciiTheme="majorBidi" w:hAnsiTheme="majorBidi" w:cstheme="majorBidi"/>
          <w:sz w:val="24"/>
          <w:szCs w:val="24"/>
        </w:rPr>
        <w:lastRenderedPageBreak/>
        <w:t xml:space="preserve">dimension alongside pressure, opportunity, and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The theory posits that fraud occurs not only due to financial strain, governance lapses, or ethical justification but also requires an individual with the competence, authority, and technical acumen to exploit system weaknesses.</w:t>
      </w:r>
    </w:p>
    <w:p w14:paraId="589C9CB5" w14:textId="77777777" w:rsidR="00AE0E78" w:rsidRPr="00280C96" w:rsidRDefault="00AE0E78" w:rsidP="00AE0E78">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In the context of fraudulent financial reporting, pressure stems from declining performance or unmet expectations; opportunity arises from weak internal controls and regulatory lapses;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xml:space="preserve"> reflects managerial justification for unethical conduct; and capability refers to the managerial skill and positional leverage required to orchestrate and conceal fraud.</w:t>
      </w:r>
    </w:p>
    <w:p w14:paraId="6837CF6D" w14:textId="501F1C56" w:rsidR="00913F7D" w:rsidRPr="00280C96" w:rsidRDefault="00AE0E78" w:rsidP="00913F7D">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This framework is particularly relevant to Nigerian Deposit Money Banks (DMBs), where complex transactions and regulatory asymmetries create fertile ground for manipulation. The study employs this theory to examine how pressures from cash flows, related-party exposures, economic downturns, and performance expectations influence fraudulent reporting. By applying the Fraud Diamond, the research aims to offer nuanced insights into the dynamics of fraud, thereby informing governance reforms and audit practices in Nigeria’s financial sector</w:t>
      </w:r>
      <w:r w:rsidR="00913F7D" w:rsidRPr="00280C96">
        <w:rPr>
          <w:rFonts w:asciiTheme="majorBidi" w:hAnsiTheme="majorBidi" w:cstheme="majorBidi"/>
          <w:sz w:val="24"/>
          <w:szCs w:val="24"/>
        </w:rPr>
        <w:t>.</w:t>
      </w:r>
    </w:p>
    <w:p w14:paraId="44F6458B" w14:textId="77777777" w:rsidR="00EC1CF6" w:rsidRPr="00280C96" w:rsidRDefault="00EC1CF6" w:rsidP="00EC1CF6">
      <w:pPr>
        <w:pStyle w:val="Heading1"/>
        <w:rPr>
          <w:rFonts w:asciiTheme="majorBidi" w:hAnsiTheme="majorBidi"/>
          <w:b/>
          <w:bCs/>
          <w:color w:val="auto"/>
          <w:sz w:val="24"/>
          <w:szCs w:val="24"/>
        </w:rPr>
      </w:pPr>
      <w:r w:rsidRPr="00280C96">
        <w:rPr>
          <w:rFonts w:asciiTheme="majorBidi" w:hAnsiTheme="majorBidi"/>
          <w:b/>
          <w:bCs/>
          <w:color w:val="auto"/>
          <w:sz w:val="24"/>
          <w:szCs w:val="24"/>
        </w:rPr>
        <w:t>3.0 Methodology</w:t>
      </w:r>
    </w:p>
    <w:p w14:paraId="36D6AF9A" w14:textId="629720B7" w:rsidR="00EC1CF6" w:rsidRPr="00280C96" w:rsidRDefault="00EC1CF6" w:rsidP="00D44319">
      <w:pPr>
        <w:pStyle w:val="Heading2"/>
        <w:rPr>
          <w:rFonts w:asciiTheme="majorBidi" w:hAnsiTheme="majorBidi"/>
          <w:b/>
          <w:bCs/>
          <w:color w:val="auto"/>
          <w:sz w:val="24"/>
          <w:szCs w:val="24"/>
        </w:rPr>
      </w:pPr>
      <w:r w:rsidRPr="00280C96">
        <w:rPr>
          <w:rFonts w:asciiTheme="majorBidi" w:hAnsiTheme="majorBidi"/>
          <w:b/>
          <w:bCs/>
          <w:color w:val="auto"/>
          <w:sz w:val="24"/>
          <w:szCs w:val="24"/>
        </w:rPr>
        <w:t>3.1 Research Design</w:t>
      </w:r>
      <w:r w:rsidR="008D1C3F" w:rsidRPr="00280C96">
        <w:rPr>
          <w:rFonts w:asciiTheme="majorBidi" w:hAnsiTheme="majorBidi"/>
          <w:b/>
          <w:bCs/>
          <w:color w:val="auto"/>
          <w:sz w:val="24"/>
          <w:szCs w:val="24"/>
        </w:rPr>
        <w:t xml:space="preserve"> </w:t>
      </w:r>
      <w:r w:rsidR="008D1C3F" w:rsidRPr="00280C96">
        <w:rPr>
          <w:rFonts w:asciiTheme="majorBidi" w:hAnsiTheme="majorBidi"/>
          <w:b/>
          <w:bCs/>
          <w:sz w:val="24"/>
          <w:szCs w:val="24"/>
        </w:rPr>
        <w:t>and Data Sources</w:t>
      </w:r>
    </w:p>
    <w:p w14:paraId="29C8D4D2" w14:textId="77777777" w:rsidR="008D1C3F" w:rsidRPr="00280C96" w:rsidRDefault="008D1C3F" w:rsidP="008D1C3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This study adopts an ex post facto research design, which is appropriate for </w:t>
      </w:r>
      <w:proofErr w:type="spellStart"/>
      <w:r w:rsidRPr="00280C96">
        <w:rPr>
          <w:rFonts w:asciiTheme="majorBidi" w:hAnsiTheme="majorBidi" w:cstheme="majorBidi"/>
          <w:sz w:val="24"/>
          <w:szCs w:val="24"/>
        </w:rPr>
        <w:t>analysing</w:t>
      </w:r>
      <w:proofErr w:type="spellEnd"/>
      <w:r w:rsidRPr="00280C96">
        <w:rPr>
          <w:rFonts w:asciiTheme="majorBidi" w:hAnsiTheme="majorBidi" w:cstheme="majorBidi"/>
          <w:sz w:val="24"/>
          <w:szCs w:val="24"/>
        </w:rPr>
        <w:t xml:space="preserve"> historical financial data to determine the presence of fraudulent financial reporting among deposit money banks (DMBs) in Nigeria. As a non-experimental and retrospective design, it allows the researcher to observe pre-existing data without manipulating the variables, thereby ensuring objective evaluation of the Fraud Diamond Theory dimensions—pressure, opportunity,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and capability—as they relate to fraudulent reporting.</w:t>
      </w:r>
    </w:p>
    <w:p w14:paraId="29ECF236" w14:textId="362BDC0D" w:rsidR="00EC1CF6" w:rsidRPr="00280C96" w:rsidRDefault="008D1C3F" w:rsidP="00D44319">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The study </w:t>
      </w:r>
      <w:proofErr w:type="spellStart"/>
      <w:r w:rsidRPr="00280C96">
        <w:rPr>
          <w:rFonts w:asciiTheme="majorBidi" w:hAnsiTheme="majorBidi" w:cstheme="majorBidi"/>
          <w:sz w:val="24"/>
          <w:szCs w:val="24"/>
        </w:rPr>
        <w:t>utilised</w:t>
      </w:r>
      <w:proofErr w:type="spellEnd"/>
      <w:r w:rsidR="00D44319" w:rsidRPr="00280C96">
        <w:rPr>
          <w:rFonts w:asciiTheme="majorBidi" w:hAnsiTheme="majorBidi" w:cstheme="majorBidi"/>
          <w:sz w:val="24"/>
          <w:szCs w:val="24"/>
        </w:rPr>
        <w:t xml:space="preserve"> secondary data </w:t>
      </w:r>
      <w:r w:rsidRPr="00280C96">
        <w:rPr>
          <w:rFonts w:asciiTheme="majorBidi" w:hAnsiTheme="majorBidi" w:cstheme="majorBidi"/>
          <w:sz w:val="24"/>
          <w:szCs w:val="24"/>
        </w:rPr>
        <w:t>drawn</w:t>
      </w:r>
      <w:r w:rsidR="00D44319" w:rsidRPr="00280C96">
        <w:rPr>
          <w:rFonts w:asciiTheme="majorBidi" w:hAnsiTheme="majorBidi" w:cstheme="majorBidi"/>
          <w:sz w:val="24"/>
          <w:szCs w:val="24"/>
        </w:rPr>
        <w:t xml:space="preserve"> from the </w:t>
      </w:r>
      <w:r w:rsidRPr="00280C96">
        <w:rPr>
          <w:rFonts w:asciiTheme="majorBidi" w:hAnsiTheme="majorBidi" w:cstheme="majorBidi"/>
          <w:sz w:val="24"/>
          <w:szCs w:val="24"/>
        </w:rPr>
        <w:t xml:space="preserve">audited </w:t>
      </w:r>
      <w:r w:rsidR="00D44319" w:rsidRPr="00280C96">
        <w:rPr>
          <w:rFonts w:asciiTheme="majorBidi" w:hAnsiTheme="majorBidi" w:cstheme="majorBidi"/>
          <w:sz w:val="24"/>
          <w:szCs w:val="24"/>
        </w:rPr>
        <w:t xml:space="preserve">annual reports and financial statements of </w:t>
      </w:r>
      <w:r w:rsidRPr="00280C96">
        <w:rPr>
          <w:rFonts w:asciiTheme="majorBidi" w:hAnsiTheme="majorBidi" w:cstheme="majorBidi"/>
          <w:sz w:val="24"/>
          <w:szCs w:val="24"/>
        </w:rPr>
        <w:t xml:space="preserve">12 purposively selected DMBs from a total population of 15 listed on </w:t>
      </w:r>
      <w:r w:rsidR="00D44319" w:rsidRPr="00280C96">
        <w:rPr>
          <w:rFonts w:asciiTheme="majorBidi" w:hAnsiTheme="majorBidi" w:cstheme="majorBidi"/>
          <w:sz w:val="24"/>
          <w:szCs w:val="24"/>
        </w:rPr>
        <w:t>the Nigerian Exchange Group (NGX</w:t>
      </w:r>
      <w:r w:rsidRPr="00280C96">
        <w:rPr>
          <w:rFonts w:asciiTheme="majorBidi" w:hAnsiTheme="majorBidi" w:cstheme="majorBidi"/>
          <w:sz w:val="24"/>
          <w:szCs w:val="24"/>
        </w:rPr>
        <w:t>).</w:t>
      </w:r>
      <w:r w:rsidR="00D44319" w:rsidRPr="00280C96">
        <w:rPr>
          <w:rFonts w:asciiTheme="majorBidi" w:hAnsiTheme="majorBidi" w:cstheme="majorBidi"/>
          <w:sz w:val="24"/>
          <w:szCs w:val="24"/>
        </w:rPr>
        <w:t xml:space="preserve"> The </w:t>
      </w:r>
      <w:r w:rsidRPr="00280C96">
        <w:rPr>
          <w:rFonts w:asciiTheme="majorBidi" w:hAnsiTheme="majorBidi" w:cstheme="majorBidi"/>
          <w:sz w:val="24"/>
          <w:szCs w:val="24"/>
        </w:rPr>
        <w:t xml:space="preserve">dataset spans twelve years (2012–2023), providing a robust timeframe to </w:t>
      </w:r>
      <w:proofErr w:type="spellStart"/>
      <w:r w:rsidRPr="00280C96">
        <w:rPr>
          <w:rFonts w:asciiTheme="majorBidi" w:hAnsiTheme="majorBidi" w:cstheme="majorBidi"/>
          <w:sz w:val="24"/>
          <w:szCs w:val="24"/>
        </w:rPr>
        <w:t>analyse</w:t>
      </w:r>
      <w:proofErr w:type="spellEnd"/>
      <w:r w:rsidRPr="00280C96">
        <w:rPr>
          <w:rFonts w:asciiTheme="majorBidi" w:hAnsiTheme="majorBidi" w:cstheme="majorBidi"/>
          <w:sz w:val="24"/>
          <w:szCs w:val="24"/>
        </w:rPr>
        <w:t xml:space="preserve"> trends and patterns in financial misconduct, particularly as influenced by economic cycles and regulatory changes. Data were sourced from the NGX portal and the banks’ official websites, selected </w:t>
      </w:r>
      <w:r w:rsidR="00D44319" w:rsidRPr="00280C96">
        <w:rPr>
          <w:rFonts w:asciiTheme="majorBidi" w:hAnsiTheme="majorBidi" w:cstheme="majorBidi"/>
          <w:sz w:val="24"/>
          <w:szCs w:val="24"/>
        </w:rPr>
        <w:t>based on availability</w:t>
      </w:r>
      <w:r w:rsidRPr="00280C96">
        <w:rPr>
          <w:rFonts w:asciiTheme="majorBidi" w:hAnsiTheme="majorBidi" w:cstheme="majorBidi"/>
          <w:sz w:val="24"/>
          <w:szCs w:val="24"/>
        </w:rPr>
        <w:t xml:space="preserve">, </w:t>
      </w:r>
      <w:r w:rsidR="00D44319" w:rsidRPr="00280C96">
        <w:rPr>
          <w:rFonts w:asciiTheme="majorBidi" w:hAnsiTheme="majorBidi" w:cstheme="majorBidi"/>
          <w:sz w:val="24"/>
          <w:szCs w:val="24"/>
        </w:rPr>
        <w:t>completeness</w:t>
      </w:r>
      <w:r w:rsidRPr="00280C96">
        <w:rPr>
          <w:rFonts w:asciiTheme="majorBidi" w:hAnsiTheme="majorBidi" w:cstheme="majorBidi"/>
          <w:sz w:val="24"/>
          <w:szCs w:val="24"/>
        </w:rPr>
        <w:t xml:space="preserve">, and consistency. Key variables extracted include loan loss provisions, non-performing loans, cash flow data, earnings measures, and corporate governance attributes, ensuring a comprehensive </w:t>
      </w:r>
      <w:r w:rsidR="00D44319" w:rsidRPr="00280C96">
        <w:rPr>
          <w:rFonts w:asciiTheme="majorBidi" w:hAnsiTheme="majorBidi" w:cstheme="majorBidi"/>
          <w:sz w:val="24"/>
          <w:szCs w:val="24"/>
        </w:rPr>
        <w:t>dataset for meaningful statistical analysis.</w:t>
      </w:r>
    </w:p>
    <w:p w14:paraId="0214DBD6" w14:textId="08C084BC" w:rsidR="00EC1CF6" w:rsidRPr="00280C96" w:rsidRDefault="00EC1CF6" w:rsidP="00D44319">
      <w:pPr>
        <w:pStyle w:val="Heading2"/>
        <w:rPr>
          <w:rFonts w:asciiTheme="majorBidi" w:hAnsiTheme="majorBidi"/>
          <w:b/>
          <w:bCs/>
          <w:color w:val="auto"/>
          <w:sz w:val="24"/>
          <w:szCs w:val="24"/>
        </w:rPr>
      </w:pPr>
      <w:r w:rsidRPr="00280C96">
        <w:rPr>
          <w:rFonts w:asciiTheme="majorBidi" w:hAnsiTheme="majorBidi"/>
          <w:b/>
          <w:bCs/>
          <w:color w:val="auto"/>
          <w:sz w:val="24"/>
          <w:szCs w:val="24"/>
        </w:rPr>
        <w:lastRenderedPageBreak/>
        <w:t>3.</w:t>
      </w:r>
      <w:r w:rsidR="008D1C3F" w:rsidRPr="00280C96">
        <w:rPr>
          <w:rFonts w:asciiTheme="majorBidi" w:hAnsiTheme="majorBidi"/>
          <w:b/>
          <w:bCs/>
          <w:color w:val="auto"/>
          <w:sz w:val="24"/>
          <w:szCs w:val="24"/>
        </w:rPr>
        <w:t>2</w:t>
      </w:r>
      <w:r w:rsidRPr="00280C96">
        <w:rPr>
          <w:rFonts w:asciiTheme="majorBidi" w:hAnsiTheme="majorBidi"/>
          <w:b/>
          <w:bCs/>
          <w:color w:val="auto"/>
          <w:sz w:val="24"/>
          <w:szCs w:val="24"/>
        </w:rPr>
        <w:t xml:space="preserve"> Model Specification and Variables Measurement</w:t>
      </w:r>
    </w:p>
    <w:p w14:paraId="1E580EF2"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Fraudulent financial reporting was detected using a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 adapted to the banking context, replacing inventory-related indicators with banking-specific variables:</w:t>
      </w:r>
    </w:p>
    <w:p w14:paraId="33421F39"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M = −4.84 + 0.92×NPLI + 0.528×LLPI + 0.404×AQI + 0.892×LGI + 0.115×DEPI − 0.172×SGAI + 4.679×TATA − 0.327×LVGI</w:t>
      </w:r>
    </w:p>
    <w:p w14:paraId="0AB4A839"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Where variables include ratios based on loan quality, asset composition, depreciation, administrative costs, and total accruals.</w:t>
      </w:r>
    </w:p>
    <w:p w14:paraId="4FA6565E"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Decision Rule</w:t>
      </w:r>
      <w:r w:rsidRPr="00280C96">
        <w:rPr>
          <w:rFonts w:asciiTheme="majorBidi" w:hAnsiTheme="majorBidi" w:cstheme="majorBidi"/>
          <w:sz w:val="24"/>
          <w:szCs w:val="24"/>
        </w:rPr>
        <w:t>:</w:t>
      </w:r>
    </w:p>
    <w:p w14:paraId="3B4C2ED0" w14:textId="77777777" w:rsidR="00E374C5" w:rsidRPr="00280C96" w:rsidRDefault="00E374C5" w:rsidP="00E374C5">
      <w:pPr>
        <w:numPr>
          <w:ilvl w:val="0"/>
          <w:numId w:val="1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M &gt; –2.22 = Manipulator (likely fraud)</w:t>
      </w:r>
    </w:p>
    <w:p w14:paraId="74ACB328" w14:textId="6F940D83" w:rsidR="00E374C5" w:rsidRPr="00280C96" w:rsidRDefault="00E374C5" w:rsidP="00E374C5">
      <w:pPr>
        <w:numPr>
          <w:ilvl w:val="0"/>
          <w:numId w:val="1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M ≤ –2.22 = </w:t>
      </w:r>
      <w:r w:rsidR="0026236F" w:rsidRPr="00280C96">
        <w:rPr>
          <w:rFonts w:asciiTheme="majorBidi" w:hAnsiTheme="majorBidi" w:cstheme="majorBidi"/>
          <w:sz w:val="24"/>
          <w:szCs w:val="24"/>
        </w:rPr>
        <w:t>non-manipulator</w:t>
      </w:r>
    </w:p>
    <w:p w14:paraId="1111C12E" w14:textId="77777777" w:rsidR="00EC1CF6" w:rsidRPr="00280C96" w:rsidRDefault="00EC1CF6" w:rsidP="00EC1CF6">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Where:</w:t>
      </w:r>
    </w:p>
    <w:p w14:paraId="712CC5F8"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NPLI (Non-Performing Loan Index) = Non-Performing Loans / Total Loans</w:t>
      </w:r>
    </w:p>
    <w:p w14:paraId="5DB3A724"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LLPI (Loan Loss Provision Index) = Loan Loss Provision / Total Loans</w:t>
      </w:r>
    </w:p>
    <w:p w14:paraId="501FE738"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AQI (Asset Quality Index) = Non-Interest Earning Assets / Total Assets</w:t>
      </w:r>
    </w:p>
    <w:p w14:paraId="72F632B2"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LGI (Loan Growth Index) = Year-on-Year Loan Growth Rate</w:t>
      </w:r>
    </w:p>
    <w:p w14:paraId="6A03D152"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DEPI (Depreciation Index) = Current Year Depreciation Expense / Prior Year Depreciation Expense</w:t>
      </w:r>
    </w:p>
    <w:p w14:paraId="2F821DF7"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SGAI (Sales, General &amp; Administrative Expenses Index) = SG&amp;A Expenses / Total Operating Revenue</w:t>
      </w:r>
    </w:p>
    <w:p w14:paraId="2DC46B24"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TATA (Total Accruals to Total Assets) = (Net Income - Operating Cash Flow) / Total Assets</w:t>
      </w:r>
    </w:p>
    <w:p w14:paraId="06A540EF" w14:textId="3C59D034"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LVGI (Leverage Index) = Total Liabilities / Total Assets</w:t>
      </w:r>
    </w:p>
    <w:p w14:paraId="44D5F5CC" w14:textId="3108E504" w:rsidR="00EC1CF6" w:rsidRPr="00280C96" w:rsidRDefault="00EC1CF6" w:rsidP="001521DF">
      <w:pPr>
        <w:pStyle w:val="Heading2"/>
        <w:rPr>
          <w:rFonts w:asciiTheme="majorBidi" w:hAnsiTheme="majorBidi"/>
          <w:b/>
          <w:bCs/>
          <w:color w:val="auto"/>
          <w:sz w:val="24"/>
          <w:szCs w:val="24"/>
        </w:rPr>
      </w:pPr>
      <w:r w:rsidRPr="00280C96">
        <w:rPr>
          <w:rFonts w:asciiTheme="majorBidi" w:hAnsiTheme="majorBidi"/>
          <w:b/>
          <w:bCs/>
          <w:color w:val="auto"/>
          <w:sz w:val="24"/>
          <w:szCs w:val="24"/>
        </w:rPr>
        <w:t>3.</w:t>
      </w:r>
      <w:r w:rsidR="00D44319" w:rsidRPr="00280C96">
        <w:rPr>
          <w:rFonts w:asciiTheme="majorBidi" w:hAnsiTheme="majorBidi"/>
          <w:b/>
          <w:bCs/>
          <w:color w:val="auto"/>
          <w:sz w:val="24"/>
          <w:szCs w:val="24"/>
        </w:rPr>
        <w:t>3</w:t>
      </w:r>
      <w:r w:rsidRPr="00280C96">
        <w:rPr>
          <w:rFonts w:asciiTheme="majorBidi" w:hAnsiTheme="majorBidi"/>
          <w:b/>
          <w:bCs/>
          <w:color w:val="auto"/>
          <w:sz w:val="24"/>
          <w:szCs w:val="24"/>
        </w:rPr>
        <w:t xml:space="preserve"> Model Estimation Technique</w:t>
      </w:r>
    </w:p>
    <w:p w14:paraId="10D2FE89" w14:textId="77777777" w:rsidR="00EC14C5" w:rsidRPr="00280C96" w:rsidRDefault="00EC14C5" w:rsidP="00EC1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To estimate the likelihood of fraudulent financial reporting, a binary logistic regression model was employed with M-Score classification as the dependent variable. The logit model is expressed as:</w:t>
      </w:r>
    </w:p>
    <w:p w14:paraId="336A8D4C" w14:textId="680DAD20" w:rsidR="009D0276" w:rsidRPr="00280C96" w:rsidRDefault="0081535A" w:rsidP="008F611D">
      <w:pPr>
        <w:spacing w:line="360" w:lineRule="auto"/>
        <w:jc w:val="both"/>
        <w:rPr>
          <w:rFonts w:asciiTheme="majorBidi" w:hAnsiTheme="majorBidi" w:cstheme="majorBidi"/>
          <w:i/>
          <w:iCs/>
          <w:sz w:val="24"/>
          <w:szCs w:val="24"/>
        </w:rPr>
      </w:pPr>
      <w:proofErr w:type="gramStart"/>
      <w:r w:rsidRPr="00280C96">
        <w:rPr>
          <w:rFonts w:asciiTheme="majorBidi" w:hAnsiTheme="majorBidi" w:cstheme="majorBidi"/>
          <w:i/>
          <w:iCs/>
          <w:sz w:val="24"/>
          <w:szCs w:val="24"/>
        </w:rPr>
        <w:t>logit(</w:t>
      </w:r>
      <w:proofErr w:type="spellStart"/>
      <w:proofErr w:type="gramEnd"/>
      <w:r w:rsidRPr="00280C96">
        <w:rPr>
          <w:rFonts w:asciiTheme="majorBidi" w:hAnsiTheme="majorBidi" w:cstheme="majorBidi"/>
          <w:i/>
          <w:iCs/>
          <w:sz w:val="24"/>
          <w:szCs w:val="24"/>
        </w:rPr>
        <w:t>Pr</w:t>
      </w:r>
      <w:proofErr w:type="spellEnd"/>
      <w:r w:rsidRPr="00280C96">
        <w:rPr>
          <w:rFonts w:asciiTheme="majorBidi" w:hAnsiTheme="majorBidi" w:cstheme="majorBidi"/>
          <w:i/>
          <w:iCs/>
          <w:sz w:val="24"/>
          <w:szCs w:val="24"/>
        </w:rPr>
        <w:t>(FFR=1))</w:t>
      </w:r>
      <w:r w:rsidR="00EC14C5" w:rsidRPr="00280C96">
        <w:rPr>
          <w:rFonts w:asciiTheme="majorBidi" w:hAnsiTheme="majorBidi" w:cstheme="majorBidi"/>
          <w:i/>
          <w:iCs/>
          <w:sz w:val="24"/>
          <w:szCs w:val="24"/>
        </w:rPr>
        <w:t xml:space="preserve"> = β</w:t>
      </w:r>
      <w:r w:rsidR="00EC14C5" w:rsidRPr="00280C96">
        <w:rPr>
          <w:rFonts w:asciiTheme="majorBidi" w:hAnsiTheme="majorBidi" w:cstheme="majorBidi"/>
          <w:i/>
          <w:iCs/>
          <w:sz w:val="24"/>
          <w:szCs w:val="24"/>
          <w:vertAlign w:val="subscript"/>
        </w:rPr>
        <w:t>0</w:t>
      </w:r>
      <w:r w:rsidR="00EC14C5" w:rsidRPr="00280C96">
        <w:rPr>
          <w:rFonts w:asciiTheme="majorBidi" w:hAnsiTheme="majorBidi" w:cstheme="majorBidi"/>
          <w:i/>
          <w:iCs/>
          <w:sz w:val="24"/>
          <w:szCs w:val="24"/>
        </w:rPr>
        <w:t xml:space="preserve"> + β</w:t>
      </w:r>
      <w:r w:rsidR="00EC14C5" w:rsidRPr="00280C96">
        <w:rPr>
          <w:rFonts w:asciiTheme="majorBidi" w:hAnsiTheme="majorBidi" w:cstheme="majorBidi"/>
          <w:i/>
          <w:iCs/>
          <w:sz w:val="24"/>
          <w:szCs w:val="24"/>
          <w:vertAlign w:val="subscript"/>
        </w:rPr>
        <w:t>1</w:t>
      </w:r>
      <w:r w:rsidR="00EC14C5" w:rsidRPr="00280C96">
        <w:rPr>
          <w:rFonts w:asciiTheme="majorBidi" w:hAnsiTheme="majorBidi" w:cstheme="majorBidi"/>
          <w:i/>
          <w:iCs/>
          <w:sz w:val="24"/>
          <w:szCs w:val="24"/>
        </w:rPr>
        <w:t>CFT + β</w:t>
      </w:r>
      <w:r w:rsidR="00EC14C5" w:rsidRPr="00280C96">
        <w:rPr>
          <w:rFonts w:asciiTheme="majorBidi" w:hAnsiTheme="majorBidi" w:cstheme="majorBidi"/>
          <w:i/>
          <w:iCs/>
          <w:sz w:val="24"/>
          <w:szCs w:val="24"/>
          <w:vertAlign w:val="subscript"/>
        </w:rPr>
        <w:t>2</w:t>
      </w:r>
      <w:r w:rsidR="00EC14C5" w:rsidRPr="00280C96">
        <w:rPr>
          <w:rFonts w:asciiTheme="majorBidi" w:hAnsiTheme="majorBidi" w:cstheme="majorBidi"/>
          <w:i/>
          <w:iCs/>
          <w:sz w:val="24"/>
          <w:szCs w:val="24"/>
        </w:rPr>
        <w:t>RPT + β</w:t>
      </w:r>
      <w:r w:rsidR="00EC14C5" w:rsidRPr="00280C96">
        <w:rPr>
          <w:rFonts w:asciiTheme="majorBidi" w:hAnsiTheme="majorBidi" w:cstheme="majorBidi"/>
          <w:i/>
          <w:iCs/>
          <w:sz w:val="24"/>
          <w:szCs w:val="24"/>
          <w:vertAlign w:val="subscript"/>
        </w:rPr>
        <w:t>3</w:t>
      </w:r>
      <w:r w:rsidR="00EC14C5" w:rsidRPr="00280C96">
        <w:rPr>
          <w:rFonts w:asciiTheme="majorBidi" w:hAnsiTheme="majorBidi" w:cstheme="majorBidi"/>
          <w:i/>
          <w:iCs/>
          <w:sz w:val="24"/>
          <w:szCs w:val="24"/>
        </w:rPr>
        <w:t>ECD + β</w:t>
      </w:r>
      <w:r w:rsidR="00EC14C5" w:rsidRPr="00280C96">
        <w:rPr>
          <w:rFonts w:asciiTheme="majorBidi" w:hAnsiTheme="majorBidi" w:cstheme="majorBidi"/>
          <w:i/>
          <w:iCs/>
          <w:sz w:val="24"/>
          <w:szCs w:val="24"/>
          <w:vertAlign w:val="subscript"/>
        </w:rPr>
        <w:t>4</w:t>
      </w:r>
      <w:r w:rsidR="00EC14C5" w:rsidRPr="00280C96">
        <w:rPr>
          <w:rFonts w:asciiTheme="majorBidi" w:hAnsiTheme="majorBidi" w:cstheme="majorBidi"/>
          <w:i/>
          <w:iCs/>
          <w:sz w:val="24"/>
          <w:szCs w:val="24"/>
        </w:rPr>
        <w:t>PEF + β</w:t>
      </w:r>
      <w:r w:rsidR="00EC14C5" w:rsidRPr="00280C96">
        <w:rPr>
          <w:rFonts w:asciiTheme="majorBidi" w:hAnsiTheme="majorBidi" w:cstheme="majorBidi"/>
          <w:i/>
          <w:iCs/>
          <w:sz w:val="24"/>
          <w:szCs w:val="24"/>
          <w:vertAlign w:val="subscript"/>
        </w:rPr>
        <w:t>5</w:t>
      </w:r>
      <w:r w:rsidR="00EC14C5" w:rsidRPr="00280C96">
        <w:rPr>
          <w:rFonts w:asciiTheme="majorBidi" w:hAnsiTheme="majorBidi" w:cstheme="majorBidi"/>
          <w:i/>
          <w:iCs/>
          <w:sz w:val="24"/>
          <w:szCs w:val="24"/>
        </w:rPr>
        <w:t>SIZE + β</w:t>
      </w:r>
      <w:r w:rsidR="00EC14C5" w:rsidRPr="00280C96">
        <w:rPr>
          <w:rFonts w:asciiTheme="majorBidi" w:hAnsiTheme="majorBidi" w:cstheme="majorBidi"/>
          <w:i/>
          <w:iCs/>
          <w:sz w:val="24"/>
          <w:szCs w:val="24"/>
          <w:vertAlign w:val="subscript"/>
        </w:rPr>
        <w:t>6</w:t>
      </w:r>
      <w:r w:rsidR="00EC14C5" w:rsidRPr="00280C96">
        <w:rPr>
          <w:rFonts w:asciiTheme="majorBidi" w:hAnsiTheme="majorBidi" w:cstheme="majorBidi"/>
          <w:i/>
          <w:iCs/>
          <w:sz w:val="24"/>
          <w:szCs w:val="24"/>
        </w:rPr>
        <w:t>ROA + β</w:t>
      </w:r>
      <w:r w:rsidR="00EC14C5" w:rsidRPr="00280C96">
        <w:rPr>
          <w:rFonts w:asciiTheme="majorBidi" w:hAnsiTheme="majorBidi" w:cstheme="majorBidi"/>
          <w:i/>
          <w:iCs/>
          <w:sz w:val="24"/>
          <w:szCs w:val="24"/>
          <w:vertAlign w:val="subscript"/>
        </w:rPr>
        <w:t>7</w:t>
      </w:r>
      <w:r w:rsidR="00EC14C5" w:rsidRPr="00280C96">
        <w:rPr>
          <w:rFonts w:asciiTheme="majorBidi" w:hAnsiTheme="majorBidi" w:cstheme="majorBidi"/>
          <w:i/>
          <w:iCs/>
          <w:sz w:val="24"/>
          <w:szCs w:val="24"/>
        </w:rPr>
        <w:t>INF + β</w:t>
      </w:r>
      <w:r w:rsidR="00EC14C5" w:rsidRPr="00280C96">
        <w:rPr>
          <w:rFonts w:asciiTheme="majorBidi" w:hAnsiTheme="majorBidi" w:cstheme="majorBidi"/>
          <w:i/>
          <w:iCs/>
          <w:sz w:val="24"/>
          <w:szCs w:val="24"/>
          <w:vertAlign w:val="subscript"/>
        </w:rPr>
        <w:t>8</w:t>
      </w:r>
      <w:r w:rsidR="00EC14C5" w:rsidRPr="00280C96">
        <w:rPr>
          <w:rFonts w:asciiTheme="majorBidi" w:hAnsiTheme="majorBidi" w:cstheme="majorBidi"/>
          <w:i/>
          <w:iCs/>
          <w:sz w:val="24"/>
          <w:szCs w:val="24"/>
        </w:rPr>
        <w:t>EXR + ε</w:t>
      </w:r>
    </w:p>
    <w:p w14:paraId="61034C1A" w14:textId="5F872074" w:rsidR="00EC14C5" w:rsidRPr="00280C96" w:rsidRDefault="00EC14C5" w:rsidP="00EC1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lastRenderedPageBreak/>
        <w:t xml:space="preserve">In this model, SIZE, ROA, INF, </w:t>
      </w:r>
      <w:r w:rsidR="00747DE6" w:rsidRPr="00280C96">
        <w:rPr>
          <w:rFonts w:asciiTheme="majorBidi" w:hAnsiTheme="majorBidi" w:cstheme="majorBidi"/>
          <w:sz w:val="24"/>
          <w:szCs w:val="24"/>
        </w:rPr>
        <w:t xml:space="preserve">and </w:t>
      </w:r>
      <w:r w:rsidRPr="00280C96">
        <w:rPr>
          <w:rFonts w:asciiTheme="majorBidi" w:hAnsiTheme="majorBidi" w:cstheme="majorBidi"/>
          <w:sz w:val="24"/>
          <w:szCs w:val="24"/>
        </w:rPr>
        <w:t>EXR</w:t>
      </w:r>
      <w:r w:rsidR="00747DE6" w:rsidRPr="00280C96">
        <w:rPr>
          <w:rFonts w:asciiTheme="majorBidi" w:hAnsiTheme="majorBidi" w:cstheme="majorBidi"/>
          <w:sz w:val="24"/>
          <w:szCs w:val="24"/>
        </w:rPr>
        <w:t xml:space="preserve"> </w:t>
      </w:r>
      <w:r w:rsidRPr="00280C96">
        <w:rPr>
          <w:rFonts w:asciiTheme="majorBidi" w:hAnsiTheme="majorBidi" w:cstheme="majorBidi"/>
          <w:sz w:val="24"/>
          <w:szCs w:val="24"/>
        </w:rPr>
        <w:t>serve as control variables to account for internal performance and macroeconomic effects. In addition to the logistic regression framework, the study acknowledges potential endogeneity issues inherent in corporate financial data.</w:t>
      </w:r>
    </w:p>
    <w:p w14:paraId="7FDFEC79" w14:textId="585C16F6" w:rsidR="00413634" w:rsidRPr="00280C96" w:rsidRDefault="00413634" w:rsidP="00413634">
      <w:pPr>
        <w:pStyle w:val="Heading2"/>
        <w:rPr>
          <w:rFonts w:asciiTheme="majorBidi" w:hAnsiTheme="majorBidi"/>
          <w:b/>
          <w:bCs/>
          <w:color w:val="auto"/>
          <w:sz w:val="24"/>
          <w:szCs w:val="24"/>
        </w:rPr>
      </w:pPr>
      <w:r w:rsidRPr="00280C96">
        <w:rPr>
          <w:rFonts w:asciiTheme="majorBidi" w:hAnsiTheme="majorBidi"/>
          <w:b/>
          <w:bCs/>
          <w:color w:val="auto"/>
          <w:sz w:val="24"/>
          <w:szCs w:val="24"/>
        </w:rPr>
        <w:t>3.</w:t>
      </w:r>
      <w:r w:rsidR="00C141BA" w:rsidRPr="00280C96">
        <w:rPr>
          <w:rFonts w:asciiTheme="majorBidi" w:hAnsiTheme="majorBidi"/>
          <w:b/>
          <w:bCs/>
          <w:color w:val="auto"/>
          <w:sz w:val="24"/>
          <w:szCs w:val="24"/>
        </w:rPr>
        <w:t>4</w:t>
      </w:r>
      <w:r w:rsidRPr="00280C96">
        <w:rPr>
          <w:rFonts w:asciiTheme="majorBidi" w:hAnsiTheme="majorBidi"/>
          <w:b/>
          <w:bCs/>
          <w:color w:val="auto"/>
          <w:sz w:val="24"/>
          <w:szCs w:val="24"/>
        </w:rPr>
        <w:t xml:space="preserve"> Variable Measurement </w:t>
      </w:r>
    </w:p>
    <w:p w14:paraId="7EA3FDA5" w14:textId="5B9D4DD9" w:rsidR="00FE57A3" w:rsidRPr="00280C96" w:rsidRDefault="00406E27" w:rsidP="00406E27">
      <w:pPr>
        <w:spacing w:line="240" w:lineRule="auto"/>
        <w:contextualSpacing/>
      </w:pPr>
      <w:r w:rsidRPr="00280C96">
        <w:t xml:space="preserve">Table 1: </w:t>
      </w:r>
      <w:r w:rsidRPr="00280C96">
        <w:rPr>
          <w:rFonts w:asciiTheme="majorBidi" w:hAnsiTheme="majorBidi"/>
          <w:sz w:val="24"/>
          <w:szCs w:val="24"/>
        </w:rPr>
        <w:t>Variable Measurement</w:t>
      </w:r>
    </w:p>
    <w:tbl>
      <w:tblPr>
        <w:tblStyle w:val="TableGridLight"/>
        <w:tblW w:w="0" w:type="auto"/>
        <w:tblLook w:val="04A0" w:firstRow="1" w:lastRow="0" w:firstColumn="1" w:lastColumn="0" w:noHBand="0" w:noVBand="1"/>
      </w:tblPr>
      <w:tblGrid>
        <w:gridCol w:w="2015"/>
        <w:gridCol w:w="2316"/>
        <w:gridCol w:w="932"/>
        <w:gridCol w:w="1178"/>
        <w:gridCol w:w="2575"/>
      </w:tblGrid>
      <w:tr w:rsidR="006C2F97" w:rsidRPr="00280C96" w14:paraId="5B07FA2D" w14:textId="77777777" w:rsidTr="00747DE6">
        <w:tc>
          <w:tcPr>
            <w:tcW w:w="0" w:type="auto"/>
            <w:tcBorders>
              <w:top w:val="single" w:sz="4" w:space="0" w:color="auto"/>
              <w:bottom w:val="single" w:sz="4" w:space="0" w:color="auto"/>
            </w:tcBorders>
            <w:hideMark/>
          </w:tcPr>
          <w:p w14:paraId="24432BE1" w14:textId="77777777" w:rsidR="006C2F97" w:rsidRPr="00280C96" w:rsidRDefault="006C2F97" w:rsidP="00993804">
            <w:pPr>
              <w:spacing w:after="160" w:line="259" w:lineRule="auto"/>
              <w:rPr>
                <w:b/>
                <w:bCs/>
              </w:rPr>
            </w:pPr>
            <w:r w:rsidRPr="00280C96">
              <w:rPr>
                <w:b/>
                <w:bCs/>
              </w:rPr>
              <w:t>Variable Name (Abbreviation)</w:t>
            </w:r>
          </w:p>
        </w:tc>
        <w:tc>
          <w:tcPr>
            <w:tcW w:w="2316" w:type="dxa"/>
            <w:tcBorders>
              <w:top w:val="single" w:sz="4" w:space="0" w:color="auto"/>
              <w:bottom w:val="single" w:sz="4" w:space="0" w:color="auto"/>
            </w:tcBorders>
            <w:hideMark/>
          </w:tcPr>
          <w:p w14:paraId="3FF71D3F" w14:textId="77777777" w:rsidR="006C2F97" w:rsidRPr="00280C96" w:rsidRDefault="006C2F97" w:rsidP="00993804">
            <w:pPr>
              <w:spacing w:after="160" w:line="259" w:lineRule="auto"/>
              <w:rPr>
                <w:b/>
                <w:bCs/>
              </w:rPr>
            </w:pPr>
            <w:r w:rsidRPr="00280C96">
              <w:rPr>
                <w:b/>
                <w:bCs/>
              </w:rPr>
              <w:t>Measurement / Formula</w:t>
            </w:r>
          </w:p>
        </w:tc>
        <w:tc>
          <w:tcPr>
            <w:tcW w:w="932" w:type="dxa"/>
            <w:tcBorders>
              <w:top w:val="single" w:sz="4" w:space="0" w:color="auto"/>
              <w:bottom w:val="single" w:sz="4" w:space="0" w:color="auto"/>
            </w:tcBorders>
          </w:tcPr>
          <w:p w14:paraId="44E76E03" w14:textId="22D082DA" w:rsidR="006C2F97" w:rsidRPr="00280C96" w:rsidRDefault="006C2F97" w:rsidP="00993804">
            <w:pPr>
              <w:rPr>
                <w:b/>
                <w:bCs/>
              </w:rPr>
            </w:pPr>
            <w:r w:rsidRPr="00280C96">
              <w:rPr>
                <w:b/>
                <w:bCs/>
              </w:rPr>
              <w:t>Type</w:t>
            </w:r>
          </w:p>
        </w:tc>
        <w:tc>
          <w:tcPr>
            <w:tcW w:w="1178" w:type="dxa"/>
            <w:tcBorders>
              <w:top w:val="single" w:sz="4" w:space="0" w:color="auto"/>
              <w:bottom w:val="single" w:sz="4" w:space="0" w:color="auto"/>
            </w:tcBorders>
            <w:hideMark/>
          </w:tcPr>
          <w:p w14:paraId="0629D0CF" w14:textId="4B6D8DD8" w:rsidR="006C2F97" w:rsidRPr="00280C96" w:rsidRDefault="006C2F97" w:rsidP="00993804">
            <w:pPr>
              <w:spacing w:after="160" w:line="259" w:lineRule="auto"/>
              <w:rPr>
                <w:b/>
                <w:bCs/>
              </w:rPr>
            </w:pPr>
            <w:r w:rsidRPr="00280C96">
              <w:rPr>
                <w:b/>
                <w:bCs/>
              </w:rPr>
              <w:t>Expected Sign</w:t>
            </w:r>
          </w:p>
        </w:tc>
        <w:tc>
          <w:tcPr>
            <w:tcW w:w="0" w:type="auto"/>
            <w:tcBorders>
              <w:top w:val="single" w:sz="4" w:space="0" w:color="auto"/>
              <w:bottom w:val="single" w:sz="4" w:space="0" w:color="auto"/>
            </w:tcBorders>
            <w:hideMark/>
          </w:tcPr>
          <w:p w14:paraId="0D3C3D4A" w14:textId="77777777" w:rsidR="006C2F97" w:rsidRPr="00280C96" w:rsidRDefault="006C2F97" w:rsidP="00993804">
            <w:pPr>
              <w:spacing w:after="160" w:line="259" w:lineRule="auto"/>
              <w:rPr>
                <w:b/>
                <w:bCs/>
              </w:rPr>
            </w:pPr>
            <w:r w:rsidRPr="00280C96">
              <w:rPr>
                <w:b/>
                <w:bCs/>
              </w:rPr>
              <w:t>Related Authors</w:t>
            </w:r>
          </w:p>
        </w:tc>
      </w:tr>
      <w:tr w:rsidR="006C2F97" w:rsidRPr="00280C96" w14:paraId="7B5199A9" w14:textId="77777777" w:rsidTr="00747DE6">
        <w:tc>
          <w:tcPr>
            <w:tcW w:w="0" w:type="auto"/>
            <w:tcBorders>
              <w:top w:val="single" w:sz="4" w:space="0" w:color="auto"/>
            </w:tcBorders>
            <w:hideMark/>
          </w:tcPr>
          <w:p w14:paraId="5C157653" w14:textId="77777777" w:rsidR="006C2F97" w:rsidRPr="00280C96" w:rsidRDefault="006C2F97" w:rsidP="00993804">
            <w:pPr>
              <w:spacing w:after="160" w:line="259" w:lineRule="auto"/>
            </w:pPr>
            <w:r w:rsidRPr="00280C96">
              <w:t>Pressure (CFT)</w:t>
            </w:r>
          </w:p>
        </w:tc>
        <w:tc>
          <w:tcPr>
            <w:tcW w:w="2316" w:type="dxa"/>
            <w:tcBorders>
              <w:top w:val="single" w:sz="4" w:space="0" w:color="auto"/>
            </w:tcBorders>
            <w:hideMark/>
          </w:tcPr>
          <w:p w14:paraId="3E693029" w14:textId="77777777" w:rsidR="006C2F97" w:rsidRPr="00280C96" w:rsidRDefault="006C2F97" w:rsidP="00993804">
            <w:pPr>
              <w:spacing w:after="160" w:line="259" w:lineRule="auto"/>
            </w:pPr>
            <w:r w:rsidRPr="00280C96">
              <w:t xml:space="preserve">Change in Operating Cash Flow (ΔCFO) = </w:t>
            </w:r>
            <w:proofErr w:type="spellStart"/>
            <w:r w:rsidRPr="00280C96">
              <w:t>CFO_t</w:t>
            </w:r>
            <w:proofErr w:type="spellEnd"/>
            <w:r w:rsidRPr="00280C96">
              <w:t xml:space="preserve"> – CFO_{t–1}</w:t>
            </w:r>
          </w:p>
        </w:tc>
        <w:tc>
          <w:tcPr>
            <w:tcW w:w="932" w:type="dxa"/>
            <w:tcBorders>
              <w:top w:val="single" w:sz="4" w:space="0" w:color="auto"/>
            </w:tcBorders>
          </w:tcPr>
          <w:p w14:paraId="159C74E8" w14:textId="73B305B6" w:rsidR="006C2F97" w:rsidRPr="00280C96" w:rsidRDefault="0090599B" w:rsidP="00993804">
            <w:r w:rsidRPr="00280C96">
              <w:t>IV</w:t>
            </w:r>
          </w:p>
        </w:tc>
        <w:tc>
          <w:tcPr>
            <w:tcW w:w="1178" w:type="dxa"/>
            <w:tcBorders>
              <w:top w:val="single" w:sz="4" w:space="0" w:color="auto"/>
            </w:tcBorders>
            <w:hideMark/>
          </w:tcPr>
          <w:p w14:paraId="64695ED9" w14:textId="7649ADCB" w:rsidR="006C2F97" w:rsidRPr="00280C96" w:rsidRDefault="00C83082" w:rsidP="00993804">
            <w:pPr>
              <w:spacing w:after="160" w:line="259" w:lineRule="auto"/>
            </w:pPr>
            <w:r w:rsidRPr="00280C96">
              <w:t>+</w:t>
            </w:r>
          </w:p>
        </w:tc>
        <w:tc>
          <w:tcPr>
            <w:tcW w:w="0" w:type="auto"/>
            <w:tcBorders>
              <w:top w:val="single" w:sz="4" w:space="0" w:color="auto"/>
            </w:tcBorders>
            <w:hideMark/>
          </w:tcPr>
          <w:p w14:paraId="39688F63" w14:textId="77777777" w:rsidR="006C2F97" w:rsidRPr="00280C96" w:rsidRDefault="006C2F97" w:rsidP="00993804">
            <w:pPr>
              <w:spacing w:after="160" w:line="259" w:lineRule="auto"/>
            </w:pPr>
            <w:r w:rsidRPr="00280C96">
              <w:t xml:space="preserve">Wolfe &amp; Hermanson (2004), </w:t>
            </w:r>
            <w:proofErr w:type="spellStart"/>
            <w:r w:rsidRPr="00280C96">
              <w:t>Handoko</w:t>
            </w:r>
            <w:proofErr w:type="spellEnd"/>
            <w:r w:rsidRPr="00280C96">
              <w:t xml:space="preserve"> &amp; </w:t>
            </w:r>
            <w:proofErr w:type="spellStart"/>
            <w:r w:rsidRPr="00280C96">
              <w:t>Natasya</w:t>
            </w:r>
            <w:proofErr w:type="spellEnd"/>
            <w:r w:rsidRPr="00280C96">
              <w:t xml:space="preserve"> (2019)</w:t>
            </w:r>
          </w:p>
        </w:tc>
      </w:tr>
      <w:tr w:rsidR="006C2F97" w:rsidRPr="00280C96" w14:paraId="70C71321" w14:textId="77777777" w:rsidTr="00747DE6">
        <w:tc>
          <w:tcPr>
            <w:tcW w:w="0" w:type="auto"/>
            <w:hideMark/>
          </w:tcPr>
          <w:p w14:paraId="0480DA4A" w14:textId="77777777" w:rsidR="006C2F97" w:rsidRPr="00280C96" w:rsidRDefault="006C2F97" w:rsidP="00993804">
            <w:pPr>
              <w:spacing w:after="160" w:line="259" w:lineRule="auto"/>
            </w:pPr>
            <w:r w:rsidRPr="00280C96">
              <w:t>Opportunity (RPT)</w:t>
            </w:r>
          </w:p>
        </w:tc>
        <w:tc>
          <w:tcPr>
            <w:tcW w:w="2316" w:type="dxa"/>
            <w:hideMark/>
          </w:tcPr>
          <w:p w14:paraId="5E42FFF4" w14:textId="77777777" w:rsidR="006C2F97" w:rsidRPr="00280C96" w:rsidRDefault="006C2F97" w:rsidP="00993804">
            <w:pPr>
              <w:spacing w:after="160" w:line="259" w:lineRule="auto"/>
            </w:pPr>
            <w:r w:rsidRPr="00280C96">
              <w:t>NPL / Shareholders’ Funds</w:t>
            </w:r>
          </w:p>
        </w:tc>
        <w:tc>
          <w:tcPr>
            <w:tcW w:w="932" w:type="dxa"/>
          </w:tcPr>
          <w:p w14:paraId="1FBA4A48" w14:textId="2F02A643" w:rsidR="006C2F97" w:rsidRPr="00280C96" w:rsidRDefault="0090599B" w:rsidP="00993804">
            <w:r w:rsidRPr="00280C96">
              <w:t>IV</w:t>
            </w:r>
          </w:p>
        </w:tc>
        <w:tc>
          <w:tcPr>
            <w:tcW w:w="1178" w:type="dxa"/>
            <w:hideMark/>
          </w:tcPr>
          <w:p w14:paraId="4B6220E3" w14:textId="31976C4A" w:rsidR="006C2F97" w:rsidRPr="00280C96" w:rsidRDefault="0047782D" w:rsidP="00993804">
            <w:pPr>
              <w:spacing w:after="160" w:line="259" w:lineRule="auto"/>
            </w:pPr>
            <w:r w:rsidRPr="00280C96">
              <w:t>+</w:t>
            </w:r>
          </w:p>
        </w:tc>
        <w:tc>
          <w:tcPr>
            <w:tcW w:w="0" w:type="auto"/>
            <w:hideMark/>
          </w:tcPr>
          <w:p w14:paraId="0E9477DD" w14:textId="77777777" w:rsidR="006C2F97" w:rsidRPr="00280C96" w:rsidRDefault="006C2F97" w:rsidP="00993804">
            <w:pPr>
              <w:spacing w:after="160" w:line="259" w:lineRule="auto"/>
            </w:pPr>
            <w:r w:rsidRPr="00280C96">
              <w:t>Skousen et al. (2009), Akbar (2022)</w:t>
            </w:r>
          </w:p>
        </w:tc>
      </w:tr>
      <w:tr w:rsidR="006C2F97" w:rsidRPr="00280C96" w14:paraId="2FCC80C9" w14:textId="77777777" w:rsidTr="00747DE6">
        <w:tc>
          <w:tcPr>
            <w:tcW w:w="0" w:type="auto"/>
            <w:hideMark/>
          </w:tcPr>
          <w:p w14:paraId="2035BB85" w14:textId="77777777" w:rsidR="006C2F97" w:rsidRPr="00280C96" w:rsidRDefault="006C2F97" w:rsidP="00993804">
            <w:pPr>
              <w:spacing w:after="160" w:line="259" w:lineRule="auto"/>
            </w:pPr>
            <w:proofErr w:type="spellStart"/>
            <w:r w:rsidRPr="00280C96">
              <w:t>Rationalisation</w:t>
            </w:r>
            <w:proofErr w:type="spellEnd"/>
            <w:r w:rsidRPr="00280C96">
              <w:t xml:space="preserve"> (ECD)</w:t>
            </w:r>
          </w:p>
        </w:tc>
        <w:tc>
          <w:tcPr>
            <w:tcW w:w="2316" w:type="dxa"/>
            <w:hideMark/>
          </w:tcPr>
          <w:p w14:paraId="4867B1C3" w14:textId="77777777" w:rsidR="006C2F97" w:rsidRPr="00280C96" w:rsidRDefault="006C2F97" w:rsidP="00993804">
            <w:pPr>
              <w:spacing w:after="160" w:line="259" w:lineRule="auto"/>
            </w:pPr>
            <w:r w:rsidRPr="00280C96">
              <w:t>Profit After Tax / Dividends Paid</w:t>
            </w:r>
          </w:p>
        </w:tc>
        <w:tc>
          <w:tcPr>
            <w:tcW w:w="932" w:type="dxa"/>
          </w:tcPr>
          <w:p w14:paraId="00E561B7" w14:textId="0C21AB74" w:rsidR="006C2F97" w:rsidRPr="00280C96" w:rsidRDefault="0090599B" w:rsidP="00993804">
            <w:r w:rsidRPr="00280C96">
              <w:t>IV</w:t>
            </w:r>
          </w:p>
        </w:tc>
        <w:tc>
          <w:tcPr>
            <w:tcW w:w="1178" w:type="dxa"/>
            <w:hideMark/>
          </w:tcPr>
          <w:p w14:paraId="4D1B5484" w14:textId="4C51A6F4" w:rsidR="006C2F97" w:rsidRPr="00280C96" w:rsidRDefault="0047782D" w:rsidP="00993804">
            <w:pPr>
              <w:spacing w:after="160" w:line="259" w:lineRule="auto"/>
            </w:pPr>
            <w:r w:rsidRPr="00280C96">
              <w:t>+</w:t>
            </w:r>
          </w:p>
        </w:tc>
        <w:tc>
          <w:tcPr>
            <w:tcW w:w="0" w:type="auto"/>
            <w:hideMark/>
          </w:tcPr>
          <w:p w14:paraId="2C861B27" w14:textId="77777777" w:rsidR="006C2F97" w:rsidRPr="00280C96" w:rsidRDefault="006C2F97" w:rsidP="00993804">
            <w:pPr>
              <w:spacing w:after="160" w:line="259" w:lineRule="auto"/>
            </w:pPr>
            <w:proofErr w:type="spellStart"/>
            <w:r w:rsidRPr="00280C96">
              <w:t>Supri</w:t>
            </w:r>
            <w:proofErr w:type="spellEnd"/>
            <w:r w:rsidRPr="00280C96">
              <w:t xml:space="preserve"> et al. (2018), Chandra (2023)</w:t>
            </w:r>
          </w:p>
        </w:tc>
      </w:tr>
      <w:tr w:rsidR="006C2F97" w:rsidRPr="00280C96" w14:paraId="24961324" w14:textId="77777777" w:rsidTr="00747DE6">
        <w:tc>
          <w:tcPr>
            <w:tcW w:w="0" w:type="auto"/>
            <w:hideMark/>
          </w:tcPr>
          <w:p w14:paraId="53755BC9" w14:textId="77777777" w:rsidR="006C2F97" w:rsidRPr="00280C96" w:rsidRDefault="006C2F97" w:rsidP="00993804">
            <w:pPr>
              <w:spacing w:after="160" w:line="259" w:lineRule="auto"/>
            </w:pPr>
            <w:r w:rsidRPr="00280C96">
              <w:t>Capability (PEF)</w:t>
            </w:r>
          </w:p>
        </w:tc>
        <w:tc>
          <w:tcPr>
            <w:tcW w:w="2316" w:type="dxa"/>
            <w:hideMark/>
          </w:tcPr>
          <w:p w14:paraId="584F13C5" w14:textId="77777777" w:rsidR="006C2F97" w:rsidRPr="00280C96" w:rsidRDefault="006C2F97" w:rsidP="00993804">
            <w:pPr>
              <w:spacing w:after="160" w:line="259" w:lineRule="auto"/>
            </w:pPr>
            <w:r w:rsidRPr="00280C96">
              <w:t>Profit After Tax / Shareholders’ Funds</w:t>
            </w:r>
          </w:p>
        </w:tc>
        <w:tc>
          <w:tcPr>
            <w:tcW w:w="932" w:type="dxa"/>
          </w:tcPr>
          <w:p w14:paraId="3708A180" w14:textId="617CD2FA" w:rsidR="006C2F97" w:rsidRPr="00280C96" w:rsidRDefault="0090599B" w:rsidP="00993804">
            <w:r w:rsidRPr="00280C96">
              <w:t>IV</w:t>
            </w:r>
          </w:p>
        </w:tc>
        <w:tc>
          <w:tcPr>
            <w:tcW w:w="1178" w:type="dxa"/>
            <w:hideMark/>
          </w:tcPr>
          <w:p w14:paraId="6CB66007" w14:textId="5D55F0ED" w:rsidR="006C2F97" w:rsidRPr="00280C96" w:rsidRDefault="0047782D" w:rsidP="00993804">
            <w:pPr>
              <w:spacing w:after="160" w:line="259" w:lineRule="auto"/>
            </w:pPr>
            <w:r w:rsidRPr="00280C96">
              <w:t>+</w:t>
            </w:r>
          </w:p>
        </w:tc>
        <w:tc>
          <w:tcPr>
            <w:tcW w:w="0" w:type="auto"/>
            <w:hideMark/>
          </w:tcPr>
          <w:p w14:paraId="2B8EE93A" w14:textId="77777777" w:rsidR="006C2F97" w:rsidRPr="00280C96" w:rsidRDefault="006C2F97" w:rsidP="00993804">
            <w:pPr>
              <w:spacing w:after="160" w:line="259" w:lineRule="auto"/>
            </w:pPr>
            <w:r w:rsidRPr="00280C96">
              <w:t>Wolfe &amp; Hermanson (2004), Cressey (1953)</w:t>
            </w:r>
          </w:p>
        </w:tc>
      </w:tr>
      <w:tr w:rsidR="006C2F97" w:rsidRPr="00280C96" w14:paraId="278F0FA4" w14:textId="77777777" w:rsidTr="00747DE6">
        <w:tc>
          <w:tcPr>
            <w:tcW w:w="0" w:type="auto"/>
            <w:hideMark/>
          </w:tcPr>
          <w:p w14:paraId="2C6900FB" w14:textId="77777777" w:rsidR="006C2F97" w:rsidRPr="00280C96" w:rsidRDefault="006C2F97" w:rsidP="00FE0B67">
            <w:pPr>
              <w:spacing w:after="160" w:line="259" w:lineRule="auto"/>
            </w:pPr>
            <w:r w:rsidRPr="00280C96">
              <w:t>Bank Size (SIZE)</w:t>
            </w:r>
          </w:p>
        </w:tc>
        <w:tc>
          <w:tcPr>
            <w:tcW w:w="2316" w:type="dxa"/>
            <w:hideMark/>
          </w:tcPr>
          <w:p w14:paraId="535759CD" w14:textId="77777777" w:rsidR="006C2F97" w:rsidRPr="00280C96" w:rsidRDefault="006C2F97" w:rsidP="00FE0B67">
            <w:pPr>
              <w:spacing w:after="160" w:line="259" w:lineRule="auto"/>
            </w:pPr>
            <w:r w:rsidRPr="00280C96">
              <w:t>Log of Total Assets</w:t>
            </w:r>
          </w:p>
        </w:tc>
        <w:tc>
          <w:tcPr>
            <w:tcW w:w="932" w:type="dxa"/>
          </w:tcPr>
          <w:p w14:paraId="1B76E1D8" w14:textId="2519FEF0" w:rsidR="006C2F97" w:rsidRPr="00280C96" w:rsidRDefault="0090599B" w:rsidP="00FE0B67">
            <w:r w:rsidRPr="00280C96">
              <w:t>Control</w:t>
            </w:r>
          </w:p>
        </w:tc>
        <w:tc>
          <w:tcPr>
            <w:tcW w:w="1178" w:type="dxa"/>
            <w:hideMark/>
          </w:tcPr>
          <w:p w14:paraId="591CE54A" w14:textId="7D3D4BB9" w:rsidR="006C2F97" w:rsidRPr="00280C96" w:rsidRDefault="00797233" w:rsidP="00FE0B67">
            <w:pPr>
              <w:spacing w:after="160" w:line="259" w:lineRule="auto"/>
            </w:pPr>
            <w:r w:rsidRPr="00280C96">
              <w:t>-</w:t>
            </w:r>
          </w:p>
        </w:tc>
        <w:tc>
          <w:tcPr>
            <w:tcW w:w="0" w:type="auto"/>
            <w:hideMark/>
          </w:tcPr>
          <w:p w14:paraId="44951D3A" w14:textId="77777777" w:rsidR="006C2F97" w:rsidRPr="00280C96" w:rsidRDefault="006C2F97" w:rsidP="00FE0B67">
            <w:pPr>
              <w:spacing w:after="160" w:line="259" w:lineRule="auto"/>
            </w:pPr>
            <w:r w:rsidRPr="00280C96">
              <w:t>Chen &amp; Elder (2007), Sanusi (2012)</w:t>
            </w:r>
          </w:p>
        </w:tc>
      </w:tr>
      <w:tr w:rsidR="006C2F97" w:rsidRPr="00280C96" w14:paraId="22099A32" w14:textId="77777777" w:rsidTr="00747DE6">
        <w:tc>
          <w:tcPr>
            <w:tcW w:w="0" w:type="auto"/>
            <w:hideMark/>
          </w:tcPr>
          <w:p w14:paraId="3657CAB0" w14:textId="77777777" w:rsidR="006C2F97" w:rsidRPr="00280C96" w:rsidRDefault="006C2F97" w:rsidP="00FE0B67">
            <w:pPr>
              <w:spacing w:after="160" w:line="259" w:lineRule="auto"/>
            </w:pPr>
            <w:r w:rsidRPr="00280C96">
              <w:t>Return on Assets (ROA)</w:t>
            </w:r>
          </w:p>
        </w:tc>
        <w:tc>
          <w:tcPr>
            <w:tcW w:w="2316" w:type="dxa"/>
            <w:hideMark/>
          </w:tcPr>
          <w:p w14:paraId="6107A00C" w14:textId="77777777" w:rsidR="006C2F97" w:rsidRPr="00280C96" w:rsidRDefault="006C2F97" w:rsidP="00FE0B67">
            <w:pPr>
              <w:spacing w:after="160" w:line="259" w:lineRule="auto"/>
            </w:pPr>
            <w:r w:rsidRPr="00280C96">
              <w:t>Net Income / Total Assets</w:t>
            </w:r>
          </w:p>
        </w:tc>
        <w:tc>
          <w:tcPr>
            <w:tcW w:w="932" w:type="dxa"/>
          </w:tcPr>
          <w:p w14:paraId="1A6AA688" w14:textId="6C9DEDC7" w:rsidR="006C2F97" w:rsidRPr="00280C96" w:rsidRDefault="0090599B" w:rsidP="00FE0B67">
            <w:r w:rsidRPr="00280C96">
              <w:t>Control</w:t>
            </w:r>
          </w:p>
        </w:tc>
        <w:tc>
          <w:tcPr>
            <w:tcW w:w="1178" w:type="dxa"/>
            <w:hideMark/>
          </w:tcPr>
          <w:p w14:paraId="7C93CB97" w14:textId="0DF3D072" w:rsidR="006C2F97" w:rsidRPr="00280C96" w:rsidRDefault="00797233" w:rsidP="00FE0B67">
            <w:pPr>
              <w:spacing w:after="160" w:line="259" w:lineRule="auto"/>
            </w:pPr>
            <w:r w:rsidRPr="00280C96">
              <w:t>-</w:t>
            </w:r>
          </w:p>
        </w:tc>
        <w:tc>
          <w:tcPr>
            <w:tcW w:w="0" w:type="auto"/>
            <w:hideMark/>
          </w:tcPr>
          <w:p w14:paraId="4CF65AE3" w14:textId="77777777" w:rsidR="006C2F97" w:rsidRPr="00280C96" w:rsidRDefault="006C2F97" w:rsidP="00FE0B67">
            <w:pPr>
              <w:spacing w:after="160" w:line="259" w:lineRule="auto"/>
            </w:pPr>
            <w:proofErr w:type="spellStart"/>
            <w:r w:rsidRPr="00280C96">
              <w:t>Indarto</w:t>
            </w:r>
            <w:proofErr w:type="spellEnd"/>
            <w:r w:rsidRPr="00280C96">
              <w:t xml:space="preserve"> &amp; </w:t>
            </w:r>
            <w:proofErr w:type="spellStart"/>
            <w:r w:rsidRPr="00280C96">
              <w:t>Ghozali</w:t>
            </w:r>
            <w:proofErr w:type="spellEnd"/>
            <w:r w:rsidRPr="00280C96">
              <w:t xml:space="preserve"> (2016), </w:t>
            </w:r>
            <w:proofErr w:type="spellStart"/>
            <w:r w:rsidRPr="00280C96">
              <w:t>Diansari</w:t>
            </w:r>
            <w:proofErr w:type="spellEnd"/>
            <w:r w:rsidRPr="00280C96">
              <w:t xml:space="preserve"> &amp; Wijaya (2022)</w:t>
            </w:r>
          </w:p>
        </w:tc>
      </w:tr>
      <w:tr w:rsidR="006C2F97" w:rsidRPr="00280C96" w14:paraId="1DEE54DE" w14:textId="77777777" w:rsidTr="00747DE6">
        <w:tc>
          <w:tcPr>
            <w:tcW w:w="0" w:type="auto"/>
            <w:tcBorders>
              <w:bottom w:val="single" w:sz="4" w:space="0" w:color="BFBFBF" w:themeColor="background1" w:themeShade="BF"/>
            </w:tcBorders>
            <w:hideMark/>
          </w:tcPr>
          <w:p w14:paraId="656D40EF" w14:textId="77777777" w:rsidR="006C2F97" w:rsidRPr="00280C96" w:rsidRDefault="006C2F97" w:rsidP="00FE0B67">
            <w:pPr>
              <w:spacing w:after="160" w:line="259" w:lineRule="auto"/>
            </w:pPr>
            <w:r w:rsidRPr="00280C96">
              <w:t>Inflation Rate (INF)</w:t>
            </w:r>
          </w:p>
        </w:tc>
        <w:tc>
          <w:tcPr>
            <w:tcW w:w="2316" w:type="dxa"/>
            <w:tcBorders>
              <w:bottom w:val="single" w:sz="4" w:space="0" w:color="BFBFBF" w:themeColor="background1" w:themeShade="BF"/>
            </w:tcBorders>
            <w:hideMark/>
          </w:tcPr>
          <w:p w14:paraId="2B6109AF" w14:textId="77777777" w:rsidR="006C2F97" w:rsidRPr="00280C96" w:rsidRDefault="006C2F97" w:rsidP="00FE0B67">
            <w:pPr>
              <w:spacing w:after="160" w:line="259" w:lineRule="auto"/>
            </w:pPr>
            <w:r w:rsidRPr="00280C96">
              <w:t>Annual change in Consumer Price Index (CPI)</w:t>
            </w:r>
          </w:p>
        </w:tc>
        <w:tc>
          <w:tcPr>
            <w:tcW w:w="932" w:type="dxa"/>
            <w:tcBorders>
              <w:bottom w:val="single" w:sz="4" w:space="0" w:color="BFBFBF" w:themeColor="background1" w:themeShade="BF"/>
            </w:tcBorders>
          </w:tcPr>
          <w:p w14:paraId="4FD7822E" w14:textId="0DB22E24" w:rsidR="006C2F97" w:rsidRPr="00280C96" w:rsidRDefault="0090599B" w:rsidP="00FE0B67">
            <w:r w:rsidRPr="00280C96">
              <w:t>Control</w:t>
            </w:r>
          </w:p>
        </w:tc>
        <w:tc>
          <w:tcPr>
            <w:tcW w:w="1178" w:type="dxa"/>
            <w:tcBorders>
              <w:bottom w:val="single" w:sz="4" w:space="0" w:color="BFBFBF" w:themeColor="background1" w:themeShade="BF"/>
            </w:tcBorders>
            <w:hideMark/>
          </w:tcPr>
          <w:p w14:paraId="44BD57E4" w14:textId="7BE83397" w:rsidR="006C2F97" w:rsidRPr="00280C96" w:rsidRDefault="00320081" w:rsidP="00FE0B67">
            <w:pPr>
              <w:spacing w:after="160" w:line="259" w:lineRule="auto"/>
            </w:pPr>
            <w:r w:rsidRPr="00280C96">
              <w:t>+</w:t>
            </w:r>
          </w:p>
        </w:tc>
        <w:tc>
          <w:tcPr>
            <w:tcW w:w="0" w:type="auto"/>
            <w:tcBorders>
              <w:bottom w:val="single" w:sz="4" w:space="0" w:color="BFBFBF" w:themeColor="background1" w:themeShade="BF"/>
            </w:tcBorders>
            <w:hideMark/>
          </w:tcPr>
          <w:p w14:paraId="2EE18D16" w14:textId="77777777" w:rsidR="006C2F97" w:rsidRPr="00280C96" w:rsidRDefault="006C2F97" w:rsidP="00FE0B67">
            <w:pPr>
              <w:spacing w:after="160" w:line="259" w:lineRule="auto"/>
            </w:pPr>
            <w:r w:rsidRPr="00280C96">
              <w:t xml:space="preserve">Kassem &amp; Higson (2016), </w:t>
            </w:r>
            <w:proofErr w:type="spellStart"/>
            <w:r w:rsidRPr="00280C96">
              <w:t>Okolie</w:t>
            </w:r>
            <w:proofErr w:type="spellEnd"/>
            <w:r w:rsidRPr="00280C96">
              <w:t xml:space="preserve"> (2020)</w:t>
            </w:r>
          </w:p>
        </w:tc>
      </w:tr>
      <w:tr w:rsidR="006C2F97" w:rsidRPr="00280C96" w14:paraId="0D564983" w14:textId="77777777" w:rsidTr="00747DE6">
        <w:tc>
          <w:tcPr>
            <w:tcW w:w="0" w:type="auto"/>
            <w:tcBorders>
              <w:bottom w:val="single" w:sz="4" w:space="0" w:color="auto"/>
            </w:tcBorders>
            <w:hideMark/>
          </w:tcPr>
          <w:p w14:paraId="5B3A9440" w14:textId="77777777" w:rsidR="006C2F97" w:rsidRPr="00280C96" w:rsidRDefault="006C2F97" w:rsidP="00FE0B67">
            <w:pPr>
              <w:spacing w:after="160" w:line="259" w:lineRule="auto"/>
            </w:pPr>
            <w:r w:rsidRPr="00280C96">
              <w:t>Exchange Rate (EXR)</w:t>
            </w:r>
          </w:p>
        </w:tc>
        <w:tc>
          <w:tcPr>
            <w:tcW w:w="2316" w:type="dxa"/>
            <w:tcBorders>
              <w:bottom w:val="single" w:sz="4" w:space="0" w:color="auto"/>
            </w:tcBorders>
            <w:hideMark/>
          </w:tcPr>
          <w:p w14:paraId="71563FA7" w14:textId="77777777" w:rsidR="006C2F97" w:rsidRPr="00280C96" w:rsidRDefault="006C2F97" w:rsidP="00FE0B67">
            <w:pPr>
              <w:spacing w:after="160" w:line="259" w:lineRule="auto"/>
            </w:pPr>
            <w:r w:rsidRPr="00280C96">
              <w:t>Year-end Naira/USD exchange rate</w:t>
            </w:r>
          </w:p>
        </w:tc>
        <w:tc>
          <w:tcPr>
            <w:tcW w:w="932" w:type="dxa"/>
            <w:tcBorders>
              <w:bottom w:val="single" w:sz="4" w:space="0" w:color="auto"/>
            </w:tcBorders>
          </w:tcPr>
          <w:p w14:paraId="733123A4" w14:textId="3C9B42C2" w:rsidR="006C2F97" w:rsidRPr="00280C96" w:rsidRDefault="0090599B" w:rsidP="00FE0B67">
            <w:r w:rsidRPr="00280C96">
              <w:t>Control</w:t>
            </w:r>
          </w:p>
        </w:tc>
        <w:tc>
          <w:tcPr>
            <w:tcW w:w="1178" w:type="dxa"/>
            <w:tcBorders>
              <w:bottom w:val="single" w:sz="4" w:space="0" w:color="auto"/>
            </w:tcBorders>
            <w:hideMark/>
          </w:tcPr>
          <w:p w14:paraId="14D4D2CC" w14:textId="0AD1A0BE" w:rsidR="006C2F97" w:rsidRPr="00280C96" w:rsidRDefault="00320081" w:rsidP="00FE0B67">
            <w:pPr>
              <w:spacing w:after="160" w:line="259" w:lineRule="auto"/>
            </w:pPr>
            <w:r w:rsidRPr="00280C96">
              <w:t>+/-</w:t>
            </w:r>
          </w:p>
        </w:tc>
        <w:tc>
          <w:tcPr>
            <w:tcW w:w="0" w:type="auto"/>
            <w:tcBorders>
              <w:bottom w:val="single" w:sz="4" w:space="0" w:color="auto"/>
            </w:tcBorders>
            <w:hideMark/>
          </w:tcPr>
          <w:p w14:paraId="43A78997" w14:textId="77777777" w:rsidR="006C2F97" w:rsidRPr="00280C96" w:rsidRDefault="006C2F97" w:rsidP="00FE0B67">
            <w:pPr>
              <w:spacing w:after="160" w:line="259" w:lineRule="auto"/>
            </w:pPr>
            <w:proofErr w:type="spellStart"/>
            <w:r w:rsidRPr="00280C96">
              <w:t>Oduh</w:t>
            </w:r>
            <w:proofErr w:type="spellEnd"/>
            <w:r w:rsidRPr="00280C96">
              <w:t xml:space="preserve"> &amp; </w:t>
            </w:r>
            <w:proofErr w:type="spellStart"/>
            <w:r w:rsidRPr="00280C96">
              <w:t>Enebeli</w:t>
            </w:r>
            <w:proofErr w:type="spellEnd"/>
            <w:r w:rsidRPr="00280C96">
              <w:t xml:space="preserve"> (2016), </w:t>
            </w:r>
            <w:proofErr w:type="spellStart"/>
            <w:r w:rsidRPr="00280C96">
              <w:t>Ofoegbu</w:t>
            </w:r>
            <w:proofErr w:type="spellEnd"/>
            <w:r w:rsidRPr="00280C96">
              <w:t xml:space="preserve"> &amp; </w:t>
            </w:r>
            <w:proofErr w:type="spellStart"/>
            <w:r w:rsidRPr="00280C96">
              <w:t>Megbuluba</w:t>
            </w:r>
            <w:proofErr w:type="spellEnd"/>
            <w:r w:rsidRPr="00280C96">
              <w:t xml:space="preserve"> (2022)</w:t>
            </w:r>
          </w:p>
        </w:tc>
      </w:tr>
    </w:tbl>
    <w:p w14:paraId="5838FBDB" w14:textId="77777777" w:rsidR="008D5B4C" w:rsidRPr="00280C96" w:rsidRDefault="008D5B4C" w:rsidP="008D5B4C"/>
    <w:p w14:paraId="0D92DED5" w14:textId="6680C0DA" w:rsidR="00EC1CF6" w:rsidRPr="00280C96" w:rsidRDefault="00EC1CF6" w:rsidP="001521DF">
      <w:pPr>
        <w:pStyle w:val="Heading2"/>
        <w:rPr>
          <w:rFonts w:asciiTheme="majorBidi" w:hAnsiTheme="majorBidi"/>
          <w:b/>
          <w:bCs/>
          <w:color w:val="auto"/>
          <w:sz w:val="24"/>
          <w:szCs w:val="24"/>
        </w:rPr>
      </w:pPr>
      <w:r w:rsidRPr="00280C96">
        <w:rPr>
          <w:rFonts w:asciiTheme="majorBidi" w:hAnsiTheme="majorBidi"/>
          <w:b/>
          <w:bCs/>
          <w:color w:val="auto"/>
          <w:sz w:val="24"/>
          <w:szCs w:val="24"/>
        </w:rPr>
        <w:t>3.</w:t>
      </w:r>
      <w:r w:rsidR="001521DF" w:rsidRPr="00280C96">
        <w:rPr>
          <w:rFonts w:asciiTheme="majorBidi" w:hAnsiTheme="majorBidi"/>
          <w:b/>
          <w:bCs/>
          <w:color w:val="auto"/>
          <w:sz w:val="24"/>
          <w:szCs w:val="24"/>
        </w:rPr>
        <w:t>5</w:t>
      </w:r>
      <w:r w:rsidRPr="00280C96">
        <w:rPr>
          <w:rFonts w:asciiTheme="majorBidi" w:hAnsiTheme="majorBidi"/>
          <w:b/>
          <w:bCs/>
          <w:color w:val="auto"/>
          <w:sz w:val="24"/>
          <w:szCs w:val="24"/>
        </w:rPr>
        <w:t xml:space="preserve"> Data Analysis Techniques</w:t>
      </w:r>
    </w:p>
    <w:p w14:paraId="3B18A882" w14:textId="4CB10FC3" w:rsidR="00E679A8" w:rsidRPr="00280C96" w:rsidRDefault="00E679A8" w:rsidP="00EF65E2">
      <w:pPr>
        <w:spacing w:line="360" w:lineRule="auto"/>
        <w:jc w:val="both"/>
        <w:rPr>
          <w:rFonts w:ascii="Times New Roman" w:eastAsia="Times New Roman" w:hAnsi="Times New Roman" w:cs="Times New Roman"/>
          <w:kern w:val="0"/>
          <w:sz w:val="24"/>
          <w:szCs w:val="24"/>
          <w:lang w:eastAsia="en-GB"/>
          <w14:ligatures w14:val="none"/>
        </w:rPr>
      </w:pPr>
      <w:r w:rsidRPr="00280C96">
        <w:rPr>
          <w:rFonts w:ascii="Times New Roman" w:eastAsia="Times New Roman" w:hAnsi="Times New Roman" w:cs="Times New Roman"/>
          <w:kern w:val="0"/>
          <w:sz w:val="24"/>
          <w:szCs w:val="24"/>
          <w:lang w:eastAsia="en-GB"/>
          <w14:ligatures w14:val="none"/>
        </w:rPr>
        <w:t xml:space="preserve">This study employed both descriptive and inferential statistical techniques for data analysis. Descriptive statistics—including mean, standard deviation, minimum, and maximum—were computed to </w:t>
      </w:r>
      <w:proofErr w:type="spellStart"/>
      <w:r w:rsidRPr="00280C96">
        <w:rPr>
          <w:rFonts w:ascii="Times New Roman" w:eastAsia="Times New Roman" w:hAnsi="Times New Roman" w:cs="Times New Roman"/>
          <w:kern w:val="0"/>
          <w:sz w:val="24"/>
          <w:szCs w:val="24"/>
          <w:lang w:eastAsia="en-GB"/>
          <w14:ligatures w14:val="none"/>
        </w:rPr>
        <w:t>summarise</w:t>
      </w:r>
      <w:proofErr w:type="spellEnd"/>
      <w:r w:rsidRPr="00280C96">
        <w:rPr>
          <w:rFonts w:ascii="Times New Roman" w:eastAsia="Times New Roman" w:hAnsi="Times New Roman" w:cs="Times New Roman"/>
          <w:kern w:val="0"/>
          <w:sz w:val="24"/>
          <w:szCs w:val="24"/>
          <w:lang w:eastAsia="en-GB"/>
          <w14:ligatures w14:val="none"/>
        </w:rPr>
        <w:t xml:space="preserve"> the central tendencies and dispersion of the dataset. Pearson’s correlation analysis was conducted to assess the strength and direction of linear relationships among the variables.</w:t>
      </w:r>
      <w:r w:rsidR="00EF65E2" w:rsidRPr="00280C96">
        <w:rPr>
          <w:rFonts w:ascii="Times New Roman" w:eastAsia="Times New Roman" w:hAnsi="Times New Roman" w:cs="Times New Roman"/>
          <w:kern w:val="0"/>
          <w:sz w:val="24"/>
          <w:szCs w:val="24"/>
          <w:lang w:eastAsia="en-GB"/>
          <w14:ligatures w14:val="none"/>
        </w:rPr>
        <w:t xml:space="preserve"> </w:t>
      </w:r>
      <w:r w:rsidRPr="00280C96">
        <w:rPr>
          <w:rFonts w:ascii="Times New Roman" w:eastAsia="Times New Roman" w:hAnsi="Times New Roman" w:cs="Times New Roman"/>
          <w:kern w:val="0"/>
          <w:sz w:val="24"/>
          <w:szCs w:val="24"/>
          <w:lang w:eastAsia="en-GB"/>
          <w14:ligatures w14:val="none"/>
        </w:rPr>
        <w:t>For hypothesis testing, logistic regression analysis was employed to estimate the probability of fraudulent financial reporting based on predictors derived from the Fraud Diamond Theory and relevant control variables.</w:t>
      </w:r>
    </w:p>
    <w:p w14:paraId="7D106913" w14:textId="36A7EFDF" w:rsidR="001521DF" w:rsidRPr="00280C96" w:rsidRDefault="00E679A8" w:rsidP="009C5FEE">
      <w:pPr>
        <w:spacing w:line="360" w:lineRule="auto"/>
        <w:jc w:val="both"/>
        <w:rPr>
          <w:rFonts w:ascii="Times New Roman" w:eastAsia="Times New Roman" w:hAnsi="Times New Roman" w:cs="Times New Roman"/>
          <w:kern w:val="0"/>
          <w:sz w:val="24"/>
          <w:szCs w:val="24"/>
          <w:lang w:eastAsia="en-GB"/>
          <w14:ligatures w14:val="none"/>
        </w:rPr>
      </w:pPr>
      <w:r w:rsidRPr="00280C96">
        <w:rPr>
          <w:rFonts w:ascii="Times New Roman" w:eastAsia="Times New Roman" w:hAnsi="Times New Roman" w:cs="Times New Roman"/>
          <w:kern w:val="0"/>
          <w:sz w:val="24"/>
          <w:szCs w:val="24"/>
          <w:lang w:eastAsia="en-GB"/>
          <w14:ligatures w14:val="none"/>
        </w:rPr>
        <w:lastRenderedPageBreak/>
        <w:t xml:space="preserve">To ensure the reliability and robustness of the model estimates, both preliminary and post-estimation diagnostic tests were conducted. Preliminary diagnostics included the use of the Variance Inflation Factor (VIF) to detect multicollinearity and the Breusch–Pagan test to assess heteroskedasticity. Post-estimation diagnostics comprised the </w:t>
      </w:r>
      <w:proofErr w:type="spellStart"/>
      <w:r w:rsidRPr="00280C96">
        <w:rPr>
          <w:rFonts w:ascii="Times New Roman" w:eastAsia="Times New Roman" w:hAnsi="Times New Roman" w:cs="Times New Roman"/>
          <w:kern w:val="0"/>
          <w:sz w:val="24"/>
          <w:szCs w:val="24"/>
          <w:lang w:eastAsia="en-GB"/>
          <w14:ligatures w14:val="none"/>
        </w:rPr>
        <w:t>linktest</w:t>
      </w:r>
      <w:proofErr w:type="spellEnd"/>
      <w:r w:rsidRPr="00280C96">
        <w:rPr>
          <w:rFonts w:ascii="Times New Roman" w:eastAsia="Times New Roman" w:hAnsi="Times New Roman" w:cs="Times New Roman"/>
          <w:kern w:val="0"/>
          <w:sz w:val="24"/>
          <w:szCs w:val="24"/>
          <w:lang w:eastAsia="en-GB"/>
          <w14:ligatures w14:val="none"/>
        </w:rPr>
        <w:t xml:space="preserve"> to verify model specification, the Hosmer–</w:t>
      </w:r>
      <w:proofErr w:type="spellStart"/>
      <w:r w:rsidRPr="00280C96">
        <w:rPr>
          <w:rFonts w:ascii="Times New Roman" w:eastAsia="Times New Roman" w:hAnsi="Times New Roman" w:cs="Times New Roman"/>
          <w:kern w:val="0"/>
          <w:sz w:val="24"/>
          <w:szCs w:val="24"/>
          <w:lang w:eastAsia="en-GB"/>
          <w14:ligatures w14:val="none"/>
        </w:rPr>
        <w:t>Lemeshow</w:t>
      </w:r>
      <w:proofErr w:type="spellEnd"/>
      <w:r w:rsidRPr="00280C96">
        <w:rPr>
          <w:rFonts w:ascii="Times New Roman" w:eastAsia="Times New Roman" w:hAnsi="Times New Roman" w:cs="Times New Roman"/>
          <w:kern w:val="0"/>
          <w:sz w:val="24"/>
          <w:szCs w:val="24"/>
          <w:lang w:eastAsia="en-GB"/>
          <w14:ligatures w14:val="none"/>
        </w:rPr>
        <w:t xml:space="preserve"> test to evaluate model calibration, and the confusion matrix to assess classification accuracy</w:t>
      </w:r>
      <w:r w:rsidR="003B54E6" w:rsidRPr="00280C96">
        <w:rPr>
          <w:rFonts w:asciiTheme="majorBidi" w:hAnsiTheme="majorBidi" w:cstheme="majorBidi"/>
          <w:sz w:val="24"/>
          <w:szCs w:val="24"/>
        </w:rPr>
        <w:t>.</w:t>
      </w:r>
    </w:p>
    <w:p w14:paraId="38F0EC8E" w14:textId="27686E57" w:rsidR="00EC1CF6" w:rsidRPr="00280C96" w:rsidRDefault="0064440E" w:rsidP="00127B62">
      <w:pPr>
        <w:pStyle w:val="Heading1"/>
        <w:rPr>
          <w:rFonts w:asciiTheme="majorBidi" w:hAnsiTheme="majorBidi"/>
          <w:b/>
          <w:color w:val="auto"/>
          <w:sz w:val="24"/>
          <w:szCs w:val="24"/>
        </w:rPr>
      </w:pPr>
      <w:r w:rsidRPr="00280C96">
        <w:rPr>
          <w:rFonts w:asciiTheme="majorBidi" w:hAnsiTheme="majorBidi"/>
          <w:b/>
          <w:bCs/>
          <w:color w:val="auto"/>
          <w:sz w:val="24"/>
          <w:szCs w:val="24"/>
        </w:rPr>
        <w:t>4. Results and Discussion</w:t>
      </w:r>
      <w:r w:rsidR="00EC1CF6" w:rsidRPr="00280C96">
        <w:rPr>
          <w:rFonts w:asciiTheme="majorBidi" w:hAnsiTheme="majorBidi"/>
          <w:vanish/>
          <w:sz w:val="24"/>
          <w:szCs w:val="24"/>
        </w:rPr>
        <w:t>Top of Form</w:t>
      </w:r>
    </w:p>
    <w:p w14:paraId="355980FA" w14:textId="77777777" w:rsidR="009D0521" w:rsidRPr="00280C96" w:rsidRDefault="009D0521" w:rsidP="006C7B50">
      <w:pPr>
        <w:pStyle w:val="Heading2"/>
        <w:rPr>
          <w:rFonts w:asciiTheme="majorBidi" w:hAnsiTheme="majorBidi"/>
          <w:b/>
          <w:bCs/>
          <w:color w:val="auto"/>
          <w:sz w:val="24"/>
          <w:szCs w:val="24"/>
        </w:rPr>
      </w:pPr>
      <w:r w:rsidRPr="00280C96">
        <w:rPr>
          <w:rFonts w:asciiTheme="majorBidi" w:hAnsiTheme="majorBidi"/>
          <w:b/>
          <w:bCs/>
          <w:color w:val="auto"/>
          <w:sz w:val="24"/>
          <w:szCs w:val="24"/>
        </w:rPr>
        <w:t>4.1 Descriptive Statistics</w:t>
      </w:r>
    </w:p>
    <w:p w14:paraId="44C89609" w14:textId="2CFF7C17" w:rsidR="008B0D34" w:rsidRPr="00280C96" w:rsidRDefault="007431AA" w:rsidP="007431AA">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Table 2 presents the summary statistics for the dependent and independent variables used in this study, covering 132 to 144 firm-year observations. The dependent variable, Fraudulent Financial Reporting (FFR), is a binary indicator derived from the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 where values of 1 indicate firms classified as manipulators. The mean of 0.371</w:t>
      </w:r>
      <w:r w:rsidR="002110CB" w:rsidRPr="00280C96">
        <w:rPr>
          <w:rFonts w:asciiTheme="majorBidi" w:hAnsiTheme="majorBidi" w:cstheme="majorBidi"/>
          <w:sz w:val="24"/>
          <w:szCs w:val="24"/>
        </w:rPr>
        <w:t>2</w:t>
      </w:r>
      <w:r w:rsidRPr="00280C96">
        <w:rPr>
          <w:rFonts w:asciiTheme="majorBidi" w:hAnsiTheme="majorBidi" w:cstheme="majorBidi"/>
          <w:sz w:val="24"/>
          <w:szCs w:val="24"/>
        </w:rPr>
        <w:t xml:space="preserve"> implies that approximately 37% of the sampled bank-year observations were flagged for possible fraudulent reporting, underscoring the materiality of financial misreporting within the Nigerian banking sector</w:t>
      </w:r>
      <w:r w:rsidR="00DF2D18" w:rsidRPr="00280C96">
        <w:rPr>
          <w:rFonts w:asciiTheme="majorBidi" w:hAnsiTheme="majorBidi" w:cstheme="majorBidi"/>
          <w:sz w:val="24"/>
          <w:szCs w:val="24"/>
        </w:rPr>
        <w:t xml:space="preserve">. </w:t>
      </w:r>
    </w:p>
    <w:p w14:paraId="0FC4B14B" w14:textId="087B83D9" w:rsidR="008B0D34" w:rsidRPr="00280C96" w:rsidRDefault="00620669" w:rsidP="00620669">
      <w:pPr>
        <w:spacing w:line="24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Table 2: Descriptive Statistics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76"/>
        <w:gridCol w:w="1116"/>
        <w:gridCol w:w="1129"/>
        <w:gridCol w:w="1116"/>
        <w:gridCol w:w="1116"/>
      </w:tblGrid>
      <w:tr w:rsidR="006E2C55" w:rsidRPr="00280C96" w14:paraId="7DD3BA8A" w14:textId="77777777" w:rsidTr="006E2C55">
        <w:tc>
          <w:tcPr>
            <w:tcW w:w="0" w:type="auto"/>
            <w:tcBorders>
              <w:top w:val="single" w:sz="4" w:space="0" w:color="auto"/>
              <w:bottom w:val="single" w:sz="4" w:space="0" w:color="auto"/>
            </w:tcBorders>
            <w:hideMark/>
          </w:tcPr>
          <w:p w14:paraId="0BC67FC4"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59203AEC"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N</w:t>
            </w:r>
          </w:p>
        </w:tc>
        <w:tc>
          <w:tcPr>
            <w:tcW w:w="0" w:type="auto"/>
            <w:tcBorders>
              <w:top w:val="single" w:sz="4" w:space="0" w:color="auto"/>
              <w:bottom w:val="single" w:sz="4" w:space="0" w:color="auto"/>
            </w:tcBorders>
            <w:hideMark/>
          </w:tcPr>
          <w:p w14:paraId="44815CD4"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Mean</w:t>
            </w:r>
          </w:p>
        </w:tc>
        <w:tc>
          <w:tcPr>
            <w:tcW w:w="0" w:type="auto"/>
            <w:tcBorders>
              <w:top w:val="single" w:sz="4" w:space="0" w:color="auto"/>
              <w:bottom w:val="single" w:sz="4" w:space="0" w:color="auto"/>
            </w:tcBorders>
            <w:hideMark/>
          </w:tcPr>
          <w:p w14:paraId="31D31CD7"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Std. Dev.</w:t>
            </w:r>
          </w:p>
        </w:tc>
        <w:tc>
          <w:tcPr>
            <w:tcW w:w="0" w:type="auto"/>
            <w:tcBorders>
              <w:top w:val="single" w:sz="4" w:space="0" w:color="auto"/>
              <w:bottom w:val="single" w:sz="4" w:space="0" w:color="auto"/>
            </w:tcBorders>
            <w:hideMark/>
          </w:tcPr>
          <w:p w14:paraId="0B062632"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Min</w:t>
            </w:r>
          </w:p>
        </w:tc>
        <w:tc>
          <w:tcPr>
            <w:tcW w:w="0" w:type="auto"/>
            <w:tcBorders>
              <w:top w:val="single" w:sz="4" w:space="0" w:color="auto"/>
              <w:bottom w:val="single" w:sz="4" w:space="0" w:color="auto"/>
            </w:tcBorders>
            <w:hideMark/>
          </w:tcPr>
          <w:p w14:paraId="05F40796"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Max</w:t>
            </w:r>
          </w:p>
        </w:tc>
      </w:tr>
      <w:tr w:rsidR="006E2C55" w:rsidRPr="00280C96" w14:paraId="2712541E" w14:textId="77777777" w:rsidTr="006E2C55">
        <w:tc>
          <w:tcPr>
            <w:tcW w:w="0" w:type="auto"/>
            <w:tcBorders>
              <w:top w:val="single" w:sz="4" w:space="0" w:color="auto"/>
            </w:tcBorders>
            <w:hideMark/>
          </w:tcPr>
          <w:p w14:paraId="3EA8310D"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FFR (Fraudulent Financial Reporting)</w:t>
            </w:r>
          </w:p>
        </w:tc>
        <w:tc>
          <w:tcPr>
            <w:tcW w:w="0" w:type="auto"/>
            <w:tcBorders>
              <w:top w:val="single" w:sz="4" w:space="0" w:color="auto"/>
            </w:tcBorders>
            <w:hideMark/>
          </w:tcPr>
          <w:p w14:paraId="556E8F5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132</w:t>
            </w:r>
          </w:p>
        </w:tc>
        <w:tc>
          <w:tcPr>
            <w:tcW w:w="0" w:type="auto"/>
            <w:tcBorders>
              <w:top w:val="single" w:sz="4" w:space="0" w:color="auto"/>
            </w:tcBorders>
            <w:hideMark/>
          </w:tcPr>
          <w:p w14:paraId="0D7F0C93" w14:textId="6023A65B"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0.371</w:t>
            </w:r>
            <w:r w:rsidR="003C67F9" w:rsidRPr="00280C96">
              <w:rPr>
                <w:rFonts w:asciiTheme="majorBidi" w:hAnsiTheme="majorBidi" w:cstheme="majorBidi"/>
                <w:sz w:val="24"/>
                <w:szCs w:val="24"/>
              </w:rPr>
              <w:t>2</w:t>
            </w:r>
          </w:p>
        </w:tc>
        <w:tc>
          <w:tcPr>
            <w:tcW w:w="0" w:type="auto"/>
            <w:tcBorders>
              <w:top w:val="single" w:sz="4" w:space="0" w:color="auto"/>
            </w:tcBorders>
            <w:hideMark/>
          </w:tcPr>
          <w:p w14:paraId="5E122DCE"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0.4850</w:t>
            </w:r>
          </w:p>
        </w:tc>
        <w:tc>
          <w:tcPr>
            <w:tcW w:w="0" w:type="auto"/>
            <w:tcBorders>
              <w:top w:val="single" w:sz="4" w:space="0" w:color="auto"/>
            </w:tcBorders>
            <w:hideMark/>
          </w:tcPr>
          <w:p w14:paraId="7A741FD5" w14:textId="399DA2C6" w:rsidR="006E2C55" w:rsidRPr="00280C96" w:rsidRDefault="006E2C55" w:rsidP="00911E02">
            <w:pPr>
              <w:spacing w:after="160" w:line="360" w:lineRule="auto"/>
              <w:jc w:val="center"/>
              <w:rPr>
                <w:rFonts w:asciiTheme="majorBidi" w:hAnsiTheme="majorBidi" w:cstheme="majorBidi"/>
                <w:sz w:val="24"/>
                <w:szCs w:val="24"/>
              </w:rPr>
            </w:pPr>
            <w:r w:rsidRPr="00280C96">
              <w:rPr>
                <w:rFonts w:asciiTheme="majorBidi" w:hAnsiTheme="majorBidi" w:cstheme="majorBidi"/>
                <w:sz w:val="24"/>
                <w:szCs w:val="24"/>
              </w:rPr>
              <w:t>0</w:t>
            </w:r>
          </w:p>
        </w:tc>
        <w:tc>
          <w:tcPr>
            <w:tcW w:w="0" w:type="auto"/>
            <w:tcBorders>
              <w:top w:val="single" w:sz="4" w:space="0" w:color="auto"/>
            </w:tcBorders>
            <w:hideMark/>
          </w:tcPr>
          <w:p w14:paraId="53F63313" w14:textId="095DCAB7" w:rsidR="006E2C55" w:rsidRPr="00280C96" w:rsidRDefault="006E2C55" w:rsidP="00911E02">
            <w:pPr>
              <w:spacing w:after="160" w:line="360" w:lineRule="auto"/>
              <w:jc w:val="center"/>
              <w:rPr>
                <w:rFonts w:asciiTheme="majorBidi" w:hAnsiTheme="majorBidi" w:cstheme="majorBidi"/>
                <w:sz w:val="24"/>
                <w:szCs w:val="24"/>
              </w:rPr>
            </w:pPr>
            <w:r w:rsidRPr="00280C96">
              <w:rPr>
                <w:rFonts w:asciiTheme="majorBidi" w:hAnsiTheme="majorBidi" w:cstheme="majorBidi"/>
                <w:sz w:val="24"/>
                <w:szCs w:val="24"/>
              </w:rPr>
              <w:t>1</w:t>
            </w:r>
          </w:p>
        </w:tc>
      </w:tr>
      <w:tr w:rsidR="006E2C55" w:rsidRPr="00280C96" w14:paraId="30CE5100" w14:textId="77777777" w:rsidTr="006E2C55">
        <w:tc>
          <w:tcPr>
            <w:tcW w:w="0" w:type="auto"/>
            <w:hideMark/>
          </w:tcPr>
          <w:p w14:paraId="0531D22D"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CFT (Cash Flow Trend)</w:t>
            </w:r>
          </w:p>
        </w:tc>
        <w:tc>
          <w:tcPr>
            <w:tcW w:w="0" w:type="auto"/>
            <w:hideMark/>
          </w:tcPr>
          <w:p w14:paraId="6358C291"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5F2D13AF" w14:textId="7410B1B4" w:rsidR="006E2C55" w:rsidRPr="00280C96" w:rsidRDefault="00B15384"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6E2C55" w:rsidRPr="00280C96">
              <w:rPr>
                <w:rFonts w:asciiTheme="majorBidi" w:hAnsiTheme="majorBidi" w:cstheme="majorBidi"/>
                <w:sz w:val="24"/>
                <w:szCs w:val="24"/>
              </w:rPr>
              <w:t>796</w:t>
            </w:r>
            <w:r w:rsidR="00F9602F" w:rsidRPr="00280C96">
              <w:rPr>
                <w:rFonts w:asciiTheme="majorBidi" w:hAnsiTheme="majorBidi" w:cstheme="majorBidi"/>
                <w:sz w:val="24"/>
                <w:szCs w:val="24"/>
              </w:rPr>
              <w:t>3</w:t>
            </w:r>
          </w:p>
        </w:tc>
        <w:tc>
          <w:tcPr>
            <w:tcW w:w="0" w:type="auto"/>
            <w:hideMark/>
          </w:tcPr>
          <w:p w14:paraId="5F5906B3" w14:textId="46DF0006"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w:t>
            </w:r>
            <w:r w:rsidR="00F9602F" w:rsidRPr="00280C96">
              <w:rPr>
                <w:rFonts w:asciiTheme="majorBidi" w:hAnsiTheme="majorBidi" w:cstheme="majorBidi"/>
                <w:sz w:val="24"/>
                <w:szCs w:val="24"/>
              </w:rPr>
              <w:t>.</w:t>
            </w:r>
            <w:r w:rsidRPr="00280C96">
              <w:rPr>
                <w:rFonts w:asciiTheme="majorBidi" w:hAnsiTheme="majorBidi" w:cstheme="majorBidi"/>
                <w:sz w:val="24"/>
                <w:szCs w:val="24"/>
              </w:rPr>
              <w:t>77</w:t>
            </w:r>
            <w:r w:rsidR="00B15384" w:rsidRPr="00280C96">
              <w:rPr>
                <w:rFonts w:asciiTheme="majorBidi" w:hAnsiTheme="majorBidi" w:cstheme="majorBidi"/>
                <w:sz w:val="24"/>
                <w:szCs w:val="24"/>
              </w:rPr>
              <w:t>1</w:t>
            </w:r>
            <w:r w:rsidR="00F263F4" w:rsidRPr="00280C96">
              <w:rPr>
                <w:rFonts w:asciiTheme="majorBidi" w:hAnsiTheme="majorBidi" w:cstheme="majorBidi"/>
                <w:sz w:val="24"/>
                <w:szCs w:val="24"/>
              </w:rPr>
              <w:t>1</w:t>
            </w:r>
          </w:p>
        </w:tc>
        <w:tc>
          <w:tcPr>
            <w:tcW w:w="0" w:type="auto"/>
            <w:hideMark/>
          </w:tcPr>
          <w:p w14:paraId="7562F0F8" w14:textId="594CFDE8"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–8</w:t>
            </w:r>
            <w:r w:rsidR="00F56D72" w:rsidRPr="00280C96">
              <w:rPr>
                <w:rFonts w:asciiTheme="majorBidi" w:hAnsiTheme="majorBidi" w:cstheme="majorBidi"/>
                <w:sz w:val="24"/>
                <w:szCs w:val="24"/>
              </w:rPr>
              <w:t>.</w:t>
            </w:r>
            <w:r w:rsidRPr="00280C96">
              <w:rPr>
                <w:rFonts w:asciiTheme="majorBidi" w:hAnsiTheme="majorBidi" w:cstheme="majorBidi"/>
                <w:sz w:val="24"/>
                <w:szCs w:val="24"/>
              </w:rPr>
              <w:t>75</w:t>
            </w:r>
            <w:r w:rsidR="00C040DF" w:rsidRPr="00280C96">
              <w:rPr>
                <w:rFonts w:asciiTheme="majorBidi" w:hAnsiTheme="majorBidi" w:cstheme="majorBidi"/>
                <w:sz w:val="24"/>
                <w:szCs w:val="24"/>
              </w:rPr>
              <w:t>1</w:t>
            </w:r>
            <w:r w:rsidR="005341AD" w:rsidRPr="00280C96">
              <w:rPr>
                <w:rFonts w:asciiTheme="majorBidi" w:hAnsiTheme="majorBidi" w:cstheme="majorBidi"/>
                <w:sz w:val="24"/>
                <w:szCs w:val="24"/>
              </w:rPr>
              <w:t>9</w:t>
            </w:r>
          </w:p>
        </w:tc>
        <w:tc>
          <w:tcPr>
            <w:tcW w:w="0" w:type="auto"/>
            <w:hideMark/>
          </w:tcPr>
          <w:p w14:paraId="6FC3422B" w14:textId="5762D3D1"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19</w:t>
            </w:r>
            <w:r w:rsidR="00F263F4" w:rsidRPr="00280C96">
              <w:rPr>
                <w:rFonts w:asciiTheme="majorBidi" w:hAnsiTheme="majorBidi" w:cstheme="majorBidi"/>
                <w:sz w:val="24"/>
                <w:szCs w:val="24"/>
              </w:rPr>
              <w:t>.</w:t>
            </w:r>
            <w:r w:rsidRPr="00280C96">
              <w:rPr>
                <w:rFonts w:asciiTheme="majorBidi" w:hAnsiTheme="majorBidi" w:cstheme="majorBidi"/>
                <w:sz w:val="24"/>
                <w:szCs w:val="24"/>
              </w:rPr>
              <w:t>20</w:t>
            </w:r>
            <w:r w:rsidR="00F263F4" w:rsidRPr="00280C96">
              <w:rPr>
                <w:rFonts w:asciiTheme="majorBidi" w:hAnsiTheme="majorBidi" w:cstheme="majorBidi"/>
                <w:sz w:val="24"/>
                <w:szCs w:val="24"/>
              </w:rPr>
              <w:t>1</w:t>
            </w:r>
            <w:r w:rsidR="00911E02" w:rsidRPr="00280C96">
              <w:rPr>
                <w:rFonts w:asciiTheme="majorBidi" w:hAnsiTheme="majorBidi" w:cstheme="majorBidi"/>
                <w:sz w:val="24"/>
                <w:szCs w:val="24"/>
              </w:rPr>
              <w:t>1</w:t>
            </w:r>
          </w:p>
        </w:tc>
      </w:tr>
      <w:tr w:rsidR="006E2C55" w:rsidRPr="00280C96" w14:paraId="45D0F045" w14:textId="77777777" w:rsidTr="006E2C55">
        <w:tc>
          <w:tcPr>
            <w:tcW w:w="0" w:type="auto"/>
            <w:hideMark/>
          </w:tcPr>
          <w:p w14:paraId="76063DB2"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RPT (Related Party Transactions)</w:t>
            </w:r>
          </w:p>
        </w:tc>
        <w:tc>
          <w:tcPr>
            <w:tcW w:w="0" w:type="auto"/>
            <w:hideMark/>
          </w:tcPr>
          <w:p w14:paraId="6879C78E"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22E97006"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–0.0996</w:t>
            </w:r>
          </w:p>
        </w:tc>
        <w:tc>
          <w:tcPr>
            <w:tcW w:w="0" w:type="auto"/>
            <w:hideMark/>
          </w:tcPr>
          <w:p w14:paraId="707B5D0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0.3325</w:t>
            </w:r>
          </w:p>
        </w:tc>
        <w:tc>
          <w:tcPr>
            <w:tcW w:w="0" w:type="auto"/>
            <w:hideMark/>
          </w:tcPr>
          <w:p w14:paraId="47AE0235"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–3.8744</w:t>
            </w:r>
          </w:p>
        </w:tc>
        <w:tc>
          <w:tcPr>
            <w:tcW w:w="0" w:type="auto"/>
            <w:hideMark/>
          </w:tcPr>
          <w:p w14:paraId="79978B89"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0.1827</w:t>
            </w:r>
          </w:p>
        </w:tc>
      </w:tr>
      <w:tr w:rsidR="00406313" w:rsidRPr="00280C96" w14:paraId="287099DF" w14:textId="77777777" w:rsidTr="006E2C55">
        <w:tc>
          <w:tcPr>
            <w:tcW w:w="0" w:type="auto"/>
            <w:hideMark/>
          </w:tcPr>
          <w:p w14:paraId="7B9E5750" w14:textId="77777777"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ECD (Economic Downturn)</w:t>
            </w:r>
          </w:p>
        </w:tc>
        <w:tc>
          <w:tcPr>
            <w:tcW w:w="0" w:type="auto"/>
            <w:hideMark/>
          </w:tcPr>
          <w:p w14:paraId="04888683" w14:textId="77777777"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049CF92E" w14:textId="26CDCB73"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6.0997</w:t>
            </w:r>
          </w:p>
        </w:tc>
        <w:tc>
          <w:tcPr>
            <w:tcW w:w="0" w:type="auto"/>
            <w:hideMark/>
          </w:tcPr>
          <w:p w14:paraId="151005EC" w14:textId="74C77F4A"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3.9711</w:t>
            </w:r>
          </w:p>
        </w:tc>
        <w:tc>
          <w:tcPr>
            <w:tcW w:w="0" w:type="auto"/>
            <w:hideMark/>
          </w:tcPr>
          <w:p w14:paraId="22BFE8A8" w14:textId="10932336" w:rsidR="00406313" w:rsidRPr="00280C96" w:rsidRDefault="00432EC4"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0.9616</w:t>
            </w:r>
          </w:p>
        </w:tc>
        <w:tc>
          <w:tcPr>
            <w:tcW w:w="0" w:type="auto"/>
            <w:hideMark/>
          </w:tcPr>
          <w:p w14:paraId="374D382B" w14:textId="711BE3A9" w:rsidR="00406313" w:rsidRPr="00280C96" w:rsidRDefault="00432EC4"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19.3440</w:t>
            </w:r>
          </w:p>
        </w:tc>
      </w:tr>
      <w:tr w:rsidR="006E2C55" w:rsidRPr="00280C96" w14:paraId="7B4CB82D" w14:textId="77777777" w:rsidTr="006E2C55">
        <w:tc>
          <w:tcPr>
            <w:tcW w:w="0" w:type="auto"/>
            <w:hideMark/>
          </w:tcPr>
          <w:p w14:paraId="02CBC819"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PEF (Pressure from Earnings Forecasts)</w:t>
            </w:r>
          </w:p>
        </w:tc>
        <w:tc>
          <w:tcPr>
            <w:tcW w:w="0" w:type="auto"/>
            <w:hideMark/>
          </w:tcPr>
          <w:p w14:paraId="5EC8108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3C2E82F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0.1068</w:t>
            </w:r>
          </w:p>
        </w:tc>
        <w:tc>
          <w:tcPr>
            <w:tcW w:w="0" w:type="auto"/>
            <w:hideMark/>
          </w:tcPr>
          <w:p w14:paraId="5F62A3CE"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0.3575</w:t>
            </w:r>
          </w:p>
        </w:tc>
        <w:tc>
          <w:tcPr>
            <w:tcW w:w="0" w:type="auto"/>
            <w:hideMark/>
          </w:tcPr>
          <w:p w14:paraId="6632F58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–3.9432</w:t>
            </w:r>
          </w:p>
        </w:tc>
        <w:tc>
          <w:tcPr>
            <w:tcW w:w="0" w:type="auto"/>
            <w:hideMark/>
          </w:tcPr>
          <w:p w14:paraId="4C01C76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0.3653</w:t>
            </w:r>
          </w:p>
        </w:tc>
      </w:tr>
      <w:tr w:rsidR="006E2C55" w:rsidRPr="00280C96" w14:paraId="643FE70B" w14:textId="77777777" w:rsidTr="006E2C55">
        <w:tc>
          <w:tcPr>
            <w:tcW w:w="0" w:type="auto"/>
            <w:hideMark/>
          </w:tcPr>
          <w:p w14:paraId="494281CB"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ROA (Return on Assets)</w:t>
            </w:r>
          </w:p>
        </w:tc>
        <w:tc>
          <w:tcPr>
            <w:tcW w:w="0" w:type="auto"/>
            <w:hideMark/>
          </w:tcPr>
          <w:p w14:paraId="177A34D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464B069C"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0.0169</w:t>
            </w:r>
          </w:p>
        </w:tc>
        <w:tc>
          <w:tcPr>
            <w:tcW w:w="0" w:type="auto"/>
            <w:hideMark/>
          </w:tcPr>
          <w:p w14:paraId="47495FF8"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0.0168</w:t>
            </w:r>
          </w:p>
        </w:tc>
        <w:tc>
          <w:tcPr>
            <w:tcW w:w="0" w:type="auto"/>
            <w:hideMark/>
          </w:tcPr>
          <w:p w14:paraId="64F38A01"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–0.0953</w:t>
            </w:r>
          </w:p>
        </w:tc>
        <w:tc>
          <w:tcPr>
            <w:tcW w:w="0" w:type="auto"/>
            <w:hideMark/>
          </w:tcPr>
          <w:p w14:paraId="6E022B31"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0.0562</w:t>
            </w:r>
          </w:p>
        </w:tc>
      </w:tr>
      <w:tr w:rsidR="006E2C55" w:rsidRPr="00280C96" w14:paraId="708B8D6C" w14:textId="77777777" w:rsidTr="006E2C55">
        <w:tc>
          <w:tcPr>
            <w:tcW w:w="0" w:type="auto"/>
            <w:hideMark/>
          </w:tcPr>
          <w:p w14:paraId="028F6EBC"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INF (Inflation Rate)</w:t>
            </w:r>
          </w:p>
        </w:tc>
        <w:tc>
          <w:tcPr>
            <w:tcW w:w="0" w:type="auto"/>
            <w:hideMark/>
          </w:tcPr>
          <w:p w14:paraId="5397DEB0"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0446EF38"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14.3600</w:t>
            </w:r>
          </w:p>
        </w:tc>
        <w:tc>
          <w:tcPr>
            <w:tcW w:w="0" w:type="auto"/>
            <w:hideMark/>
          </w:tcPr>
          <w:p w14:paraId="3053E35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5.0195</w:t>
            </w:r>
          </w:p>
        </w:tc>
        <w:tc>
          <w:tcPr>
            <w:tcW w:w="0" w:type="auto"/>
            <w:hideMark/>
          </w:tcPr>
          <w:p w14:paraId="1D44D8E5"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8.0000</w:t>
            </w:r>
          </w:p>
        </w:tc>
        <w:tc>
          <w:tcPr>
            <w:tcW w:w="0" w:type="auto"/>
            <w:hideMark/>
          </w:tcPr>
          <w:p w14:paraId="754198B0"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24.6600</w:t>
            </w:r>
          </w:p>
        </w:tc>
      </w:tr>
      <w:tr w:rsidR="006E2C55" w:rsidRPr="00280C96" w14:paraId="59FB6F43" w14:textId="77777777" w:rsidTr="006E2C55">
        <w:tc>
          <w:tcPr>
            <w:tcW w:w="0" w:type="auto"/>
            <w:tcBorders>
              <w:bottom w:val="single" w:sz="4" w:space="0" w:color="auto"/>
            </w:tcBorders>
            <w:hideMark/>
          </w:tcPr>
          <w:p w14:paraId="34BD613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FXR (Foreign Exchange Rate)</w:t>
            </w:r>
          </w:p>
        </w:tc>
        <w:tc>
          <w:tcPr>
            <w:tcW w:w="0" w:type="auto"/>
            <w:tcBorders>
              <w:bottom w:val="single" w:sz="4" w:space="0" w:color="auto"/>
            </w:tcBorders>
            <w:hideMark/>
          </w:tcPr>
          <w:p w14:paraId="60486ED9"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tcBorders>
              <w:bottom w:val="single" w:sz="4" w:space="0" w:color="auto"/>
            </w:tcBorders>
            <w:hideMark/>
          </w:tcPr>
          <w:p w14:paraId="55D1672D"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300.5668</w:t>
            </w:r>
          </w:p>
        </w:tc>
        <w:tc>
          <w:tcPr>
            <w:tcW w:w="0" w:type="auto"/>
            <w:tcBorders>
              <w:bottom w:val="single" w:sz="4" w:space="0" w:color="auto"/>
            </w:tcBorders>
            <w:hideMark/>
          </w:tcPr>
          <w:p w14:paraId="5D701C36"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112.7210</w:t>
            </w:r>
          </w:p>
        </w:tc>
        <w:tc>
          <w:tcPr>
            <w:tcW w:w="0" w:type="auto"/>
            <w:tcBorders>
              <w:bottom w:val="single" w:sz="4" w:space="0" w:color="auto"/>
            </w:tcBorders>
            <w:hideMark/>
          </w:tcPr>
          <w:p w14:paraId="30F72EEA"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157.3000</w:t>
            </w:r>
          </w:p>
        </w:tc>
        <w:tc>
          <w:tcPr>
            <w:tcW w:w="0" w:type="auto"/>
            <w:tcBorders>
              <w:bottom w:val="single" w:sz="4" w:space="0" w:color="auto"/>
            </w:tcBorders>
            <w:hideMark/>
          </w:tcPr>
          <w:p w14:paraId="15CFA50C"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460.7020</w:t>
            </w:r>
          </w:p>
        </w:tc>
      </w:tr>
    </w:tbl>
    <w:p w14:paraId="599D41EE" w14:textId="260EB4E4" w:rsidR="006E2C55" w:rsidRPr="00280C96" w:rsidRDefault="00637502" w:rsidP="00D403D2">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Source: </w:t>
      </w:r>
      <w:r w:rsidR="000C485C" w:rsidRPr="00280C96">
        <w:rPr>
          <w:rFonts w:asciiTheme="majorBidi" w:hAnsiTheme="majorBidi" w:cstheme="majorBidi"/>
          <w:sz w:val="24"/>
          <w:szCs w:val="24"/>
        </w:rPr>
        <w:t xml:space="preserve">Authors’ compilation </w:t>
      </w:r>
    </w:p>
    <w:p w14:paraId="2183034E" w14:textId="61235774" w:rsidR="005C7484" w:rsidRPr="005C7484" w:rsidRDefault="005C7484" w:rsidP="005C7484">
      <w:pPr>
        <w:spacing w:line="360" w:lineRule="auto"/>
        <w:jc w:val="both"/>
        <w:rPr>
          <w:rFonts w:asciiTheme="majorBidi" w:hAnsiTheme="majorBidi" w:cstheme="majorBidi"/>
          <w:sz w:val="24"/>
          <w:szCs w:val="24"/>
        </w:rPr>
      </w:pPr>
      <w:r w:rsidRPr="005C7484">
        <w:rPr>
          <w:rFonts w:asciiTheme="majorBidi" w:hAnsiTheme="majorBidi" w:cstheme="majorBidi"/>
          <w:sz w:val="24"/>
          <w:szCs w:val="24"/>
        </w:rPr>
        <w:t xml:space="preserve">Among the explanatory variables rooted in the Fraud Diamond Theory, Cash Flow Trend (CFT), which captures financial pressure, records a mean of 0.7963 with a large standard deviation of </w:t>
      </w:r>
      <w:r w:rsidRPr="005C7484">
        <w:rPr>
          <w:rFonts w:asciiTheme="majorBidi" w:hAnsiTheme="majorBidi" w:cstheme="majorBidi"/>
          <w:sz w:val="24"/>
          <w:szCs w:val="24"/>
        </w:rPr>
        <w:lastRenderedPageBreak/>
        <w:t>3.7711 and a wide range (–8.7519 to 19.2011). This reflects substantial interbank variation in operating cash flow volatility. Related Party Transactions (RPT), a proxy for opportunity, has a mean of –0.0996, suggesting that many banks reported net repayments rather than opaque related transactions, though the maximum of 0.1827 indicates a few outlier cases.</w:t>
      </w:r>
      <w:r w:rsidRPr="00280C96">
        <w:rPr>
          <w:rFonts w:asciiTheme="majorBidi" w:hAnsiTheme="majorBidi" w:cstheme="majorBidi"/>
          <w:sz w:val="24"/>
          <w:szCs w:val="24"/>
        </w:rPr>
        <w:t xml:space="preserve"> </w:t>
      </w:r>
      <w:r w:rsidRPr="005C7484">
        <w:rPr>
          <w:rFonts w:asciiTheme="majorBidi" w:hAnsiTheme="majorBidi" w:cstheme="majorBidi"/>
          <w:sz w:val="24"/>
          <w:szCs w:val="24"/>
        </w:rPr>
        <w:t xml:space="preserve">Economic Downturn (ECD), representing </w:t>
      </w:r>
      <w:proofErr w:type="spellStart"/>
      <w:r w:rsidRPr="005C7484">
        <w:rPr>
          <w:rFonts w:asciiTheme="majorBidi" w:hAnsiTheme="majorBidi" w:cstheme="majorBidi"/>
          <w:sz w:val="24"/>
          <w:szCs w:val="24"/>
        </w:rPr>
        <w:t>rationalisation</w:t>
      </w:r>
      <w:proofErr w:type="spellEnd"/>
      <w:r w:rsidRPr="005C7484">
        <w:rPr>
          <w:rFonts w:asciiTheme="majorBidi" w:hAnsiTheme="majorBidi" w:cstheme="majorBidi"/>
          <w:sz w:val="24"/>
          <w:szCs w:val="24"/>
        </w:rPr>
        <w:t xml:space="preserve"> pressures, averages 6.0997 with a standard deviation of 3.9711, reflecting variability in dividend coverage across banks and potential justification grounds during economic shocks. Pressure from Earnings Forecasts (PEF), used to proxy capability, has a low mean of 0.1068 but displays considerable dispersion (–3.9432 to 0.3653), indicating that some banks face more intense forecast-related pressures than others.</w:t>
      </w:r>
    </w:p>
    <w:p w14:paraId="7425AB3F" w14:textId="71F7E00D" w:rsidR="00D403D2" w:rsidRPr="00280C96" w:rsidRDefault="005C7484" w:rsidP="005C7484">
      <w:pPr>
        <w:spacing w:line="360" w:lineRule="auto"/>
        <w:jc w:val="both"/>
        <w:rPr>
          <w:rFonts w:asciiTheme="majorBidi" w:hAnsiTheme="majorBidi" w:cstheme="majorBidi"/>
          <w:sz w:val="24"/>
          <w:szCs w:val="24"/>
        </w:rPr>
      </w:pPr>
      <w:r w:rsidRPr="005C7484">
        <w:rPr>
          <w:rFonts w:asciiTheme="majorBidi" w:hAnsiTheme="majorBidi" w:cstheme="majorBidi"/>
          <w:sz w:val="24"/>
          <w:szCs w:val="24"/>
        </w:rPr>
        <w:t>For the control variables, Return on Assets (ROA) is modest at 0.0169, consistent with the low-profit margins typically seen in Nigerian banking. Inflation Rate (INF) has a mean of 14.36%, showing that the study period was marked by sustained inflationary pressures. Finally, the Foreign Exchange Rate (FXR) averaged ₦300.57/$, with significant volatility (SD = ₦112.72), ranging from ₦157.3/$ to ₦460.70/$, capturing Nigeria’s chronic exchange rate instability</w:t>
      </w:r>
      <w:r w:rsidR="00D403D2" w:rsidRPr="00280C96">
        <w:rPr>
          <w:rFonts w:asciiTheme="majorBidi" w:hAnsiTheme="majorBidi" w:cstheme="majorBidi"/>
          <w:sz w:val="24"/>
          <w:szCs w:val="24"/>
        </w:rPr>
        <w:t>.</w:t>
      </w:r>
    </w:p>
    <w:p w14:paraId="0121AC38" w14:textId="63DB2BB7" w:rsidR="00620669" w:rsidRPr="00280C96" w:rsidRDefault="00620669" w:rsidP="00077A63">
      <w:pPr>
        <w:pStyle w:val="Heading2"/>
        <w:rPr>
          <w:rFonts w:asciiTheme="majorBidi" w:hAnsiTheme="majorBidi"/>
          <w:b/>
          <w:bCs/>
          <w:color w:val="auto"/>
          <w:sz w:val="24"/>
          <w:szCs w:val="24"/>
        </w:rPr>
      </w:pPr>
      <w:r w:rsidRPr="00280C96">
        <w:rPr>
          <w:rFonts w:asciiTheme="majorBidi" w:hAnsiTheme="majorBidi"/>
          <w:b/>
          <w:bCs/>
          <w:color w:val="auto"/>
          <w:sz w:val="24"/>
          <w:szCs w:val="24"/>
        </w:rPr>
        <w:t>4.</w:t>
      </w:r>
      <w:r w:rsidR="00FB79F2" w:rsidRPr="00280C96">
        <w:rPr>
          <w:rFonts w:asciiTheme="majorBidi" w:hAnsiTheme="majorBidi"/>
          <w:b/>
          <w:bCs/>
          <w:color w:val="auto"/>
          <w:sz w:val="24"/>
          <w:szCs w:val="24"/>
        </w:rPr>
        <w:t>2</w:t>
      </w:r>
      <w:r w:rsidRPr="00280C96">
        <w:rPr>
          <w:rFonts w:asciiTheme="majorBidi" w:hAnsiTheme="majorBidi"/>
          <w:b/>
          <w:bCs/>
          <w:color w:val="auto"/>
          <w:sz w:val="24"/>
          <w:szCs w:val="24"/>
        </w:rPr>
        <w:t xml:space="preserve"> Correlation </w:t>
      </w:r>
      <w:r w:rsidR="0026701E" w:rsidRPr="00280C96">
        <w:rPr>
          <w:rFonts w:asciiTheme="majorBidi" w:hAnsiTheme="majorBidi"/>
          <w:b/>
          <w:bCs/>
          <w:color w:val="auto"/>
          <w:sz w:val="24"/>
          <w:szCs w:val="24"/>
        </w:rPr>
        <w:t xml:space="preserve">Matrix </w:t>
      </w:r>
      <w:r w:rsidRPr="00280C96">
        <w:rPr>
          <w:rFonts w:asciiTheme="majorBidi" w:hAnsiTheme="majorBidi"/>
          <w:b/>
          <w:bCs/>
          <w:color w:val="auto"/>
          <w:sz w:val="24"/>
          <w:szCs w:val="24"/>
        </w:rPr>
        <w:t xml:space="preserve"> </w:t>
      </w:r>
    </w:p>
    <w:p w14:paraId="3EC8F37E" w14:textId="349E6AE1" w:rsidR="00D94F53" w:rsidRPr="00280C96" w:rsidRDefault="00E57C64" w:rsidP="00E57C64">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Table 3 presents the Pearson correlation coefficients among the study variables to evaluate the strength and direction of the linear relationships between them. These variables include the dependent variable, Fraudulent Financial Reporting (FFR), and the explanatory and control variables based on the Fraud Diamond framework</w:t>
      </w:r>
      <w:r w:rsidR="00A229C2" w:rsidRPr="00280C96">
        <w:rPr>
          <w:rFonts w:asciiTheme="majorBidi" w:hAnsiTheme="majorBidi" w:cstheme="majorBidi"/>
          <w:sz w:val="24"/>
          <w:szCs w:val="24"/>
        </w:rPr>
        <w:t>.</w:t>
      </w:r>
    </w:p>
    <w:p w14:paraId="0119B70B" w14:textId="151DDC8A" w:rsidR="00D94F53" w:rsidRPr="00280C96" w:rsidRDefault="00D94F53" w:rsidP="00D94F53">
      <w:pPr>
        <w:spacing w:line="24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Table 3: Correlation Matrix of Study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996"/>
        <w:gridCol w:w="876"/>
        <w:gridCol w:w="996"/>
        <w:gridCol w:w="956"/>
        <w:gridCol w:w="876"/>
        <w:gridCol w:w="876"/>
        <w:gridCol w:w="876"/>
        <w:gridCol w:w="756"/>
      </w:tblGrid>
      <w:tr w:rsidR="00D94F53" w:rsidRPr="00280C96" w14:paraId="4A0B2B23" w14:textId="77777777" w:rsidTr="00D94F53">
        <w:tc>
          <w:tcPr>
            <w:tcW w:w="0" w:type="auto"/>
            <w:tcBorders>
              <w:top w:val="single" w:sz="4" w:space="0" w:color="auto"/>
              <w:bottom w:val="single" w:sz="4" w:space="0" w:color="auto"/>
            </w:tcBorders>
            <w:hideMark/>
          </w:tcPr>
          <w:p w14:paraId="528FC8C8"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71168BCD"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1</w:t>
            </w:r>
          </w:p>
        </w:tc>
        <w:tc>
          <w:tcPr>
            <w:tcW w:w="0" w:type="auto"/>
            <w:tcBorders>
              <w:top w:val="single" w:sz="4" w:space="0" w:color="auto"/>
              <w:bottom w:val="single" w:sz="4" w:space="0" w:color="auto"/>
            </w:tcBorders>
            <w:hideMark/>
          </w:tcPr>
          <w:p w14:paraId="08FE3967"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2</w:t>
            </w:r>
          </w:p>
        </w:tc>
        <w:tc>
          <w:tcPr>
            <w:tcW w:w="0" w:type="auto"/>
            <w:tcBorders>
              <w:top w:val="single" w:sz="4" w:space="0" w:color="auto"/>
              <w:bottom w:val="single" w:sz="4" w:space="0" w:color="auto"/>
            </w:tcBorders>
            <w:hideMark/>
          </w:tcPr>
          <w:p w14:paraId="1BECD6B3"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3</w:t>
            </w:r>
          </w:p>
        </w:tc>
        <w:tc>
          <w:tcPr>
            <w:tcW w:w="0" w:type="auto"/>
            <w:tcBorders>
              <w:top w:val="single" w:sz="4" w:space="0" w:color="auto"/>
              <w:bottom w:val="single" w:sz="4" w:space="0" w:color="auto"/>
            </w:tcBorders>
            <w:hideMark/>
          </w:tcPr>
          <w:p w14:paraId="67F53FEE"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4</w:t>
            </w:r>
          </w:p>
        </w:tc>
        <w:tc>
          <w:tcPr>
            <w:tcW w:w="0" w:type="auto"/>
            <w:tcBorders>
              <w:top w:val="single" w:sz="4" w:space="0" w:color="auto"/>
              <w:bottom w:val="single" w:sz="4" w:space="0" w:color="auto"/>
            </w:tcBorders>
            <w:hideMark/>
          </w:tcPr>
          <w:p w14:paraId="46A2826D"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5</w:t>
            </w:r>
          </w:p>
        </w:tc>
        <w:tc>
          <w:tcPr>
            <w:tcW w:w="0" w:type="auto"/>
            <w:tcBorders>
              <w:top w:val="single" w:sz="4" w:space="0" w:color="auto"/>
              <w:bottom w:val="single" w:sz="4" w:space="0" w:color="auto"/>
            </w:tcBorders>
            <w:hideMark/>
          </w:tcPr>
          <w:p w14:paraId="637257D4"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6</w:t>
            </w:r>
          </w:p>
        </w:tc>
        <w:tc>
          <w:tcPr>
            <w:tcW w:w="0" w:type="auto"/>
            <w:tcBorders>
              <w:top w:val="single" w:sz="4" w:space="0" w:color="auto"/>
              <w:bottom w:val="single" w:sz="4" w:space="0" w:color="auto"/>
            </w:tcBorders>
            <w:hideMark/>
          </w:tcPr>
          <w:p w14:paraId="34A03DC0"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7</w:t>
            </w:r>
          </w:p>
        </w:tc>
        <w:tc>
          <w:tcPr>
            <w:tcW w:w="0" w:type="auto"/>
            <w:tcBorders>
              <w:top w:val="single" w:sz="4" w:space="0" w:color="auto"/>
              <w:bottom w:val="single" w:sz="4" w:space="0" w:color="auto"/>
            </w:tcBorders>
            <w:hideMark/>
          </w:tcPr>
          <w:p w14:paraId="026DD182"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8</w:t>
            </w:r>
          </w:p>
        </w:tc>
      </w:tr>
      <w:tr w:rsidR="00D94F53" w:rsidRPr="00280C96" w14:paraId="2816B6DE" w14:textId="77777777" w:rsidTr="00D94F53">
        <w:tc>
          <w:tcPr>
            <w:tcW w:w="0" w:type="auto"/>
            <w:tcBorders>
              <w:top w:val="single" w:sz="4" w:space="0" w:color="auto"/>
            </w:tcBorders>
            <w:hideMark/>
          </w:tcPr>
          <w:p w14:paraId="2982BF6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 FFR</w:t>
            </w:r>
          </w:p>
        </w:tc>
        <w:tc>
          <w:tcPr>
            <w:tcW w:w="0" w:type="auto"/>
            <w:tcBorders>
              <w:top w:val="single" w:sz="4" w:space="0" w:color="auto"/>
            </w:tcBorders>
            <w:hideMark/>
          </w:tcPr>
          <w:p w14:paraId="17F67DAF"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tcBorders>
              <w:top w:val="single" w:sz="4" w:space="0" w:color="auto"/>
            </w:tcBorders>
            <w:hideMark/>
          </w:tcPr>
          <w:p w14:paraId="6640682E"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4FE9A319"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5122CF9F"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3F83E2ED"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41A5619C"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009E6A67"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5864A4E4"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478C8C30" w14:textId="77777777" w:rsidTr="00D94F53">
        <w:tc>
          <w:tcPr>
            <w:tcW w:w="0" w:type="auto"/>
            <w:hideMark/>
          </w:tcPr>
          <w:p w14:paraId="0A722124"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 CFT</w:t>
            </w:r>
          </w:p>
        </w:tc>
        <w:tc>
          <w:tcPr>
            <w:tcW w:w="0" w:type="auto"/>
            <w:hideMark/>
          </w:tcPr>
          <w:p w14:paraId="576E2849"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–0.2809</w:t>
            </w:r>
          </w:p>
        </w:tc>
        <w:tc>
          <w:tcPr>
            <w:tcW w:w="0" w:type="auto"/>
            <w:hideMark/>
          </w:tcPr>
          <w:p w14:paraId="380C59E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4CE2B808"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0BAEA11"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0DB25BE1"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0E7B8814"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42029BA"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50EDA2D4"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27D01E2C" w14:textId="77777777" w:rsidTr="00D94F53">
        <w:tc>
          <w:tcPr>
            <w:tcW w:w="0" w:type="auto"/>
            <w:hideMark/>
          </w:tcPr>
          <w:p w14:paraId="75EAD9D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 RPT</w:t>
            </w:r>
          </w:p>
        </w:tc>
        <w:tc>
          <w:tcPr>
            <w:tcW w:w="0" w:type="auto"/>
            <w:hideMark/>
          </w:tcPr>
          <w:p w14:paraId="4DB4D79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0.0426</w:t>
            </w:r>
          </w:p>
        </w:tc>
        <w:tc>
          <w:tcPr>
            <w:tcW w:w="0" w:type="auto"/>
            <w:hideMark/>
          </w:tcPr>
          <w:p w14:paraId="2DC0844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0.0056</w:t>
            </w:r>
          </w:p>
        </w:tc>
        <w:tc>
          <w:tcPr>
            <w:tcW w:w="0" w:type="auto"/>
            <w:hideMark/>
          </w:tcPr>
          <w:p w14:paraId="4D9F039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68588380"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26B9BDB0"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EAEC9E7"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528468E6"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CB9326C"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16F49FC4" w14:textId="77777777" w:rsidTr="00D94F53">
        <w:tc>
          <w:tcPr>
            <w:tcW w:w="0" w:type="auto"/>
            <w:hideMark/>
          </w:tcPr>
          <w:p w14:paraId="762235A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4. ECD</w:t>
            </w:r>
          </w:p>
        </w:tc>
        <w:tc>
          <w:tcPr>
            <w:tcW w:w="0" w:type="auto"/>
            <w:hideMark/>
          </w:tcPr>
          <w:p w14:paraId="1971464D" w14:textId="2BD82E3B"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w:t>
            </w:r>
            <w:r w:rsidR="00851D3F" w:rsidRPr="00280C96">
              <w:rPr>
                <w:rFonts w:asciiTheme="majorBidi" w:hAnsiTheme="majorBidi" w:cstheme="majorBidi"/>
                <w:sz w:val="24"/>
                <w:szCs w:val="24"/>
              </w:rPr>
              <w:t>851</w:t>
            </w:r>
          </w:p>
        </w:tc>
        <w:tc>
          <w:tcPr>
            <w:tcW w:w="0" w:type="auto"/>
            <w:hideMark/>
          </w:tcPr>
          <w:p w14:paraId="29A2AA8D" w14:textId="540142DF"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w:t>
            </w:r>
            <w:r w:rsidR="009073F7" w:rsidRPr="00280C96">
              <w:rPr>
                <w:rFonts w:asciiTheme="majorBidi" w:hAnsiTheme="majorBidi" w:cstheme="majorBidi"/>
                <w:sz w:val="24"/>
                <w:szCs w:val="24"/>
              </w:rPr>
              <w:t>795</w:t>
            </w:r>
          </w:p>
        </w:tc>
        <w:tc>
          <w:tcPr>
            <w:tcW w:w="0" w:type="auto"/>
            <w:hideMark/>
          </w:tcPr>
          <w:p w14:paraId="6075AE00" w14:textId="26CBD12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w:t>
            </w:r>
            <w:r w:rsidR="00F17DDF" w:rsidRPr="00280C96">
              <w:rPr>
                <w:rFonts w:asciiTheme="majorBidi" w:hAnsiTheme="majorBidi" w:cstheme="majorBidi"/>
                <w:sz w:val="24"/>
                <w:szCs w:val="24"/>
              </w:rPr>
              <w:t>551</w:t>
            </w:r>
          </w:p>
        </w:tc>
        <w:tc>
          <w:tcPr>
            <w:tcW w:w="0" w:type="auto"/>
            <w:hideMark/>
          </w:tcPr>
          <w:p w14:paraId="1DA11A7B"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4881AA6A"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1737428"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53BFF98"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59C9349F"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6295A751" w14:textId="77777777" w:rsidTr="00D94F53">
        <w:tc>
          <w:tcPr>
            <w:tcW w:w="0" w:type="auto"/>
            <w:hideMark/>
          </w:tcPr>
          <w:p w14:paraId="41A1DA2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5. PEF</w:t>
            </w:r>
          </w:p>
        </w:tc>
        <w:tc>
          <w:tcPr>
            <w:tcW w:w="0" w:type="auto"/>
            <w:hideMark/>
          </w:tcPr>
          <w:p w14:paraId="793BBE1F"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–0.0297</w:t>
            </w:r>
          </w:p>
        </w:tc>
        <w:tc>
          <w:tcPr>
            <w:tcW w:w="0" w:type="auto"/>
            <w:hideMark/>
          </w:tcPr>
          <w:p w14:paraId="03F999EF"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0.1309</w:t>
            </w:r>
          </w:p>
        </w:tc>
        <w:tc>
          <w:tcPr>
            <w:tcW w:w="0" w:type="auto"/>
            <w:hideMark/>
          </w:tcPr>
          <w:p w14:paraId="1993243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0.4853</w:t>
            </w:r>
          </w:p>
        </w:tc>
        <w:tc>
          <w:tcPr>
            <w:tcW w:w="0" w:type="auto"/>
            <w:hideMark/>
          </w:tcPr>
          <w:p w14:paraId="3CE21DC3" w14:textId="6D3A389B" w:rsidR="00D94F53" w:rsidRPr="00280C96" w:rsidRDefault="00E75B19"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-0.3185</w:t>
            </w:r>
          </w:p>
        </w:tc>
        <w:tc>
          <w:tcPr>
            <w:tcW w:w="0" w:type="auto"/>
            <w:hideMark/>
          </w:tcPr>
          <w:p w14:paraId="499CA75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19CD9FB6"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0074C570"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1AC715A2"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48850559" w14:textId="77777777" w:rsidTr="00D94F53">
        <w:tc>
          <w:tcPr>
            <w:tcW w:w="0" w:type="auto"/>
            <w:hideMark/>
          </w:tcPr>
          <w:p w14:paraId="2240AE0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6. ROA</w:t>
            </w:r>
          </w:p>
        </w:tc>
        <w:tc>
          <w:tcPr>
            <w:tcW w:w="0" w:type="auto"/>
            <w:hideMark/>
          </w:tcPr>
          <w:p w14:paraId="265FF072"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0.0551</w:t>
            </w:r>
          </w:p>
        </w:tc>
        <w:tc>
          <w:tcPr>
            <w:tcW w:w="0" w:type="auto"/>
            <w:hideMark/>
          </w:tcPr>
          <w:p w14:paraId="499812F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0.0517</w:t>
            </w:r>
          </w:p>
        </w:tc>
        <w:tc>
          <w:tcPr>
            <w:tcW w:w="0" w:type="auto"/>
            <w:hideMark/>
          </w:tcPr>
          <w:p w14:paraId="6A1C677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0.1962</w:t>
            </w:r>
          </w:p>
        </w:tc>
        <w:tc>
          <w:tcPr>
            <w:tcW w:w="0" w:type="auto"/>
            <w:hideMark/>
          </w:tcPr>
          <w:p w14:paraId="5EBB3DD7" w14:textId="4A59692E" w:rsidR="00D94F53" w:rsidRPr="00280C96" w:rsidRDefault="00A13664"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-0.3381</w:t>
            </w:r>
          </w:p>
        </w:tc>
        <w:tc>
          <w:tcPr>
            <w:tcW w:w="0" w:type="auto"/>
            <w:hideMark/>
          </w:tcPr>
          <w:p w14:paraId="50403E9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0.7451</w:t>
            </w:r>
          </w:p>
        </w:tc>
        <w:tc>
          <w:tcPr>
            <w:tcW w:w="0" w:type="auto"/>
            <w:hideMark/>
          </w:tcPr>
          <w:p w14:paraId="4BAF014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13CFC387"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248CCC44"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6F1BA59B" w14:textId="77777777" w:rsidTr="00D94F53">
        <w:tc>
          <w:tcPr>
            <w:tcW w:w="0" w:type="auto"/>
            <w:hideMark/>
          </w:tcPr>
          <w:p w14:paraId="322B0D76"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7. INF</w:t>
            </w:r>
          </w:p>
        </w:tc>
        <w:tc>
          <w:tcPr>
            <w:tcW w:w="0" w:type="auto"/>
            <w:hideMark/>
          </w:tcPr>
          <w:p w14:paraId="38B03173"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–0.1178</w:t>
            </w:r>
          </w:p>
        </w:tc>
        <w:tc>
          <w:tcPr>
            <w:tcW w:w="0" w:type="auto"/>
            <w:hideMark/>
          </w:tcPr>
          <w:p w14:paraId="5A65CA7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0.2971</w:t>
            </w:r>
          </w:p>
        </w:tc>
        <w:tc>
          <w:tcPr>
            <w:tcW w:w="0" w:type="auto"/>
            <w:hideMark/>
          </w:tcPr>
          <w:p w14:paraId="0E1602B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–0.0558</w:t>
            </w:r>
          </w:p>
        </w:tc>
        <w:tc>
          <w:tcPr>
            <w:tcW w:w="0" w:type="auto"/>
            <w:hideMark/>
          </w:tcPr>
          <w:p w14:paraId="7D72F022" w14:textId="75677B65"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FE3678" w:rsidRPr="00280C96">
              <w:rPr>
                <w:rFonts w:asciiTheme="majorBidi" w:hAnsiTheme="majorBidi" w:cstheme="majorBidi"/>
                <w:sz w:val="24"/>
                <w:szCs w:val="24"/>
              </w:rPr>
              <w:t>1453</w:t>
            </w:r>
          </w:p>
        </w:tc>
        <w:tc>
          <w:tcPr>
            <w:tcW w:w="0" w:type="auto"/>
            <w:hideMark/>
          </w:tcPr>
          <w:p w14:paraId="3D73376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0.1925</w:t>
            </w:r>
          </w:p>
        </w:tc>
        <w:tc>
          <w:tcPr>
            <w:tcW w:w="0" w:type="auto"/>
            <w:hideMark/>
          </w:tcPr>
          <w:p w14:paraId="0820FF0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0.0138</w:t>
            </w:r>
          </w:p>
        </w:tc>
        <w:tc>
          <w:tcPr>
            <w:tcW w:w="0" w:type="auto"/>
            <w:hideMark/>
          </w:tcPr>
          <w:p w14:paraId="74E4612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786FABB8"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550DB103" w14:textId="77777777" w:rsidTr="00D94F53">
        <w:tc>
          <w:tcPr>
            <w:tcW w:w="0" w:type="auto"/>
            <w:tcBorders>
              <w:bottom w:val="single" w:sz="4" w:space="0" w:color="auto"/>
            </w:tcBorders>
            <w:hideMark/>
          </w:tcPr>
          <w:p w14:paraId="12AD1D94"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8. FXR</w:t>
            </w:r>
          </w:p>
        </w:tc>
        <w:tc>
          <w:tcPr>
            <w:tcW w:w="0" w:type="auto"/>
            <w:tcBorders>
              <w:bottom w:val="single" w:sz="4" w:space="0" w:color="auto"/>
            </w:tcBorders>
            <w:hideMark/>
          </w:tcPr>
          <w:p w14:paraId="16546A6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–0.2658</w:t>
            </w:r>
          </w:p>
        </w:tc>
        <w:tc>
          <w:tcPr>
            <w:tcW w:w="0" w:type="auto"/>
            <w:tcBorders>
              <w:bottom w:val="single" w:sz="4" w:space="0" w:color="auto"/>
            </w:tcBorders>
            <w:hideMark/>
          </w:tcPr>
          <w:p w14:paraId="3F825DF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0.2605</w:t>
            </w:r>
          </w:p>
        </w:tc>
        <w:tc>
          <w:tcPr>
            <w:tcW w:w="0" w:type="auto"/>
            <w:tcBorders>
              <w:bottom w:val="single" w:sz="4" w:space="0" w:color="auto"/>
            </w:tcBorders>
            <w:hideMark/>
          </w:tcPr>
          <w:p w14:paraId="075A915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0.1352</w:t>
            </w:r>
          </w:p>
        </w:tc>
        <w:tc>
          <w:tcPr>
            <w:tcW w:w="0" w:type="auto"/>
            <w:tcBorders>
              <w:bottom w:val="single" w:sz="4" w:space="0" w:color="auto"/>
            </w:tcBorders>
            <w:hideMark/>
          </w:tcPr>
          <w:p w14:paraId="38865F38" w14:textId="67D609C9"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w:t>
            </w:r>
            <w:r w:rsidR="00FE3678" w:rsidRPr="00280C96">
              <w:rPr>
                <w:rFonts w:asciiTheme="majorBidi" w:hAnsiTheme="majorBidi" w:cstheme="majorBidi"/>
                <w:sz w:val="24"/>
                <w:szCs w:val="24"/>
              </w:rPr>
              <w:t>353</w:t>
            </w:r>
          </w:p>
        </w:tc>
        <w:tc>
          <w:tcPr>
            <w:tcW w:w="0" w:type="auto"/>
            <w:tcBorders>
              <w:bottom w:val="single" w:sz="4" w:space="0" w:color="auto"/>
            </w:tcBorders>
            <w:hideMark/>
          </w:tcPr>
          <w:p w14:paraId="15FFAC0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0.1917</w:t>
            </w:r>
          </w:p>
        </w:tc>
        <w:tc>
          <w:tcPr>
            <w:tcW w:w="0" w:type="auto"/>
            <w:tcBorders>
              <w:bottom w:val="single" w:sz="4" w:space="0" w:color="auto"/>
            </w:tcBorders>
            <w:hideMark/>
          </w:tcPr>
          <w:p w14:paraId="0C785E38"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0.0169</w:t>
            </w:r>
          </w:p>
        </w:tc>
        <w:tc>
          <w:tcPr>
            <w:tcW w:w="0" w:type="auto"/>
            <w:tcBorders>
              <w:bottom w:val="single" w:sz="4" w:space="0" w:color="auto"/>
            </w:tcBorders>
            <w:hideMark/>
          </w:tcPr>
          <w:p w14:paraId="00C3489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0.7860</w:t>
            </w:r>
          </w:p>
        </w:tc>
        <w:tc>
          <w:tcPr>
            <w:tcW w:w="0" w:type="auto"/>
            <w:tcBorders>
              <w:bottom w:val="single" w:sz="4" w:space="0" w:color="auto"/>
            </w:tcBorders>
            <w:hideMark/>
          </w:tcPr>
          <w:p w14:paraId="5EC56056"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r>
    </w:tbl>
    <w:p w14:paraId="3DEF549B" w14:textId="77777777" w:rsidR="00D94F53" w:rsidRPr="00280C96" w:rsidRDefault="00D94F53" w:rsidP="00D94F53">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lastRenderedPageBreak/>
        <w:t xml:space="preserve">Source: Authors’ compilation </w:t>
      </w:r>
    </w:p>
    <w:p w14:paraId="0DAD273E" w14:textId="1699D67E" w:rsidR="00A0654A" w:rsidRPr="00A0654A" w:rsidRDefault="00A0654A" w:rsidP="00E03007">
      <w:pPr>
        <w:spacing w:line="360" w:lineRule="auto"/>
        <w:jc w:val="both"/>
        <w:rPr>
          <w:rFonts w:asciiTheme="majorBidi" w:hAnsiTheme="majorBidi" w:cstheme="majorBidi"/>
          <w:sz w:val="24"/>
          <w:szCs w:val="24"/>
        </w:rPr>
      </w:pPr>
      <w:r w:rsidRPr="00A0654A">
        <w:rPr>
          <w:rFonts w:asciiTheme="majorBidi" w:hAnsiTheme="majorBidi" w:cstheme="majorBidi"/>
          <w:sz w:val="24"/>
          <w:szCs w:val="24"/>
        </w:rPr>
        <w:t>Cash Flow Trend (CFT) exhibits a moderate negative correlation with FFR (r = –0.2809), indicating that improvements in cash flow may reduce the probability of fraudulent reporting. Similarly, Foreign Exchange Rate (FXR) is negatively associated with FFR (r = –0.2658), suggesting that exchange rate volatility may influence the incidence of financial manipulation.</w:t>
      </w:r>
      <w:r w:rsidR="00E03007" w:rsidRPr="00280C96">
        <w:rPr>
          <w:rFonts w:asciiTheme="majorBidi" w:hAnsiTheme="majorBidi" w:cstheme="majorBidi"/>
          <w:sz w:val="24"/>
          <w:szCs w:val="24"/>
        </w:rPr>
        <w:t xml:space="preserve"> </w:t>
      </w:r>
      <w:r w:rsidRPr="00A0654A">
        <w:rPr>
          <w:rFonts w:asciiTheme="majorBidi" w:hAnsiTheme="majorBidi" w:cstheme="majorBidi"/>
          <w:sz w:val="24"/>
          <w:szCs w:val="24"/>
        </w:rPr>
        <w:t>Related Party Transactions (RPT) show a weak positive correlation with FFR (r = 0.0426), while Pressure from Earnings Forecasts (PEF) displays a weak negative correlation (r = –0.0297). These weak pairwise associations imply that the relationship between these variables and fraud likelihood may be more complex and better understood through multivariate analysis.</w:t>
      </w:r>
    </w:p>
    <w:p w14:paraId="216DD3B0" w14:textId="485EBFE0" w:rsidR="00EC1CF6" w:rsidRPr="00280C96" w:rsidRDefault="00A0654A" w:rsidP="00174029">
      <w:pPr>
        <w:spacing w:line="360" w:lineRule="auto"/>
        <w:jc w:val="both"/>
        <w:rPr>
          <w:rFonts w:asciiTheme="majorBidi" w:hAnsiTheme="majorBidi" w:cstheme="majorBidi"/>
          <w:sz w:val="24"/>
          <w:szCs w:val="24"/>
        </w:rPr>
      </w:pPr>
      <w:r w:rsidRPr="00A0654A">
        <w:rPr>
          <w:rFonts w:asciiTheme="majorBidi" w:hAnsiTheme="majorBidi" w:cstheme="majorBidi"/>
          <w:sz w:val="24"/>
          <w:szCs w:val="24"/>
        </w:rPr>
        <w:t>Among the control variables, PEF and Return on Assets (ROA) are strongly correlated (r = 0.7451), which is expected since both are profitability indicators. A similarly high correlation exists between Inflation (INF) and FXR (r = 0.7860), reflecting Nigeria’s macroeconomic trends during the study period.</w:t>
      </w:r>
      <w:r w:rsidR="00174029" w:rsidRPr="00280C96">
        <w:rPr>
          <w:rFonts w:asciiTheme="majorBidi" w:hAnsiTheme="majorBidi" w:cstheme="majorBidi"/>
          <w:sz w:val="24"/>
          <w:szCs w:val="24"/>
        </w:rPr>
        <w:t xml:space="preserve"> </w:t>
      </w:r>
      <w:r w:rsidRPr="00A0654A">
        <w:rPr>
          <w:rFonts w:asciiTheme="majorBidi" w:hAnsiTheme="majorBidi" w:cstheme="majorBidi"/>
          <w:sz w:val="24"/>
          <w:szCs w:val="24"/>
        </w:rPr>
        <w:t>No correlation exceeds 0.80, which indicates that multicollinearity is unlikely to be a concern in the regression analysis.</w:t>
      </w:r>
      <w:r w:rsidR="00EC1CF6" w:rsidRPr="00280C96">
        <w:rPr>
          <w:rFonts w:asciiTheme="majorBidi" w:hAnsiTheme="majorBidi" w:cstheme="majorBidi"/>
          <w:vanish/>
          <w:sz w:val="24"/>
          <w:szCs w:val="24"/>
        </w:rPr>
        <w:t>Bottom of Form</w:t>
      </w:r>
    </w:p>
    <w:p w14:paraId="7BD6CB7F" w14:textId="77777777" w:rsidR="00024ECE" w:rsidRPr="00280C96" w:rsidRDefault="00024ECE" w:rsidP="00077A63">
      <w:pPr>
        <w:pStyle w:val="Heading2"/>
        <w:rPr>
          <w:rFonts w:asciiTheme="majorBidi" w:hAnsiTheme="majorBidi"/>
          <w:b/>
          <w:bCs/>
          <w:color w:val="auto"/>
          <w:sz w:val="24"/>
          <w:szCs w:val="24"/>
        </w:rPr>
      </w:pPr>
      <w:r w:rsidRPr="00280C96">
        <w:rPr>
          <w:rFonts w:asciiTheme="majorBidi" w:hAnsiTheme="majorBidi"/>
          <w:b/>
          <w:bCs/>
          <w:color w:val="auto"/>
          <w:sz w:val="24"/>
          <w:szCs w:val="24"/>
        </w:rPr>
        <w:t>4.3 Preliminary Diagnostic Tests</w:t>
      </w:r>
    </w:p>
    <w:p w14:paraId="7A49CC81"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Prior to model estimation, two key diagnostic tests were conducted to verify the reliability of the logistic regression estimates.</w:t>
      </w:r>
    </w:p>
    <w:p w14:paraId="77D0D5B6" w14:textId="753089DB"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Variance Inflation Factor (VIF) values were computed to test for multicollinearity among explanatory variables. As shown in Table 4, all VIFs are below the threshold of 10, with a mean VIF of 2.</w:t>
      </w:r>
      <w:r w:rsidR="004C67FF" w:rsidRPr="00280C96">
        <w:rPr>
          <w:rFonts w:asciiTheme="majorBidi" w:hAnsiTheme="majorBidi" w:cstheme="majorBidi"/>
          <w:sz w:val="24"/>
          <w:szCs w:val="24"/>
        </w:rPr>
        <w:t>35</w:t>
      </w:r>
      <w:r w:rsidRPr="00280C96">
        <w:rPr>
          <w:rFonts w:asciiTheme="majorBidi" w:hAnsiTheme="majorBidi" w:cstheme="majorBidi"/>
          <w:sz w:val="24"/>
          <w:szCs w:val="24"/>
        </w:rPr>
        <w:t>—indicating no multicollinearity concerns.</w:t>
      </w:r>
    </w:p>
    <w:p w14:paraId="21A3963D" w14:textId="2E4E5824" w:rsidR="00024ECE" w:rsidRPr="00280C96" w:rsidRDefault="00024ECE" w:rsidP="00024ECE">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Table 4</w:t>
      </w:r>
      <w:r w:rsidR="001762D3" w:rsidRPr="00280C96">
        <w:rPr>
          <w:rFonts w:asciiTheme="majorBidi" w:hAnsiTheme="majorBidi" w:cstheme="majorBidi"/>
          <w:sz w:val="24"/>
          <w:szCs w:val="24"/>
        </w:rPr>
        <w:t xml:space="preserve">: </w:t>
      </w:r>
      <w:r w:rsidRPr="00280C96">
        <w:rPr>
          <w:rFonts w:asciiTheme="majorBidi" w:hAnsiTheme="majorBidi" w:cstheme="majorBidi"/>
          <w:sz w:val="24"/>
          <w:szCs w:val="24"/>
        </w:rPr>
        <w:t>Variance Inflation Factor (VIF)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36"/>
        <w:gridCol w:w="790"/>
      </w:tblGrid>
      <w:tr w:rsidR="00024ECE" w:rsidRPr="00280C96" w14:paraId="4E8E66B7" w14:textId="77777777" w:rsidTr="00A0175E">
        <w:tc>
          <w:tcPr>
            <w:tcW w:w="0" w:type="auto"/>
            <w:tcBorders>
              <w:top w:val="single" w:sz="4" w:space="0" w:color="auto"/>
              <w:bottom w:val="single" w:sz="4" w:space="0" w:color="auto"/>
            </w:tcBorders>
            <w:hideMark/>
          </w:tcPr>
          <w:p w14:paraId="1BC76406"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Variable</w:t>
            </w:r>
          </w:p>
        </w:tc>
        <w:tc>
          <w:tcPr>
            <w:tcW w:w="0" w:type="auto"/>
            <w:tcBorders>
              <w:top w:val="single" w:sz="4" w:space="0" w:color="auto"/>
              <w:bottom w:val="single" w:sz="4" w:space="0" w:color="auto"/>
            </w:tcBorders>
            <w:hideMark/>
          </w:tcPr>
          <w:p w14:paraId="4B55070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VIF</w:t>
            </w:r>
          </w:p>
        </w:tc>
        <w:tc>
          <w:tcPr>
            <w:tcW w:w="790" w:type="dxa"/>
            <w:tcBorders>
              <w:top w:val="single" w:sz="4" w:space="0" w:color="auto"/>
              <w:bottom w:val="single" w:sz="4" w:space="0" w:color="auto"/>
            </w:tcBorders>
            <w:hideMark/>
          </w:tcPr>
          <w:p w14:paraId="17FC8BDD"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1/VIF</w:t>
            </w:r>
          </w:p>
        </w:tc>
      </w:tr>
      <w:tr w:rsidR="00024ECE" w:rsidRPr="00280C96" w14:paraId="5CF93203" w14:textId="77777777" w:rsidTr="00A0175E">
        <w:tc>
          <w:tcPr>
            <w:tcW w:w="0" w:type="auto"/>
            <w:tcBorders>
              <w:top w:val="single" w:sz="4" w:space="0" w:color="auto"/>
            </w:tcBorders>
            <w:hideMark/>
          </w:tcPr>
          <w:p w14:paraId="4807549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PEF</w:t>
            </w:r>
          </w:p>
        </w:tc>
        <w:tc>
          <w:tcPr>
            <w:tcW w:w="0" w:type="auto"/>
            <w:tcBorders>
              <w:top w:val="single" w:sz="4" w:space="0" w:color="auto"/>
            </w:tcBorders>
            <w:hideMark/>
          </w:tcPr>
          <w:p w14:paraId="5C461EF1" w14:textId="401221B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w:t>
            </w:r>
            <w:r w:rsidR="006C73C2" w:rsidRPr="00280C96">
              <w:rPr>
                <w:rFonts w:asciiTheme="majorBidi" w:hAnsiTheme="majorBidi" w:cstheme="majorBidi"/>
                <w:sz w:val="24"/>
                <w:szCs w:val="24"/>
              </w:rPr>
              <w:t>73</w:t>
            </w:r>
          </w:p>
        </w:tc>
        <w:tc>
          <w:tcPr>
            <w:tcW w:w="790" w:type="dxa"/>
            <w:tcBorders>
              <w:top w:val="single" w:sz="4" w:space="0" w:color="auto"/>
            </w:tcBorders>
            <w:hideMark/>
          </w:tcPr>
          <w:p w14:paraId="091DF2D3" w14:textId="0A814694"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w:t>
            </w:r>
            <w:r w:rsidR="006C73C2" w:rsidRPr="00280C96">
              <w:rPr>
                <w:rFonts w:asciiTheme="majorBidi" w:hAnsiTheme="majorBidi" w:cstheme="majorBidi"/>
                <w:sz w:val="24"/>
                <w:szCs w:val="24"/>
              </w:rPr>
              <w:t>68</w:t>
            </w:r>
          </w:p>
        </w:tc>
      </w:tr>
      <w:tr w:rsidR="00024ECE" w:rsidRPr="00280C96" w14:paraId="7CCE19D2" w14:textId="77777777" w:rsidTr="00A0175E">
        <w:tc>
          <w:tcPr>
            <w:tcW w:w="0" w:type="auto"/>
            <w:hideMark/>
          </w:tcPr>
          <w:p w14:paraId="5F00811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INF</w:t>
            </w:r>
          </w:p>
        </w:tc>
        <w:tc>
          <w:tcPr>
            <w:tcW w:w="0" w:type="auto"/>
            <w:hideMark/>
          </w:tcPr>
          <w:p w14:paraId="3166488C" w14:textId="0E3350C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3.1</w:t>
            </w:r>
            <w:r w:rsidR="006C73C2" w:rsidRPr="00280C96">
              <w:rPr>
                <w:rFonts w:asciiTheme="majorBidi" w:hAnsiTheme="majorBidi" w:cstheme="majorBidi"/>
                <w:sz w:val="24"/>
                <w:szCs w:val="24"/>
              </w:rPr>
              <w:t>7</w:t>
            </w:r>
          </w:p>
        </w:tc>
        <w:tc>
          <w:tcPr>
            <w:tcW w:w="790" w:type="dxa"/>
            <w:hideMark/>
          </w:tcPr>
          <w:p w14:paraId="3BF9E4DF" w14:textId="5B0E756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0.31</w:t>
            </w:r>
            <w:r w:rsidR="006C73C2" w:rsidRPr="00280C96">
              <w:rPr>
                <w:rFonts w:asciiTheme="majorBidi" w:hAnsiTheme="majorBidi" w:cstheme="majorBidi"/>
                <w:sz w:val="24"/>
                <w:szCs w:val="24"/>
              </w:rPr>
              <w:t>5</w:t>
            </w:r>
          </w:p>
        </w:tc>
      </w:tr>
      <w:tr w:rsidR="00024ECE" w:rsidRPr="00280C96" w14:paraId="2D47A85D" w14:textId="77777777" w:rsidTr="00A0175E">
        <w:tc>
          <w:tcPr>
            <w:tcW w:w="0" w:type="auto"/>
            <w:hideMark/>
          </w:tcPr>
          <w:p w14:paraId="09C19331"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FXR</w:t>
            </w:r>
          </w:p>
        </w:tc>
        <w:tc>
          <w:tcPr>
            <w:tcW w:w="0" w:type="auto"/>
            <w:hideMark/>
          </w:tcPr>
          <w:p w14:paraId="623862B1"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2.90</w:t>
            </w:r>
          </w:p>
        </w:tc>
        <w:tc>
          <w:tcPr>
            <w:tcW w:w="790" w:type="dxa"/>
            <w:hideMark/>
          </w:tcPr>
          <w:p w14:paraId="282EFA5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0.345</w:t>
            </w:r>
          </w:p>
        </w:tc>
      </w:tr>
      <w:tr w:rsidR="00024ECE" w:rsidRPr="00280C96" w14:paraId="1236C10E" w14:textId="77777777" w:rsidTr="00A0175E">
        <w:tc>
          <w:tcPr>
            <w:tcW w:w="0" w:type="auto"/>
            <w:hideMark/>
          </w:tcPr>
          <w:p w14:paraId="3112C4D0"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ROA</w:t>
            </w:r>
          </w:p>
        </w:tc>
        <w:tc>
          <w:tcPr>
            <w:tcW w:w="0" w:type="auto"/>
            <w:hideMark/>
          </w:tcPr>
          <w:p w14:paraId="38152EEA" w14:textId="47BD6601"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2.6</w:t>
            </w:r>
            <w:r w:rsidR="003C0475" w:rsidRPr="00280C96">
              <w:rPr>
                <w:rFonts w:asciiTheme="majorBidi" w:hAnsiTheme="majorBidi" w:cstheme="majorBidi"/>
                <w:sz w:val="24"/>
                <w:szCs w:val="24"/>
              </w:rPr>
              <w:t>4</w:t>
            </w:r>
          </w:p>
        </w:tc>
        <w:tc>
          <w:tcPr>
            <w:tcW w:w="790" w:type="dxa"/>
            <w:hideMark/>
          </w:tcPr>
          <w:p w14:paraId="1FB58833" w14:textId="54E9BD5D"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w:t>
            </w:r>
            <w:r w:rsidR="003C0475" w:rsidRPr="00280C96">
              <w:rPr>
                <w:rFonts w:asciiTheme="majorBidi" w:hAnsiTheme="majorBidi" w:cstheme="majorBidi"/>
                <w:sz w:val="24"/>
                <w:szCs w:val="24"/>
              </w:rPr>
              <w:t>78</w:t>
            </w:r>
          </w:p>
        </w:tc>
      </w:tr>
      <w:tr w:rsidR="00024ECE" w:rsidRPr="00280C96" w14:paraId="7BB33DAD" w14:textId="77777777" w:rsidTr="00A0175E">
        <w:tc>
          <w:tcPr>
            <w:tcW w:w="0" w:type="auto"/>
            <w:hideMark/>
          </w:tcPr>
          <w:p w14:paraId="5998F639"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RPT</w:t>
            </w:r>
          </w:p>
        </w:tc>
        <w:tc>
          <w:tcPr>
            <w:tcW w:w="0" w:type="auto"/>
            <w:hideMark/>
          </w:tcPr>
          <w:p w14:paraId="5C2AD520" w14:textId="5C560A8E"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1.6</w:t>
            </w:r>
            <w:r w:rsidR="00256B67" w:rsidRPr="00280C96">
              <w:rPr>
                <w:rFonts w:asciiTheme="majorBidi" w:hAnsiTheme="majorBidi" w:cstheme="majorBidi"/>
                <w:sz w:val="24"/>
                <w:szCs w:val="24"/>
              </w:rPr>
              <w:t>9</w:t>
            </w:r>
          </w:p>
        </w:tc>
        <w:tc>
          <w:tcPr>
            <w:tcW w:w="790" w:type="dxa"/>
            <w:hideMark/>
          </w:tcPr>
          <w:p w14:paraId="723F2675" w14:textId="195A4B7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256B67" w:rsidRPr="00280C96">
              <w:rPr>
                <w:rFonts w:asciiTheme="majorBidi" w:hAnsiTheme="majorBidi" w:cstheme="majorBidi"/>
                <w:sz w:val="24"/>
                <w:szCs w:val="24"/>
              </w:rPr>
              <w:t>593</w:t>
            </w:r>
          </w:p>
        </w:tc>
      </w:tr>
      <w:tr w:rsidR="00024ECE" w:rsidRPr="00280C96" w14:paraId="3A7AA851" w14:textId="77777777" w:rsidTr="00A0175E">
        <w:tc>
          <w:tcPr>
            <w:tcW w:w="0" w:type="auto"/>
            <w:hideMark/>
          </w:tcPr>
          <w:p w14:paraId="26521AB3"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CFT</w:t>
            </w:r>
          </w:p>
        </w:tc>
        <w:tc>
          <w:tcPr>
            <w:tcW w:w="0" w:type="auto"/>
            <w:hideMark/>
          </w:tcPr>
          <w:p w14:paraId="36D6FA74" w14:textId="3052536D"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w:t>
            </w:r>
            <w:r w:rsidR="00A0175E" w:rsidRPr="00280C96">
              <w:rPr>
                <w:rFonts w:asciiTheme="majorBidi" w:hAnsiTheme="majorBidi" w:cstheme="majorBidi"/>
                <w:sz w:val="24"/>
                <w:szCs w:val="24"/>
              </w:rPr>
              <w:t>11</w:t>
            </w:r>
          </w:p>
        </w:tc>
        <w:tc>
          <w:tcPr>
            <w:tcW w:w="790" w:type="dxa"/>
            <w:hideMark/>
          </w:tcPr>
          <w:p w14:paraId="7052FB2C" w14:textId="7B593B66"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0.8</w:t>
            </w:r>
            <w:r w:rsidR="00A0175E" w:rsidRPr="00280C96">
              <w:rPr>
                <w:rFonts w:asciiTheme="majorBidi" w:hAnsiTheme="majorBidi" w:cstheme="majorBidi"/>
                <w:sz w:val="24"/>
                <w:szCs w:val="24"/>
              </w:rPr>
              <w:t>98</w:t>
            </w:r>
          </w:p>
        </w:tc>
      </w:tr>
      <w:tr w:rsidR="002316B4" w:rsidRPr="00280C96" w14:paraId="1B26F124" w14:textId="77777777" w:rsidTr="00A0175E">
        <w:tc>
          <w:tcPr>
            <w:tcW w:w="0" w:type="auto"/>
            <w:hideMark/>
          </w:tcPr>
          <w:p w14:paraId="0E980378" w14:textId="77777777" w:rsidR="002316B4" w:rsidRPr="00280C96" w:rsidRDefault="002316B4" w:rsidP="002316B4">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lastRenderedPageBreak/>
              <w:t>ECD</w:t>
            </w:r>
          </w:p>
        </w:tc>
        <w:tc>
          <w:tcPr>
            <w:tcW w:w="0" w:type="auto"/>
            <w:hideMark/>
          </w:tcPr>
          <w:p w14:paraId="78C9D67A" w14:textId="6A131815" w:rsidR="002316B4" w:rsidRPr="00280C96" w:rsidRDefault="002316B4" w:rsidP="002316B4">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1.22</w:t>
            </w:r>
          </w:p>
        </w:tc>
        <w:tc>
          <w:tcPr>
            <w:tcW w:w="790" w:type="dxa"/>
            <w:hideMark/>
          </w:tcPr>
          <w:p w14:paraId="7235F5E3" w14:textId="1EF62949" w:rsidR="002316B4" w:rsidRPr="00280C96" w:rsidRDefault="002316B4" w:rsidP="002316B4">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0.822</w:t>
            </w:r>
          </w:p>
        </w:tc>
      </w:tr>
      <w:tr w:rsidR="00024ECE" w:rsidRPr="00280C96" w14:paraId="7C7D8966" w14:textId="77777777" w:rsidTr="00A0175E">
        <w:tc>
          <w:tcPr>
            <w:tcW w:w="0" w:type="auto"/>
            <w:tcBorders>
              <w:bottom w:val="single" w:sz="4" w:space="0" w:color="auto"/>
            </w:tcBorders>
            <w:hideMark/>
          </w:tcPr>
          <w:p w14:paraId="3FFDA64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b/>
                <w:bCs/>
                <w:sz w:val="24"/>
                <w:szCs w:val="24"/>
              </w:rPr>
              <w:t>Mean VIF</w:t>
            </w:r>
          </w:p>
        </w:tc>
        <w:tc>
          <w:tcPr>
            <w:tcW w:w="0" w:type="auto"/>
            <w:tcBorders>
              <w:bottom w:val="single" w:sz="4" w:space="0" w:color="auto"/>
            </w:tcBorders>
            <w:hideMark/>
          </w:tcPr>
          <w:p w14:paraId="00E1C8F8" w14:textId="32C2FD6B"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b/>
                <w:bCs/>
                <w:sz w:val="24"/>
                <w:szCs w:val="24"/>
              </w:rPr>
              <w:t>2.</w:t>
            </w:r>
            <w:r w:rsidR="008B2B23" w:rsidRPr="00280C96">
              <w:rPr>
                <w:rFonts w:asciiTheme="majorBidi" w:hAnsiTheme="majorBidi" w:cstheme="majorBidi"/>
                <w:b/>
                <w:bCs/>
                <w:sz w:val="24"/>
                <w:szCs w:val="24"/>
              </w:rPr>
              <w:t>35</w:t>
            </w:r>
          </w:p>
        </w:tc>
        <w:tc>
          <w:tcPr>
            <w:tcW w:w="790" w:type="dxa"/>
            <w:tcBorders>
              <w:bottom w:val="single" w:sz="4" w:space="0" w:color="auto"/>
            </w:tcBorders>
            <w:hideMark/>
          </w:tcPr>
          <w:p w14:paraId="70E78245" w14:textId="77777777" w:rsidR="00024ECE" w:rsidRPr="00280C96" w:rsidRDefault="00024ECE" w:rsidP="00024ECE">
            <w:pPr>
              <w:spacing w:after="160" w:line="360" w:lineRule="auto"/>
              <w:jc w:val="both"/>
              <w:rPr>
                <w:rFonts w:asciiTheme="majorBidi" w:hAnsiTheme="majorBidi" w:cstheme="majorBidi"/>
                <w:sz w:val="24"/>
                <w:szCs w:val="24"/>
              </w:rPr>
            </w:pPr>
          </w:p>
        </w:tc>
      </w:tr>
    </w:tbl>
    <w:p w14:paraId="6F85294D" w14:textId="77777777" w:rsidR="00D111C8" w:rsidRPr="00280C96" w:rsidRDefault="00D111C8" w:rsidP="00024ECE">
      <w:pPr>
        <w:spacing w:line="360" w:lineRule="auto"/>
        <w:jc w:val="both"/>
        <w:rPr>
          <w:rFonts w:asciiTheme="majorBidi" w:hAnsiTheme="majorBidi" w:cstheme="majorBidi"/>
          <w:b/>
          <w:bCs/>
          <w:sz w:val="24"/>
          <w:szCs w:val="24"/>
        </w:rPr>
      </w:pPr>
    </w:p>
    <w:p w14:paraId="4AFFCAB0" w14:textId="5852D969" w:rsidR="00024ECE" w:rsidRPr="00280C96" w:rsidRDefault="00D111C8"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We</w:t>
      </w:r>
      <w:r w:rsidR="00024ECE" w:rsidRPr="00280C96">
        <w:rPr>
          <w:rFonts w:asciiTheme="majorBidi" w:hAnsiTheme="majorBidi" w:cstheme="majorBidi"/>
          <w:sz w:val="24"/>
          <w:szCs w:val="24"/>
        </w:rPr>
        <w:t xml:space="preserve"> test</w:t>
      </w:r>
      <w:r w:rsidRPr="00280C96">
        <w:rPr>
          <w:rFonts w:asciiTheme="majorBidi" w:hAnsiTheme="majorBidi" w:cstheme="majorBidi"/>
          <w:sz w:val="24"/>
          <w:szCs w:val="24"/>
        </w:rPr>
        <w:t xml:space="preserve">ed </w:t>
      </w:r>
      <w:r w:rsidR="00024ECE" w:rsidRPr="00280C96">
        <w:rPr>
          <w:rFonts w:asciiTheme="majorBidi" w:hAnsiTheme="majorBidi" w:cstheme="majorBidi"/>
          <w:sz w:val="24"/>
          <w:szCs w:val="24"/>
        </w:rPr>
        <w:t xml:space="preserve">for heteroskedasticity, the Breusch–Pagan/Cook–Weisberg test was applied. The result, displayed in Table </w:t>
      </w:r>
      <w:r w:rsidR="009A60C2" w:rsidRPr="00280C96">
        <w:rPr>
          <w:rFonts w:asciiTheme="majorBidi" w:hAnsiTheme="majorBidi" w:cstheme="majorBidi"/>
          <w:sz w:val="24"/>
          <w:szCs w:val="24"/>
        </w:rPr>
        <w:t>5,</w:t>
      </w:r>
      <w:r w:rsidR="00024ECE" w:rsidRPr="00280C96">
        <w:rPr>
          <w:rFonts w:asciiTheme="majorBidi" w:hAnsiTheme="majorBidi" w:cstheme="majorBidi"/>
          <w:sz w:val="24"/>
          <w:szCs w:val="24"/>
        </w:rPr>
        <w:t xml:space="preserve"> returned a p-value of 0.</w:t>
      </w:r>
      <w:r w:rsidR="00371C92" w:rsidRPr="00280C96">
        <w:rPr>
          <w:rFonts w:asciiTheme="majorBidi" w:hAnsiTheme="majorBidi" w:cstheme="majorBidi"/>
          <w:sz w:val="24"/>
          <w:szCs w:val="24"/>
        </w:rPr>
        <w:t>0596</w:t>
      </w:r>
      <w:r w:rsidR="00024ECE" w:rsidRPr="00280C96">
        <w:rPr>
          <w:rFonts w:asciiTheme="majorBidi" w:hAnsiTheme="majorBidi" w:cstheme="majorBidi"/>
          <w:sz w:val="24"/>
          <w:szCs w:val="24"/>
        </w:rPr>
        <w:t>, indicating the absence of heteroskedasticity in the residuals.</w:t>
      </w:r>
    </w:p>
    <w:p w14:paraId="520FA7C4" w14:textId="0BC873E6"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Table</w:t>
      </w:r>
      <w:r w:rsidR="00D111C8" w:rsidRPr="00280C96">
        <w:rPr>
          <w:rFonts w:asciiTheme="majorBidi" w:hAnsiTheme="majorBidi" w:cstheme="majorBidi"/>
          <w:sz w:val="24"/>
          <w:szCs w:val="24"/>
        </w:rPr>
        <w:t xml:space="preserve"> 5: </w:t>
      </w:r>
      <w:r w:rsidRPr="00280C96">
        <w:rPr>
          <w:rFonts w:asciiTheme="majorBidi" w:hAnsiTheme="majorBidi" w:cstheme="majorBidi"/>
          <w:i/>
          <w:iCs/>
          <w:sz w:val="24"/>
          <w:szCs w:val="24"/>
        </w:rPr>
        <w:t>Breusch–Pagan Test for Heteroskedasticity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735"/>
      </w:tblGrid>
      <w:tr w:rsidR="00024ECE" w:rsidRPr="00280C96" w14:paraId="6AE5DEED" w14:textId="77777777" w:rsidTr="00024ECE">
        <w:trPr>
          <w:tblCellSpacing w:w="15" w:type="dxa"/>
        </w:trPr>
        <w:tc>
          <w:tcPr>
            <w:tcW w:w="0" w:type="auto"/>
            <w:vAlign w:val="center"/>
            <w:hideMark/>
          </w:tcPr>
          <w:p w14:paraId="3DA3DE46"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Statistic</w:t>
            </w:r>
          </w:p>
        </w:tc>
        <w:tc>
          <w:tcPr>
            <w:tcW w:w="0" w:type="auto"/>
            <w:vAlign w:val="center"/>
            <w:hideMark/>
          </w:tcPr>
          <w:p w14:paraId="5292F5A0"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Value</w:t>
            </w:r>
          </w:p>
        </w:tc>
      </w:tr>
      <w:tr w:rsidR="00024ECE" w:rsidRPr="00280C96" w14:paraId="4D48E743" w14:textId="77777777" w:rsidTr="00024ECE">
        <w:trPr>
          <w:tblCellSpacing w:w="15" w:type="dxa"/>
        </w:trPr>
        <w:tc>
          <w:tcPr>
            <w:tcW w:w="0" w:type="auto"/>
            <w:vAlign w:val="center"/>
            <w:hideMark/>
          </w:tcPr>
          <w:p w14:paraId="0FA62835"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Chi</w:t>
            </w:r>
            <w:proofErr w:type="gramStart"/>
            <w:r w:rsidRPr="00280C96">
              <w:rPr>
                <w:rFonts w:asciiTheme="majorBidi" w:hAnsiTheme="majorBidi" w:cstheme="majorBidi"/>
                <w:sz w:val="24"/>
                <w:szCs w:val="24"/>
              </w:rPr>
              <w:t>²(</w:t>
            </w:r>
            <w:proofErr w:type="gramEnd"/>
            <w:r w:rsidRPr="00280C96">
              <w:rPr>
                <w:rFonts w:asciiTheme="majorBidi" w:hAnsiTheme="majorBidi" w:cstheme="majorBidi"/>
                <w:sz w:val="24"/>
                <w:szCs w:val="24"/>
              </w:rPr>
              <w:t>1)</w:t>
            </w:r>
          </w:p>
        </w:tc>
        <w:tc>
          <w:tcPr>
            <w:tcW w:w="0" w:type="auto"/>
            <w:vAlign w:val="center"/>
            <w:hideMark/>
          </w:tcPr>
          <w:p w14:paraId="74612156" w14:textId="1D41620D" w:rsidR="00024ECE" w:rsidRPr="00280C96" w:rsidRDefault="009A2D39"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3</w:t>
            </w:r>
            <w:r w:rsidR="00024ECE" w:rsidRPr="00280C96">
              <w:rPr>
                <w:rFonts w:asciiTheme="majorBidi" w:hAnsiTheme="majorBidi" w:cstheme="majorBidi"/>
                <w:sz w:val="24"/>
                <w:szCs w:val="24"/>
              </w:rPr>
              <w:t>.</w:t>
            </w:r>
            <w:r w:rsidRPr="00280C96">
              <w:rPr>
                <w:rFonts w:asciiTheme="majorBidi" w:hAnsiTheme="majorBidi" w:cstheme="majorBidi"/>
                <w:sz w:val="24"/>
                <w:szCs w:val="24"/>
              </w:rPr>
              <w:t>55</w:t>
            </w:r>
          </w:p>
        </w:tc>
      </w:tr>
      <w:tr w:rsidR="00024ECE" w:rsidRPr="00280C96" w14:paraId="26960410" w14:textId="77777777" w:rsidTr="00024ECE">
        <w:trPr>
          <w:tblCellSpacing w:w="15" w:type="dxa"/>
        </w:trPr>
        <w:tc>
          <w:tcPr>
            <w:tcW w:w="0" w:type="auto"/>
            <w:vAlign w:val="center"/>
            <w:hideMark/>
          </w:tcPr>
          <w:p w14:paraId="00DCDB79"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p-value</w:t>
            </w:r>
          </w:p>
        </w:tc>
        <w:tc>
          <w:tcPr>
            <w:tcW w:w="0" w:type="auto"/>
            <w:vAlign w:val="center"/>
            <w:hideMark/>
          </w:tcPr>
          <w:p w14:paraId="33DC542D" w14:textId="71505D2C"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9A2D39" w:rsidRPr="00280C96">
              <w:rPr>
                <w:rFonts w:asciiTheme="majorBidi" w:hAnsiTheme="majorBidi" w:cstheme="majorBidi"/>
                <w:sz w:val="24"/>
                <w:szCs w:val="24"/>
              </w:rPr>
              <w:t>0596</w:t>
            </w:r>
          </w:p>
        </w:tc>
      </w:tr>
    </w:tbl>
    <w:p w14:paraId="679941E8" w14:textId="1D0F4FD2" w:rsidR="009C5FEE" w:rsidRPr="00280C96" w:rsidRDefault="00024ECE" w:rsidP="00EC1CF6">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Decision: Fail to reject the null hypothesis of constant variance. The model is </w:t>
      </w:r>
      <w:proofErr w:type="spellStart"/>
      <w:r w:rsidRPr="00280C96">
        <w:rPr>
          <w:rFonts w:asciiTheme="majorBidi" w:hAnsiTheme="majorBidi" w:cstheme="majorBidi"/>
          <w:sz w:val="24"/>
          <w:szCs w:val="24"/>
        </w:rPr>
        <w:t>homoskedastic</w:t>
      </w:r>
      <w:proofErr w:type="spellEnd"/>
      <w:r w:rsidRPr="00280C96">
        <w:rPr>
          <w:rFonts w:asciiTheme="majorBidi" w:hAnsiTheme="majorBidi" w:cstheme="majorBidi"/>
          <w:sz w:val="24"/>
          <w:szCs w:val="24"/>
        </w:rPr>
        <w:t>.</w:t>
      </w:r>
    </w:p>
    <w:p w14:paraId="20A3A62A" w14:textId="77777777" w:rsidR="00D55771" w:rsidRPr="00280C96" w:rsidRDefault="00D55771" w:rsidP="00402D74">
      <w:pPr>
        <w:pStyle w:val="Heading2"/>
        <w:rPr>
          <w:rFonts w:asciiTheme="majorBidi" w:hAnsiTheme="majorBidi"/>
          <w:b/>
          <w:bCs/>
          <w:color w:val="auto"/>
          <w:sz w:val="24"/>
          <w:szCs w:val="24"/>
        </w:rPr>
      </w:pPr>
      <w:r w:rsidRPr="00280C96">
        <w:rPr>
          <w:rFonts w:asciiTheme="majorBidi" w:hAnsiTheme="majorBidi"/>
          <w:b/>
          <w:bCs/>
          <w:color w:val="auto"/>
          <w:sz w:val="24"/>
          <w:szCs w:val="24"/>
        </w:rPr>
        <w:t>4.4 Logistic Regression Analysis</w:t>
      </w:r>
    </w:p>
    <w:p w14:paraId="0C514F39" w14:textId="7CE6A0D0" w:rsidR="00D55771" w:rsidRPr="00280C96" w:rsidRDefault="00615425" w:rsidP="00615425">
      <w:pPr>
        <w:spacing w:line="360" w:lineRule="auto"/>
        <w:jc w:val="both"/>
        <w:rPr>
          <w:rFonts w:asciiTheme="majorBidi" w:hAnsiTheme="majorBidi" w:cstheme="majorBidi"/>
          <w:sz w:val="24"/>
          <w:szCs w:val="24"/>
        </w:rPr>
      </w:pPr>
      <w:r w:rsidRPr="00615425">
        <w:rPr>
          <w:rFonts w:asciiTheme="majorBidi" w:hAnsiTheme="majorBidi" w:cstheme="majorBidi"/>
          <w:sz w:val="24"/>
          <w:szCs w:val="24"/>
        </w:rPr>
        <w:t xml:space="preserve">This section presents the results of the binary logistic regression analysis used to examine the determinants of fraudulent financial reporting (FFR) among Deposit Money Banks (DMBs) in Nigeria. The model includes the four constructs of the Fraud Diamond Theory: Pressure (CFT), Opportunity (RPT), </w:t>
      </w:r>
      <w:proofErr w:type="spellStart"/>
      <w:r w:rsidRPr="00615425">
        <w:rPr>
          <w:rFonts w:asciiTheme="majorBidi" w:hAnsiTheme="majorBidi" w:cstheme="majorBidi"/>
          <w:sz w:val="24"/>
          <w:szCs w:val="24"/>
        </w:rPr>
        <w:t>Rationalisation</w:t>
      </w:r>
      <w:proofErr w:type="spellEnd"/>
      <w:r w:rsidRPr="00615425">
        <w:rPr>
          <w:rFonts w:asciiTheme="majorBidi" w:hAnsiTheme="majorBidi" w:cstheme="majorBidi"/>
          <w:sz w:val="24"/>
          <w:szCs w:val="24"/>
        </w:rPr>
        <w:t xml:space="preserve"> (ECD), and Capability (PEF), alongside control variables such as ROA, inflation (INF), and exchange rate (FXR). The model is statistically significant (Chi² = 32.50, p &lt; 0.001), with a pseudo R² of 0.1870, indicating a moderately good fit and explanatory power</w:t>
      </w:r>
      <w:r w:rsidR="00D55771" w:rsidRPr="00280C96">
        <w:rPr>
          <w:rFonts w:asciiTheme="majorBidi" w:hAnsiTheme="majorBidi" w:cstheme="majorBidi"/>
          <w:sz w:val="24"/>
          <w:szCs w:val="24"/>
        </w:rPr>
        <w:t>.</w:t>
      </w:r>
    </w:p>
    <w:p w14:paraId="26C618F7" w14:textId="005DD619" w:rsidR="00B22CC8" w:rsidRPr="00280C96" w:rsidRDefault="00B22CC8" w:rsidP="00B22CC8">
      <w:pPr>
        <w:spacing w:line="240" w:lineRule="auto"/>
        <w:contextualSpacing/>
        <w:rPr>
          <w:rFonts w:asciiTheme="majorBidi" w:hAnsiTheme="majorBidi" w:cstheme="majorBidi"/>
          <w:sz w:val="24"/>
          <w:szCs w:val="24"/>
        </w:rPr>
      </w:pPr>
      <w:r w:rsidRPr="00280C96">
        <w:rPr>
          <w:rFonts w:asciiTheme="majorBidi" w:hAnsiTheme="majorBidi" w:cstheme="majorBidi"/>
          <w:sz w:val="24"/>
          <w:szCs w:val="24"/>
        </w:rPr>
        <w:t xml:space="preserve">Table 6: Logistic Regression Results </w:t>
      </w:r>
    </w:p>
    <w:tbl>
      <w:tblPr>
        <w:tblStyle w:val="TableGridLight"/>
        <w:tblW w:w="0" w:type="auto"/>
        <w:tblLook w:val="04A0" w:firstRow="1" w:lastRow="0" w:firstColumn="1" w:lastColumn="0" w:noHBand="0" w:noVBand="1"/>
      </w:tblPr>
      <w:tblGrid>
        <w:gridCol w:w="4069"/>
        <w:gridCol w:w="2103"/>
        <w:gridCol w:w="1592"/>
      </w:tblGrid>
      <w:tr w:rsidR="00A53F9B" w:rsidRPr="00A53F9B" w14:paraId="48AF4DC1" w14:textId="77777777" w:rsidTr="00A53F9B">
        <w:tc>
          <w:tcPr>
            <w:tcW w:w="0" w:type="auto"/>
            <w:tcBorders>
              <w:top w:val="single" w:sz="4" w:space="0" w:color="auto"/>
              <w:bottom w:val="single" w:sz="4" w:space="0" w:color="auto"/>
            </w:tcBorders>
            <w:hideMark/>
          </w:tcPr>
          <w:p w14:paraId="70C971B8" w14:textId="77777777" w:rsidR="00A53F9B" w:rsidRPr="00A53F9B" w:rsidRDefault="00A53F9B" w:rsidP="00A53F9B">
            <w:pPr>
              <w:spacing w:after="160" w:line="259" w:lineRule="auto"/>
              <w:rPr>
                <w:rFonts w:asciiTheme="majorBidi" w:hAnsiTheme="majorBidi" w:cstheme="majorBidi"/>
                <w:b/>
                <w:bCs/>
                <w:sz w:val="24"/>
                <w:szCs w:val="24"/>
              </w:rPr>
            </w:pPr>
            <w:r w:rsidRPr="00A53F9B">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7B1C9421" w14:textId="77777777" w:rsidR="00A53F9B" w:rsidRPr="00A53F9B" w:rsidRDefault="00A53F9B" w:rsidP="00A53F9B">
            <w:pPr>
              <w:spacing w:after="160" w:line="259" w:lineRule="auto"/>
              <w:rPr>
                <w:rFonts w:asciiTheme="majorBidi" w:hAnsiTheme="majorBidi" w:cstheme="majorBidi"/>
                <w:b/>
                <w:bCs/>
                <w:sz w:val="24"/>
                <w:szCs w:val="24"/>
              </w:rPr>
            </w:pPr>
            <w:r w:rsidRPr="00A53F9B">
              <w:rPr>
                <w:rFonts w:asciiTheme="majorBidi" w:hAnsiTheme="majorBidi" w:cstheme="majorBidi"/>
                <w:b/>
                <w:bCs/>
                <w:sz w:val="24"/>
                <w:szCs w:val="24"/>
              </w:rPr>
              <w:t>Coefficient (Logit)</w:t>
            </w:r>
          </w:p>
        </w:tc>
        <w:tc>
          <w:tcPr>
            <w:tcW w:w="0" w:type="auto"/>
            <w:tcBorders>
              <w:top w:val="single" w:sz="4" w:space="0" w:color="auto"/>
              <w:bottom w:val="single" w:sz="4" w:space="0" w:color="auto"/>
            </w:tcBorders>
            <w:hideMark/>
          </w:tcPr>
          <w:p w14:paraId="126BB299" w14:textId="77777777" w:rsidR="00A53F9B" w:rsidRPr="00A53F9B" w:rsidRDefault="00A53F9B" w:rsidP="00A53F9B">
            <w:pPr>
              <w:spacing w:after="160" w:line="259" w:lineRule="auto"/>
              <w:rPr>
                <w:rFonts w:asciiTheme="majorBidi" w:hAnsiTheme="majorBidi" w:cstheme="majorBidi"/>
                <w:b/>
                <w:bCs/>
                <w:sz w:val="24"/>
                <w:szCs w:val="24"/>
              </w:rPr>
            </w:pPr>
            <w:r w:rsidRPr="00A53F9B">
              <w:rPr>
                <w:rFonts w:asciiTheme="majorBidi" w:hAnsiTheme="majorBidi" w:cstheme="majorBidi"/>
                <w:b/>
                <w:bCs/>
                <w:sz w:val="24"/>
                <w:szCs w:val="24"/>
              </w:rPr>
              <w:t>Significance</w:t>
            </w:r>
          </w:p>
        </w:tc>
      </w:tr>
      <w:tr w:rsidR="00A53F9B" w:rsidRPr="00A53F9B" w14:paraId="3EA1E83A" w14:textId="77777777" w:rsidTr="00A53F9B">
        <w:tc>
          <w:tcPr>
            <w:tcW w:w="0" w:type="auto"/>
            <w:tcBorders>
              <w:top w:val="single" w:sz="4" w:space="0" w:color="auto"/>
            </w:tcBorders>
            <w:hideMark/>
          </w:tcPr>
          <w:p w14:paraId="0846CB78"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CFT (Cash Flow Trend)</w:t>
            </w:r>
          </w:p>
        </w:tc>
        <w:tc>
          <w:tcPr>
            <w:tcW w:w="0" w:type="auto"/>
            <w:tcBorders>
              <w:top w:val="single" w:sz="4" w:space="0" w:color="auto"/>
            </w:tcBorders>
            <w:hideMark/>
          </w:tcPr>
          <w:p w14:paraId="1EF872B8"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–0.2666</w:t>
            </w:r>
          </w:p>
        </w:tc>
        <w:tc>
          <w:tcPr>
            <w:tcW w:w="0" w:type="auto"/>
            <w:tcBorders>
              <w:top w:val="single" w:sz="4" w:space="0" w:color="auto"/>
            </w:tcBorders>
            <w:hideMark/>
          </w:tcPr>
          <w:p w14:paraId="3C55B231"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0.01)</w:t>
            </w:r>
          </w:p>
        </w:tc>
      </w:tr>
      <w:tr w:rsidR="00A53F9B" w:rsidRPr="00A53F9B" w14:paraId="61E4F194" w14:textId="77777777" w:rsidTr="00A53F9B">
        <w:tc>
          <w:tcPr>
            <w:tcW w:w="0" w:type="auto"/>
            <w:hideMark/>
          </w:tcPr>
          <w:p w14:paraId="6456DE8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RPT (Related Party Transactions)</w:t>
            </w:r>
          </w:p>
        </w:tc>
        <w:tc>
          <w:tcPr>
            <w:tcW w:w="0" w:type="auto"/>
            <w:hideMark/>
          </w:tcPr>
          <w:p w14:paraId="73A3924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4.4437</w:t>
            </w:r>
          </w:p>
        </w:tc>
        <w:tc>
          <w:tcPr>
            <w:tcW w:w="0" w:type="auto"/>
            <w:hideMark/>
          </w:tcPr>
          <w:p w14:paraId="652F47DE"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0.10)</w:t>
            </w:r>
          </w:p>
        </w:tc>
      </w:tr>
      <w:tr w:rsidR="00A53F9B" w:rsidRPr="00A53F9B" w14:paraId="1823149A" w14:textId="77777777" w:rsidTr="00A53F9B">
        <w:tc>
          <w:tcPr>
            <w:tcW w:w="0" w:type="auto"/>
            <w:hideMark/>
          </w:tcPr>
          <w:p w14:paraId="2714A41E"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ECD (Economic Downturn)</w:t>
            </w:r>
          </w:p>
        </w:tc>
        <w:tc>
          <w:tcPr>
            <w:tcW w:w="0" w:type="auto"/>
            <w:hideMark/>
          </w:tcPr>
          <w:p w14:paraId="5DE8D53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0.0972</w:t>
            </w:r>
          </w:p>
        </w:tc>
        <w:tc>
          <w:tcPr>
            <w:tcW w:w="0" w:type="auto"/>
            <w:hideMark/>
          </w:tcPr>
          <w:p w14:paraId="484848F1"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0.10)</w:t>
            </w:r>
          </w:p>
        </w:tc>
      </w:tr>
      <w:tr w:rsidR="00A53F9B" w:rsidRPr="00A53F9B" w14:paraId="3AA90634" w14:textId="77777777" w:rsidTr="00A53F9B">
        <w:tc>
          <w:tcPr>
            <w:tcW w:w="0" w:type="auto"/>
            <w:hideMark/>
          </w:tcPr>
          <w:p w14:paraId="14DA23A0"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PEF (Pressure from Earnings Forecasts)</w:t>
            </w:r>
          </w:p>
        </w:tc>
        <w:tc>
          <w:tcPr>
            <w:tcW w:w="0" w:type="auto"/>
            <w:hideMark/>
          </w:tcPr>
          <w:p w14:paraId="0F957623"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–4.4072</w:t>
            </w:r>
          </w:p>
        </w:tc>
        <w:tc>
          <w:tcPr>
            <w:tcW w:w="0" w:type="auto"/>
            <w:hideMark/>
          </w:tcPr>
          <w:p w14:paraId="73E1DB5A"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ns</w:t>
            </w:r>
          </w:p>
        </w:tc>
      </w:tr>
      <w:tr w:rsidR="00A53F9B" w:rsidRPr="00A53F9B" w14:paraId="136CFB19" w14:textId="77777777" w:rsidTr="00A53F9B">
        <w:tc>
          <w:tcPr>
            <w:tcW w:w="0" w:type="auto"/>
            <w:hideMark/>
          </w:tcPr>
          <w:p w14:paraId="015FD222"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ROA (Return on Assets)</w:t>
            </w:r>
          </w:p>
        </w:tc>
        <w:tc>
          <w:tcPr>
            <w:tcW w:w="0" w:type="auto"/>
            <w:hideMark/>
          </w:tcPr>
          <w:p w14:paraId="540D22A4"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35.8274</w:t>
            </w:r>
          </w:p>
        </w:tc>
        <w:tc>
          <w:tcPr>
            <w:tcW w:w="0" w:type="auto"/>
            <w:hideMark/>
          </w:tcPr>
          <w:p w14:paraId="16F6C194"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ns</w:t>
            </w:r>
          </w:p>
        </w:tc>
      </w:tr>
      <w:tr w:rsidR="00A53F9B" w:rsidRPr="00A53F9B" w14:paraId="76F77BD0" w14:textId="77777777" w:rsidTr="00A53F9B">
        <w:tc>
          <w:tcPr>
            <w:tcW w:w="0" w:type="auto"/>
            <w:hideMark/>
          </w:tcPr>
          <w:p w14:paraId="56E9A7A0"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INF (Inflation Rate)</w:t>
            </w:r>
          </w:p>
        </w:tc>
        <w:tc>
          <w:tcPr>
            <w:tcW w:w="0" w:type="auto"/>
            <w:hideMark/>
          </w:tcPr>
          <w:p w14:paraId="5CD0922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0.1976</w:t>
            </w:r>
          </w:p>
        </w:tc>
        <w:tc>
          <w:tcPr>
            <w:tcW w:w="0" w:type="auto"/>
            <w:hideMark/>
          </w:tcPr>
          <w:p w14:paraId="48837A4B"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0.01)</w:t>
            </w:r>
          </w:p>
        </w:tc>
      </w:tr>
      <w:tr w:rsidR="00A53F9B" w:rsidRPr="00A53F9B" w14:paraId="026B4610" w14:textId="77777777" w:rsidTr="00A53F9B">
        <w:tc>
          <w:tcPr>
            <w:tcW w:w="0" w:type="auto"/>
            <w:tcBorders>
              <w:bottom w:val="single" w:sz="4" w:space="0" w:color="BFBFBF" w:themeColor="background1" w:themeShade="BF"/>
            </w:tcBorders>
            <w:hideMark/>
          </w:tcPr>
          <w:p w14:paraId="0F55E256"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FXR (Exchange Rate)</w:t>
            </w:r>
          </w:p>
        </w:tc>
        <w:tc>
          <w:tcPr>
            <w:tcW w:w="0" w:type="auto"/>
            <w:tcBorders>
              <w:bottom w:val="single" w:sz="4" w:space="0" w:color="BFBFBF" w:themeColor="background1" w:themeShade="BF"/>
            </w:tcBorders>
            <w:hideMark/>
          </w:tcPr>
          <w:p w14:paraId="6CD8B5D0"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–0.0121</w:t>
            </w:r>
          </w:p>
        </w:tc>
        <w:tc>
          <w:tcPr>
            <w:tcW w:w="0" w:type="auto"/>
            <w:tcBorders>
              <w:bottom w:val="single" w:sz="4" w:space="0" w:color="BFBFBF" w:themeColor="background1" w:themeShade="BF"/>
            </w:tcBorders>
            <w:hideMark/>
          </w:tcPr>
          <w:p w14:paraId="50C3CBB9"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0.01)</w:t>
            </w:r>
          </w:p>
        </w:tc>
      </w:tr>
      <w:tr w:rsidR="00A53F9B" w:rsidRPr="00A53F9B" w14:paraId="0E60FBD5" w14:textId="77777777" w:rsidTr="00A53F9B">
        <w:tc>
          <w:tcPr>
            <w:tcW w:w="0" w:type="auto"/>
            <w:tcBorders>
              <w:bottom w:val="single" w:sz="4" w:space="0" w:color="auto"/>
            </w:tcBorders>
            <w:hideMark/>
          </w:tcPr>
          <w:p w14:paraId="686B7CB9"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lastRenderedPageBreak/>
              <w:t>Constant</w:t>
            </w:r>
          </w:p>
        </w:tc>
        <w:tc>
          <w:tcPr>
            <w:tcW w:w="0" w:type="auto"/>
            <w:tcBorders>
              <w:bottom w:val="single" w:sz="4" w:space="0" w:color="auto"/>
            </w:tcBorders>
            <w:hideMark/>
          </w:tcPr>
          <w:p w14:paraId="7E9CA5CA"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1.0825</w:t>
            </w:r>
          </w:p>
        </w:tc>
        <w:tc>
          <w:tcPr>
            <w:tcW w:w="0" w:type="auto"/>
            <w:tcBorders>
              <w:bottom w:val="single" w:sz="4" w:space="0" w:color="auto"/>
            </w:tcBorders>
            <w:hideMark/>
          </w:tcPr>
          <w:p w14:paraId="5A912C6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ns</w:t>
            </w:r>
          </w:p>
        </w:tc>
      </w:tr>
    </w:tbl>
    <w:p w14:paraId="3EE36C40" w14:textId="77777777" w:rsidR="00DB476B" w:rsidRPr="00280C96" w:rsidRDefault="00A53F9B" w:rsidP="00DB476B">
      <w:pPr>
        <w:spacing w:line="240" w:lineRule="auto"/>
        <w:contextualSpacing/>
        <w:rPr>
          <w:rFonts w:asciiTheme="majorBidi" w:hAnsiTheme="majorBidi" w:cstheme="majorBidi"/>
          <w:i/>
          <w:iCs/>
          <w:sz w:val="24"/>
          <w:szCs w:val="24"/>
        </w:rPr>
      </w:pPr>
      <w:r w:rsidRPr="00A53F9B">
        <w:rPr>
          <w:rFonts w:asciiTheme="majorBidi" w:hAnsiTheme="majorBidi" w:cstheme="majorBidi"/>
          <w:i/>
          <w:iCs/>
          <w:sz w:val="24"/>
          <w:szCs w:val="24"/>
        </w:rPr>
        <w:t>Chi² = 32.4987, N = 132, AIC = 157.6351, BIC = 180.6975</w:t>
      </w:r>
    </w:p>
    <w:p w14:paraId="344B4725" w14:textId="71C53966" w:rsidR="00D55771" w:rsidRPr="00280C96" w:rsidRDefault="00B22CC8" w:rsidP="00DB476B">
      <w:pPr>
        <w:spacing w:line="240" w:lineRule="auto"/>
        <w:contextualSpacing/>
        <w:rPr>
          <w:rFonts w:asciiTheme="majorBidi" w:hAnsiTheme="majorBidi" w:cstheme="majorBidi"/>
          <w:sz w:val="24"/>
          <w:szCs w:val="24"/>
        </w:rPr>
      </w:pPr>
      <w:r w:rsidRPr="00280C96">
        <w:rPr>
          <w:rFonts w:asciiTheme="majorBidi" w:hAnsiTheme="majorBidi" w:cstheme="majorBidi"/>
          <w:sz w:val="24"/>
          <w:szCs w:val="24"/>
        </w:rPr>
        <w:t>Source: Processed data by authors.</w:t>
      </w:r>
    </w:p>
    <w:p w14:paraId="6E6AD72D" w14:textId="77777777" w:rsidR="008141E6" w:rsidRPr="00280C96" w:rsidRDefault="008141E6" w:rsidP="00C830B8">
      <w:pPr>
        <w:spacing w:line="360" w:lineRule="auto"/>
        <w:jc w:val="both"/>
        <w:rPr>
          <w:rFonts w:asciiTheme="majorBidi" w:hAnsiTheme="majorBidi" w:cstheme="majorBidi"/>
          <w:sz w:val="24"/>
          <w:szCs w:val="24"/>
        </w:rPr>
      </w:pPr>
    </w:p>
    <w:p w14:paraId="2944BBA4" w14:textId="222B33B1"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 xml:space="preserve">As shown in Table 6, Cash Flow Trend (CFT) exhibits a negative and highly significant coefficient (β = –0.2666, p &lt; 0.01). This supports the first hypothesis (H1) that financial pressure increases the likelihood of fraudulent reporting. Specifically, deteriorating cash flows heighten the risk of manipulation, consistent with the theoretical assertion that financial strain is a catalyst for unethical reporting </w:t>
      </w:r>
      <w:proofErr w:type="spellStart"/>
      <w:r w:rsidRPr="00C830B8">
        <w:rPr>
          <w:rFonts w:asciiTheme="majorBidi" w:hAnsiTheme="majorBidi" w:cstheme="majorBidi"/>
          <w:sz w:val="24"/>
          <w:szCs w:val="24"/>
        </w:rPr>
        <w:t>behaviour</w:t>
      </w:r>
      <w:proofErr w:type="spellEnd"/>
      <w:r w:rsidRPr="00C830B8">
        <w:rPr>
          <w:rFonts w:asciiTheme="majorBidi" w:hAnsiTheme="majorBidi" w:cstheme="majorBidi"/>
          <w:sz w:val="24"/>
          <w:szCs w:val="24"/>
        </w:rPr>
        <w:t>. The result also aligns with prior empirical evidence that liquidity stress is a core motivator of earnings management in banking environments.</w:t>
      </w:r>
    </w:p>
    <w:p w14:paraId="4CDF55D3" w14:textId="77777777"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Opportunity, measured through Related Party Transactions (RPT), is positively associated with FFR (β = 4.4437, p &lt; 0.10), providing marginal support for the second hypothesis (H2). Although the effect is weakly significant, it reinforces the idea that intercompany dealings offer avenues for obscuring transactions and inflating earnings, particularly when oversight mechanisms are weak or when related parties are used as conduits for misreporting. The implication is that banks with higher levels of related-party exposures are more susceptible to accounting manipulation.</w:t>
      </w:r>
    </w:p>
    <w:p w14:paraId="2EEC51ED" w14:textId="7EAB0B88" w:rsidR="00C830B8" w:rsidRPr="00C830B8" w:rsidRDefault="00C830B8" w:rsidP="00C830B8">
      <w:pPr>
        <w:spacing w:line="360" w:lineRule="auto"/>
        <w:jc w:val="both"/>
        <w:rPr>
          <w:rFonts w:asciiTheme="majorBidi" w:hAnsiTheme="majorBidi" w:cstheme="majorBidi"/>
          <w:sz w:val="24"/>
          <w:szCs w:val="24"/>
        </w:rPr>
      </w:pPr>
      <w:proofErr w:type="spellStart"/>
      <w:r w:rsidRPr="00C830B8">
        <w:rPr>
          <w:rFonts w:asciiTheme="majorBidi" w:hAnsiTheme="majorBidi" w:cstheme="majorBidi"/>
          <w:sz w:val="24"/>
          <w:szCs w:val="24"/>
        </w:rPr>
        <w:t>Rationalisation</w:t>
      </w:r>
      <w:proofErr w:type="spellEnd"/>
      <w:r w:rsidRPr="00C830B8">
        <w:rPr>
          <w:rFonts w:asciiTheme="majorBidi" w:hAnsiTheme="majorBidi" w:cstheme="majorBidi"/>
          <w:sz w:val="24"/>
          <w:szCs w:val="24"/>
        </w:rPr>
        <w:t>, proxied by Economic Downturn (ECD), returns a positive coefficient (β = 0.0972, p &lt; 0.10), also marginally significant. This provides support for the third hypothesis (H3), suggesting that adverse macroeconomic environments</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such as reduced earnings capacity or elevated systemic risk</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may prompt executives to justify fraudulent activities as necessary survival strategies. Although the relationship is weak, it indicates that environmental stressors play a role in shaping managerial ethics and tolerance for misreporting.</w:t>
      </w:r>
    </w:p>
    <w:p w14:paraId="3B0FB582" w14:textId="77777777"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On the other hand, the fourth hypothesis (H4), which posits that capability, as captured by Pressure from Earnings Forecasts (PEF), influences fraudulent reporting, is not supported. The coefficient is negative but statistically insignificant (β = –4.4072, p &gt; 0.10). This finding may reflect that earnings forecasts are either not widely enforced or not effectively monitored in the Nigerian context, reducing the pressure on executives to manipulate figures in order to meet market expectations.</w:t>
      </w:r>
    </w:p>
    <w:p w14:paraId="64B30FD8" w14:textId="77777777"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 xml:space="preserve">Regarding the control variables, inflation (INF) emerges as a significant positive predictor of FFR (β = 0.1976, p &lt; 0.01). This finding suggests that macroeconomic instability heightens the </w:t>
      </w:r>
      <w:r w:rsidRPr="00C830B8">
        <w:rPr>
          <w:rFonts w:asciiTheme="majorBidi" w:hAnsiTheme="majorBidi" w:cstheme="majorBidi"/>
          <w:sz w:val="24"/>
          <w:szCs w:val="24"/>
        </w:rPr>
        <w:lastRenderedPageBreak/>
        <w:t xml:space="preserve">incentive for manipulation, perhaps due to increased difficulty in meeting performance benchmarks under inflationary pressure. Conversely, the foreign exchange rate (FXR) shows a significant negative relationship with FFR (β = –0.0121, p &lt; 0.01). This implies that exchange rate fluctuations may exert a disciplinary effect on financial disclosure practices, possibly by increasing external scrutiny or regulatory vigilance. Return on Assets (ROA), while positive, is not statistically significant, suggesting that profitability does not have a linear or deterministic effect on fraudulent </w:t>
      </w:r>
      <w:proofErr w:type="spellStart"/>
      <w:r w:rsidRPr="00C830B8">
        <w:rPr>
          <w:rFonts w:asciiTheme="majorBidi" w:hAnsiTheme="majorBidi" w:cstheme="majorBidi"/>
          <w:sz w:val="24"/>
          <w:szCs w:val="24"/>
        </w:rPr>
        <w:t>behaviour</w:t>
      </w:r>
      <w:proofErr w:type="spellEnd"/>
      <w:r w:rsidRPr="00C830B8">
        <w:rPr>
          <w:rFonts w:asciiTheme="majorBidi" w:hAnsiTheme="majorBidi" w:cstheme="majorBidi"/>
          <w:sz w:val="24"/>
          <w:szCs w:val="24"/>
        </w:rPr>
        <w:t xml:space="preserve"> within this sample.</w:t>
      </w:r>
    </w:p>
    <w:p w14:paraId="3F87BBC1" w14:textId="02110645" w:rsidR="007F5C9F" w:rsidRPr="00280C96"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 xml:space="preserve">In conclusion, the results lend empirical support to three of the four components of the Fraud Diamond Theory in the Nigerian banking sector. Pressure, opportunity, and </w:t>
      </w:r>
      <w:proofErr w:type="spellStart"/>
      <w:r w:rsidRPr="00C830B8">
        <w:rPr>
          <w:rFonts w:asciiTheme="majorBidi" w:hAnsiTheme="majorBidi" w:cstheme="majorBidi"/>
          <w:sz w:val="24"/>
          <w:szCs w:val="24"/>
        </w:rPr>
        <w:t>rationalisation</w:t>
      </w:r>
      <w:proofErr w:type="spellEnd"/>
      <w:r w:rsidRPr="00C830B8">
        <w:rPr>
          <w:rFonts w:asciiTheme="majorBidi" w:hAnsiTheme="majorBidi" w:cstheme="majorBidi"/>
          <w:sz w:val="24"/>
          <w:szCs w:val="24"/>
        </w:rPr>
        <w:t xml:space="preserve"> each exhibit varying degrees of association with fraudulent financial reporting. However, capability</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 xml:space="preserve">as </w:t>
      </w:r>
      <w:proofErr w:type="spellStart"/>
      <w:r w:rsidRPr="00C830B8">
        <w:rPr>
          <w:rFonts w:asciiTheme="majorBidi" w:hAnsiTheme="majorBidi" w:cstheme="majorBidi"/>
          <w:sz w:val="24"/>
          <w:szCs w:val="24"/>
        </w:rPr>
        <w:t>operationalised</w:t>
      </w:r>
      <w:proofErr w:type="spellEnd"/>
      <w:r w:rsidRPr="00C830B8">
        <w:rPr>
          <w:rFonts w:asciiTheme="majorBidi" w:hAnsiTheme="majorBidi" w:cstheme="majorBidi"/>
          <w:sz w:val="24"/>
          <w:szCs w:val="24"/>
        </w:rPr>
        <w:t xml:space="preserve"> in this study</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does not appear to significantly influence manipulation. These findings offer valuable insights for regulators, auditors, and stakeholders concerned with enhancing transparency and reducing financial misconduct in emerging market financial systems</w:t>
      </w:r>
      <w:r w:rsidR="007F5C9F" w:rsidRPr="00280C96">
        <w:rPr>
          <w:rFonts w:asciiTheme="majorBidi" w:hAnsiTheme="majorBidi" w:cstheme="majorBidi"/>
          <w:sz w:val="24"/>
          <w:szCs w:val="24"/>
        </w:rPr>
        <w:t>.</w:t>
      </w:r>
    </w:p>
    <w:p w14:paraId="61EA12FB" w14:textId="77777777" w:rsidR="00957667" w:rsidRPr="004846BA" w:rsidRDefault="00957667" w:rsidP="004C370E">
      <w:pPr>
        <w:pStyle w:val="Heading2"/>
        <w:rPr>
          <w:rFonts w:asciiTheme="majorBidi" w:hAnsiTheme="majorBidi"/>
          <w:b/>
          <w:bCs/>
          <w:color w:val="000000" w:themeColor="text1"/>
          <w:sz w:val="24"/>
          <w:szCs w:val="24"/>
        </w:rPr>
      </w:pPr>
      <w:r w:rsidRPr="004846BA">
        <w:rPr>
          <w:rFonts w:asciiTheme="majorBidi" w:hAnsiTheme="majorBidi"/>
          <w:b/>
          <w:bCs/>
          <w:color w:val="000000" w:themeColor="text1"/>
          <w:sz w:val="24"/>
          <w:szCs w:val="24"/>
        </w:rPr>
        <w:t>4.5 Post-Estimation Diagnostic Tests</w:t>
      </w:r>
    </w:p>
    <w:p w14:paraId="12439A79" w14:textId="77777777" w:rsidR="003408E3" w:rsidRPr="00280C96" w:rsidRDefault="0004285F" w:rsidP="003408E3">
      <w:pPr>
        <w:spacing w:line="360" w:lineRule="auto"/>
        <w:jc w:val="both"/>
        <w:rPr>
          <w:rFonts w:asciiTheme="majorBidi" w:hAnsiTheme="majorBidi" w:cstheme="majorBidi"/>
          <w:sz w:val="24"/>
          <w:szCs w:val="24"/>
        </w:rPr>
      </w:pPr>
      <w:r w:rsidRPr="0004285F">
        <w:rPr>
          <w:rFonts w:asciiTheme="majorBidi" w:hAnsiTheme="majorBidi" w:cstheme="majorBidi"/>
          <w:sz w:val="24"/>
          <w:szCs w:val="24"/>
        </w:rPr>
        <w:t>After estimating the logistic regression model, several checks were conducted to confirm that the model was reliable, properly fitted, and capable of making accurate predictions.</w:t>
      </w:r>
      <w:r w:rsidRPr="0004285F">
        <w:rPr>
          <w:rFonts w:asciiTheme="majorBidi" w:hAnsiTheme="majorBidi" w:cstheme="majorBidi"/>
          <w:sz w:val="24"/>
          <w:szCs w:val="24"/>
        </w:rPr>
        <w:br/>
        <w:t>The link test was applied to verify whether the model was correctly specified. This test helps detect omitted variables or incorrect functional form. The results confirmed that the model was appropriately specified, meaning it included the relevant variables and did not overcomplicate the prediction structure.</w:t>
      </w:r>
      <w:r w:rsidRPr="00280C96">
        <w:rPr>
          <w:rFonts w:asciiTheme="majorBidi" w:hAnsiTheme="majorBidi" w:cstheme="majorBidi"/>
          <w:sz w:val="24"/>
          <w:szCs w:val="24"/>
        </w:rPr>
        <w:t xml:space="preserve"> </w:t>
      </w:r>
      <w:r w:rsidRPr="0004285F">
        <w:rPr>
          <w:rFonts w:asciiTheme="majorBidi" w:hAnsiTheme="majorBidi" w:cstheme="majorBidi"/>
          <w:sz w:val="24"/>
          <w:szCs w:val="24"/>
        </w:rPr>
        <w:t>The model's ability to correctly separate firms that engaged in fraudulent financial reporting from those that did not was assessed using the ROC curve. The area under the curve (AUC) was 0.8042, which indicates strong classification power. An AUC value above 0.80 is generally considered a good level of accuracy.</w:t>
      </w:r>
      <w:r w:rsidRPr="0004285F">
        <w:rPr>
          <w:rFonts w:asciiTheme="majorBidi" w:hAnsiTheme="majorBidi" w:cstheme="majorBidi"/>
          <w:sz w:val="24"/>
          <w:szCs w:val="24"/>
        </w:rPr>
        <w:br/>
        <w:t>Two tests were conducted to assess how well the model predictions matched the actual outcomes. The Pearson goodness-of-fit test returned a statistically significant result, while the Hosmer–</w:t>
      </w:r>
      <w:proofErr w:type="spellStart"/>
      <w:r w:rsidRPr="0004285F">
        <w:rPr>
          <w:rFonts w:asciiTheme="majorBidi" w:hAnsiTheme="majorBidi" w:cstheme="majorBidi"/>
          <w:sz w:val="24"/>
          <w:szCs w:val="24"/>
        </w:rPr>
        <w:t>Lemeshow</w:t>
      </w:r>
      <w:proofErr w:type="spellEnd"/>
      <w:r w:rsidRPr="0004285F">
        <w:rPr>
          <w:rFonts w:asciiTheme="majorBidi" w:hAnsiTheme="majorBidi" w:cstheme="majorBidi"/>
          <w:sz w:val="24"/>
          <w:szCs w:val="24"/>
        </w:rPr>
        <w:t xml:space="preserve"> test produced a p-value of 0.2007, suggesting that the model fits the data well and does not suffer from poor calibration.</w:t>
      </w:r>
      <w:r w:rsidR="003408E3" w:rsidRPr="00280C96">
        <w:rPr>
          <w:rFonts w:asciiTheme="majorBidi" w:hAnsiTheme="majorBidi" w:cstheme="majorBidi"/>
          <w:sz w:val="24"/>
          <w:szCs w:val="24"/>
        </w:rPr>
        <w:t xml:space="preserve"> </w:t>
      </w:r>
    </w:p>
    <w:p w14:paraId="29580470" w14:textId="729D293A" w:rsidR="003D6215" w:rsidRPr="00280C96" w:rsidRDefault="0004285F" w:rsidP="003408E3">
      <w:pPr>
        <w:spacing w:line="360" w:lineRule="auto"/>
        <w:jc w:val="both"/>
        <w:rPr>
          <w:rFonts w:asciiTheme="majorBidi" w:hAnsiTheme="majorBidi" w:cstheme="majorBidi"/>
          <w:sz w:val="24"/>
          <w:szCs w:val="24"/>
        </w:rPr>
      </w:pPr>
      <w:r w:rsidRPr="0004285F">
        <w:rPr>
          <w:rFonts w:asciiTheme="majorBidi" w:hAnsiTheme="majorBidi" w:cstheme="majorBidi"/>
          <w:sz w:val="24"/>
          <w:szCs w:val="24"/>
        </w:rPr>
        <w:t xml:space="preserve">The model correctly predicted about 73.5% of all observations. It successfully identified 51.0% of actual fraud cases (sensitivity) and 86.8% of non-fraud cases (specificity). Furthermore, 69.4% of the cases predicted as fraud were indeed fraud (precision), while 75.0% of the cases predicted as non-fraud were accurately classified. These results suggest the model performs </w:t>
      </w:r>
      <w:r w:rsidRPr="0004285F">
        <w:rPr>
          <w:rFonts w:asciiTheme="majorBidi" w:hAnsiTheme="majorBidi" w:cstheme="majorBidi"/>
          <w:sz w:val="24"/>
          <w:szCs w:val="24"/>
        </w:rPr>
        <w:lastRenderedPageBreak/>
        <w:t xml:space="preserve">better at </w:t>
      </w:r>
      <w:proofErr w:type="spellStart"/>
      <w:r w:rsidRPr="0004285F">
        <w:rPr>
          <w:rFonts w:asciiTheme="majorBidi" w:hAnsiTheme="majorBidi" w:cstheme="majorBidi"/>
          <w:sz w:val="24"/>
          <w:szCs w:val="24"/>
        </w:rPr>
        <w:t>recognising</w:t>
      </w:r>
      <w:proofErr w:type="spellEnd"/>
      <w:r w:rsidRPr="0004285F">
        <w:rPr>
          <w:rFonts w:asciiTheme="majorBidi" w:hAnsiTheme="majorBidi" w:cstheme="majorBidi"/>
          <w:sz w:val="24"/>
          <w:szCs w:val="24"/>
        </w:rPr>
        <w:t xml:space="preserve"> non-fraud cases but still maintains reasonable accuracy overall.</w:t>
      </w:r>
      <w:r w:rsidRPr="0004285F">
        <w:rPr>
          <w:rFonts w:asciiTheme="majorBidi" w:hAnsiTheme="majorBidi" w:cstheme="majorBidi"/>
          <w:sz w:val="24"/>
          <w:szCs w:val="24"/>
        </w:rPr>
        <w:br/>
        <w:t>These diagnostic checks confirm that the logistic model used in this study is appropriately specified, fits the data well, and has a good level of predictive accuracy in identifying fraudulent financial reporting among Nigerian deposit money banks.</w:t>
      </w:r>
    </w:p>
    <w:p w14:paraId="57FC8DD8" w14:textId="77777777" w:rsidR="00611175" w:rsidRPr="00280C96" w:rsidRDefault="00611175" w:rsidP="00A94350">
      <w:pPr>
        <w:pStyle w:val="Heading1"/>
        <w:rPr>
          <w:rFonts w:asciiTheme="majorBidi" w:hAnsiTheme="majorBidi"/>
          <w:b/>
          <w:bCs/>
          <w:color w:val="auto"/>
          <w:sz w:val="24"/>
          <w:szCs w:val="24"/>
        </w:rPr>
      </w:pPr>
      <w:r w:rsidRPr="00280C96">
        <w:rPr>
          <w:rFonts w:asciiTheme="majorBidi" w:hAnsiTheme="majorBidi"/>
          <w:b/>
          <w:bCs/>
          <w:color w:val="auto"/>
          <w:sz w:val="24"/>
          <w:szCs w:val="24"/>
        </w:rPr>
        <w:t>5. Conclusion and Recommendations</w:t>
      </w:r>
    </w:p>
    <w:p w14:paraId="0EDA835E" w14:textId="2FAE1E54" w:rsidR="00611175" w:rsidRPr="00280C96" w:rsidRDefault="00611175" w:rsidP="00A94350">
      <w:pPr>
        <w:pStyle w:val="Heading2"/>
        <w:rPr>
          <w:rFonts w:asciiTheme="majorBidi" w:hAnsiTheme="majorBidi"/>
          <w:b/>
          <w:bCs/>
          <w:color w:val="auto"/>
          <w:sz w:val="24"/>
          <w:szCs w:val="24"/>
        </w:rPr>
      </w:pPr>
      <w:r w:rsidRPr="00280C96">
        <w:rPr>
          <w:rFonts w:asciiTheme="majorBidi" w:hAnsiTheme="majorBidi"/>
          <w:b/>
          <w:bCs/>
          <w:color w:val="auto"/>
          <w:sz w:val="24"/>
          <w:szCs w:val="24"/>
        </w:rPr>
        <w:t xml:space="preserve">5.1 </w:t>
      </w:r>
      <w:r w:rsidR="006400B7" w:rsidRPr="00280C96">
        <w:rPr>
          <w:rFonts w:asciiTheme="majorBidi" w:hAnsiTheme="majorBidi"/>
          <w:b/>
          <w:bCs/>
          <w:color w:val="auto"/>
          <w:sz w:val="24"/>
          <w:szCs w:val="24"/>
        </w:rPr>
        <w:t xml:space="preserve">Conclusion </w:t>
      </w:r>
    </w:p>
    <w:p w14:paraId="6FEE7633" w14:textId="09E25734" w:rsidR="00611175" w:rsidRPr="00280C96" w:rsidRDefault="00BD2A72" w:rsidP="009E639A">
      <w:pPr>
        <w:spacing w:line="360" w:lineRule="auto"/>
        <w:jc w:val="both"/>
        <w:rPr>
          <w:rFonts w:asciiTheme="majorBidi" w:hAnsiTheme="majorBidi" w:cstheme="majorBidi"/>
          <w:sz w:val="24"/>
          <w:szCs w:val="24"/>
        </w:rPr>
      </w:pPr>
      <w:r w:rsidRPr="00BD2A72">
        <w:rPr>
          <w:rFonts w:asciiTheme="majorBidi" w:hAnsiTheme="majorBidi" w:cstheme="majorBidi"/>
          <w:sz w:val="24"/>
          <w:szCs w:val="24"/>
        </w:rPr>
        <w:t xml:space="preserve">This study investigated the determinants of fraudulent financial reporting (FFR) among deposit money banks (DMBs) in Nigeria using the Fraud Diamond Theory as its analytical framework. Through logistic regression analysis of data from 132 firm-year observations between 2012 and 2023, the findings revealed that pressure (as proxied by cash flow trend), opportunity (related party transactions), and macroeconomic volatility (inflation and exchange rate) significantly influence the likelihood of fraudulent reporting. However, capability (pressure from earnings forecasts) and </w:t>
      </w:r>
      <w:proofErr w:type="spellStart"/>
      <w:r w:rsidRPr="00BD2A72">
        <w:rPr>
          <w:rFonts w:asciiTheme="majorBidi" w:hAnsiTheme="majorBidi" w:cstheme="majorBidi"/>
          <w:sz w:val="24"/>
          <w:szCs w:val="24"/>
        </w:rPr>
        <w:t>rationalisation</w:t>
      </w:r>
      <w:proofErr w:type="spellEnd"/>
      <w:r w:rsidRPr="00BD2A72">
        <w:rPr>
          <w:rFonts w:asciiTheme="majorBidi" w:hAnsiTheme="majorBidi" w:cstheme="majorBidi"/>
          <w:sz w:val="24"/>
          <w:szCs w:val="24"/>
        </w:rPr>
        <w:t xml:space="preserve"> (economic downturn) displayed weaker and mixed predictive value.</w:t>
      </w:r>
      <w:r w:rsidR="009E639A" w:rsidRPr="00280C96">
        <w:rPr>
          <w:rFonts w:asciiTheme="majorBidi" w:hAnsiTheme="majorBidi" w:cstheme="majorBidi"/>
          <w:sz w:val="24"/>
          <w:szCs w:val="24"/>
        </w:rPr>
        <w:t xml:space="preserve"> </w:t>
      </w:r>
      <w:r w:rsidRPr="00BD2A72">
        <w:rPr>
          <w:rFonts w:asciiTheme="majorBidi" w:hAnsiTheme="majorBidi" w:cstheme="majorBidi"/>
          <w:sz w:val="24"/>
          <w:szCs w:val="24"/>
        </w:rPr>
        <w:t>Control variables, including return on assets (ROA) and monetary policy rate (MPR), had limited but notable associations, and the model demonstrated satisfactory classification accuracy and goodness of fit. The results support the Fraud Diamond Theory's central premise that FFR is a multifactorial outcome influenced not only by economic pressure but also by the existence of exploitative opportunities and enabling conditions within firms</w:t>
      </w:r>
      <w:r w:rsidR="00344C25" w:rsidRPr="00280C96">
        <w:rPr>
          <w:rFonts w:asciiTheme="majorBidi" w:hAnsiTheme="majorBidi" w:cstheme="majorBidi"/>
          <w:sz w:val="24"/>
          <w:szCs w:val="24"/>
        </w:rPr>
        <w:t xml:space="preserve">. </w:t>
      </w:r>
    </w:p>
    <w:p w14:paraId="2A39868D" w14:textId="587A8869" w:rsidR="00611175" w:rsidRPr="00280C96" w:rsidRDefault="00611175" w:rsidP="00C347E6">
      <w:pPr>
        <w:pStyle w:val="Heading2"/>
        <w:rPr>
          <w:rFonts w:asciiTheme="majorBidi" w:hAnsiTheme="majorBidi"/>
          <w:b/>
          <w:bCs/>
          <w:color w:val="auto"/>
          <w:sz w:val="24"/>
          <w:szCs w:val="24"/>
        </w:rPr>
      </w:pPr>
      <w:r w:rsidRPr="00280C96">
        <w:rPr>
          <w:rFonts w:asciiTheme="majorBidi" w:hAnsiTheme="majorBidi"/>
          <w:b/>
          <w:bCs/>
          <w:color w:val="auto"/>
          <w:sz w:val="24"/>
          <w:szCs w:val="24"/>
        </w:rPr>
        <w:t xml:space="preserve">5.2 </w:t>
      </w:r>
      <w:r w:rsidR="00501BAC" w:rsidRPr="00280C96">
        <w:rPr>
          <w:rFonts w:asciiTheme="majorBidi" w:hAnsiTheme="majorBidi"/>
          <w:b/>
          <w:bCs/>
          <w:color w:val="auto"/>
          <w:sz w:val="24"/>
          <w:szCs w:val="24"/>
        </w:rPr>
        <w:t>Recommendations</w:t>
      </w:r>
    </w:p>
    <w:p w14:paraId="779D3F46" w14:textId="2A8A7254" w:rsidR="002603BD" w:rsidRPr="00280C96" w:rsidRDefault="005F503F" w:rsidP="002603BD">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Considering</w:t>
      </w:r>
      <w:r w:rsidR="003F37B2" w:rsidRPr="003F37B2">
        <w:rPr>
          <w:rFonts w:asciiTheme="majorBidi" w:hAnsiTheme="majorBidi" w:cstheme="majorBidi"/>
          <w:sz w:val="24"/>
          <w:szCs w:val="24"/>
        </w:rPr>
        <w:t xml:space="preserve"> the study’s findings, the following recommendations are directed at regulators, corporate governance practitioners, auditors, and bank executives to reduce the incidence of fraudulent financial reporting (FFR) in Nigeria’s banking sector</w:t>
      </w:r>
      <w:r w:rsidR="004A24D7" w:rsidRPr="00280C96">
        <w:rPr>
          <w:rFonts w:asciiTheme="majorBidi" w:hAnsiTheme="majorBidi" w:cstheme="majorBidi"/>
          <w:sz w:val="24"/>
          <w:szCs w:val="24"/>
        </w:rPr>
        <w:t>:</w:t>
      </w:r>
    </w:p>
    <w:p w14:paraId="2D9F5E82" w14:textId="2265C0B2" w:rsidR="003F37B2" w:rsidRPr="003F37B2" w:rsidRDefault="003F37B2" w:rsidP="002603BD">
      <w:pPr>
        <w:spacing w:line="360" w:lineRule="auto"/>
        <w:jc w:val="both"/>
        <w:rPr>
          <w:rFonts w:asciiTheme="majorBidi" w:hAnsiTheme="majorBidi" w:cstheme="majorBidi"/>
          <w:sz w:val="24"/>
          <w:szCs w:val="24"/>
        </w:rPr>
      </w:pPr>
      <w:r w:rsidRPr="003F37B2">
        <w:rPr>
          <w:rFonts w:asciiTheme="majorBidi" w:hAnsiTheme="majorBidi" w:cstheme="majorBidi"/>
          <w:sz w:val="24"/>
          <w:szCs w:val="24"/>
        </w:rPr>
        <w:br/>
      </w:r>
      <w:r w:rsidR="002603BD" w:rsidRPr="00280C96">
        <w:rPr>
          <w:rFonts w:asciiTheme="majorBidi" w:hAnsiTheme="majorBidi" w:cstheme="majorBidi"/>
          <w:sz w:val="24"/>
          <w:szCs w:val="24"/>
        </w:rPr>
        <w:t xml:space="preserve">1. </w:t>
      </w:r>
      <w:r w:rsidRPr="003F37B2">
        <w:rPr>
          <w:rFonts w:asciiTheme="majorBidi" w:hAnsiTheme="majorBidi" w:cstheme="majorBidi"/>
          <w:sz w:val="24"/>
          <w:szCs w:val="24"/>
        </w:rPr>
        <w:t>Regulatory authorities such as the Central Bank of Nigeria (CBN) and the Financial Reporting Council of Nigeria (FRCN) should enhance their surveillance frameworks to include real-time monitoring of cash flow anomalies. Given the significant relationship between cash flow trends (pressure) and FFR, consistent negative or volatile cash flows should serve as early warning signals, prompting targeted audits and supervisory inquiries using risk-based approaches.</w:t>
      </w:r>
    </w:p>
    <w:p w14:paraId="55F9724C" w14:textId="1A24DCC4" w:rsidR="003F37B2" w:rsidRPr="003F37B2" w:rsidRDefault="00C30FB7" w:rsidP="003F37B2">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2. </w:t>
      </w:r>
      <w:r w:rsidR="003F37B2" w:rsidRPr="003F37B2">
        <w:rPr>
          <w:rFonts w:asciiTheme="majorBidi" w:hAnsiTheme="majorBidi" w:cstheme="majorBidi"/>
          <w:sz w:val="24"/>
          <w:szCs w:val="24"/>
        </w:rPr>
        <w:t xml:space="preserve">The study identifies RPTs as a key facilitator of fraud through the exploitation of transactional opacity. DMBs should be required to adopt automated detection systems to flag high-risk related party dealings. Additionally, independent audit or risk committees should </w:t>
      </w:r>
      <w:r w:rsidR="003F37B2" w:rsidRPr="003F37B2">
        <w:rPr>
          <w:rFonts w:asciiTheme="majorBidi" w:hAnsiTheme="majorBidi" w:cstheme="majorBidi"/>
          <w:sz w:val="24"/>
          <w:szCs w:val="24"/>
        </w:rPr>
        <w:lastRenderedPageBreak/>
        <w:t>oversee the approval and reporting of such transactions. Regulatory guidelines must mandate disaggregated disclosures on RPTs in the notes to financial statements to improve transparency and stakeholder scrutiny.</w:t>
      </w:r>
    </w:p>
    <w:p w14:paraId="5DA2BBFA" w14:textId="6E98DC1D" w:rsidR="003F37B2" w:rsidRPr="003F37B2" w:rsidRDefault="00C30FB7" w:rsidP="003F37B2">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3. </w:t>
      </w:r>
      <w:r w:rsidR="003F37B2" w:rsidRPr="003F37B2">
        <w:rPr>
          <w:rFonts w:asciiTheme="majorBidi" w:hAnsiTheme="majorBidi" w:cstheme="majorBidi"/>
          <w:sz w:val="24"/>
          <w:szCs w:val="24"/>
        </w:rPr>
        <w:t xml:space="preserve">Although capability (PEF) was not a strong predictor of FFR, it remains essential to fortify internal control structures. Banks should </w:t>
      </w:r>
      <w:proofErr w:type="spellStart"/>
      <w:r w:rsidR="003F37B2" w:rsidRPr="003F37B2">
        <w:rPr>
          <w:rFonts w:asciiTheme="majorBidi" w:hAnsiTheme="majorBidi" w:cstheme="majorBidi"/>
          <w:sz w:val="24"/>
          <w:szCs w:val="24"/>
        </w:rPr>
        <w:t>institutionalise</w:t>
      </w:r>
      <w:proofErr w:type="spellEnd"/>
      <w:r w:rsidR="003F37B2" w:rsidRPr="003F37B2">
        <w:rPr>
          <w:rFonts w:asciiTheme="majorBidi" w:hAnsiTheme="majorBidi" w:cstheme="majorBidi"/>
          <w:sz w:val="24"/>
          <w:szCs w:val="24"/>
        </w:rPr>
        <w:t xml:space="preserve"> robust whistleblower protection policies and ensure that audit committees are empowered to evaluate earnings forecasts relative to actual performance. These practices can serve as internal deterrents against managerial overreach or ethical lapses.</w:t>
      </w:r>
    </w:p>
    <w:p w14:paraId="47125504" w14:textId="1141754F" w:rsidR="003F37B2" w:rsidRPr="003F37B2" w:rsidRDefault="00AC1712" w:rsidP="003F37B2">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4. </w:t>
      </w:r>
      <w:r w:rsidR="003F37B2" w:rsidRPr="003F37B2">
        <w:rPr>
          <w:rFonts w:asciiTheme="majorBidi" w:hAnsiTheme="majorBidi" w:cstheme="majorBidi"/>
          <w:sz w:val="24"/>
          <w:szCs w:val="24"/>
        </w:rPr>
        <w:t xml:space="preserve">While </w:t>
      </w:r>
      <w:proofErr w:type="spellStart"/>
      <w:r w:rsidR="003F37B2" w:rsidRPr="003F37B2">
        <w:rPr>
          <w:rFonts w:asciiTheme="majorBidi" w:hAnsiTheme="majorBidi" w:cstheme="majorBidi"/>
          <w:sz w:val="24"/>
          <w:szCs w:val="24"/>
        </w:rPr>
        <w:t>rationalisation</w:t>
      </w:r>
      <w:proofErr w:type="spellEnd"/>
      <w:r w:rsidR="003F37B2" w:rsidRPr="003F37B2">
        <w:rPr>
          <w:rFonts w:asciiTheme="majorBidi" w:hAnsiTheme="majorBidi" w:cstheme="majorBidi"/>
          <w:sz w:val="24"/>
          <w:szCs w:val="24"/>
        </w:rPr>
        <w:t xml:space="preserve"> (ECD) and macroeconomic variables (inflation and exchange rate) showed marginal influence, their indirect effects on management decisions should not be underestimated. Banks should train management teams on ethical responses to economic stress and incorporate macroeconomic stress testing into fraud risk assessment models—particularly during periods of currency instability or high inflation.</w:t>
      </w:r>
    </w:p>
    <w:p w14:paraId="4B8FEB2C" w14:textId="440DC796" w:rsidR="00814013" w:rsidRPr="00280C96" w:rsidRDefault="00AC1712" w:rsidP="00203B29">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5. </w:t>
      </w:r>
      <w:r w:rsidR="003F37B2" w:rsidRPr="003F37B2">
        <w:rPr>
          <w:rFonts w:asciiTheme="majorBidi" w:hAnsiTheme="majorBidi" w:cstheme="majorBidi"/>
          <w:sz w:val="24"/>
          <w:szCs w:val="24"/>
        </w:rPr>
        <w:t>External auditors and regulators should go beyond traditional audit thresholds by leveraging forensic accounting procedures, especially for banks with elevated M-Scores. The use of predictive analytics, such as red-flag scoring algorithms and financial manipulation models, should be embedded in routine audit cycles to facilitate early detection of red flags and improve audit effectiveness.</w:t>
      </w:r>
    </w:p>
    <w:p w14:paraId="2050AF87" w14:textId="5546D2B2" w:rsidR="00611175" w:rsidRPr="00280C96" w:rsidRDefault="00611175" w:rsidP="00C347E6">
      <w:pPr>
        <w:pStyle w:val="Heading2"/>
        <w:rPr>
          <w:rFonts w:asciiTheme="majorBidi" w:hAnsiTheme="majorBidi"/>
          <w:b/>
          <w:bCs/>
          <w:color w:val="auto"/>
          <w:sz w:val="24"/>
          <w:szCs w:val="24"/>
        </w:rPr>
      </w:pPr>
      <w:r w:rsidRPr="00280C96">
        <w:rPr>
          <w:rFonts w:asciiTheme="majorBidi" w:hAnsiTheme="majorBidi"/>
          <w:b/>
          <w:bCs/>
          <w:color w:val="auto"/>
          <w:sz w:val="24"/>
          <w:szCs w:val="24"/>
        </w:rPr>
        <w:t>5.3 Limitations</w:t>
      </w:r>
      <w:r w:rsidR="00711231" w:rsidRPr="00280C96">
        <w:rPr>
          <w:rFonts w:asciiTheme="majorBidi" w:hAnsiTheme="majorBidi"/>
          <w:b/>
          <w:bCs/>
          <w:color w:val="auto"/>
          <w:sz w:val="24"/>
          <w:szCs w:val="24"/>
        </w:rPr>
        <w:t xml:space="preserve"> and Directions for Future Research</w:t>
      </w:r>
    </w:p>
    <w:p w14:paraId="609B4E53" w14:textId="77777777" w:rsidR="007F5339" w:rsidRPr="00280C96" w:rsidRDefault="007F5339" w:rsidP="007F5339">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While the study offers valuable insights into the determinants of fraudulent financial reporting among Nigerian deposit money banks, it is not without limitations. The use of a dichotomous dependent variable (FFR) based on the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 may oversimplify the multifaceted nature of financial fraud, potentially overlooking gradations in manipulation severity. Additionally, although the model incorporates several macroeconomic and firm-level controls, institutional factors such as regulatory enforcement strength, media scrutiny, and political interference were not captured. The model’s moderate explanatory power (pseudo R² = 0.2195) also suggests the presence of other relevant variables that were not included in the current specification.</w:t>
      </w:r>
    </w:p>
    <w:p w14:paraId="580A3DDF" w14:textId="34CD852E" w:rsidR="00611175" w:rsidRPr="00280C96" w:rsidRDefault="007F5339" w:rsidP="007F5339">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Moreover, the potential for endogeneity</w:t>
      </w:r>
      <w:r w:rsidR="002D57D9" w:rsidRPr="00280C96">
        <w:rPr>
          <w:rFonts w:asciiTheme="majorBidi" w:hAnsiTheme="majorBidi" w:cstheme="majorBidi"/>
          <w:sz w:val="24"/>
          <w:szCs w:val="24"/>
        </w:rPr>
        <w:t xml:space="preserve">, </w:t>
      </w:r>
      <w:r w:rsidRPr="00280C96">
        <w:rPr>
          <w:rFonts w:asciiTheme="majorBidi" w:hAnsiTheme="majorBidi" w:cstheme="majorBidi"/>
          <w:sz w:val="24"/>
          <w:szCs w:val="24"/>
        </w:rPr>
        <w:t>stemming from omitted variable bias, reverse causality, or measurement errors</w:t>
      </w:r>
      <w:r w:rsidR="002D57D9" w:rsidRPr="00280C96">
        <w:rPr>
          <w:rFonts w:asciiTheme="majorBidi" w:hAnsiTheme="majorBidi" w:cstheme="majorBidi"/>
          <w:sz w:val="24"/>
          <w:szCs w:val="24"/>
        </w:rPr>
        <w:t xml:space="preserve">, </w:t>
      </w:r>
      <w:r w:rsidRPr="00280C96">
        <w:rPr>
          <w:rFonts w:asciiTheme="majorBidi" w:hAnsiTheme="majorBidi" w:cstheme="majorBidi"/>
          <w:sz w:val="24"/>
          <w:szCs w:val="24"/>
        </w:rPr>
        <w:t xml:space="preserve">cannot be fully ruled out. To address these methodological challenges and deepen the scope of analysis, future research should consider longitudinal models or advanced panel estimators such as System GMM and Difference GMM. Qualitative </w:t>
      </w:r>
      <w:r w:rsidRPr="00280C96">
        <w:rPr>
          <w:rFonts w:asciiTheme="majorBidi" w:hAnsiTheme="majorBidi" w:cstheme="majorBidi"/>
          <w:sz w:val="24"/>
          <w:szCs w:val="24"/>
        </w:rPr>
        <w:lastRenderedPageBreak/>
        <w:t xml:space="preserve">approaches, including in-depth case studies, may further illuminate the nuanced role of capability and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xml:space="preserve"> in fraud.</w:t>
      </w:r>
    </w:p>
    <w:p w14:paraId="53D4845B" w14:textId="77777777" w:rsidR="009C5FEE" w:rsidRPr="00280C96" w:rsidRDefault="009C5FEE" w:rsidP="00EC1CF6">
      <w:pPr>
        <w:spacing w:line="360" w:lineRule="auto"/>
        <w:jc w:val="both"/>
        <w:rPr>
          <w:rFonts w:asciiTheme="majorBidi" w:hAnsiTheme="majorBidi" w:cstheme="majorBidi"/>
          <w:sz w:val="24"/>
          <w:szCs w:val="24"/>
        </w:rPr>
      </w:pPr>
    </w:p>
    <w:p w14:paraId="013516C5" w14:textId="267B6D63" w:rsidR="009C5FEE" w:rsidRPr="00280C96" w:rsidRDefault="009C5FEE" w:rsidP="009C5FEE">
      <w:pPr>
        <w:pStyle w:val="Heading2"/>
        <w:rPr>
          <w:rFonts w:asciiTheme="majorBidi" w:hAnsiTheme="majorBidi"/>
          <w:b/>
          <w:bCs/>
          <w:color w:val="auto"/>
          <w:sz w:val="24"/>
          <w:szCs w:val="24"/>
        </w:rPr>
      </w:pPr>
      <w:r w:rsidRPr="00280C96">
        <w:rPr>
          <w:rFonts w:asciiTheme="majorBidi" w:hAnsiTheme="majorBidi"/>
          <w:b/>
          <w:bCs/>
          <w:color w:val="auto"/>
          <w:sz w:val="24"/>
          <w:szCs w:val="24"/>
        </w:rPr>
        <w:t xml:space="preserve">REFERENCES: </w:t>
      </w:r>
    </w:p>
    <w:p w14:paraId="280AE521"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r w:rsidRPr="00477E1B">
        <w:rPr>
          <w:rFonts w:ascii="Times New Roman" w:hAnsi="Times New Roman" w:cs="Times New Roman"/>
          <w:sz w:val="24"/>
          <w:szCs w:val="24"/>
        </w:rPr>
        <w:t>Association of Certified Fraud Examiners (ACFE). (2020). Report to the Nations – 2020 Global Study on Occupational Fraud and Abuse. https://acfepublic.s3-us-west-2.amazonaws.com/2020-Report-to-the-Nations.pdf</w:t>
      </w:r>
    </w:p>
    <w:p w14:paraId="4504F0B0"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r w:rsidRPr="00477E1B">
        <w:rPr>
          <w:rFonts w:ascii="Times New Roman" w:hAnsi="Times New Roman" w:cs="Times New Roman"/>
          <w:sz w:val="24"/>
          <w:szCs w:val="24"/>
        </w:rPr>
        <w:t xml:space="preserve">Association of Certified Fraud Examiners (ACFE). (2022). Occupational fraud 2022: A report to the nations. </w:t>
      </w:r>
      <w:hyperlink r:id="rId8" w:tgtFrame="_new" w:history="1">
        <w:r w:rsidRPr="00477E1B">
          <w:rPr>
            <w:rStyle w:val="Hyperlink"/>
            <w:rFonts w:ascii="Times New Roman" w:hAnsi="Times New Roman" w:cs="Times New Roman"/>
            <w:sz w:val="24"/>
            <w:szCs w:val="24"/>
          </w:rPr>
          <w:t>https://legacy.acfe.com/report-to-the-nations/2022/</w:t>
        </w:r>
      </w:hyperlink>
    </w:p>
    <w:p w14:paraId="699277A3"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proofErr w:type="spellStart"/>
      <w:r w:rsidRPr="00477E1B">
        <w:rPr>
          <w:rFonts w:ascii="Times New Roman" w:hAnsi="Times New Roman" w:cs="Times New Roman"/>
          <w:sz w:val="24"/>
          <w:szCs w:val="24"/>
        </w:rPr>
        <w:t>Adoboe</w:t>
      </w:r>
      <w:proofErr w:type="spellEnd"/>
      <w:r w:rsidRPr="00477E1B">
        <w:rPr>
          <w:rFonts w:ascii="Times New Roman" w:hAnsi="Times New Roman" w:cs="Times New Roman"/>
          <w:sz w:val="24"/>
          <w:szCs w:val="24"/>
        </w:rPr>
        <w:t xml:space="preserve">-Mensah, N., </w:t>
      </w:r>
      <w:proofErr w:type="spellStart"/>
      <w:r w:rsidRPr="00477E1B">
        <w:rPr>
          <w:rFonts w:ascii="Times New Roman" w:hAnsi="Times New Roman" w:cs="Times New Roman"/>
          <w:sz w:val="24"/>
          <w:szCs w:val="24"/>
        </w:rPr>
        <w:t>Salia</w:t>
      </w:r>
      <w:proofErr w:type="spellEnd"/>
      <w:r w:rsidRPr="00477E1B">
        <w:rPr>
          <w:rFonts w:ascii="Times New Roman" w:hAnsi="Times New Roman" w:cs="Times New Roman"/>
          <w:sz w:val="24"/>
          <w:szCs w:val="24"/>
        </w:rPr>
        <w:t xml:space="preserve">, H., &amp; </w:t>
      </w:r>
      <w:proofErr w:type="spellStart"/>
      <w:r w:rsidRPr="00477E1B">
        <w:rPr>
          <w:rFonts w:ascii="Times New Roman" w:hAnsi="Times New Roman" w:cs="Times New Roman"/>
          <w:sz w:val="24"/>
          <w:szCs w:val="24"/>
        </w:rPr>
        <w:t>Budu</w:t>
      </w:r>
      <w:proofErr w:type="spellEnd"/>
      <w:r w:rsidRPr="00477E1B">
        <w:rPr>
          <w:rFonts w:ascii="Times New Roman" w:hAnsi="Times New Roman" w:cs="Times New Roman"/>
          <w:sz w:val="24"/>
          <w:szCs w:val="24"/>
        </w:rPr>
        <w:t xml:space="preserve"> Addo, E. M. (2023). Using the </w:t>
      </w:r>
      <w:proofErr w:type="spellStart"/>
      <w:r w:rsidRPr="00477E1B">
        <w:rPr>
          <w:rFonts w:ascii="Times New Roman" w:hAnsi="Times New Roman" w:cs="Times New Roman"/>
          <w:sz w:val="24"/>
          <w:szCs w:val="24"/>
        </w:rPr>
        <w:t>Beneish</w:t>
      </w:r>
      <w:proofErr w:type="spellEnd"/>
      <w:r w:rsidRPr="00477E1B">
        <w:rPr>
          <w:rFonts w:ascii="Times New Roman" w:hAnsi="Times New Roman" w:cs="Times New Roman"/>
          <w:sz w:val="24"/>
          <w:szCs w:val="24"/>
        </w:rPr>
        <w:t xml:space="preserve"> M-score model to detect financial statement fraud in the microfinance industry in Ghana. International Journal of Economics and Financial Issues, 13(4), 47-57. </w:t>
      </w:r>
      <w:hyperlink r:id="rId9" w:tgtFrame="_new" w:history="1">
        <w:r w:rsidRPr="00477E1B">
          <w:rPr>
            <w:rStyle w:val="Hyperlink"/>
            <w:rFonts w:ascii="Times New Roman" w:hAnsi="Times New Roman" w:cs="Times New Roman"/>
            <w:sz w:val="24"/>
            <w:szCs w:val="24"/>
          </w:rPr>
          <w:t>http://www.econjournals.com</w:t>
        </w:r>
      </w:hyperlink>
    </w:p>
    <w:p w14:paraId="3304910A"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r w:rsidRPr="00477E1B">
        <w:rPr>
          <w:rFonts w:ascii="Times New Roman" w:hAnsi="Times New Roman" w:cs="Times New Roman"/>
          <w:sz w:val="24"/>
          <w:szCs w:val="24"/>
        </w:rPr>
        <w:t xml:space="preserve">Akbar, M., Nur, B., &amp; </w:t>
      </w:r>
      <w:proofErr w:type="spellStart"/>
      <w:r w:rsidRPr="00477E1B">
        <w:rPr>
          <w:rFonts w:ascii="Times New Roman" w:hAnsi="Times New Roman" w:cs="Times New Roman"/>
          <w:sz w:val="24"/>
          <w:szCs w:val="24"/>
        </w:rPr>
        <w:t>Andru</w:t>
      </w:r>
      <w:proofErr w:type="spellEnd"/>
      <w:r w:rsidRPr="00477E1B">
        <w:rPr>
          <w:rFonts w:ascii="Times New Roman" w:hAnsi="Times New Roman" w:cs="Times New Roman"/>
          <w:sz w:val="24"/>
          <w:szCs w:val="24"/>
        </w:rPr>
        <w:t xml:space="preserve">, B. (2022). Financial statement fraud detection with fraud triangle. International Journal of Emerging Trends in Social Sciences, 13(1), 14-21. </w:t>
      </w:r>
      <w:hyperlink r:id="rId10" w:tgtFrame="_new" w:history="1">
        <w:r w:rsidRPr="00477E1B">
          <w:rPr>
            <w:rStyle w:val="Hyperlink"/>
            <w:rFonts w:ascii="Times New Roman" w:hAnsi="Times New Roman" w:cs="Times New Roman"/>
            <w:sz w:val="24"/>
            <w:szCs w:val="24"/>
          </w:rPr>
          <w:t>https://doi.org/10.55217/103.v13i1.556</w:t>
        </w:r>
      </w:hyperlink>
    </w:p>
    <w:p w14:paraId="513D0AE4"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proofErr w:type="spellStart"/>
      <w:r w:rsidRPr="00477E1B">
        <w:rPr>
          <w:rFonts w:ascii="Times New Roman" w:hAnsi="Times New Roman" w:cs="Times New Roman"/>
          <w:sz w:val="24"/>
          <w:szCs w:val="24"/>
        </w:rPr>
        <w:t>Alo</w:t>
      </w:r>
      <w:proofErr w:type="spellEnd"/>
      <w:r w:rsidRPr="00477E1B">
        <w:rPr>
          <w:rFonts w:ascii="Times New Roman" w:hAnsi="Times New Roman" w:cs="Times New Roman"/>
          <w:sz w:val="24"/>
          <w:szCs w:val="24"/>
        </w:rPr>
        <w:t>, J. (2021). One bank cooks the books to siphon cash to owners. The Business Standard. https://www.tbsnews.net/economy/banking/one-bank-cooks-books-siphon-cash-owners-282673</w:t>
      </w:r>
    </w:p>
    <w:p w14:paraId="2DD7BA00"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r w:rsidRPr="00477E1B">
        <w:rPr>
          <w:rFonts w:ascii="Times New Roman" w:hAnsi="Times New Roman" w:cs="Times New Roman"/>
          <w:sz w:val="24"/>
          <w:szCs w:val="24"/>
        </w:rPr>
        <w:t>Bank of Ghana. (2016). Banks and specialized deposit-taking institutions act 930. Bank of Ghana.</w:t>
      </w:r>
    </w:p>
    <w:p w14:paraId="48075E6D" w14:textId="77777777" w:rsidR="009C5FEE" w:rsidRPr="00477E1B" w:rsidRDefault="009C5FEE" w:rsidP="00C548DB">
      <w:pPr>
        <w:spacing w:line="360" w:lineRule="auto"/>
        <w:ind w:left="720" w:hanging="720"/>
        <w:contextualSpacing/>
        <w:jc w:val="both"/>
        <w:rPr>
          <w:rFonts w:ascii="Times New Roman" w:hAnsi="Times New Roman" w:cs="Times New Roman"/>
          <w:sz w:val="24"/>
          <w:szCs w:val="24"/>
        </w:rPr>
      </w:pPr>
      <w:r w:rsidRPr="00477E1B">
        <w:rPr>
          <w:rFonts w:ascii="Times New Roman" w:hAnsi="Times New Roman" w:cs="Times New Roman"/>
          <w:sz w:val="24"/>
          <w:szCs w:val="24"/>
        </w:rPr>
        <w:t>Bank of Ghana. (2018). GCB Bank Ltd takes over. Bank of Ghana.</w:t>
      </w:r>
    </w:p>
    <w:p w14:paraId="5DBE5FED"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t>Bangladesh Bank. (2022). Economic data. https://www.bb.org.bd/en/index.php/econdata/index</w:t>
      </w:r>
    </w:p>
    <w:p w14:paraId="6B72E940"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proofErr w:type="spellStart"/>
      <w:r w:rsidRPr="00CE0436">
        <w:rPr>
          <w:rFonts w:ascii="Times New Roman" w:hAnsi="Times New Roman" w:cs="Times New Roman"/>
          <w:sz w:val="24"/>
          <w:szCs w:val="24"/>
        </w:rPr>
        <w:t>Beneish</w:t>
      </w:r>
      <w:proofErr w:type="spellEnd"/>
      <w:r w:rsidRPr="00CE0436">
        <w:rPr>
          <w:rFonts w:ascii="Times New Roman" w:hAnsi="Times New Roman" w:cs="Times New Roman"/>
          <w:sz w:val="24"/>
          <w:szCs w:val="24"/>
        </w:rPr>
        <w:t>, M. (1999). The detection of earning manipulation. Financial Analyst Journal, 55(5), 24–36.</w:t>
      </w:r>
    </w:p>
    <w:p w14:paraId="326B3A81"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proofErr w:type="spellStart"/>
      <w:r w:rsidRPr="00CE0436">
        <w:rPr>
          <w:rFonts w:ascii="Times New Roman" w:hAnsi="Times New Roman" w:cs="Times New Roman"/>
          <w:sz w:val="24"/>
          <w:szCs w:val="24"/>
        </w:rPr>
        <w:t>Beneish</w:t>
      </w:r>
      <w:proofErr w:type="spellEnd"/>
      <w:r w:rsidRPr="00CE0436">
        <w:rPr>
          <w:rFonts w:ascii="Times New Roman" w:hAnsi="Times New Roman" w:cs="Times New Roman"/>
          <w:sz w:val="24"/>
          <w:szCs w:val="24"/>
        </w:rPr>
        <w:t>, M. D., &amp; Nichols, C. (2005). Earnings quality and future returns: The relation between accruals and the probability of earnings manipulation. SSRN. https://doi.org/10.2139/ssrn.725162</w:t>
      </w:r>
    </w:p>
    <w:p w14:paraId="56B04340"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proofErr w:type="spellStart"/>
      <w:r w:rsidRPr="00CE0436">
        <w:rPr>
          <w:rFonts w:ascii="Times New Roman" w:hAnsi="Times New Roman" w:cs="Times New Roman"/>
          <w:sz w:val="24"/>
          <w:szCs w:val="24"/>
        </w:rPr>
        <w:t>Bhasin</w:t>
      </w:r>
      <w:proofErr w:type="spellEnd"/>
      <w:r w:rsidRPr="00CE0436">
        <w:rPr>
          <w:rFonts w:ascii="Times New Roman" w:hAnsi="Times New Roman" w:cs="Times New Roman"/>
          <w:sz w:val="24"/>
          <w:szCs w:val="24"/>
        </w:rPr>
        <w:t xml:space="preserve">, M. L. (2016). Survey of creative accounting practices: An empirical study. </w:t>
      </w:r>
      <w:proofErr w:type="spellStart"/>
      <w:r w:rsidRPr="00CE0436">
        <w:rPr>
          <w:rFonts w:ascii="Times New Roman" w:hAnsi="Times New Roman" w:cs="Times New Roman"/>
          <w:sz w:val="24"/>
          <w:szCs w:val="24"/>
        </w:rPr>
        <w:t>Wulfenia</w:t>
      </w:r>
      <w:proofErr w:type="spellEnd"/>
      <w:r w:rsidRPr="00CE0436">
        <w:rPr>
          <w:rFonts w:ascii="Times New Roman" w:hAnsi="Times New Roman" w:cs="Times New Roman"/>
          <w:sz w:val="24"/>
          <w:szCs w:val="24"/>
        </w:rPr>
        <w:t>, 23(1), 143–162.</w:t>
      </w:r>
    </w:p>
    <w:p w14:paraId="4310C6AA"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t xml:space="preserve">Chandra, C., </w:t>
      </w:r>
      <w:proofErr w:type="spellStart"/>
      <w:r w:rsidRPr="00CE0436">
        <w:rPr>
          <w:rFonts w:ascii="Times New Roman" w:hAnsi="Times New Roman" w:cs="Times New Roman"/>
          <w:sz w:val="24"/>
          <w:szCs w:val="24"/>
        </w:rPr>
        <w:t>Khalila</w:t>
      </w:r>
      <w:proofErr w:type="spellEnd"/>
      <w:r w:rsidRPr="00CE0436">
        <w:rPr>
          <w:rFonts w:ascii="Times New Roman" w:hAnsi="Times New Roman" w:cs="Times New Roman"/>
          <w:sz w:val="24"/>
          <w:szCs w:val="24"/>
        </w:rPr>
        <w:t xml:space="preserve">, S. Z., </w:t>
      </w:r>
      <w:proofErr w:type="spellStart"/>
      <w:r w:rsidRPr="00CE0436">
        <w:rPr>
          <w:rFonts w:ascii="Times New Roman" w:hAnsi="Times New Roman" w:cs="Times New Roman"/>
          <w:sz w:val="24"/>
          <w:szCs w:val="24"/>
        </w:rPr>
        <w:t>Rinaningsih</w:t>
      </w:r>
      <w:proofErr w:type="spellEnd"/>
      <w:r w:rsidRPr="00CE0436">
        <w:rPr>
          <w:rFonts w:ascii="Times New Roman" w:hAnsi="Times New Roman" w:cs="Times New Roman"/>
          <w:sz w:val="24"/>
          <w:szCs w:val="24"/>
        </w:rPr>
        <w:t xml:space="preserve">, &amp; </w:t>
      </w:r>
      <w:proofErr w:type="spellStart"/>
      <w:r w:rsidRPr="00CE0436">
        <w:rPr>
          <w:rFonts w:ascii="Times New Roman" w:hAnsi="Times New Roman" w:cs="Times New Roman"/>
          <w:sz w:val="24"/>
          <w:szCs w:val="24"/>
        </w:rPr>
        <w:t>Sinaga</w:t>
      </w:r>
      <w:proofErr w:type="spellEnd"/>
      <w:r w:rsidRPr="00CE0436">
        <w:rPr>
          <w:rFonts w:ascii="Times New Roman" w:hAnsi="Times New Roman" w:cs="Times New Roman"/>
          <w:sz w:val="24"/>
          <w:szCs w:val="24"/>
        </w:rPr>
        <w:t xml:space="preserve">, R. R. (2023). Fraudulent financial reporting analysis using fraud diamond theory in Indonesia manufacturing industry. </w:t>
      </w:r>
      <w:proofErr w:type="spellStart"/>
      <w:r w:rsidRPr="00CE0436">
        <w:rPr>
          <w:rFonts w:ascii="Times New Roman" w:hAnsi="Times New Roman" w:cs="Times New Roman"/>
          <w:sz w:val="24"/>
          <w:szCs w:val="24"/>
        </w:rPr>
        <w:t>Jurnal</w:t>
      </w:r>
      <w:proofErr w:type="spellEnd"/>
      <w:r w:rsidRPr="00CE0436">
        <w:rPr>
          <w:rFonts w:ascii="Times New Roman" w:hAnsi="Times New Roman" w:cs="Times New Roman"/>
          <w:sz w:val="24"/>
          <w:szCs w:val="24"/>
        </w:rPr>
        <w:t xml:space="preserve"> </w:t>
      </w:r>
      <w:proofErr w:type="spellStart"/>
      <w:r w:rsidRPr="00CE0436">
        <w:rPr>
          <w:rFonts w:ascii="Times New Roman" w:hAnsi="Times New Roman" w:cs="Times New Roman"/>
          <w:sz w:val="24"/>
          <w:szCs w:val="24"/>
        </w:rPr>
        <w:t>Riset</w:t>
      </w:r>
      <w:proofErr w:type="spellEnd"/>
      <w:r w:rsidRPr="00CE0436">
        <w:rPr>
          <w:rFonts w:ascii="Times New Roman" w:hAnsi="Times New Roman" w:cs="Times New Roman"/>
          <w:sz w:val="24"/>
          <w:szCs w:val="24"/>
        </w:rPr>
        <w:t xml:space="preserve"> </w:t>
      </w:r>
      <w:proofErr w:type="spellStart"/>
      <w:r w:rsidRPr="00CE0436">
        <w:rPr>
          <w:rFonts w:ascii="Times New Roman" w:hAnsi="Times New Roman" w:cs="Times New Roman"/>
          <w:sz w:val="24"/>
          <w:szCs w:val="24"/>
        </w:rPr>
        <w:t>Akuntansi</w:t>
      </w:r>
      <w:proofErr w:type="spellEnd"/>
      <w:r w:rsidRPr="00CE0436">
        <w:rPr>
          <w:rFonts w:ascii="Times New Roman" w:hAnsi="Times New Roman" w:cs="Times New Roman"/>
          <w:sz w:val="24"/>
          <w:szCs w:val="24"/>
        </w:rPr>
        <w:t xml:space="preserve"> dan Auditing, 10(3), 27-44.</w:t>
      </w:r>
    </w:p>
    <w:p w14:paraId="75A24E7B"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lastRenderedPageBreak/>
        <w:t>Chen, K. Y., &amp; Elder, R. J. (2007). Fraud risk factors and the likelihood of fraudulent financial reporting: Evidence from statement on auditing standards No. 43 in Taiwan. SSRN. https://doi.org/10.2139/ssrn.228945894</w:t>
      </w:r>
    </w:p>
    <w:p w14:paraId="6EA9C602"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t>Cressey, D. R. (1953). Other people’s money: A study in the social psychology of embezzlement. The American Journal of Sociology.</w:t>
      </w:r>
    </w:p>
    <w:p w14:paraId="021E285A"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t>Daily Star. (2021). Money laundering: Interpol issues red notice for PK Halder. https://www.thedailystar.net/frontpage/news/money-laundering-interpol-issues-red-alert-pk-halder-2024545</w:t>
      </w:r>
    </w:p>
    <w:p w14:paraId="59FEAE47"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t>Dhaka Tribune. (2019). Loan scams, soaring NPLs, bank owners increasing clout hurt banking sector. https://archive.dhakatribune.com/business/banks/2019/01/02/loan-scams-soaring-npls-bank-owners-increasing-clout-hurt-banking-sector</w:t>
      </w:r>
    </w:p>
    <w:p w14:paraId="1A70D2BB"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proofErr w:type="spellStart"/>
      <w:r w:rsidRPr="00CE0436">
        <w:rPr>
          <w:rFonts w:ascii="Times New Roman" w:hAnsi="Times New Roman" w:cs="Times New Roman"/>
          <w:sz w:val="24"/>
          <w:szCs w:val="24"/>
        </w:rPr>
        <w:t>Diansari</w:t>
      </w:r>
      <w:proofErr w:type="spellEnd"/>
      <w:r w:rsidRPr="00CE0436">
        <w:rPr>
          <w:rFonts w:ascii="Times New Roman" w:hAnsi="Times New Roman" w:cs="Times New Roman"/>
          <w:sz w:val="24"/>
          <w:szCs w:val="24"/>
        </w:rPr>
        <w:t xml:space="preserve">, R. E., &amp; Wijaya, A. T. (2022). Diamond fraud analysis in detecting financial statement fraud. Journal of Business and Information Systems, 1(2), 27–44. </w:t>
      </w:r>
      <w:hyperlink r:id="rId11" w:tgtFrame="_new" w:history="1">
        <w:r w:rsidRPr="00CE0436">
          <w:rPr>
            <w:rStyle w:val="Hyperlink"/>
            <w:rFonts w:ascii="Times New Roman" w:hAnsi="Times New Roman" w:cs="Times New Roman"/>
            <w:sz w:val="24"/>
            <w:szCs w:val="24"/>
          </w:rPr>
          <w:t>http://www.thejbis.org</w:t>
        </w:r>
      </w:hyperlink>
    </w:p>
    <w:p w14:paraId="755120DA"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proofErr w:type="spellStart"/>
      <w:r w:rsidRPr="00CE0436">
        <w:rPr>
          <w:rFonts w:ascii="Times New Roman" w:hAnsi="Times New Roman" w:cs="Times New Roman"/>
          <w:sz w:val="24"/>
          <w:szCs w:val="24"/>
        </w:rPr>
        <w:t>Egolum</w:t>
      </w:r>
      <w:proofErr w:type="spellEnd"/>
      <w:r w:rsidRPr="00CE0436">
        <w:rPr>
          <w:rFonts w:ascii="Times New Roman" w:hAnsi="Times New Roman" w:cs="Times New Roman"/>
          <w:sz w:val="24"/>
          <w:szCs w:val="24"/>
        </w:rPr>
        <w:t xml:space="preserve">, P. U., Okoye, E., &amp; </w:t>
      </w:r>
      <w:proofErr w:type="spellStart"/>
      <w:r w:rsidRPr="00CE0436">
        <w:rPr>
          <w:rFonts w:ascii="Times New Roman" w:hAnsi="Times New Roman" w:cs="Times New Roman"/>
          <w:sz w:val="24"/>
          <w:szCs w:val="24"/>
        </w:rPr>
        <w:t>Eze</w:t>
      </w:r>
      <w:proofErr w:type="spellEnd"/>
      <w:r w:rsidRPr="00CE0436">
        <w:rPr>
          <w:rFonts w:ascii="Times New Roman" w:hAnsi="Times New Roman" w:cs="Times New Roman"/>
          <w:sz w:val="24"/>
          <w:szCs w:val="24"/>
        </w:rPr>
        <w:t>, M. N. (2019). Effect of fraud pentagon model on fraud assessment in the deposit money banks in Nigeria. Journal of Global Accounting, 6(3), 124-142.</w:t>
      </w:r>
    </w:p>
    <w:p w14:paraId="446651FE" w14:textId="77777777" w:rsidR="009C5FEE" w:rsidRPr="00CE0436" w:rsidRDefault="009C5FEE" w:rsidP="009C5FEE">
      <w:pPr>
        <w:spacing w:line="360" w:lineRule="auto"/>
        <w:ind w:left="720" w:hanging="720"/>
        <w:contextualSpacing/>
        <w:jc w:val="both"/>
        <w:rPr>
          <w:rFonts w:ascii="Times New Roman" w:hAnsi="Times New Roman" w:cs="Times New Roman"/>
          <w:sz w:val="24"/>
          <w:szCs w:val="24"/>
        </w:rPr>
      </w:pPr>
      <w:r w:rsidRPr="00CE0436">
        <w:rPr>
          <w:rFonts w:ascii="Times New Roman" w:hAnsi="Times New Roman" w:cs="Times New Roman"/>
          <w:sz w:val="24"/>
          <w:szCs w:val="24"/>
        </w:rPr>
        <w:t>Financial Express. (2020). NPL and its impact on the banking sector of Bangladesh. https://thefinancialexpress.com.bd/views/npl-and-its-impact-on-the-banking-sector-of-bangladesh-1595343188</w:t>
      </w:r>
    </w:p>
    <w:p w14:paraId="40BBCCBB" w14:textId="77777777" w:rsidR="00FE1255" w:rsidRPr="00CE0436" w:rsidRDefault="009C5FEE" w:rsidP="00FE1255">
      <w:pPr>
        <w:spacing w:after="0" w:line="273" w:lineRule="auto"/>
        <w:ind w:left="720" w:hanging="720"/>
        <w:jc w:val="both"/>
        <w:rPr>
          <w:rFonts w:ascii="Times New Roman" w:hAnsi="Times New Roman" w:cs="Times New Roman"/>
          <w:kern w:val="0"/>
          <w:sz w:val="24"/>
          <w:szCs w:val="24"/>
        </w:rPr>
      </w:pPr>
      <w:r w:rsidRPr="00CE0436">
        <w:rPr>
          <w:rFonts w:ascii="Times New Roman" w:hAnsi="Times New Roman" w:cs="Times New Roman"/>
          <w:sz w:val="24"/>
          <w:szCs w:val="24"/>
        </w:rPr>
        <w:t xml:space="preserve">Ghosh, R., Sen, K. K., &amp; Riva, F. (2020). Behavioral determinants of non-performing loans in Bangladesh. Asian Journal of Accounting Research, 5(2), 327–340. </w:t>
      </w:r>
      <w:hyperlink r:id="rId12" w:history="1">
        <w:r w:rsidR="00F553C5" w:rsidRPr="00CE0436">
          <w:rPr>
            <w:rStyle w:val="Hyperlink"/>
            <w:rFonts w:ascii="Times New Roman" w:hAnsi="Times New Roman" w:cs="Times New Roman"/>
            <w:sz w:val="24"/>
            <w:szCs w:val="24"/>
          </w:rPr>
          <w:t>https://doi.org/10.1108/AJAR-03-2020-0018</w:t>
        </w:r>
      </w:hyperlink>
      <w:r w:rsidR="00FE1255" w:rsidRPr="00CE0436">
        <w:rPr>
          <w:rFonts w:ascii="Times New Roman" w:hAnsi="Times New Roman" w:cs="Times New Roman"/>
          <w:kern w:val="0"/>
          <w:sz w:val="24"/>
          <w:szCs w:val="24"/>
        </w:rPr>
        <w:t xml:space="preserve"> </w:t>
      </w:r>
    </w:p>
    <w:p w14:paraId="3907A19B" w14:textId="77777777" w:rsidR="00AA14E6" w:rsidRPr="00FE1255" w:rsidRDefault="00AA14E6" w:rsidP="00FE1255">
      <w:pPr>
        <w:spacing w:after="0" w:line="273" w:lineRule="auto"/>
        <w:ind w:left="720" w:hanging="720"/>
        <w:jc w:val="both"/>
        <w:rPr>
          <w:rFonts w:ascii="Times New Roman" w:hAnsi="Times New Roman" w:cs="Times New Roman"/>
          <w:kern w:val="0"/>
          <w:sz w:val="24"/>
          <w:szCs w:val="24"/>
        </w:rPr>
      </w:pPr>
    </w:p>
    <w:p w14:paraId="64771086" w14:textId="06BAA0E9" w:rsidR="00FE1255" w:rsidRPr="00FE1255" w:rsidRDefault="00FE1255" w:rsidP="001968AB">
      <w:pPr>
        <w:spacing w:after="0" w:line="273" w:lineRule="auto"/>
        <w:ind w:left="720" w:hanging="720"/>
        <w:jc w:val="both"/>
        <w:rPr>
          <w:rFonts w:ascii="Times New Roman" w:hAnsi="Times New Roman" w:cs="Times New Roman"/>
          <w:kern w:val="0"/>
          <w:sz w:val="24"/>
          <w:szCs w:val="24"/>
        </w:rPr>
      </w:pPr>
      <w:r w:rsidRPr="00FE1255">
        <w:rPr>
          <w:rFonts w:ascii="Times New Roman" w:hAnsi="Times New Roman" w:cs="Times New Roman"/>
          <w:kern w:val="0"/>
          <w:sz w:val="24"/>
          <w:szCs w:val="24"/>
        </w:rPr>
        <w:t xml:space="preserve">Hartanto, R., </w:t>
      </w:r>
      <w:proofErr w:type="spellStart"/>
      <w:r w:rsidRPr="00FE1255">
        <w:rPr>
          <w:rFonts w:ascii="Times New Roman" w:hAnsi="Times New Roman" w:cs="Times New Roman"/>
          <w:kern w:val="0"/>
          <w:sz w:val="24"/>
          <w:szCs w:val="24"/>
        </w:rPr>
        <w:t>Lasmanah</w:t>
      </w:r>
      <w:proofErr w:type="spellEnd"/>
      <w:r w:rsidRPr="00FE1255">
        <w:rPr>
          <w:rFonts w:ascii="Times New Roman" w:hAnsi="Times New Roman" w:cs="Times New Roman"/>
          <w:kern w:val="0"/>
          <w:sz w:val="24"/>
          <w:szCs w:val="24"/>
        </w:rPr>
        <w:t xml:space="preserve">, M., Mustafa, R., &amp; </w:t>
      </w:r>
      <w:proofErr w:type="spellStart"/>
      <w:r w:rsidRPr="00FE1255">
        <w:rPr>
          <w:rFonts w:ascii="Times New Roman" w:hAnsi="Times New Roman" w:cs="Times New Roman"/>
          <w:kern w:val="0"/>
          <w:sz w:val="24"/>
          <w:szCs w:val="24"/>
        </w:rPr>
        <w:t>Purnamasari</w:t>
      </w:r>
      <w:proofErr w:type="spellEnd"/>
      <w:r w:rsidRPr="00FE1255">
        <w:rPr>
          <w:rFonts w:ascii="Times New Roman" w:hAnsi="Times New Roman" w:cs="Times New Roman"/>
          <w:kern w:val="0"/>
          <w:sz w:val="24"/>
          <w:szCs w:val="24"/>
        </w:rPr>
        <w:t>, P. (2019). Analysis of factors that influence financial statement fraud in the perspective of fraud triangle: Study on banking companies in Indonesia. ICASI 2019, July 18–19, Banda Aceh, Indonesia. https://doi.org/10.4108/eai.18-7-2019.2288648</w:t>
      </w:r>
    </w:p>
    <w:p w14:paraId="37215436" w14:textId="7219B4FA" w:rsidR="009C5FEE" w:rsidRPr="00280C96" w:rsidRDefault="009C5FEE" w:rsidP="001968AB">
      <w:pPr>
        <w:spacing w:line="360" w:lineRule="auto"/>
        <w:contextualSpacing/>
        <w:jc w:val="both"/>
        <w:rPr>
          <w:rFonts w:asciiTheme="majorBidi" w:hAnsiTheme="majorBidi" w:cstheme="majorBidi"/>
          <w:sz w:val="24"/>
          <w:szCs w:val="24"/>
        </w:rPr>
      </w:pPr>
      <w:proofErr w:type="spellStart"/>
      <w:r w:rsidRPr="00280C96">
        <w:rPr>
          <w:rFonts w:asciiTheme="majorBidi" w:hAnsiTheme="majorBidi" w:cstheme="majorBidi"/>
          <w:sz w:val="24"/>
          <w:szCs w:val="24"/>
        </w:rPr>
        <w:t>Handoko</w:t>
      </w:r>
      <w:proofErr w:type="spellEnd"/>
      <w:r w:rsidRPr="00280C96">
        <w:rPr>
          <w:rFonts w:asciiTheme="majorBidi" w:hAnsiTheme="majorBidi" w:cstheme="majorBidi"/>
          <w:sz w:val="24"/>
          <w:szCs w:val="24"/>
        </w:rPr>
        <w:t xml:space="preserve">, B. L., &amp; </w:t>
      </w:r>
      <w:proofErr w:type="spellStart"/>
      <w:r w:rsidRPr="00280C96">
        <w:rPr>
          <w:rFonts w:asciiTheme="majorBidi" w:hAnsiTheme="majorBidi" w:cstheme="majorBidi"/>
          <w:sz w:val="24"/>
          <w:szCs w:val="24"/>
        </w:rPr>
        <w:t>Natasya</w:t>
      </w:r>
      <w:proofErr w:type="spellEnd"/>
      <w:r w:rsidRPr="00280C96">
        <w:rPr>
          <w:rFonts w:asciiTheme="majorBidi" w:hAnsiTheme="majorBidi" w:cstheme="majorBidi"/>
          <w:sz w:val="24"/>
          <w:szCs w:val="24"/>
        </w:rPr>
        <w:t xml:space="preserve">, D. (2019). Fraud diamond model for fraudulent financial statement </w:t>
      </w:r>
      <w:r w:rsidR="007829E7">
        <w:rPr>
          <w:rFonts w:asciiTheme="majorBidi" w:hAnsiTheme="majorBidi" w:cstheme="majorBidi"/>
          <w:sz w:val="24"/>
          <w:szCs w:val="24"/>
        </w:rPr>
        <w:tab/>
      </w:r>
      <w:r w:rsidRPr="00280C96">
        <w:rPr>
          <w:rFonts w:asciiTheme="majorBidi" w:hAnsiTheme="majorBidi" w:cstheme="majorBidi"/>
          <w:sz w:val="24"/>
          <w:szCs w:val="24"/>
        </w:rPr>
        <w:t xml:space="preserve">detection. </w:t>
      </w:r>
      <w:r w:rsidRPr="00280C96">
        <w:rPr>
          <w:rFonts w:asciiTheme="majorBidi" w:hAnsiTheme="majorBidi" w:cstheme="majorBidi"/>
          <w:i/>
          <w:iCs/>
          <w:sz w:val="24"/>
          <w:szCs w:val="24"/>
        </w:rPr>
        <w:t>International Journal of Recent Technology and Engineering (IJRTE, 8</w:t>
      </w:r>
      <w:r w:rsidRPr="00280C96">
        <w:rPr>
          <w:rFonts w:asciiTheme="majorBidi" w:hAnsiTheme="majorBidi" w:cstheme="majorBidi"/>
          <w:sz w:val="24"/>
          <w:szCs w:val="24"/>
        </w:rPr>
        <w:t xml:space="preserve">(3), </w:t>
      </w:r>
      <w:r w:rsidR="00992683">
        <w:rPr>
          <w:rFonts w:asciiTheme="majorBidi" w:hAnsiTheme="majorBidi" w:cstheme="majorBidi"/>
          <w:sz w:val="24"/>
          <w:szCs w:val="24"/>
        </w:rPr>
        <w:tab/>
      </w:r>
      <w:r w:rsidRPr="00280C96">
        <w:rPr>
          <w:rFonts w:asciiTheme="majorBidi" w:hAnsiTheme="majorBidi" w:cstheme="majorBidi"/>
          <w:sz w:val="24"/>
          <w:szCs w:val="24"/>
        </w:rPr>
        <w:t>2277–3878.</w:t>
      </w:r>
    </w:p>
    <w:p w14:paraId="14A86054" w14:textId="77777777" w:rsidR="009C5FEE" w:rsidRPr="00280C96" w:rsidRDefault="009C5FEE" w:rsidP="001968AB">
      <w:pPr>
        <w:spacing w:line="360" w:lineRule="auto"/>
        <w:ind w:left="720" w:hanging="720"/>
        <w:contextualSpacing/>
        <w:jc w:val="both"/>
        <w:rPr>
          <w:rFonts w:asciiTheme="majorBidi" w:hAnsiTheme="majorBidi" w:cstheme="majorBidi"/>
          <w:sz w:val="24"/>
          <w:szCs w:val="24"/>
        </w:rPr>
      </w:pPr>
      <w:r w:rsidRPr="00280C96">
        <w:rPr>
          <w:rFonts w:asciiTheme="majorBidi" w:hAnsiTheme="majorBidi" w:cstheme="majorBidi"/>
          <w:sz w:val="24"/>
          <w:szCs w:val="24"/>
        </w:rPr>
        <w:t>Hasan, M. S., Omar, N., Barnes, P., &amp; Handley-</w:t>
      </w:r>
      <w:proofErr w:type="spellStart"/>
      <w:r w:rsidRPr="00280C96">
        <w:rPr>
          <w:rFonts w:asciiTheme="majorBidi" w:hAnsiTheme="majorBidi" w:cstheme="majorBidi"/>
          <w:sz w:val="24"/>
          <w:szCs w:val="24"/>
        </w:rPr>
        <w:t>Schachler</w:t>
      </w:r>
      <w:proofErr w:type="spellEnd"/>
      <w:r w:rsidRPr="00280C96">
        <w:rPr>
          <w:rFonts w:asciiTheme="majorBidi" w:hAnsiTheme="majorBidi" w:cstheme="majorBidi"/>
          <w:sz w:val="24"/>
          <w:szCs w:val="24"/>
        </w:rPr>
        <w:t xml:space="preserve">, M. (2017). A cross-country study on manipulations in financial statements of listed companies: Evidence from Asia. </w:t>
      </w:r>
      <w:r w:rsidRPr="00280C96">
        <w:rPr>
          <w:rFonts w:asciiTheme="majorBidi" w:hAnsiTheme="majorBidi" w:cstheme="majorBidi"/>
          <w:i/>
          <w:iCs/>
          <w:sz w:val="24"/>
          <w:szCs w:val="24"/>
        </w:rPr>
        <w:t>Journal of Financial Crime, 24</w:t>
      </w:r>
      <w:r w:rsidRPr="00280C96">
        <w:rPr>
          <w:rFonts w:asciiTheme="majorBidi" w:hAnsiTheme="majorBidi" w:cstheme="majorBidi"/>
          <w:sz w:val="24"/>
          <w:szCs w:val="24"/>
        </w:rPr>
        <w:t>(4), 656–677. https://doi.org/10.1108/JFC-07-2016-0047</w:t>
      </w:r>
    </w:p>
    <w:p w14:paraId="4FC0CA21" w14:textId="02CDC65A" w:rsidR="00BA411F" w:rsidRPr="00607A87" w:rsidRDefault="009C5FEE" w:rsidP="001968AB">
      <w:pPr>
        <w:spacing w:line="360" w:lineRule="auto"/>
        <w:ind w:left="720" w:hanging="720"/>
        <w:contextualSpacing/>
        <w:jc w:val="both"/>
        <w:rPr>
          <w:rFonts w:asciiTheme="majorBidi" w:hAnsiTheme="majorBidi" w:cstheme="majorBidi"/>
          <w:sz w:val="24"/>
          <w:szCs w:val="24"/>
        </w:rPr>
      </w:pPr>
      <w:r w:rsidRPr="00280C96">
        <w:rPr>
          <w:rFonts w:asciiTheme="majorBidi" w:hAnsiTheme="majorBidi" w:cstheme="majorBidi"/>
          <w:sz w:val="24"/>
          <w:szCs w:val="24"/>
        </w:rPr>
        <w:lastRenderedPageBreak/>
        <w:t xml:space="preserve">Hasan, M. S., Omar, N., Rahman, R. A., &amp; Hossain, S. Z. (2016). Corporate attributes and corporate accruals. </w:t>
      </w:r>
      <w:proofErr w:type="spellStart"/>
      <w:r w:rsidRPr="00280C96">
        <w:rPr>
          <w:rFonts w:asciiTheme="majorBidi" w:hAnsiTheme="majorBidi" w:cstheme="majorBidi"/>
          <w:i/>
          <w:iCs/>
          <w:sz w:val="24"/>
          <w:szCs w:val="24"/>
        </w:rPr>
        <w:t>Aestimatio</w:t>
      </w:r>
      <w:proofErr w:type="spellEnd"/>
      <w:r w:rsidRPr="00280C96">
        <w:rPr>
          <w:rFonts w:asciiTheme="majorBidi" w:hAnsiTheme="majorBidi" w:cstheme="majorBidi"/>
          <w:i/>
          <w:iCs/>
          <w:sz w:val="24"/>
          <w:szCs w:val="24"/>
        </w:rPr>
        <w:t>: The IEB International Journal of Finance, 12</w:t>
      </w:r>
      <w:r w:rsidRPr="00280C96">
        <w:rPr>
          <w:rFonts w:asciiTheme="majorBidi" w:hAnsiTheme="majorBidi" w:cstheme="majorBidi"/>
          <w:sz w:val="24"/>
          <w:szCs w:val="24"/>
        </w:rPr>
        <w:t>, 24–47.</w:t>
      </w:r>
    </w:p>
    <w:p w14:paraId="2B2A250A" w14:textId="45323626" w:rsidR="001B48DB" w:rsidRPr="00BA411F" w:rsidRDefault="001B48DB" w:rsidP="001968AB">
      <w:pPr>
        <w:spacing w:after="0" w:line="240" w:lineRule="auto"/>
        <w:jc w:val="both"/>
        <w:rPr>
          <w:rFonts w:ascii="Times New Roman" w:eastAsia="Times New Roman" w:hAnsi="Times New Roman" w:cs="Times New Roman"/>
          <w:kern w:val="0"/>
          <w:sz w:val="24"/>
          <w:szCs w:val="24"/>
          <w:lang w:eastAsia="en-GB"/>
          <w14:ligatures w14:val="none"/>
        </w:rPr>
      </w:pPr>
      <w:proofErr w:type="spellStart"/>
      <w:r w:rsidRPr="00BA411F">
        <w:rPr>
          <w:rFonts w:ascii="Times New Roman" w:eastAsia="Times New Roman" w:hAnsi="Times New Roman" w:cs="Times New Roman"/>
          <w:color w:val="000000"/>
          <w:kern w:val="0"/>
          <w:sz w:val="24"/>
          <w:szCs w:val="24"/>
          <w:lang w:eastAsia="en-GB"/>
          <w14:ligatures w14:val="none"/>
        </w:rPr>
        <w:t>Ijeoma</w:t>
      </w:r>
      <w:proofErr w:type="spellEnd"/>
      <w:r w:rsidRPr="00BA411F">
        <w:rPr>
          <w:rFonts w:ascii="Times New Roman" w:eastAsia="Times New Roman" w:hAnsi="Times New Roman" w:cs="Times New Roman"/>
          <w:color w:val="000000"/>
          <w:kern w:val="0"/>
          <w:sz w:val="24"/>
          <w:szCs w:val="24"/>
          <w:lang w:eastAsia="en-GB"/>
          <w14:ligatures w14:val="none"/>
        </w:rPr>
        <w:t xml:space="preserve"> N. B. </w:t>
      </w:r>
      <w:r w:rsidR="007E2DE6" w:rsidRPr="00607A87">
        <w:rPr>
          <w:rFonts w:ascii="Times New Roman" w:eastAsia="Times New Roman" w:hAnsi="Times New Roman" w:cs="Times New Roman"/>
          <w:color w:val="000000"/>
          <w:kern w:val="0"/>
          <w:sz w:val="24"/>
          <w:szCs w:val="24"/>
          <w:lang w:eastAsia="en-GB"/>
          <w14:ligatures w14:val="none"/>
        </w:rPr>
        <w:t>(2014</w:t>
      </w:r>
      <w:proofErr w:type="gramStart"/>
      <w:r w:rsidR="007E2DE6" w:rsidRPr="00607A87">
        <w:rPr>
          <w:rFonts w:ascii="Times New Roman" w:eastAsia="Times New Roman" w:hAnsi="Times New Roman" w:cs="Times New Roman"/>
          <w:color w:val="000000"/>
          <w:kern w:val="0"/>
          <w:sz w:val="24"/>
          <w:szCs w:val="24"/>
          <w:lang w:eastAsia="en-GB"/>
          <w14:ligatures w14:val="none"/>
        </w:rPr>
        <w:t>)</w:t>
      </w:r>
      <w:r w:rsidR="007E2DE6" w:rsidRPr="00607A87">
        <w:rPr>
          <w:rFonts w:ascii="Times New Roman" w:eastAsia="Times New Roman" w:hAnsi="Times New Roman" w:cs="Times New Roman"/>
          <w:kern w:val="0"/>
          <w:sz w:val="24"/>
          <w:szCs w:val="24"/>
          <w:lang w:eastAsia="en-GB"/>
          <w14:ligatures w14:val="none"/>
        </w:rPr>
        <w:t xml:space="preserve">  </w:t>
      </w:r>
      <w:r w:rsidRPr="00BA411F">
        <w:rPr>
          <w:rFonts w:ascii="Times New Roman" w:eastAsia="Times New Roman" w:hAnsi="Times New Roman" w:cs="Times New Roman"/>
          <w:color w:val="000000"/>
          <w:kern w:val="0"/>
          <w:sz w:val="24"/>
          <w:szCs w:val="24"/>
          <w:lang w:eastAsia="en-GB"/>
          <w14:ligatures w14:val="none"/>
        </w:rPr>
        <w:t>The</w:t>
      </w:r>
      <w:proofErr w:type="gramEnd"/>
      <w:r w:rsidRPr="00BA411F">
        <w:rPr>
          <w:rFonts w:ascii="Times New Roman" w:eastAsia="Times New Roman" w:hAnsi="Times New Roman" w:cs="Times New Roman"/>
          <w:color w:val="000000"/>
          <w:kern w:val="0"/>
          <w:sz w:val="24"/>
          <w:szCs w:val="24"/>
          <w:lang w:eastAsia="en-GB"/>
          <w14:ligatures w14:val="none"/>
        </w:rPr>
        <w:t xml:space="preserve"> Effect of Creative Accounting on the Nigerian Banking </w:t>
      </w:r>
    </w:p>
    <w:p w14:paraId="3365081D" w14:textId="5B2371E3" w:rsidR="00BA411F" w:rsidRPr="00BA411F" w:rsidRDefault="00607A87" w:rsidP="001968AB">
      <w:pPr>
        <w:spacing w:after="0" w:line="240" w:lineRule="auto"/>
        <w:jc w:val="both"/>
        <w:rPr>
          <w:rFonts w:ascii="Times New Roman" w:eastAsia="Times New Roman" w:hAnsi="Times New Roman" w:cs="Times New Roman"/>
          <w:kern w:val="0"/>
          <w:sz w:val="24"/>
          <w:szCs w:val="24"/>
          <w:lang w:eastAsia="en-GB"/>
          <w14:ligatures w14:val="none"/>
        </w:rPr>
      </w:pPr>
      <w:r w:rsidRPr="00607A87">
        <w:rPr>
          <w:rFonts w:ascii="Times New Roman" w:eastAsia="Times New Roman" w:hAnsi="Times New Roman" w:cs="Times New Roman"/>
          <w:color w:val="000000"/>
          <w:kern w:val="0"/>
          <w:sz w:val="24"/>
          <w:szCs w:val="24"/>
          <w:lang w:eastAsia="en-GB"/>
          <w14:ligatures w14:val="none"/>
        </w:rPr>
        <w:tab/>
      </w:r>
      <w:r w:rsidR="001B48DB" w:rsidRPr="00BA411F">
        <w:rPr>
          <w:rFonts w:ascii="Times New Roman" w:eastAsia="Times New Roman" w:hAnsi="Times New Roman" w:cs="Times New Roman"/>
          <w:color w:val="000000"/>
          <w:kern w:val="0"/>
          <w:sz w:val="24"/>
          <w:szCs w:val="24"/>
          <w:lang w:eastAsia="en-GB"/>
          <w14:ligatures w14:val="none"/>
        </w:rPr>
        <w:t xml:space="preserve">Industry </w:t>
      </w:r>
      <w:r w:rsidR="00BA411F" w:rsidRPr="00BA411F">
        <w:rPr>
          <w:rFonts w:ascii="Times New Roman" w:eastAsia="Times New Roman" w:hAnsi="Times New Roman" w:cs="Times New Roman"/>
          <w:color w:val="000000"/>
          <w:kern w:val="0"/>
          <w:sz w:val="24"/>
          <w:szCs w:val="24"/>
          <w:lang w:eastAsia="en-GB"/>
          <w14:ligatures w14:val="none"/>
        </w:rPr>
        <w:t xml:space="preserve">International Journal of Managerial Studies and Research (IJMSR) </w:t>
      </w:r>
    </w:p>
    <w:p w14:paraId="45F502FF" w14:textId="79D503BA" w:rsidR="00BA411F" w:rsidRPr="00BA411F" w:rsidRDefault="00607A87" w:rsidP="001968AB">
      <w:pPr>
        <w:spacing w:after="0" w:line="240" w:lineRule="auto"/>
        <w:jc w:val="both"/>
        <w:rPr>
          <w:rFonts w:ascii="Times New Roman" w:eastAsia="Times New Roman" w:hAnsi="Times New Roman" w:cs="Times New Roman"/>
          <w:kern w:val="0"/>
          <w:sz w:val="24"/>
          <w:szCs w:val="24"/>
          <w:lang w:eastAsia="en-GB"/>
          <w14:ligatures w14:val="none"/>
        </w:rPr>
      </w:pPr>
      <w:r w:rsidRPr="00607A87">
        <w:rPr>
          <w:rFonts w:ascii="Times New Roman" w:eastAsia="Times New Roman" w:hAnsi="Times New Roman" w:cs="Times New Roman"/>
          <w:color w:val="000000"/>
          <w:kern w:val="0"/>
          <w:sz w:val="24"/>
          <w:szCs w:val="24"/>
          <w:lang w:eastAsia="en-GB"/>
          <w14:ligatures w14:val="none"/>
        </w:rPr>
        <w:tab/>
      </w:r>
      <w:r w:rsidR="00BA411F" w:rsidRPr="00BA411F">
        <w:rPr>
          <w:rFonts w:ascii="Times New Roman" w:eastAsia="Times New Roman" w:hAnsi="Times New Roman" w:cs="Times New Roman"/>
          <w:color w:val="000000"/>
          <w:kern w:val="0"/>
          <w:sz w:val="24"/>
          <w:szCs w:val="24"/>
          <w:lang w:eastAsia="en-GB"/>
          <w14:ligatures w14:val="none"/>
        </w:rPr>
        <w:t xml:space="preserve">Volume 2, Issue 10, November 2014, PP 13-21 </w:t>
      </w:r>
    </w:p>
    <w:p w14:paraId="6380CEE5" w14:textId="7BFCF6D8" w:rsidR="00BA411F" w:rsidRPr="00BA411F" w:rsidRDefault="00607A87" w:rsidP="001968AB">
      <w:pPr>
        <w:spacing w:after="0" w:line="240" w:lineRule="auto"/>
        <w:jc w:val="both"/>
        <w:rPr>
          <w:rFonts w:ascii="Times New Roman" w:eastAsia="Times New Roman" w:hAnsi="Times New Roman" w:cs="Times New Roman"/>
          <w:kern w:val="0"/>
          <w:sz w:val="24"/>
          <w:szCs w:val="24"/>
          <w:lang w:eastAsia="en-GB"/>
          <w14:ligatures w14:val="none"/>
        </w:rPr>
      </w:pPr>
      <w:r w:rsidRPr="00607A87">
        <w:rPr>
          <w:rFonts w:ascii="Times New Roman" w:eastAsia="Times New Roman" w:hAnsi="Times New Roman" w:cs="Times New Roman"/>
          <w:color w:val="000000"/>
          <w:kern w:val="0"/>
          <w:sz w:val="24"/>
          <w:szCs w:val="24"/>
          <w:lang w:eastAsia="en-GB"/>
          <w14:ligatures w14:val="none"/>
        </w:rPr>
        <w:tab/>
      </w:r>
      <w:r w:rsidR="00BA411F" w:rsidRPr="00BA411F">
        <w:rPr>
          <w:rFonts w:ascii="Times New Roman" w:eastAsia="Times New Roman" w:hAnsi="Times New Roman" w:cs="Times New Roman"/>
          <w:color w:val="000000"/>
          <w:kern w:val="0"/>
          <w:sz w:val="24"/>
          <w:szCs w:val="24"/>
          <w:lang w:eastAsia="en-GB"/>
          <w14:ligatures w14:val="none"/>
        </w:rPr>
        <w:t xml:space="preserve">ISSN 2349-0330 (Print) &amp; ISSN 2349-0349 (Online) </w:t>
      </w:r>
    </w:p>
    <w:p w14:paraId="5F8E145C" w14:textId="66E521FD" w:rsidR="00BA411F" w:rsidRPr="00BA411F" w:rsidRDefault="00607A87" w:rsidP="001968AB">
      <w:pPr>
        <w:spacing w:after="0" w:line="240" w:lineRule="auto"/>
        <w:jc w:val="both"/>
        <w:rPr>
          <w:rFonts w:ascii="Times New Roman" w:eastAsia="Times New Roman" w:hAnsi="Times New Roman" w:cs="Times New Roman"/>
          <w:kern w:val="0"/>
          <w:sz w:val="24"/>
          <w:szCs w:val="24"/>
          <w:lang w:eastAsia="en-GB"/>
          <w14:ligatures w14:val="none"/>
        </w:rPr>
      </w:pPr>
      <w:r w:rsidRPr="00607A87">
        <w:rPr>
          <w:rFonts w:ascii="Times New Roman" w:eastAsia="Times New Roman" w:hAnsi="Times New Roman" w:cs="Times New Roman"/>
          <w:color w:val="000000"/>
          <w:kern w:val="0"/>
          <w:sz w:val="24"/>
          <w:szCs w:val="24"/>
          <w:lang w:eastAsia="en-GB"/>
          <w14:ligatures w14:val="none"/>
        </w:rPr>
        <w:tab/>
      </w:r>
      <w:hyperlink r:id="rId13" w:history="1">
        <w:r w:rsidRPr="00BA411F">
          <w:rPr>
            <w:rStyle w:val="Hyperlink"/>
            <w:rFonts w:ascii="Times New Roman" w:eastAsia="Times New Roman" w:hAnsi="Times New Roman" w:cs="Times New Roman"/>
            <w:kern w:val="0"/>
            <w:sz w:val="24"/>
            <w:szCs w:val="24"/>
            <w:lang w:eastAsia="en-GB"/>
            <w14:ligatures w14:val="none"/>
          </w:rPr>
          <w:t>www.arcjournals.org</w:t>
        </w:r>
      </w:hyperlink>
      <w:r w:rsidR="008404CC" w:rsidRPr="00607A87">
        <w:rPr>
          <w:rFonts w:ascii="Times New Roman" w:eastAsia="Times New Roman" w:hAnsi="Times New Roman" w:cs="Times New Roman"/>
          <w:color w:val="000000"/>
          <w:kern w:val="0"/>
          <w:lang w:eastAsia="en-GB"/>
          <w14:ligatures w14:val="none"/>
        </w:rPr>
        <w:t xml:space="preserve"> </w:t>
      </w:r>
      <w:r w:rsidR="00BA411F" w:rsidRPr="00BA411F">
        <w:rPr>
          <w:rFonts w:ascii="Times New Roman" w:eastAsia="Times New Roman" w:hAnsi="Times New Roman" w:cs="Times New Roman"/>
          <w:color w:val="000000"/>
          <w:kern w:val="0"/>
          <w:lang w:eastAsia="en-GB"/>
          <w14:ligatures w14:val="none"/>
        </w:rPr>
        <w:t xml:space="preserve"> </w:t>
      </w:r>
    </w:p>
    <w:p w14:paraId="5E8A8192" w14:textId="7A0FF9AD" w:rsidR="009C5FEE" w:rsidRPr="002B2413" w:rsidRDefault="009C5FEE" w:rsidP="001968AB">
      <w:pPr>
        <w:spacing w:line="360" w:lineRule="auto"/>
        <w:contextualSpacing/>
        <w:jc w:val="both"/>
        <w:rPr>
          <w:rFonts w:ascii="Times New Roman" w:hAnsi="Times New Roman" w:cs="Times New Roman"/>
          <w:sz w:val="24"/>
          <w:szCs w:val="24"/>
        </w:rPr>
      </w:pPr>
      <w:proofErr w:type="spellStart"/>
      <w:r w:rsidRPr="00280C96">
        <w:rPr>
          <w:rFonts w:asciiTheme="majorBidi" w:hAnsiTheme="majorBidi" w:cstheme="majorBidi"/>
          <w:sz w:val="24"/>
          <w:szCs w:val="24"/>
        </w:rPr>
        <w:t>Imagbe</w:t>
      </w:r>
      <w:proofErr w:type="spellEnd"/>
      <w:r w:rsidRPr="00280C96">
        <w:rPr>
          <w:rFonts w:asciiTheme="majorBidi" w:hAnsiTheme="majorBidi" w:cstheme="majorBidi"/>
          <w:sz w:val="24"/>
          <w:szCs w:val="24"/>
        </w:rPr>
        <w:t xml:space="preserve">, V. U., </w:t>
      </w:r>
      <w:proofErr w:type="spellStart"/>
      <w:r w:rsidRPr="00280C96">
        <w:rPr>
          <w:rFonts w:asciiTheme="majorBidi" w:hAnsiTheme="majorBidi" w:cstheme="majorBidi"/>
          <w:sz w:val="24"/>
          <w:szCs w:val="24"/>
        </w:rPr>
        <w:t>Abiloro</w:t>
      </w:r>
      <w:proofErr w:type="spellEnd"/>
      <w:r w:rsidRPr="00280C96">
        <w:rPr>
          <w:rFonts w:asciiTheme="majorBidi" w:hAnsiTheme="majorBidi" w:cstheme="majorBidi"/>
          <w:sz w:val="24"/>
          <w:szCs w:val="24"/>
        </w:rPr>
        <w:t xml:space="preserve">, T. O., &amp; </w:t>
      </w:r>
      <w:proofErr w:type="spellStart"/>
      <w:r w:rsidRPr="00280C96">
        <w:rPr>
          <w:rFonts w:asciiTheme="majorBidi" w:hAnsiTheme="majorBidi" w:cstheme="majorBidi"/>
          <w:sz w:val="24"/>
          <w:szCs w:val="24"/>
        </w:rPr>
        <w:t>Saheed</w:t>
      </w:r>
      <w:proofErr w:type="spellEnd"/>
      <w:r w:rsidRPr="00280C96">
        <w:rPr>
          <w:rFonts w:asciiTheme="majorBidi" w:hAnsiTheme="majorBidi" w:cstheme="majorBidi"/>
          <w:sz w:val="24"/>
          <w:szCs w:val="24"/>
        </w:rPr>
        <w:t xml:space="preserve">, G. A. (2019). Fraud diamond and financial crimes in </w:t>
      </w:r>
      <w:r w:rsidR="00607A87">
        <w:rPr>
          <w:rFonts w:asciiTheme="majorBidi" w:hAnsiTheme="majorBidi" w:cstheme="majorBidi"/>
          <w:sz w:val="24"/>
          <w:szCs w:val="24"/>
        </w:rPr>
        <w:tab/>
      </w:r>
      <w:r w:rsidRPr="00280C96">
        <w:rPr>
          <w:rFonts w:asciiTheme="majorBidi" w:hAnsiTheme="majorBidi" w:cstheme="majorBidi"/>
          <w:sz w:val="24"/>
          <w:szCs w:val="24"/>
        </w:rPr>
        <w:t xml:space="preserve">Nigerian banking industries. </w:t>
      </w:r>
      <w:r w:rsidRPr="00280C96">
        <w:rPr>
          <w:rFonts w:asciiTheme="majorBidi" w:hAnsiTheme="majorBidi" w:cstheme="majorBidi"/>
          <w:i/>
          <w:iCs/>
          <w:sz w:val="24"/>
          <w:szCs w:val="24"/>
        </w:rPr>
        <w:t xml:space="preserve">International Journal of Academic Research in </w:t>
      </w:r>
      <w:r w:rsidR="00607A87">
        <w:rPr>
          <w:rFonts w:asciiTheme="majorBidi" w:hAnsiTheme="majorBidi" w:cstheme="majorBidi"/>
          <w:i/>
          <w:iCs/>
          <w:sz w:val="24"/>
          <w:szCs w:val="24"/>
        </w:rPr>
        <w:tab/>
      </w:r>
      <w:r w:rsidRPr="00280C96">
        <w:rPr>
          <w:rFonts w:asciiTheme="majorBidi" w:hAnsiTheme="majorBidi" w:cstheme="majorBidi"/>
          <w:i/>
          <w:iCs/>
          <w:sz w:val="24"/>
          <w:szCs w:val="24"/>
        </w:rPr>
        <w:t>Accounting, Finance and Management Sciences, 9</w:t>
      </w:r>
      <w:r w:rsidRPr="00280C96">
        <w:rPr>
          <w:rFonts w:asciiTheme="majorBidi" w:hAnsiTheme="majorBidi" w:cstheme="majorBidi"/>
          <w:sz w:val="24"/>
          <w:szCs w:val="24"/>
        </w:rPr>
        <w:t xml:space="preserve">(4), 294-303. </w:t>
      </w:r>
      <w:r w:rsidR="009F0734">
        <w:rPr>
          <w:rFonts w:asciiTheme="majorBidi" w:hAnsiTheme="majorBidi" w:cstheme="majorBidi"/>
          <w:sz w:val="24"/>
          <w:szCs w:val="24"/>
        </w:rPr>
        <w:tab/>
      </w:r>
      <w:hyperlink r:id="rId14" w:history="1">
        <w:r w:rsidR="009F0734" w:rsidRPr="001E05DA">
          <w:rPr>
            <w:rStyle w:val="Hyperlink"/>
            <w:rFonts w:ascii="Times New Roman" w:hAnsi="Times New Roman" w:cs="Times New Roman"/>
            <w:sz w:val="24"/>
            <w:szCs w:val="24"/>
          </w:rPr>
          <w:t>https://doi.org/10.6007/IJARAFMS/v9-i4/6922</w:t>
        </w:r>
      </w:hyperlink>
    </w:p>
    <w:p w14:paraId="0E0B49B2" w14:textId="77777777" w:rsidR="002B2413" w:rsidRPr="00CD2EA1" w:rsidRDefault="009C5FEE" w:rsidP="001968AB">
      <w:pPr>
        <w:spacing w:after="0" w:line="273" w:lineRule="auto"/>
        <w:ind w:left="720" w:hanging="720"/>
        <w:jc w:val="both"/>
        <w:rPr>
          <w:rFonts w:ascii="Times New Roman" w:hAnsi="Times New Roman" w:cs="Times New Roman"/>
          <w:sz w:val="24"/>
          <w:szCs w:val="24"/>
        </w:rPr>
      </w:pPr>
      <w:proofErr w:type="spellStart"/>
      <w:r w:rsidRPr="00CD2EA1">
        <w:rPr>
          <w:rFonts w:ascii="Times New Roman" w:hAnsi="Times New Roman" w:cs="Times New Roman"/>
          <w:sz w:val="24"/>
          <w:szCs w:val="24"/>
        </w:rPr>
        <w:t>Indarto</w:t>
      </w:r>
      <w:proofErr w:type="spellEnd"/>
      <w:r w:rsidRPr="00CD2EA1">
        <w:rPr>
          <w:rFonts w:ascii="Times New Roman" w:hAnsi="Times New Roman" w:cs="Times New Roman"/>
          <w:sz w:val="24"/>
          <w:szCs w:val="24"/>
        </w:rPr>
        <w:t xml:space="preserve">, S. L., &amp; </w:t>
      </w:r>
      <w:proofErr w:type="spellStart"/>
      <w:r w:rsidRPr="00CD2EA1">
        <w:rPr>
          <w:rFonts w:ascii="Times New Roman" w:hAnsi="Times New Roman" w:cs="Times New Roman"/>
          <w:sz w:val="24"/>
          <w:szCs w:val="24"/>
        </w:rPr>
        <w:t>Ghozali</w:t>
      </w:r>
      <w:proofErr w:type="spellEnd"/>
      <w:r w:rsidRPr="00CD2EA1">
        <w:rPr>
          <w:rFonts w:ascii="Times New Roman" w:hAnsi="Times New Roman" w:cs="Times New Roman"/>
          <w:sz w:val="24"/>
          <w:szCs w:val="24"/>
        </w:rPr>
        <w:t>, I. (2016). Fraud diamond: Detection analysis on the fraudulent financial reporting risk. Governance &amp; Control: Financial Markets &amp; Institutions, 6(4), 116.</w:t>
      </w:r>
    </w:p>
    <w:p w14:paraId="7D476AB1" w14:textId="56561560" w:rsidR="00CD2EA1" w:rsidRPr="00CD2EA1" w:rsidRDefault="006F225A" w:rsidP="001968AB">
      <w:pPr>
        <w:spacing w:line="480" w:lineRule="auto"/>
        <w:jc w:val="both"/>
        <w:rPr>
          <w:rFonts w:ascii="Times New Roman" w:hAnsi="Times New Roman" w:cs="Times New Roman"/>
          <w:color w:val="000000" w:themeColor="text1"/>
          <w:sz w:val="24"/>
          <w:szCs w:val="24"/>
        </w:rPr>
      </w:pPr>
      <w:r w:rsidRPr="00CD2EA1">
        <w:rPr>
          <w:rFonts w:ascii="Times New Roman" w:hAnsi="Times New Roman" w:cs="Times New Roman"/>
          <w:kern w:val="0"/>
          <w:sz w:val="24"/>
          <w:szCs w:val="24"/>
        </w:rPr>
        <w:t xml:space="preserve"> </w:t>
      </w:r>
      <w:proofErr w:type="spellStart"/>
      <w:r w:rsidRPr="00CD2EA1">
        <w:rPr>
          <w:rFonts w:ascii="Times New Roman" w:hAnsi="Times New Roman" w:cs="Times New Roman"/>
          <w:kern w:val="0"/>
          <w:sz w:val="24"/>
          <w:szCs w:val="24"/>
        </w:rPr>
        <w:t>Indriyanto</w:t>
      </w:r>
      <w:proofErr w:type="spellEnd"/>
      <w:r w:rsidRPr="00CD2EA1">
        <w:rPr>
          <w:rFonts w:ascii="Times New Roman" w:hAnsi="Times New Roman" w:cs="Times New Roman"/>
          <w:kern w:val="0"/>
          <w:sz w:val="24"/>
          <w:szCs w:val="24"/>
        </w:rPr>
        <w:t xml:space="preserve">, E., </w:t>
      </w:r>
      <w:proofErr w:type="spellStart"/>
      <w:r w:rsidRPr="00CD2EA1">
        <w:rPr>
          <w:rFonts w:ascii="Times New Roman" w:hAnsi="Times New Roman" w:cs="Times New Roman"/>
          <w:kern w:val="0"/>
          <w:sz w:val="24"/>
          <w:szCs w:val="24"/>
        </w:rPr>
        <w:t>Kartini</w:t>
      </w:r>
      <w:proofErr w:type="spellEnd"/>
      <w:r w:rsidRPr="00CD2EA1">
        <w:rPr>
          <w:rFonts w:ascii="Times New Roman" w:hAnsi="Times New Roman" w:cs="Times New Roman"/>
          <w:kern w:val="0"/>
          <w:sz w:val="24"/>
          <w:szCs w:val="24"/>
        </w:rPr>
        <w:t xml:space="preserve">, K., </w:t>
      </w:r>
      <w:proofErr w:type="spellStart"/>
      <w:r w:rsidRPr="00CD2EA1">
        <w:rPr>
          <w:rFonts w:ascii="Times New Roman" w:hAnsi="Times New Roman" w:cs="Times New Roman"/>
          <w:kern w:val="0"/>
          <w:sz w:val="24"/>
          <w:szCs w:val="24"/>
        </w:rPr>
        <w:t>Syamsuddin</w:t>
      </w:r>
      <w:proofErr w:type="spellEnd"/>
      <w:r w:rsidRPr="00CD2EA1">
        <w:rPr>
          <w:rFonts w:ascii="Times New Roman" w:hAnsi="Times New Roman" w:cs="Times New Roman"/>
          <w:kern w:val="0"/>
          <w:sz w:val="24"/>
          <w:szCs w:val="24"/>
        </w:rPr>
        <w:t xml:space="preserve">, S., &amp; </w:t>
      </w:r>
      <w:proofErr w:type="spellStart"/>
      <w:r w:rsidRPr="00CD2EA1">
        <w:rPr>
          <w:rFonts w:ascii="Times New Roman" w:hAnsi="Times New Roman" w:cs="Times New Roman"/>
          <w:kern w:val="0"/>
          <w:sz w:val="24"/>
          <w:szCs w:val="24"/>
        </w:rPr>
        <w:t>Arifuddin</w:t>
      </w:r>
      <w:proofErr w:type="spellEnd"/>
      <w:r w:rsidRPr="00CD2EA1">
        <w:rPr>
          <w:rFonts w:ascii="Times New Roman" w:hAnsi="Times New Roman" w:cs="Times New Roman"/>
          <w:kern w:val="0"/>
          <w:sz w:val="24"/>
          <w:szCs w:val="24"/>
        </w:rPr>
        <w:t xml:space="preserve">, F. (2021). Determinants of financial </w:t>
      </w:r>
      <w:r w:rsidR="00366871">
        <w:rPr>
          <w:rFonts w:ascii="Times New Roman" w:hAnsi="Times New Roman" w:cs="Times New Roman"/>
          <w:kern w:val="0"/>
          <w:sz w:val="24"/>
          <w:szCs w:val="24"/>
        </w:rPr>
        <w:tab/>
      </w:r>
      <w:r w:rsidRPr="00CD2EA1">
        <w:rPr>
          <w:rFonts w:ascii="Times New Roman" w:hAnsi="Times New Roman" w:cs="Times New Roman"/>
          <w:kern w:val="0"/>
          <w:sz w:val="24"/>
          <w:szCs w:val="24"/>
        </w:rPr>
        <w:t xml:space="preserve">statement fraud: Research fraud diamond theory (Empirical study on manufacturing </w:t>
      </w:r>
      <w:r w:rsidR="00366871">
        <w:rPr>
          <w:rFonts w:ascii="Times New Roman" w:hAnsi="Times New Roman" w:cs="Times New Roman"/>
          <w:kern w:val="0"/>
          <w:sz w:val="24"/>
          <w:szCs w:val="24"/>
        </w:rPr>
        <w:tab/>
      </w:r>
      <w:r w:rsidRPr="00CD2EA1">
        <w:rPr>
          <w:rFonts w:ascii="Times New Roman" w:hAnsi="Times New Roman" w:cs="Times New Roman"/>
          <w:kern w:val="0"/>
          <w:sz w:val="24"/>
          <w:szCs w:val="24"/>
        </w:rPr>
        <w:t>company listed on the stock exchange). Psychology and Education, 58(1), 302–308.</w:t>
      </w:r>
      <w:r w:rsidR="00CD2EA1" w:rsidRPr="00CD2EA1">
        <w:rPr>
          <w:rFonts w:ascii="Times New Roman" w:hAnsi="Times New Roman" w:cs="Times New Roman"/>
          <w:color w:val="000000" w:themeColor="text1"/>
          <w:sz w:val="24"/>
          <w:szCs w:val="24"/>
        </w:rPr>
        <w:t xml:space="preserve"> </w:t>
      </w:r>
    </w:p>
    <w:p w14:paraId="7A67DC40" w14:textId="77777777" w:rsidR="00214BA4" w:rsidRDefault="00CD2EA1" w:rsidP="001968AB">
      <w:pPr>
        <w:spacing w:line="480" w:lineRule="auto"/>
        <w:jc w:val="both"/>
        <w:rPr>
          <w:rFonts w:ascii="Times New Roman" w:hAnsi="Times New Roman" w:cs="Times New Roman"/>
          <w:color w:val="000000" w:themeColor="text1"/>
          <w:sz w:val="24"/>
          <w:szCs w:val="24"/>
        </w:rPr>
      </w:pPr>
      <w:r w:rsidRPr="00CD2EA1">
        <w:rPr>
          <w:rFonts w:ascii="Times New Roman" w:hAnsi="Times New Roman" w:cs="Times New Roman"/>
          <w:color w:val="000000" w:themeColor="text1"/>
          <w:sz w:val="24"/>
          <w:szCs w:val="24"/>
        </w:rPr>
        <w:t xml:space="preserve"> Khatun A, Ghosh, R &amp; Kabir, S. (2022): Earnings manipulation behavior in the </w:t>
      </w:r>
      <w:r w:rsidRPr="00CD2EA1">
        <w:rPr>
          <w:rFonts w:ascii="Times New Roman" w:hAnsi="Times New Roman" w:cs="Times New Roman"/>
          <w:color w:val="000000" w:themeColor="text1"/>
          <w:sz w:val="24"/>
          <w:szCs w:val="24"/>
        </w:rPr>
        <w:tab/>
        <w:t xml:space="preserve">banking </w:t>
      </w:r>
      <w:r w:rsidRPr="00CD2EA1">
        <w:rPr>
          <w:rFonts w:ascii="Times New Roman" w:hAnsi="Times New Roman" w:cs="Times New Roman"/>
          <w:color w:val="000000" w:themeColor="text1"/>
          <w:sz w:val="24"/>
          <w:szCs w:val="24"/>
        </w:rPr>
        <w:tab/>
        <w:t xml:space="preserve">industry of Bangladesh: the strategical implication of </w:t>
      </w:r>
      <w:proofErr w:type="spellStart"/>
      <w:r w:rsidRPr="00CD2EA1">
        <w:rPr>
          <w:rFonts w:ascii="Times New Roman" w:hAnsi="Times New Roman" w:cs="Times New Roman"/>
          <w:color w:val="000000" w:themeColor="text1"/>
          <w:sz w:val="24"/>
          <w:szCs w:val="24"/>
        </w:rPr>
        <w:t>Beneish</w:t>
      </w:r>
      <w:proofErr w:type="spellEnd"/>
      <w:r w:rsidRPr="00CD2EA1">
        <w:rPr>
          <w:rFonts w:ascii="Times New Roman" w:hAnsi="Times New Roman" w:cs="Times New Roman"/>
          <w:color w:val="000000" w:themeColor="text1"/>
          <w:sz w:val="24"/>
          <w:szCs w:val="24"/>
        </w:rPr>
        <w:t xml:space="preserve"> M-score model: Arab </w:t>
      </w:r>
      <w:r w:rsidRPr="00CD2EA1">
        <w:rPr>
          <w:rFonts w:ascii="Times New Roman" w:hAnsi="Times New Roman" w:cs="Times New Roman"/>
          <w:color w:val="000000" w:themeColor="text1"/>
          <w:sz w:val="24"/>
          <w:szCs w:val="24"/>
        </w:rPr>
        <w:tab/>
        <w:t xml:space="preserve">Gulf Journal of Scientific Research Vol.40 No.3, 2022 pp.302-328: Published by </w:t>
      </w:r>
      <w:r w:rsidRPr="00CD2EA1">
        <w:rPr>
          <w:rFonts w:ascii="Times New Roman" w:hAnsi="Times New Roman" w:cs="Times New Roman"/>
          <w:color w:val="000000" w:themeColor="text1"/>
          <w:sz w:val="24"/>
          <w:szCs w:val="24"/>
        </w:rPr>
        <w:tab/>
        <w:t>Emerald Publishing Limited e-ISSN2536-0051, p-1985-9899.</w:t>
      </w:r>
    </w:p>
    <w:p w14:paraId="59110829" w14:textId="423EB30D" w:rsidR="009C5FEE" w:rsidRPr="00556645" w:rsidRDefault="009C5FEE" w:rsidP="005C588A">
      <w:pPr>
        <w:spacing w:line="480" w:lineRule="auto"/>
        <w:jc w:val="both"/>
        <w:rPr>
          <w:rFonts w:ascii="Times New Roman" w:hAnsi="Times New Roman" w:cs="Times New Roman"/>
          <w:color w:val="000000" w:themeColor="text1"/>
          <w:sz w:val="24"/>
          <w:szCs w:val="24"/>
        </w:rPr>
      </w:pPr>
      <w:proofErr w:type="spellStart"/>
      <w:r w:rsidRPr="00556645">
        <w:rPr>
          <w:rFonts w:ascii="Times New Roman" w:hAnsi="Times New Roman" w:cs="Times New Roman"/>
          <w:sz w:val="24"/>
          <w:szCs w:val="24"/>
        </w:rPr>
        <w:t>Kristianti</w:t>
      </w:r>
      <w:proofErr w:type="spellEnd"/>
      <w:r w:rsidRPr="00556645">
        <w:rPr>
          <w:rFonts w:ascii="Times New Roman" w:hAnsi="Times New Roman" w:cs="Times New Roman"/>
          <w:sz w:val="24"/>
          <w:szCs w:val="24"/>
        </w:rPr>
        <w:t xml:space="preserve">, M., &amp; Meiden, C. (2021). Fraud diamond analysis in fraudulent financial statement </w:t>
      </w:r>
      <w:r w:rsidR="007829E7" w:rsidRPr="00556645">
        <w:rPr>
          <w:rFonts w:ascii="Times New Roman" w:hAnsi="Times New Roman" w:cs="Times New Roman"/>
          <w:sz w:val="24"/>
          <w:szCs w:val="24"/>
        </w:rPr>
        <w:tab/>
      </w:r>
      <w:r w:rsidRPr="00556645">
        <w:rPr>
          <w:rFonts w:ascii="Times New Roman" w:hAnsi="Times New Roman" w:cs="Times New Roman"/>
          <w:sz w:val="24"/>
          <w:szCs w:val="24"/>
        </w:rPr>
        <w:t xml:space="preserve">detection using </w:t>
      </w:r>
      <w:proofErr w:type="spellStart"/>
      <w:r w:rsidRPr="00556645">
        <w:rPr>
          <w:rFonts w:ascii="Times New Roman" w:hAnsi="Times New Roman" w:cs="Times New Roman"/>
          <w:sz w:val="24"/>
          <w:szCs w:val="24"/>
        </w:rPr>
        <w:t>Beneish</w:t>
      </w:r>
      <w:proofErr w:type="spellEnd"/>
      <w:r w:rsidRPr="00556645">
        <w:rPr>
          <w:rFonts w:ascii="Times New Roman" w:hAnsi="Times New Roman" w:cs="Times New Roman"/>
          <w:sz w:val="24"/>
          <w:szCs w:val="24"/>
        </w:rPr>
        <w:t xml:space="preserve"> M-Score. </w:t>
      </w:r>
      <w:proofErr w:type="spellStart"/>
      <w:r w:rsidRPr="00556645">
        <w:rPr>
          <w:rFonts w:ascii="Times New Roman" w:hAnsi="Times New Roman" w:cs="Times New Roman"/>
          <w:sz w:val="24"/>
          <w:szCs w:val="24"/>
        </w:rPr>
        <w:t>Jurnal</w:t>
      </w:r>
      <w:proofErr w:type="spellEnd"/>
      <w:r w:rsidRPr="00556645">
        <w:rPr>
          <w:rFonts w:ascii="Times New Roman" w:hAnsi="Times New Roman" w:cs="Times New Roman"/>
          <w:sz w:val="24"/>
          <w:szCs w:val="24"/>
        </w:rPr>
        <w:t xml:space="preserve"> </w:t>
      </w:r>
      <w:proofErr w:type="spellStart"/>
      <w:r w:rsidRPr="00556645">
        <w:rPr>
          <w:rFonts w:ascii="Times New Roman" w:hAnsi="Times New Roman" w:cs="Times New Roman"/>
          <w:sz w:val="24"/>
          <w:szCs w:val="24"/>
        </w:rPr>
        <w:t>Riset</w:t>
      </w:r>
      <w:proofErr w:type="spellEnd"/>
      <w:r w:rsidRPr="00556645">
        <w:rPr>
          <w:rFonts w:ascii="Times New Roman" w:hAnsi="Times New Roman" w:cs="Times New Roman"/>
          <w:sz w:val="24"/>
          <w:szCs w:val="24"/>
        </w:rPr>
        <w:t xml:space="preserve"> </w:t>
      </w:r>
      <w:proofErr w:type="spellStart"/>
      <w:r w:rsidRPr="00556645">
        <w:rPr>
          <w:rFonts w:ascii="Times New Roman" w:hAnsi="Times New Roman" w:cs="Times New Roman"/>
          <w:sz w:val="24"/>
          <w:szCs w:val="24"/>
        </w:rPr>
        <w:t>Akuntansi</w:t>
      </w:r>
      <w:proofErr w:type="spellEnd"/>
      <w:r w:rsidRPr="00556645">
        <w:rPr>
          <w:rFonts w:ascii="Times New Roman" w:hAnsi="Times New Roman" w:cs="Times New Roman"/>
          <w:sz w:val="24"/>
          <w:szCs w:val="24"/>
        </w:rPr>
        <w:t xml:space="preserve"> </w:t>
      </w:r>
      <w:proofErr w:type="spellStart"/>
      <w:r w:rsidRPr="00556645">
        <w:rPr>
          <w:rFonts w:ascii="Times New Roman" w:hAnsi="Times New Roman" w:cs="Times New Roman"/>
          <w:sz w:val="24"/>
          <w:szCs w:val="24"/>
        </w:rPr>
        <w:t>Terpadu</w:t>
      </w:r>
      <w:proofErr w:type="spellEnd"/>
      <w:r w:rsidRPr="00556645">
        <w:rPr>
          <w:rFonts w:ascii="Times New Roman" w:hAnsi="Times New Roman" w:cs="Times New Roman"/>
          <w:sz w:val="24"/>
          <w:szCs w:val="24"/>
        </w:rPr>
        <w:t>, 14(2), 194-209.</w:t>
      </w:r>
    </w:p>
    <w:p w14:paraId="7D72EAB4" w14:textId="77777777" w:rsidR="009C5FEE" w:rsidRPr="00556645" w:rsidRDefault="009C5FEE" w:rsidP="005C588A">
      <w:pPr>
        <w:spacing w:line="360" w:lineRule="auto"/>
        <w:ind w:left="720" w:hanging="720"/>
        <w:contextualSpacing/>
        <w:jc w:val="both"/>
        <w:rPr>
          <w:rFonts w:ascii="Times New Roman" w:hAnsi="Times New Roman" w:cs="Times New Roman"/>
          <w:sz w:val="24"/>
          <w:szCs w:val="24"/>
        </w:rPr>
      </w:pPr>
      <w:proofErr w:type="spellStart"/>
      <w:r w:rsidRPr="00556645">
        <w:rPr>
          <w:rFonts w:ascii="Times New Roman" w:hAnsi="Times New Roman" w:cs="Times New Roman"/>
          <w:sz w:val="24"/>
          <w:szCs w:val="24"/>
        </w:rPr>
        <w:t>Lokanan</w:t>
      </w:r>
      <w:proofErr w:type="spellEnd"/>
      <w:r w:rsidRPr="00556645">
        <w:rPr>
          <w:rFonts w:ascii="Times New Roman" w:hAnsi="Times New Roman" w:cs="Times New Roman"/>
          <w:sz w:val="24"/>
          <w:szCs w:val="24"/>
        </w:rPr>
        <w:t>, M., &amp; Sharma, S. (2018). A fraud triangle analysis of the LIBOR fraud. Journal of Forensic &amp; Investigative Accounting, 10(2), 187-212.</w:t>
      </w:r>
    </w:p>
    <w:p w14:paraId="1D57817D" w14:textId="77777777" w:rsidR="00F2199F" w:rsidRPr="00556645" w:rsidRDefault="009C5FEE" w:rsidP="005C588A">
      <w:pPr>
        <w:spacing w:after="0" w:line="273" w:lineRule="auto"/>
        <w:ind w:left="720" w:hanging="720"/>
        <w:jc w:val="both"/>
        <w:rPr>
          <w:rFonts w:ascii="Times New Roman" w:hAnsi="Times New Roman" w:cs="Times New Roman"/>
          <w:sz w:val="24"/>
          <w:szCs w:val="24"/>
        </w:rPr>
      </w:pPr>
      <w:proofErr w:type="spellStart"/>
      <w:r w:rsidRPr="00556645">
        <w:rPr>
          <w:rFonts w:ascii="Times New Roman" w:hAnsi="Times New Roman" w:cs="Times New Roman"/>
          <w:sz w:val="24"/>
          <w:szCs w:val="24"/>
        </w:rPr>
        <w:t>Manurung</w:t>
      </w:r>
      <w:proofErr w:type="spellEnd"/>
      <w:r w:rsidRPr="00556645">
        <w:rPr>
          <w:rFonts w:ascii="Times New Roman" w:hAnsi="Times New Roman" w:cs="Times New Roman"/>
          <w:sz w:val="24"/>
          <w:szCs w:val="24"/>
        </w:rPr>
        <w:t xml:space="preserve">, D. T. H., &amp; </w:t>
      </w:r>
      <w:proofErr w:type="spellStart"/>
      <w:r w:rsidRPr="00556645">
        <w:rPr>
          <w:rFonts w:ascii="Times New Roman" w:hAnsi="Times New Roman" w:cs="Times New Roman"/>
          <w:sz w:val="24"/>
          <w:szCs w:val="24"/>
        </w:rPr>
        <w:t>Hardika</w:t>
      </w:r>
      <w:proofErr w:type="spellEnd"/>
      <w:r w:rsidRPr="00556645">
        <w:rPr>
          <w:rFonts w:ascii="Times New Roman" w:hAnsi="Times New Roman" w:cs="Times New Roman"/>
          <w:sz w:val="24"/>
          <w:szCs w:val="24"/>
        </w:rPr>
        <w:t>, A. L. (2015). Analysis of factors that influence financial statement fraud in the perspective fraud diamond. International Conference on Accounting Studies (ICAS) 2015, 17-20 August 2015, Johor Bahru, Johor, Malaysia.</w:t>
      </w:r>
    </w:p>
    <w:p w14:paraId="0631EEDC" w14:textId="77777777" w:rsidR="00F2199F" w:rsidRPr="00556645" w:rsidRDefault="00F2199F" w:rsidP="005C588A">
      <w:pPr>
        <w:spacing w:after="0" w:line="273" w:lineRule="auto"/>
        <w:ind w:left="720" w:hanging="720"/>
        <w:jc w:val="both"/>
        <w:rPr>
          <w:rFonts w:ascii="Times New Roman" w:hAnsi="Times New Roman" w:cs="Times New Roman"/>
          <w:sz w:val="24"/>
          <w:szCs w:val="24"/>
        </w:rPr>
      </w:pPr>
    </w:p>
    <w:p w14:paraId="712F3517" w14:textId="410F6211" w:rsidR="009105CA" w:rsidRPr="00556645" w:rsidRDefault="009105CA" w:rsidP="005C588A">
      <w:pPr>
        <w:spacing w:after="0" w:line="273" w:lineRule="auto"/>
        <w:ind w:left="720" w:hanging="720"/>
        <w:jc w:val="both"/>
        <w:rPr>
          <w:rFonts w:ascii="Times New Roman" w:hAnsi="Times New Roman" w:cs="Times New Roman"/>
          <w:kern w:val="0"/>
          <w:sz w:val="24"/>
          <w:szCs w:val="24"/>
        </w:rPr>
      </w:pPr>
      <w:r w:rsidRPr="00556645">
        <w:rPr>
          <w:rFonts w:ascii="Times New Roman" w:hAnsi="Times New Roman" w:cs="Times New Roman"/>
          <w:kern w:val="0"/>
          <w:sz w:val="24"/>
          <w:szCs w:val="24"/>
        </w:rPr>
        <w:t xml:space="preserve"> </w:t>
      </w:r>
      <w:proofErr w:type="spellStart"/>
      <w:r w:rsidRPr="00556645">
        <w:rPr>
          <w:rFonts w:ascii="Times New Roman" w:hAnsi="Times New Roman" w:cs="Times New Roman"/>
          <w:kern w:val="0"/>
          <w:sz w:val="24"/>
          <w:szCs w:val="24"/>
        </w:rPr>
        <w:t>Mentari</w:t>
      </w:r>
      <w:proofErr w:type="spellEnd"/>
      <w:r w:rsidRPr="00556645">
        <w:rPr>
          <w:rFonts w:ascii="Times New Roman" w:hAnsi="Times New Roman" w:cs="Times New Roman"/>
          <w:kern w:val="0"/>
          <w:sz w:val="24"/>
          <w:szCs w:val="24"/>
        </w:rPr>
        <w:t xml:space="preserve">, R. A., &amp; </w:t>
      </w:r>
      <w:proofErr w:type="spellStart"/>
      <w:r w:rsidRPr="00556645">
        <w:rPr>
          <w:rFonts w:ascii="Times New Roman" w:hAnsi="Times New Roman" w:cs="Times New Roman"/>
          <w:kern w:val="0"/>
          <w:sz w:val="24"/>
          <w:szCs w:val="24"/>
        </w:rPr>
        <w:t>Sopian</w:t>
      </w:r>
      <w:proofErr w:type="spellEnd"/>
      <w:r w:rsidRPr="00556645">
        <w:rPr>
          <w:rFonts w:ascii="Times New Roman" w:hAnsi="Times New Roman" w:cs="Times New Roman"/>
          <w:kern w:val="0"/>
          <w:sz w:val="24"/>
          <w:szCs w:val="24"/>
        </w:rPr>
        <w:t>, S. (2022). Fraud diamond for detection of financial statement misrepresentation in the manufacturing industry. Research in Management and Accounting, 5(2), 148–162.</w:t>
      </w:r>
    </w:p>
    <w:p w14:paraId="53AEE722" w14:textId="76ACC918" w:rsidR="009C5FEE" w:rsidRPr="00556645" w:rsidRDefault="009C5FEE" w:rsidP="005C588A">
      <w:pPr>
        <w:spacing w:line="360" w:lineRule="auto"/>
        <w:contextualSpacing/>
        <w:jc w:val="both"/>
        <w:rPr>
          <w:rFonts w:ascii="Times New Roman" w:hAnsi="Times New Roman" w:cs="Times New Roman"/>
          <w:sz w:val="24"/>
          <w:szCs w:val="24"/>
        </w:rPr>
      </w:pPr>
      <w:proofErr w:type="spellStart"/>
      <w:r w:rsidRPr="00556645">
        <w:rPr>
          <w:rFonts w:ascii="Times New Roman" w:hAnsi="Times New Roman" w:cs="Times New Roman"/>
          <w:sz w:val="24"/>
          <w:szCs w:val="24"/>
        </w:rPr>
        <w:lastRenderedPageBreak/>
        <w:t>Ngerebo</w:t>
      </w:r>
      <w:proofErr w:type="spellEnd"/>
      <w:r w:rsidRPr="00556645">
        <w:rPr>
          <w:rFonts w:ascii="Times New Roman" w:hAnsi="Times New Roman" w:cs="Times New Roman"/>
          <w:sz w:val="24"/>
          <w:szCs w:val="24"/>
        </w:rPr>
        <w:t xml:space="preserve">-A, T., &amp; Nwosu, R. O. (2023). Detecting earnings manipulation using the </w:t>
      </w:r>
      <w:proofErr w:type="spellStart"/>
      <w:r w:rsidRPr="00556645">
        <w:rPr>
          <w:rFonts w:ascii="Times New Roman" w:hAnsi="Times New Roman" w:cs="Times New Roman"/>
          <w:sz w:val="24"/>
          <w:szCs w:val="24"/>
        </w:rPr>
        <w:t>Beneish</w:t>
      </w:r>
      <w:proofErr w:type="spellEnd"/>
      <w:r w:rsidRPr="00556645">
        <w:rPr>
          <w:rFonts w:ascii="Times New Roman" w:hAnsi="Times New Roman" w:cs="Times New Roman"/>
          <w:sz w:val="24"/>
          <w:szCs w:val="24"/>
        </w:rPr>
        <w:t xml:space="preserve"> M-</w:t>
      </w:r>
      <w:r w:rsidR="00461B4F" w:rsidRPr="00556645">
        <w:rPr>
          <w:rFonts w:ascii="Times New Roman" w:hAnsi="Times New Roman" w:cs="Times New Roman"/>
          <w:sz w:val="24"/>
          <w:szCs w:val="24"/>
        </w:rPr>
        <w:tab/>
      </w:r>
      <w:r w:rsidRPr="00556645">
        <w:rPr>
          <w:rFonts w:ascii="Times New Roman" w:hAnsi="Times New Roman" w:cs="Times New Roman"/>
          <w:sz w:val="24"/>
          <w:szCs w:val="24"/>
        </w:rPr>
        <w:t xml:space="preserve">Score model: Evidence from public listed companies in Nigeria. IOSR Journal of </w:t>
      </w:r>
      <w:r w:rsidR="00461B4F" w:rsidRPr="00556645">
        <w:rPr>
          <w:rFonts w:ascii="Times New Roman" w:hAnsi="Times New Roman" w:cs="Times New Roman"/>
          <w:sz w:val="24"/>
          <w:szCs w:val="24"/>
        </w:rPr>
        <w:tab/>
      </w:r>
      <w:r w:rsidRPr="00556645">
        <w:rPr>
          <w:rFonts w:ascii="Times New Roman" w:hAnsi="Times New Roman" w:cs="Times New Roman"/>
          <w:sz w:val="24"/>
          <w:szCs w:val="24"/>
        </w:rPr>
        <w:t>Economics and Finance (IOSR-JEF, 14(6), 57-65.</w:t>
      </w:r>
    </w:p>
    <w:p w14:paraId="3E7B478B" w14:textId="77777777" w:rsidR="00BD4327" w:rsidRPr="00556645" w:rsidRDefault="009C5FEE" w:rsidP="005C588A">
      <w:pPr>
        <w:spacing w:line="360" w:lineRule="auto"/>
        <w:ind w:left="720" w:hanging="720"/>
        <w:contextualSpacing/>
        <w:jc w:val="both"/>
        <w:rPr>
          <w:rFonts w:ascii="Times New Roman" w:hAnsi="Times New Roman" w:cs="Times New Roman"/>
          <w:sz w:val="24"/>
          <w:szCs w:val="24"/>
        </w:rPr>
      </w:pPr>
      <w:r w:rsidRPr="00556645">
        <w:rPr>
          <w:rFonts w:ascii="Times New Roman" w:hAnsi="Times New Roman" w:cs="Times New Roman"/>
          <w:sz w:val="24"/>
          <w:szCs w:val="24"/>
        </w:rPr>
        <w:t>Sanusi, L. S. (2012). Banking reform and its impact on the Nigerian economy. Lecture delivered at the University of Warwick’s Economic Summit, UK.</w:t>
      </w:r>
    </w:p>
    <w:p w14:paraId="3EB406C7" w14:textId="77777777" w:rsidR="00BD4327" w:rsidRPr="00556645" w:rsidRDefault="009C5FEE" w:rsidP="005C588A">
      <w:pPr>
        <w:spacing w:line="360" w:lineRule="auto"/>
        <w:ind w:left="720" w:hanging="720"/>
        <w:contextualSpacing/>
        <w:jc w:val="both"/>
        <w:rPr>
          <w:rFonts w:ascii="Times New Roman" w:hAnsi="Times New Roman" w:cs="Times New Roman"/>
          <w:sz w:val="24"/>
          <w:szCs w:val="24"/>
        </w:rPr>
      </w:pPr>
      <w:r w:rsidRPr="00556645">
        <w:rPr>
          <w:rFonts w:ascii="Times New Roman" w:hAnsi="Times New Roman" w:cs="Times New Roman"/>
          <w:sz w:val="24"/>
          <w:szCs w:val="24"/>
        </w:rPr>
        <w:t>Skousen, C. J., Smith, K. R., &amp; Wright, C. J. (2009). Detecting and predicting financial statement fraud: The effectiveness of the fraud triangle and SAS No. 99. Advances in Financial Economics: Corporate Governance and Performance, 13, 53-81.</w:t>
      </w:r>
    </w:p>
    <w:p w14:paraId="0840EC4C" w14:textId="73CA9B48" w:rsidR="00DE547E" w:rsidRPr="00556645" w:rsidRDefault="00DE547E" w:rsidP="005C588A">
      <w:pPr>
        <w:spacing w:line="360" w:lineRule="auto"/>
        <w:ind w:left="720" w:hanging="720"/>
        <w:contextualSpacing/>
        <w:jc w:val="both"/>
        <w:rPr>
          <w:rFonts w:ascii="Times New Roman" w:hAnsi="Times New Roman" w:cs="Times New Roman"/>
          <w:sz w:val="24"/>
          <w:szCs w:val="24"/>
        </w:rPr>
      </w:pPr>
      <w:r w:rsidRPr="00556645">
        <w:rPr>
          <w:rFonts w:ascii="Times New Roman" w:hAnsi="Times New Roman" w:cs="Times New Roman"/>
          <w:sz w:val="24"/>
          <w:szCs w:val="24"/>
        </w:rPr>
        <w:t xml:space="preserve"> </w:t>
      </w:r>
      <w:proofErr w:type="spellStart"/>
      <w:r w:rsidRPr="00556645">
        <w:rPr>
          <w:rFonts w:ascii="Times New Roman" w:hAnsi="Times New Roman" w:cs="Times New Roman"/>
          <w:sz w:val="24"/>
          <w:szCs w:val="24"/>
        </w:rPr>
        <w:t>Sunardi</w:t>
      </w:r>
      <w:proofErr w:type="spellEnd"/>
      <w:r w:rsidRPr="00556645">
        <w:rPr>
          <w:rFonts w:ascii="Times New Roman" w:hAnsi="Times New Roman" w:cs="Times New Roman"/>
          <w:sz w:val="24"/>
          <w:szCs w:val="24"/>
        </w:rPr>
        <w:t>, S., &amp; Amin, M. N. (2018). Fraud detection of financial statement by using fraud diamond perspective. International Journal of Development and Sustainability, 7(3), 878-891.</w:t>
      </w:r>
    </w:p>
    <w:p w14:paraId="689C61DA" w14:textId="77777777" w:rsidR="009C5FEE" w:rsidRPr="00556645" w:rsidRDefault="009C5FEE" w:rsidP="005C588A">
      <w:pPr>
        <w:spacing w:line="360" w:lineRule="auto"/>
        <w:ind w:left="720" w:hanging="720"/>
        <w:contextualSpacing/>
        <w:jc w:val="both"/>
        <w:rPr>
          <w:rFonts w:ascii="Times New Roman" w:hAnsi="Times New Roman" w:cs="Times New Roman"/>
          <w:sz w:val="24"/>
          <w:szCs w:val="24"/>
        </w:rPr>
      </w:pPr>
      <w:proofErr w:type="spellStart"/>
      <w:r w:rsidRPr="00556645">
        <w:rPr>
          <w:rFonts w:ascii="Times New Roman" w:hAnsi="Times New Roman" w:cs="Times New Roman"/>
          <w:sz w:val="24"/>
          <w:szCs w:val="24"/>
        </w:rPr>
        <w:t>Supri</w:t>
      </w:r>
      <w:proofErr w:type="spellEnd"/>
      <w:r w:rsidRPr="00556645">
        <w:rPr>
          <w:rFonts w:ascii="Times New Roman" w:hAnsi="Times New Roman" w:cs="Times New Roman"/>
          <w:sz w:val="24"/>
          <w:szCs w:val="24"/>
        </w:rPr>
        <w:t xml:space="preserve">, Z., </w:t>
      </w:r>
      <w:proofErr w:type="spellStart"/>
      <w:r w:rsidRPr="00556645">
        <w:rPr>
          <w:rFonts w:ascii="Times New Roman" w:hAnsi="Times New Roman" w:cs="Times New Roman"/>
          <w:sz w:val="24"/>
          <w:szCs w:val="24"/>
        </w:rPr>
        <w:t>Rura</w:t>
      </w:r>
      <w:proofErr w:type="spellEnd"/>
      <w:r w:rsidRPr="00556645">
        <w:rPr>
          <w:rFonts w:ascii="Times New Roman" w:hAnsi="Times New Roman" w:cs="Times New Roman"/>
          <w:sz w:val="24"/>
          <w:szCs w:val="24"/>
        </w:rPr>
        <w:t xml:space="preserve">, Y., &amp; </w:t>
      </w:r>
      <w:proofErr w:type="spellStart"/>
      <w:r w:rsidRPr="00556645">
        <w:rPr>
          <w:rFonts w:ascii="Times New Roman" w:hAnsi="Times New Roman" w:cs="Times New Roman"/>
          <w:sz w:val="24"/>
          <w:szCs w:val="24"/>
        </w:rPr>
        <w:t>Pontoh</w:t>
      </w:r>
      <w:proofErr w:type="spellEnd"/>
      <w:r w:rsidRPr="00556645">
        <w:rPr>
          <w:rFonts w:ascii="Times New Roman" w:hAnsi="Times New Roman" w:cs="Times New Roman"/>
          <w:sz w:val="24"/>
          <w:szCs w:val="24"/>
        </w:rPr>
        <w:t>, G. T. (2018). Detection of fraudulent financial statements with fraud diamond. Quest Journals: Journal of Research in Business and Management, 6(5), 39-45.</w:t>
      </w:r>
    </w:p>
    <w:p w14:paraId="3C6BD8B3" w14:textId="41E6CC1B" w:rsidR="00745AE4" w:rsidRPr="00556645" w:rsidRDefault="00745AE4" w:rsidP="005C588A">
      <w:pPr>
        <w:spacing w:line="360" w:lineRule="auto"/>
        <w:ind w:left="720" w:hanging="720"/>
        <w:contextualSpacing/>
        <w:jc w:val="both"/>
        <w:rPr>
          <w:rFonts w:ascii="Times New Roman" w:hAnsi="Times New Roman" w:cs="Times New Roman"/>
          <w:sz w:val="24"/>
          <w:szCs w:val="24"/>
        </w:rPr>
      </w:pPr>
      <w:r w:rsidRPr="00556645">
        <w:rPr>
          <w:rFonts w:ascii="Times New Roman" w:hAnsi="Times New Roman" w:cs="Times New Roman"/>
          <w:sz w:val="24"/>
          <w:szCs w:val="24"/>
        </w:rPr>
        <w:t>Wolfe, D. T., &amp; Hermanson, D. R. (2004). The fraud diamond: Considering the four elements of fraud.</w:t>
      </w:r>
    </w:p>
    <w:p w14:paraId="5262E3AD" w14:textId="77777777" w:rsidR="009C5FEE" w:rsidRPr="00556645" w:rsidRDefault="009C5FEE" w:rsidP="005C588A">
      <w:pPr>
        <w:spacing w:line="360" w:lineRule="auto"/>
        <w:ind w:left="720" w:hanging="720"/>
        <w:contextualSpacing/>
        <w:jc w:val="both"/>
        <w:rPr>
          <w:rFonts w:ascii="Times New Roman" w:hAnsi="Times New Roman" w:cs="Times New Roman"/>
          <w:sz w:val="24"/>
          <w:szCs w:val="24"/>
        </w:rPr>
      </w:pPr>
      <w:proofErr w:type="spellStart"/>
      <w:r w:rsidRPr="00556645">
        <w:rPr>
          <w:rFonts w:ascii="Times New Roman" w:hAnsi="Times New Roman" w:cs="Times New Roman"/>
          <w:sz w:val="24"/>
          <w:szCs w:val="24"/>
        </w:rPr>
        <w:t>Yarana</w:t>
      </w:r>
      <w:proofErr w:type="spellEnd"/>
      <w:r w:rsidRPr="00556645">
        <w:rPr>
          <w:rFonts w:ascii="Times New Roman" w:hAnsi="Times New Roman" w:cs="Times New Roman"/>
          <w:sz w:val="24"/>
          <w:szCs w:val="24"/>
        </w:rPr>
        <w:t xml:space="preserve">, C. (2023). Factors influencing financial statement fraud: An analysis of the fraud diamond theory from evidence of Thai listed companies. WSEAS Transactions on Business and Economics. </w:t>
      </w:r>
      <w:hyperlink r:id="rId15" w:tgtFrame="_new" w:history="1">
        <w:r w:rsidRPr="00556645">
          <w:rPr>
            <w:rStyle w:val="Hyperlink"/>
            <w:rFonts w:ascii="Times New Roman" w:hAnsi="Times New Roman" w:cs="Times New Roman"/>
            <w:sz w:val="24"/>
            <w:szCs w:val="24"/>
          </w:rPr>
          <w:t>https://doi.org/10.37394/23207.2023.20.147</w:t>
        </w:r>
      </w:hyperlink>
    </w:p>
    <w:p w14:paraId="42BB9061" w14:textId="77777777" w:rsidR="00D33CC3" w:rsidRPr="00D44319" w:rsidRDefault="00D33CC3" w:rsidP="009C5FEE">
      <w:pPr>
        <w:spacing w:line="360" w:lineRule="auto"/>
        <w:ind w:left="720" w:hanging="720"/>
        <w:contextualSpacing/>
        <w:jc w:val="both"/>
        <w:rPr>
          <w:rFonts w:asciiTheme="majorBidi" w:hAnsiTheme="majorBidi" w:cstheme="majorBidi"/>
          <w:sz w:val="24"/>
          <w:szCs w:val="24"/>
        </w:rPr>
      </w:pPr>
    </w:p>
    <w:sectPr w:rsidR="00D33CC3" w:rsidRPr="00D4431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A9233" w14:textId="77777777" w:rsidR="005B46D2" w:rsidRDefault="005B46D2" w:rsidP="00CD15C3">
      <w:pPr>
        <w:spacing w:after="0" w:line="240" w:lineRule="auto"/>
      </w:pPr>
      <w:r>
        <w:separator/>
      </w:r>
    </w:p>
  </w:endnote>
  <w:endnote w:type="continuationSeparator" w:id="0">
    <w:p w14:paraId="74DFD479" w14:textId="77777777" w:rsidR="005B46D2" w:rsidRDefault="005B46D2" w:rsidP="00CD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BE6B" w14:textId="77777777" w:rsidR="00CD15C3" w:rsidRDefault="00CD1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E158" w14:textId="77777777" w:rsidR="00CD15C3" w:rsidRDefault="00CD1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C735" w14:textId="77777777" w:rsidR="00CD15C3" w:rsidRDefault="00CD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E2A1" w14:textId="77777777" w:rsidR="005B46D2" w:rsidRDefault="005B46D2" w:rsidP="00CD15C3">
      <w:pPr>
        <w:spacing w:after="0" w:line="240" w:lineRule="auto"/>
      </w:pPr>
      <w:r>
        <w:separator/>
      </w:r>
    </w:p>
  </w:footnote>
  <w:footnote w:type="continuationSeparator" w:id="0">
    <w:p w14:paraId="3815CA31" w14:textId="77777777" w:rsidR="005B46D2" w:rsidRDefault="005B46D2" w:rsidP="00CD1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BAC1" w14:textId="5159EE41" w:rsidR="00CD15C3" w:rsidRDefault="00CD15C3">
    <w:pPr>
      <w:pStyle w:val="Header"/>
    </w:pPr>
    <w:r>
      <w:rPr>
        <w:noProof/>
      </w:rPr>
      <w:pict w14:anchorId="66407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314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93BF" w14:textId="32A997C0" w:rsidR="00CD15C3" w:rsidRDefault="00CD15C3">
    <w:pPr>
      <w:pStyle w:val="Header"/>
    </w:pPr>
    <w:r>
      <w:rPr>
        <w:noProof/>
      </w:rPr>
      <w:pict w14:anchorId="105BF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314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F477" w14:textId="3B67658C" w:rsidR="00CD15C3" w:rsidRDefault="00CD15C3">
    <w:pPr>
      <w:pStyle w:val="Header"/>
    </w:pPr>
    <w:r>
      <w:rPr>
        <w:noProof/>
      </w:rPr>
      <w:pict w14:anchorId="09E54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314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474D"/>
    <w:multiLevelType w:val="multilevel"/>
    <w:tmpl w:val="57688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120F"/>
    <w:multiLevelType w:val="multilevel"/>
    <w:tmpl w:val="9B68574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05AE"/>
    <w:multiLevelType w:val="multilevel"/>
    <w:tmpl w:val="432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01874"/>
    <w:multiLevelType w:val="multilevel"/>
    <w:tmpl w:val="64A0C5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758FB"/>
    <w:multiLevelType w:val="multilevel"/>
    <w:tmpl w:val="D03888B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C7BEE"/>
    <w:multiLevelType w:val="multilevel"/>
    <w:tmpl w:val="5B3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D3C34"/>
    <w:multiLevelType w:val="hybridMultilevel"/>
    <w:tmpl w:val="C0CC011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9B6F85"/>
    <w:multiLevelType w:val="multilevel"/>
    <w:tmpl w:val="162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73849"/>
    <w:multiLevelType w:val="multilevel"/>
    <w:tmpl w:val="250A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B73DB"/>
    <w:multiLevelType w:val="multilevel"/>
    <w:tmpl w:val="B34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33668"/>
    <w:multiLevelType w:val="multilevel"/>
    <w:tmpl w:val="9DC628A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A3168"/>
    <w:multiLevelType w:val="multilevel"/>
    <w:tmpl w:val="19506C9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960DBA"/>
    <w:multiLevelType w:val="multilevel"/>
    <w:tmpl w:val="57688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03AA2"/>
    <w:multiLevelType w:val="multilevel"/>
    <w:tmpl w:val="57688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1"/>
  </w:num>
  <w:num w:numId="4">
    <w:abstractNumId w:val="4"/>
  </w:num>
  <w:num w:numId="5">
    <w:abstractNumId w:val="9"/>
  </w:num>
  <w:num w:numId="6">
    <w:abstractNumId w:val="0"/>
  </w:num>
  <w:num w:numId="7">
    <w:abstractNumId w:val="3"/>
  </w:num>
  <w:num w:numId="8">
    <w:abstractNumId w:val="5"/>
  </w:num>
  <w:num w:numId="9">
    <w:abstractNumId w:val="7"/>
  </w:num>
  <w:num w:numId="10">
    <w:abstractNumId w:val="12"/>
  </w:num>
  <w:num w:numId="11">
    <w:abstractNumId w:val="1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30"/>
    <w:rsid w:val="00004D7B"/>
    <w:rsid w:val="00011E52"/>
    <w:rsid w:val="00012F4E"/>
    <w:rsid w:val="00024ECE"/>
    <w:rsid w:val="00036A66"/>
    <w:rsid w:val="00037748"/>
    <w:rsid w:val="0004285F"/>
    <w:rsid w:val="00042CB5"/>
    <w:rsid w:val="0006570A"/>
    <w:rsid w:val="00066927"/>
    <w:rsid w:val="000744EE"/>
    <w:rsid w:val="00077A63"/>
    <w:rsid w:val="00096905"/>
    <w:rsid w:val="000A78E5"/>
    <w:rsid w:val="000A7AB0"/>
    <w:rsid w:val="000C485C"/>
    <w:rsid w:val="000D1375"/>
    <w:rsid w:val="000D2DCE"/>
    <w:rsid w:val="000E113B"/>
    <w:rsid w:val="000E689B"/>
    <w:rsid w:val="000E6CD3"/>
    <w:rsid w:val="000F2DFC"/>
    <w:rsid w:val="001179BA"/>
    <w:rsid w:val="00117A14"/>
    <w:rsid w:val="00123793"/>
    <w:rsid w:val="00124E2C"/>
    <w:rsid w:val="001263E5"/>
    <w:rsid w:val="00127B62"/>
    <w:rsid w:val="001360B4"/>
    <w:rsid w:val="0014513F"/>
    <w:rsid w:val="0014519D"/>
    <w:rsid w:val="0014799C"/>
    <w:rsid w:val="001521DF"/>
    <w:rsid w:val="00162337"/>
    <w:rsid w:val="001623E3"/>
    <w:rsid w:val="00163D0D"/>
    <w:rsid w:val="00173E28"/>
    <w:rsid w:val="00174029"/>
    <w:rsid w:val="001762D3"/>
    <w:rsid w:val="00184606"/>
    <w:rsid w:val="00186649"/>
    <w:rsid w:val="001968AB"/>
    <w:rsid w:val="001A133A"/>
    <w:rsid w:val="001B48DB"/>
    <w:rsid w:val="001C4D64"/>
    <w:rsid w:val="001F5961"/>
    <w:rsid w:val="00203B29"/>
    <w:rsid w:val="002110CB"/>
    <w:rsid w:val="00214BA4"/>
    <w:rsid w:val="002302D8"/>
    <w:rsid w:val="002316B4"/>
    <w:rsid w:val="0023592E"/>
    <w:rsid w:val="002543A4"/>
    <w:rsid w:val="00256B67"/>
    <w:rsid w:val="002603BD"/>
    <w:rsid w:val="0026236F"/>
    <w:rsid w:val="00262A49"/>
    <w:rsid w:val="0026701E"/>
    <w:rsid w:val="00274233"/>
    <w:rsid w:val="002766C3"/>
    <w:rsid w:val="00276927"/>
    <w:rsid w:val="00276EBF"/>
    <w:rsid w:val="00280C96"/>
    <w:rsid w:val="002816C0"/>
    <w:rsid w:val="0029330E"/>
    <w:rsid w:val="002A4D84"/>
    <w:rsid w:val="002B2413"/>
    <w:rsid w:val="002C001E"/>
    <w:rsid w:val="002D57D9"/>
    <w:rsid w:val="002D606F"/>
    <w:rsid w:val="0030374F"/>
    <w:rsid w:val="003143A1"/>
    <w:rsid w:val="00320081"/>
    <w:rsid w:val="00320B67"/>
    <w:rsid w:val="0032525E"/>
    <w:rsid w:val="003408E3"/>
    <w:rsid w:val="00344C25"/>
    <w:rsid w:val="00353E2A"/>
    <w:rsid w:val="00357395"/>
    <w:rsid w:val="00363841"/>
    <w:rsid w:val="00366871"/>
    <w:rsid w:val="00371C92"/>
    <w:rsid w:val="00371D7C"/>
    <w:rsid w:val="003B1724"/>
    <w:rsid w:val="003B54E6"/>
    <w:rsid w:val="003C0475"/>
    <w:rsid w:val="003C10BF"/>
    <w:rsid w:val="003C1DE2"/>
    <w:rsid w:val="003C67F9"/>
    <w:rsid w:val="003D6172"/>
    <w:rsid w:val="003D6215"/>
    <w:rsid w:val="003E04EE"/>
    <w:rsid w:val="003E23A5"/>
    <w:rsid w:val="003F37B2"/>
    <w:rsid w:val="00401AD3"/>
    <w:rsid w:val="00402D74"/>
    <w:rsid w:val="00406313"/>
    <w:rsid w:val="00406BAD"/>
    <w:rsid w:val="00406E27"/>
    <w:rsid w:val="00410C32"/>
    <w:rsid w:val="00413634"/>
    <w:rsid w:val="00417F2F"/>
    <w:rsid w:val="0042657F"/>
    <w:rsid w:val="00432EC4"/>
    <w:rsid w:val="00433773"/>
    <w:rsid w:val="00461B4F"/>
    <w:rsid w:val="00462D59"/>
    <w:rsid w:val="00466225"/>
    <w:rsid w:val="0047782D"/>
    <w:rsid w:val="00477E1B"/>
    <w:rsid w:val="004846BA"/>
    <w:rsid w:val="00492280"/>
    <w:rsid w:val="004A24D7"/>
    <w:rsid w:val="004A3780"/>
    <w:rsid w:val="004A6DED"/>
    <w:rsid w:val="004B0E65"/>
    <w:rsid w:val="004B26F6"/>
    <w:rsid w:val="004C370E"/>
    <w:rsid w:val="004C37C7"/>
    <w:rsid w:val="004C4D17"/>
    <w:rsid w:val="004C67FF"/>
    <w:rsid w:val="004E1F5B"/>
    <w:rsid w:val="004F16F8"/>
    <w:rsid w:val="00501BAC"/>
    <w:rsid w:val="00505331"/>
    <w:rsid w:val="00521E8E"/>
    <w:rsid w:val="00526969"/>
    <w:rsid w:val="005341AD"/>
    <w:rsid w:val="00556645"/>
    <w:rsid w:val="005602C6"/>
    <w:rsid w:val="0056137B"/>
    <w:rsid w:val="00597539"/>
    <w:rsid w:val="005A2BED"/>
    <w:rsid w:val="005A52F3"/>
    <w:rsid w:val="005A67B1"/>
    <w:rsid w:val="005B46D2"/>
    <w:rsid w:val="005B49A8"/>
    <w:rsid w:val="005B7652"/>
    <w:rsid w:val="005C46FA"/>
    <w:rsid w:val="005C588A"/>
    <w:rsid w:val="005C7484"/>
    <w:rsid w:val="005E4124"/>
    <w:rsid w:val="005F503F"/>
    <w:rsid w:val="00607020"/>
    <w:rsid w:val="00607A87"/>
    <w:rsid w:val="00611175"/>
    <w:rsid w:val="00615425"/>
    <w:rsid w:val="00620669"/>
    <w:rsid w:val="00623F0B"/>
    <w:rsid w:val="00624598"/>
    <w:rsid w:val="00637502"/>
    <w:rsid w:val="006400B7"/>
    <w:rsid w:val="0064440E"/>
    <w:rsid w:val="006578DA"/>
    <w:rsid w:val="006701AC"/>
    <w:rsid w:val="00671235"/>
    <w:rsid w:val="00683827"/>
    <w:rsid w:val="006B1F28"/>
    <w:rsid w:val="006C2F97"/>
    <w:rsid w:val="006C4F19"/>
    <w:rsid w:val="006C52E4"/>
    <w:rsid w:val="006C73C2"/>
    <w:rsid w:val="006C7B50"/>
    <w:rsid w:val="006D22EF"/>
    <w:rsid w:val="006D60C2"/>
    <w:rsid w:val="006E2C55"/>
    <w:rsid w:val="006E3BF1"/>
    <w:rsid w:val="006E7F06"/>
    <w:rsid w:val="006F225A"/>
    <w:rsid w:val="006F42EB"/>
    <w:rsid w:val="006F6EBF"/>
    <w:rsid w:val="007010B0"/>
    <w:rsid w:val="007109D5"/>
    <w:rsid w:val="00711231"/>
    <w:rsid w:val="00713A4F"/>
    <w:rsid w:val="00730A96"/>
    <w:rsid w:val="00734B0D"/>
    <w:rsid w:val="0074015D"/>
    <w:rsid w:val="0074079C"/>
    <w:rsid w:val="007431AA"/>
    <w:rsid w:val="00745AE4"/>
    <w:rsid w:val="00747DE6"/>
    <w:rsid w:val="00753BFB"/>
    <w:rsid w:val="00770395"/>
    <w:rsid w:val="00771F63"/>
    <w:rsid w:val="007829E7"/>
    <w:rsid w:val="00797233"/>
    <w:rsid w:val="007977AB"/>
    <w:rsid w:val="007A22AD"/>
    <w:rsid w:val="007A4EC6"/>
    <w:rsid w:val="007A5E9D"/>
    <w:rsid w:val="007C7DF1"/>
    <w:rsid w:val="007D318D"/>
    <w:rsid w:val="007D6500"/>
    <w:rsid w:val="007E0ADE"/>
    <w:rsid w:val="007E2DE6"/>
    <w:rsid w:val="007E600A"/>
    <w:rsid w:val="007F040D"/>
    <w:rsid w:val="007F5339"/>
    <w:rsid w:val="007F5C9F"/>
    <w:rsid w:val="00806880"/>
    <w:rsid w:val="00811B3A"/>
    <w:rsid w:val="00813B8F"/>
    <w:rsid w:val="00814013"/>
    <w:rsid w:val="008141E6"/>
    <w:rsid w:val="0081535A"/>
    <w:rsid w:val="00820F19"/>
    <w:rsid w:val="00836AE9"/>
    <w:rsid w:val="008404CC"/>
    <w:rsid w:val="00840557"/>
    <w:rsid w:val="00840FA7"/>
    <w:rsid w:val="008428E6"/>
    <w:rsid w:val="00846F38"/>
    <w:rsid w:val="00851D3F"/>
    <w:rsid w:val="00860371"/>
    <w:rsid w:val="00865B18"/>
    <w:rsid w:val="00880BF7"/>
    <w:rsid w:val="00884F17"/>
    <w:rsid w:val="00896A7E"/>
    <w:rsid w:val="008A163B"/>
    <w:rsid w:val="008B04B9"/>
    <w:rsid w:val="008B0D34"/>
    <w:rsid w:val="008B2B23"/>
    <w:rsid w:val="008B6F77"/>
    <w:rsid w:val="008B6FAF"/>
    <w:rsid w:val="008B77E2"/>
    <w:rsid w:val="008D1C3F"/>
    <w:rsid w:val="008D5B4C"/>
    <w:rsid w:val="008E0B05"/>
    <w:rsid w:val="008E625E"/>
    <w:rsid w:val="008F611D"/>
    <w:rsid w:val="00904EA3"/>
    <w:rsid w:val="0090599B"/>
    <w:rsid w:val="009073F7"/>
    <w:rsid w:val="009105CA"/>
    <w:rsid w:val="00910AA6"/>
    <w:rsid w:val="00911E02"/>
    <w:rsid w:val="00913F7D"/>
    <w:rsid w:val="00923669"/>
    <w:rsid w:val="009258B1"/>
    <w:rsid w:val="009322FA"/>
    <w:rsid w:val="00933A91"/>
    <w:rsid w:val="009376AA"/>
    <w:rsid w:val="0094034D"/>
    <w:rsid w:val="00946E93"/>
    <w:rsid w:val="0095610D"/>
    <w:rsid w:val="00957667"/>
    <w:rsid w:val="00962830"/>
    <w:rsid w:val="00964547"/>
    <w:rsid w:val="009836F8"/>
    <w:rsid w:val="00992683"/>
    <w:rsid w:val="00993804"/>
    <w:rsid w:val="009A2D39"/>
    <w:rsid w:val="009A60C2"/>
    <w:rsid w:val="009B3062"/>
    <w:rsid w:val="009C5FEE"/>
    <w:rsid w:val="009D0276"/>
    <w:rsid w:val="009D0521"/>
    <w:rsid w:val="009E3B57"/>
    <w:rsid w:val="009E639A"/>
    <w:rsid w:val="009F0734"/>
    <w:rsid w:val="009F2891"/>
    <w:rsid w:val="00A0175E"/>
    <w:rsid w:val="00A0654A"/>
    <w:rsid w:val="00A06BC9"/>
    <w:rsid w:val="00A10112"/>
    <w:rsid w:val="00A13664"/>
    <w:rsid w:val="00A13E8F"/>
    <w:rsid w:val="00A22315"/>
    <w:rsid w:val="00A229C2"/>
    <w:rsid w:val="00A27ACE"/>
    <w:rsid w:val="00A36C8E"/>
    <w:rsid w:val="00A53F9B"/>
    <w:rsid w:val="00A573E6"/>
    <w:rsid w:val="00A619F2"/>
    <w:rsid w:val="00A87887"/>
    <w:rsid w:val="00A94350"/>
    <w:rsid w:val="00AA14E6"/>
    <w:rsid w:val="00AB318F"/>
    <w:rsid w:val="00AB6E25"/>
    <w:rsid w:val="00AC1712"/>
    <w:rsid w:val="00AC1D65"/>
    <w:rsid w:val="00AE0E78"/>
    <w:rsid w:val="00AE12EF"/>
    <w:rsid w:val="00B06B11"/>
    <w:rsid w:val="00B15384"/>
    <w:rsid w:val="00B22CC8"/>
    <w:rsid w:val="00B27757"/>
    <w:rsid w:val="00B47B27"/>
    <w:rsid w:val="00B75CED"/>
    <w:rsid w:val="00B7718B"/>
    <w:rsid w:val="00B8389F"/>
    <w:rsid w:val="00B840A8"/>
    <w:rsid w:val="00B85335"/>
    <w:rsid w:val="00B91CC5"/>
    <w:rsid w:val="00BA411F"/>
    <w:rsid w:val="00BB1C60"/>
    <w:rsid w:val="00BB3C31"/>
    <w:rsid w:val="00BD2A72"/>
    <w:rsid w:val="00BD4327"/>
    <w:rsid w:val="00BF09AF"/>
    <w:rsid w:val="00BF6E7B"/>
    <w:rsid w:val="00C010BE"/>
    <w:rsid w:val="00C031AF"/>
    <w:rsid w:val="00C040DF"/>
    <w:rsid w:val="00C141BA"/>
    <w:rsid w:val="00C1580C"/>
    <w:rsid w:val="00C279F4"/>
    <w:rsid w:val="00C30FB7"/>
    <w:rsid w:val="00C3235A"/>
    <w:rsid w:val="00C32C8B"/>
    <w:rsid w:val="00C3415E"/>
    <w:rsid w:val="00C347E6"/>
    <w:rsid w:val="00C5067C"/>
    <w:rsid w:val="00C548DB"/>
    <w:rsid w:val="00C6141C"/>
    <w:rsid w:val="00C64E95"/>
    <w:rsid w:val="00C72B2C"/>
    <w:rsid w:val="00C83082"/>
    <w:rsid w:val="00C830B8"/>
    <w:rsid w:val="00CA5AB8"/>
    <w:rsid w:val="00CB53B6"/>
    <w:rsid w:val="00CB79AE"/>
    <w:rsid w:val="00CC56F9"/>
    <w:rsid w:val="00CD15C3"/>
    <w:rsid w:val="00CD2EA1"/>
    <w:rsid w:val="00CD5AB0"/>
    <w:rsid w:val="00CE0436"/>
    <w:rsid w:val="00D03107"/>
    <w:rsid w:val="00D03843"/>
    <w:rsid w:val="00D06F9A"/>
    <w:rsid w:val="00D111C8"/>
    <w:rsid w:val="00D218B4"/>
    <w:rsid w:val="00D33CC3"/>
    <w:rsid w:val="00D403D2"/>
    <w:rsid w:val="00D415D7"/>
    <w:rsid w:val="00D44319"/>
    <w:rsid w:val="00D53B83"/>
    <w:rsid w:val="00D55771"/>
    <w:rsid w:val="00D62BC0"/>
    <w:rsid w:val="00D62C5E"/>
    <w:rsid w:val="00D64A2A"/>
    <w:rsid w:val="00D758B5"/>
    <w:rsid w:val="00D822EC"/>
    <w:rsid w:val="00D94F53"/>
    <w:rsid w:val="00DB476B"/>
    <w:rsid w:val="00DC557F"/>
    <w:rsid w:val="00DC6C9C"/>
    <w:rsid w:val="00DE547E"/>
    <w:rsid w:val="00DE599B"/>
    <w:rsid w:val="00DF2D18"/>
    <w:rsid w:val="00DF581E"/>
    <w:rsid w:val="00E03007"/>
    <w:rsid w:val="00E2389C"/>
    <w:rsid w:val="00E3213A"/>
    <w:rsid w:val="00E374C5"/>
    <w:rsid w:val="00E4273F"/>
    <w:rsid w:val="00E556BB"/>
    <w:rsid w:val="00E57C64"/>
    <w:rsid w:val="00E62B5A"/>
    <w:rsid w:val="00E62EFB"/>
    <w:rsid w:val="00E679A8"/>
    <w:rsid w:val="00E75B19"/>
    <w:rsid w:val="00EA241E"/>
    <w:rsid w:val="00EA6AB7"/>
    <w:rsid w:val="00EC14C5"/>
    <w:rsid w:val="00EC1977"/>
    <w:rsid w:val="00EC1CF6"/>
    <w:rsid w:val="00EC3114"/>
    <w:rsid w:val="00EC35BC"/>
    <w:rsid w:val="00ED1A03"/>
    <w:rsid w:val="00ED6DAC"/>
    <w:rsid w:val="00EE20C8"/>
    <w:rsid w:val="00EF0CA1"/>
    <w:rsid w:val="00EF1535"/>
    <w:rsid w:val="00EF34B9"/>
    <w:rsid w:val="00EF65E2"/>
    <w:rsid w:val="00F10444"/>
    <w:rsid w:val="00F10CE8"/>
    <w:rsid w:val="00F111EA"/>
    <w:rsid w:val="00F1449A"/>
    <w:rsid w:val="00F17DDF"/>
    <w:rsid w:val="00F2199F"/>
    <w:rsid w:val="00F263F4"/>
    <w:rsid w:val="00F27582"/>
    <w:rsid w:val="00F41204"/>
    <w:rsid w:val="00F424F5"/>
    <w:rsid w:val="00F430BE"/>
    <w:rsid w:val="00F52192"/>
    <w:rsid w:val="00F553C5"/>
    <w:rsid w:val="00F55B08"/>
    <w:rsid w:val="00F56D72"/>
    <w:rsid w:val="00F60C03"/>
    <w:rsid w:val="00F629C8"/>
    <w:rsid w:val="00F62D8B"/>
    <w:rsid w:val="00F65A2A"/>
    <w:rsid w:val="00F70ED4"/>
    <w:rsid w:val="00F80625"/>
    <w:rsid w:val="00F8201B"/>
    <w:rsid w:val="00F9602F"/>
    <w:rsid w:val="00FB4C6B"/>
    <w:rsid w:val="00FB79F2"/>
    <w:rsid w:val="00FC13B7"/>
    <w:rsid w:val="00FD0A96"/>
    <w:rsid w:val="00FD3DF6"/>
    <w:rsid w:val="00FE0B67"/>
    <w:rsid w:val="00FE0FD0"/>
    <w:rsid w:val="00FE1255"/>
    <w:rsid w:val="00FE3678"/>
    <w:rsid w:val="00FE4D81"/>
    <w:rsid w:val="00FE57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931A16"/>
  <w15:chartTrackingRefBased/>
  <w15:docId w15:val="{E2DE2F5E-E664-4680-A102-A0ED13FB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2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2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2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830"/>
    <w:rPr>
      <w:rFonts w:eastAsiaTheme="majorEastAsia" w:cstheme="majorBidi"/>
      <w:color w:val="272727" w:themeColor="text1" w:themeTint="D8"/>
    </w:rPr>
  </w:style>
  <w:style w:type="paragraph" w:styleId="Title">
    <w:name w:val="Title"/>
    <w:basedOn w:val="Normal"/>
    <w:next w:val="Normal"/>
    <w:link w:val="TitleChar"/>
    <w:uiPriority w:val="10"/>
    <w:qFormat/>
    <w:rsid w:val="00962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830"/>
    <w:pPr>
      <w:spacing w:before="160"/>
      <w:jc w:val="center"/>
    </w:pPr>
    <w:rPr>
      <w:i/>
      <w:iCs/>
      <w:color w:val="404040" w:themeColor="text1" w:themeTint="BF"/>
    </w:rPr>
  </w:style>
  <w:style w:type="character" w:customStyle="1" w:styleId="QuoteChar">
    <w:name w:val="Quote Char"/>
    <w:basedOn w:val="DefaultParagraphFont"/>
    <w:link w:val="Quote"/>
    <w:uiPriority w:val="29"/>
    <w:rsid w:val="00962830"/>
    <w:rPr>
      <w:i/>
      <w:iCs/>
      <w:color w:val="404040" w:themeColor="text1" w:themeTint="BF"/>
    </w:rPr>
  </w:style>
  <w:style w:type="paragraph" w:styleId="ListParagraph">
    <w:name w:val="List Paragraph"/>
    <w:basedOn w:val="Normal"/>
    <w:uiPriority w:val="34"/>
    <w:qFormat/>
    <w:rsid w:val="00962830"/>
    <w:pPr>
      <w:ind w:left="720"/>
      <w:contextualSpacing/>
    </w:pPr>
  </w:style>
  <w:style w:type="character" w:styleId="IntenseEmphasis">
    <w:name w:val="Intense Emphasis"/>
    <w:basedOn w:val="DefaultParagraphFont"/>
    <w:uiPriority w:val="21"/>
    <w:qFormat/>
    <w:rsid w:val="00962830"/>
    <w:rPr>
      <w:i/>
      <w:iCs/>
      <w:color w:val="0F4761" w:themeColor="accent1" w:themeShade="BF"/>
    </w:rPr>
  </w:style>
  <w:style w:type="paragraph" w:styleId="IntenseQuote">
    <w:name w:val="Intense Quote"/>
    <w:basedOn w:val="Normal"/>
    <w:next w:val="Normal"/>
    <w:link w:val="IntenseQuoteChar"/>
    <w:uiPriority w:val="30"/>
    <w:qFormat/>
    <w:rsid w:val="00962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830"/>
    <w:rPr>
      <w:i/>
      <w:iCs/>
      <w:color w:val="0F4761" w:themeColor="accent1" w:themeShade="BF"/>
    </w:rPr>
  </w:style>
  <w:style w:type="character" w:styleId="IntenseReference">
    <w:name w:val="Intense Reference"/>
    <w:basedOn w:val="DefaultParagraphFont"/>
    <w:uiPriority w:val="32"/>
    <w:qFormat/>
    <w:rsid w:val="00962830"/>
    <w:rPr>
      <w:b/>
      <w:bCs/>
      <w:smallCaps/>
      <w:color w:val="0F4761" w:themeColor="accent1" w:themeShade="BF"/>
      <w:spacing w:val="5"/>
    </w:rPr>
  </w:style>
  <w:style w:type="character" w:styleId="Hyperlink">
    <w:name w:val="Hyperlink"/>
    <w:basedOn w:val="DefaultParagraphFont"/>
    <w:uiPriority w:val="99"/>
    <w:unhideWhenUsed/>
    <w:rsid w:val="009C5FEE"/>
    <w:rPr>
      <w:color w:val="467886" w:themeColor="hyperlink"/>
      <w:u w:val="single"/>
    </w:rPr>
  </w:style>
  <w:style w:type="paragraph" w:styleId="NormalWeb">
    <w:name w:val="Normal (Web)"/>
    <w:basedOn w:val="Normal"/>
    <w:uiPriority w:val="99"/>
    <w:rsid w:val="009C5FE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9C5FEE"/>
    <w:rPr>
      <w:color w:val="605E5C"/>
      <w:shd w:val="clear" w:color="auto" w:fill="E1DFDD"/>
    </w:rPr>
  </w:style>
  <w:style w:type="table" w:styleId="TableGrid">
    <w:name w:val="Table Grid"/>
    <w:basedOn w:val="TableNormal"/>
    <w:uiPriority w:val="59"/>
    <w:rsid w:val="0041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59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3592E"/>
    <w:rPr>
      <w:color w:val="666666"/>
    </w:rPr>
  </w:style>
  <w:style w:type="character" w:styleId="FollowedHyperlink">
    <w:name w:val="FollowedHyperlink"/>
    <w:basedOn w:val="DefaultParagraphFont"/>
    <w:uiPriority w:val="99"/>
    <w:semiHidden/>
    <w:unhideWhenUsed/>
    <w:rsid w:val="00607A87"/>
    <w:rPr>
      <w:color w:val="96607D" w:themeColor="followedHyperlink"/>
      <w:u w:val="single"/>
    </w:rPr>
  </w:style>
  <w:style w:type="paragraph" w:styleId="Header">
    <w:name w:val="header"/>
    <w:basedOn w:val="Normal"/>
    <w:link w:val="HeaderChar"/>
    <w:uiPriority w:val="99"/>
    <w:unhideWhenUsed/>
    <w:rsid w:val="00CD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5C3"/>
  </w:style>
  <w:style w:type="paragraph" w:styleId="Footer">
    <w:name w:val="footer"/>
    <w:basedOn w:val="Normal"/>
    <w:link w:val="FooterChar"/>
    <w:uiPriority w:val="99"/>
    <w:unhideWhenUsed/>
    <w:rsid w:val="00CD1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4624">
      <w:bodyDiv w:val="1"/>
      <w:marLeft w:val="0"/>
      <w:marRight w:val="0"/>
      <w:marTop w:val="0"/>
      <w:marBottom w:val="0"/>
      <w:divBdr>
        <w:top w:val="none" w:sz="0" w:space="0" w:color="auto"/>
        <w:left w:val="none" w:sz="0" w:space="0" w:color="auto"/>
        <w:bottom w:val="none" w:sz="0" w:space="0" w:color="auto"/>
        <w:right w:val="none" w:sz="0" w:space="0" w:color="auto"/>
      </w:divBdr>
    </w:div>
    <w:div w:id="9766415">
      <w:bodyDiv w:val="1"/>
      <w:marLeft w:val="0"/>
      <w:marRight w:val="0"/>
      <w:marTop w:val="0"/>
      <w:marBottom w:val="0"/>
      <w:divBdr>
        <w:top w:val="none" w:sz="0" w:space="0" w:color="auto"/>
        <w:left w:val="none" w:sz="0" w:space="0" w:color="auto"/>
        <w:bottom w:val="none" w:sz="0" w:space="0" w:color="auto"/>
        <w:right w:val="none" w:sz="0" w:space="0" w:color="auto"/>
      </w:divBdr>
    </w:div>
    <w:div w:id="80420957">
      <w:bodyDiv w:val="1"/>
      <w:marLeft w:val="0"/>
      <w:marRight w:val="0"/>
      <w:marTop w:val="0"/>
      <w:marBottom w:val="0"/>
      <w:divBdr>
        <w:top w:val="none" w:sz="0" w:space="0" w:color="auto"/>
        <w:left w:val="none" w:sz="0" w:space="0" w:color="auto"/>
        <w:bottom w:val="none" w:sz="0" w:space="0" w:color="auto"/>
        <w:right w:val="none" w:sz="0" w:space="0" w:color="auto"/>
      </w:divBdr>
    </w:div>
    <w:div w:id="96609584">
      <w:bodyDiv w:val="1"/>
      <w:marLeft w:val="0"/>
      <w:marRight w:val="0"/>
      <w:marTop w:val="0"/>
      <w:marBottom w:val="0"/>
      <w:divBdr>
        <w:top w:val="none" w:sz="0" w:space="0" w:color="auto"/>
        <w:left w:val="none" w:sz="0" w:space="0" w:color="auto"/>
        <w:bottom w:val="none" w:sz="0" w:space="0" w:color="auto"/>
        <w:right w:val="none" w:sz="0" w:space="0" w:color="auto"/>
      </w:divBdr>
    </w:div>
    <w:div w:id="111437124">
      <w:bodyDiv w:val="1"/>
      <w:marLeft w:val="0"/>
      <w:marRight w:val="0"/>
      <w:marTop w:val="0"/>
      <w:marBottom w:val="0"/>
      <w:divBdr>
        <w:top w:val="none" w:sz="0" w:space="0" w:color="auto"/>
        <w:left w:val="none" w:sz="0" w:space="0" w:color="auto"/>
        <w:bottom w:val="none" w:sz="0" w:space="0" w:color="auto"/>
        <w:right w:val="none" w:sz="0" w:space="0" w:color="auto"/>
      </w:divBdr>
    </w:div>
    <w:div w:id="140007541">
      <w:bodyDiv w:val="1"/>
      <w:marLeft w:val="0"/>
      <w:marRight w:val="0"/>
      <w:marTop w:val="0"/>
      <w:marBottom w:val="0"/>
      <w:divBdr>
        <w:top w:val="none" w:sz="0" w:space="0" w:color="auto"/>
        <w:left w:val="none" w:sz="0" w:space="0" w:color="auto"/>
        <w:bottom w:val="none" w:sz="0" w:space="0" w:color="auto"/>
        <w:right w:val="none" w:sz="0" w:space="0" w:color="auto"/>
      </w:divBdr>
    </w:div>
    <w:div w:id="140541724">
      <w:bodyDiv w:val="1"/>
      <w:marLeft w:val="0"/>
      <w:marRight w:val="0"/>
      <w:marTop w:val="0"/>
      <w:marBottom w:val="0"/>
      <w:divBdr>
        <w:top w:val="none" w:sz="0" w:space="0" w:color="auto"/>
        <w:left w:val="none" w:sz="0" w:space="0" w:color="auto"/>
        <w:bottom w:val="none" w:sz="0" w:space="0" w:color="auto"/>
        <w:right w:val="none" w:sz="0" w:space="0" w:color="auto"/>
      </w:divBdr>
    </w:div>
    <w:div w:id="160049192">
      <w:bodyDiv w:val="1"/>
      <w:marLeft w:val="0"/>
      <w:marRight w:val="0"/>
      <w:marTop w:val="0"/>
      <w:marBottom w:val="0"/>
      <w:divBdr>
        <w:top w:val="none" w:sz="0" w:space="0" w:color="auto"/>
        <w:left w:val="none" w:sz="0" w:space="0" w:color="auto"/>
        <w:bottom w:val="none" w:sz="0" w:space="0" w:color="auto"/>
        <w:right w:val="none" w:sz="0" w:space="0" w:color="auto"/>
      </w:divBdr>
    </w:div>
    <w:div w:id="172762824">
      <w:bodyDiv w:val="1"/>
      <w:marLeft w:val="0"/>
      <w:marRight w:val="0"/>
      <w:marTop w:val="0"/>
      <w:marBottom w:val="0"/>
      <w:divBdr>
        <w:top w:val="none" w:sz="0" w:space="0" w:color="auto"/>
        <w:left w:val="none" w:sz="0" w:space="0" w:color="auto"/>
        <w:bottom w:val="none" w:sz="0" w:space="0" w:color="auto"/>
        <w:right w:val="none" w:sz="0" w:space="0" w:color="auto"/>
      </w:divBdr>
      <w:divsChild>
        <w:div w:id="881133243">
          <w:marLeft w:val="0"/>
          <w:marRight w:val="0"/>
          <w:marTop w:val="0"/>
          <w:marBottom w:val="0"/>
          <w:divBdr>
            <w:top w:val="none" w:sz="0" w:space="0" w:color="auto"/>
            <w:left w:val="none" w:sz="0" w:space="0" w:color="auto"/>
            <w:bottom w:val="none" w:sz="0" w:space="0" w:color="auto"/>
            <w:right w:val="none" w:sz="0" w:space="0" w:color="auto"/>
          </w:divBdr>
          <w:divsChild>
            <w:div w:id="1863323016">
              <w:marLeft w:val="0"/>
              <w:marRight w:val="0"/>
              <w:marTop w:val="0"/>
              <w:marBottom w:val="0"/>
              <w:divBdr>
                <w:top w:val="none" w:sz="0" w:space="0" w:color="auto"/>
                <w:left w:val="none" w:sz="0" w:space="0" w:color="auto"/>
                <w:bottom w:val="none" w:sz="0" w:space="0" w:color="auto"/>
                <w:right w:val="none" w:sz="0" w:space="0" w:color="auto"/>
              </w:divBdr>
              <w:divsChild>
                <w:div w:id="759444156">
                  <w:marLeft w:val="0"/>
                  <w:marRight w:val="0"/>
                  <w:marTop w:val="0"/>
                  <w:marBottom w:val="0"/>
                  <w:divBdr>
                    <w:top w:val="none" w:sz="0" w:space="0" w:color="auto"/>
                    <w:left w:val="none" w:sz="0" w:space="0" w:color="auto"/>
                    <w:bottom w:val="none" w:sz="0" w:space="0" w:color="auto"/>
                    <w:right w:val="none" w:sz="0" w:space="0" w:color="auto"/>
                  </w:divBdr>
                  <w:divsChild>
                    <w:div w:id="1121458933">
                      <w:marLeft w:val="0"/>
                      <w:marRight w:val="0"/>
                      <w:marTop w:val="0"/>
                      <w:marBottom w:val="0"/>
                      <w:divBdr>
                        <w:top w:val="none" w:sz="0" w:space="0" w:color="auto"/>
                        <w:left w:val="none" w:sz="0" w:space="0" w:color="auto"/>
                        <w:bottom w:val="none" w:sz="0" w:space="0" w:color="auto"/>
                        <w:right w:val="none" w:sz="0" w:space="0" w:color="auto"/>
                      </w:divBdr>
                      <w:divsChild>
                        <w:div w:id="522668689">
                          <w:marLeft w:val="0"/>
                          <w:marRight w:val="0"/>
                          <w:marTop w:val="0"/>
                          <w:marBottom w:val="0"/>
                          <w:divBdr>
                            <w:top w:val="none" w:sz="0" w:space="0" w:color="auto"/>
                            <w:left w:val="none" w:sz="0" w:space="0" w:color="auto"/>
                            <w:bottom w:val="none" w:sz="0" w:space="0" w:color="auto"/>
                            <w:right w:val="none" w:sz="0" w:space="0" w:color="auto"/>
                          </w:divBdr>
                          <w:divsChild>
                            <w:div w:id="2073968919">
                              <w:marLeft w:val="0"/>
                              <w:marRight w:val="0"/>
                              <w:marTop w:val="0"/>
                              <w:marBottom w:val="0"/>
                              <w:divBdr>
                                <w:top w:val="none" w:sz="0" w:space="0" w:color="auto"/>
                                <w:left w:val="none" w:sz="0" w:space="0" w:color="auto"/>
                                <w:bottom w:val="none" w:sz="0" w:space="0" w:color="auto"/>
                                <w:right w:val="none" w:sz="0" w:space="0" w:color="auto"/>
                              </w:divBdr>
                              <w:divsChild>
                                <w:div w:id="1090007557">
                                  <w:marLeft w:val="0"/>
                                  <w:marRight w:val="0"/>
                                  <w:marTop w:val="0"/>
                                  <w:marBottom w:val="0"/>
                                  <w:divBdr>
                                    <w:top w:val="none" w:sz="0" w:space="0" w:color="auto"/>
                                    <w:left w:val="none" w:sz="0" w:space="0" w:color="auto"/>
                                    <w:bottom w:val="none" w:sz="0" w:space="0" w:color="auto"/>
                                    <w:right w:val="none" w:sz="0" w:space="0" w:color="auto"/>
                                  </w:divBdr>
                                  <w:divsChild>
                                    <w:div w:id="2044475281">
                                      <w:marLeft w:val="0"/>
                                      <w:marRight w:val="0"/>
                                      <w:marTop w:val="0"/>
                                      <w:marBottom w:val="0"/>
                                      <w:divBdr>
                                        <w:top w:val="none" w:sz="0" w:space="0" w:color="auto"/>
                                        <w:left w:val="none" w:sz="0" w:space="0" w:color="auto"/>
                                        <w:bottom w:val="none" w:sz="0" w:space="0" w:color="auto"/>
                                        <w:right w:val="none" w:sz="0" w:space="0" w:color="auto"/>
                                      </w:divBdr>
                                      <w:divsChild>
                                        <w:div w:id="945818404">
                                          <w:marLeft w:val="0"/>
                                          <w:marRight w:val="0"/>
                                          <w:marTop w:val="0"/>
                                          <w:marBottom w:val="0"/>
                                          <w:divBdr>
                                            <w:top w:val="none" w:sz="0" w:space="0" w:color="auto"/>
                                            <w:left w:val="none" w:sz="0" w:space="0" w:color="auto"/>
                                            <w:bottom w:val="none" w:sz="0" w:space="0" w:color="auto"/>
                                            <w:right w:val="none" w:sz="0" w:space="0" w:color="auto"/>
                                          </w:divBdr>
                                          <w:divsChild>
                                            <w:div w:id="377364357">
                                              <w:marLeft w:val="0"/>
                                              <w:marRight w:val="0"/>
                                              <w:marTop w:val="0"/>
                                              <w:marBottom w:val="0"/>
                                              <w:divBdr>
                                                <w:top w:val="none" w:sz="0" w:space="0" w:color="auto"/>
                                                <w:left w:val="none" w:sz="0" w:space="0" w:color="auto"/>
                                                <w:bottom w:val="none" w:sz="0" w:space="0" w:color="auto"/>
                                                <w:right w:val="none" w:sz="0" w:space="0" w:color="auto"/>
                                              </w:divBdr>
                                              <w:divsChild>
                                                <w:div w:id="1851943534">
                                                  <w:marLeft w:val="0"/>
                                                  <w:marRight w:val="0"/>
                                                  <w:marTop w:val="0"/>
                                                  <w:marBottom w:val="0"/>
                                                  <w:divBdr>
                                                    <w:top w:val="none" w:sz="0" w:space="0" w:color="auto"/>
                                                    <w:left w:val="none" w:sz="0" w:space="0" w:color="auto"/>
                                                    <w:bottom w:val="none" w:sz="0" w:space="0" w:color="auto"/>
                                                    <w:right w:val="none" w:sz="0" w:space="0" w:color="auto"/>
                                                  </w:divBdr>
                                                  <w:divsChild>
                                                    <w:div w:id="801583357">
                                                      <w:marLeft w:val="0"/>
                                                      <w:marRight w:val="0"/>
                                                      <w:marTop w:val="0"/>
                                                      <w:marBottom w:val="0"/>
                                                      <w:divBdr>
                                                        <w:top w:val="none" w:sz="0" w:space="0" w:color="auto"/>
                                                        <w:left w:val="none" w:sz="0" w:space="0" w:color="auto"/>
                                                        <w:bottom w:val="none" w:sz="0" w:space="0" w:color="auto"/>
                                                        <w:right w:val="none" w:sz="0" w:space="0" w:color="auto"/>
                                                      </w:divBdr>
                                                      <w:divsChild>
                                                        <w:div w:id="9740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3242">
          <w:marLeft w:val="0"/>
          <w:marRight w:val="0"/>
          <w:marTop w:val="0"/>
          <w:marBottom w:val="0"/>
          <w:divBdr>
            <w:top w:val="none" w:sz="0" w:space="0" w:color="auto"/>
            <w:left w:val="none" w:sz="0" w:space="0" w:color="auto"/>
            <w:bottom w:val="none" w:sz="0" w:space="0" w:color="auto"/>
            <w:right w:val="none" w:sz="0" w:space="0" w:color="auto"/>
          </w:divBdr>
          <w:divsChild>
            <w:div w:id="1968317343">
              <w:marLeft w:val="0"/>
              <w:marRight w:val="0"/>
              <w:marTop w:val="0"/>
              <w:marBottom w:val="0"/>
              <w:divBdr>
                <w:top w:val="none" w:sz="0" w:space="0" w:color="auto"/>
                <w:left w:val="none" w:sz="0" w:space="0" w:color="auto"/>
                <w:bottom w:val="none" w:sz="0" w:space="0" w:color="auto"/>
                <w:right w:val="none" w:sz="0" w:space="0" w:color="auto"/>
              </w:divBdr>
              <w:divsChild>
                <w:div w:id="1903322689">
                  <w:marLeft w:val="0"/>
                  <w:marRight w:val="0"/>
                  <w:marTop w:val="0"/>
                  <w:marBottom w:val="0"/>
                  <w:divBdr>
                    <w:top w:val="none" w:sz="0" w:space="0" w:color="auto"/>
                    <w:left w:val="none" w:sz="0" w:space="0" w:color="auto"/>
                    <w:bottom w:val="none" w:sz="0" w:space="0" w:color="auto"/>
                    <w:right w:val="none" w:sz="0" w:space="0" w:color="auto"/>
                  </w:divBdr>
                  <w:divsChild>
                    <w:div w:id="1661300923">
                      <w:marLeft w:val="0"/>
                      <w:marRight w:val="0"/>
                      <w:marTop w:val="0"/>
                      <w:marBottom w:val="0"/>
                      <w:divBdr>
                        <w:top w:val="none" w:sz="0" w:space="0" w:color="auto"/>
                        <w:left w:val="none" w:sz="0" w:space="0" w:color="auto"/>
                        <w:bottom w:val="none" w:sz="0" w:space="0" w:color="auto"/>
                        <w:right w:val="none" w:sz="0" w:space="0" w:color="auto"/>
                      </w:divBdr>
                      <w:divsChild>
                        <w:div w:id="1224485223">
                          <w:marLeft w:val="0"/>
                          <w:marRight w:val="0"/>
                          <w:marTop w:val="0"/>
                          <w:marBottom w:val="0"/>
                          <w:divBdr>
                            <w:top w:val="none" w:sz="0" w:space="0" w:color="auto"/>
                            <w:left w:val="none" w:sz="0" w:space="0" w:color="auto"/>
                            <w:bottom w:val="none" w:sz="0" w:space="0" w:color="auto"/>
                            <w:right w:val="none" w:sz="0" w:space="0" w:color="auto"/>
                          </w:divBdr>
                          <w:divsChild>
                            <w:div w:id="1599480009">
                              <w:marLeft w:val="0"/>
                              <w:marRight w:val="0"/>
                              <w:marTop w:val="0"/>
                              <w:marBottom w:val="0"/>
                              <w:divBdr>
                                <w:top w:val="none" w:sz="0" w:space="0" w:color="auto"/>
                                <w:left w:val="none" w:sz="0" w:space="0" w:color="auto"/>
                                <w:bottom w:val="none" w:sz="0" w:space="0" w:color="auto"/>
                                <w:right w:val="none" w:sz="0" w:space="0" w:color="auto"/>
                              </w:divBdr>
                              <w:divsChild>
                                <w:div w:id="155611773">
                                  <w:marLeft w:val="0"/>
                                  <w:marRight w:val="0"/>
                                  <w:marTop w:val="0"/>
                                  <w:marBottom w:val="0"/>
                                  <w:divBdr>
                                    <w:top w:val="none" w:sz="0" w:space="0" w:color="auto"/>
                                    <w:left w:val="none" w:sz="0" w:space="0" w:color="auto"/>
                                    <w:bottom w:val="none" w:sz="0" w:space="0" w:color="auto"/>
                                    <w:right w:val="none" w:sz="0" w:space="0" w:color="auto"/>
                                  </w:divBdr>
                                  <w:divsChild>
                                    <w:div w:id="946041053">
                                      <w:marLeft w:val="0"/>
                                      <w:marRight w:val="0"/>
                                      <w:marTop w:val="0"/>
                                      <w:marBottom w:val="0"/>
                                      <w:divBdr>
                                        <w:top w:val="none" w:sz="0" w:space="0" w:color="auto"/>
                                        <w:left w:val="none" w:sz="0" w:space="0" w:color="auto"/>
                                        <w:bottom w:val="none" w:sz="0" w:space="0" w:color="auto"/>
                                        <w:right w:val="none" w:sz="0" w:space="0" w:color="auto"/>
                                      </w:divBdr>
                                      <w:divsChild>
                                        <w:div w:id="1439907562">
                                          <w:marLeft w:val="0"/>
                                          <w:marRight w:val="0"/>
                                          <w:marTop w:val="0"/>
                                          <w:marBottom w:val="0"/>
                                          <w:divBdr>
                                            <w:top w:val="none" w:sz="0" w:space="0" w:color="auto"/>
                                            <w:left w:val="none" w:sz="0" w:space="0" w:color="auto"/>
                                            <w:bottom w:val="none" w:sz="0" w:space="0" w:color="auto"/>
                                            <w:right w:val="none" w:sz="0" w:space="0" w:color="auto"/>
                                          </w:divBdr>
                                          <w:divsChild>
                                            <w:div w:id="1914780526">
                                              <w:marLeft w:val="0"/>
                                              <w:marRight w:val="0"/>
                                              <w:marTop w:val="0"/>
                                              <w:marBottom w:val="0"/>
                                              <w:divBdr>
                                                <w:top w:val="none" w:sz="0" w:space="0" w:color="auto"/>
                                                <w:left w:val="none" w:sz="0" w:space="0" w:color="auto"/>
                                                <w:bottom w:val="none" w:sz="0" w:space="0" w:color="auto"/>
                                                <w:right w:val="none" w:sz="0" w:space="0" w:color="auto"/>
                                              </w:divBdr>
                                              <w:divsChild>
                                                <w:div w:id="1423137915">
                                                  <w:marLeft w:val="0"/>
                                                  <w:marRight w:val="0"/>
                                                  <w:marTop w:val="0"/>
                                                  <w:marBottom w:val="0"/>
                                                  <w:divBdr>
                                                    <w:top w:val="none" w:sz="0" w:space="0" w:color="auto"/>
                                                    <w:left w:val="none" w:sz="0" w:space="0" w:color="auto"/>
                                                    <w:bottom w:val="none" w:sz="0" w:space="0" w:color="auto"/>
                                                    <w:right w:val="none" w:sz="0" w:space="0" w:color="auto"/>
                                                  </w:divBdr>
                                                  <w:divsChild>
                                                    <w:div w:id="1898391000">
                                                      <w:marLeft w:val="0"/>
                                                      <w:marRight w:val="0"/>
                                                      <w:marTop w:val="0"/>
                                                      <w:marBottom w:val="0"/>
                                                      <w:divBdr>
                                                        <w:top w:val="none" w:sz="0" w:space="0" w:color="auto"/>
                                                        <w:left w:val="none" w:sz="0" w:space="0" w:color="auto"/>
                                                        <w:bottom w:val="none" w:sz="0" w:space="0" w:color="auto"/>
                                                        <w:right w:val="none" w:sz="0" w:space="0" w:color="auto"/>
                                                      </w:divBdr>
                                                      <w:divsChild>
                                                        <w:div w:id="11389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9876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6">
          <w:marLeft w:val="0"/>
          <w:marRight w:val="0"/>
          <w:marTop w:val="0"/>
          <w:marBottom w:val="0"/>
          <w:divBdr>
            <w:top w:val="none" w:sz="0" w:space="0" w:color="auto"/>
            <w:left w:val="none" w:sz="0" w:space="0" w:color="auto"/>
            <w:bottom w:val="none" w:sz="0" w:space="0" w:color="auto"/>
            <w:right w:val="none" w:sz="0" w:space="0" w:color="auto"/>
          </w:divBdr>
        </w:div>
      </w:divsChild>
    </w:div>
    <w:div w:id="197932081">
      <w:bodyDiv w:val="1"/>
      <w:marLeft w:val="0"/>
      <w:marRight w:val="0"/>
      <w:marTop w:val="0"/>
      <w:marBottom w:val="0"/>
      <w:divBdr>
        <w:top w:val="none" w:sz="0" w:space="0" w:color="auto"/>
        <w:left w:val="none" w:sz="0" w:space="0" w:color="auto"/>
        <w:bottom w:val="none" w:sz="0" w:space="0" w:color="auto"/>
        <w:right w:val="none" w:sz="0" w:space="0" w:color="auto"/>
      </w:divBdr>
    </w:div>
    <w:div w:id="217325759">
      <w:bodyDiv w:val="1"/>
      <w:marLeft w:val="0"/>
      <w:marRight w:val="0"/>
      <w:marTop w:val="0"/>
      <w:marBottom w:val="0"/>
      <w:divBdr>
        <w:top w:val="none" w:sz="0" w:space="0" w:color="auto"/>
        <w:left w:val="none" w:sz="0" w:space="0" w:color="auto"/>
        <w:bottom w:val="none" w:sz="0" w:space="0" w:color="auto"/>
        <w:right w:val="none" w:sz="0" w:space="0" w:color="auto"/>
      </w:divBdr>
    </w:div>
    <w:div w:id="228657299">
      <w:bodyDiv w:val="1"/>
      <w:marLeft w:val="0"/>
      <w:marRight w:val="0"/>
      <w:marTop w:val="0"/>
      <w:marBottom w:val="0"/>
      <w:divBdr>
        <w:top w:val="none" w:sz="0" w:space="0" w:color="auto"/>
        <w:left w:val="none" w:sz="0" w:space="0" w:color="auto"/>
        <w:bottom w:val="none" w:sz="0" w:space="0" w:color="auto"/>
        <w:right w:val="none" w:sz="0" w:space="0" w:color="auto"/>
      </w:divBdr>
    </w:div>
    <w:div w:id="235676629">
      <w:bodyDiv w:val="1"/>
      <w:marLeft w:val="0"/>
      <w:marRight w:val="0"/>
      <w:marTop w:val="0"/>
      <w:marBottom w:val="0"/>
      <w:divBdr>
        <w:top w:val="none" w:sz="0" w:space="0" w:color="auto"/>
        <w:left w:val="none" w:sz="0" w:space="0" w:color="auto"/>
        <w:bottom w:val="none" w:sz="0" w:space="0" w:color="auto"/>
        <w:right w:val="none" w:sz="0" w:space="0" w:color="auto"/>
      </w:divBdr>
    </w:div>
    <w:div w:id="247424504">
      <w:bodyDiv w:val="1"/>
      <w:marLeft w:val="0"/>
      <w:marRight w:val="0"/>
      <w:marTop w:val="0"/>
      <w:marBottom w:val="0"/>
      <w:divBdr>
        <w:top w:val="none" w:sz="0" w:space="0" w:color="auto"/>
        <w:left w:val="none" w:sz="0" w:space="0" w:color="auto"/>
        <w:bottom w:val="none" w:sz="0" w:space="0" w:color="auto"/>
        <w:right w:val="none" w:sz="0" w:space="0" w:color="auto"/>
      </w:divBdr>
    </w:div>
    <w:div w:id="287440960">
      <w:bodyDiv w:val="1"/>
      <w:marLeft w:val="0"/>
      <w:marRight w:val="0"/>
      <w:marTop w:val="0"/>
      <w:marBottom w:val="0"/>
      <w:divBdr>
        <w:top w:val="none" w:sz="0" w:space="0" w:color="auto"/>
        <w:left w:val="none" w:sz="0" w:space="0" w:color="auto"/>
        <w:bottom w:val="none" w:sz="0" w:space="0" w:color="auto"/>
        <w:right w:val="none" w:sz="0" w:space="0" w:color="auto"/>
      </w:divBdr>
    </w:div>
    <w:div w:id="337391102">
      <w:bodyDiv w:val="1"/>
      <w:marLeft w:val="0"/>
      <w:marRight w:val="0"/>
      <w:marTop w:val="0"/>
      <w:marBottom w:val="0"/>
      <w:divBdr>
        <w:top w:val="none" w:sz="0" w:space="0" w:color="auto"/>
        <w:left w:val="none" w:sz="0" w:space="0" w:color="auto"/>
        <w:bottom w:val="none" w:sz="0" w:space="0" w:color="auto"/>
        <w:right w:val="none" w:sz="0" w:space="0" w:color="auto"/>
      </w:divBdr>
    </w:div>
    <w:div w:id="337660962">
      <w:bodyDiv w:val="1"/>
      <w:marLeft w:val="0"/>
      <w:marRight w:val="0"/>
      <w:marTop w:val="0"/>
      <w:marBottom w:val="0"/>
      <w:divBdr>
        <w:top w:val="none" w:sz="0" w:space="0" w:color="auto"/>
        <w:left w:val="none" w:sz="0" w:space="0" w:color="auto"/>
        <w:bottom w:val="none" w:sz="0" w:space="0" w:color="auto"/>
        <w:right w:val="none" w:sz="0" w:space="0" w:color="auto"/>
      </w:divBdr>
    </w:div>
    <w:div w:id="360478251">
      <w:bodyDiv w:val="1"/>
      <w:marLeft w:val="0"/>
      <w:marRight w:val="0"/>
      <w:marTop w:val="0"/>
      <w:marBottom w:val="0"/>
      <w:divBdr>
        <w:top w:val="none" w:sz="0" w:space="0" w:color="auto"/>
        <w:left w:val="none" w:sz="0" w:space="0" w:color="auto"/>
        <w:bottom w:val="none" w:sz="0" w:space="0" w:color="auto"/>
        <w:right w:val="none" w:sz="0" w:space="0" w:color="auto"/>
      </w:divBdr>
      <w:divsChild>
        <w:div w:id="1046100983">
          <w:marLeft w:val="0"/>
          <w:marRight w:val="0"/>
          <w:marTop w:val="0"/>
          <w:marBottom w:val="0"/>
          <w:divBdr>
            <w:top w:val="none" w:sz="0" w:space="0" w:color="auto"/>
            <w:left w:val="none" w:sz="0" w:space="0" w:color="auto"/>
            <w:bottom w:val="none" w:sz="0" w:space="0" w:color="auto"/>
            <w:right w:val="none" w:sz="0" w:space="0" w:color="auto"/>
          </w:divBdr>
        </w:div>
      </w:divsChild>
    </w:div>
    <w:div w:id="409160765">
      <w:bodyDiv w:val="1"/>
      <w:marLeft w:val="0"/>
      <w:marRight w:val="0"/>
      <w:marTop w:val="0"/>
      <w:marBottom w:val="0"/>
      <w:divBdr>
        <w:top w:val="none" w:sz="0" w:space="0" w:color="auto"/>
        <w:left w:val="none" w:sz="0" w:space="0" w:color="auto"/>
        <w:bottom w:val="none" w:sz="0" w:space="0" w:color="auto"/>
        <w:right w:val="none" w:sz="0" w:space="0" w:color="auto"/>
      </w:divBdr>
    </w:div>
    <w:div w:id="413815936">
      <w:bodyDiv w:val="1"/>
      <w:marLeft w:val="0"/>
      <w:marRight w:val="0"/>
      <w:marTop w:val="0"/>
      <w:marBottom w:val="0"/>
      <w:divBdr>
        <w:top w:val="none" w:sz="0" w:space="0" w:color="auto"/>
        <w:left w:val="none" w:sz="0" w:space="0" w:color="auto"/>
        <w:bottom w:val="none" w:sz="0" w:space="0" w:color="auto"/>
        <w:right w:val="none" w:sz="0" w:space="0" w:color="auto"/>
      </w:divBdr>
    </w:div>
    <w:div w:id="417949173">
      <w:bodyDiv w:val="1"/>
      <w:marLeft w:val="0"/>
      <w:marRight w:val="0"/>
      <w:marTop w:val="0"/>
      <w:marBottom w:val="0"/>
      <w:divBdr>
        <w:top w:val="none" w:sz="0" w:space="0" w:color="auto"/>
        <w:left w:val="none" w:sz="0" w:space="0" w:color="auto"/>
        <w:bottom w:val="none" w:sz="0" w:space="0" w:color="auto"/>
        <w:right w:val="none" w:sz="0" w:space="0" w:color="auto"/>
      </w:divBdr>
    </w:div>
    <w:div w:id="441456102">
      <w:bodyDiv w:val="1"/>
      <w:marLeft w:val="0"/>
      <w:marRight w:val="0"/>
      <w:marTop w:val="0"/>
      <w:marBottom w:val="0"/>
      <w:divBdr>
        <w:top w:val="none" w:sz="0" w:space="0" w:color="auto"/>
        <w:left w:val="none" w:sz="0" w:space="0" w:color="auto"/>
        <w:bottom w:val="none" w:sz="0" w:space="0" w:color="auto"/>
        <w:right w:val="none" w:sz="0" w:space="0" w:color="auto"/>
      </w:divBdr>
      <w:divsChild>
        <w:div w:id="735662016">
          <w:marLeft w:val="0"/>
          <w:marRight w:val="0"/>
          <w:marTop w:val="0"/>
          <w:marBottom w:val="0"/>
          <w:divBdr>
            <w:top w:val="none" w:sz="0" w:space="0" w:color="auto"/>
            <w:left w:val="none" w:sz="0" w:space="0" w:color="auto"/>
            <w:bottom w:val="none" w:sz="0" w:space="0" w:color="auto"/>
            <w:right w:val="none" w:sz="0" w:space="0" w:color="auto"/>
          </w:divBdr>
          <w:divsChild>
            <w:div w:id="1705904577">
              <w:marLeft w:val="0"/>
              <w:marRight w:val="0"/>
              <w:marTop w:val="0"/>
              <w:marBottom w:val="0"/>
              <w:divBdr>
                <w:top w:val="none" w:sz="0" w:space="0" w:color="auto"/>
                <w:left w:val="none" w:sz="0" w:space="0" w:color="auto"/>
                <w:bottom w:val="none" w:sz="0" w:space="0" w:color="auto"/>
                <w:right w:val="none" w:sz="0" w:space="0" w:color="auto"/>
              </w:divBdr>
              <w:divsChild>
                <w:div w:id="528109639">
                  <w:marLeft w:val="0"/>
                  <w:marRight w:val="0"/>
                  <w:marTop w:val="0"/>
                  <w:marBottom w:val="0"/>
                  <w:divBdr>
                    <w:top w:val="none" w:sz="0" w:space="0" w:color="auto"/>
                    <w:left w:val="none" w:sz="0" w:space="0" w:color="auto"/>
                    <w:bottom w:val="none" w:sz="0" w:space="0" w:color="auto"/>
                    <w:right w:val="none" w:sz="0" w:space="0" w:color="auto"/>
                  </w:divBdr>
                  <w:divsChild>
                    <w:div w:id="123238576">
                      <w:marLeft w:val="0"/>
                      <w:marRight w:val="0"/>
                      <w:marTop w:val="0"/>
                      <w:marBottom w:val="0"/>
                      <w:divBdr>
                        <w:top w:val="none" w:sz="0" w:space="0" w:color="auto"/>
                        <w:left w:val="none" w:sz="0" w:space="0" w:color="auto"/>
                        <w:bottom w:val="none" w:sz="0" w:space="0" w:color="auto"/>
                        <w:right w:val="none" w:sz="0" w:space="0" w:color="auto"/>
                      </w:divBdr>
                      <w:divsChild>
                        <w:div w:id="1647202159">
                          <w:marLeft w:val="0"/>
                          <w:marRight w:val="0"/>
                          <w:marTop w:val="0"/>
                          <w:marBottom w:val="0"/>
                          <w:divBdr>
                            <w:top w:val="none" w:sz="0" w:space="0" w:color="auto"/>
                            <w:left w:val="none" w:sz="0" w:space="0" w:color="auto"/>
                            <w:bottom w:val="none" w:sz="0" w:space="0" w:color="auto"/>
                            <w:right w:val="none" w:sz="0" w:space="0" w:color="auto"/>
                          </w:divBdr>
                          <w:divsChild>
                            <w:div w:id="1702394234">
                              <w:marLeft w:val="0"/>
                              <w:marRight w:val="0"/>
                              <w:marTop w:val="0"/>
                              <w:marBottom w:val="0"/>
                              <w:divBdr>
                                <w:top w:val="none" w:sz="0" w:space="0" w:color="auto"/>
                                <w:left w:val="none" w:sz="0" w:space="0" w:color="auto"/>
                                <w:bottom w:val="none" w:sz="0" w:space="0" w:color="auto"/>
                                <w:right w:val="none" w:sz="0" w:space="0" w:color="auto"/>
                              </w:divBdr>
                              <w:divsChild>
                                <w:div w:id="810633354">
                                  <w:marLeft w:val="0"/>
                                  <w:marRight w:val="0"/>
                                  <w:marTop w:val="0"/>
                                  <w:marBottom w:val="0"/>
                                  <w:divBdr>
                                    <w:top w:val="none" w:sz="0" w:space="0" w:color="auto"/>
                                    <w:left w:val="none" w:sz="0" w:space="0" w:color="auto"/>
                                    <w:bottom w:val="none" w:sz="0" w:space="0" w:color="auto"/>
                                    <w:right w:val="none" w:sz="0" w:space="0" w:color="auto"/>
                                  </w:divBdr>
                                  <w:divsChild>
                                    <w:div w:id="663704880">
                                      <w:marLeft w:val="0"/>
                                      <w:marRight w:val="0"/>
                                      <w:marTop w:val="0"/>
                                      <w:marBottom w:val="0"/>
                                      <w:divBdr>
                                        <w:top w:val="none" w:sz="0" w:space="0" w:color="auto"/>
                                        <w:left w:val="none" w:sz="0" w:space="0" w:color="auto"/>
                                        <w:bottom w:val="none" w:sz="0" w:space="0" w:color="auto"/>
                                        <w:right w:val="none" w:sz="0" w:space="0" w:color="auto"/>
                                      </w:divBdr>
                                      <w:divsChild>
                                        <w:div w:id="1067993254">
                                          <w:marLeft w:val="0"/>
                                          <w:marRight w:val="0"/>
                                          <w:marTop w:val="0"/>
                                          <w:marBottom w:val="0"/>
                                          <w:divBdr>
                                            <w:top w:val="none" w:sz="0" w:space="0" w:color="auto"/>
                                            <w:left w:val="none" w:sz="0" w:space="0" w:color="auto"/>
                                            <w:bottom w:val="none" w:sz="0" w:space="0" w:color="auto"/>
                                            <w:right w:val="none" w:sz="0" w:space="0" w:color="auto"/>
                                          </w:divBdr>
                                          <w:divsChild>
                                            <w:div w:id="1332759272">
                                              <w:marLeft w:val="0"/>
                                              <w:marRight w:val="0"/>
                                              <w:marTop w:val="0"/>
                                              <w:marBottom w:val="0"/>
                                              <w:divBdr>
                                                <w:top w:val="none" w:sz="0" w:space="0" w:color="auto"/>
                                                <w:left w:val="none" w:sz="0" w:space="0" w:color="auto"/>
                                                <w:bottom w:val="none" w:sz="0" w:space="0" w:color="auto"/>
                                                <w:right w:val="none" w:sz="0" w:space="0" w:color="auto"/>
                                              </w:divBdr>
                                              <w:divsChild>
                                                <w:div w:id="1924559598">
                                                  <w:marLeft w:val="0"/>
                                                  <w:marRight w:val="0"/>
                                                  <w:marTop w:val="0"/>
                                                  <w:marBottom w:val="0"/>
                                                  <w:divBdr>
                                                    <w:top w:val="none" w:sz="0" w:space="0" w:color="auto"/>
                                                    <w:left w:val="none" w:sz="0" w:space="0" w:color="auto"/>
                                                    <w:bottom w:val="none" w:sz="0" w:space="0" w:color="auto"/>
                                                    <w:right w:val="none" w:sz="0" w:space="0" w:color="auto"/>
                                                  </w:divBdr>
                                                  <w:divsChild>
                                                    <w:div w:id="1528758965">
                                                      <w:marLeft w:val="0"/>
                                                      <w:marRight w:val="0"/>
                                                      <w:marTop w:val="0"/>
                                                      <w:marBottom w:val="0"/>
                                                      <w:divBdr>
                                                        <w:top w:val="none" w:sz="0" w:space="0" w:color="auto"/>
                                                        <w:left w:val="none" w:sz="0" w:space="0" w:color="auto"/>
                                                        <w:bottom w:val="none" w:sz="0" w:space="0" w:color="auto"/>
                                                        <w:right w:val="none" w:sz="0" w:space="0" w:color="auto"/>
                                                      </w:divBdr>
                                                      <w:divsChild>
                                                        <w:div w:id="11290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513330">
          <w:marLeft w:val="0"/>
          <w:marRight w:val="0"/>
          <w:marTop w:val="0"/>
          <w:marBottom w:val="0"/>
          <w:divBdr>
            <w:top w:val="none" w:sz="0" w:space="0" w:color="auto"/>
            <w:left w:val="none" w:sz="0" w:space="0" w:color="auto"/>
            <w:bottom w:val="none" w:sz="0" w:space="0" w:color="auto"/>
            <w:right w:val="none" w:sz="0" w:space="0" w:color="auto"/>
          </w:divBdr>
          <w:divsChild>
            <w:div w:id="236941158">
              <w:marLeft w:val="0"/>
              <w:marRight w:val="0"/>
              <w:marTop w:val="0"/>
              <w:marBottom w:val="0"/>
              <w:divBdr>
                <w:top w:val="none" w:sz="0" w:space="0" w:color="auto"/>
                <w:left w:val="none" w:sz="0" w:space="0" w:color="auto"/>
                <w:bottom w:val="none" w:sz="0" w:space="0" w:color="auto"/>
                <w:right w:val="none" w:sz="0" w:space="0" w:color="auto"/>
              </w:divBdr>
              <w:divsChild>
                <w:div w:id="1159228204">
                  <w:marLeft w:val="0"/>
                  <w:marRight w:val="0"/>
                  <w:marTop w:val="0"/>
                  <w:marBottom w:val="0"/>
                  <w:divBdr>
                    <w:top w:val="none" w:sz="0" w:space="0" w:color="auto"/>
                    <w:left w:val="none" w:sz="0" w:space="0" w:color="auto"/>
                    <w:bottom w:val="none" w:sz="0" w:space="0" w:color="auto"/>
                    <w:right w:val="none" w:sz="0" w:space="0" w:color="auto"/>
                  </w:divBdr>
                  <w:divsChild>
                    <w:div w:id="1409230168">
                      <w:marLeft w:val="0"/>
                      <w:marRight w:val="0"/>
                      <w:marTop w:val="0"/>
                      <w:marBottom w:val="0"/>
                      <w:divBdr>
                        <w:top w:val="none" w:sz="0" w:space="0" w:color="auto"/>
                        <w:left w:val="none" w:sz="0" w:space="0" w:color="auto"/>
                        <w:bottom w:val="none" w:sz="0" w:space="0" w:color="auto"/>
                        <w:right w:val="none" w:sz="0" w:space="0" w:color="auto"/>
                      </w:divBdr>
                      <w:divsChild>
                        <w:div w:id="1875069836">
                          <w:marLeft w:val="0"/>
                          <w:marRight w:val="0"/>
                          <w:marTop w:val="0"/>
                          <w:marBottom w:val="0"/>
                          <w:divBdr>
                            <w:top w:val="none" w:sz="0" w:space="0" w:color="auto"/>
                            <w:left w:val="none" w:sz="0" w:space="0" w:color="auto"/>
                            <w:bottom w:val="none" w:sz="0" w:space="0" w:color="auto"/>
                            <w:right w:val="none" w:sz="0" w:space="0" w:color="auto"/>
                          </w:divBdr>
                          <w:divsChild>
                            <w:div w:id="20283370">
                              <w:marLeft w:val="0"/>
                              <w:marRight w:val="0"/>
                              <w:marTop w:val="0"/>
                              <w:marBottom w:val="0"/>
                              <w:divBdr>
                                <w:top w:val="none" w:sz="0" w:space="0" w:color="auto"/>
                                <w:left w:val="none" w:sz="0" w:space="0" w:color="auto"/>
                                <w:bottom w:val="none" w:sz="0" w:space="0" w:color="auto"/>
                                <w:right w:val="none" w:sz="0" w:space="0" w:color="auto"/>
                              </w:divBdr>
                              <w:divsChild>
                                <w:div w:id="962616063">
                                  <w:marLeft w:val="0"/>
                                  <w:marRight w:val="0"/>
                                  <w:marTop w:val="0"/>
                                  <w:marBottom w:val="0"/>
                                  <w:divBdr>
                                    <w:top w:val="none" w:sz="0" w:space="0" w:color="auto"/>
                                    <w:left w:val="none" w:sz="0" w:space="0" w:color="auto"/>
                                    <w:bottom w:val="none" w:sz="0" w:space="0" w:color="auto"/>
                                    <w:right w:val="none" w:sz="0" w:space="0" w:color="auto"/>
                                  </w:divBdr>
                                  <w:divsChild>
                                    <w:div w:id="1977755812">
                                      <w:marLeft w:val="0"/>
                                      <w:marRight w:val="0"/>
                                      <w:marTop w:val="0"/>
                                      <w:marBottom w:val="0"/>
                                      <w:divBdr>
                                        <w:top w:val="none" w:sz="0" w:space="0" w:color="auto"/>
                                        <w:left w:val="none" w:sz="0" w:space="0" w:color="auto"/>
                                        <w:bottom w:val="none" w:sz="0" w:space="0" w:color="auto"/>
                                        <w:right w:val="none" w:sz="0" w:space="0" w:color="auto"/>
                                      </w:divBdr>
                                      <w:divsChild>
                                        <w:div w:id="1802070390">
                                          <w:marLeft w:val="0"/>
                                          <w:marRight w:val="0"/>
                                          <w:marTop w:val="0"/>
                                          <w:marBottom w:val="0"/>
                                          <w:divBdr>
                                            <w:top w:val="none" w:sz="0" w:space="0" w:color="auto"/>
                                            <w:left w:val="none" w:sz="0" w:space="0" w:color="auto"/>
                                            <w:bottom w:val="none" w:sz="0" w:space="0" w:color="auto"/>
                                            <w:right w:val="none" w:sz="0" w:space="0" w:color="auto"/>
                                          </w:divBdr>
                                          <w:divsChild>
                                            <w:div w:id="1830367163">
                                              <w:marLeft w:val="0"/>
                                              <w:marRight w:val="0"/>
                                              <w:marTop w:val="0"/>
                                              <w:marBottom w:val="0"/>
                                              <w:divBdr>
                                                <w:top w:val="none" w:sz="0" w:space="0" w:color="auto"/>
                                                <w:left w:val="none" w:sz="0" w:space="0" w:color="auto"/>
                                                <w:bottom w:val="none" w:sz="0" w:space="0" w:color="auto"/>
                                                <w:right w:val="none" w:sz="0" w:space="0" w:color="auto"/>
                                              </w:divBdr>
                                              <w:divsChild>
                                                <w:div w:id="2130119487">
                                                  <w:marLeft w:val="0"/>
                                                  <w:marRight w:val="0"/>
                                                  <w:marTop w:val="0"/>
                                                  <w:marBottom w:val="0"/>
                                                  <w:divBdr>
                                                    <w:top w:val="none" w:sz="0" w:space="0" w:color="auto"/>
                                                    <w:left w:val="none" w:sz="0" w:space="0" w:color="auto"/>
                                                    <w:bottom w:val="none" w:sz="0" w:space="0" w:color="auto"/>
                                                    <w:right w:val="none" w:sz="0" w:space="0" w:color="auto"/>
                                                  </w:divBdr>
                                                  <w:divsChild>
                                                    <w:div w:id="303199544">
                                                      <w:marLeft w:val="0"/>
                                                      <w:marRight w:val="0"/>
                                                      <w:marTop w:val="0"/>
                                                      <w:marBottom w:val="0"/>
                                                      <w:divBdr>
                                                        <w:top w:val="none" w:sz="0" w:space="0" w:color="auto"/>
                                                        <w:left w:val="none" w:sz="0" w:space="0" w:color="auto"/>
                                                        <w:bottom w:val="none" w:sz="0" w:space="0" w:color="auto"/>
                                                        <w:right w:val="none" w:sz="0" w:space="0" w:color="auto"/>
                                                      </w:divBdr>
                                                      <w:divsChild>
                                                        <w:div w:id="5820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522954">
      <w:bodyDiv w:val="1"/>
      <w:marLeft w:val="0"/>
      <w:marRight w:val="0"/>
      <w:marTop w:val="0"/>
      <w:marBottom w:val="0"/>
      <w:divBdr>
        <w:top w:val="none" w:sz="0" w:space="0" w:color="auto"/>
        <w:left w:val="none" w:sz="0" w:space="0" w:color="auto"/>
        <w:bottom w:val="none" w:sz="0" w:space="0" w:color="auto"/>
        <w:right w:val="none" w:sz="0" w:space="0" w:color="auto"/>
      </w:divBdr>
    </w:div>
    <w:div w:id="455486349">
      <w:bodyDiv w:val="1"/>
      <w:marLeft w:val="0"/>
      <w:marRight w:val="0"/>
      <w:marTop w:val="0"/>
      <w:marBottom w:val="0"/>
      <w:divBdr>
        <w:top w:val="none" w:sz="0" w:space="0" w:color="auto"/>
        <w:left w:val="none" w:sz="0" w:space="0" w:color="auto"/>
        <w:bottom w:val="none" w:sz="0" w:space="0" w:color="auto"/>
        <w:right w:val="none" w:sz="0" w:space="0" w:color="auto"/>
      </w:divBdr>
    </w:div>
    <w:div w:id="464810751">
      <w:bodyDiv w:val="1"/>
      <w:marLeft w:val="0"/>
      <w:marRight w:val="0"/>
      <w:marTop w:val="0"/>
      <w:marBottom w:val="0"/>
      <w:divBdr>
        <w:top w:val="none" w:sz="0" w:space="0" w:color="auto"/>
        <w:left w:val="none" w:sz="0" w:space="0" w:color="auto"/>
        <w:bottom w:val="none" w:sz="0" w:space="0" w:color="auto"/>
        <w:right w:val="none" w:sz="0" w:space="0" w:color="auto"/>
      </w:divBdr>
    </w:div>
    <w:div w:id="481700257">
      <w:bodyDiv w:val="1"/>
      <w:marLeft w:val="0"/>
      <w:marRight w:val="0"/>
      <w:marTop w:val="0"/>
      <w:marBottom w:val="0"/>
      <w:divBdr>
        <w:top w:val="none" w:sz="0" w:space="0" w:color="auto"/>
        <w:left w:val="none" w:sz="0" w:space="0" w:color="auto"/>
        <w:bottom w:val="none" w:sz="0" w:space="0" w:color="auto"/>
        <w:right w:val="none" w:sz="0" w:space="0" w:color="auto"/>
      </w:divBdr>
      <w:divsChild>
        <w:div w:id="1182204899">
          <w:marLeft w:val="0"/>
          <w:marRight w:val="0"/>
          <w:marTop w:val="0"/>
          <w:marBottom w:val="0"/>
          <w:divBdr>
            <w:top w:val="none" w:sz="0" w:space="0" w:color="auto"/>
            <w:left w:val="none" w:sz="0" w:space="0" w:color="auto"/>
            <w:bottom w:val="none" w:sz="0" w:space="0" w:color="auto"/>
            <w:right w:val="none" w:sz="0" w:space="0" w:color="auto"/>
          </w:divBdr>
        </w:div>
      </w:divsChild>
    </w:div>
    <w:div w:id="520896743">
      <w:bodyDiv w:val="1"/>
      <w:marLeft w:val="0"/>
      <w:marRight w:val="0"/>
      <w:marTop w:val="0"/>
      <w:marBottom w:val="0"/>
      <w:divBdr>
        <w:top w:val="none" w:sz="0" w:space="0" w:color="auto"/>
        <w:left w:val="none" w:sz="0" w:space="0" w:color="auto"/>
        <w:bottom w:val="none" w:sz="0" w:space="0" w:color="auto"/>
        <w:right w:val="none" w:sz="0" w:space="0" w:color="auto"/>
      </w:divBdr>
    </w:div>
    <w:div w:id="547960474">
      <w:bodyDiv w:val="1"/>
      <w:marLeft w:val="0"/>
      <w:marRight w:val="0"/>
      <w:marTop w:val="0"/>
      <w:marBottom w:val="0"/>
      <w:divBdr>
        <w:top w:val="none" w:sz="0" w:space="0" w:color="auto"/>
        <w:left w:val="none" w:sz="0" w:space="0" w:color="auto"/>
        <w:bottom w:val="none" w:sz="0" w:space="0" w:color="auto"/>
        <w:right w:val="none" w:sz="0" w:space="0" w:color="auto"/>
      </w:divBdr>
    </w:div>
    <w:div w:id="557933365">
      <w:bodyDiv w:val="1"/>
      <w:marLeft w:val="0"/>
      <w:marRight w:val="0"/>
      <w:marTop w:val="0"/>
      <w:marBottom w:val="0"/>
      <w:divBdr>
        <w:top w:val="none" w:sz="0" w:space="0" w:color="auto"/>
        <w:left w:val="none" w:sz="0" w:space="0" w:color="auto"/>
        <w:bottom w:val="none" w:sz="0" w:space="0" w:color="auto"/>
        <w:right w:val="none" w:sz="0" w:space="0" w:color="auto"/>
      </w:divBdr>
    </w:div>
    <w:div w:id="583611644">
      <w:bodyDiv w:val="1"/>
      <w:marLeft w:val="0"/>
      <w:marRight w:val="0"/>
      <w:marTop w:val="0"/>
      <w:marBottom w:val="0"/>
      <w:divBdr>
        <w:top w:val="none" w:sz="0" w:space="0" w:color="auto"/>
        <w:left w:val="none" w:sz="0" w:space="0" w:color="auto"/>
        <w:bottom w:val="none" w:sz="0" w:space="0" w:color="auto"/>
        <w:right w:val="none" w:sz="0" w:space="0" w:color="auto"/>
      </w:divBdr>
    </w:div>
    <w:div w:id="585575519">
      <w:bodyDiv w:val="1"/>
      <w:marLeft w:val="0"/>
      <w:marRight w:val="0"/>
      <w:marTop w:val="0"/>
      <w:marBottom w:val="0"/>
      <w:divBdr>
        <w:top w:val="none" w:sz="0" w:space="0" w:color="auto"/>
        <w:left w:val="none" w:sz="0" w:space="0" w:color="auto"/>
        <w:bottom w:val="none" w:sz="0" w:space="0" w:color="auto"/>
        <w:right w:val="none" w:sz="0" w:space="0" w:color="auto"/>
      </w:divBdr>
    </w:div>
    <w:div w:id="590315193">
      <w:bodyDiv w:val="1"/>
      <w:marLeft w:val="0"/>
      <w:marRight w:val="0"/>
      <w:marTop w:val="0"/>
      <w:marBottom w:val="0"/>
      <w:divBdr>
        <w:top w:val="none" w:sz="0" w:space="0" w:color="auto"/>
        <w:left w:val="none" w:sz="0" w:space="0" w:color="auto"/>
        <w:bottom w:val="none" w:sz="0" w:space="0" w:color="auto"/>
        <w:right w:val="none" w:sz="0" w:space="0" w:color="auto"/>
      </w:divBdr>
    </w:div>
    <w:div w:id="608196165">
      <w:bodyDiv w:val="1"/>
      <w:marLeft w:val="0"/>
      <w:marRight w:val="0"/>
      <w:marTop w:val="0"/>
      <w:marBottom w:val="0"/>
      <w:divBdr>
        <w:top w:val="none" w:sz="0" w:space="0" w:color="auto"/>
        <w:left w:val="none" w:sz="0" w:space="0" w:color="auto"/>
        <w:bottom w:val="none" w:sz="0" w:space="0" w:color="auto"/>
        <w:right w:val="none" w:sz="0" w:space="0" w:color="auto"/>
      </w:divBdr>
    </w:div>
    <w:div w:id="613053741">
      <w:bodyDiv w:val="1"/>
      <w:marLeft w:val="0"/>
      <w:marRight w:val="0"/>
      <w:marTop w:val="0"/>
      <w:marBottom w:val="0"/>
      <w:divBdr>
        <w:top w:val="none" w:sz="0" w:space="0" w:color="auto"/>
        <w:left w:val="none" w:sz="0" w:space="0" w:color="auto"/>
        <w:bottom w:val="none" w:sz="0" w:space="0" w:color="auto"/>
        <w:right w:val="none" w:sz="0" w:space="0" w:color="auto"/>
      </w:divBdr>
    </w:div>
    <w:div w:id="614362979">
      <w:bodyDiv w:val="1"/>
      <w:marLeft w:val="0"/>
      <w:marRight w:val="0"/>
      <w:marTop w:val="0"/>
      <w:marBottom w:val="0"/>
      <w:divBdr>
        <w:top w:val="none" w:sz="0" w:space="0" w:color="auto"/>
        <w:left w:val="none" w:sz="0" w:space="0" w:color="auto"/>
        <w:bottom w:val="none" w:sz="0" w:space="0" w:color="auto"/>
        <w:right w:val="none" w:sz="0" w:space="0" w:color="auto"/>
      </w:divBdr>
    </w:div>
    <w:div w:id="636374776">
      <w:bodyDiv w:val="1"/>
      <w:marLeft w:val="0"/>
      <w:marRight w:val="0"/>
      <w:marTop w:val="0"/>
      <w:marBottom w:val="0"/>
      <w:divBdr>
        <w:top w:val="none" w:sz="0" w:space="0" w:color="auto"/>
        <w:left w:val="none" w:sz="0" w:space="0" w:color="auto"/>
        <w:bottom w:val="none" w:sz="0" w:space="0" w:color="auto"/>
        <w:right w:val="none" w:sz="0" w:space="0" w:color="auto"/>
      </w:divBdr>
    </w:div>
    <w:div w:id="652832478">
      <w:bodyDiv w:val="1"/>
      <w:marLeft w:val="0"/>
      <w:marRight w:val="0"/>
      <w:marTop w:val="0"/>
      <w:marBottom w:val="0"/>
      <w:divBdr>
        <w:top w:val="none" w:sz="0" w:space="0" w:color="auto"/>
        <w:left w:val="none" w:sz="0" w:space="0" w:color="auto"/>
        <w:bottom w:val="none" w:sz="0" w:space="0" w:color="auto"/>
        <w:right w:val="none" w:sz="0" w:space="0" w:color="auto"/>
      </w:divBdr>
    </w:div>
    <w:div w:id="655378352">
      <w:bodyDiv w:val="1"/>
      <w:marLeft w:val="0"/>
      <w:marRight w:val="0"/>
      <w:marTop w:val="0"/>
      <w:marBottom w:val="0"/>
      <w:divBdr>
        <w:top w:val="none" w:sz="0" w:space="0" w:color="auto"/>
        <w:left w:val="none" w:sz="0" w:space="0" w:color="auto"/>
        <w:bottom w:val="none" w:sz="0" w:space="0" w:color="auto"/>
        <w:right w:val="none" w:sz="0" w:space="0" w:color="auto"/>
      </w:divBdr>
    </w:div>
    <w:div w:id="659386735">
      <w:bodyDiv w:val="1"/>
      <w:marLeft w:val="0"/>
      <w:marRight w:val="0"/>
      <w:marTop w:val="0"/>
      <w:marBottom w:val="0"/>
      <w:divBdr>
        <w:top w:val="none" w:sz="0" w:space="0" w:color="auto"/>
        <w:left w:val="none" w:sz="0" w:space="0" w:color="auto"/>
        <w:bottom w:val="none" w:sz="0" w:space="0" w:color="auto"/>
        <w:right w:val="none" w:sz="0" w:space="0" w:color="auto"/>
      </w:divBdr>
    </w:div>
    <w:div w:id="694235739">
      <w:bodyDiv w:val="1"/>
      <w:marLeft w:val="0"/>
      <w:marRight w:val="0"/>
      <w:marTop w:val="0"/>
      <w:marBottom w:val="0"/>
      <w:divBdr>
        <w:top w:val="none" w:sz="0" w:space="0" w:color="auto"/>
        <w:left w:val="none" w:sz="0" w:space="0" w:color="auto"/>
        <w:bottom w:val="none" w:sz="0" w:space="0" w:color="auto"/>
        <w:right w:val="none" w:sz="0" w:space="0" w:color="auto"/>
      </w:divBdr>
    </w:div>
    <w:div w:id="721908306">
      <w:bodyDiv w:val="1"/>
      <w:marLeft w:val="0"/>
      <w:marRight w:val="0"/>
      <w:marTop w:val="0"/>
      <w:marBottom w:val="0"/>
      <w:divBdr>
        <w:top w:val="none" w:sz="0" w:space="0" w:color="auto"/>
        <w:left w:val="none" w:sz="0" w:space="0" w:color="auto"/>
        <w:bottom w:val="none" w:sz="0" w:space="0" w:color="auto"/>
        <w:right w:val="none" w:sz="0" w:space="0" w:color="auto"/>
      </w:divBdr>
    </w:div>
    <w:div w:id="726076303">
      <w:bodyDiv w:val="1"/>
      <w:marLeft w:val="0"/>
      <w:marRight w:val="0"/>
      <w:marTop w:val="0"/>
      <w:marBottom w:val="0"/>
      <w:divBdr>
        <w:top w:val="none" w:sz="0" w:space="0" w:color="auto"/>
        <w:left w:val="none" w:sz="0" w:space="0" w:color="auto"/>
        <w:bottom w:val="none" w:sz="0" w:space="0" w:color="auto"/>
        <w:right w:val="none" w:sz="0" w:space="0" w:color="auto"/>
      </w:divBdr>
    </w:div>
    <w:div w:id="754592841">
      <w:bodyDiv w:val="1"/>
      <w:marLeft w:val="0"/>
      <w:marRight w:val="0"/>
      <w:marTop w:val="0"/>
      <w:marBottom w:val="0"/>
      <w:divBdr>
        <w:top w:val="none" w:sz="0" w:space="0" w:color="auto"/>
        <w:left w:val="none" w:sz="0" w:space="0" w:color="auto"/>
        <w:bottom w:val="none" w:sz="0" w:space="0" w:color="auto"/>
        <w:right w:val="none" w:sz="0" w:space="0" w:color="auto"/>
      </w:divBdr>
    </w:div>
    <w:div w:id="758522514">
      <w:bodyDiv w:val="1"/>
      <w:marLeft w:val="0"/>
      <w:marRight w:val="0"/>
      <w:marTop w:val="0"/>
      <w:marBottom w:val="0"/>
      <w:divBdr>
        <w:top w:val="none" w:sz="0" w:space="0" w:color="auto"/>
        <w:left w:val="none" w:sz="0" w:space="0" w:color="auto"/>
        <w:bottom w:val="none" w:sz="0" w:space="0" w:color="auto"/>
        <w:right w:val="none" w:sz="0" w:space="0" w:color="auto"/>
      </w:divBdr>
    </w:div>
    <w:div w:id="787972051">
      <w:bodyDiv w:val="1"/>
      <w:marLeft w:val="0"/>
      <w:marRight w:val="0"/>
      <w:marTop w:val="0"/>
      <w:marBottom w:val="0"/>
      <w:divBdr>
        <w:top w:val="none" w:sz="0" w:space="0" w:color="auto"/>
        <w:left w:val="none" w:sz="0" w:space="0" w:color="auto"/>
        <w:bottom w:val="none" w:sz="0" w:space="0" w:color="auto"/>
        <w:right w:val="none" w:sz="0" w:space="0" w:color="auto"/>
      </w:divBdr>
    </w:div>
    <w:div w:id="816844433">
      <w:bodyDiv w:val="1"/>
      <w:marLeft w:val="0"/>
      <w:marRight w:val="0"/>
      <w:marTop w:val="0"/>
      <w:marBottom w:val="0"/>
      <w:divBdr>
        <w:top w:val="none" w:sz="0" w:space="0" w:color="auto"/>
        <w:left w:val="none" w:sz="0" w:space="0" w:color="auto"/>
        <w:bottom w:val="none" w:sz="0" w:space="0" w:color="auto"/>
        <w:right w:val="none" w:sz="0" w:space="0" w:color="auto"/>
      </w:divBdr>
    </w:div>
    <w:div w:id="840125439">
      <w:bodyDiv w:val="1"/>
      <w:marLeft w:val="0"/>
      <w:marRight w:val="0"/>
      <w:marTop w:val="0"/>
      <w:marBottom w:val="0"/>
      <w:divBdr>
        <w:top w:val="none" w:sz="0" w:space="0" w:color="auto"/>
        <w:left w:val="none" w:sz="0" w:space="0" w:color="auto"/>
        <w:bottom w:val="none" w:sz="0" w:space="0" w:color="auto"/>
        <w:right w:val="none" w:sz="0" w:space="0" w:color="auto"/>
      </w:divBdr>
    </w:div>
    <w:div w:id="866989229">
      <w:bodyDiv w:val="1"/>
      <w:marLeft w:val="0"/>
      <w:marRight w:val="0"/>
      <w:marTop w:val="0"/>
      <w:marBottom w:val="0"/>
      <w:divBdr>
        <w:top w:val="none" w:sz="0" w:space="0" w:color="auto"/>
        <w:left w:val="none" w:sz="0" w:space="0" w:color="auto"/>
        <w:bottom w:val="none" w:sz="0" w:space="0" w:color="auto"/>
        <w:right w:val="none" w:sz="0" w:space="0" w:color="auto"/>
      </w:divBdr>
      <w:divsChild>
        <w:div w:id="868689605">
          <w:marLeft w:val="0"/>
          <w:marRight w:val="0"/>
          <w:marTop w:val="0"/>
          <w:marBottom w:val="0"/>
          <w:divBdr>
            <w:top w:val="none" w:sz="0" w:space="0" w:color="auto"/>
            <w:left w:val="none" w:sz="0" w:space="0" w:color="auto"/>
            <w:bottom w:val="none" w:sz="0" w:space="0" w:color="auto"/>
            <w:right w:val="none" w:sz="0" w:space="0" w:color="auto"/>
          </w:divBdr>
        </w:div>
        <w:div w:id="1323585573">
          <w:marLeft w:val="0"/>
          <w:marRight w:val="0"/>
          <w:marTop w:val="0"/>
          <w:marBottom w:val="0"/>
          <w:divBdr>
            <w:top w:val="none" w:sz="0" w:space="0" w:color="auto"/>
            <w:left w:val="none" w:sz="0" w:space="0" w:color="auto"/>
            <w:bottom w:val="none" w:sz="0" w:space="0" w:color="auto"/>
            <w:right w:val="none" w:sz="0" w:space="0" w:color="auto"/>
          </w:divBdr>
        </w:div>
      </w:divsChild>
    </w:div>
    <w:div w:id="876699130">
      <w:bodyDiv w:val="1"/>
      <w:marLeft w:val="0"/>
      <w:marRight w:val="0"/>
      <w:marTop w:val="0"/>
      <w:marBottom w:val="0"/>
      <w:divBdr>
        <w:top w:val="none" w:sz="0" w:space="0" w:color="auto"/>
        <w:left w:val="none" w:sz="0" w:space="0" w:color="auto"/>
        <w:bottom w:val="none" w:sz="0" w:space="0" w:color="auto"/>
        <w:right w:val="none" w:sz="0" w:space="0" w:color="auto"/>
      </w:divBdr>
    </w:div>
    <w:div w:id="899554167">
      <w:bodyDiv w:val="1"/>
      <w:marLeft w:val="0"/>
      <w:marRight w:val="0"/>
      <w:marTop w:val="0"/>
      <w:marBottom w:val="0"/>
      <w:divBdr>
        <w:top w:val="none" w:sz="0" w:space="0" w:color="auto"/>
        <w:left w:val="none" w:sz="0" w:space="0" w:color="auto"/>
        <w:bottom w:val="none" w:sz="0" w:space="0" w:color="auto"/>
        <w:right w:val="none" w:sz="0" w:space="0" w:color="auto"/>
      </w:divBdr>
    </w:div>
    <w:div w:id="942348977">
      <w:bodyDiv w:val="1"/>
      <w:marLeft w:val="0"/>
      <w:marRight w:val="0"/>
      <w:marTop w:val="0"/>
      <w:marBottom w:val="0"/>
      <w:divBdr>
        <w:top w:val="none" w:sz="0" w:space="0" w:color="auto"/>
        <w:left w:val="none" w:sz="0" w:space="0" w:color="auto"/>
        <w:bottom w:val="none" w:sz="0" w:space="0" w:color="auto"/>
        <w:right w:val="none" w:sz="0" w:space="0" w:color="auto"/>
      </w:divBdr>
    </w:div>
    <w:div w:id="948700676">
      <w:bodyDiv w:val="1"/>
      <w:marLeft w:val="0"/>
      <w:marRight w:val="0"/>
      <w:marTop w:val="0"/>
      <w:marBottom w:val="0"/>
      <w:divBdr>
        <w:top w:val="none" w:sz="0" w:space="0" w:color="auto"/>
        <w:left w:val="none" w:sz="0" w:space="0" w:color="auto"/>
        <w:bottom w:val="none" w:sz="0" w:space="0" w:color="auto"/>
        <w:right w:val="none" w:sz="0" w:space="0" w:color="auto"/>
      </w:divBdr>
    </w:div>
    <w:div w:id="960186099">
      <w:bodyDiv w:val="1"/>
      <w:marLeft w:val="0"/>
      <w:marRight w:val="0"/>
      <w:marTop w:val="0"/>
      <w:marBottom w:val="0"/>
      <w:divBdr>
        <w:top w:val="none" w:sz="0" w:space="0" w:color="auto"/>
        <w:left w:val="none" w:sz="0" w:space="0" w:color="auto"/>
        <w:bottom w:val="none" w:sz="0" w:space="0" w:color="auto"/>
        <w:right w:val="none" w:sz="0" w:space="0" w:color="auto"/>
      </w:divBdr>
    </w:div>
    <w:div w:id="977997711">
      <w:bodyDiv w:val="1"/>
      <w:marLeft w:val="0"/>
      <w:marRight w:val="0"/>
      <w:marTop w:val="0"/>
      <w:marBottom w:val="0"/>
      <w:divBdr>
        <w:top w:val="none" w:sz="0" w:space="0" w:color="auto"/>
        <w:left w:val="none" w:sz="0" w:space="0" w:color="auto"/>
        <w:bottom w:val="none" w:sz="0" w:space="0" w:color="auto"/>
        <w:right w:val="none" w:sz="0" w:space="0" w:color="auto"/>
      </w:divBdr>
    </w:div>
    <w:div w:id="982463500">
      <w:bodyDiv w:val="1"/>
      <w:marLeft w:val="0"/>
      <w:marRight w:val="0"/>
      <w:marTop w:val="0"/>
      <w:marBottom w:val="0"/>
      <w:divBdr>
        <w:top w:val="none" w:sz="0" w:space="0" w:color="auto"/>
        <w:left w:val="none" w:sz="0" w:space="0" w:color="auto"/>
        <w:bottom w:val="none" w:sz="0" w:space="0" w:color="auto"/>
        <w:right w:val="none" w:sz="0" w:space="0" w:color="auto"/>
      </w:divBdr>
      <w:divsChild>
        <w:div w:id="497579618">
          <w:marLeft w:val="0"/>
          <w:marRight w:val="0"/>
          <w:marTop w:val="0"/>
          <w:marBottom w:val="0"/>
          <w:divBdr>
            <w:top w:val="none" w:sz="0" w:space="0" w:color="auto"/>
            <w:left w:val="none" w:sz="0" w:space="0" w:color="auto"/>
            <w:bottom w:val="none" w:sz="0" w:space="0" w:color="auto"/>
            <w:right w:val="none" w:sz="0" w:space="0" w:color="auto"/>
          </w:divBdr>
        </w:div>
        <w:div w:id="1634674671">
          <w:marLeft w:val="0"/>
          <w:marRight w:val="0"/>
          <w:marTop w:val="0"/>
          <w:marBottom w:val="0"/>
          <w:divBdr>
            <w:top w:val="none" w:sz="0" w:space="0" w:color="auto"/>
            <w:left w:val="none" w:sz="0" w:space="0" w:color="auto"/>
            <w:bottom w:val="none" w:sz="0" w:space="0" w:color="auto"/>
            <w:right w:val="none" w:sz="0" w:space="0" w:color="auto"/>
          </w:divBdr>
        </w:div>
      </w:divsChild>
    </w:div>
    <w:div w:id="987250224">
      <w:bodyDiv w:val="1"/>
      <w:marLeft w:val="0"/>
      <w:marRight w:val="0"/>
      <w:marTop w:val="0"/>
      <w:marBottom w:val="0"/>
      <w:divBdr>
        <w:top w:val="none" w:sz="0" w:space="0" w:color="auto"/>
        <w:left w:val="none" w:sz="0" w:space="0" w:color="auto"/>
        <w:bottom w:val="none" w:sz="0" w:space="0" w:color="auto"/>
        <w:right w:val="none" w:sz="0" w:space="0" w:color="auto"/>
      </w:divBdr>
    </w:div>
    <w:div w:id="1039285132">
      <w:bodyDiv w:val="1"/>
      <w:marLeft w:val="0"/>
      <w:marRight w:val="0"/>
      <w:marTop w:val="0"/>
      <w:marBottom w:val="0"/>
      <w:divBdr>
        <w:top w:val="none" w:sz="0" w:space="0" w:color="auto"/>
        <w:left w:val="none" w:sz="0" w:space="0" w:color="auto"/>
        <w:bottom w:val="none" w:sz="0" w:space="0" w:color="auto"/>
        <w:right w:val="none" w:sz="0" w:space="0" w:color="auto"/>
      </w:divBdr>
    </w:div>
    <w:div w:id="1041174718">
      <w:bodyDiv w:val="1"/>
      <w:marLeft w:val="0"/>
      <w:marRight w:val="0"/>
      <w:marTop w:val="0"/>
      <w:marBottom w:val="0"/>
      <w:divBdr>
        <w:top w:val="none" w:sz="0" w:space="0" w:color="auto"/>
        <w:left w:val="none" w:sz="0" w:space="0" w:color="auto"/>
        <w:bottom w:val="none" w:sz="0" w:space="0" w:color="auto"/>
        <w:right w:val="none" w:sz="0" w:space="0" w:color="auto"/>
      </w:divBdr>
    </w:div>
    <w:div w:id="1086998721">
      <w:bodyDiv w:val="1"/>
      <w:marLeft w:val="0"/>
      <w:marRight w:val="0"/>
      <w:marTop w:val="0"/>
      <w:marBottom w:val="0"/>
      <w:divBdr>
        <w:top w:val="none" w:sz="0" w:space="0" w:color="auto"/>
        <w:left w:val="none" w:sz="0" w:space="0" w:color="auto"/>
        <w:bottom w:val="none" w:sz="0" w:space="0" w:color="auto"/>
        <w:right w:val="none" w:sz="0" w:space="0" w:color="auto"/>
      </w:divBdr>
    </w:div>
    <w:div w:id="1098410796">
      <w:bodyDiv w:val="1"/>
      <w:marLeft w:val="0"/>
      <w:marRight w:val="0"/>
      <w:marTop w:val="0"/>
      <w:marBottom w:val="0"/>
      <w:divBdr>
        <w:top w:val="none" w:sz="0" w:space="0" w:color="auto"/>
        <w:left w:val="none" w:sz="0" w:space="0" w:color="auto"/>
        <w:bottom w:val="none" w:sz="0" w:space="0" w:color="auto"/>
        <w:right w:val="none" w:sz="0" w:space="0" w:color="auto"/>
      </w:divBdr>
    </w:div>
    <w:div w:id="1122505577">
      <w:bodyDiv w:val="1"/>
      <w:marLeft w:val="0"/>
      <w:marRight w:val="0"/>
      <w:marTop w:val="0"/>
      <w:marBottom w:val="0"/>
      <w:divBdr>
        <w:top w:val="none" w:sz="0" w:space="0" w:color="auto"/>
        <w:left w:val="none" w:sz="0" w:space="0" w:color="auto"/>
        <w:bottom w:val="none" w:sz="0" w:space="0" w:color="auto"/>
        <w:right w:val="none" w:sz="0" w:space="0" w:color="auto"/>
      </w:divBdr>
    </w:div>
    <w:div w:id="1131242827">
      <w:bodyDiv w:val="1"/>
      <w:marLeft w:val="0"/>
      <w:marRight w:val="0"/>
      <w:marTop w:val="0"/>
      <w:marBottom w:val="0"/>
      <w:divBdr>
        <w:top w:val="none" w:sz="0" w:space="0" w:color="auto"/>
        <w:left w:val="none" w:sz="0" w:space="0" w:color="auto"/>
        <w:bottom w:val="none" w:sz="0" w:space="0" w:color="auto"/>
        <w:right w:val="none" w:sz="0" w:space="0" w:color="auto"/>
      </w:divBdr>
    </w:div>
    <w:div w:id="1138111016">
      <w:bodyDiv w:val="1"/>
      <w:marLeft w:val="0"/>
      <w:marRight w:val="0"/>
      <w:marTop w:val="0"/>
      <w:marBottom w:val="0"/>
      <w:divBdr>
        <w:top w:val="none" w:sz="0" w:space="0" w:color="auto"/>
        <w:left w:val="none" w:sz="0" w:space="0" w:color="auto"/>
        <w:bottom w:val="none" w:sz="0" w:space="0" w:color="auto"/>
        <w:right w:val="none" w:sz="0" w:space="0" w:color="auto"/>
      </w:divBdr>
    </w:div>
    <w:div w:id="1149710186">
      <w:bodyDiv w:val="1"/>
      <w:marLeft w:val="0"/>
      <w:marRight w:val="0"/>
      <w:marTop w:val="0"/>
      <w:marBottom w:val="0"/>
      <w:divBdr>
        <w:top w:val="none" w:sz="0" w:space="0" w:color="auto"/>
        <w:left w:val="none" w:sz="0" w:space="0" w:color="auto"/>
        <w:bottom w:val="none" w:sz="0" w:space="0" w:color="auto"/>
        <w:right w:val="none" w:sz="0" w:space="0" w:color="auto"/>
      </w:divBdr>
    </w:div>
    <w:div w:id="1164513888">
      <w:bodyDiv w:val="1"/>
      <w:marLeft w:val="0"/>
      <w:marRight w:val="0"/>
      <w:marTop w:val="0"/>
      <w:marBottom w:val="0"/>
      <w:divBdr>
        <w:top w:val="none" w:sz="0" w:space="0" w:color="auto"/>
        <w:left w:val="none" w:sz="0" w:space="0" w:color="auto"/>
        <w:bottom w:val="none" w:sz="0" w:space="0" w:color="auto"/>
        <w:right w:val="none" w:sz="0" w:space="0" w:color="auto"/>
      </w:divBdr>
    </w:div>
    <w:div w:id="1171026879">
      <w:bodyDiv w:val="1"/>
      <w:marLeft w:val="0"/>
      <w:marRight w:val="0"/>
      <w:marTop w:val="0"/>
      <w:marBottom w:val="0"/>
      <w:divBdr>
        <w:top w:val="none" w:sz="0" w:space="0" w:color="auto"/>
        <w:left w:val="none" w:sz="0" w:space="0" w:color="auto"/>
        <w:bottom w:val="none" w:sz="0" w:space="0" w:color="auto"/>
        <w:right w:val="none" w:sz="0" w:space="0" w:color="auto"/>
      </w:divBdr>
    </w:div>
    <w:div w:id="1213812871">
      <w:bodyDiv w:val="1"/>
      <w:marLeft w:val="0"/>
      <w:marRight w:val="0"/>
      <w:marTop w:val="0"/>
      <w:marBottom w:val="0"/>
      <w:divBdr>
        <w:top w:val="none" w:sz="0" w:space="0" w:color="auto"/>
        <w:left w:val="none" w:sz="0" w:space="0" w:color="auto"/>
        <w:bottom w:val="none" w:sz="0" w:space="0" w:color="auto"/>
        <w:right w:val="none" w:sz="0" w:space="0" w:color="auto"/>
      </w:divBdr>
    </w:div>
    <w:div w:id="1220943701">
      <w:bodyDiv w:val="1"/>
      <w:marLeft w:val="0"/>
      <w:marRight w:val="0"/>
      <w:marTop w:val="0"/>
      <w:marBottom w:val="0"/>
      <w:divBdr>
        <w:top w:val="none" w:sz="0" w:space="0" w:color="auto"/>
        <w:left w:val="none" w:sz="0" w:space="0" w:color="auto"/>
        <w:bottom w:val="none" w:sz="0" w:space="0" w:color="auto"/>
        <w:right w:val="none" w:sz="0" w:space="0" w:color="auto"/>
      </w:divBdr>
    </w:div>
    <w:div w:id="1221792159">
      <w:bodyDiv w:val="1"/>
      <w:marLeft w:val="0"/>
      <w:marRight w:val="0"/>
      <w:marTop w:val="0"/>
      <w:marBottom w:val="0"/>
      <w:divBdr>
        <w:top w:val="none" w:sz="0" w:space="0" w:color="auto"/>
        <w:left w:val="none" w:sz="0" w:space="0" w:color="auto"/>
        <w:bottom w:val="none" w:sz="0" w:space="0" w:color="auto"/>
        <w:right w:val="none" w:sz="0" w:space="0" w:color="auto"/>
      </w:divBdr>
    </w:div>
    <w:div w:id="1231235650">
      <w:bodyDiv w:val="1"/>
      <w:marLeft w:val="0"/>
      <w:marRight w:val="0"/>
      <w:marTop w:val="0"/>
      <w:marBottom w:val="0"/>
      <w:divBdr>
        <w:top w:val="none" w:sz="0" w:space="0" w:color="auto"/>
        <w:left w:val="none" w:sz="0" w:space="0" w:color="auto"/>
        <w:bottom w:val="none" w:sz="0" w:space="0" w:color="auto"/>
        <w:right w:val="none" w:sz="0" w:space="0" w:color="auto"/>
      </w:divBdr>
    </w:div>
    <w:div w:id="1269387601">
      <w:bodyDiv w:val="1"/>
      <w:marLeft w:val="0"/>
      <w:marRight w:val="0"/>
      <w:marTop w:val="0"/>
      <w:marBottom w:val="0"/>
      <w:divBdr>
        <w:top w:val="none" w:sz="0" w:space="0" w:color="auto"/>
        <w:left w:val="none" w:sz="0" w:space="0" w:color="auto"/>
        <w:bottom w:val="none" w:sz="0" w:space="0" w:color="auto"/>
        <w:right w:val="none" w:sz="0" w:space="0" w:color="auto"/>
      </w:divBdr>
    </w:div>
    <w:div w:id="1273780314">
      <w:bodyDiv w:val="1"/>
      <w:marLeft w:val="0"/>
      <w:marRight w:val="0"/>
      <w:marTop w:val="0"/>
      <w:marBottom w:val="0"/>
      <w:divBdr>
        <w:top w:val="none" w:sz="0" w:space="0" w:color="auto"/>
        <w:left w:val="none" w:sz="0" w:space="0" w:color="auto"/>
        <w:bottom w:val="none" w:sz="0" w:space="0" w:color="auto"/>
        <w:right w:val="none" w:sz="0" w:space="0" w:color="auto"/>
      </w:divBdr>
    </w:div>
    <w:div w:id="1278676633">
      <w:bodyDiv w:val="1"/>
      <w:marLeft w:val="0"/>
      <w:marRight w:val="0"/>
      <w:marTop w:val="0"/>
      <w:marBottom w:val="0"/>
      <w:divBdr>
        <w:top w:val="none" w:sz="0" w:space="0" w:color="auto"/>
        <w:left w:val="none" w:sz="0" w:space="0" w:color="auto"/>
        <w:bottom w:val="none" w:sz="0" w:space="0" w:color="auto"/>
        <w:right w:val="none" w:sz="0" w:space="0" w:color="auto"/>
      </w:divBdr>
    </w:div>
    <w:div w:id="1279340401">
      <w:bodyDiv w:val="1"/>
      <w:marLeft w:val="0"/>
      <w:marRight w:val="0"/>
      <w:marTop w:val="0"/>
      <w:marBottom w:val="0"/>
      <w:divBdr>
        <w:top w:val="none" w:sz="0" w:space="0" w:color="auto"/>
        <w:left w:val="none" w:sz="0" w:space="0" w:color="auto"/>
        <w:bottom w:val="none" w:sz="0" w:space="0" w:color="auto"/>
        <w:right w:val="none" w:sz="0" w:space="0" w:color="auto"/>
      </w:divBdr>
    </w:div>
    <w:div w:id="1291325522">
      <w:bodyDiv w:val="1"/>
      <w:marLeft w:val="0"/>
      <w:marRight w:val="0"/>
      <w:marTop w:val="0"/>
      <w:marBottom w:val="0"/>
      <w:divBdr>
        <w:top w:val="none" w:sz="0" w:space="0" w:color="auto"/>
        <w:left w:val="none" w:sz="0" w:space="0" w:color="auto"/>
        <w:bottom w:val="none" w:sz="0" w:space="0" w:color="auto"/>
        <w:right w:val="none" w:sz="0" w:space="0" w:color="auto"/>
      </w:divBdr>
    </w:div>
    <w:div w:id="1318995985">
      <w:bodyDiv w:val="1"/>
      <w:marLeft w:val="0"/>
      <w:marRight w:val="0"/>
      <w:marTop w:val="0"/>
      <w:marBottom w:val="0"/>
      <w:divBdr>
        <w:top w:val="none" w:sz="0" w:space="0" w:color="auto"/>
        <w:left w:val="none" w:sz="0" w:space="0" w:color="auto"/>
        <w:bottom w:val="none" w:sz="0" w:space="0" w:color="auto"/>
        <w:right w:val="none" w:sz="0" w:space="0" w:color="auto"/>
      </w:divBdr>
    </w:div>
    <w:div w:id="1328245646">
      <w:bodyDiv w:val="1"/>
      <w:marLeft w:val="0"/>
      <w:marRight w:val="0"/>
      <w:marTop w:val="0"/>
      <w:marBottom w:val="0"/>
      <w:divBdr>
        <w:top w:val="none" w:sz="0" w:space="0" w:color="auto"/>
        <w:left w:val="none" w:sz="0" w:space="0" w:color="auto"/>
        <w:bottom w:val="none" w:sz="0" w:space="0" w:color="auto"/>
        <w:right w:val="none" w:sz="0" w:space="0" w:color="auto"/>
      </w:divBdr>
      <w:divsChild>
        <w:div w:id="1143158026">
          <w:marLeft w:val="0"/>
          <w:marRight w:val="0"/>
          <w:marTop w:val="0"/>
          <w:marBottom w:val="0"/>
          <w:divBdr>
            <w:top w:val="none" w:sz="0" w:space="0" w:color="auto"/>
            <w:left w:val="none" w:sz="0" w:space="0" w:color="auto"/>
            <w:bottom w:val="none" w:sz="0" w:space="0" w:color="auto"/>
            <w:right w:val="none" w:sz="0" w:space="0" w:color="auto"/>
          </w:divBdr>
        </w:div>
      </w:divsChild>
    </w:div>
    <w:div w:id="1332953878">
      <w:bodyDiv w:val="1"/>
      <w:marLeft w:val="0"/>
      <w:marRight w:val="0"/>
      <w:marTop w:val="0"/>
      <w:marBottom w:val="0"/>
      <w:divBdr>
        <w:top w:val="none" w:sz="0" w:space="0" w:color="auto"/>
        <w:left w:val="none" w:sz="0" w:space="0" w:color="auto"/>
        <w:bottom w:val="none" w:sz="0" w:space="0" w:color="auto"/>
        <w:right w:val="none" w:sz="0" w:space="0" w:color="auto"/>
      </w:divBdr>
    </w:div>
    <w:div w:id="1334186568">
      <w:bodyDiv w:val="1"/>
      <w:marLeft w:val="0"/>
      <w:marRight w:val="0"/>
      <w:marTop w:val="0"/>
      <w:marBottom w:val="0"/>
      <w:divBdr>
        <w:top w:val="none" w:sz="0" w:space="0" w:color="auto"/>
        <w:left w:val="none" w:sz="0" w:space="0" w:color="auto"/>
        <w:bottom w:val="none" w:sz="0" w:space="0" w:color="auto"/>
        <w:right w:val="none" w:sz="0" w:space="0" w:color="auto"/>
      </w:divBdr>
    </w:div>
    <w:div w:id="1387410900">
      <w:bodyDiv w:val="1"/>
      <w:marLeft w:val="0"/>
      <w:marRight w:val="0"/>
      <w:marTop w:val="0"/>
      <w:marBottom w:val="0"/>
      <w:divBdr>
        <w:top w:val="none" w:sz="0" w:space="0" w:color="auto"/>
        <w:left w:val="none" w:sz="0" w:space="0" w:color="auto"/>
        <w:bottom w:val="none" w:sz="0" w:space="0" w:color="auto"/>
        <w:right w:val="none" w:sz="0" w:space="0" w:color="auto"/>
      </w:divBdr>
    </w:div>
    <w:div w:id="1452549292">
      <w:bodyDiv w:val="1"/>
      <w:marLeft w:val="0"/>
      <w:marRight w:val="0"/>
      <w:marTop w:val="0"/>
      <w:marBottom w:val="0"/>
      <w:divBdr>
        <w:top w:val="none" w:sz="0" w:space="0" w:color="auto"/>
        <w:left w:val="none" w:sz="0" w:space="0" w:color="auto"/>
        <w:bottom w:val="none" w:sz="0" w:space="0" w:color="auto"/>
        <w:right w:val="none" w:sz="0" w:space="0" w:color="auto"/>
      </w:divBdr>
    </w:div>
    <w:div w:id="1453590182">
      <w:bodyDiv w:val="1"/>
      <w:marLeft w:val="0"/>
      <w:marRight w:val="0"/>
      <w:marTop w:val="0"/>
      <w:marBottom w:val="0"/>
      <w:divBdr>
        <w:top w:val="none" w:sz="0" w:space="0" w:color="auto"/>
        <w:left w:val="none" w:sz="0" w:space="0" w:color="auto"/>
        <w:bottom w:val="none" w:sz="0" w:space="0" w:color="auto"/>
        <w:right w:val="none" w:sz="0" w:space="0" w:color="auto"/>
      </w:divBdr>
      <w:divsChild>
        <w:div w:id="1448740770">
          <w:marLeft w:val="0"/>
          <w:marRight w:val="0"/>
          <w:marTop w:val="0"/>
          <w:marBottom w:val="0"/>
          <w:divBdr>
            <w:top w:val="none" w:sz="0" w:space="0" w:color="auto"/>
            <w:left w:val="none" w:sz="0" w:space="0" w:color="auto"/>
            <w:bottom w:val="none" w:sz="0" w:space="0" w:color="auto"/>
            <w:right w:val="none" w:sz="0" w:space="0" w:color="auto"/>
          </w:divBdr>
          <w:divsChild>
            <w:div w:id="893928285">
              <w:marLeft w:val="0"/>
              <w:marRight w:val="0"/>
              <w:marTop w:val="0"/>
              <w:marBottom w:val="0"/>
              <w:divBdr>
                <w:top w:val="none" w:sz="0" w:space="0" w:color="auto"/>
                <w:left w:val="none" w:sz="0" w:space="0" w:color="auto"/>
                <w:bottom w:val="none" w:sz="0" w:space="0" w:color="auto"/>
                <w:right w:val="none" w:sz="0" w:space="0" w:color="auto"/>
              </w:divBdr>
              <w:divsChild>
                <w:div w:id="902569564">
                  <w:marLeft w:val="0"/>
                  <w:marRight w:val="0"/>
                  <w:marTop w:val="0"/>
                  <w:marBottom w:val="0"/>
                  <w:divBdr>
                    <w:top w:val="none" w:sz="0" w:space="0" w:color="auto"/>
                    <w:left w:val="none" w:sz="0" w:space="0" w:color="auto"/>
                    <w:bottom w:val="none" w:sz="0" w:space="0" w:color="auto"/>
                    <w:right w:val="none" w:sz="0" w:space="0" w:color="auto"/>
                  </w:divBdr>
                  <w:divsChild>
                    <w:div w:id="461575387">
                      <w:marLeft w:val="0"/>
                      <w:marRight w:val="0"/>
                      <w:marTop w:val="0"/>
                      <w:marBottom w:val="0"/>
                      <w:divBdr>
                        <w:top w:val="none" w:sz="0" w:space="0" w:color="auto"/>
                        <w:left w:val="none" w:sz="0" w:space="0" w:color="auto"/>
                        <w:bottom w:val="none" w:sz="0" w:space="0" w:color="auto"/>
                        <w:right w:val="none" w:sz="0" w:space="0" w:color="auto"/>
                      </w:divBdr>
                      <w:divsChild>
                        <w:div w:id="1655837855">
                          <w:marLeft w:val="0"/>
                          <w:marRight w:val="0"/>
                          <w:marTop w:val="0"/>
                          <w:marBottom w:val="0"/>
                          <w:divBdr>
                            <w:top w:val="none" w:sz="0" w:space="0" w:color="auto"/>
                            <w:left w:val="none" w:sz="0" w:space="0" w:color="auto"/>
                            <w:bottom w:val="none" w:sz="0" w:space="0" w:color="auto"/>
                            <w:right w:val="none" w:sz="0" w:space="0" w:color="auto"/>
                          </w:divBdr>
                          <w:divsChild>
                            <w:div w:id="1158115358">
                              <w:marLeft w:val="0"/>
                              <w:marRight w:val="0"/>
                              <w:marTop w:val="0"/>
                              <w:marBottom w:val="0"/>
                              <w:divBdr>
                                <w:top w:val="none" w:sz="0" w:space="0" w:color="auto"/>
                                <w:left w:val="none" w:sz="0" w:space="0" w:color="auto"/>
                                <w:bottom w:val="none" w:sz="0" w:space="0" w:color="auto"/>
                                <w:right w:val="none" w:sz="0" w:space="0" w:color="auto"/>
                              </w:divBdr>
                              <w:divsChild>
                                <w:div w:id="2117094620">
                                  <w:marLeft w:val="0"/>
                                  <w:marRight w:val="0"/>
                                  <w:marTop w:val="0"/>
                                  <w:marBottom w:val="0"/>
                                  <w:divBdr>
                                    <w:top w:val="none" w:sz="0" w:space="0" w:color="auto"/>
                                    <w:left w:val="none" w:sz="0" w:space="0" w:color="auto"/>
                                    <w:bottom w:val="none" w:sz="0" w:space="0" w:color="auto"/>
                                    <w:right w:val="none" w:sz="0" w:space="0" w:color="auto"/>
                                  </w:divBdr>
                                  <w:divsChild>
                                    <w:div w:id="1118573306">
                                      <w:marLeft w:val="0"/>
                                      <w:marRight w:val="0"/>
                                      <w:marTop w:val="0"/>
                                      <w:marBottom w:val="0"/>
                                      <w:divBdr>
                                        <w:top w:val="none" w:sz="0" w:space="0" w:color="auto"/>
                                        <w:left w:val="none" w:sz="0" w:space="0" w:color="auto"/>
                                        <w:bottom w:val="none" w:sz="0" w:space="0" w:color="auto"/>
                                        <w:right w:val="none" w:sz="0" w:space="0" w:color="auto"/>
                                      </w:divBdr>
                                      <w:divsChild>
                                        <w:div w:id="1119640537">
                                          <w:marLeft w:val="0"/>
                                          <w:marRight w:val="0"/>
                                          <w:marTop w:val="0"/>
                                          <w:marBottom w:val="0"/>
                                          <w:divBdr>
                                            <w:top w:val="none" w:sz="0" w:space="0" w:color="auto"/>
                                            <w:left w:val="none" w:sz="0" w:space="0" w:color="auto"/>
                                            <w:bottom w:val="none" w:sz="0" w:space="0" w:color="auto"/>
                                            <w:right w:val="none" w:sz="0" w:space="0" w:color="auto"/>
                                          </w:divBdr>
                                          <w:divsChild>
                                            <w:div w:id="1656180563">
                                              <w:marLeft w:val="0"/>
                                              <w:marRight w:val="0"/>
                                              <w:marTop w:val="0"/>
                                              <w:marBottom w:val="0"/>
                                              <w:divBdr>
                                                <w:top w:val="none" w:sz="0" w:space="0" w:color="auto"/>
                                                <w:left w:val="none" w:sz="0" w:space="0" w:color="auto"/>
                                                <w:bottom w:val="none" w:sz="0" w:space="0" w:color="auto"/>
                                                <w:right w:val="none" w:sz="0" w:space="0" w:color="auto"/>
                                              </w:divBdr>
                                              <w:divsChild>
                                                <w:div w:id="71394494">
                                                  <w:marLeft w:val="0"/>
                                                  <w:marRight w:val="0"/>
                                                  <w:marTop w:val="0"/>
                                                  <w:marBottom w:val="0"/>
                                                  <w:divBdr>
                                                    <w:top w:val="none" w:sz="0" w:space="0" w:color="auto"/>
                                                    <w:left w:val="none" w:sz="0" w:space="0" w:color="auto"/>
                                                    <w:bottom w:val="none" w:sz="0" w:space="0" w:color="auto"/>
                                                    <w:right w:val="none" w:sz="0" w:space="0" w:color="auto"/>
                                                  </w:divBdr>
                                                  <w:divsChild>
                                                    <w:div w:id="1675183189">
                                                      <w:marLeft w:val="0"/>
                                                      <w:marRight w:val="0"/>
                                                      <w:marTop w:val="0"/>
                                                      <w:marBottom w:val="0"/>
                                                      <w:divBdr>
                                                        <w:top w:val="none" w:sz="0" w:space="0" w:color="auto"/>
                                                        <w:left w:val="none" w:sz="0" w:space="0" w:color="auto"/>
                                                        <w:bottom w:val="none" w:sz="0" w:space="0" w:color="auto"/>
                                                        <w:right w:val="none" w:sz="0" w:space="0" w:color="auto"/>
                                                      </w:divBdr>
                                                      <w:divsChild>
                                                        <w:div w:id="6438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980647">
      <w:bodyDiv w:val="1"/>
      <w:marLeft w:val="0"/>
      <w:marRight w:val="0"/>
      <w:marTop w:val="0"/>
      <w:marBottom w:val="0"/>
      <w:divBdr>
        <w:top w:val="none" w:sz="0" w:space="0" w:color="auto"/>
        <w:left w:val="none" w:sz="0" w:space="0" w:color="auto"/>
        <w:bottom w:val="none" w:sz="0" w:space="0" w:color="auto"/>
        <w:right w:val="none" w:sz="0" w:space="0" w:color="auto"/>
      </w:divBdr>
    </w:div>
    <w:div w:id="1538813129">
      <w:bodyDiv w:val="1"/>
      <w:marLeft w:val="0"/>
      <w:marRight w:val="0"/>
      <w:marTop w:val="0"/>
      <w:marBottom w:val="0"/>
      <w:divBdr>
        <w:top w:val="none" w:sz="0" w:space="0" w:color="auto"/>
        <w:left w:val="none" w:sz="0" w:space="0" w:color="auto"/>
        <w:bottom w:val="none" w:sz="0" w:space="0" w:color="auto"/>
        <w:right w:val="none" w:sz="0" w:space="0" w:color="auto"/>
      </w:divBdr>
    </w:div>
    <w:div w:id="1553492880">
      <w:bodyDiv w:val="1"/>
      <w:marLeft w:val="0"/>
      <w:marRight w:val="0"/>
      <w:marTop w:val="0"/>
      <w:marBottom w:val="0"/>
      <w:divBdr>
        <w:top w:val="none" w:sz="0" w:space="0" w:color="auto"/>
        <w:left w:val="none" w:sz="0" w:space="0" w:color="auto"/>
        <w:bottom w:val="none" w:sz="0" w:space="0" w:color="auto"/>
        <w:right w:val="none" w:sz="0" w:space="0" w:color="auto"/>
      </w:divBdr>
    </w:div>
    <w:div w:id="1560047365">
      <w:bodyDiv w:val="1"/>
      <w:marLeft w:val="0"/>
      <w:marRight w:val="0"/>
      <w:marTop w:val="0"/>
      <w:marBottom w:val="0"/>
      <w:divBdr>
        <w:top w:val="none" w:sz="0" w:space="0" w:color="auto"/>
        <w:left w:val="none" w:sz="0" w:space="0" w:color="auto"/>
        <w:bottom w:val="none" w:sz="0" w:space="0" w:color="auto"/>
        <w:right w:val="none" w:sz="0" w:space="0" w:color="auto"/>
      </w:divBdr>
      <w:divsChild>
        <w:div w:id="1971545375">
          <w:marLeft w:val="0"/>
          <w:marRight w:val="0"/>
          <w:marTop w:val="0"/>
          <w:marBottom w:val="0"/>
          <w:divBdr>
            <w:top w:val="none" w:sz="0" w:space="0" w:color="auto"/>
            <w:left w:val="none" w:sz="0" w:space="0" w:color="auto"/>
            <w:bottom w:val="none" w:sz="0" w:space="0" w:color="auto"/>
            <w:right w:val="none" w:sz="0" w:space="0" w:color="auto"/>
          </w:divBdr>
        </w:div>
        <w:div w:id="1962413351">
          <w:marLeft w:val="0"/>
          <w:marRight w:val="0"/>
          <w:marTop w:val="0"/>
          <w:marBottom w:val="0"/>
          <w:divBdr>
            <w:top w:val="none" w:sz="0" w:space="0" w:color="auto"/>
            <w:left w:val="none" w:sz="0" w:space="0" w:color="auto"/>
            <w:bottom w:val="none" w:sz="0" w:space="0" w:color="auto"/>
            <w:right w:val="none" w:sz="0" w:space="0" w:color="auto"/>
          </w:divBdr>
        </w:div>
        <w:div w:id="556014167">
          <w:marLeft w:val="0"/>
          <w:marRight w:val="0"/>
          <w:marTop w:val="0"/>
          <w:marBottom w:val="0"/>
          <w:divBdr>
            <w:top w:val="none" w:sz="0" w:space="0" w:color="auto"/>
            <w:left w:val="none" w:sz="0" w:space="0" w:color="auto"/>
            <w:bottom w:val="none" w:sz="0" w:space="0" w:color="auto"/>
            <w:right w:val="none" w:sz="0" w:space="0" w:color="auto"/>
          </w:divBdr>
        </w:div>
        <w:div w:id="2026442500">
          <w:marLeft w:val="0"/>
          <w:marRight w:val="0"/>
          <w:marTop w:val="0"/>
          <w:marBottom w:val="0"/>
          <w:divBdr>
            <w:top w:val="none" w:sz="0" w:space="0" w:color="auto"/>
            <w:left w:val="none" w:sz="0" w:space="0" w:color="auto"/>
            <w:bottom w:val="none" w:sz="0" w:space="0" w:color="auto"/>
            <w:right w:val="none" w:sz="0" w:space="0" w:color="auto"/>
          </w:divBdr>
        </w:div>
        <w:div w:id="216859393">
          <w:marLeft w:val="0"/>
          <w:marRight w:val="0"/>
          <w:marTop w:val="0"/>
          <w:marBottom w:val="0"/>
          <w:divBdr>
            <w:top w:val="none" w:sz="0" w:space="0" w:color="auto"/>
            <w:left w:val="none" w:sz="0" w:space="0" w:color="auto"/>
            <w:bottom w:val="none" w:sz="0" w:space="0" w:color="auto"/>
            <w:right w:val="none" w:sz="0" w:space="0" w:color="auto"/>
          </w:divBdr>
        </w:div>
        <w:div w:id="1117524530">
          <w:marLeft w:val="0"/>
          <w:marRight w:val="0"/>
          <w:marTop w:val="0"/>
          <w:marBottom w:val="0"/>
          <w:divBdr>
            <w:top w:val="none" w:sz="0" w:space="0" w:color="auto"/>
            <w:left w:val="none" w:sz="0" w:space="0" w:color="auto"/>
            <w:bottom w:val="none" w:sz="0" w:space="0" w:color="auto"/>
            <w:right w:val="none" w:sz="0" w:space="0" w:color="auto"/>
          </w:divBdr>
        </w:div>
        <w:div w:id="647245726">
          <w:marLeft w:val="0"/>
          <w:marRight w:val="0"/>
          <w:marTop w:val="0"/>
          <w:marBottom w:val="0"/>
          <w:divBdr>
            <w:top w:val="none" w:sz="0" w:space="0" w:color="auto"/>
            <w:left w:val="none" w:sz="0" w:space="0" w:color="auto"/>
            <w:bottom w:val="none" w:sz="0" w:space="0" w:color="auto"/>
            <w:right w:val="none" w:sz="0" w:space="0" w:color="auto"/>
          </w:divBdr>
        </w:div>
      </w:divsChild>
    </w:div>
    <w:div w:id="1580943705">
      <w:bodyDiv w:val="1"/>
      <w:marLeft w:val="0"/>
      <w:marRight w:val="0"/>
      <w:marTop w:val="0"/>
      <w:marBottom w:val="0"/>
      <w:divBdr>
        <w:top w:val="none" w:sz="0" w:space="0" w:color="auto"/>
        <w:left w:val="none" w:sz="0" w:space="0" w:color="auto"/>
        <w:bottom w:val="none" w:sz="0" w:space="0" w:color="auto"/>
        <w:right w:val="none" w:sz="0" w:space="0" w:color="auto"/>
      </w:divBdr>
    </w:div>
    <w:div w:id="1591960693">
      <w:bodyDiv w:val="1"/>
      <w:marLeft w:val="0"/>
      <w:marRight w:val="0"/>
      <w:marTop w:val="0"/>
      <w:marBottom w:val="0"/>
      <w:divBdr>
        <w:top w:val="none" w:sz="0" w:space="0" w:color="auto"/>
        <w:left w:val="none" w:sz="0" w:space="0" w:color="auto"/>
        <w:bottom w:val="none" w:sz="0" w:space="0" w:color="auto"/>
        <w:right w:val="none" w:sz="0" w:space="0" w:color="auto"/>
      </w:divBdr>
    </w:div>
    <w:div w:id="1617642271">
      <w:bodyDiv w:val="1"/>
      <w:marLeft w:val="0"/>
      <w:marRight w:val="0"/>
      <w:marTop w:val="0"/>
      <w:marBottom w:val="0"/>
      <w:divBdr>
        <w:top w:val="none" w:sz="0" w:space="0" w:color="auto"/>
        <w:left w:val="none" w:sz="0" w:space="0" w:color="auto"/>
        <w:bottom w:val="none" w:sz="0" w:space="0" w:color="auto"/>
        <w:right w:val="none" w:sz="0" w:space="0" w:color="auto"/>
      </w:divBdr>
    </w:div>
    <w:div w:id="1650790096">
      <w:bodyDiv w:val="1"/>
      <w:marLeft w:val="0"/>
      <w:marRight w:val="0"/>
      <w:marTop w:val="0"/>
      <w:marBottom w:val="0"/>
      <w:divBdr>
        <w:top w:val="none" w:sz="0" w:space="0" w:color="auto"/>
        <w:left w:val="none" w:sz="0" w:space="0" w:color="auto"/>
        <w:bottom w:val="none" w:sz="0" w:space="0" w:color="auto"/>
        <w:right w:val="none" w:sz="0" w:space="0" w:color="auto"/>
      </w:divBdr>
    </w:div>
    <w:div w:id="1654069556">
      <w:bodyDiv w:val="1"/>
      <w:marLeft w:val="0"/>
      <w:marRight w:val="0"/>
      <w:marTop w:val="0"/>
      <w:marBottom w:val="0"/>
      <w:divBdr>
        <w:top w:val="none" w:sz="0" w:space="0" w:color="auto"/>
        <w:left w:val="none" w:sz="0" w:space="0" w:color="auto"/>
        <w:bottom w:val="none" w:sz="0" w:space="0" w:color="auto"/>
        <w:right w:val="none" w:sz="0" w:space="0" w:color="auto"/>
      </w:divBdr>
    </w:div>
    <w:div w:id="1672633763">
      <w:bodyDiv w:val="1"/>
      <w:marLeft w:val="0"/>
      <w:marRight w:val="0"/>
      <w:marTop w:val="0"/>
      <w:marBottom w:val="0"/>
      <w:divBdr>
        <w:top w:val="none" w:sz="0" w:space="0" w:color="auto"/>
        <w:left w:val="none" w:sz="0" w:space="0" w:color="auto"/>
        <w:bottom w:val="none" w:sz="0" w:space="0" w:color="auto"/>
        <w:right w:val="none" w:sz="0" w:space="0" w:color="auto"/>
      </w:divBdr>
    </w:div>
    <w:div w:id="1680308443">
      <w:bodyDiv w:val="1"/>
      <w:marLeft w:val="0"/>
      <w:marRight w:val="0"/>
      <w:marTop w:val="0"/>
      <w:marBottom w:val="0"/>
      <w:divBdr>
        <w:top w:val="none" w:sz="0" w:space="0" w:color="auto"/>
        <w:left w:val="none" w:sz="0" w:space="0" w:color="auto"/>
        <w:bottom w:val="none" w:sz="0" w:space="0" w:color="auto"/>
        <w:right w:val="none" w:sz="0" w:space="0" w:color="auto"/>
      </w:divBdr>
    </w:div>
    <w:div w:id="1706249439">
      <w:bodyDiv w:val="1"/>
      <w:marLeft w:val="0"/>
      <w:marRight w:val="0"/>
      <w:marTop w:val="0"/>
      <w:marBottom w:val="0"/>
      <w:divBdr>
        <w:top w:val="none" w:sz="0" w:space="0" w:color="auto"/>
        <w:left w:val="none" w:sz="0" w:space="0" w:color="auto"/>
        <w:bottom w:val="none" w:sz="0" w:space="0" w:color="auto"/>
        <w:right w:val="none" w:sz="0" w:space="0" w:color="auto"/>
      </w:divBdr>
    </w:div>
    <w:div w:id="1712881093">
      <w:bodyDiv w:val="1"/>
      <w:marLeft w:val="0"/>
      <w:marRight w:val="0"/>
      <w:marTop w:val="0"/>
      <w:marBottom w:val="0"/>
      <w:divBdr>
        <w:top w:val="none" w:sz="0" w:space="0" w:color="auto"/>
        <w:left w:val="none" w:sz="0" w:space="0" w:color="auto"/>
        <w:bottom w:val="none" w:sz="0" w:space="0" w:color="auto"/>
        <w:right w:val="none" w:sz="0" w:space="0" w:color="auto"/>
      </w:divBdr>
    </w:div>
    <w:div w:id="1755397259">
      <w:bodyDiv w:val="1"/>
      <w:marLeft w:val="0"/>
      <w:marRight w:val="0"/>
      <w:marTop w:val="0"/>
      <w:marBottom w:val="0"/>
      <w:divBdr>
        <w:top w:val="none" w:sz="0" w:space="0" w:color="auto"/>
        <w:left w:val="none" w:sz="0" w:space="0" w:color="auto"/>
        <w:bottom w:val="none" w:sz="0" w:space="0" w:color="auto"/>
        <w:right w:val="none" w:sz="0" w:space="0" w:color="auto"/>
      </w:divBdr>
    </w:div>
    <w:div w:id="1801339833">
      <w:bodyDiv w:val="1"/>
      <w:marLeft w:val="0"/>
      <w:marRight w:val="0"/>
      <w:marTop w:val="0"/>
      <w:marBottom w:val="0"/>
      <w:divBdr>
        <w:top w:val="none" w:sz="0" w:space="0" w:color="auto"/>
        <w:left w:val="none" w:sz="0" w:space="0" w:color="auto"/>
        <w:bottom w:val="none" w:sz="0" w:space="0" w:color="auto"/>
        <w:right w:val="none" w:sz="0" w:space="0" w:color="auto"/>
      </w:divBdr>
    </w:div>
    <w:div w:id="1810516101">
      <w:bodyDiv w:val="1"/>
      <w:marLeft w:val="0"/>
      <w:marRight w:val="0"/>
      <w:marTop w:val="0"/>
      <w:marBottom w:val="0"/>
      <w:divBdr>
        <w:top w:val="none" w:sz="0" w:space="0" w:color="auto"/>
        <w:left w:val="none" w:sz="0" w:space="0" w:color="auto"/>
        <w:bottom w:val="none" w:sz="0" w:space="0" w:color="auto"/>
        <w:right w:val="none" w:sz="0" w:space="0" w:color="auto"/>
      </w:divBdr>
    </w:div>
    <w:div w:id="1828400417">
      <w:bodyDiv w:val="1"/>
      <w:marLeft w:val="0"/>
      <w:marRight w:val="0"/>
      <w:marTop w:val="0"/>
      <w:marBottom w:val="0"/>
      <w:divBdr>
        <w:top w:val="none" w:sz="0" w:space="0" w:color="auto"/>
        <w:left w:val="none" w:sz="0" w:space="0" w:color="auto"/>
        <w:bottom w:val="none" w:sz="0" w:space="0" w:color="auto"/>
        <w:right w:val="none" w:sz="0" w:space="0" w:color="auto"/>
      </w:divBdr>
    </w:div>
    <w:div w:id="1848206355">
      <w:bodyDiv w:val="1"/>
      <w:marLeft w:val="0"/>
      <w:marRight w:val="0"/>
      <w:marTop w:val="0"/>
      <w:marBottom w:val="0"/>
      <w:divBdr>
        <w:top w:val="none" w:sz="0" w:space="0" w:color="auto"/>
        <w:left w:val="none" w:sz="0" w:space="0" w:color="auto"/>
        <w:bottom w:val="none" w:sz="0" w:space="0" w:color="auto"/>
        <w:right w:val="none" w:sz="0" w:space="0" w:color="auto"/>
      </w:divBdr>
    </w:div>
    <w:div w:id="1856571147">
      <w:bodyDiv w:val="1"/>
      <w:marLeft w:val="0"/>
      <w:marRight w:val="0"/>
      <w:marTop w:val="0"/>
      <w:marBottom w:val="0"/>
      <w:divBdr>
        <w:top w:val="none" w:sz="0" w:space="0" w:color="auto"/>
        <w:left w:val="none" w:sz="0" w:space="0" w:color="auto"/>
        <w:bottom w:val="none" w:sz="0" w:space="0" w:color="auto"/>
        <w:right w:val="none" w:sz="0" w:space="0" w:color="auto"/>
      </w:divBdr>
    </w:div>
    <w:div w:id="1858304147">
      <w:bodyDiv w:val="1"/>
      <w:marLeft w:val="0"/>
      <w:marRight w:val="0"/>
      <w:marTop w:val="0"/>
      <w:marBottom w:val="0"/>
      <w:divBdr>
        <w:top w:val="none" w:sz="0" w:space="0" w:color="auto"/>
        <w:left w:val="none" w:sz="0" w:space="0" w:color="auto"/>
        <w:bottom w:val="none" w:sz="0" w:space="0" w:color="auto"/>
        <w:right w:val="none" w:sz="0" w:space="0" w:color="auto"/>
      </w:divBdr>
    </w:div>
    <w:div w:id="1871069286">
      <w:bodyDiv w:val="1"/>
      <w:marLeft w:val="0"/>
      <w:marRight w:val="0"/>
      <w:marTop w:val="0"/>
      <w:marBottom w:val="0"/>
      <w:divBdr>
        <w:top w:val="none" w:sz="0" w:space="0" w:color="auto"/>
        <w:left w:val="none" w:sz="0" w:space="0" w:color="auto"/>
        <w:bottom w:val="none" w:sz="0" w:space="0" w:color="auto"/>
        <w:right w:val="none" w:sz="0" w:space="0" w:color="auto"/>
      </w:divBdr>
    </w:div>
    <w:div w:id="1880628027">
      <w:bodyDiv w:val="1"/>
      <w:marLeft w:val="0"/>
      <w:marRight w:val="0"/>
      <w:marTop w:val="0"/>
      <w:marBottom w:val="0"/>
      <w:divBdr>
        <w:top w:val="none" w:sz="0" w:space="0" w:color="auto"/>
        <w:left w:val="none" w:sz="0" w:space="0" w:color="auto"/>
        <w:bottom w:val="none" w:sz="0" w:space="0" w:color="auto"/>
        <w:right w:val="none" w:sz="0" w:space="0" w:color="auto"/>
      </w:divBdr>
    </w:div>
    <w:div w:id="1901478025">
      <w:bodyDiv w:val="1"/>
      <w:marLeft w:val="0"/>
      <w:marRight w:val="0"/>
      <w:marTop w:val="0"/>
      <w:marBottom w:val="0"/>
      <w:divBdr>
        <w:top w:val="none" w:sz="0" w:space="0" w:color="auto"/>
        <w:left w:val="none" w:sz="0" w:space="0" w:color="auto"/>
        <w:bottom w:val="none" w:sz="0" w:space="0" w:color="auto"/>
        <w:right w:val="none" w:sz="0" w:space="0" w:color="auto"/>
      </w:divBdr>
    </w:div>
    <w:div w:id="1958170855">
      <w:bodyDiv w:val="1"/>
      <w:marLeft w:val="0"/>
      <w:marRight w:val="0"/>
      <w:marTop w:val="0"/>
      <w:marBottom w:val="0"/>
      <w:divBdr>
        <w:top w:val="none" w:sz="0" w:space="0" w:color="auto"/>
        <w:left w:val="none" w:sz="0" w:space="0" w:color="auto"/>
        <w:bottom w:val="none" w:sz="0" w:space="0" w:color="auto"/>
        <w:right w:val="none" w:sz="0" w:space="0" w:color="auto"/>
      </w:divBdr>
    </w:div>
    <w:div w:id="1966345696">
      <w:bodyDiv w:val="1"/>
      <w:marLeft w:val="0"/>
      <w:marRight w:val="0"/>
      <w:marTop w:val="0"/>
      <w:marBottom w:val="0"/>
      <w:divBdr>
        <w:top w:val="none" w:sz="0" w:space="0" w:color="auto"/>
        <w:left w:val="none" w:sz="0" w:space="0" w:color="auto"/>
        <w:bottom w:val="none" w:sz="0" w:space="0" w:color="auto"/>
        <w:right w:val="none" w:sz="0" w:space="0" w:color="auto"/>
      </w:divBdr>
    </w:div>
    <w:div w:id="2003120732">
      <w:bodyDiv w:val="1"/>
      <w:marLeft w:val="0"/>
      <w:marRight w:val="0"/>
      <w:marTop w:val="0"/>
      <w:marBottom w:val="0"/>
      <w:divBdr>
        <w:top w:val="none" w:sz="0" w:space="0" w:color="auto"/>
        <w:left w:val="none" w:sz="0" w:space="0" w:color="auto"/>
        <w:bottom w:val="none" w:sz="0" w:space="0" w:color="auto"/>
        <w:right w:val="none" w:sz="0" w:space="0" w:color="auto"/>
      </w:divBdr>
    </w:div>
    <w:div w:id="2010936515">
      <w:bodyDiv w:val="1"/>
      <w:marLeft w:val="0"/>
      <w:marRight w:val="0"/>
      <w:marTop w:val="0"/>
      <w:marBottom w:val="0"/>
      <w:divBdr>
        <w:top w:val="none" w:sz="0" w:space="0" w:color="auto"/>
        <w:left w:val="none" w:sz="0" w:space="0" w:color="auto"/>
        <w:bottom w:val="none" w:sz="0" w:space="0" w:color="auto"/>
        <w:right w:val="none" w:sz="0" w:space="0" w:color="auto"/>
      </w:divBdr>
    </w:div>
    <w:div w:id="2017346127">
      <w:bodyDiv w:val="1"/>
      <w:marLeft w:val="0"/>
      <w:marRight w:val="0"/>
      <w:marTop w:val="0"/>
      <w:marBottom w:val="0"/>
      <w:divBdr>
        <w:top w:val="none" w:sz="0" w:space="0" w:color="auto"/>
        <w:left w:val="none" w:sz="0" w:space="0" w:color="auto"/>
        <w:bottom w:val="none" w:sz="0" w:space="0" w:color="auto"/>
        <w:right w:val="none" w:sz="0" w:space="0" w:color="auto"/>
      </w:divBdr>
    </w:div>
    <w:div w:id="2025789568">
      <w:bodyDiv w:val="1"/>
      <w:marLeft w:val="0"/>
      <w:marRight w:val="0"/>
      <w:marTop w:val="0"/>
      <w:marBottom w:val="0"/>
      <w:divBdr>
        <w:top w:val="none" w:sz="0" w:space="0" w:color="auto"/>
        <w:left w:val="none" w:sz="0" w:space="0" w:color="auto"/>
        <w:bottom w:val="none" w:sz="0" w:space="0" w:color="auto"/>
        <w:right w:val="none" w:sz="0" w:space="0" w:color="auto"/>
      </w:divBdr>
    </w:div>
    <w:div w:id="2037004288">
      <w:bodyDiv w:val="1"/>
      <w:marLeft w:val="0"/>
      <w:marRight w:val="0"/>
      <w:marTop w:val="0"/>
      <w:marBottom w:val="0"/>
      <w:divBdr>
        <w:top w:val="none" w:sz="0" w:space="0" w:color="auto"/>
        <w:left w:val="none" w:sz="0" w:space="0" w:color="auto"/>
        <w:bottom w:val="none" w:sz="0" w:space="0" w:color="auto"/>
        <w:right w:val="none" w:sz="0" w:space="0" w:color="auto"/>
      </w:divBdr>
    </w:div>
    <w:div w:id="2038046034">
      <w:bodyDiv w:val="1"/>
      <w:marLeft w:val="0"/>
      <w:marRight w:val="0"/>
      <w:marTop w:val="0"/>
      <w:marBottom w:val="0"/>
      <w:divBdr>
        <w:top w:val="none" w:sz="0" w:space="0" w:color="auto"/>
        <w:left w:val="none" w:sz="0" w:space="0" w:color="auto"/>
        <w:bottom w:val="none" w:sz="0" w:space="0" w:color="auto"/>
        <w:right w:val="none" w:sz="0" w:space="0" w:color="auto"/>
      </w:divBdr>
    </w:div>
    <w:div w:id="2058359031">
      <w:bodyDiv w:val="1"/>
      <w:marLeft w:val="0"/>
      <w:marRight w:val="0"/>
      <w:marTop w:val="0"/>
      <w:marBottom w:val="0"/>
      <w:divBdr>
        <w:top w:val="none" w:sz="0" w:space="0" w:color="auto"/>
        <w:left w:val="none" w:sz="0" w:space="0" w:color="auto"/>
        <w:bottom w:val="none" w:sz="0" w:space="0" w:color="auto"/>
        <w:right w:val="none" w:sz="0" w:space="0" w:color="auto"/>
      </w:divBdr>
    </w:div>
    <w:div w:id="2067022217">
      <w:bodyDiv w:val="1"/>
      <w:marLeft w:val="0"/>
      <w:marRight w:val="0"/>
      <w:marTop w:val="0"/>
      <w:marBottom w:val="0"/>
      <w:divBdr>
        <w:top w:val="none" w:sz="0" w:space="0" w:color="auto"/>
        <w:left w:val="none" w:sz="0" w:space="0" w:color="auto"/>
        <w:bottom w:val="none" w:sz="0" w:space="0" w:color="auto"/>
        <w:right w:val="none" w:sz="0" w:space="0" w:color="auto"/>
      </w:divBdr>
    </w:div>
    <w:div w:id="2089881255">
      <w:bodyDiv w:val="1"/>
      <w:marLeft w:val="0"/>
      <w:marRight w:val="0"/>
      <w:marTop w:val="0"/>
      <w:marBottom w:val="0"/>
      <w:divBdr>
        <w:top w:val="none" w:sz="0" w:space="0" w:color="auto"/>
        <w:left w:val="none" w:sz="0" w:space="0" w:color="auto"/>
        <w:bottom w:val="none" w:sz="0" w:space="0" w:color="auto"/>
        <w:right w:val="none" w:sz="0" w:space="0" w:color="auto"/>
      </w:divBdr>
    </w:div>
    <w:div w:id="2103067975">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1">
          <w:marLeft w:val="0"/>
          <w:marRight w:val="0"/>
          <w:marTop w:val="0"/>
          <w:marBottom w:val="0"/>
          <w:divBdr>
            <w:top w:val="none" w:sz="0" w:space="0" w:color="auto"/>
            <w:left w:val="none" w:sz="0" w:space="0" w:color="auto"/>
            <w:bottom w:val="none" w:sz="0" w:space="0" w:color="auto"/>
            <w:right w:val="none" w:sz="0" w:space="0" w:color="auto"/>
          </w:divBdr>
          <w:divsChild>
            <w:div w:id="1823354402">
              <w:marLeft w:val="0"/>
              <w:marRight w:val="0"/>
              <w:marTop w:val="0"/>
              <w:marBottom w:val="0"/>
              <w:divBdr>
                <w:top w:val="none" w:sz="0" w:space="0" w:color="auto"/>
                <w:left w:val="none" w:sz="0" w:space="0" w:color="auto"/>
                <w:bottom w:val="none" w:sz="0" w:space="0" w:color="auto"/>
                <w:right w:val="none" w:sz="0" w:space="0" w:color="auto"/>
              </w:divBdr>
              <w:divsChild>
                <w:div w:id="1446734037">
                  <w:marLeft w:val="0"/>
                  <w:marRight w:val="0"/>
                  <w:marTop w:val="0"/>
                  <w:marBottom w:val="0"/>
                  <w:divBdr>
                    <w:top w:val="none" w:sz="0" w:space="0" w:color="auto"/>
                    <w:left w:val="none" w:sz="0" w:space="0" w:color="auto"/>
                    <w:bottom w:val="none" w:sz="0" w:space="0" w:color="auto"/>
                    <w:right w:val="none" w:sz="0" w:space="0" w:color="auto"/>
                  </w:divBdr>
                  <w:divsChild>
                    <w:div w:id="1280868350">
                      <w:marLeft w:val="0"/>
                      <w:marRight w:val="0"/>
                      <w:marTop w:val="0"/>
                      <w:marBottom w:val="0"/>
                      <w:divBdr>
                        <w:top w:val="none" w:sz="0" w:space="0" w:color="auto"/>
                        <w:left w:val="none" w:sz="0" w:space="0" w:color="auto"/>
                        <w:bottom w:val="none" w:sz="0" w:space="0" w:color="auto"/>
                        <w:right w:val="none" w:sz="0" w:space="0" w:color="auto"/>
                      </w:divBdr>
                      <w:divsChild>
                        <w:div w:id="1207332767">
                          <w:marLeft w:val="0"/>
                          <w:marRight w:val="0"/>
                          <w:marTop w:val="0"/>
                          <w:marBottom w:val="0"/>
                          <w:divBdr>
                            <w:top w:val="none" w:sz="0" w:space="0" w:color="auto"/>
                            <w:left w:val="none" w:sz="0" w:space="0" w:color="auto"/>
                            <w:bottom w:val="none" w:sz="0" w:space="0" w:color="auto"/>
                            <w:right w:val="none" w:sz="0" w:space="0" w:color="auto"/>
                          </w:divBdr>
                          <w:divsChild>
                            <w:div w:id="1594624029">
                              <w:marLeft w:val="0"/>
                              <w:marRight w:val="0"/>
                              <w:marTop w:val="0"/>
                              <w:marBottom w:val="0"/>
                              <w:divBdr>
                                <w:top w:val="none" w:sz="0" w:space="0" w:color="auto"/>
                                <w:left w:val="none" w:sz="0" w:space="0" w:color="auto"/>
                                <w:bottom w:val="none" w:sz="0" w:space="0" w:color="auto"/>
                                <w:right w:val="none" w:sz="0" w:space="0" w:color="auto"/>
                              </w:divBdr>
                              <w:divsChild>
                                <w:div w:id="181939769">
                                  <w:marLeft w:val="0"/>
                                  <w:marRight w:val="0"/>
                                  <w:marTop w:val="0"/>
                                  <w:marBottom w:val="0"/>
                                  <w:divBdr>
                                    <w:top w:val="none" w:sz="0" w:space="0" w:color="auto"/>
                                    <w:left w:val="none" w:sz="0" w:space="0" w:color="auto"/>
                                    <w:bottom w:val="none" w:sz="0" w:space="0" w:color="auto"/>
                                    <w:right w:val="none" w:sz="0" w:space="0" w:color="auto"/>
                                  </w:divBdr>
                                  <w:divsChild>
                                    <w:div w:id="845945671">
                                      <w:marLeft w:val="0"/>
                                      <w:marRight w:val="0"/>
                                      <w:marTop w:val="0"/>
                                      <w:marBottom w:val="0"/>
                                      <w:divBdr>
                                        <w:top w:val="none" w:sz="0" w:space="0" w:color="auto"/>
                                        <w:left w:val="none" w:sz="0" w:space="0" w:color="auto"/>
                                        <w:bottom w:val="none" w:sz="0" w:space="0" w:color="auto"/>
                                        <w:right w:val="none" w:sz="0" w:space="0" w:color="auto"/>
                                      </w:divBdr>
                                      <w:divsChild>
                                        <w:div w:id="548879973">
                                          <w:marLeft w:val="0"/>
                                          <w:marRight w:val="0"/>
                                          <w:marTop w:val="0"/>
                                          <w:marBottom w:val="0"/>
                                          <w:divBdr>
                                            <w:top w:val="none" w:sz="0" w:space="0" w:color="auto"/>
                                            <w:left w:val="none" w:sz="0" w:space="0" w:color="auto"/>
                                            <w:bottom w:val="none" w:sz="0" w:space="0" w:color="auto"/>
                                            <w:right w:val="none" w:sz="0" w:space="0" w:color="auto"/>
                                          </w:divBdr>
                                          <w:divsChild>
                                            <w:div w:id="1255819857">
                                              <w:marLeft w:val="0"/>
                                              <w:marRight w:val="0"/>
                                              <w:marTop w:val="0"/>
                                              <w:marBottom w:val="0"/>
                                              <w:divBdr>
                                                <w:top w:val="none" w:sz="0" w:space="0" w:color="auto"/>
                                                <w:left w:val="none" w:sz="0" w:space="0" w:color="auto"/>
                                                <w:bottom w:val="none" w:sz="0" w:space="0" w:color="auto"/>
                                                <w:right w:val="none" w:sz="0" w:space="0" w:color="auto"/>
                                              </w:divBdr>
                                              <w:divsChild>
                                                <w:div w:id="1084646209">
                                                  <w:marLeft w:val="0"/>
                                                  <w:marRight w:val="0"/>
                                                  <w:marTop w:val="0"/>
                                                  <w:marBottom w:val="0"/>
                                                  <w:divBdr>
                                                    <w:top w:val="none" w:sz="0" w:space="0" w:color="auto"/>
                                                    <w:left w:val="none" w:sz="0" w:space="0" w:color="auto"/>
                                                    <w:bottom w:val="none" w:sz="0" w:space="0" w:color="auto"/>
                                                    <w:right w:val="none" w:sz="0" w:space="0" w:color="auto"/>
                                                  </w:divBdr>
                                                  <w:divsChild>
                                                    <w:div w:id="394090394">
                                                      <w:marLeft w:val="0"/>
                                                      <w:marRight w:val="0"/>
                                                      <w:marTop w:val="0"/>
                                                      <w:marBottom w:val="0"/>
                                                      <w:divBdr>
                                                        <w:top w:val="none" w:sz="0" w:space="0" w:color="auto"/>
                                                        <w:left w:val="none" w:sz="0" w:space="0" w:color="auto"/>
                                                        <w:bottom w:val="none" w:sz="0" w:space="0" w:color="auto"/>
                                                        <w:right w:val="none" w:sz="0" w:space="0" w:color="auto"/>
                                                      </w:divBdr>
                                                      <w:divsChild>
                                                        <w:div w:id="181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4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acfe.com/report-to-the-nations/2022/" TargetMode="External"/><Relationship Id="rId13" Type="http://schemas.openxmlformats.org/officeDocument/2006/relationships/hyperlink" Target="http://www.arcjournal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08/AJAR-03-2020-00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jbis.org" TargetMode="External"/><Relationship Id="rId5" Type="http://schemas.openxmlformats.org/officeDocument/2006/relationships/webSettings" Target="webSettings.xml"/><Relationship Id="rId15" Type="http://schemas.openxmlformats.org/officeDocument/2006/relationships/hyperlink" Target="https://doi.org/10.37394/23207.2023.20.147" TargetMode="External"/><Relationship Id="rId23" Type="http://schemas.openxmlformats.org/officeDocument/2006/relationships/theme" Target="theme/theme1.xml"/><Relationship Id="rId10" Type="http://schemas.openxmlformats.org/officeDocument/2006/relationships/hyperlink" Target="https://doi.org/10.55217/103.v13i1.55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conjournals.com" TargetMode="External"/><Relationship Id="rId14" Type="http://schemas.openxmlformats.org/officeDocument/2006/relationships/hyperlink" Target="https://doi.org/10.6007/IJARAFMS/v9-i4/69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AC43-6F94-45E5-B056-2086D63AC3A1}">
  <ds:schemaRefs>
    <ds:schemaRef ds:uri="http://schemas.openxmlformats.org/officeDocument/2006/bibliography"/>
  </ds:schemaRefs>
</ds:datastoreItem>
</file>

<file path=docMetadata/LabelInfo.xml><?xml version="1.0" encoding="utf-8"?>
<clbl:labelList xmlns:clbl="http://schemas.microsoft.com/office/2020/mipLabelMetadata">
  <clbl:label id="{6479eda9-a6bf-4259-ba8a-f27ac2ab3254}" enabled="0" method="" siteId="{6479eda9-a6bf-4259-ba8a-f27ac2ab3254}" removed="1"/>
</clbl:labelList>
</file>

<file path=docProps/app.xml><?xml version="1.0" encoding="utf-8"?>
<Properties xmlns="http://schemas.openxmlformats.org/officeDocument/2006/extended-properties" xmlns:vt="http://schemas.openxmlformats.org/officeDocument/2006/docPropsVTypes">
  <Template>Normal</Template>
  <TotalTime>27</TotalTime>
  <Pages>22</Pages>
  <Words>7488</Words>
  <Characters>42686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Akpadaka</dc:creator>
  <cp:keywords/>
  <dc:description/>
  <cp:lastModifiedBy>SDI 1084</cp:lastModifiedBy>
  <cp:revision>9</cp:revision>
  <dcterms:created xsi:type="dcterms:W3CDTF">2025-05-15T02:28:00Z</dcterms:created>
  <dcterms:modified xsi:type="dcterms:W3CDTF">2025-05-15T12:08:00Z</dcterms:modified>
</cp:coreProperties>
</file>