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7C35" w14:textId="77777777" w:rsidR="00902902" w:rsidRPr="00340142" w:rsidRDefault="002F39A7" w:rsidP="009029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FACTORS </w:t>
      </w:r>
      <w:r w:rsidR="00A255DB">
        <w:rPr>
          <w:rFonts w:ascii="Times New Roman" w:hAnsi="Times New Roman" w:cs="Times New Roman"/>
          <w:b/>
          <w:sz w:val="24"/>
          <w:szCs w:val="24"/>
        </w:rPr>
        <w:t>CONTRIBUTING TO</w:t>
      </w:r>
      <w:r>
        <w:rPr>
          <w:rFonts w:ascii="Times New Roman" w:hAnsi="Times New Roman" w:cs="Times New Roman"/>
          <w:b/>
          <w:sz w:val="24"/>
          <w:szCs w:val="24"/>
        </w:rPr>
        <w:t xml:space="preserve"> </w:t>
      </w:r>
      <w:r w:rsidR="00902902" w:rsidRPr="00340142">
        <w:rPr>
          <w:rFonts w:ascii="Times New Roman" w:hAnsi="Times New Roman" w:cs="Times New Roman"/>
          <w:b/>
          <w:sz w:val="24"/>
          <w:szCs w:val="24"/>
        </w:rPr>
        <w:t>SAFETY INCIDENTS IN OIL AND GAS DOWNSTREAM COMPAN</w:t>
      </w:r>
      <w:r w:rsidR="00B236A6">
        <w:rPr>
          <w:rFonts w:ascii="Times New Roman" w:hAnsi="Times New Roman" w:cs="Times New Roman"/>
          <w:b/>
          <w:sz w:val="24"/>
          <w:szCs w:val="24"/>
        </w:rPr>
        <w:t>IES IN PORT HARCOURT METROPOLIS</w:t>
      </w:r>
      <w:r w:rsidR="00A255DB">
        <w:rPr>
          <w:rFonts w:ascii="Times New Roman" w:hAnsi="Times New Roman" w:cs="Times New Roman"/>
          <w:b/>
          <w:sz w:val="24"/>
          <w:szCs w:val="24"/>
        </w:rPr>
        <w:t>, NIGERIA</w:t>
      </w:r>
    </w:p>
    <w:p w14:paraId="7D95D7B0" w14:textId="77777777" w:rsidR="005D145A" w:rsidRPr="00340142" w:rsidRDefault="005D145A" w:rsidP="005D145A">
      <w:pPr>
        <w:spacing w:line="240" w:lineRule="auto"/>
        <w:jc w:val="center"/>
        <w:rPr>
          <w:rFonts w:ascii="Times New Roman" w:hAnsi="Times New Roman" w:cs="Times New Roman"/>
          <w:b/>
          <w:sz w:val="24"/>
          <w:szCs w:val="24"/>
        </w:rPr>
      </w:pPr>
    </w:p>
    <w:p w14:paraId="3BD24F25" w14:textId="77777777" w:rsidR="005D145A" w:rsidRPr="00340142" w:rsidRDefault="005D145A" w:rsidP="005D145A">
      <w:pPr>
        <w:spacing w:line="240" w:lineRule="auto"/>
        <w:jc w:val="center"/>
        <w:rPr>
          <w:rFonts w:ascii="Times New Roman" w:hAnsi="Times New Roman" w:cs="Times New Roman"/>
          <w:b/>
          <w:sz w:val="24"/>
          <w:szCs w:val="24"/>
        </w:rPr>
      </w:pPr>
    </w:p>
    <w:p w14:paraId="0E33137D" w14:textId="77777777" w:rsidR="005D145A" w:rsidRPr="00340142" w:rsidRDefault="005D145A" w:rsidP="005D145A">
      <w:pPr>
        <w:pStyle w:val="Heading1"/>
        <w:spacing w:before="171"/>
        <w:ind w:right="12"/>
        <w:jc w:val="center"/>
        <w:rPr>
          <w:rFonts w:ascii="Times New Roman" w:hAnsi="Times New Roman" w:cs="Times New Roman"/>
          <w:sz w:val="24"/>
          <w:szCs w:val="24"/>
        </w:rPr>
      </w:pPr>
      <w:bookmarkStart w:id="0" w:name="_Toc176778365"/>
      <w:r w:rsidRPr="00340142">
        <w:rPr>
          <w:rFonts w:ascii="Times New Roman" w:hAnsi="Times New Roman" w:cs="Times New Roman"/>
          <w:spacing w:val="-2"/>
          <w:sz w:val="24"/>
          <w:szCs w:val="24"/>
        </w:rPr>
        <w:t>ABSTRACT</w:t>
      </w:r>
      <w:bookmarkEnd w:id="0"/>
    </w:p>
    <w:p w14:paraId="587F5C1B" w14:textId="77777777" w:rsidR="00295937" w:rsidRPr="00077F15" w:rsidRDefault="00295937" w:rsidP="00B236A6">
      <w:pPr>
        <w:spacing w:line="240" w:lineRule="auto"/>
        <w:rPr>
          <w:rFonts w:ascii="Times New Roman" w:eastAsia="Times New Roman" w:hAnsi="Times New Roman" w:cs="Times New Roman"/>
          <w:sz w:val="24"/>
          <w:szCs w:val="24"/>
        </w:rPr>
      </w:pPr>
      <w:r w:rsidRPr="00077F15">
        <w:rPr>
          <w:rFonts w:ascii="Times New Roman" w:eastAsia="Times New Roman" w:hAnsi="Times New Roman" w:cs="Times New Roman"/>
          <w:sz w:val="24"/>
          <w:szCs w:val="24"/>
        </w:rPr>
        <w:t xml:space="preserve">The study investigated the </w:t>
      </w:r>
      <w:r w:rsidR="00B236A6" w:rsidRPr="00077F15">
        <w:rPr>
          <w:rFonts w:ascii="Times New Roman" w:hAnsi="Times New Roman" w:cs="Times New Roman"/>
          <w:sz w:val="24"/>
          <w:szCs w:val="24"/>
        </w:rPr>
        <w:t xml:space="preserve">Factors Responsible for Safety Incidents in Oil and Gas Downstream Companies in Port Harcourt Metropolis. </w:t>
      </w:r>
      <w:r w:rsidRPr="00077F15">
        <w:rPr>
          <w:rFonts w:ascii="Times New Roman" w:eastAsia="Times New Roman" w:hAnsi="Times New Roman" w:cs="Times New Roman"/>
          <w:sz w:val="24"/>
          <w:szCs w:val="24"/>
        </w:rPr>
        <w:t>Th</w:t>
      </w:r>
      <w:r w:rsidR="00962119" w:rsidRPr="00077F15">
        <w:rPr>
          <w:rFonts w:ascii="Times New Roman" w:eastAsia="Times New Roman" w:hAnsi="Times New Roman" w:cs="Times New Roman"/>
          <w:sz w:val="24"/>
          <w:szCs w:val="24"/>
        </w:rPr>
        <w:t xml:space="preserve">e research population </w:t>
      </w:r>
      <w:r w:rsidR="00A255DB" w:rsidRPr="00077F15">
        <w:rPr>
          <w:rFonts w:ascii="Times New Roman" w:eastAsia="Times New Roman" w:hAnsi="Times New Roman" w:cs="Times New Roman"/>
          <w:sz w:val="24"/>
          <w:szCs w:val="24"/>
        </w:rPr>
        <w:t>consisted of</w:t>
      </w:r>
      <w:r w:rsidR="00962119" w:rsidRPr="00077F15">
        <w:rPr>
          <w:rFonts w:ascii="Times New Roman" w:eastAsia="Times New Roman" w:hAnsi="Times New Roman" w:cs="Times New Roman"/>
          <w:sz w:val="24"/>
          <w:szCs w:val="24"/>
        </w:rPr>
        <w:t xml:space="preserve"> 15</w:t>
      </w:r>
      <w:r w:rsidRPr="00077F15">
        <w:rPr>
          <w:rFonts w:ascii="Times New Roman" w:eastAsia="Times New Roman" w:hAnsi="Times New Roman" w:cs="Times New Roman"/>
          <w:sz w:val="24"/>
          <w:szCs w:val="24"/>
        </w:rPr>
        <w:t xml:space="preserve">00 employees from oil and gas downstream industries located in Port Harcourt, </w:t>
      </w:r>
      <w:r w:rsidR="00A255DB" w:rsidRPr="00077F15">
        <w:rPr>
          <w:rFonts w:ascii="Times New Roman" w:eastAsia="Times New Roman" w:hAnsi="Times New Roman" w:cs="Times New Roman"/>
          <w:sz w:val="24"/>
          <w:szCs w:val="24"/>
        </w:rPr>
        <w:t>Nigeria. T</w:t>
      </w:r>
      <w:r w:rsidRPr="00077F15">
        <w:rPr>
          <w:rFonts w:ascii="Times New Roman" w:eastAsia="Times New Roman" w:hAnsi="Times New Roman" w:cs="Times New Roman"/>
          <w:sz w:val="24"/>
          <w:szCs w:val="24"/>
        </w:rPr>
        <w:t xml:space="preserve">he study design used a descriptive survey </w:t>
      </w:r>
      <w:r w:rsidR="00A255DB" w:rsidRPr="00077F15">
        <w:rPr>
          <w:rFonts w:ascii="Times New Roman" w:eastAsia="Times New Roman" w:hAnsi="Times New Roman" w:cs="Times New Roman"/>
          <w:sz w:val="24"/>
          <w:szCs w:val="24"/>
        </w:rPr>
        <w:t>design</w:t>
      </w:r>
      <w:r w:rsidRPr="00077F15">
        <w:rPr>
          <w:rFonts w:ascii="Times New Roman" w:eastAsia="Times New Roman" w:hAnsi="Times New Roman" w:cs="Times New Roman"/>
          <w:sz w:val="24"/>
          <w:szCs w:val="24"/>
        </w:rPr>
        <w:t>. A non-stratified sampling t</w:t>
      </w:r>
      <w:r w:rsidR="00B1251D" w:rsidRPr="00077F15">
        <w:rPr>
          <w:rFonts w:ascii="Times New Roman" w:eastAsia="Times New Roman" w:hAnsi="Times New Roman" w:cs="Times New Roman"/>
          <w:sz w:val="24"/>
          <w:szCs w:val="24"/>
        </w:rPr>
        <w:t>echnique was used to choose the</w:t>
      </w:r>
      <w:r w:rsidRPr="00077F15">
        <w:rPr>
          <w:rFonts w:ascii="Times New Roman" w:eastAsia="Times New Roman" w:hAnsi="Times New Roman" w:cs="Times New Roman"/>
          <w:sz w:val="24"/>
          <w:szCs w:val="24"/>
        </w:rPr>
        <w:t xml:space="preserve"> sample, </w:t>
      </w:r>
      <w:r w:rsidR="00B1251D" w:rsidRPr="00077F15">
        <w:rPr>
          <w:rFonts w:ascii="Times New Roman" w:eastAsia="Times New Roman" w:hAnsi="Times New Roman" w:cs="Times New Roman"/>
          <w:sz w:val="24"/>
          <w:szCs w:val="24"/>
        </w:rPr>
        <w:t xml:space="preserve">of </w:t>
      </w:r>
      <w:r w:rsidRPr="00077F15">
        <w:rPr>
          <w:rFonts w:ascii="Times New Roman" w:eastAsia="Times New Roman" w:hAnsi="Times New Roman" w:cs="Times New Roman"/>
          <w:sz w:val="24"/>
          <w:szCs w:val="24"/>
        </w:rPr>
        <w:t xml:space="preserve">340 workers. The </w:t>
      </w:r>
      <w:r w:rsidR="00A255DB" w:rsidRPr="00077F15">
        <w:rPr>
          <w:rFonts w:ascii="Times New Roman" w:eastAsia="Times New Roman" w:hAnsi="Times New Roman" w:cs="Times New Roman"/>
          <w:sz w:val="24"/>
          <w:szCs w:val="24"/>
        </w:rPr>
        <w:t xml:space="preserve">research instrument </w:t>
      </w:r>
      <w:r w:rsidRPr="00077F15">
        <w:rPr>
          <w:rFonts w:ascii="Times New Roman" w:eastAsia="Times New Roman" w:hAnsi="Times New Roman" w:cs="Times New Roman"/>
          <w:sz w:val="24"/>
          <w:szCs w:val="24"/>
        </w:rPr>
        <w:t>was a self-structured questionnaire. The instrument's dependab</w:t>
      </w:r>
      <w:r w:rsidR="00151FA7" w:rsidRPr="00077F15">
        <w:rPr>
          <w:rFonts w:ascii="Times New Roman" w:eastAsia="Times New Roman" w:hAnsi="Times New Roman" w:cs="Times New Roman"/>
          <w:sz w:val="24"/>
          <w:szCs w:val="24"/>
        </w:rPr>
        <w:t>ility was determined using the test-r</w:t>
      </w:r>
      <w:r w:rsidRPr="00077F15">
        <w:rPr>
          <w:rFonts w:ascii="Times New Roman" w:eastAsia="Times New Roman" w:hAnsi="Times New Roman" w:cs="Times New Roman"/>
          <w:sz w:val="24"/>
          <w:szCs w:val="24"/>
        </w:rPr>
        <w:t xml:space="preserve">etest technique, </w:t>
      </w:r>
      <w:r w:rsidR="00324E50" w:rsidRPr="00077F15">
        <w:rPr>
          <w:rFonts w:ascii="Times New Roman" w:eastAsia="Times New Roman" w:hAnsi="Times New Roman" w:cs="Times New Roman"/>
          <w:sz w:val="24"/>
          <w:szCs w:val="24"/>
        </w:rPr>
        <w:t>with a</w:t>
      </w:r>
      <w:r w:rsidRPr="00077F15">
        <w:rPr>
          <w:rFonts w:ascii="Times New Roman" w:eastAsia="Times New Roman" w:hAnsi="Times New Roman" w:cs="Times New Roman"/>
          <w:sz w:val="24"/>
          <w:szCs w:val="24"/>
        </w:rPr>
        <w:t xml:space="preserve"> rel</w:t>
      </w:r>
      <w:r w:rsidR="005E7FA8" w:rsidRPr="00077F15">
        <w:rPr>
          <w:rFonts w:ascii="Times New Roman" w:eastAsia="Times New Roman" w:hAnsi="Times New Roman" w:cs="Times New Roman"/>
          <w:sz w:val="24"/>
          <w:szCs w:val="24"/>
        </w:rPr>
        <w:t>iability coefficient of 0.87</w:t>
      </w:r>
      <w:r w:rsidRPr="00077F15">
        <w:rPr>
          <w:rFonts w:ascii="Times New Roman" w:eastAsia="Times New Roman" w:hAnsi="Times New Roman" w:cs="Times New Roman"/>
          <w:sz w:val="24"/>
          <w:szCs w:val="24"/>
        </w:rPr>
        <w:t xml:space="preserve">. According to the survey, 78% of the respondents were male and 22% were female, with 56% of the respondents being between the ages of 25 and 30; 28% were between the ages of 31 and 35; 14% were between the ages of 36 and 40; and 2% were older than 41. The study indicated that unsafe acts </w:t>
      </w:r>
      <w:r w:rsidR="00A517C4" w:rsidRPr="00077F15">
        <w:rPr>
          <w:rFonts w:ascii="Times New Roman" w:eastAsia="Times New Roman" w:hAnsi="Times New Roman" w:cs="Times New Roman"/>
          <w:sz w:val="24"/>
          <w:szCs w:val="24"/>
        </w:rPr>
        <w:t xml:space="preserve">such as </w:t>
      </w:r>
      <w:r w:rsidR="00A517C4" w:rsidRPr="00077F15">
        <w:rPr>
          <w:rFonts w:ascii="Times New Roman" w:hAnsi="Times New Roman" w:cs="Times New Roman"/>
          <w:sz w:val="24"/>
          <w:szCs w:val="24"/>
        </w:rPr>
        <w:t>Lack of Proper Personal Protective Equipment (PPE)</w:t>
      </w:r>
      <w:r w:rsidR="00A517C4" w:rsidRPr="00077F15">
        <w:rPr>
          <w:rFonts w:ascii="Times New Roman" w:eastAsia="Times New Roman" w:hAnsi="Times New Roman" w:cs="Times New Roman"/>
          <w:sz w:val="24"/>
          <w:szCs w:val="24"/>
        </w:rPr>
        <w:t xml:space="preserve"> </w:t>
      </w:r>
      <w:r w:rsidRPr="00077F15">
        <w:rPr>
          <w:rFonts w:ascii="Times New Roman" w:eastAsia="Times New Roman" w:hAnsi="Times New Roman" w:cs="Times New Roman"/>
          <w:sz w:val="24"/>
          <w:szCs w:val="24"/>
        </w:rPr>
        <w:t>by personnel and poor housekeeping</w:t>
      </w:r>
      <w:r w:rsidR="00A517C4" w:rsidRPr="00077F15">
        <w:rPr>
          <w:rFonts w:ascii="Times New Roman" w:eastAsia="Times New Roman" w:hAnsi="Times New Roman" w:cs="Times New Roman"/>
          <w:sz w:val="24"/>
          <w:szCs w:val="24"/>
        </w:rPr>
        <w:t xml:space="preserve"> such as </w:t>
      </w:r>
      <w:r w:rsidR="00A517C4" w:rsidRPr="00077F15">
        <w:rPr>
          <w:rFonts w:ascii="Times New Roman" w:hAnsi="Times New Roman" w:cs="Times New Roman"/>
          <w:bCs/>
          <w:sz w:val="24"/>
          <w:szCs w:val="24"/>
        </w:rPr>
        <w:t>poor lighting</w:t>
      </w:r>
      <w:r w:rsidR="004777B6" w:rsidRPr="00077F15">
        <w:rPr>
          <w:rFonts w:ascii="Times New Roman" w:hAnsi="Times New Roman" w:cs="Times New Roman"/>
          <w:bCs/>
          <w:sz w:val="24"/>
          <w:szCs w:val="24"/>
        </w:rPr>
        <w:t>, human error</w:t>
      </w:r>
      <w:r w:rsidRPr="00077F15">
        <w:rPr>
          <w:rFonts w:ascii="Times New Roman" w:eastAsia="Times New Roman" w:hAnsi="Times New Roman" w:cs="Times New Roman"/>
          <w:sz w:val="24"/>
          <w:szCs w:val="24"/>
        </w:rPr>
        <w:t xml:space="preserve"> were among the </w:t>
      </w:r>
      <w:r w:rsidR="005714EB" w:rsidRPr="00077F15">
        <w:rPr>
          <w:rFonts w:ascii="Times New Roman" w:eastAsia="Times New Roman" w:hAnsi="Times New Roman" w:cs="Times New Roman"/>
          <w:sz w:val="24"/>
          <w:szCs w:val="24"/>
        </w:rPr>
        <w:t>factors responsible for</w:t>
      </w:r>
      <w:r w:rsidRPr="00077F15">
        <w:rPr>
          <w:rFonts w:ascii="Times New Roman" w:eastAsia="Times New Roman" w:hAnsi="Times New Roman" w:cs="Times New Roman"/>
          <w:sz w:val="24"/>
          <w:szCs w:val="24"/>
        </w:rPr>
        <w:t xml:space="preserve"> incidents in these companies. </w:t>
      </w:r>
      <w:r w:rsidR="005714EB" w:rsidRPr="00077F15">
        <w:rPr>
          <w:rFonts w:ascii="Times New Roman" w:eastAsia="Times New Roman" w:hAnsi="Times New Roman" w:cs="Times New Roman"/>
          <w:sz w:val="24"/>
          <w:szCs w:val="24"/>
        </w:rPr>
        <w:t xml:space="preserve">The study also showed that implementing HSE policies and planning HSE trainings for staff at all levels were among the preventive measures for incidents in oil and gas downstream companies in Port Harcourt metropolis. </w:t>
      </w:r>
      <w:r w:rsidRPr="00077F15">
        <w:rPr>
          <w:rFonts w:ascii="Times New Roman" w:eastAsia="Times New Roman" w:hAnsi="Times New Roman" w:cs="Times New Roman"/>
          <w:sz w:val="24"/>
          <w:szCs w:val="24"/>
        </w:rPr>
        <w:t xml:space="preserve">The investigation </w:t>
      </w:r>
      <w:r w:rsidR="00D6247D" w:rsidRPr="00077F15">
        <w:rPr>
          <w:rFonts w:ascii="Times New Roman" w:eastAsia="Times New Roman" w:hAnsi="Times New Roman" w:cs="Times New Roman"/>
          <w:sz w:val="24"/>
          <w:szCs w:val="24"/>
        </w:rPr>
        <w:t>concludes</w:t>
      </w:r>
      <w:r w:rsidRPr="00077F15">
        <w:rPr>
          <w:rFonts w:ascii="Times New Roman" w:eastAsia="Times New Roman" w:hAnsi="Times New Roman" w:cs="Times New Roman"/>
          <w:sz w:val="24"/>
          <w:szCs w:val="24"/>
        </w:rPr>
        <w:t xml:space="preserve"> that there were safety events involving personnel in Nigeria's oil and gas downstream industry at various levels</w:t>
      </w:r>
      <w:r w:rsidR="00464C11" w:rsidRPr="00077F15">
        <w:rPr>
          <w:rFonts w:ascii="Times New Roman" w:eastAsia="Times New Roman" w:hAnsi="Times New Roman" w:cs="Times New Roman"/>
          <w:sz w:val="24"/>
          <w:szCs w:val="24"/>
        </w:rPr>
        <w:t xml:space="preserve"> in Port Harcourt metropolis</w:t>
      </w:r>
      <w:r w:rsidRPr="00077F15">
        <w:rPr>
          <w:rFonts w:ascii="Times New Roman" w:eastAsia="Times New Roman" w:hAnsi="Times New Roman" w:cs="Times New Roman"/>
          <w:sz w:val="24"/>
          <w:szCs w:val="24"/>
        </w:rPr>
        <w:t xml:space="preserve">. Thus, the research </w:t>
      </w:r>
      <w:r w:rsidR="00322864" w:rsidRPr="00077F15">
        <w:rPr>
          <w:rFonts w:ascii="Times New Roman" w:eastAsia="Times New Roman" w:hAnsi="Times New Roman" w:cs="Times New Roman"/>
          <w:sz w:val="24"/>
          <w:szCs w:val="24"/>
        </w:rPr>
        <w:t>recommends</w:t>
      </w:r>
      <w:r w:rsidRPr="00077F15">
        <w:rPr>
          <w:rFonts w:ascii="Times New Roman" w:eastAsia="Times New Roman" w:hAnsi="Times New Roman" w:cs="Times New Roman"/>
          <w:sz w:val="24"/>
          <w:szCs w:val="24"/>
        </w:rPr>
        <w:t xml:space="preserve"> that businesses, in particular merchants of petroleum goods, make a commitment to fostering a strong HSE culture among employees via the implementation of comprehensive HSE policies and staff development initiatives. These initiatives would deal with risky </w:t>
      </w:r>
      <w:proofErr w:type="spellStart"/>
      <w:r w:rsidRPr="00077F15">
        <w:rPr>
          <w:rFonts w:ascii="Times New Roman" w:eastAsia="Times New Roman" w:hAnsi="Times New Roman" w:cs="Times New Roman"/>
          <w:sz w:val="24"/>
          <w:szCs w:val="24"/>
        </w:rPr>
        <w:t>behaviours</w:t>
      </w:r>
      <w:proofErr w:type="spellEnd"/>
      <w:r w:rsidRPr="00077F15">
        <w:rPr>
          <w:rFonts w:ascii="Times New Roman" w:eastAsia="Times New Roman" w:hAnsi="Times New Roman" w:cs="Times New Roman"/>
          <w:sz w:val="24"/>
          <w:szCs w:val="24"/>
        </w:rPr>
        <w:t xml:space="preserve"> as well as risky circumstances. </w:t>
      </w:r>
    </w:p>
    <w:p w14:paraId="28FD4C68" w14:textId="77777777" w:rsidR="005D145A" w:rsidRPr="00340142" w:rsidRDefault="005D145A" w:rsidP="005D145A">
      <w:pPr>
        <w:rPr>
          <w:rFonts w:ascii="Times New Roman" w:hAnsi="Times New Roman" w:cs="Times New Roman"/>
          <w:b/>
          <w:sz w:val="24"/>
          <w:szCs w:val="24"/>
        </w:rPr>
      </w:pPr>
      <w:r w:rsidRPr="00340142">
        <w:rPr>
          <w:rFonts w:ascii="Times New Roman" w:hAnsi="Times New Roman" w:cs="Times New Roman"/>
          <w:b/>
          <w:sz w:val="24"/>
          <w:szCs w:val="24"/>
        </w:rPr>
        <w:t>Keywords:</w:t>
      </w:r>
      <w:r w:rsidRPr="00340142">
        <w:rPr>
          <w:rFonts w:ascii="Times New Roman" w:hAnsi="Times New Roman" w:cs="Times New Roman"/>
          <w:b/>
          <w:bCs/>
          <w:sz w:val="24"/>
          <w:szCs w:val="24"/>
        </w:rPr>
        <w:t xml:space="preserve"> </w:t>
      </w:r>
      <w:r w:rsidRPr="00340142">
        <w:rPr>
          <w:rFonts w:ascii="Times New Roman" w:hAnsi="Times New Roman" w:cs="Times New Roman"/>
          <w:bCs/>
          <w:sz w:val="24"/>
          <w:szCs w:val="24"/>
        </w:rPr>
        <w:t>Safety Incidents, Workers, Oil and Gas, Downstream Companies</w:t>
      </w:r>
    </w:p>
    <w:p w14:paraId="1868E808" w14:textId="77777777" w:rsidR="005D145A" w:rsidRPr="00340142" w:rsidRDefault="005D145A" w:rsidP="005D145A">
      <w:pPr>
        <w:rPr>
          <w:rFonts w:ascii="Times New Roman" w:eastAsiaTheme="majorEastAsia" w:hAnsi="Times New Roman" w:cs="Times New Roman"/>
          <w:b/>
          <w:bCs/>
          <w:caps/>
          <w:spacing w:val="4"/>
          <w:sz w:val="24"/>
          <w:szCs w:val="24"/>
        </w:rPr>
      </w:pPr>
    </w:p>
    <w:p w14:paraId="0B9A41DE" w14:textId="77777777" w:rsidR="005D145A" w:rsidRPr="00340142" w:rsidRDefault="005D145A" w:rsidP="005D145A">
      <w:pPr>
        <w:pStyle w:val="Heading1"/>
        <w:rPr>
          <w:rFonts w:ascii="Times New Roman" w:hAnsi="Times New Roman" w:cs="Times New Roman"/>
          <w:sz w:val="24"/>
          <w:szCs w:val="24"/>
        </w:rPr>
      </w:pPr>
      <w:bookmarkStart w:id="1" w:name="_Toc176778374"/>
      <w:r w:rsidRPr="00340142">
        <w:rPr>
          <w:rFonts w:ascii="Times New Roman" w:hAnsi="Times New Roman" w:cs="Times New Roman"/>
          <w:sz w:val="24"/>
          <w:szCs w:val="24"/>
        </w:rPr>
        <w:t>INTRODUCTION</w:t>
      </w:r>
      <w:bookmarkEnd w:id="1"/>
    </w:p>
    <w:p w14:paraId="37DD95A6" w14:textId="77777777" w:rsidR="009B1447" w:rsidRDefault="00D75884" w:rsidP="00D75884">
      <w:pPr>
        <w:spacing w:after="240" w:line="480" w:lineRule="auto"/>
        <w:rPr>
          <w:rFonts w:ascii="Times New Roman" w:eastAsia="Times New Roman" w:hAnsi="Times New Roman" w:cs="Times New Roman"/>
          <w:sz w:val="24"/>
          <w:szCs w:val="24"/>
        </w:rPr>
      </w:pPr>
      <w:bookmarkStart w:id="2" w:name="_Toc176778377"/>
      <w:r w:rsidRPr="00D75884">
        <w:rPr>
          <w:rFonts w:ascii="Times New Roman" w:eastAsia="Times New Roman" w:hAnsi="Times New Roman" w:cs="Times New Roman"/>
          <w:sz w:val="24"/>
          <w:szCs w:val="24"/>
        </w:rPr>
        <w:t>Globally, energy is very important and plays a critical role in all spheres of existence, including the economic, sociopolitical, and environmental. The income from the energy sectors is a major source of income for Nigeria's economy (</w:t>
      </w:r>
      <w:proofErr w:type="spellStart"/>
      <w:r w:rsidRPr="00D75884">
        <w:rPr>
          <w:rFonts w:ascii="Times New Roman" w:eastAsia="Times New Roman" w:hAnsi="Times New Roman" w:cs="Times New Roman"/>
          <w:sz w:val="24"/>
          <w:szCs w:val="24"/>
        </w:rPr>
        <w:t>Omenikolo</w:t>
      </w:r>
      <w:proofErr w:type="spellEnd"/>
      <w:r w:rsidRPr="00D75884">
        <w:rPr>
          <w:rFonts w:ascii="Times New Roman" w:eastAsia="Times New Roman" w:hAnsi="Times New Roman" w:cs="Times New Roman"/>
          <w:sz w:val="24"/>
          <w:szCs w:val="24"/>
        </w:rPr>
        <w:t xml:space="preserve"> and Amadi, 2010). Upstream and downstream operations are the general categories for oil production activities. Exploration, appraisals, field development, production, and decommissioning activities are all part of the upstream operations, which include the extraction and production of crude oil and gas (Babatunde </w:t>
      </w:r>
      <w:r w:rsidR="006A1A0A" w:rsidRPr="006A1A0A">
        <w:rPr>
          <w:rFonts w:ascii="Times New Roman" w:eastAsia="Times New Roman" w:hAnsi="Times New Roman" w:cs="Times New Roman"/>
          <w:i/>
          <w:sz w:val="24"/>
          <w:szCs w:val="24"/>
        </w:rPr>
        <w:t>et al</w:t>
      </w:r>
      <w:r w:rsidR="002F39A7">
        <w:rPr>
          <w:rFonts w:ascii="Times New Roman" w:eastAsia="Times New Roman" w:hAnsi="Times New Roman" w:cs="Times New Roman"/>
          <w:sz w:val="24"/>
          <w:szCs w:val="24"/>
        </w:rPr>
        <w:t xml:space="preserve">., </w:t>
      </w:r>
      <w:r w:rsidRPr="00D75884">
        <w:rPr>
          <w:rFonts w:ascii="Times New Roman" w:eastAsia="Times New Roman" w:hAnsi="Times New Roman" w:cs="Times New Roman"/>
          <w:sz w:val="24"/>
          <w:szCs w:val="24"/>
        </w:rPr>
        <w:t xml:space="preserve">2013). On the other hand, the downstream processes include distribution, retailing, </w:t>
      </w:r>
      <w:r w:rsidRPr="00D75884">
        <w:rPr>
          <w:rFonts w:ascii="Times New Roman" w:eastAsia="Times New Roman" w:hAnsi="Times New Roman" w:cs="Times New Roman"/>
          <w:sz w:val="24"/>
          <w:szCs w:val="24"/>
        </w:rPr>
        <w:lastRenderedPageBreak/>
        <w:t xml:space="preserve">transportation, refining, and product warehousing. The oil and gas industries' upstream and downstream sectors carry significant risks to human health, safety, and the environment. As such, any responsible society must take steps to </w:t>
      </w:r>
      <w:r w:rsidR="002F39A7">
        <w:rPr>
          <w:rFonts w:ascii="Times New Roman" w:eastAsia="Times New Roman" w:hAnsi="Times New Roman" w:cs="Times New Roman"/>
          <w:sz w:val="24"/>
          <w:szCs w:val="24"/>
        </w:rPr>
        <w:t xml:space="preserve">ascertain the causes, </w:t>
      </w:r>
      <w:r w:rsidRPr="00D75884">
        <w:rPr>
          <w:rFonts w:ascii="Times New Roman" w:eastAsia="Times New Roman" w:hAnsi="Times New Roman" w:cs="Times New Roman"/>
          <w:sz w:val="24"/>
          <w:szCs w:val="24"/>
        </w:rPr>
        <w:t xml:space="preserve">prevent, mitigate, and control any potentially harmful effects of these operations (Kelly, 2016). Thus, the need for safety and environmental legislation, policies, directives, rules, and oversight—some of which became well-known due to the Rio Declaration of 1992—and so forth. The disregard for safety and environmental regulations is a worldwide problem since it compromises public health and safety, damages the environment, and contributes to global warming. </w:t>
      </w:r>
    </w:p>
    <w:p w14:paraId="4AC2DD64" w14:textId="77777777" w:rsidR="009B1447" w:rsidRDefault="00D75884" w:rsidP="00D75884">
      <w:pPr>
        <w:spacing w:after="240" w:line="480" w:lineRule="auto"/>
        <w:rPr>
          <w:rFonts w:ascii="Times New Roman" w:eastAsia="Times New Roman" w:hAnsi="Times New Roman" w:cs="Times New Roman"/>
          <w:sz w:val="24"/>
          <w:szCs w:val="24"/>
        </w:rPr>
      </w:pPr>
      <w:r w:rsidRPr="00D75884">
        <w:rPr>
          <w:rFonts w:ascii="Times New Roman" w:eastAsia="Times New Roman" w:hAnsi="Times New Roman" w:cs="Times New Roman"/>
          <w:sz w:val="24"/>
          <w:szCs w:val="24"/>
        </w:rPr>
        <w:br/>
        <w:t xml:space="preserve">The evaluation of industrial workers' safety operations assesses the level of safety with which these workers carry out their tasks in the workplace. This comprises developing and putting into effect safety work processes and regulations, providing personal protective equipment, constructing routine/regular workplace inspections, and putting into effect policies that would guarantee a safe working environment for industrial workers. Kelly (2016) said that the U.S. Occupational Safety and Health Administration revealed in 2014 that the death rate in the oil and gas industry was seven times higher than the rate in all U.S. industries combined. In the oil and gas extraction business, the incidence of work-related fatalities climbed to 27.6% between 2003 and 2013, accounting for 1,189 deaths, according to a 2015 data from the </w:t>
      </w:r>
      <w:proofErr w:type="spellStart"/>
      <w:r w:rsidRPr="00D75884">
        <w:rPr>
          <w:rFonts w:ascii="Times New Roman" w:eastAsia="Times New Roman" w:hAnsi="Times New Roman" w:cs="Times New Roman"/>
          <w:sz w:val="24"/>
          <w:szCs w:val="24"/>
        </w:rPr>
        <w:t>Centres</w:t>
      </w:r>
      <w:proofErr w:type="spellEnd"/>
      <w:r w:rsidRPr="00D75884">
        <w:rPr>
          <w:rFonts w:ascii="Times New Roman" w:eastAsia="Times New Roman" w:hAnsi="Times New Roman" w:cs="Times New Roman"/>
          <w:sz w:val="24"/>
          <w:szCs w:val="24"/>
        </w:rPr>
        <w:t xml:space="preserve"> for Disease Control and Prevention. </w:t>
      </w:r>
    </w:p>
    <w:p w14:paraId="30B4283C" w14:textId="77777777" w:rsidR="00436148" w:rsidRPr="002E154D" w:rsidRDefault="00D75884" w:rsidP="002E154D">
      <w:pPr>
        <w:spacing w:after="240" w:line="480" w:lineRule="auto"/>
        <w:rPr>
          <w:rFonts w:ascii="Times New Roman" w:eastAsia="Times New Roman" w:hAnsi="Times New Roman" w:cs="Times New Roman"/>
          <w:sz w:val="24"/>
          <w:szCs w:val="24"/>
        </w:rPr>
      </w:pPr>
      <w:r w:rsidRPr="00D75884">
        <w:rPr>
          <w:rFonts w:ascii="Times New Roman" w:eastAsia="Times New Roman" w:hAnsi="Times New Roman" w:cs="Times New Roman"/>
          <w:sz w:val="24"/>
          <w:szCs w:val="24"/>
        </w:rPr>
        <w:t xml:space="preserve">According to Kelly (2016), there are seven occurrences related to the oil and gas business that should not be disregarded. These incidents include vehicle accidents, falls, confined spaces, chemical exposures, struck-by, caught-in-between, explosions, and working in remote places. To maintain employee safety, several businesses continue to use antiquated check-in processes. The </w:t>
      </w:r>
      <w:r w:rsidRPr="00D75884">
        <w:rPr>
          <w:rFonts w:ascii="Times New Roman" w:eastAsia="Times New Roman" w:hAnsi="Times New Roman" w:cs="Times New Roman"/>
          <w:sz w:val="24"/>
          <w:szCs w:val="24"/>
        </w:rPr>
        <w:lastRenderedPageBreak/>
        <w:t xml:space="preserve">outdated nature of this strategy has shown its inability to react quickly enough in real time to benefit lone workers. Although studies on oil and gas industry safety are available, little is known about the critical safety factors that contribute to accidents in Port Harcourt, particularly in the downstream sector. </w:t>
      </w:r>
      <w:r w:rsidR="002F39A7" w:rsidRPr="00D75884">
        <w:rPr>
          <w:rFonts w:ascii="Times New Roman" w:eastAsia="Times New Roman" w:hAnsi="Times New Roman" w:cs="Times New Roman"/>
          <w:sz w:val="24"/>
          <w:szCs w:val="24"/>
        </w:rPr>
        <w:t>Because</w:t>
      </w:r>
      <w:r w:rsidRPr="00D75884">
        <w:rPr>
          <w:rFonts w:ascii="Times New Roman" w:eastAsia="Times New Roman" w:hAnsi="Times New Roman" w:cs="Times New Roman"/>
          <w:sz w:val="24"/>
          <w:szCs w:val="24"/>
        </w:rPr>
        <w:t xml:space="preserve"> </w:t>
      </w:r>
      <w:r w:rsidR="002F39A7">
        <w:rPr>
          <w:rFonts w:ascii="Times New Roman" w:eastAsia="Times New Roman" w:hAnsi="Times New Roman" w:cs="Times New Roman"/>
          <w:sz w:val="24"/>
          <w:szCs w:val="24"/>
        </w:rPr>
        <w:t xml:space="preserve">Nigerian </w:t>
      </w:r>
      <w:r w:rsidRPr="00D75884">
        <w:rPr>
          <w:rFonts w:ascii="Times New Roman" w:eastAsia="Times New Roman" w:hAnsi="Times New Roman" w:cs="Times New Roman"/>
          <w:sz w:val="24"/>
          <w:szCs w:val="24"/>
        </w:rPr>
        <w:t xml:space="preserve">downstream oil and gas industry lacks trustworthy data about the frequency and underlying causes of accidents. For this reason, the researcher is attempting to determine what </w:t>
      </w:r>
      <w:r w:rsidR="00094867">
        <w:rPr>
          <w:rFonts w:ascii="Times New Roman" w:hAnsi="Times New Roman" w:cs="Times New Roman"/>
          <w:sz w:val="24"/>
          <w:szCs w:val="24"/>
        </w:rPr>
        <w:t xml:space="preserve">the </w:t>
      </w:r>
      <w:r w:rsidR="00094867" w:rsidRPr="00B236A6">
        <w:rPr>
          <w:rFonts w:ascii="Times New Roman" w:hAnsi="Times New Roman" w:cs="Times New Roman"/>
          <w:sz w:val="24"/>
          <w:szCs w:val="24"/>
        </w:rPr>
        <w:t>Factors Responsible for Safety Incidents in Oil and Gas Downstream Companies in Port Harcourt Metropolis</w:t>
      </w:r>
      <w:r w:rsidRPr="00D75884">
        <w:rPr>
          <w:rFonts w:ascii="Times New Roman" w:eastAsia="Times New Roman" w:hAnsi="Times New Roman" w:cs="Times New Roman"/>
          <w:sz w:val="24"/>
          <w:szCs w:val="24"/>
        </w:rPr>
        <w:t xml:space="preserve">. </w:t>
      </w:r>
    </w:p>
    <w:p w14:paraId="0A7856A6" w14:textId="77777777" w:rsidR="005D145A" w:rsidRPr="00340142" w:rsidRDefault="005D145A" w:rsidP="005D145A">
      <w:pPr>
        <w:pStyle w:val="Heading2"/>
        <w:spacing w:line="480" w:lineRule="auto"/>
        <w:rPr>
          <w:rFonts w:ascii="Times New Roman" w:hAnsi="Times New Roman" w:cs="Times New Roman"/>
          <w:sz w:val="24"/>
          <w:szCs w:val="24"/>
        </w:rPr>
      </w:pPr>
      <w:r w:rsidRPr="00340142">
        <w:rPr>
          <w:rFonts w:ascii="Times New Roman" w:hAnsi="Times New Roman" w:cs="Times New Roman"/>
          <w:sz w:val="24"/>
          <w:szCs w:val="24"/>
        </w:rPr>
        <w:t>Aim and Objectives of the Study</w:t>
      </w:r>
      <w:bookmarkEnd w:id="2"/>
    </w:p>
    <w:p w14:paraId="45A0D168" w14:textId="77777777" w:rsidR="005D145A" w:rsidRPr="00340142" w:rsidRDefault="005D145A" w:rsidP="005D145A">
      <w:pPr>
        <w:spacing w:line="480" w:lineRule="auto"/>
        <w:rPr>
          <w:rFonts w:ascii="Times New Roman" w:hAnsi="Times New Roman" w:cs="Times New Roman"/>
          <w:sz w:val="24"/>
          <w:szCs w:val="24"/>
        </w:rPr>
      </w:pPr>
      <w:r w:rsidRPr="003D23DA">
        <w:rPr>
          <w:rFonts w:ascii="Times New Roman" w:hAnsi="Times New Roman" w:cs="Times New Roman"/>
          <w:sz w:val="24"/>
          <w:szCs w:val="24"/>
        </w:rPr>
        <w:t xml:space="preserve">The aim of this study is to </w:t>
      </w:r>
      <w:r w:rsidR="00B236A6">
        <w:rPr>
          <w:rFonts w:ascii="Times New Roman" w:hAnsi="Times New Roman" w:cs="Times New Roman"/>
          <w:sz w:val="24"/>
          <w:szCs w:val="24"/>
        </w:rPr>
        <w:t xml:space="preserve">investigate the </w:t>
      </w:r>
      <w:r w:rsidR="0076338C">
        <w:rPr>
          <w:rFonts w:ascii="Times New Roman" w:hAnsi="Times New Roman" w:cs="Times New Roman"/>
          <w:sz w:val="24"/>
          <w:szCs w:val="24"/>
        </w:rPr>
        <w:t>factors responsible for s</w:t>
      </w:r>
      <w:r w:rsidR="00B236A6" w:rsidRPr="00B236A6">
        <w:rPr>
          <w:rFonts w:ascii="Times New Roman" w:hAnsi="Times New Roman" w:cs="Times New Roman"/>
          <w:sz w:val="24"/>
          <w:szCs w:val="24"/>
        </w:rPr>
        <w:t xml:space="preserve">afety </w:t>
      </w:r>
      <w:r w:rsidR="0076338C">
        <w:rPr>
          <w:rFonts w:ascii="Times New Roman" w:hAnsi="Times New Roman" w:cs="Times New Roman"/>
          <w:sz w:val="24"/>
          <w:szCs w:val="24"/>
        </w:rPr>
        <w:t>incidents in Oil and Gas downstream companies in Port Harcourt m</w:t>
      </w:r>
      <w:r w:rsidR="00B236A6" w:rsidRPr="00B236A6">
        <w:rPr>
          <w:rFonts w:ascii="Times New Roman" w:hAnsi="Times New Roman" w:cs="Times New Roman"/>
          <w:sz w:val="24"/>
          <w:szCs w:val="24"/>
        </w:rPr>
        <w:t>etropolis</w:t>
      </w:r>
      <w:r w:rsidR="00B236A6">
        <w:rPr>
          <w:rFonts w:ascii="Times New Roman" w:hAnsi="Times New Roman" w:cs="Times New Roman"/>
          <w:sz w:val="24"/>
          <w:szCs w:val="24"/>
        </w:rPr>
        <w:t>.</w:t>
      </w:r>
      <w:r w:rsidR="00F946EF">
        <w:rPr>
          <w:rFonts w:ascii="Times New Roman" w:hAnsi="Times New Roman" w:cs="Times New Roman"/>
          <w:sz w:val="24"/>
          <w:szCs w:val="24"/>
        </w:rPr>
        <w:t xml:space="preserve"> </w:t>
      </w:r>
      <w:r w:rsidRPr="00340142">
        <w:rPr>
          <w:rFonts w:ascii="Times New Roman" w:hAnsi="Times New Roman" w:cs="Times New Roman"/>
          <w:sz w:val="24"/>
          <w:szCs w:val="24"/>
        </w:rPr>
        <w:t xml:space="preserve">The specific objectives </w:t>
      </w:r>
      <w:r w:rsidR="00F946EF">
        <w:rPr>
          <w:rFonts w:ascii="Times New Roman" w:hAnsi="Times New Roman" w:cs="Times New Roman"/>
          <w:sz w:val="24"/>
          <w:szCs w:val="24"/>
        </w:rPr>
        <w:t>were</w:t>
      </w:r>
      <w:r w:rsidRPr="00340142">
        <w:rPr>
          <w:rFonts w:ascii="Times New Roman" w:hAnsi="Times New Roman" w:cs="Times New Roman"/>
          <w:sz w:val="24"/>
          <w:szCs w:val="24"/>
        </w:rPr>
        <w:t xml:space="preserve"> to;</w:t>
      </w:r>
    </w:p>
    <w:p w14:paraId="458E57FA" w14:textId="77777777" w:rsidR="005D145A" w:rsidRPr="00340142" w:rsidRDefault="005D145A" w:rsidP="005D145A">
      <w:pPr>
        <w:pStyle w:val="ListParagraph"/>
        <w:numPr>
          <w:ilvl w:val="0"/>
          <w:numId w:val="1"/>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identify the root causes of the incidents in oil and gas downstream companies in Port Harcourt metropolis.</w:t>
      </w:r>
    </w:p>
    <w:p w14:paraId="00D1D975" w14:textId="77777777" w:rsidR="005D145A" w:rsidRPr="00340142" w:rsidRDefault="005D145A" w:rsidP="005D145A">
      <w:pPr>
        <w:pStyle w:val="ListParagraph"/>
        <w:numPr>
          <w:ilvl w:val="0"/>
          <w:numId w:val="1"/>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identify the preventive measures used to prevent reoccurrence of these incidents among workers in oil and gas downstream companies in Port Harcourt metropolis.</w:t>
      </w:r>
    </w:p>
    <w:p w14:paraId="0D90037F" w14:textId="77777777" w:rsidR="005D145A" w:rsidRPr="00340142" w:rsidRDefault="005D145A" w:rsidP="005D145A">
      <w:pPr>
        <w:pStyle w:val="Heading1"/>
        <w:rPr>
          <w:rFonts w:ascii="Times New Roman" w:hAnsi="Times New Roman" w:cs="Times New Roman"/>
          <w:sz w:val="24"/>
          <w:szCs w:val="24"/>
        </w:rPr>
      </w:pPr>
      <w:bookmarkStart w:id="3" w:name="_Toc176778444"/>
      <w:r w:rsidRPr="00340142">
        <w:rPr>
          <w:rFonts w:ascii="Times New Roman" w:hAnsi="Times New Roman" w:cs="Times New Roman"/>
          <w:sz w:val="24"/>
          <w:szCs w:val="24"/>
        </w:rPr>
        <w:t>METHODOLOGY</w:t>
      </w:r>
    </w:p>
    <w:p w14:paraId="68E2D622"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lang w:val="af-ZA"/>
        </w:rPr>
        <w:t>This research adopted the descriptive survey research design.</w:t>
      </w:r>
      <w:r w:rsidRPr="00340142">
        <w:rPr>
          <w:rFonts w:ascii="Times New Roman" w:hAnsi="Times New Roman" w:cs="Times New Roman"/>
          <w:sz w:val="24"/>
          <w:szCs w:val="24"/>
        </w:rPr>
        <w:t xml:space="preserve"> </w:t>
      </w:r>
      <w:r w:rsidRPr="00340142">
        <w:rPr>
          <w:rFonts w:ascii="Times New Roman" w:hAnsi="Times New Roman" w:cs="Times New Roman"/>
          <w:iCs/>
          <w:sz w:val="24"/>
          <w:szCs w:val="24"/>
        </w:rPr>
        <w:t>The population of the study was 1500 employees from 86 s</w:t>
      </w:r>
      <w:r w:rsidRPr="00340142">
        <w:rPr>
          <w:rFonts w:ascii="Times New Roman" w:hAnsi="Times New Roman" w:cs="Times New Roman"/>
          <w:sz w:val="24"/>
          <w:szCs w:val="24"/>
        </w:rPr>
        <w:t>elected oil and gas downstream companies in Port Harcourt metropolis (</w:t>
      </w:r>
      <w:r w:rsidRPr="00340142">
        <w:rPr>
          <w:rStyle w:val="cskcde"/>
          <w:rFonts w:ascii="Times New Roman" w:hAnsi="Times New Roman" w:cs="Times New Roman"/>
          <w:sz w:val="24"/>
          <w:szCs w:val="24"/>
        </w:rPr>
        <w:t>Nigerian Midstream and Downstream Petroleum Regulatory Authority</w:t>
      </w:r>
      <w:r w:rsidRPr="00340142">
        <w:rPr>
          <w:rFonts w:ascii="Times New Roman" w:hAnsi="Times New Roman" w:cs="Times New Roman"/>
          <w:sz w:val="24"/>
          <w:szCs w:val="24"/>
        </w:rPr>
        <w:t>, 2022).</w:t>
      </w:r>
      <w:r w:rsidRPr="00340142">
        <w:rPr>
          <w:rFonts w:ascii="Times New Roman" w:hAnsi="Times New Roman" w:cs="Times New Roman"/>
          <w:b/>
          <w:sz w:val="24"/>
          <w:szCs w:val="24"/>
        </w:rPr>
        <w:t xml:space="preserve"> </w:t>
      </w:r>
      <w:r w:rsidRPr="00340142">
        <w:rPr>
          <w:rFonts w:ascii="Times New Roman" w:hAnsi="Times New Roman" w:cs="Times New Roman"/>
          <w:sz w:val="24"/>
          <w:szCs w:val="24"/>
        </w:rPr>
        <w:t>The sample of the study 346 employees in the oil and gas downstream companies in Port Harcourt Metropolis,</w:t>
      </w:r>
      <w:r w:rsidRPr="00340142">
        <w:rPr>
          <w:rFonts w:ascii="Times New Roman" w:hAnsi="Times New Roman" w:cs="Times New Roman"/>
          <w:iCs/>
          <w:sz w:val="24"/>
          <w:szCs w:val="24"/>
        </w:rPr>
        <w:t xml:space="preserve"> which represents 25% of the</w:t>
      </w:r>
      <w:r w:rsidRPr="00340142">
        <w:rPr>
          <w:rFonts w:ascii="Times New Roman" w:hAnsi="Times New Roman" w:cs="Times New Roman"/>
          <w:sz w:val="24"/>
          <w:szCs w:val="24"/>
        </w:rPr>
        <w:t xml:space="preserve"> entire population. A non-stratified random sampling technique was used to select the sample size. </w:t>
      </w:r>
      <w:r w:rsidRPr="00340142">
        <w:rPr>
          <w:rStyle w:val="hgkelc"/>
          <w:rFonts w:ascii="Times New Roman" w:hAnsi="Times New Roman" w:cs="Times New Roman"/>
          <w:sz w:val="24"/>
          <w:szCs w:val="24"/>
          <w:lang w:val="en"/>
        </w:rPr>
        <w:t>N</w:t>
      </w:r>
      <w:r w:rsidR="00946179">
        <w:rPr>
          <w:rStyle w:val="hgkelc"/>
          <w:rFonts w:ascii="Times New Roman" w:hAnsi="Times New Roman" w:cs="Times New Roman"/>
          <w:sz w:val="24"/>
          <w:szCs w:val="24"/>
          <w:lang w:val="en"/>
        </w:rPr>
        <w:t>on-proportional quota sampling was</w:t>
      </w:r>
      <w:r w:rsidRPr="00340142">
        <w:rPr>
          <w:rStyle w:val="hgkelc"/>
          <w:rFonts w:ascii="Times New Roman" w:hAnsi="Times New Roman" w:cs="Times New Roman"/>
          <w:sz w:val="24"/>
          <w:szCs w:val="24"/>
          <w:lang w:val="en"/>
        </w:rPr>
        <w:t xml:space="preserve"> </w:t>
      </w:r>
      <w:r w:rsidRPr="00340142">
        <w:rPr>
          <w:rStyle w:val="hgkelc"/>
          <w:rFonts w:ascii="Times New Roman" w:hAnsi="Times New Roman" w:cs="Times New Roman"/>
          <w:bCs/>
          <w:sz w:val="24"/>
          <w:szCs w:val="24"/>
          <w:lang w:val="en"/>
        </w:rPr>
        <w:t>used when the size of the population is unknown</w:t>
      </w:r>
      <w:r w:rsidRPr="00340142">
        <w:rPr>
          <w:rStyle w:val="hgkelc"/>
          <w:rFonts w:ascii="Times New Roman" w:hAnsi="Times New Roman" w:cs="Times New Roman"/>
          <w:sz w:val="24"/>
          <w:szCs w:val="24"/>
          <w:lang w:val="en"/>
        </w:rPr>
        <w:t>.</w:t>
      </w:r>
      <w:bookmarkStart w:id="4" w:name="_Toc176778439"/>
      <w:r w:rsidRPr="00340142">
        <w:rPr>
          <w:rStyle w:val="hgkelc"/>
          <w:rFonts w:ascii="Times New Roman" w:hAnsi="Times New Roman" w:cs="Times New Roman"/>
          <w:sz w:val="24"/>
          <w:szCs w:val="24"/>
          <w:lang w:val="en"/>
        </w:rPr>
        <w:t xml:space="preserve"> </w:t>
      </w:r>
      <w:bookmarkEnd w:id="4"/>
      <w:r w:rsidRPr="00340142">
        <w:rPr>
          <w:rFonts w:ascii="Times New Roman" w:hAnsi="Times New Roman" w:cs="Times New Roman"/>
          <w:sz w:val="24"/>
          <w:szCs w:val="24"/>
        </w:rPr>
        <w:t xml:space="preserve">The instrument for data collection </w:t>
      </w:r>
      <w:r w:rsidR="00077BE9">
        <w:rPr>
          <w:rFonts w:ascii="Times New Roman" w:hAnsi="Times New Roman" w:cs="Times New Roman"/>
          <w:sz w:val="24"/>
          <w:szCs w:val="24"/>
        </w:rPr>
        <w:t>was</w:t>
      </w:r>
      <w:r w:rsidRPr="00340142">
        <w:rPr>
          <w:rFonts w:ascii="Times New Roman" w:hAnsi="Times New Roman" w:cs="Times New Roman"/>
          <w:sz w:val="24"/>
          <w:szCs w:val="24"/>
        </w:rPr>
        <w:t xml:space="preserve"> a questionnaire titled “Appraisal of Safety Incidents among Workers in Selected Oil and Gas Downstream Companies in Port Harcourt </w:t>
      </w:r>
      <w:r w:rsidRPr="00340142">
        <w:rPr>
          <w:rFonts w:ascii="Times New Roman" w:hAnsi="Times New Roman" w:cs="Times New Roman"/>
          <w:sz w:val="24"/>
          <w:szCs w:val="24"/>
        </w:rPr>
        <w:lastRenderedPageBreak/>
        <w:t xml:space="preserve">Metropolis Questionnaire (ASIWSOGDCPHQ). It was made up of two sections- A and B. Section A contained the demographic data such as age, gender etc., while section B was made of the item that was used to measure the objectives. The instrument used the modified four-point Likert type questionnaire of Strongly Agree (SA), Agree (A), Disagree (D) and strongly Disagree (SD). The reliability of the instrument was determined using the test-retest method. The researcher personally administered the instrument to the respondents, with the help of two research assistants who were trained by the researcher on the procedure of administering the instrument. The instruments were filled, and collected </w:t>
      </w:r>
      <w:r w:rsidR="001D2533">
        <w:rPr>
          <w:rFonts w:ascii="Times New Roman" w:hAnsi="Times New Roman" w:cs="Times New Roman"/>
          <w:sz w:val="24"/>
          <w:szCs w:val="24"/>
        </w:rPr>
        <w:t>it</w:t>
      </w:r>
      <w:r w:rsidRPr="00340142">
        <w:rPr>
          <w:rFonts w:ascii="Times New Roman" w:hAnsi="Times New Roman" w:cs="Times New Roman"/>
          <w:sz w:val="24"/>
          <w:szCs w:val="24"/>
        </w:rPr>
        <w:t xml:space="preserve"> on the spot for scoring. Percentage, mean, and standard deviation were used to answer the research questions.</w:t>
      </w:r>
    </w:p>
    <w:p w14:paraId="613DC821" w14:textId="77777777" w:rsidR="005C5186" w:rsidRDefault="005C5186">
      <w:pPr>
        <w:spacing w:line="259" w:lineRule="auto"/>
        <w:jc w:val="left"/>
        <w:rPr>
          <w:rFonts w:ascii="Times New Roman" w:eastAsiaTheme="majorEastAsia" w:hAnsi="Times New Roman" w:cs="Times New Roman"/>
          <w:b/>
          <w:bCs/>
          <w:caps/>
          <w:spacing w:val="4"/>
          <w:sz w:val="24"/>
          <w:szCs w:val="24"/>
        </w:rPr>
      </w:pPr>
      <w:bookmarkStart w:id="5" w:name="_Toc176778445"/>
      <w:bookmarkEnd w:id="3"/>
      <w:r>
        <w:rPr>
          <w:rFonts w:ascii="Times New Roman" w:hAnsi="Times New Roman" w:cs="Times New Roman"/>
          <w:sz w:val="24"/>
          <w:szCs w:val="24"/>
        </w:rPr>
        <w:br w:type="page"/>
      </w:r>
    </w:p>
    <w:p w14:paraId="1A338031" w14:textId="77777777" w:rsidR="005D145A" w:rsidRPr="00340142" w:rsidRDefault="005D145A" w:rsidP="005D145A">
      <w:pPr>
        <w:pStyle w:val="Heading1"/>
        <w:rPr>
          <w:rFonts w:ascii="Times New Roman" w:hAnsi="Times New Roman" w:cs="Times New Roman"/>
          <w:sz w:val="24"/>
          <w:szCs w:val="24"/>
        </w:rPr>
      </w:pPr>
      <w:r w:rsidRPr="00340142">
        <w:rPr>
          <w:rFonts w:ascii="Times New Roman" w:hAnsi="Times New Roman" w:cs="Times New Roman"/>
          <w:sz w:val="24"/>
          <w:szCs w:val="24"/>
        </w:rPr>
        <w:lastRenderedPageBreak/>
        <w:t>RESULTS AND DICUSSION</w:t>
      </w:r>
      <w:bookmarkEnd w:id="5"/>
    </w:p>
    <w:p w14:paraId="44C9A859" w14:textId="77777777" w:rsidR="005D145A" w:rsidRPr="00340142" w:rsidRDefault="005D145A" w:rsidP="005D145A">
      <w:pPr>
        <w:spacing w:line="480" w:lineRule="auto"/>
        <w:rPr>
          <w:rFonts w:ascii="Times New Roman" w:hAnsi="Times New Roman" w:cs="Times New Roman"/>
          <w:b/>
          <w:sz w:val="24"/>
          <w:szCs w:val="24"/>
        </w:rPr>
      </w:pPr>
    </w:p>
    <w:p w14:paraId="074C424A" w14:textId="77777777" w:rsidR="005D145A" w:rsidRPr="00340142" w:rsidRDefault="005D145A" w:rsidP="005D145A">
      <w:pPr>
        <w:pStyle w:val="Heading2"/>
        <w:rPr>
          <w:rFonts w:ascii="Times New Roman" w:hAnsi="Times New Roman" w:cs="Times New Roman"/>
          <w:sz w:val="24"/>
          <w:szCs w:val="24"/>
        </w:rPr>
      </w:pPr>
      <w:bookmarkStart w:id="6" w:name="_Toc176778446"/>
      <w:r w:rsidRPr="00340142">
        <w:rPr>
          <w:rFonts w:ascii="Times New Roman" w:hAnsi="Times New Roman" w:cs="Times New Roman"/>
          <w:sz w:val="24"/>
          <w:szCs w:val="24"/>
        </w:rPr>
        <w:t>Data presentation and analysis</w:t>
      </w:r>
      <w:bookmarkEnd w:id="6"/>
    </w:p>
    <w:p w14:paraId="1397D033" w14:textId="77777777" w:rsidR="005D145A" w:rsidRPr="00340142" w:rsidRDefault="005D145A" w:rsidP="005D145A">
      <w:pPr>
        <w:rPr>
          <w:rFonts w:ascii="Times New Roman" w:hAnsi="Times New Roman" w:cs="Times New Roman"/>
          <w:sz w:val="24"/>
          <w:szCs w:val="24"/>
        </w:rPr>
      </w:pPr>
    </w:p>
    <w:p w14:paraId="421AFAA9" w14:textId="77777777" w:rsidR="005D145A" w:rsidRPr="00340142" w:rsidRDefault="005D145A" w:rsidP="005D145A">
      <w:pPr>
        <w:rPr>
          <w:rFonts w:ascii="Times New Roman" w:hAnsi="Times New Roman" w:cs="Times New Roman"/>
          <w:b/>
          <w:sz w:val="24"/>
          <w:szCs w:val="24"/>
        </w:rPr>
      </w:pPr>
      <w:r w:rsidRPr="00340142">
        <w:rPr>
          <w:rFonts w:ascii="Times New Roman" w:hAnsi="Times New Roman" w:cs="Times New Roman"/>
          <w:b/>
          <w:sz w:val="24"/>
          <w:szCs w:val="24"/>
        </w:rPr>
        <w:t>D</w:t>
      </w:r>
      <w:r w:rsidR="005C5186">
        <w:rPr>
          <w:rFonts w:ascii="Times New Roman" w:hAnsi="Times New Roman" w:cs="Times New Roman"/>
          <w:b/>
          <w:sz w:val="24"/>
          <w:szCs w:val="24"/>
        </w:rPr>
        <w:t>istribution</w:t>
      </w:r>
      <w:r w:rsidRPr="00340142">
        <w:rPr>
          <w:rFonts w:ascii="Times New Roman" w:hAnsi="Times New Roman" w:cs="Times New Roman"/>
          <w:b/>
          <w:sz w:val="24"/>
          <w:szCs w:val="24"/>
        </w:rPr>
        <w:t xml:space="preserve"> of the respondents </w:t>
      </w:r>
    </w:p>
    <w:p w14:paraId="200EFFD6"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drawing>
          <wp:anchor distT="0" distB="0" distL="114300" distR="114300" simplePos="0" relativeHeight="251681792" behindDoc="0" locked="0" layoutInCell="1" allowOverlap="1" wp14:anchorId="01B3E433" wp14:editId="6D4639B6">
            <wp:simplePos x="0" y="0"/>
            <wp:positionH relativeFrom="column">
              <wp:posOffset>640080</wp:posOffset>
            </wp:positionH>
            <wp:positionV relativeFrom="paragraph">
              <wp:posOffset>635</wp:posOffset>
            </wp:positionV>
            <wp:extent cx="4396740" cy="2773680"/>
            <wp:effectExtent l="0" t="0" r="3810" b="762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A79716E" w14:textId="77777777" w:rsidR="003F2D14" w:rsidRDefault="003F2D14" w:rsidP="005D145A">
      <w:pPr>
        <w:pStyle w:val="ListofFigures"/>
      </w:pPr>
      <w:bookmarkStart w:id="7" w:name="_Toc147905470"/>
      <w:bookmarkStart w:id="8" w:name="_Toc147905501"/>
    </w:p>
    <w:p w14:paraId="20018E1C" w14:textId="77777777" w:rsidR="003F2D14" w:rsidRDefault="003F2D14" w:rsidP="005D145A">
      <w:pPr>
        <w:pStyle w:val="ListofFigures"/>
      </w:pPr>
    </w:p>
    <w:p w14:paraId="76B59977" w14:textId="77777777" w:rsidR="003F2D14" w:rsidRDefault="003F2D14" w:rsidP="005D145A">
      <w:pPr>
        <w:pStyle w:val="ListofFigures"/>
      </w:pPr>
    </w:p>
    <w:p w14:paraId="2FCD6D82" w14:textId="77777777" w:rsidR="003F2D14" w:rsidRDefault="003F2D14" w:rsidP="005D145A">
      <w:pPr>
        <w:pStyle w:val="ListofFigures"/>
      </w:pPr>
    </w:p>
    <w:p w14:paraId="76EED0B1" w14:textId="77777777" w:rsidR="003F2D14" w:rsidRDefault="003F2D14" w:rsidP="005D145A">
      <w:pPr>
        <w:pStyle w:val="ListofFigures"/>
      </w:pPr>
    </w:p>
    <w:p w14:paraId="42C9068B" w14:textId="77777777" w:rsidR="003F2D14" w:rsidRDefault="003F2D14" w:rsidP="005D145A">
      <w:pPr>
        <w:pStyle w:val="ListofFigures"/>
      </w:pPr>
    </w:p>
    <w:p w14:paraId="350CE03B" w14:textId="77777777" w:rsidR="003F2D14" w:rsidRDefault="003F2D14" w:rsidP="005D145A">
      <w:pPr>
        <w:pStyle w:val="ListofFigures"/>
      </w:pPr>
    </w:p>
    <w:p w14:paraId="4A031A30" w14:textId="77777777" w:rsidR="003F2D14" w:rsidRDefault="003F2D14" w:rsidP="005D145A">
      <w:pPr>
        <w:pStyle w:val="ListofFigures"/>
      </w:pPr>
    </w:p>
    <w:p w14:paraId="74108CB5" w14:textId="77777777" w:rsidR="005D145A" w:rsidRPr="00340142" w:rsidRDefault="00C030C9" w:rsidP="003F2D14">
      <w:pPr>
        <w:pStyle w:val="ListofFigures"/>
        <w:jc w:val="center"/>
      </w:pPr>
      <w:r>
        <w:t xml:space="preserve">Fig. </w:t>
      </w:r>
      <w:r w:rsidR="005D145A" w:rsidRPr="00340142">
        <w:t>1 Age distribution of respondents</w:t>
      </w:r>
      <w:bookmarkEnd w:id="7"/>
      <w:bookmarkEnd w:id="8"/>
    </w:p>
    <w:p w14:paraId="39F303D3"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rPr>
        <w:t xml:space="preserve">The findings of the study revealed that 56% of the respondents were 25-30 years old, 28% were 31 – 35 years old, 14% were 36 – 40 years old while 2% were 41 years old above. </w:t>
      </w:r>
    </w:p>
    <w:p w14:paraId="3AE68A19"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sz w:val="24"/>
          <w:szCs w:val="24"/>
        </w:rPr>
        <w:br w:type="page"/>
      </w:r>
    </w:p>
    <w:p w14:paraId="394CAFC2"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lastRenderedPageBreak/>
        <w:drawing>
          <wp:anchor distT="0" distB="0" distL="114300" distR="114300" simplePos="0" relativeHeight="251682816" behindDoc="0" locked="0" layoutInCell="1" allowOverlap="1" wp14:anchorId="3A20FC5F" wp14:editId="1E7E9FA8">
            <wp:simplePos x="0" y="0"/>
            <wp:positionH relativeFrom="column">
              <wp:posOffset>845820</wp:posOffset>
            </wp:positionH>
            <wp:positionV relativeFrom="paragraph">
              <wp:posOffset>0</wp:posOffset>
            </wp:positionV>
            <wp:extent cx="4229100" cy="2598420"/>
            <wp:effectExtent l="0" t="0" r="0" b="1143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DFF74AD" w14:textId="77777777" w:rsidR="005D145A" w:rsidRPr="00340142" w:rsidRDefault="005D145A" w:rsidP="005D145A">
      <w:pPr>
        <w:rPr>
          <w:rFonts w:ascii="Times New Roman" w:hAnsi="Times New Roman" w:cs="Times New Roman"/>
          <w:sz w:val="24"/>
          <w:szCs w:val="24"/>
        </w:rPr>
      </w:pPr>
    </w:p>
    <w:p w14:paraId="5C2BEA76" w14:textId="77777777" w:rsidR="003F2D14" w:rsidRDefault="003F2D14" w:rsidP="005D145A">
      <w:pPr>
        <w:pStyle w:val="ListofFigures"/>
      </w:pPr>
      <w:bookmarkStart w:id="9" w:name="_Toc147905471"/>
      <w:bookmarkStart w:id="10" w:name="_Toc147905502"/>
    </w:p>
    <w:p w14:paraId="1BCE9400" w14:textId="77777777" w:rsidR="003F2D14" w:rsidRDefault="003F2D14" w:rsidP="005D145A">
      <w:pPr>
        <w:pStyle w:val="ListofFigures"/>
      </w:pPr>
    </w:p>
    <w:p w14:paraId="5F108363" w14:textId="77777777" w:rsidR="003F2D14" w:rsidRDefault="003F2D14" w:rsidP="005D145A">
      <w:pPr>
        <w:pStyle w:val="ListofFigures"/>
      </w:pPr>
    </w:p>
    <w:p w14:paraId="178D606F" w14:textId="77777777" w:rsidR="003F2D14" w:rsidRDefault="003F2D14" w:rsidP="005D145A">
      <w:pPr>
        <w:pStyle w:val="ListofFigures"/>
      </w:pPr>
    </w:p>
    <w:p w14:paraId="25B93248" w14:textId="77777777" w:rsidR="003F2D14" w:rsidRDefault="003F2D14" w:rsidP="005D145A">
      <w:pPr>
        <w:pStyle w:val="ListofFigures"/>
      </w:pPr>
    </w:p>
    <w:p w14:paraId="4CCAB139" w14:textId="77777777" w:rsidR="003F2D14" w:rsidRDefault="003F2D14" w:rsidP="005D145A">
      <w:pPr>
        <w:pStyle w:val="ListofFigures"/>
      </w:pPr>
    </w:p>
    <w:p w14:paraId="16FDB2F9" w14:textId="77777777" w:rsidR="005D145A" w:rsidRPr="00340142" w:rsidRDefault="00C030C9" w:rsidP="003F2D14">
      <w:pPr>
        <w:pStyle w:val="ListofFigures"/>
        <w:jc w:val="center"/>
      </w:pPr>
      <w:r>
        <w:t xml:space="preserve">Fig. </w:t>
      </w:r>
      <w:r w:rsidR="005D145A" w:rsidRPr="00340142">
        <w:t>2: Gender distribution of respondents</w:t>
      </w:r>
      <w:bookmarkEnd w:id="9"/>
      <w:bookmarkEnd w:id="10"/>
    </w:p>
    <w:p w14:paraId="1DC7B714"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sz w:val="24"/>
          <w:szCs w:val="24"/>
        </w:rPr>
        <w:t xml:space="preserve">The result revealed that 78% of the respondents were males while 22% were females. </w:t>
      </w:r>
    </w:p>
    <w:p w14:paraId="11C72BB9" w14:textId="77777777" w:rsidR="005D145A" w:rsidRPr="00340142" w:rsidRDefault="005D145A" w:rsidP="005D145A">
      <w:pPr>
        <w:rPr>
          <w:rFonts w:ascii="Times New Roman" w:hAnsi="Times New Roman" w:cs="Times New Roman"/>
          <w:sz w:val="24"/>
          <w:szCs w:val="24"/>
        </w:rPr>
      </w:pPr>
    </w:p>
    <w:p w14:paraId="20E50730"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drawing>
          <wp:anchor distT="0" distB="0" distL="114300" distR="114300" simplePos="0" relativeHeight="251683840" behindDoc="0" locked="0" layoutInCell="1" allowOverlap="1" wp14:anchorId="7ABFAD05" wp14:editId="265D937A">
            <wp:simplePos x="0" y="0"/>
            <wp:positionH relativeFrom="margin">
              <wp:align>center</wp:align>
            </wp:positionH>
            <wp:positionV relativeFrom="paragraph">
              <wp:posOffset>8255</wp:posOffset>
            </wp:positionV>
            <wp:extent cx="4716780" cy="2598420"/>
            <wp:effectExtent l="0" t="0" r="762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0D519202" w14:textId="77777777" w:rsidR="005D145A" w:rsidRPr="00340142" w:rsidRDefault="005D145A" w:rsidP="005D145A">
      <w:pPr>
        <w:rPr>
          <w:rFonts w:ascii="Times New Roman" w:hAnsi="Times New Roman" w:cs="Times New Roman"/>
          <w:sz w:val="24"/>
          <w:szCs w:val="24"/>
        </w:rPr>
      </w:pPr>
    </w:p>
    <w:p w14:paraId="0D5B1AD7" w14:textId="77777777" w:rsidR="003F2D14" w:rsidRDefault="003F2D14" w:rsidP="005D145A">
      <w:pPr>
        <w:pStyle w:val="ListofFigures"/>
      </w:pPr>
      <w:bookmarkStart w:id="11" w:name="_Toc147905472"/>
      <w:bookmarkStart w:id="12" w:name="_Toc147905503"/>
    </w:p>
    <w:p w14:paraId="7B2161D9" w14:textId="77777777" w:rsidR="003F2D14" w:rsidRDefault="003F2D14" w:rsidP="005D145A">
      <w:pPr>
        <w:pStyle w:val="ListofFigures"/>
      </w:pPr>
    </w:p>
    <w:p w14:paraId="4AB3C76E" w14:textId="77777777" w:rsidR="003F2D14" w:rsidRDefault="003F2D14" w:rsidP="005D145A">
      <w:pPr>
        <w:pStyle w:val="ListofFigures"/>
      </w:pPr>
    </w:p>
    <w:p w14:paraId="6DF69BB4" w14:textId="77777777" w:rsidR="003F2D14" w:rsidRDefault="003F2D14" w:rsidP="005D145A">
      <w:pPr>
        <w:pStyle w:val="ListofFigures"/>
      </w:pPr>
    </w:p>
    <w:p w14:paraId="28C032F1" w14:textId="77777777" w:rsidR="003F2D14" w:rsidRDefault="003F2D14" w:rsidP="005D145A">
      <w:pPr>
        <w:pStyle w:val="ListofFigures"/>
      </w:pPr>
    </w:p>
    <w:p w14:paraId="706F066A" w14:textId="77777777" w:rsidR="003F2D14" w:rsidRDefault="003F2D14" w:rsidP="005D145A">
      <w:pPr>
        <w:pStyle w:val="ListofFigures"/>
      </w:pPr>
    </w:p>
    <w:p w14:paraId="6E55F98E" w14:textId="77777777" w:rsidR="005D145A" w:rsidRPr="00340142" w:rsidRDefault="00C030C9" w:rsidP="003F2D14">
      <w:pPr>
        <w:pStyle w:val="ListofFigures"/>
        <w:jc w:val="center"/>
      </w:pPr>
      <w:r>
        <w:t xml:space="preserve">Fig. </w:t>
      </w:r>
      <w:r w:rsidR="005D145A" w:rsidRPr="00340142">
        <w:t>3: Educational background distribution of respondents</w:t>
      </w:r>
      <w:bookmarkEnd w:id="11"/>
      <w:bookmarkEnd w:id="12"/>
    </w:p>
    <w:p w14:paraId="7353AFE6"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rPr>
        <w:t>The result revealed that 77.80% of the respondents had FSLC/WASSCE, 14% had OND, 8.20% had B.Sc./HND while 4% had M.Sc.</w:t>
      </w:r>
    </w:p>
    <w:p w14:paraId="6C8FF95F" w14:textId="77777777" w:rsidR="005D145A" w:rsidRPr="00340142" w:rsidRDefault="005D145A" w:rsidP="005D145A">
      <w:pPr>
        <w:rPr>
          <w:rFonts w:ascii="Times New Roman" w:hAnsi="Times New Roman" w:cs="Times New Roman"/>
          <w:sz w:val="24"/>
          <w:szCs w:val="24"/>
        </w:rPr>
      </w:pPr>
    </w:p>
    <w:p w14:paraId="6A5EA43A" w14:textId="77777777" w:rsidR="005D145A" w:rsidRPr="00340142" w:rsidRDefault="003F2D14" w:rsidP="005D145A">
      <w:pPr>
        <w:rPr>
          <w:rFonts w:ascii="Times New Roman" w:hAnsi="Times New Roman" w:cs="Times New Roman"/>
          <w:sz w:val="24"/>
          <w:szCs w:val="24"/>
        </w:rPr>
      </w:pPr>
      <w:r w:rsidRPr="00340142">
        <w:rPr>
          <w:rFonts w:ascii="Times New Roman" w:hAnsi="Times New Roman" w:cs="Times New Roman"/>
          <w:noProof/>
          <w:sz w:val="24"/>
          <w:szCs w:val="24"/>
        </w:rPr>
        <w:lastRenderedPageBreak/>
        <w:drawing>
          <wp:anchor distT="0" distB="0" distL="114300" distR="114300" simplePos="0" relativeHeight="251684864" behindDoc="0" locked="0" layoutInCell="1" allowOverlap="1" wp14:anchorId="6EEF7021" wp14:editId="72ADA6C2">
            <wp:simplePos x="0" y="0"/>
            <wp:positionH relativeFrom="margin">
              <wp:align>center</wp:align>
            </wp:positionH>
            <wp:positionV relativeFrom="paragraph">
              <wp:posOffset>0</wp:posOffset>
            </wp:positionV>
            <wp:extent cx="4594860" cy="2788920"/>
            <wp:effectExtent l="0" t="0" r="15240" b="1143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BCF2281" w14:textId="77777777" w:rsidR="003F2D14" w:rsidRDefault="003F2D14" w:rsidP="005D145A">
      <w:pPr>
        <w:pStyle w:val="ListofFigures"/>
      </w:pPr>
      <w:bookmarkStart w:id="13" w:name="_Toc147905473"/>
      <w:bookmarkStart w:id="14" w:name="_Toc147905504"/>
    </w:p>
    <w:p w14:paraId="646B9C1B" w14:textId="77777777" w:rsidR="003F2D14" w:rsidRDefault="003F2D14" w:rsidP="005D145A">
      <w:pPr>
        <w:pStyle w:val="ListofFigures"/>
      </w:pPr>
    </w:p>
    <w:p w14:paraId="0F50B192" w14:textId="77777777" w:rsidR="003F2D14" w:rsidRDefault="003F2D14" w:rsidP="005D145A">
      <w:pPr>
        <w:pStyle w:val="ListofFigures"/>
      </w:pPr>
    </w:p>
    <w:p w14:paraId="25B8E7E3" w14:textId="77777777" w:rsidR="003F2D14" w:rsidRDefault="003F2D14" w:rsidP="005D145A">
      <w:pPr>
        <w:pStyle w:val="ListofFigures"/>
      </w:pPr>
    </w:p>
    <w:p w14:paraId="41A4ABA2" w14:textId="77777777" w:rsidR="003F2D14" w:rsidRDefault="003F2D14" w:rsidP="005D145A">
      <w:pPr>
        <w:pStyle w:val="ListofFigures"/>
      </w:pPr>
    </w:p>
    <w:p w14:paraId="65593A38" w14:textId="77777777" w:rsidR="003F2D14" w:rsidRDefault="003F2D14" w:rsidP="005D145A">
      <w:pPr>
        <w:pStyle w:val="ListofFigures"/>
      </w:pPr>
    </w:p>
    <w:p w14:paraId="2B1B646A" w14:textId="77777777" w:rsidR="003F2D14" w:rsidRDefault="003F2D14" w:rsidP="005D145A">
      <w:pPr>
        <w:pStyle w:val="ListofFigures"/>
      </w:pPr>
    </w:p>
    <w:p w14:paraId="54E809D4" w14:textId="77777777" w:rsidR="003F2D14" w:rsidRDefault="003F2D14" w:rsidP="005D145A">
      <w:pPr>
        <w:pStyle w:val="ListofFigures"/>
      </w:pPr>
    </w:p>
    <w:p w14:paraId="64CDE341" w14:textId="77777777" w:rsidR="005D145A" w:rsidRPr="00340142" w:rsidRDefault="00C030C9" w:rsidP="003F2D14">
      <w:pPr>
        <w:pStyle w:val="ListofFigures"/>
        <w:jc w:val="center"/>
      </w:pPr>
      <w:r>
        <w:t xml:space="preserve">Fig. </w:t>
      </w:r>
      <w:r w:rsidR="005D145A" w:rsidRPr="00340142">
        <w:t>4: Years of working experience distribution of respondents</w:t>
      </w:r>
      <w:bookmarkEnd w:id="13"/>
      <w:bookmarkEnd w:id="14"/>
    </w:p>
    <w:p w14:paraId="49941B44" w14:textId="77777777" w:rsidR="005D145A" w:rsidRPr="00340142" w:rsidRDefault="005D145A" w:rsidP="00B269C9">
      <w:pPr>
        <w:spacing w:line="480" w:lineRule="auto"/>
        <w:rPr>
          <w:rFonts w:ascii="Times New Roman" w:hAnsi="Times New Roman" w:cs="Times New Roman"/>
          <w:sz w:val="24"/>
          <w:szCs w:val="24"/>
        </w:rPr>
      </w:pPr>
      <w:r w:rsidRPr="00340142">
        <w:rPr>
          <w:rFonts w:ascii="Times New Roman" w:hAnsi="Times New Roman" w:cs="Times New Roman"/>
          <w:sz w:val="24"/>
          <w:szCs w:val="24"/>
        </w:rPr>
        <w:t xml:space="preserve">The result of the study revealed that 77.80% of the respondents had worked for 0 – 4 years, 14% had worked for 5 – 9 years while 8.2% had </w:t>
      </w:r>
      <w:r w:rsidR="00B269C9">
        <w:rPr>
          <w:rFonts w:ascii="Times New Roman" w:hAnsi="Times New Roman" w:cs="Times New Roman"/>
          <w:sz w:val="24"/>
          <w:szCs w:val="24"/>
        </w:rPr>
        <w:t xml:space="preserve">worked for 10 years and above. </w:t>
      </w:r>
    </w:p>
    <w:p w14:paraId="51E6D3B2" w14:textId="77777777" w:rsidR="005D145A" w:rsidRPr="00340142" w:rsidRDefault="005D145A" w:rsidP="005D145A">
      <w:pPr>
        <w:rPr>
          <w:rFonts w:ascii="Times New Roman" w:hAnsi="Times New Roman" w:cs="Times New Roman"/>
          <w:sz w:val="24"/>
          <w:szCs w:val="24"/>
        </w:rPr>
      </w:pPr>
      <w:r w:rsidRPr="00340142">
        <w:rPr>
          <w:rFonts w:ascii="Times New Roman" w:hAnsi="Times New Roman" w:cs="Times New Roman"/>
          <w:noProof/>
          <w:sz w:val="24"/>
          <w:szCs w:val="24"/>
        </w:rPr>
        <w:drawing>
          <wp:anchor distT="0" distB="0" distL="114300" distR="114300" simplePos="0" relativeHeight="251685888" behindDoc="0" locked="0" layoutInCell="1" allowOverlap="1" wp14:anchorId="0AE35B96" wp14:editId="4F3D4DC0">
            <wp:simplePos x="0" y="0"/>
            <wp:positionH relativeFrom="margin">
              <wp:align>center</wp:align>
            </wp:positionH>
            <wp:positionV relativeFrom="paragraph">
              <wp:posOffset>131445</wp:posOffset>
            </wp:positionV>
            <wp:extent cx="4008120" cy="2766060"/>
            <wp:effectExtent l="0" t="0" r="3048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F544542" w14:textId="77777777" w:rsidR="003F2D14" w:rsidRDefault="003F2D14" w:rsidP="005D145A">
      <w:pPr>
        <w:pStyle w:val="ListofFigures"/>
      </w:pPr>
      <w:bookmarkStart w:id="15" w:name="_Toc147905474"/>
      <w:bookmarkStart w:id="16" w:name="_Toc147905505"/>
    </w:p>
    <w:p w14:paraId="7EF1B689" w14:textId="77777777" w:rsidR="003F2D14" w:rsidRDefault="003F2D14" w:rsidP="005D145A">
      <w:pPr>
        <w:pStyle w:val="ListofFigures"/>
      </w:pPr>
    </w:p>
    <w:p w14:paraId="19F4A380" w14:textId="77777777" w:rsidR="003F2D14" w:rsidRDefault="003F2D14" w:rsidP="005D145A">
      <w:pPr>
        <w:pStyle w:val="ListofFigures"/>
      </w:pPr>
    </w:p>
    <w:p w14:paraId="5931378C" w14:textId="77777777" w:rsidR="003F2D14" w:rsidRDefault="003F2D14" w:rsidP="005D145A">
      <w:pPr>
        <w:pStyle w:val="ListofFigures"/>
      </w:pPr>
    </w:p>
    <w:p w14:paraId="502CCBBA" w14:textId="77777777" w:rsidR="003F2D14" w:rsidRDefault="003F2D14" w:rsidP="005D145A">
      <w:pPr>
        <w:pStyle w:val="ListofFigures"/>
      </w:pPr>
    </w:p>
    <w:p w14:paraId="61907E8D" w14:textId="77777777" w:rsidR="003F2D14" w:rsidRDefault="003F2D14" w:rsidP="005D145A">
      <w:pPr>
        <w:pStyle w:val="ListofFigures"/>
      </w:pPr>
    </w:p>
    <w:p w14:paraId="7F53DB35" w14:textId="77777777" w:rsidR="003F2D14" w:rsidRDefault="003F2D14" w:rsidP="005D145A">
      <w:pPr>
        <w:pStyle w:val="ListofFigures"/>
      </w:pPr>
    </w:p>
    <w:p w14:paraId="4F0D8759" w14:textId="77777777" w:rsidR="003F2D14" w:rsidRDefault="003F2D14" w:rsidP="005D145A">
      <w:pPr>
        <w:pStyle w:val="ListofFigures"/>
      </w:pPr>
    </w:p>
    <w:p w14:paraId="550E4E5A" w14:textId="77777777" w:rsidR="005D145A" w:rsidRPr="00340142" w:rsidRDefault="00C030C9" w:rsidP="003F2D14">
      <w:pPr>
        <w:pStyle w:val="ListofFigures"/>
        <w:jc w:val="center"/>
      </w:pPr>
      <w:r>
        <w:t xml:space="preserve">Figure. </w:t>
      </w:r>
      <w:r w:rsidR="005D145A" w:rsidRPr="00340142">
        <w:t>5: Operation distribution of respondents</w:t>
      </w:r>
      <w:bookmarkEnd w:id="15"/>
      <w:bookmarkEnd w:id="16"/>
    </w:p>
    <w:p w14:paraId="20E0B78D" w14:textId="77777777" w:rsidR="005D145A" w:rsidRPr="00340142" w:rsidRDefault="005D145A" w:rsidP="005D145A">
      <w:pPr>
        <w:spacing w:line="480" w:lineRule="auto"/>
        <w:rPr>
          <w:rFonts w:ascii="Times New Roman" w:hAnsi="Times New Roman" w:cs="Times New Roman"/>
          <w:bCs/>
          <w:sz w:val="24"/>
          <w:szCs w:val="24"/>
        </w:rPr>
      </w:pPr>
      <w:r w:rsidRPr="00340142">
        <w:rPr>
          <w:rFonts w:ascii="Times New Roman" w:hAnsi="Times New Roman" w:cs="Times New Roman"/>
          <w:sz w:val="24"/>
          <w:szCs w:val="24"/>
        </w:rPr>
        <w:t xml:space="preserve">The result revealed that 13% of the respondents worked in </w:t>
      </w:r>
      <w:r w:rsidRPr="00340142">
        <w:rPr>
          <w:rFonts w:ascii="Times New Roman" w:hAnsi="Times New Roman" w:cs="Times New Roman"/>
          <w:bCs/>
          <w:sz w:val="24"/>
          <w:szCs w:val="24"/>
        </w:rPr>
        <w:t>Petrol/Diesel Tank Farm, 41% worked in Petrol Retail Station, 38% worked in Gas Refilling Plant, 8% worked in Truck Tanker.</w:t>
      </w:r>
    </w:p>
    <w:p w14:paraId="67EE626E" w14:textId="77777777" w:rsidR="005D145A" w:rsidRPr="00340142" w:rsidRDefault="00B269C9" w:rsidP="005D145A">
      <w:pPr>
        <w:pStyle w:val="ListofTables"/>
        <w:rPr>
          <w:b/>
        </w:rPr>
      </w:pPr>
      <w:bookmarkStart w:id="17" w:name="_Toc147905533"/>
      <w:r>
        <w:rPr>
          <w:b/>
        </w:rPr>
        <w:lastRenderedPageBreak/>
        <w:t>Table 1</w:t>
      </w:r>
      <w:r w:rsidR="005D145A" w:rsidRPr="00340142">
        <w:rPr>
          <w:b/>
        </w:rPr>
        <w:t xml:space="preserve">: </w:t>
      </w:r>
      <w:r w:rsidR="005D145A" w:rsidRPr="00340142">
        <w:t>Frequency and percentage</w:t>
      </w:r>
      <w:r w:rsidR="005D145A" w:rsidRPr="00340142">
        <w:rPr>
          <w:b/>
        </w:rPr>
        <w:t xml:space="preserve"> </w:t>
      </w:r>
      <w:r w:rsidR="005D145A" w:rsidRPr="00340142">
        <w:t>root causes of the incidents among workers in Oil and Gas downstream companies in Port Harcourt metropolis.</w:t>
      </w:r>
      <w:bookmarkEnd w:id="17"/>
    </w:p>
    <w:tbl>
      <w:tblPr>
        <w:tblpPr w:leftFromText="180" w:rightFromText="180" w:bottomFromText="160" w:vertAnchor="text" w:horzAnchor="page" w:tblpX="553" w:tblpY="698"/>
        <w:tblW w:w="11295" w:type="dxa"/>
        <w:tblLayout w:type="fixed"/>
        <w:tblLook w:val="04A0" w:firstRow="1" w:lastRow="0" w:firstColumn="1" w:lastColumn="0" w:noHBand="0" w:noVBand="1"/>
      </w:tblPr>
      <w:tblGrid>
        <w:gridCol w:w="603"/>
        <w:gridCol w:w="2640"/>
        <w:gridCol w:w="830"/>
        <w:gridCol w:w="877"/>
        <w:gridCol w:w="90"/>
        <w:gridCol w:w="96"/>
        <w:gridCol w:w="452"/>
        <w:gridCol w:w="785"/>
        <w:gridCol w:w="17"/>
        <w:gridCol w:w="410"/>
        <w:gridCol w:w="40"/>
        <w:gridCol w:w="770"/>
        <w:gridCol w:w="40"/>
        <w:gridCol w:w="540"/>
        <w:gridCol w:w="26"/>
        <w:gridCol w:w="964"/>
        <w:gridCol w:w="22"/>
        <w:gridCol w:w="986"/>
        <w:gridCol w:w="72"/>
        <w:gridCol w:w="914"/>
        <w:gridCol w:w="121"/>
      </w:tblGrid>
      <w:tr w:rsidR="009B19BF" w:rsidRPr="0086282B" w14:paraId="1B178462" w14:textId="77777777" w:rsidTr="00BE48C9">
        <w:trPr>
          <w:gridAfter w:val="1"/>
          <w:wAfter w:w="121" w:type="dxa"/>
          <w:trHeight w:val="311"/>
        </w:trPr>
        <w:tc>
          <w:tcPr>
            <w:tcW w:w="603" w:type="dxa"/>
            <w:tcBorders>
              <w:top w:val="single" w:sz="4" w:space="0" w:color="auto"/>
              <w:left w:val="nil"/>
              <w:bottom w:val="single" w:sz="4" w:space="0" w:color="auto"/>
              <w:right w:val="nil"/>
            </w:tcBorders>
            <w:shd w:val="clear" w:color="auto" w:fill="auto"/>
            <w:hideMark/>
          </w:tcPr>
          <w:p w14:paraId="3F42F75E" w14:textId="77777777" w:rsidR="009B19BF" w:rsidRPr="0086282B" w:rsidRDefault="009B19BF" w:rsidP="00BE48C9">
            <w:pPr>
              <w:spacing w:line="278" w:lineRule="auto"/>
              <w:jc w:val="left"/>
              <w:rPr>
                <w:rFonts w:ascii="Times New Roman" w:hAnsi="Times New Roman" w:cs="Times New Roman"/>
                <w:bCs/>
                <w:sz w:val="20"/>
                <w:szCs w:val="20"/>
              </w:rPr>
            </w:pPr>
          </w:p>
        </w:tc>
        <w:tc>
          <w:tcPr>
            <w:tcW w:w="2640" w:type="dxa"/>
            <w:tcBorders>
              <w:top w:val="single" w:sz="4" w:space="0" w:color="auto"/>
              <w:left w:val="nil"/>
              <w:bottom w:val="single" w:sz="4" w:space="0" w:color="auto"/>
              <w:right w:val="nil"/>
            </w:tcBorders>
            <w:shd w:val="clear" w:color="auto" w:fill="auto"/>
            <w:hideMark/>
          </w:tcPr>
          <w:p w14:paraId="0718B016" w14:textId="77777777" w:rsidR="009B19BF" w:rsidRPr="0086282B" w:rsidRDefault="009B19BF" w:rsidP="00BE48C9">
            <w:pPr>
              <w:spacing w:line="278" w:lineRule="auto"/>
              <w:jc w:val="left"/>
              <w:rPr>
                <w:rFonts w:ascii="Times New Roman" w:hAnsi="Times New Roman" w:cs="Times New Roman"/>
                <w:b/>
                <w:bCs/>
                <w:sz w:val="20"/>
                <w:szCs w:val="20"/>
              </w:rPr>
            </w:pPr>
            <w:r w:rsidRPr="0086282B">
              <w:rPr>
                <w:rFonts w:ascii="Times New Roman" w:hAnsi="Times New Roman" w:cs="Times New Roman"/>
                <w:b/>
                <w:bCs/>
                <w:sz w:val="20"/>
                <w:szCs w:val="20"/>
              </w:rPr>
              <w:t>The root causes of the incidents in Oil &amp; Gas Downstream</w:t>
            </w:r>
          </w:p>
        </w:tc>
        <w:tc>
          <w:tcPr>
            <w:tcW w:w="830" w:type="dxa"/>
            <w:tcBorders>
              <w:top w:val="single" w:sz="4" w:space="0" w:color="auto"/>
              <w:left w:val="nil"/>
              <w:bottom w:val="single" w:sz="4" w:space="0" w:color="auto"/>
              <w:right w:val="nil"/>
            </w:tcBorders>
            <w:shd w:val="clear" w:color="auto" w:fill="auto"/>
            <w:hideMark/>
          </w:tcPr>
          <w:p w14:paraId="5927F4C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1063" w:type="dxa"/>
            <w:gridSpan w:val="3"/>
            <w:tcBorders>
              <w:top w:val="single" w:sz="4" w:space="0" w:color="auto"/>
              <w:left w:val="nil"/>
              <w:bottom w:val="single" w:sz="4" w:space="0" w:color="auto"/>
              <w:right w:val="nil"/>
            </w:tcBorders>
            <w:shd w:val="clear" w:color="auto" w:fill="auto"/>
            <w:hideMark/>
          </w:tcPr>
          <w:p w14:paraId="6CE6B71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452" w:type="dxa"/>
            <w:tcBorders>
              <w:top w:val="single" w:sz="4" w:space="0" w:color="auto"/>
              <w:left w:val="nil"/>
              <w:bottom w:val="single" w:sz="4" w:space="0" w:color="auto"/>
              <w:right w:val="nil"/>
            </w:tcBorders>
            <w:shd w:val="clear" w:color="auto" w:fill="auto"/>
            <w:hideMark/>
          </w:tcPr>
          <w:p w14:paraId="6A0A885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785" w:type="dxa"/>
            <w:tcBorders>
              <w:top w:val="single" w:sz="4" w:space="0" w:color="auto"/>
              <w:left w:val="nil"/>
              <w:bottom w:val="single" w:sz="4" w:space="0" w:color="auto"/>
              <w:right w:val="nil"/>
            </w:tcBorders>
            <w:shd w:val="clear" w:color="auto" w:fill="auto"/>
            <w:hideMark/>
          </w:tcPr>
          <w:p w14:paraId="311CE75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427" w:type="dxa"/>
            <w:gridSpan w:val="2"/>
            <w:tcBorders>
              <w:top w:val="single" w:sz="4" w:space="0" w:color="auto"/>
              <w:left w:val="nil"/>
              <w:bottom w:val="single" w:sz="4" w:space="0" w:color="auto"/>
              <w:right w:val="nil"/>
            </w:tcBorders>
            <w:shd w:val="clear" w:color="auto" w:fill="auto"/>
            <w:hideMark/>
          </w:tcPr>
          <w:p w14:paraId="3CE3D2D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810" w:type="dxa"/>
            <w:gridSpan w:val="2"/>
            <w:tcBorders>
              <w:top w:val="single" w:sz="4" w:space="0" w:color="auto"/>
              <w:left w:val="nil"/>
              <w:bottom w:val="single" w:sz="4" w:space="0" w:color="auto"/>
              <w:right w:val="nil"/>
            </w:tcBorders>
            <w:shd w:val="clear" w:color="auto" w:fill="auto"/>
            <w:hideMark/>
          </w:tcPr>
          <w:p w14:paraId="0B1D557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606" w:type="dxa"/>
            <w:gridSpan w:val="3"/>
            <w:tcBorders>
              <w:top w:val="single" w:sz="4" w:space="0" w:color="auto"/>
              <w:left w:val="nil"/>
              <w:bottom w:val="single" w:sz="4" w:space="0" w:color="auto"/>
              <w:right w:val="nil"/>
            </w:tcBorders>
            <w:shd w:val="clear" w:color="auto" w:fill="auto"/>
            <w:hideMark/>
          </w:tcPr>
          <w:p w14:paraId="7F6435E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F</w:t>
            </w:r>
          </w:p>
        </w:tc>
        <w:tc>
          <w:tcPr>
            <w:tcW w:w="986" w:type="dxa"/>
            <w:gridSpan w:val="2"/>
            <w:tcBorders>
              <w:top w:val="single" w:sz="4" w:space="0" w:color="auto"/>
              <w:left w:val="nil"/>
              <w:bottom w:val="single" w:sz="4" w:space="0" w:color="auto"/>
              <w:right w:val="nil"/>
            </w:tcBorders>
            <w:shd w:val="clear" w:color="auto" w:fill="auto"/>
            <w:hideMark/>
          </w:tcPr>
          <w:p w14:paraId="4275CFC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w:t>
            </w:r>
          </w:p>
        </w:tc>
        <w:tc>
          <w:tcPr>
            <w:tcW w:w="986" w:type="dxa"/>
            <w:tcBorders>
              <w:top w:val="single" w:sz="4" w:space="0" w:color="auto"/>
              <w:left w:val="nil"/>
              <w:bottom w:val="single" w:sz="4" w:space="0" w:color="auto"/>
              <w:right w:val="nil"/>
            </w:tcBorders>
            <w:shd w:val="clear" w:color="auto" w:fill="auto"/>
            <w:hideMark/>
          </w:tcPr>
          <w:p w14:paraId="3CB15A9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 xml:space="preserve">Mean </w:t>
            </w:r>
          </w:p>
        </w:tc>
        <w:tc>
          <w:tcPr>
            <w:tcW w:w="986" w:type="dxa"/>
            <w:gridSpan w:val="2"/>
            <w:tcBorders>
              <w:top w:val="single" w:sz="4" w:space="0" w:color="auto"/>
              <w:left w:val="nil"/>
              <w:bottom w:val="single" w:sz="4" w:space="0" w:color="auto"/>
              <w:right w:val="nil"/>
            </w:tcBorders>
            <w:shd w:val="clear" w:color="auto" w:fill="auto"/>
            <w:hideMark/>
          </w:tcPr>
          <w:p w14:paraId="7AEE17E4" w14:textId="77777777" w:rsidR="009B19BF" w:rsidRPr="0086282B" w:rsidRDefault="009B19BF" w:rsidP="00BE48C9">
            <w:pPr>
              <w:spacing w:line="278" w:lineRule="auto"/>
              <w:jc w:val="left"/>
              <w:rPr>
                <w:rFonts w:ascii="Times New Roman" w:hAnsi="Times New Roman" w:cs="Times New Roman"/>
                <w:bCs/>
                <w:sz w:val="20"/>
                <w:szCs w:val="20"/>
              </w:rPr>
            </w:pPr>
            <w:proofErr w:type="spellStart"/>
            <w:r w:rsidRPr="0086282B">
              <w:rPr>
                <w:rFonts w:ascii="Times New Roman" w:hAnsi="Times New Roman" w:cs="Times New Roman"/>
                <w:bCs/>
                <w:sz w:val="20"/>
                <w:szCs w:val="20"/>
              </w:rPr>
              <w:t>Rmk</w:t>
            </w:r>
            <w:proofErr w:type="spellEnd"/>
          </w:p>
        </w:tc>
      </w:tr>
      <w:tr w:rsidR="009B19BF" w:rsidRPr="0086282B" w14:paraId="404124E5" w14:textId="77777777" w:rsidTr="00BE48C9">
        <w:trPr>
          <w:trHeight w:val="320"/>
        </w:trPr>
        <w:tc>
          <w:tcPr>
            <w:tcW w:w="603" w:type="dxa"/>
            <w:tcBorders>
              <w:top w:val="single" w:sz="4" w:space="0" w:color="auto"/>
              <w:left w:val="nil"/>
              <w:bottom w:val="nil"/>
              <w:right w:val="nil"/>
            </w:tcBorders>
            <w:shd w:val="clear" w:color="auto" w:fill="auto"/>
            <w:hideMark/>
          </w:tcPr>
          <w:p w14:paraId="703E757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w:t>
            </w:r>
          </w:p>
        </w:tc>
        <w:tc>
          <w:tcPr>
            <w:tcW w:w="2640" w:type="dxa"/>
            <w:tcBorders>
              <w:top w:val="single" w:sz="4" w:space="0" w:color="auto"/>
              <w:left w:val="nil"/>
              <w:bottom w:val="nil"/>
              <w:right w:val="nil"/>
            </w:tcBorders>
            <w:shd w:val="clear" w:color="auto" w:fill="auto"/>
            <w:hideMark/>
          </w:tcPr>
          <w:p w14:paraId="272E776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Unsafe acts by personnel</w:t>
            </w:r>
          </w:p>
        </w:tc>
        <w:tc>
          <w:tcPr>
            <w:tcW w:w="830" w:type="dxa"/>
            <w:tcBorders>
              <w:top w:val="single" w:sz="4" w:space="0" w:color="auto"/>
              <w:left w:val="nil"/>
              <w:bottom w:val="nil"/>
              <w:right w:val="nil"/>
            </w:tcBorders>
            <w:shd w:val="clear" w:color="auto" w:fill="auto"/>
            <w:vAlign w:val="bottom"/>
            <w:hideMark/>
          </w:tcPr>
          <w:p w14:paraId="3CA89F3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877" w:type="dxa"/>
            <w:tcBorders>
              <w:top w:val="single" w:sz="4" w:space="0" w:color="auto"/>
              <w:left w:val="nil"/>
              <w:bottom w:val="nil"/>
              <w:right w:val="nil"/>
            </w:tcBorders>
            <w:shd w:val="clear" w:color="auto" w:fill="auto"/>
            <w:vAlign w:val="bottom"/>
            <w:hideMark/>
          </w:tcPr>
          <w:p w14:paraId="2BEFC15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638" w:type="dxa"/>
            <w:gridSpan w:val="3"/>
            <w:tcBorders>
              <w:top w:val="single" w:sz="4" w:space="0" w:color="auto"/>
              <w:left w:val="nil"/>
              <w:bottom w:val="nil"/>
              <w:right w:val="nil"/>
            </w:tcBorders>
            <w:shd w:val="clear" w:color="auto" w:fill="auto"/>
            <w:vAlign w:val="bottom"/>
            <w:hideMark/>
          </w:tcPr>
          <w:p w14:paraId="27D801D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802" w:type="dxa"/>
            <w:gridSpan w:val="2"/>
            <w:tcBorders>
              <w:top w:val="single" w:sz="4" w:space="0" w:color="auto"/>
              <w:left w:val="nil"/>
              <w:bottom w:val="nil"/>
              <w:right w:val="nil"/>
            </w:tcBorders>
            <w:shd w:val="clear" w:color="auto" w:fill="auto"/>
            <w:vAlign w:val="bottom"/>
            <w:hideMark/>
          </w:tcPr>
          <w:p w14:paraId="24CB5E8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450" w:type="dxa"/>
            <w:gridSpan w:val="2"/>
            <w:tcBorders>
              <w:top w:val="single" w:sz="4" w:space="0" w:color="auto"/>
              <w:left w:val="nil"/>
              <w:bottom w:val="nil"/>
              <w:right w:val="nil"/>
            </w:tcBorders>
            <w:shd w:val="clear" w:color="auto" w:fill="auto"/>
            <w:vAlign w:val="bottom"/>
            <w:hideMark/>
          </w:tcPr>
          <w:p w14:paraId="28F687E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810" w:type="dxa"/>
            <w:gridSpan w:val="2"/>
            <w:tcBorders>
              <w:top w:val="single" w:sz="4" w:space="0" w:color="auto"/>
              <w:left w:val="nil"/>
              <w:bottom w:val="nil"/>
              <w:right w:val="nil"/>
            </w:tcBorders>
            <w:shd w:val="clear" w:color="auto" w:fill="auto"/>
            <w:vAlign w:val="bottom"/>
            <w:hideMark/>
          </w:tcPr>
          <w:p w14:paraId="14C8BCD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540" w:type="dxa"/>
            <w:tcBorders>
              <w:top w:val="single" w:sz="4" w:space="0" w:color="auto"/>
              <w:left w:val="nil"/>
              <w:bottom w:val="nil"/>
              <w:right w:val="nil"/>
            </w:tcBorders>
            <w:shd w:val="clear" w:color="auto" w:fill="auto"/>
            <w:vAlign w:val="bottom"/>
            <w:hideMark/>
          </w:tcPr>
          <w:p w14:paraId="7400D9E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90" w:type="dxa"/>
            <w:gridSpan w:val="2"/>
            <w:tcBorders>
              <w:top w:val="single" w:sz="4" w:space="0" w:color="auto"/>
              <w:left w:val="nil"/>
              <w:bottom w:val="nil"/>
              <w:right w:val="nil"/>
            </w:tcBorders>
            <w:shd w:val="clear" w:color="auto" w:fill="auto"/>
            <w:hideMark/>
          </w:tcPr>
          <w:p w14:paraId="5FB50275" w14:textId="77777777" w:rsidR="009B19BF" w:rsidRPr="0086282B" w:rsidRDefault="009B19BF" w:rsidP="00BE48C9">
            <w:pPr>
              <w:spacing w:line="278" w:lineRule="auto"/>
              <w:jc w:val="left"/>
              <w:rPr>
                <w:rFonts w:ascii="Times New Roman" w:hAnsi="Times New Roman" w:cs="Times New Roman"/>
                <w:bCs/>
                <w:sz w:val="20"/>
                <w:szCs w:val="20"/>
              </w:rPr>
            </w:pPr>
          </w:p>
          <w:p w14:paraId="3E2C268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1080" w:type="dxa"/>
            <w:gridSpan w:val="3"/>
            <w:tcBorders>
              <w:top w:val="single" w:sz="4" w:space="0" w:color="auto"/>
              <w:left w:val="nil"/>
              <w:bottom w:val="nil"/>
              <w:right w:val="nil"/>
            </w:tcBorders>
            <w:shd w:val="clear" w:color="auto" w:fill="auto"/>
            <w:vAlign w:val="bottom"/>
            <w:hideMark/>
          </w:tcPr>
          <w:p w14:paraId="3ECF1C0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1035" w:type="dxa"/>
            <w:gridSpan w:val="2"/>
            <w:tcBorders>
              <w:top w:val="single" w:sz="4" w:space="0" w:color="auto"/>
              <w:left w:val="nil"/>
              <w:bottom w:val="nil"/>
              <w:right w:val="nil"/>
            </w:tcBorders>
            <w:shd w:val="clear" w:color="auto" w:fill="auto"/>
            <w:vAlign w:val="bottom"/>
            <w:hideMark/>
          </w:tcPr>
          <w:p w14:paraId="2A74071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5F6F3B37" w14:textId="77777777" w:rsidTr="00BE48C9">
        <w:trPr>
          <w:gridAfter w:val="1"/>
          <w:wAfter w:w="121" w:type="dxa"/>
          <w:trHeight w:val="320"/>
        </w:trPr>
        <w:tc>
          <w:tcPr>
            <w:tcW w:w="603" w:type="dxa"/>
            <w:shd w:val="clear" w:color="auto" w:fill="auto"/>
            <w:hideMark/>
          </w:tcPr>
          <w:p w14:paraId="1E3144B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w:t>
            </w:r>
          </w:p>
        </w:tc>
        <w:tc>
          <w:tcPr>
            <w:tcW w:w="2640" w:type="dxa"/>
            <w:shd w:val="clear" w:color="auto" w:fill="auto"/>
            <w:hideMark/>
          </w:tcPr>
          <w:p w14:paraId="63265DB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Unsafe conditions</w:t>
            </w:r>
          </w:p>
        </w:tc>
        <w:tc>
          <w:tcPr>
            <w:tcW w:w="830" w:type="dxa"/>
            <w:shd w:val="clear" w:color="auto" w:fill="auto"/>
            <w:vAlign w:val="bottom"/>
            <w:hideMark/>
          </w:tcPr>
          <w:p w14:paraId="51E761D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89</w:t>
            </w:r>
          </w:p>
        </w:tc>
        <w:tc>
          <w:tcPr>
            <w:tcW w:w="967" w:type="dxa"/>
            <w:gridSpan w:val="2"/>
            <w:shd w:val="clear" w:color="auto" w:fill="auto"/>
            <w:vAlign w:val="bottom"/>
            <w:hideMark/>
          </w:tcPr>
          <w:p w14:paraId="34A1862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26.2%</w:t>
            </w:r>
          </w:p>
        </w:tc>
        <w:tc>
          <w:tcPr>
            <w:tcW w:w="548" w:type="dxa"/>
            <w:gridSpan w:val="2"/>
            <w:shd w:val="clear" w:color="auto" w:fill="auto"/>
            <w:vAlign w:val="bottom"/>
            <w:hideMark/>
          </w:tcPr>
          <w:p w14:paraId="33A4EC4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85" w:type="dxa"/>
            <w:shd w:val="clear" w:color="auto" w:fill="auto"/>
            <w:vAlign w:val="bottom"/>
            <w:hideMark/>
          </w:tcPr>
          <w:p w14:paraId="59090C4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427" w:type="dxa"/>
            <w:gridSpan w:val="2"/>
            <w:shd w:val="clear" w:color="auto" w:fill="auto"/>
            <w:vAlign w:val="bottom"/>
            <w:hideMark/>
          </w:tcPr>
          <w:p w14:paraId="4B29BBC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48</w:t>
            </w:r>
          </w:p>
        </w:tc>
        <w:tc>
          <w:tcPr>
            <w:tcW w:w="810" w:type="dxa"/>
            <w:gridSpan w:val="2"/>
            <w:shd w:val="clear" w:color="auto" w:fill="auto"/>
            <w:vAlign w:val="bottom"/>
            <w:hideMark/>
          </w:tcPr>
          <w:p w14:paraId="1B15273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14.1%</w:t>
            </w:r>
          </w:p>
        </w:tc>
        <w:tc>
          <w:tcPr>
            <w:tcW w:w="606" w:type="dxa"/>
            <w:gridSpan w:val="3"/>
            <w:shd w:val="clear" w:color="auto" w:fill="auto"/>
            <w:vAlign w:val="bottom"/>
            <w:hideMark/>
          </w:tcPr>
          <w:p w14:paraId="158E611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194</w:t>
            </w:r>
          </w:p>
        </w:tc>
        <w:tc>
          <w:tcPr>
            <w:tcW w:w="986" w:type="dxa"/>
            <w:gridSpan w:val="2"/>
            <w:shd w:val="clear" w:color="auto" w:fill="auto"/>
            <w:vAlign w:val="bottom"/>
            <w:hideMark/>
          </w:tcPr>
          <w:p w14:paraId="122F8FB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57.1%</w:t>
            </w:r>
          </w:p>
        </w:tc>
        <w:tc>
          <w:tcPr>
            <w:tcW w:w="986" w:type="dxa"/>
            <w:shd w:val="clear" w:color="auto" w:fill="auto"/>
            <w:vAlign w:val="bottom"/>
            <w:hideMark/>
          </w:tcPr>
          <w:p w14:paraId="45A9299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1.98</w:t>
            </w:r>
          </w:p>
        </w:tc>
        <w:tc>
          <w:tcPr>
            <w:tcW w:w="986" w:type="dxa"/>
            <w:gridSpan w:val="2"/>
            <w:shd w:val="clear" w:color="auto" w:fill="auto"/>
            <w:vAlign w:val="bottom"/>
            <w:hideMark/>
          </w:tcPr>
          <w:p w14:paraId="05AD2BA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 xml:space="preserve">  Reject</w:t>
            </w:r>
          </w:p>
        </w:tc>
      </w:tr>
      <w:tr w:rsidR="009B19BF" w:rsidRPr="0086282B" w14:paraId="35E5C7B3" w14:textId="77777777" w:rsidTr="00BE48C9">
        <w:trPr>
          <w:gridAfter w:val="1"/>
          <w:wAfter w:w="121" w:type="dxa"/>
          <w:trHeight w:val="256"/>
        </w:trPr>
        <w:tc>
          <w:tcPr>
            <w:tcW w:w="603" w:type="dxa"/>
            <w:shd w:val="clear" w:color="auto" w:fill="auto"/>
            <w:hideMark/>
          </w:tcPr>
          <w:p w14:paraId="493F9F9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w:t>
            </w:r>
          </w:p>
        </w:tc>
        <w:tc>
          <w:tcPr>
            <w:tcW w:w="2640" w:type="dxa"/>
            <w:shd w:val="clear" w:color="auto" w:fill="auto"/>
            <w:hideMark/>
          </w:tcPr>
          <w:p w14:paraId="28DB6D2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 xml:space="preserve">Sabotage </w:t>
            </w:r>
          </w:p>
        </w:tc>
        <w:tc>
          <w:tcPr>
            <w:tcW w:w="830" w:type="dxa"/>
            <w:shd w:val="clear" w:color="auto" w:fill="auto"/>
            <w:vAlign w:val="bottom"/>
            <w:hideMark/>
          </w:tcPr>
          <w:p w14:paraId="04F75B9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51</w:t>
            </w:r>
          </w:p>
        </w:tc>
        <w:tc>
          <w:tcPr>
            <w:tcW w:w="967" w:type="dxa"/>
            <w:gridSpan w:val="2"/>
            <w:shd w:val="clear" w:color="auto" w:fill="auto"/>
            <w:vAlign w:val="bottom"/>
            <w:hideMark/>
          </w:tcPr>
          <w:p w14:paraId="2080A0D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w:t>
            </w:r>
          </w:p>
        </w:tc>
        <w:tc>
          <w:tcPr>
            <w:tcW w:w="548" w:type="dxa"/>
            <w:gridSpan w:val="2"/>
            <w:shd w:val="clear" w:color="auto" w:fill="auto"/>
            <w:vAlign w:val="bottom"/>
            <w:hideMark/>
          </w:tcPr>
          <w:p w14:paraId="01A6554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39</w:t>
            </w:r>
          </w:p>
        </w:tc>
        <w:tc>
          <w:tcPr>
            <w:tcW w:w="785" w:type="dxa"/>
            <w:shd w:val="clear" w:color="auto" w:fill="auto"/>
            <w:vAlign w:val="bottom"/>
            <w:hideMark/>
          </w:tcPr>
          <w:p w14:paraId="65227F7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427" w:type="dxa"/>
            <w:gridSpan w:val="2"/>
            <w:shd w:val="clear" w:color="auto" w:fill="auto"/>
            <w:vAlign w:val="bottom"/>
            <w:hideMark/>
          </w:tcPr>
          <w:p w14:paraId="778045E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110</w:t>
            </w:r>
          </w:p>
        </w:tc>
        <w:tc>
          <w:tcPr>
            <w:tcW w:w="810" w:type="dxa"/>
            <w:gridSpan w:val="2"/>
            <w:shd w:val="clear" w:color="auto" w:fill="auto"/>
            <w:vAlign w:val="bottom"/>
            <w:hideMark/>
          </w:tcPr>
          <w:p w14:paraId="0F05ABA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606" w:type="dxa"/>
            <w:gridSpan w:val="3"/>
            <w:shd w:val="clear" w:color="auto" w:fill="auto"/>
            <w:vAlign w:val="bottom"/>
            <w:hideMark/>
          </w:tcPr>
          <w:p w14:paraId="6796A9C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140</w:t>
            </w:r>
          </w:p>
        </w:tc>
        <w:tc>
          <w:tcPr>
            <w:tcW w:w="986" w:type="dxa"/>
            <w:gridSpan w:val="2"/>
            <w:shd w:val="clear" w:color="auto" w:fill="auto"/>
            <w:vAlign w:val="bottom"/>
            <w:hideMark/>
          </w:tcPr>
          <w:p w14:paraId="19FC83D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41.2%</w:t>
            </w:r>
          </w:p>
        </w:tc>
        <w:tc>
          <w:tcPr>
            <w:tcW w:w="986" w:type="dxa"/>
            <w:shd w:val="clear" w:color="auto" w:fill="auto"/>
            <w:vAlign w:val="bottom"/>
            <w:hideMark/>
          </w:tcPr>
          <w:p w14:paraId="075AF10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2.00</w:t>
            </w:r>
          </w:p>
        </w:tc>
        <w:tc>
          <w:tcPr>
            <w:tcW w:w="986" w:type="dxa"/>
            <w:gridSpan w:val="2"/>
            <w:shd w:val="clear" w:color="auto" w:fill="auto"/>
            <w:vAlign w:val="bottom"/>
            <w:hideMark/>
          </w:tcPr>
          <w:p w14:paraId="46DD612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6B8AF58D" w14:textId="77777777" w:rsidTr="00BE48C9">
        <w:trPr>
          <w:gridAfter w:val="1"/>
          <w:wAfter w:w="121" w:type="dxa"/>
          <w:trHeight w:val="263"/>
        </w:trPr>
        <w:tc>
          <w:tcPr>
            <w:tcW w:w="603" w:type="dxa"/>
            <w:shd w:val="clear" w:color="auto" w:fill="auto"/>
            <w:hideMark/>
          </w:tcPr>
          <w:p w14:paraId="4B2AFB63" w14:textId="77777777" w:rsidR="009B19BF" w:rsidRPr="0086282B" w:rsidRDefault="009B19BF" w:rsidP="00BE48C9">
            <w:pPr>
              <w:spacing w:line="278" w:lineRule="auto"/>
              <w:jc w:val="left"/>
              <w:rPr>
                <w:rFonts w:ascii="Times New Roman" w:hAnsi="Times New Roman" w:cs="Times New Roman"/>
                <w:bCs/>
                <w:sz w:val="20"/>
                <w:szCs w:val="20"/>
              </w:rPr>
            </w:pPr>
            <w:r>
              <w:rPr>
                <w:rFonts w:ascii="Times New Roman" w:hAnsi="Times New Roman" w:cs="Times New Roman"/>
                <w:bCs/>
                <w:sz w:val="20"/>
                <w:szCs w:val="20"/>
              </w:rPr>
              <w:t>4</w:t>
            </w:r>
          </w:p>
        </w:tc>
        <w:tc>
          <w:tcPr>
            <w:tcW w:w="2640" w:type="dxa"/>
            <w:shd w:val="clear" w:color="auto" w:fill="auto"/>
            <w:hideMark/>
          </w:tcPr>
          <w:p w14:paraId="4AFAEB3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HSE Management System failure</w:t>
            </w:r>
          </w:p>
        </w:tc>
        <w:tc>
          <w:tcPr>
            <w:tcW w:w="830" w:type="dxa"/>
            <w:shd w:val="clear" w:color="auto" w:fill="auto"/>
            <w:vAlign w:val="bottom"/>
            <w:hideMark/>
          </w:tcPr>
          <w:p w14:paraId="171F810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188</w:t>
            </w:r>
          </w:p>
        </w:tc>
        <w:tc>
          <w:tcPr>
            <w:tcW w:w="967" w:type="dxa"/>
            <w:gridSpan w:val="2"/>
            <w:shd w:val="clear" w:color="auto" w:fill="auto"/>
            <w:vAlign w:val="bottom"/>
            <w:hideMark/>
          </w:tcPr>
          <w:p w14:paraId="2EA63C7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55.3%</w:t>
            </w:r>
          </w:p>
        </w:tc>
        <w:tc>
          <w:tcPr>
            <w:tcW w:w="548" w:type="dxa"/>
            <w:gridSpan w:val="2"/>
            <w:shd w:val="clear" w:color="auto" w:fill="auto"/>
            <w:vAlign w:val="bottom"/>
            <w:hideMark/>
          </w:tcPr>
          <w:p w14:paraId="3A6A874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785" w:type="dxa"/>
            <w:shd w:val="clear" w:color="auto" w:fill="auto"/>
            <w:vAlign w:val="bottom"/>
            <w:hideMark/>
          </w:tcPr>
          <w:p w14:paraId="23D4BE2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21.8%</w:t>
            </w:r>
          </w:p>
        </w:tc>
        <w:tc>
          <w:tcPr>
            <w:tcW w:w="427" w:type="dxa"/>
            <w:gridSpan w:val="2"/>
            <w:shd w:val="clear" w:color="auto" w:fill="auto"/>
            <w:vAlign w:val="bottom"/>
            <w:hideMark/>
          </w:tcPr>
          <w:p w14:paraId="338EE43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53</w:t>
            </w:r>
          </w:p>
        </w:tc>
        <w:tc>
          <w:tcPr>
            <w:tcW w:w="810" w:type="dxa"/>
            <w:gridSpan w:val="2"/>
            <w:shd w:val="clear" w:color="auto" w:fill="auto"/>
            <w:vAlign w:val="bottom"/>
            <w:hideMark/>
          </w:tcPr>
          <w:p w14:paraId="0BD4C40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15.7%</w:t>
            </w:r>
          </w:p>
        </w:tc>
        <w:tc>
          <w:tcPr>
            <w:tcW w:w="606" w:type="dxa"/>
            <w:gridSpan w:val="3"/>
            <w:shd w:val="clear" w:color="auto" w:fill="auto"/>
            <w:vAlign w:val="bottom"/>
            <w:hideMark/>
          </w:tcPr>
          <w:p w14:paraId="7C70278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86" w:type="dxa"/>
            <w:gridSpan w:val="2"/>
            <w:shd w:val="clear" w:color="auto" w:fill="auto"/>
            <w:vAlign w:val="bottom"/>
            <w:hideMark/>
          </w:tcPr>
          <w:p w14:paraId="75A9B66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86" w:type="dxa"/>
            <w:shd w:val="clear" w:color="auto" w:fill="auto"/>
            <w:vAlign w:val="bottom"/>
            <w:hideMark/>
          </w:tcPr>
          <w:p w14:paraId="0AC8064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3.25</w:t>
            </w:r>
          </w:p>
        </w:tc>
        <w:tc>
          <w:tcPr>
            <w:tcW w:w="986" w:type="dxa"/>
            <w:gridSpan w:val="2"/>
            <w:shd w:val="clear" w:color="auto" w:fill="auto"/>
            <w:vAlign w:val="bottom"/>
            <w:hideMark/>
          </w:tcPr>
          <w:p w14:paraId="36A4CE4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053B780E" w14:textId="77777777" w:rsidTr="00BE48C9">
        <w:trPr>
          <w:gridAfter w:val="1"/>
          <w:wAfter w:w="121" w:type="dxa"/>
          <w:trHeight w:val="309"/>
        </w:trPr>
        <w:tc>
          <w:tcPr>
            <w:tcW w:w="603" w:type="dxa"/>
            <w:shd w:val="clear" w:color="auto" w:fill="auto"/>
            <w:hideMark/>
          </w:tcPr>
          <w:p w14:paraId="4CFB080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w:t>
            </w:r>
          </w:p>
        </w:tc>
        <w:tc>
          <w:tcPr>
            <w:tcW w:w="2640" w:type="dxa"/>
            <w:shd w:val="clear" w:color="auto" w:fill="auto"/>
            <w:hideMark/>
          </w:tcPr>
          <w:p w14:paraId="5570AED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No HSE Management System in place</w:t>
            </w:r>
          </w:p>
        </w:tc>
        <w:tc>
          <w:tcPr>
            <w:tcW w:w="830" w:type="dxa"/>
            <w:shd w:val="clear" w:color="auto" w:fill="auto"/>
            <w:vAlign w:val="bottom"/>
            <w:hideMark/>
          </w:tcPr>
          <w:p w14:paraId="5EF153D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67" w:type="dxa"/>
            <w:gridSpan w:val="2"/>
            <w:shd w:val="clear" w:color="auto" w:fill="auto"/>
            <w:vAlign w:val="bottom"/>
            <w:hideMark/>
          </w:tcPr>
          <w:p w14:paraId="6B29323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48" w:type="dxa"/>
            <w:gridSpan w:val="2"/>
            <w:shd w:val="clear" w:color="auto" w:fill="auto"/>
            <w:vAlign w:val="bottom"/>
            <w:hideMark/>
          </w:tcPr>
          <w:p w14:paraId="2679730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785" w:type="dxa"/>
            <w:shd w:val="clear" w:color="auto" w:fill="auto"/>
            <w:vAlign w:val="bottom"/>
            <w:hideMark/>
          </w:tcPr>
          <w:p w14:paraId="1C3DB83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427" w:type="dxa"/>
            <w:gridSpan w:val="2"/>
            <w:shd w:val="clear" w:color="auto" w:fill="auto"/>
            <w:vAlign w:val="bottom"/>
            <w:hideMark/>
          </w:tcPr>
          <w:p w14:paraId="06D1016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810" w:type="dxa"/>
            <w:gridSpan w:val="2"/>
            <w:shd w:val="clear" w:color="auto" w:fill="auto"/>
            <w:vAlign w:val="bottom"/>
            <w:hideMark/>
          </w:tcPr>
          <w:p w14:paraId="1B309E9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606" w:type="dxa"/>
            <w:gridSpan w:val="3"/>
            <w:shd w:val="clear" w:color="auto" w:fill="auto"/>
            <w:vAlign w:val="bottom"/>
            <w:hideMark/>
          </w:tcPr>
          <w:p w14:paraId="3340171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986" w:type="dxa"/>
            <w:gridSpan w:val="2"/>
            <w:shd w:val="clear" w:color="auto" w:fill="auto"/>
            <w:vAlign w:val="bottom"/>
            <w:hideMark/>
          </w:tcPr>
          <w:p w14:paraId="3CC19A5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986" w:type="dxa"/>
            <w:shd w:val="clear" w:color="auto" w:fill="auto"/>
            <w:vAlign w:val="bottom"/>
            <w:hideMark/>
          </w:tcPr>
          <w:p w14:paraId="6A4B4AD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1.76</w:t>
            </w:r>
          </w:p>
        </w:tc>
        <w:tc>
          <w:tcPr>
            <w:tcW w:w="986" w:type="dxa"/>
            <w:gridSpan w:val="2"/>
            <w:shd w:val="clear" w:color="auto" w:fill="auto"/>
            <w:vAlign w:val="bottom"/>
            <w:hideMark/>
          </w:tcPr>
          <w:p w14:paraId="65839D6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08732555" w14:textId="77777777" w:rsidTr="00BE48C9">
        <w:trPr>
          <w:gridAfter w:val="1"/>
          <w:wAfter w:w="121" w:type="dxa"/>
          <w:trHeight w:val="309"/>
        </w:trPr>
        <w:tc>
          <w:tcPr>
            <w:tcW w:w="603" w:type="dxa"/>
            <w:shd w:val="clear" w:color="auto" w:fill="auto"/>
            <w:hideMark/>
          </w:tcPr>
          <w:p w14:paraId="5579649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6</w:t>
            </w:r>
          </w:p>
        </w:tc>
        <w:tc>
          <w:tcPr>
            <w:tcW w:w="2640" w:type="dxa"/>
            <w:shd w:val="clear" w:color="auto" w:fill="auto"/>
            <w:hideMark/>
          </w:tcPr>
          <w:p w14:paraId="2D13B9F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Unserviceable/un-certified Trucks/equipment’s</w:t>
            </w:r>
          </w:p>
        </w:tc>
        <w:tc>
          <w:tcPr>
            <w:tcW w:w="830" w:type="dxa"/>
            <w:shd w:val="clear" w:color="auto" w:fill="auto"/>
            <w:vAlign w:val="bottom"/>
            <w:hideMark/>
          </w:tcPr>
          <w:p w14:paraId="68D2D1E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67" w:type="dxa"/>
            <w:gridSpan w:val="2"/>
            <w:shd w:val="clear" w:color="auto" w:fill="auto"/>
            <w:vAlign w:val="bottom"/>
            <w:hideMark/>
          </w:tcPr>
          <w:p w14:paraId="7ACCB26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48" w:type="dxa"/>
            <w:gridSpan w:val="2"/>
            <w:shd w:val="clear" w:color="auto" w:fill="auto"/>
            <w:vAlign w:val="bottom"/>
            <w:hideMark/>
          </w:tcPr>
          <w:p w14:paraId="19E5584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785" w:type="dxa"/>
            <w:shd w:val="clear" w:color="auto" w:fill="auto"/>
            <w:vAlign w:val="bottom"/>
            <w:hideMark/>
          </w:tcPr>
          <w:p w14:paraId="0E77CE6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427" w:type="dxa"/>
            <w:gridSpan w:val="2"/>
            <w:shd w:val="clear" w:color="auto" w:fill="auto"/>
            <w:vAlign w:val="bottom"/>
            <w:hideMark/>
          </w:tcPr>
          <w:p w14:paraId="2535BA2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200</w:t>
            </w:r>
          </w:p>
        </w:tc>
        <w:tc>
          <w:tcPr>
            <w:tcW w:w="810" w:type="dxa"/>
            <w:gridSpan w:val="2"/>
            <w:shd w:val="clear" w:color="auto" w:fill="auto"/>
            <w:vAlign w:val="bottom"/>
            <w:hideMark/>
          </w:tcPr>
          <w:p w14:paraId="1934471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58.8%</w:t>
            </w:r>
          </w:p>
        </w:tc>
        <w:tc>
          <w:tcPr>
            <w:tcW w:w="606" w:type="dxa"/>
            <w:gridSpan w:val="3"/>
            <w:shd w:val="clear" w:color="auto" w:fill="auto"/>
            <w:vAlign w:val="bottom"/>
            <w:hideMark/>
          </w:tcPr>
          <w:p w14:paraId="0598D33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986" w:type="dxa"/>
            <w:gridSpan w:val="2"/>
            <w:shd w:val="clear" w:color="auto" w:fill="auto"/>
            <w:vAlign w:val="bottom"/>
            <w:hideMark/>
          </w:tcPr>
          <w:p w14:paraId="52EAC65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33.8%</w:t>
            </w:r>
          </w:p>
        </w:tc>
        <w:tc>
          <w:tcPr>
            <w:tcW w:w="986" w:type="dxa"/>
            <w:shd w:val="clear" w:color="auto" w:fill="auto"/>
            <w:vAlign w:val="bottom"/>
            <w:hideMark/>
          </w:tcPr>
          <w:p w14:paraId="13C87CC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1.81</w:t>
            </w:r>
          </w:p>
        </w:tc>
        <w:tc>
          <w:tcPr>
            <w:tcW w:w="986" w:type="dxa"/>
            <w:gridSpan w:val="2"/>
            <w:shd w:val="clear" w:color="auto" w:fill="auto"/>
            <w:vAlign w:val="bottom"/>
            <w:hideMark/>
          </w:tcPr>
          <w:p w14:paraId="0D68CC5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314D0E5E" w14:textId="77777777" w:rsidTr="00BE48C9">
        <w:trPr>
          <w:gridAfter w:val="1"/>
          <w:wAfter w:w="121" w:type="dxa"/>
          <w:trHeight w:val="256"/>
        </w:trPr>
        <w:tc>
          <w:tcPr>
            <w:tcW w:w="603" w:type="dxa"/>
            <w:shd w:val="clear" w:color="auto" w:fill="auto"/>
            <w:hideMark/>
          </w:tcPr>
          <w:p w14:paraId="446BE28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w:t>
            </w:r>
          </w:p>
        </w:tc>
        <w:tc>
          <w:tcPr>
            <w:tcW w:w="2640" w:type="dxa"/>
            <w:shd w:val="clear" w:color="auto" w:fill="auto"/>
            <w:hideMark/>
          </w:tcPr>
          <w:p w14:paraId="79DF2FA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Inadequate or Lack of Training</w:t>
            </w:r>
          </w:p>
        </w:tc>
        <w:tc>
          <w:tcPr>
            <w:tcW w:w="830" w:type="dxa"/>
            <w:shd w:val="clear" w:color="auto" w:fill="auto"/>
            <w:vAlign w:val="bottom"/>
            <w:hideMark/>
          </w:tcPr>
          <w:p w14:paraId="02344A9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130</w:t>
            </w:r>
          </w:p>
        </w:tc>
        <w:tc>
          <w:tcPr>
            <w:tcW w:w="967" w:type="dxa"/>
            <w:gridSpan w:val="2"/>
            <w:shd w:val="clear" w:color="auto" w:fill="auto"/>
            <w:vAlign w:val="bottom"/>
            <w:hideMark/>
          </w:tcPr>
          <w:p w14:paraId="2B1DBDB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38.2%</w:t>
            </w:r>
          </w:p>
        </w:tc>
        <w:tc>
          <w:tcPr>
            <w:tcW w:w="548" w:type="dxa"/>
            <w:gridSpan w:val="2"/>
            <w:shd w:val="clear" w:color="auto" w:fill="auto"/>
            <w:vAlign w:val="bottom"/>
            <w:hideMark/>
          </w:tcPr>
          <w:p w14:paraId="2F033CC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142</w:t>
            </w:r>
          </w:p>
        </w:tc>
        <w:tc>
          <w:tcPr>
            <w:tcW w:w="785" w:type="dxa"/>
            <w:shd w:val="clear" w:color="auto" w:fill="auto"/>
            <w:vAlign w:val="bottom"/>
            <w:hideMark/>
          </w:tcPr>
          <w:p w14:paraId="2A3F19A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41.8%</w:t>
            </w:r>
          </w:p>
        </w:tc>
        <w:tc>
          <w:tcPr>
            <w:tcW w:w="427" w:type="dxa"/>
            <w:gridSpan w:val="2"/>
            <w:shd w:val="clear" w:color="auto" w:fill="auto"/>
            <w:vAlign w:val="bottom"/>
            <w:hideMark/>
          </w:tcPr>
          <w:p w14:paraId="51C7C51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43</w:t>
            </w:r>
          </w:p>
        </w:tc>
        <w:tc>
          <w:tcPr>
            <w:tcW w:w="810" w:type="dxa"/>
            <w:gridSpan w:val="2"/>
            <w:shd w:val="clear" w:color="auto" w:fill="auto"/>
            <w:vAlign w:val="bottom"/>
            <w:hideMark/>
          </w:tcPr>
          <w:p w14:paraId="77E1617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12.6%</w:t>
            </w:r>
          </w:p>
        </w:tc>
        <w:tc>
          <w:tcPr>
            <w:tcW w:w="606" w:type="dxa"/>
            <w:gridSpan w:val="3"/>
            <w:shd w:val="clear" w:color="auto" w:fill="auto"/>
            <w:vAlign w:val="bottom"/>
            <w:hideMark/>
          </w:tcPr>
          <w:p w14:paraId="1C64149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86" w:type="dxa"/>
            <w:gridSpan w:val="2"/>
            <w:shd w:val="clear" w:color="auto" w:fill="auto"/>
            <w:vAlign w:val="bottom"/>
            <w:hideMark/>
          </w:tcPr>
          <w:p w14:paraId="4676343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86" w:type="dxa"/>
            <w:shd w:val="clear" w:color="auto" w:fill="auto"/>
            <w:vAlign w:val="bottom"/>
            <w:hideMark/>
          </w:tcPr>
          <w:p w14:paraId="3FBE735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3.09</w:t>
            </w:r>
          </w:p>
        </w:tc>
        <w:tc>
          <w:tcPr>
            <w:tcW w:w="986" w:type="dxa"/>
            <w:gridSpan w:val="2"/>
            <w:shd w:val="clear" w:color="auto" w:fill="auto"/>
            <w:vAlign w:val="bottom"/>
            <w:hideMark/>
          </w:tcPr>
          <w:p w14:paraId="085B4AB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79E9CB98" w14:textId="77777777" w:rsidTr="00BE48C9">
        <w:trPr>
          <w:gridAfter w:val="1"/>
          <w:wAfter w:w="121" w:type="dxa"/>
          <w:trHeight w:val="309"/>
        </w:trPr>
        <w:tc>
          <w:tcPr>
            <w:tcW w:w="603" w:type="dxa"/>
            <w:shd w:val="clear" w:color="auto" w:fill="auto"/>
            <w:hideMark/>
          </w:tcPr>
          <w:p w14:paraId="742CEA1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w:t>
            </w:r>
          </w:p>
        </w:tc>
        <w:tc>
          <w:tcPr>
            <w:tcW w:w="2640" w:type="dxa"/>
            <w:shd w:val="clear" w:color="auto" w:fill="auto"/>
            <w:hideMark/>
          </w:tcPr>
          <w:p w14:paraId="7A1E3CB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Inadequate Supervision</w:t>
            </w:r>
          </w:p>
        </w:tc>
        <w:tc>
          <w:tcPr>
            <w:tcW w:w="830" w:type="dxa"/>
            <w:shd w:val="clear" w:color="auto" w:fill="auto"/>
            <w:vAlign w:val="bottom"/>
            <w:hideMark/>
          </w:tcPr>
          <w:p w14:paraId="750B2A5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150</w:t>
            </w:r>
          </w:p>
        </w:tc>
        <w:tc>
          <w:tcPr>
            <w:tcW w:w="967" w:type="dxa"/>
            <w:gridSpan w:val="2"/>
            <w:shd w:val="clear" w:color="auto" w:fill="auto"/>
            <w:vAlign w:val="bottom"/>
            <w:hideMark/>
          </w:tcPr>
          <w:p w14:paraId="486435E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44.1%</w:t>
            </w:r>
          </w:p>
        </w:tc>
        <w:tc>
          <w:tcPr>
            <w:tcW w:w="548" w:type="dxa"/>
            <w:gridSpan w:val="2"/>
            <w:shd w:val="clear" w:color="auto" w:fill="auto"/>
            <w:vAlign w:val="bottom"/>
            <w:hideMark/>
          </w:tcPr>
          <w:p w14:paraId="4775BBB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97</w:t>
            </w:r>
          </w:p>
        </w:tc>
        <w:tc>
          <w:tcPr>
            <w:tcW w:w="785" w:type="dxa"/>
            <w:shd w:val="clear" w:color="auto" w:fill="auto"/>
            <w:vAlign w:val="bottom"/>
            <w:hideMark/>
          </w:tcPr>
          <w:p w14:paraId="0AAEFD3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28.5%</w:t>
            </w:r>
          </w:p>
        </w:tc>
        <w:tc>
          <w:tcPr>
            <w:tcW w:w="427" w:type="dxa"/>
            <w:gridSpan w:val="2"/>
            <w:shd w:val="clear" w:color="auto" w:fill="auto"/>
            <w:vAlign w:val="bottom"/>
            <w:hideMark/>
          </w:tcPr>
          <w:p w14:paraId="76345D5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56</w:t>
            </w:r>
          </w:p>
        </w:tc>
        <w:tc>
          <w:tcPr>
            <w:tcW w:w="810" w:type="dxa"/>
            <w:gridSpan w:val="2"/>
            <w:shd w:val="clear" w:color="auto" w:fill="auto"/>
            <w:vAlign w:val="bottom"/>
            <w:hideMark/>
          </w:tcPr>
          <w:p w14:paraId="51ED242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16.5%</w:t>
            </w:r>
          </w:p>
        </w:tc>
        <w:tc>
          <w:tcPr>
            <w:tcW w:w="606" w:type="dxa"/>
            <w:gridSpan w:val="3"/>
            <w:shd w:val="clear" w:color="auto" w:fill="auto"/>
            <w:vAlign w:val="bottom"/>
            <w:hideMark/>
          </w:tcPr>
          <w:p w14:paraId="1190AE5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37</w:t>
            </w:r>
          </w:p>
        </w:tc>
        <w:tc>
          <w:tcPr>
            <w:tcW w:w="986" w:type="dxa"/>
            <w:gridSpan w:val="2"/>
            <w:shd w:val="clear" w:color="auto" w:fill="auto"/>
            <w:vAlign w:val="bottom"/>
            <w:hideMark/>
          </w:tcPr>
          <w:p w14:paraId="767CB54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10.9%</w:t>
            </w:r>
          </w:p>
        </w:tc>
        <w:tc>
          <w:tcPr>
            <w:tcW w:w="986" w:type="dxa"/>
            <w:shd w:val="clear" w:color="auto" w:fill="auto"/>
            <w:vAlign w:val="bottom"/>
            <w:hideMark/>
          </w:tcPr>
          <w:p w14:paraId="2942C8F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3.05</w:t>
            </w:r>
          </w:p>
        </w:tc>
        <w:tc>
          <w:tcPr>
            <w:tcW w:w="986" w:type="dxa"/>
            <w:gridSpan w:val="2"/>
            <w:shd w:val="clear" w:color="auto" w:fill="auto"/>
            <w:vAlign w:val="bottom"/>
            <w:hideMark/>
          </w:tcPr>
          <w:p w14:paraId="0225A9A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1FB74E37" w14:textId="77777777" w:rsidTr="00BE48C9">
        <w:trPr>
          <w:gridAfter w:val="1"/>
          <w:wAfter w:w="121" w:type="dxa"/>
          <w:trHeight w:val="309"/>
        </w:trPr>
        <w:tc>
          <w:tcPr>
            <w:tcW w:w="603" w:type="dxa"/>
            <w:shd w:val="clear" w:color="auto" w:fill="auto"/>
            <w:hideMark/>
          </w:tcPr>
          <w:p w14:paraId="1934905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2640" w:type="dxa"/>
            <w:shd w:val="clear" w:color="auto" w:fill="auto"/>
            <w:hideMark/>
          </w:tcPr>
          <w:p w14:paraId="109134D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Poorly maintained or unsuitable equipment,</w:t>
            </w:r>
          </w:p>
        </w:tc>
        <w:tc>
          <w:tcPr>
            <w:tcW w:w="830" w:type="dxa"/>
            <w:shd w:val="clear" w:color="auto" w:fill="auto"/>
            <w:vAlign w:val="bottom"/>
            <w:hideMark/>
          </w:tcPr>
          <w:p w14:paraId="2DA4E58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149</w:t>
            </w:r>
          </w:p>
        </w:tc>
        <w:tc>
          <w:tcPr>
            <w:tcW w:w="967" w:type="dxa"/>
            <w:gridSpan w:val="2"/>
            <w:shd w:val="clear" w:color="auto" w:fill="auto"/>
            <w:vAlign w:val="bottom"/>
            <w:hideMark/>
          </w:tcPr>
          <w:p w14:paraId="2A0692E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43.8%</w:t>
            </w:r>
          </w:p>
        </w:tc>
        <w:tc>
          <w:tcPr>
            <w:tcW w:w="548" w:type="dxa"/>
            <w:gridSpan w:val="2"/>
            <w:shd w:val="clear" w:color="auto" w:fill="auto"/>
            <w:vAlign w:val="bottom"/>
            <w:hideMark/>
          </w:tcPr>
          <w:p w14:paraId="593EBBD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120</w:t>
            </w:r>
          </w:p>
        </w:tc>
        <w:tc>
          <w:tcPr>
            <w:tcW w:w="785" w:type="dxa"/>
            <w:shd w:val="clear" w:color="auto" w:fill="auto"/>
            <w:vAlign w:val="bottom"/>
            <w:hideMark/>
          </w:tcPr>
          <w:p w14:paraId="56B87CE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35.3%</w:t>
            </w:r>
          </w:p>
        </w:tc>
        <w:tc>
          <w:tcPr>
            <w:tcW w:w="427" w:type="dxa"/>
            <w:gridSpan w:val="2"/>
            <w:shd w:val="clear" w:color="auto" w:fill="auto"/>
            <w:vAlign w:val="bottom"/>
            <w:hideMark/>
          </w:tcPr>
          <w:p w14:paraId="7E9D397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810" w:type="dxa"/>
            <w:gridSpan w:val="2"/>
            <w:shd w:val="clear" w:color="auto" w:fill="auto"/>
            <w:vAlign w:val="bottom"/>
            <w:hideMark/>
          </w:tcPr>
          <w:p w14:paraId="70B2218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606" w:type="dxa"/>
            <w:gridSpan w:val="3"/>
            <w:shd w:val="clear" w:color="auto" w:fill="auto"/>
            <w:vAlign w:val="bottom"/>
            <w:hideMark/>
          </w:tcPr>
          <w:p w14:paraId="7CBD4B2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46</w:t>
            </w:r>
          </w:p>
        </w:tc>
        <w:tc>
          <w:tcPr>
            <w:tcW w:w="986" w:type="dxa"/>
            <w:gridSpan w:val="2"/>
            <w:shd w:val="clear" w:color="auto" w:fill="auto"/>
            <w:vAlign w:val="bottom"/>
            <w:hideMark/>
          </w:tcPr>
          <w:p w14:paraId="04F7FA0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13.5%</w:t>
            </w:r>
          </w:p>
        </w:tc>
        <w:tc>
          <w:tcPr>
            <w:tcW w:w="986" w:type="dxa"/>
            <w:shd w:val="clear" w:color="auto" w:fill="auto"/>
            <w:vAlign w:val="bottom"/>
            <w:hideMark/>
          </w:tcPr>
          <w:p w14:paraId="384055BB"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3.09</w:t>
            </w:r>
          </w:p>
        </w:tc>
        <w:tc>
          <w:tcPr>
            <w:tcW w:w="986" w:type="dxa"/>
            <w:gridSpan w:val="2"/>
            <w:shd w:val="clear" w:color="auto" w:fill="auto"/>
            <w:vAlign w:val="bottom"/>
            <w:hideMark/>
          </w:tcPr>
          <w:p w14:paraId="1725C9B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603B3E3A" w14:textId="77777777" w:rsidTr="00BE48C9">
        <w:trPr>
          <w:gridAfter w:val="1"/>
          <w:wAfter w:w="121" w:type="dxa"/>
          <w:trHeight w:val="204"/>
        </w:trPr>
        <w:tc>
          <w:tcPr>
            <w:tcW w:w="603" w:type="dxa"/>
            <w:shd w:val="clear" w:color="auto" w:fill="auto"/>
            <w:hideMark/>
          </w:tcPr>
          <w:p w14:paraId="56404F5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10</w:t>
            </w:r>
          </w:p>
        </w:tc>
        <w:tc>
          <w:tcPr>
            <w:tcW w:w="2640" w:type="dxa"/>
            <w:shd w:val="clear" w:color="auto" w:fill="auto"/>
            <w:hideMark/>
          </w:tcPr>
          <w:p w14:paraId="7C2FF798"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Poor Housekeeping</w:t>
            </w:r>
          </w:p>
        </w:tc>
        <w:tc>
          <w:tcPr>
            <w:tcW w:w="830" w:type="dxa"/>
            <w:shd w:val="clear" w:color="auto" w:fill="auto"/>
            <w:vAlign w:val="bottom"/>
            <w:hideMark/>
          </w:tcPr>
          <w:p w14:paraId="573A774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89</w:t>
            </w:r>
          </w:p>
        </w:tc>
        <w:tc>
          <w:tcPr>
            <w:tcW w:w="967" w:type="dxa"/>
            <w:gridSpan w:val="2"/>
            <w:shd w:val="clear" w:color="auto" w:fill="auto"/>
            <w:vAlign w:val="bottom"/>
            <w:hideMark/>
          </w:tcPr>
          <w:p w14:paraId="78FDEE5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26.2%</w:t>
            </w:r>
          </w:p>
        </w:tc>
        <w:tc>
          <w:tcPr>
            <w:tcW w:w="548" w:type="dxa"/>
            <w:gridSpan w:val="2"/>
            <w:shd w:val="clear" w:color="auto" w:fill="auto"/>
            <w:vAlign w:val="bottom"/>
            <w:hideMark/>
          </w:tcPr>
          <w:p w14:paraId="40ACCDB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85" w:type="dxa"/>
            <w:shd w:val="clear" w:color="auto" w:fill="auto"/>
            <w:vAlign w:val="bottom"/>
            <w:hideMark/>
          </w:tcPr>
          <w:p w14:paraId="405C4D6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427" w:type="dxa"/>
            <w:gridSpan w:val="2"/>
            <w:shd w:val="clear" w:color="auto" w:fill="auto"/>
            <w:vAlign w:val="bottom"/>
            <w:hideMark/>
          </w:tcPr>
          <w:p w14:paraId="3013430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48</w:t>
            </w:r>
          </w:p>
        </w:tc>
        <w:tc>
          <w:tcPr>
            <w:tcW w:w="810" w:type="dxa"/>
            <w:gridSpan w:val="2"/>
            <w:shd w:val="clear" w:color="auto" w:fill="auto"/>
            <w:vAlign w:val="bottom"/>
            <w:hideMark/>
          </w:tcPr>
          <w:p w14:paraId="6DFF947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14.1%</w:t>
            </w:r>
          </w:p>
        </w:tc>
        <w:tc>
          <w:tcPr>
            <w:tcW w:w="606" w:type="dxa"/>
            <w:gridSpan w:val="3"/>
            <w:shd w:val="clear" w:color="auto" w:fill="auto"/>
            <w:vAlign w:val="bottom"/>
            <w:hideMark/>
          </w:tcPr>
          <w:p w14:paraId="00EED40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194</w:t>
            </w:r>
          </w:p>
        </w:tc>
        <w:tc>
          <w:tcPr>
            <w:tcW w:w="986" w:type="dxa"/>
            <w:gridSpan w:val="2"/>
            <w:shd w:val="clear" w:color="auto" w:fill="auto"/>
            <w:vAlign w:val="bottom"/>
            <w:hideMark/>
          </w:tcPr>
          <w:p w14:paraId="6547BDC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57.1%</w:t>
            </w:r>
          </w:p>
        </w:tc>
        <w:tc>
          <w:tcPr>
            <w:tcW w:w="986" w:type="dxa"/>
            <w:shd w:val="clear" w:color="auto" w:fill="auto"/>
            <w:vAlign w:val="bottom"/>
            <w:hideMark/>
          </w:tcPr>
          <w:p w14:paraId="0C480A2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1.98</w:t>
            </w:r>
          </w:p>
        </w:tc>
        <w:tc>
          <w:tcPr>
            <w:tcW w:w="986" w:type="dxa"/>
            <w:gridSpan w:val="2"/>
            <w:shd w:val="clear" w:color="auto" w:fill="auto"/>
            <w:vAlign w:val="bottom"/>
            <w:hideMark/>
          </w:tcPr>
          <w:p w14:paraId="42B977F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sz w:val="18"/>
                <w:szCs w:val="18"/>
              </w:rPr>
              <w:t>Reject</w:t>
            </w:r>
          </w:p>
        </w:tc>
      </w:tr>
      <w:tr w:rsidR="009B19BF" w:rsidRPr="0086282B" w14:paraId="674D59C7" w14:textId="77777777" w:rsidTr="00BE48C9">
        <w:trPr>
          <w:gridAfter w:val="1"/>
          <w:wAfter w:w="121" w:type="dxa"/>
          <w:trHeight w:val="204"/>
        </w:trPr>
        <w:tc>
          <w:tcPr>
            <w:tcW w:w="603" w:type="dxa"/>
            <w:shd w:val="clear" w:color="auto" w:fill="auto"/>
            <w:hideMark/>
          </w:tcPr>
          <w:p w14:paraId="5BCF239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w:t>
            </w:r>
          </w:p>
        </w:tc>
        <w:tc>
          <w:tcPr>
            <w:tcW w:w="2640" w:type="dxa"/>
            <w:shd w:val="clear" w:color="auto" w:fill="auto"/>
            <w:hideMark/>
          </w:tcPr>
          <w:p w14:paraId="34944C1E"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Missing guardrails/lack of hard safety barriers</w:t>
            </w:r>
          </w:p>
        </w:tc>
        <w:tc>
          <w:tcPr>
            <w:tcW w:w="830" w:type="dxa"/>
            <w:shd w:val="clear" w:color="auto" w:fill="auto"/>
            <w:vAlign w:val="bottom"/>
            <w:hideMark/>
          </w:tcPr>
          <w:p w14:paraId="3838D79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140</w:t>
            </w:r>
          </w:p>
        </w:tc>
        <w:tc>
          <w:tcPr>
            <w:tcW w:w="967" w:type="dxa"/>
            <w:gridSpan w:val="2"/>
            <w:shd w:val="clear" w:color="auto" w:fill="auto"/>
            <w:vAlign w:val="bottom"/>
            <w:hideMark/>
          </w:tcPr>
          <w:p w14:paraId="77B39AA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41.2%</w:t>
            </w:r>
          </w:p>
        </w:tc>
        <w:tc>
          <w:tcPr>
            <w:tcW w:w="548" w:type="dxa"/>
            <w:gridSpan w:val="2"/>
            <w:shd w:val="clear" w:color="auto" w:fill="auto"/>
            <w:vAlign w:val="bottom"/>
            <w:hideMark/>
          </w:tcPr>
          <w:p w14:paraId="404056C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110</w:t>
            </w:r>
          </w:p>
        </w:tc>
        <w:tc>
          <w:tcPr>
            <w:tcW w:w="785" w:type="dxa"/>
            <w:shd w:val="clear" w:color="auto" w:fill="auto"/>
            <w:vAlign w:val="bottom"/>
            <w:hideMark/>
          </w:tcPr>
          <w:p w14:paraId="7F4ECC6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427" w:type="dxa"/>
            <w:gridSpan w:val="2"/>
            <w:shd w:val="clear" w:color="auto" w:fill="auto"/>
            <w:vAlign w:val="bottom"/>
            <w:hideMark/>
          </w:tcPr>
          <w:p w14:paraId="0D04E57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39</w:t>
            </w:r>
          </w:p>
        </w:tc>
        <w:tc>
          <w:tcPr>
            <w:tcW w:w="810" w:type="dxa"/>
            <w:gridSpan w:val="2"/>
            <w:shd w:val="clear" w:color="auto" w:fill="auto"/>
            <w:vAlign w:val="bottom"/>
            <w:hideMark/>
          </w:tcPr>
          <w:p w14:paraId="0FE3A98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606" w:type="dxa"/>
            <w:gridSpan w:val="3"/>
            <w:shd w:val="clear" w:color="auto" w:fill="auto"/>
            <w:vAlign w:val="bottom"/>
            <w:hideMark/>
          </w:tcPr>
          <w:p w14:paraId="2BEB425D"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51</w:t>
            </w:r>
          </w:p>
        </w:tc>
        <w:tc>
          <w:tcPr>
            <w:tcW w:w="986" w:type="dxa"/>
            <w:gridSpan w:val="2"/>
            <w:shd w:val="clear" w:color="auto" w:fill="auto"/>
            <w:vAlign w:val="bottom"/>
            <w:hideMark/>
          </w:tcPr>
          <w:p w14:paraId="7B5DA49A"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w:t>
            </w:r>
          </w:p>
        </w:tc>
        <w:tc>
          <w:tcPr>
            <w:tcW w:w="986" w:type="dxa"/>
            <w:shd w:val="clear" w:color="auto" w:fill="auto"/>
            <w:vAlign w:val="bottom"/>
            <w:hideMark/>
          </w:tcPr>
          <w:p w14:paraId="5280985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3.00</w:t>
            </w:r>
          </w:p>
        </w:tc>
        <w:tc>
          <w:tcPr>
            <w:tcW w:w="986" w:type="dxa"/>
            <w:gridSpan w:val="2"/>
            <w:shd w:val="clear" w:color="auto" w:fill="auto"/>
            <w:vAlign w:val="bottom"/>
            <w:hideMark/>
          </w:tcPr>
          <w:p w14:paraId="2A6106C4"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359D4ACD" w14:textId="77777777" w:rsidTr="00BE48C9">
        <w:trPr>
          <w:gridAfter w:val="1"/>
          <w:wAfter w:w="121" w:type="dxa"/>
          <w:trHeight w:val="204"/>
        </w:trPr>
        <w:tc>
          <w:tcPr>
            <w:tcW w:w="603" w:type="dxa"/>
            <w:shd w:val="clear" w:color="auto" w:fill="auto"/>
            <w:hideMark/>
          </w:tcPr>
          <w:p w14:paraId="1D7A199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12</w:t>
            </w:r>
          </w:p>
        </w:tc>
        <w:tc>
          <w:tcPr>
            <w:tcW w:w="2640" w:type="dxa"/>
            <w:shd w:val="clear" w:color="auto" w:fill="auto"/>
            <w:hideMark/>
          </w:tcPr>
          <w:p w14:paraId="70335CD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 xml:space="preserve">Inexperience of operational personnel </w:t>
            </w:r>
          </w:p>
        </w:tc>
        <w:tc>
          <w:tcPr>
            <w:tcW w:w="830" w:type="dxa"/>
            <w:shd w:val="clear" w:color="auto" w:fill="auto"/>
            <w:vAlign w:val="bottom"/>
            <w:hideMark/>
          </w:tcPr>
          <w:p w14:paraId="7D7E62E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967" w:type="dxa"/>
            <w:gridSpan w:val="2"/>
            <w:shd w:val="clear" w:color="auto" w:fill="auto"/>
            <w:vAlign w:val="bottom"/>
            <w:hideMark/>
          </w:tcPr>
          <w:p w14:paraId="74A5F37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548" w:type="dxa"/>
            <w:gridSpan w:val="2"/>
            <w:shd w:val="clear" w:color="auto" w:fill="auto"/>
            <w:vAlign w:val="bottom"/>
            <w:hideMark/>
          </w:tcPr>
          <w:p w14:paraId="1D790BB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785" w:type="dxa"/>
            <w:shd w:val="clear" w:color="auto" w:fill="auto"/>
            <w:vAlign w:val="bottom"/>
            <w:hideMark/>
          </w:tcPr>
          <w:p w14:paraId="47C276D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427" w:type="dxa"/>
            <w:gridSpan w:val="2"/>
            <w:shd w:val="clear" w:color="auto" w:fill="auto"/>
            <w:vAlign w:val="bottom"/>
            <w:hideMark/>
          </w:tcPr>
          <w:p w14:paraId="0A5510E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810" w:type="dxa"/>
            <w:gridSpan w:val="2"/>
            <w:shd w:val="clear" w:color="auto" w:fill="auto"/>
            <w:vAlign w:val="bottom"/>
            <w:hideMark/>
          </w:tcPr>
          <w:p w14:paraId="7C75899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606" w:type="dxa"/>
            <w:gridSpan w:val="3"/>
            <w:shd w:val="clear" w:color="auto" w:fill="auto"/>
            <w:vAlign w:val="bottom"/>
            <w:hideMark/>
          </w:tcPr>
          <w:p w14:paraId="442C3761"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986" w:type="dxa"/>
            <w:gridSpan w:val="2"/>
            <w:shd w:val="clear" w:color="auto" w:fill="auto"/>
            <w:vAlign w:val="bottom"/>
            <w:hideMark/>
          </w:tcPr>
          <w:p w14:paraId="6F554FB0"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86" w:type="dxa"/>
            <w:shd w:val="clear" w:color="auto" w:fill="auto"/>
            <w:vAlign w:val="bottom"/>
            <w:hideMark/>
          </w:tcPr>
          <w:p w14:paraId="36DF0FC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986" w:type="dxa"/>
            <w:gridSpan w:val="2"/>
            <w:shd w:val="clear" w:color="auto" w:fill="auto"/>
            <w:vAlign w:val="bottom"/>
            <w:hideMark/>
          </w:tcPr>
          <w:p w14:paraId="266CC3B9"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32165E0A" w14:textId="77777777" w:rsidTr="00BE48C9">
        <w:trPr>
          <w:gridAfter w:val="1"/>
          <w:wAfter w:w="121" w:type="dxa"/>
          <w:trHeight w:val="204"/>
        </w:trPr>
        <w:tc>
          <w:tcPr>
            <w:tcW w:w="603" w:type="dxa"/>
            <w:shd w:val="clear" w:color="auto" w:fill="auto"/>
            <w:hideMark/>
          </w:tcPr>
          <w:p w14:paraId="6E4B75F5"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13</w:t>
            </w:r>
          </w:p>
        </w:tc>
        <w:tc>
          <w:tcPr>
            <w:tcW w:w="2640" w:type="dxa"/>
            <w:shd w:val="clear" w:color="auto" w:fill="auto"/>
            <w:hideMark/>
          </w:tcPr>
          <w:p w14:paraId="5FF92FE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Inadequate capacity of equipment</w:t>
            </w:r>
          </w:p>
        </w:tc>
        <w:tc>
          <w:tcPr>
            <w:tcW w:w="830" w:type="dxa"/>
            <w:shd w:val="clear" w:color="auto" w:fill="auto"/>
            <w:vAlign w:val="bottom"/>
            <w:hideMark/>
          </w:tcPr>
          <w:p w14:paraId="75AF094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150</w:t>
            </w:r>
          </w:p>
        </w:tc>
        <w:tc>
          <w:tcPr>
            <w:tcW w:w="967" w:type="dxa"/>
            <w:gridSpan w:val="2"/>
            <w:shd w:val="clear" w:color="auto" w:fill="auto"/>
            <w:vAlign w:val="bottom"/>
            <w:hideMark/>
          </w:tcPr>
          <w:p w14:paraId="5703E59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44.1%</w:t>
            </w:r>
          </w:p>
        </w:tc>
        <w:tc>
          <w:tcPr>
            <w:tcW w:w="548" w:type="dxa"/>
            <w:gridSpan w:val="2"/>
            <w:shd w:val="clear" w:color="auto" w:fill="auto"/>
            <w:vAlign w:val="bottom"/>
            <w:hideMark/>
          </w:tcPr>
          <w:p w14:paraId="4B8CF647"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97</w:t>
            </w:r>
          </w:p>
        </w:tc>
        <w:tc>
          <w:tcPr>
            <w:tcW w:w="785" w:type="dxa"/>
            <w:shd w:val="clear" w:color="auto" w:fill="auto"/>
            <w:vAlign w:val="bottom"/>
            <w:hideMark/>
          </w:tcPr>
          <w:p w14:paraId="79D0E2BF"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28.5%</w:t>
            </w:r>
          </w:p>
        </w:tc>
        <w:tc>
          <w:tcPr>
            <w:tcW w:w="427" w:type="dxa"/>
            <w:gridSpan w:val="2"/>
            <w:shd w:val="clear" w:color="auto" w:fill="auto"/>
            <w:vAlign w:val="bottom"/>
            <w:hideMark/>
          </w:tcPr>
          <w:p w14:paraId="5D97BB3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56</w:t>
            </w:r>
          </w:p>
        </w:tc>
        <w:tc>
          <w:tcPr>
            <w:tcW w:w="810" w:type="dxa"/>
            <w:gridSpan w:val="2"/>
            <w:shd w:val="clear" w:color="auto" w:fill="auto"/>
            <w:vAlign w:val="bottom"/>
            <w:hideMark/>
          </w:tcPr>
          <w:p w14:paraId="20F6E4C2"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16.5%</w:t>
            </w:r>
          </w:p>
        </w:tc>
        <w:tc>
          <w:tcPr>
            <w:tcW w:w="606" w:type="dxa"/>
            <w:gridSpan w:val="3"/>
            <w:shd w:val="clear" w:color="auto" w:fill="auto"/>
            <w:vAlign w:val="bottom"/>
            <w:hideMark/>
          </w:tcPr>
          <w:p w14:paraId="3AB2B8E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37</w:t>
            </w:r>
          </w:p>
        </w:tc>
        <w:tc>
          <w:tcPr>
            <w:tcW w:w="986" w:type="dxa"/>
            <w:gridSpan w:val="2"/>
            <w:shd w:val="clear" w:color="auto" w:fill="auto"/>
            <w:vAlign w:val="bottom"/>
            <w:hideMark/>
          </w:tcPr>
          <w:p w14:paraId="756C21E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10.9%</w:t>
            </w:r>
          </w:p>
        </w:tc>
        <w:tc>
          <w:tcPr>
            <w:tcW w:w="986" w:type="dxa"/>
            <w:shd w:val="clear" w:color="auto" w:fill="auto"/>
            <w:vAlign w:val="bottom"/>
            <w:hideMark/>
          </w:tcPr>
          <w:p w14:paraId="505D664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3.05</w:t>
            </w:r>
          </w:p>
        </w:tc>
        <w:tc>
          <w:tcPr>
            <w:tcW w:w="986" w:type="dxa"/>
            <w:gridSpan w:val="2"/>
            <w:shd w:val="clear" w:color="auto" w:fill="auto"/>
            <w:vAlign w:val="bottom"/>
            <w:hideMark/>
          </w:tcPr>
          <w:p w14:paraId="2A2A4143"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r w:rsidR="009B19BF" w:rsidRPr="0086282B" w14:paraId="390ABBE1" w14:textId="77777777" w:rsidTr="00BE48C9">
        <w:trPr>
          <w:gridAfter w:val="1"/>
          <w:wAfter w:w="121" w:type="dxa"/>
          <w:trHeight w:val="204"/>
        </w:trPr>
        <w:tc>
          <w:tcPr>
            <w:tcW w:w="603" w:type="dxa"/>
            <w:tcBorders>
              <w:top w:val="nil"/>
              <w:left w:val="nil"/>
              <w:bottom w:val="single" w:sz="4" w:space="0" w:color="auto"/>
              <w:right w:val="nil"/>
            </w:tcBorders>
            <w:shd w:val="clear" w:color="auto" w:fill="auto"/>
          </w:tcPr>
          <w:p w14:paraId="1F22700A" w14:textId="77777777" w:rsidR="009B19BF" w:rsidRPr="0086282B" w:rsidRDefault="009B19BF" w:rsidP="00BE48C9">
            <w:pPr>
              <w:spacing w:line="278" w:lineRule="auto"/>
              <w:jc w:val="left"/>
              <w:rPr>
                <w:rFonts w:ascii="Times New Roman" w:hAnsi="Times New Roman" w:cs="Times New Roman"/>
                <w:bCs/>
                <w:sz w:val="20"/>
                <w:szCs w:val="20"/>
              </w:rPr>
            </w:pPr>
          </w:p>
        </w:tc>
        <w:tc>
          <w:tcPr>
            <w:tcW w:w="2640" w:type="dxa"/>
            <w:tcBorders>
              <w:top w:val="nil"/>
              <w:left w:val="nil"/>
              <w:bottom w:val="single" w:sz="4" w:space="0" w:color="auto"/>
              <w:right w:val="nil"/>
            </w:tcBorders>
            <w:shd w:val="clear" w:color="auto" w:fill="auto"/>
            <w:hideMark/>
          </w:tcPr>
          <w:p w14:paraId="0730F146"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Grand mean</w:t>
            </w:r>
          </w:p>
        </w:tc>
        <w:tc>
          <w:tcPr>
            <w:tcW w:w="830" w:type="dxa"/>
            <w:tcBorders>
              <w:top w:val="nil"/>
              <w:left w:val="nil"/>
              <w:bottom w:val="single" w:sz="4" w:space="0" w:color="auto"/>
              <w:right w:val="nil"/>
            </w:tcBorders>
            <w:shd w:val="clear" w:color="auto" w:fill="auto"/>
            <w:vAlign w:val="bottom"/>
          </w:tcPr>
          <w:p w14:paraId="7BA4C266" w14:textId="77777777" w:rsidR="009B19BF" w:rsidRPr="0086282B" w:rsidRDefault="009B19BF" w:rsidP="00BE48C9">
            <w:pPr>
              <w:spacing w:line="278" w:lineRule="auto"/>
              <w:jc w:val="left"/>
              <w:rPr>
                <w:rFonts w:ascii="Times New Roman" w:hAnsi="Times New Roman" w:cs="Times New Roman"/>
                <w:bCs/>
                <w:sz w:val="20"/>
                <w:szCs w:val="20"/>
              </w:rPr>
            </w:pPr>
          </w:p>
        </w:tc>
        <w:tc>
          <w:tcPr>
            <w:tcW w:w="1063" w:type="dxa"/>
            <w:gridSpan w:val="3"/>
            <w:tcBorders>
              <w:top w:val="nil"/>
              <w:left w:val="nil"/>
              <w:bottom w:val="single" w:sz="4" w:space="0" w:color="auto"/>
              <w:right w:val="nil"/>
            </w:tcBorders>
            <w:shd w:val="clear" w:color="auto" w:fill="auto"/>
            <w:vAlign w:val="bottom"/>
            <w:hideMark/>
          </w:tcPr>
          <w:p w14:paraId="7AC2B731"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34.9%</w:t>
            </w:r>
          </w:p>
        </w:tc>
        <w:tc>
          <w:tcPr>
            <w:tcW w:w="452" w:type="dxa"/>
            <w:tcBorders>
              <w:top w:val="nil"/>
              <w:left w:val="nil"/>
              <w:bottom w:val="single" w:sz="4" w:space="0" w:color="auto"/>
              <w:right w:val="nil"/>
            </w:tcBorders>
            <w:shd w:val="clear" w:color="auto" w:fill="auto"/>
            <w:vAlign w:val="bottom"/>
          </w:tcPr>
          <w:p w14:paraId="1AFAC19F" w14:textId="77777777" w:rsidR="009B19BF" w:rsidRPr="0086282B" w:rsidRDefault="009B19BF" w:rsidP="00BE48C9">
            <w:pPr>
              <w:spacing w:line="278" w:lineRule="auto"/>
              <w:jc w:val="left"/>
              <w:rPr>
                <w:rFonts w:ascii="Times New Roman" w:hAnsi="Times New Roman" w:cs="Times New Roman"/>
                <w:b/>
                <w:sz w:val="20"/>
                <w:szCs w:val="20"/>
              </w:rPr>
            </w:pPr>
          </w:p>
        </w:tc>
        <w:tc>
          <w:tcPr>
            <w:tcW w:w="785" w:type="dxa"/>
            <w:tcBorders>
              <w:top w:val="nil"/>
              <w:left w:val="nil"/>
              <w:bottom w:val="single" w:sz="4" w:space="0" w:color="auto"/>
              <w:right w:val="nil"/>
            </w:tcBorders>
            <w:shd w:val="clear" w:color="auto" w:fill="auto"/>
            <w:vAlign w:val="bottom"/>
            <w:hideMark/>
          </w:tcPr>
          <w:p w14:paraId="20E2BD1E"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20.8%</w:t>
            </w:r>
          </w:p>
        </w:tc>
        <w:tc>
          <w:tcPr>
            <w:tcW w:w="427" w:type="dxa"/>
            <w:gridSpan w:val="2"/>
            <w:tcBorders>
              <w:top w:val="nil"/>
              <w:left w:val="nil"/>
              <w:bottom w:val="single" w:sz="4" w:space="0" w:color="auto"/>
              <w:right w:val="nil"/>
            </w:tcBorders>
            <w:shd w:val="clear" w:color="auto" w:fill="auto"/>
            <w:vAlign w:val="bottom"/>
          </w:tcPr>
          <w:p w14:paraId="357DDEE6" w14:textId="77777777" w:rsidR="009B19BF" w:rsidRPr="0086282B" w:rsidRDefault="009B19BF" w:rsidP="00BE48C9">
            <w:pPr>
              <w:spacing w:line="278" w:lineRule="auto"/>
              <w:jc w:val="left"/>
              <w:rPr>
                <w:rFonts w:ascii="Times New Roman" w:hAnsi="Times New Roman" w:cs="Times New Roman"/>
                <w:b/>
                <w:sz w:val="20"/>
                <w:szCs w:val="20"/>
              </w:rPr>
            </w:pPr>
          </w:p>
        </w:tc>
        <w:tc>
          <w:tcPr>
            <w:tcW w:w="810" w:type="dxa"/>
            <w:gridSpan w:val="2"/>
            <w:tcBorders>
              <w:top w:val="nil"/>
              <w:left w:val="nil"/>
              <w:bottom w:val="single" w:sz="4" w:space="0" w:color="auto"/>
              <w:right w:val="nil"/>
            </w:tcBorders>
            <w:shd w:val="clear" w:color="auto" w:fill="auto"/>
            <w:vAlign w:val="bottom"/>
            <w:hideMark/>
          </w:tcPr>
          <w:p w14:paraId="38DCDD78"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19.5%</w:t>
            </w:r>
          </w:p>
        </w:tc>
        <w:tc>
          <w:tcPr>
            <w:tcW w:w="606" w:type="dxa"/>
            <w:gridSpan w:val="3"/>
            <w:tcBorders>
              <w:top w:val="nil"/>
              <w:left w:val="nil"/>
              <w:bottom w:val="single" w:sz="4" w:space="0" w:color="auto"/>
              <w:right w:val="nil"/>
            </w:tcBorders>
            <w:shd w:val="clear" w:color="auto" w:fill="auto"/>
            <w:vAlign w:val="bottom"/>
          </w:tcPr>
          <w:p w14:paraId="0C291C1D" w14:textId="77777777" w:rsidR="009B19BF" w:rsidRPr="0086282B" w:rsidRDefault="009B19BF" w:rsidP="00BE48C9">
            <w:pPr>
              <w:spacing w:line="278" w:lineRule="auto"/>
              <w:jc w:val="left"/>
              <w:rPr>
                <w:rFonts w:ascii="Times New Roman" w:hAnsi="Times New Roman" w:cs="Times New Roman"/>
                <w:b/>
                <w:sz w:val="20"/>
                <w:szCs w:val="20"/>
              </w:rPr>
            </w:pPr>
          </w:p>
        </w:tc>
        <w:tc>
          <w:tcPr>
            <w:tcW w:w="986" w:type="dxa"/>
            <w:gridSpan w:val="2"/>
            <w:tcBorders>
              <w:top w:val="nil"/>
              <w:left w:val="nil"/>
              <w:bottom w:val="single" w:sz="4" w:space="0" w:color="auto"/>
              <w:right w:val="nil"/>
            </w:tcBorders>
            <w:shd w:val="clear" w:color="auto" w:fill="auto"/>
            <w:vAlign w:val="bottom"/>
            <w:hideMark/>
          </w:tcPr>
          <w:p w14:paraId="20283E02"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24.8%</w:t>
            </w:r>
          </w:p>
        </w:tc>
        <w:tc>
          <w:tcPr>
            <w:tcW w:w="986" w:type="dxa"/>
            <w:tcBorders>
              <w:top w:val="nil"/>
              <w:left w:val="nil"/>
              <w:bottom w:val="single" w:sz="4" w:space="0" w:color="auto"/>
              <w:right w:val="nil"/>
            </w:tcBorders>
            <w:shd w:val="clear" w:color="auto" w:fill="auto"/>
            <w:vAlign w:val="bottom"/>
            <w:hideMark/>
          </w:tcPr>
          <w:p w14:paraId="42DF926A" w14:textId="77777777" w:rsidR="009B19BF" w:rsidRPr="0086282B" w:rsidRDefault="009B19BF" w:rsidP="00BE48C9">
            <w:pPr>
              <w:spacing w:line="278" w:lineRule="auto"/>
              <w:jc w:val="left"/>
              <w:rPr>
                <w:rFonts w:ascii="Times New Roman" w:hAnsi="Times New Roman" w:cs="Times New Roman"/>
                <w:b/>
                <w:sz w:val="20"/>
                <w:szCs w:val="20"/>
              </w:rPr>
            </w:pPr>
            <w:r w:rsidRPr="0086282B">
              <w:rPr>
                <w:rFonts w:ascii="Times New Roman" w:hAnsi="Times New Roman" w:cs="Times New Roman"/>
                <w:b/>
                <w:sz w:val="20"/>
                <w:szCs w:val="20"/>
              </w:rPr>
              <w:t>2.66</w:t>
            </w:r>
          </w:p>
        </w:tc>
        <w:tc>
          <w:tcPr>
            <w:tcW w:w="986" w:type="dxa"/>
            <w:gridSpan w:val="2"/>
            <w:tcBorders>
              <w:top w:val="nil"/>
              <w:left w:val="nil"/>
              <w:bottom w:val="single" w:sz="4" w:space="0" w:color="auto"/>
              <w:right w:val="nil"/>
            </w:tcBorders>
            <w:shd w:val="clear" w:color="auto" w:fill="auto"/>
            <w:vAlign w:val="bottom"/>
            <w:hideMark/>
          </w:tcPr>
          <w:p w14:paraId="1600D57C" w14:textId="77777777" w:rsidR="009B19BF" w:rsidRPr="0086282B" w:rsidRDefault="009B19BF" w:rsidP="00BE48C9">
            <w:pPr>
              <w:spacing w:line="278" w:lineRule="auto"/>
              <w:jc w:val="left"/>
              <w:rPr>
                <w:rFonts w:ascii="Times New Roman" w:hAnsi="Times New Roman" w:cs="Times New Roman"/>
                <w:bCs/>
                <w:sz w:val="20"/>
                <w:szCs w:val="20"/>
              </w:rPr>
            </w:pPr>
            <w:r w:rsidRPr="0086282B">
              <w:rPr>
                <w:rFonts w:ascii="Times New Roman" w:hAnsi="Times New Roman" w:cs="Times New Roman"/>
                <w:bCs/>
                <w:sz w:val="20"/>
                <w:szCs w:val="20"/>
              </w:rPr>
              <w:t>Accept</w:t>
            </w:r>
          </w:p>
        </w:tc>
      </w:tr>
    </w:tbl>
    <w:p w14:paraId="6BD68BAA" w14:textId="77777777" w:rsidR="009B19BF" w:rsidRDefault="009B19BF" w:rsidP="005D145A">
      <w:pPr>
        <w:spacing w:line="480" w:lineRule="auto"/>
        <w:rPr>
          <w:rFonts w:ascii="Times New Roman" w:hAnsi="Times New Roman" w:cs="Times New Roman"/>
          <w:sz w:val="24"/>
          <w:szCs w:val="24"/>
        </w:rPr>
      </w:pPr>
    </w:p>
    <w:p w14:paraId="20B8EC4D" w14:textId="77777777" w:rsidR="005D145A" w:rsidRPr="00340142" w:rsidRDefault="00C030C9" w:rsidP="005D145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1</w:t>
      </w:r>
      <w:r w:rsidR="005D145A" w:rsidRPr="00340142">
        <w:rPr>
          <w:rFonts w:ascii="Times New Roman" w:hAnsi="Times New Roman" w:cs="Times New Roman"/>
          <w:sz w:val="24"/>
          <w:szCs w:val="24"/>
        </w:rPr>
        <w:t xml:space="preserve"> revealed that 34.98% of the respondents strongly agreed that unsafe acts by personnel, unsafe conditions, inadequate supervision etc., are the root causes of the incidents in oil and gas downstream, 20.82% agreed, 19.47% disagreed while 24.77% strongly disagreed. </w:t>
      </w:r>
      <w:bookmarkStart w:id="18" w:name="_Toc147905534"/>
    </w:p>
    <w:bookmarkEnd w:id="18"/>
    <w:p w14:paraId="714DFD0B" w14:textId="77777777" w:rsidR="00556D2A" w:rsidRDefault="00556D2A" w:rsidP="005D145A">
      <w:pPr>
        <w:spacing w:line="480" w:lineRule="auto"/>
        <w:rPr>
          <w:rFonts w:ascii="Times New Roman" w:hAnsi="Times New Roman" w:cs="Times New Roman"/>
          <w:b/>
          <w:sz w:val="24"/>
          <w:szCs w:val="24"/>
        </w:rPr>
      </w:pPr>
    </w:p>
    <w:tbl>
      <w:tblPr>
        <w:tblpPr w:leftFromText="180" w:rightFromText="180" w:vertAnchor="text" w:horzAnchor="margin" w:tblpXSpec="center" w:tblpY="2358"/>
        <w:tblW w:w="11176" w:type="dxa"/>
        <w:tblLayout w:type="fixed"/>
        <w:tblLook w:val="04A0" w:firstRow="1" w:lastRow="0" w:firstColumn="1" w:lastColumn="0" w:noHBand="0" w:noVBand="1"/>
      </w:tblPr>
      <w:tblGrid>
        <w:gridCol w:w="617"/>
        <w:gridCol w:w="3114"/>
        <w:gridCol w:w="699"/>
        <w:gridCol w:w="862"/>
        <w:gridCol w:w="514"/>
        <w:gridCol w:w="735"/>
        <w:gridCol w:w="588"/>
        <w:gridCol w:w="791"/>
        <w:gridCol w:w="544"/>
        <w:gridCol w:w="904"/>
        <w:gridCol w:w="904"/>
        <w:gridCol w:w="904"/>
      </w:tblGrid>
      <w:tr w:rsidR="00B01ECC" w:rsidRPr="0086282B" w14:paraId="3B8E9653" w14:textId="77777777" w:rsidTr="0002746A">
        <w:trPr>
          <w:trHeight w:val="360"/>
        </w:trPr>
        <w:tc>
          <w:tcPr>
            <w:tcW w:w="617" w:type="dxa"/>
            <w:shd w:val="clear" w:color="auto" w:fill="auto"/>
          </w:tcPr>
          <w:p w14:paraId="57F17C3E"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w:t>
            </w:r>
          </w:p>
        </w:tc>
        <w:tc>
          <w:tcPr>
            <w:tcW w:w="3114" w:type="dxa"/>
            <w:tcBorders>
              <w:top w:val="single" w:sz="4" w:space="0" w:color="auto"/>
            </w:tcBorders>
            <w:shd w:val="clear" w:color="auto" w:fill="auto"/>
          </w:tcPr>
          <w:p w14:paraId="66382A11" w14:textId="77777777" w:rsidR="00B01ECC" w:rsidRPr="0086282B" w:rsidRDefault="00A75244" w:rsidP="0002746A">
            <w:pPr>
              <w:pStyle w:val="Heading3"/>
              <w:spacing w:line="240" w:lineRule="auto"/>
              <w:rPr>
                <w:rFonts w:ascii="Times New Roman" w:hAnsi="Times New Roman" w:cs="Times New Roman"/>
                <w:bCs/>
                <w:sz w:val="20"/>
                <w:szCs w:val="20"/>
              </w:rPr>
            </w:pPr>
            <w:bookmarkStart w:id="19" w:name="_Toc147905368"/>
            <w:bookmarkStart w:id="20" w:name="_Toc176778474"/>
            <w:r w:rsidRPr="0086282B">
              <w:rPr>
                <w:rFonts w:ascii="Times New Roman" w:hAnsi="Times New Roman" w:cs="Times New Roman"/>
                <w:bCs/>
                <w:sz w:val="20"/>
                <w:szCs w:val="20"/>
              </w:rPr>
              <w:t>There</w:t>
            </w:r>
            <w:r w:rsidR="00B01ECC" w:rsidRPr="0086282B">
              <w:rPr>
                <w:rFonts w:ascii="Times New Roman" w:hAnsi="Times New Roman" w:cs="Times New Roman"/>
                <w:bCs/>
                <w:sz w:val="20"/>
                <w:szCs w:val="20"/>
              </w:rPr>
              <w:t xml:space="preserve"> an HSE policy in place</w:t>
            </w:r>
            <w:bookmarkEnd w:id="19"/>
            <w:bookmarkEnd w:id="20"/>
          </w:p>
        </w:tc>
        <w:tc>
          <w:tcPr>
            <w:tcW w:w="699" w:type="dxa"/>
            <w:tcBorders>
              <w:top w:val="single" w:sz="4" w:space="0" w:color="auto"/>
            </w:tcBorders>
            <w:shd w:val="clear" w:color="auto" w:fill="auto"/>
          </w:tcPr>
          <w:p w14:paraId="13B2BC53" w14:textId="77777777" w:rsidR="00B01ECC" w:rsidRPr="0086282B" w:rsidRDefault="00B01ECC" w:rsidP="0002746A">
            <w:pPr>
              <w:spacing w:line="240" w:lineRule="auto"/>
              <w:jc w:val="center"/>
              <w:rPr>
                <w:rFonts w:ascii="Times New Roman" w:hAnsi="Times New Roman" w:cs="Times New Roman"/>
                <w:bCs/>
                <w:sz w:val="20"/>
                <w:szCs w:val="20"/>
              </w:rPr>
            </w:pPr>
            <w:r w:rsidRPr="0086282B">
              <w:rPr>
                <w:rFonts w:ascii="Times New Roman" w:hAnsi="Times New Roman" w:cs="Times New Roman"/>
                <w:bCs/>
                <w:sz w:val="20"/>
                <w:szCs w:val="20"/>
              </w:rPr>
              <w:t>41</w:t>
            </w:r>
          </w:p>
        </w:tc>
        <w:tc>
          <w:tcPr>
            <w:tcW w:w="862" w:type="dxa"/>
            <w:tcBorders>
              <w:top w:val="single" w:sz="4" w:space="0" w:color="auto"/>
            </w:tcBorders>
            <w:shd w:val="clear" w:color="auto" w:fill="auto"/>
          </w:tcPr>
          <w:p w14:paraId="4AEF7014"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12.1%</w:t>
            </w:r>
          </w:p>
        </w:tc>
        <w:tc>
          <w:tcPr>
            <w:tcW w:w="514" w:type="dxa"/>
            <w:tcBorders>
              <w:top w:val="single" w:sz="4" w:space="0" w:color="auto"/>
            </w:tcBorders>
            <w:shd w:val="clear" w:color="auto" w:fill="auto"/>
          </w:tcPr>
          <w:p w14:paraId="5EAB8462"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30</w:t>
            </w:r>
          </w:p>
        </w:tc>
        <w:tc>
          <w:tcPr>
            <w:tcW w:w="735" w:type="dxa"/>
            <w:tcBorders>
              <w:top w:val="single" w:sz="4" w:space="0" w:color="auto"/>
            </w:tcBorders>
            <w:shd w:val="clear" w:color="auto" w:fill="auto"/>
          </w:tcPr>
          <w:p w14:paraId="75028AA0"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588" w:type="dxa"/>
            <w:tcBorders>
              <w:top w:val="single" w:sz="4" w:space="0" w:color="auto"/>
            </w:tcBorders>
            <w:shd w:val="clear" w:color="auto" w:fill="auto"/>
          </w:tcPr>
          <w:p w14:paraId="7D8D12F5"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210</w:t>
            </w:r>
          </w:p>
        </w:tc>
        <w:tc>
          <w:tcPr>
            <w:tcW w:w="791" w:type="dxa"/>
            <w:tcBorders>
              <w:top w:val="single" w:sz="4" w:space="0" w:color="auto"/>
            </w:tcBorders>
            <w:shd w:val="clear" w:color="auto" w:fill="auto"/>
          </w:tcPr>
          <w:p w14:paraId="281D4481"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61.8%</w:t>
            </w:r>
          </w:p>
        </w:tc>
        <w:tc>
          <w:tcPr>
            <w:tcW w:w="544" w:type="dxa"/>
            <w:tcBorders>
              <w:top w:val="single" w:sz="4" w:space="0" w:color="auto"/>
            </w:tcBorders>
            <w:shd w:val="clear" w:color="auto" w:fill="auto"/>
          </w:tcPr>
          <w:p w14:paraId="05D9DA50"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59</w:t>
            </w:r>
          </w:p>
        </w:tc>
        <w:tc>
          <w:tcPr>
            <w:tcW w:w="904" w:type="dxa"/>
            <w:tcBorders>
              <w:top w:val="single" w:sz="4" w:space="0" w:color="auto"/>
            </w:tcBorders>
            <w:shd w:val="clear" w:color="auto" w:fill="auto"/>
          </w:tcPr>
          <w:p w14:paraId="1198F38D"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17.4%</w:t>
            </w:r>
          </w:p>
        </w:tc>
        <w:tc>
          <w:tcPr>
            <w:tcW w:w="904" w:type="dxa"/>
            <w:tcBorders>
              <w:top w:val="single" w:sz="4" w:space="0" w:color="auto"/>
            </w:tcBorders>
            <w:shd w:val="clear" w:color="auto" w:fill="auto"/>
            <w:vAlign w:val="bottom"/>
          </w:tcPr>
          <w:p w14:paraId="33C41C73"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 xml:space="preserve">      2.16</w:t>
            </w:r>
          </w:p>
        </w:tc>
        <w:tc>
          <w:tcPr>
            <w:tcW w:w="904" w:type="dxa"/>
            <w:tcBorders>
              <w:top w:val="single" w:sz="4" w:space="0" w:color="auto"/>
            </w:tcBorders>
            <w:shd w:val="clear" w:color="auto" w:fill="auto"/>
            <w:vAlign w:val="bottom"/>
          </w:tcPr>
          <w:p w14:paraId="05843269"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728D6C1E" w14:textId="77777777" w:rsidTr="0002746A">
        <w:trPr>
          <w:trHeight w:val="370"/>
        </w:trPr>
        <w:tc>
          <w:tcPr>
            <w:tcW w:w="617" w:type="dxa"/>
            <w:shd w:val="clear" w:color="auto" w:fill="auto"/>
          </w:tcPr>
          <w:p w14:paraId="6829C01F"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2</w:t>
            </w:r>
          </w:p>
        </w:tc>
        <w:tc>
          <w:tcPr>
            <w:tcW w:w="3114" w:type="dxa"/>
            <w:shd w:val="clear" w:color="auto" w:fill="auto"/>
          </w:tcPr>
          <w:p w14:paraId="24BC5A87" w14:textId="77777777" w:rsidR="00B01ECC" w:rsidRPr="0086282B" w:rsidRDefault="00A75244" w:rsidP="0002746A">
            <w:pPr>
              <w:pStyle w:val="Heading3"/>
              <w:spacing w:line="240" w:lineRule="auto"/>
              <w:rPr>
                <w:rFonts w:ascii="Times New Roman" w:hAnsi="Times New Roman" w:cs="Times New Roman"/>
                <w:bCs/>
                <w:sz w:val="20"/>
                <w:szCs w:val="20"/>
              </w:rPr>
            </w:pPr>
            <w:bookmarkStart w:id="21" w:name="_Toc147905369"/>
            <w:bookmarkStart w:id="22" w:name="_Toc176778475"/>
            <w:r w:rsidRPr="0086282B">
              <w:rPr>
                <w:rFonts w:ascii="Times New Roman" w:hAnsi="Times New Roman" w:cs="Times New Roman"/>
                <w:bCs/>
                <w:sz w:val="20"/>
                <w:szCs w:val="20"/>
              </w:rPr>
              <w:t>We</w:t>
            </w:r>
            <w:r w:rsidR="00B01ECC" w:rsidRPr="0086282B">
              <w:rPr>
                <w:rFonts w:ascii="Times New Roman" w:hAnsi="Times New Roman" w:cs="Times New Roman"/>
                <w:bCs/>
                <w:sz w:val="20"/>
                <w:szCs w:val="20"/>
              </w:rPr>
              <w:t xml:space="preserve"> have automatic fire detection in place (Fire &amp; smoke detectors)</w:t>
            </w:r>
            <w:bookmarkEnd w:id="21"/>
            <w:bookmarkEnd w:id="22"/>
          </w:p>
        </w:tc>
        <w:tc>
          <w:tcPr>
            <w:tcW w:w="699" w:type="dxa"/>
            <w:shd w:val="clear" w:color="auto" w:fill="auto"/>
            <w:vAlign w:val="bottom"/>
          </w:tcPr>
          <w:p w14:paraId="68E9AAC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46</w:t>
            </w:r>
          </w:p>
        </w:tc>
        <w:tc>
          <w:tcPr>
            <w:tcW w:w="862" w:type="dxa"/>
            <w:shd w:val="clear" w:color="auto" w:fill="auto"/>
            <w:vAlign w:val="bottom"/>
          </w:tcPr>
          <w:p w14:paraId="6749AE4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13.5%</w:t>
            </w:r>
          </w:p>
        </w:tc>
        <w:tc>
          <w:tcPr>
            <w:tcW w:w="514" w:type="dxa"/>
            <w:shd w:val="clear" w:color="auto" w:fill="auto"/>
            <w:vAlign w:val="bottom"/>
          </w:tcPr>
          <w:p w14:paraId="10AF715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30</w:t>
            </w:r>
          </w:p>
        </w:tc>
        <w:tc>
          <w:tcPr>
            <w:tcW w:w="735" w:type="dxa"/>
            <w:shd w:val="clear" w:color="auto" w:fill="auto"/>
            <w:vAlign w:val="bottom"/>
          </w:tcPr>
          <w:p w14:paraId="359B31F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588" w:type="dxa"/>
            <w:shd w:val="clear" w:color="auto" w:fill="auto"/>
            <w:vAlign w:val="bottom"/>
          </w:tcPr>
          <w:p w14:paraId="1DD91FD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164</w:t>
            </w:r>
          </w:p>
        </w:tc>
        <w:tc>
          <w:tcPr>
            <w:tcW w:w="791" w:type="dxa"/>
            <w:shd w:val="clear" w:color="auto" w:fill="auto"/>
            <w:vAlign w:val="bottom"/>
          </w:tcPr>
          <w:p w14:paraId="2DA70A5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48.2%</w:t>
            </w:r>
          </w:p>
        </w:tc>
        <w:tc>
          <w:tcPr>
            <w:tcW w:w="544" w:type="dxa"/>
            <w:shd w:val="clear" w:color="auto" w:fill="auto"/>
            <w:vAlign w:val="bottom"/>
          </w:tcPr>
          <w:p w14:paraId="7C439A6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100</w:t>
            </w:r>
          </w:p>
        </w:tc>
        <w:tc>
          <w:tcPr>
            <w:tcW w:w="904" w:type="dxa"/>
            <w:shd w:val="clear" w:color="auto" w:fill="auto"/>
            <w:vAlign w:val="bottom"/>
          </w:tcPr>
          <w:p w14:paraId="4886EDC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29.4%</w:t>
            </w:r>
          </w:p>
        </w:tc>
        <w:tc>
          <w:tcPr>
            <w:tcW w:w="904" w:type="dxa"/>
            <w:shd w:val="clear" w:color="auto" w:fill="auto"/>
            <w:vAlign w:val="bottom"/>
          </w:tcPr>
          <w:p w14:paraId="7B5CEA7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2.49</w:t>
            </w:r>
          </w:p>
        </w:tc>
        <w:tc>
          <w:tcPr>
            <w:tcW w:w="904" w:type="dxa"/>
            <w:shd w:val="clear" w:color="auto" w:fill="auto"/>
            <w:vAlign w:val="bottom"/>
          </w:tcPr>
          <w:p w14:paraId="369AFA9F" w14:textId="77777777" w:rsidR="00B01ECC" w:rsidRPr="0086282B" w:rsidRDefault="00B01ECC" w:rsidP="0002746A">
            <w:pPr>
              <w:spacing w:line="240" w:lineRule="auto"/>
              <w:jc w:val="center"/>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65261A0D" w14:textId="77777777" w:rsidTr="0002746A">
        <w:trPr>
          <w:trHeight w:val="369"/>
        </w:trPr>
        <w:tc>
          <w:tcPr>
            <w:tcW w:w="617" w:type="dxa"/>
            <w:shd w:val="clear" w:color="auto" w:fill="auto"/>
          </w:tcPr>
          <w:p w14:paraId="3679AA3E"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3</w:t>
            </w:r>
          </w:p>
        </w:tc>
        <w:tc>
          <w:tcPr>
            <w:tcW w:w="3114" w:type="dxa"/>
            <w:shd w:val="clear" w:color="auto" w:fill="auto"/>
          </w:tcPr>
          <w:p w14:paraId="7484E35D" w14:textId="77777777" w:rsidR="00B01ECC" w:rsidRPr="0086282B" w:rsidRDefault="00A75244" w:rsidP="0002746A">
            <w:pPr>
              <w:pStyle w:val="Heading3"/>
              <w:spacing w:line="240" w:lineRule="auto"/>
              <w:rPr>
                <w:rFonts w:ascii="Times New Roman" w:hAnsi="Times New Roman" w:cs="Times New Roman"/>
                <w:bCs/>
                <w:sz w:val="20"/>
                <w:szCs w:val="20"/>
              </w:rPr>
            </w:pPr>
            <w:bookmarkStart w:id="23" w:name="_Toc147905370"/>
            <w:bookmarkStart w:id="24" w:name="_Toc176778476"/>
            <w:r w:rsidRPr="0086282B">
              <w:rPr>
                <w:rFonts w:ascii="Times New Roman" w:hAnsi="Times New Roman" w:cs="Times New Roman"/>
                <w:bCs/>
                <w:sz w:val="20"/>
                <w:szCs w:val="20"/>
              </w:rPr>
              <w:t>We</w:t>
            </w:r>
            <w:r w:rsidR="00B01ECC" w:rsidRPr="0086282B">
              <w:rPr>
                <w:rFonts w:ascii="Times New Roman" w:hAnsi="Times New Roman" w:cs="Times New Roman"/>
                <w:bCs/>
                <w:sz w:val="20"/>
                <w:szCs w:val="20"/>
              </w:rPr>
              <w:t xml:space="preserve"> have firefighting equipment installed (Fire pumps, Portable fire extinguishers, Fire blankets, sand buckets, etc.)</w:t>
            </w:r>
            <w:bookmarkEnd w:id="23"/>
            <w:bookmarkEnd w:id="24"/>
            <w:r w:rsidR="00B01ECC" w:rsidRPr="0086282B">
              <w:rPr>
                <w:rFonts w:ascii="Times New Roman" w:hAnsi="Times New Roman" w:cs="Times New Roman"/>
                <w:bCs/>
                <w:sz w:val="20"/>
                <w:szCs w:val="20"/>
              </w:rPr>
              <w:t xml:space="preserve">  </w:t>
            </w:r>
          </w:p>
        </w:tc>
        <w:tc>
          <w:tcPr>
            <w:tcW w:w="699" w:type="dxa"/>
            <w:shd w:val="clear" w:color="auto" w:fill="auto"/>
            <w:vAlign w:val="bottom"/>
          </w:tcPr>
          <w:p w14:paraId="291354A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59</w:t>
            </w:r>
          </w:p>
        </w:tc>
        <w:tc>
          <w:tcPr>
            <w:tcW w:w="862" w:type="dxa"/>
            <w:shd w:val="clear" w:color="auto" w:fill="auto"/>
            <w:vAlign w:val="bottom"/>
          </w:tcPr>
          <w:p w14:paraId="65A2896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17.4%</w:t>
            </w:r>
          </w:p>
        </w:tc>
        <w:tc>
          <w:tcPr>
            <w:tcW w:w="514" w:type="dxa"/>
            <w:shd w:val="clear" w:color="auto" w:fill="auto"/>
            <w:vAlign w:val="bottom"/>
          </w:tcPr>
          <w:p w14:paraId="277E9B0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735" w:type="dxa"/>
            <w:shd w:val="clear" w:color="auto" w:fill="auto"/>
            <w:vAlign w:val="bottom"/>
          </w:tcPr>
          <w:p w14:paraId="3F0EF8A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7.6%</w:t>
            </w:r>
          </w:p>
        </w:tc>
        <w:tc>
          <w:tcPr>
            <w:tcW w:w="588" w:type="dxa"/>
            <w:shd w:val="clear" w:color="auto" w:fill="auto"/>
            <w:vAlign w:val="bottom"/>
          </w:tcPr>
          <w:p w14:paraId="3C65B14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161</w:t>
            </w:r>
          </w:p>
        </w:tc>
        <w:tc>
          <w:tcPr>
            <w:tcW w:w="791" w:type="dxa"/>
            <w:shd w:val="clear" w:color="auto" w:fill="auto"/>
            <w:vAlign w:val="bottom"/>
          </w:tcPr>
          <w:p w14:paraId="244DBFE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47.4%</w:t>
            </w:r>
          </w:p>
        </w:tc>
        <w:tc>
          <w:tcPr>
            <w:tcW w:w="544" w:type="dxa"/>
            <w:shd w:val="clear" w:color="auto" w:fill="auto"/>
            <w:vAlign w:val="bottom"/>
          </w:tcPr>
          <w:p w14:paraId="55C746E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94</w:t>
            </w:r>
          </w:p>
        </w:tc>
        <w:tc>
          <w:tcPr>
            <w:tcW w:w="904" w:type="dxa"/>
            <w:shd w:val="clear" w:color="auto" w:fill="auto"/>
            <w:vAlign w:val="bottom"/>
          </w:tcPr>
          <w:p w14:paraId="58F8B54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27.6%</w:t>
            </w:r>
          </w:p>
        </w:tc>
        <w:tc>
          <w:tcPr>
            <w:tcW w:w="904" w:type="dxa"/>
            <w:shd w:val="clear" w:color="auto" w:fill="auto"/>
            <w:vAlign w:val="bottom"/>
          </w:tcPr>
          <w:p w14:paraId="58506EE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2.15</w:t>
            </w:r>
          </w:p>
        </w:tc>
        <w:tc>
          <w:tcPr>
            <w:tcW w:w="904" w:type="dxa"/>
            <w:shd w:val="clear" w:color="auto" w:fill="auto"/>
            <w:vAlign w:val="bottom"/>
          </w:tcPr>
          <w:p w14:paraId="20BBF15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6F8CBD1F" w14:textId="77777777" w:rsidTr="0002746A">
        <w:trPr>
          <w:trHeight w:val="296"/>
        </w:trPr>
        <w:tc>
          <w:tcPr>
            <w:tcW w:w="617" w:type="dxa"/>
            <w:shd w:val="clear" w:color="auto" w:fill="auto"/>
          </w:tcPr>
          <w:p w14:paraId="01C24C34"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4</w:t>
            </w:r>
          </w:p>
        </w:tc>
        <w:tc>
          <w:tcPr>
            <w:tcW w:w="3114" w:type="dxa"/>
            <w:shd w:val="clear" w:color="auto" w:fill="auto"/>
          </w:tcPr>
          <w:p w14:paraId="15F21473" w14:textId="77777777" w:rsidR="00B01ECC" w:rsidRPr="0086282B" w:rsidRDefault="00B01ECC" w:rsidP="0002746A">
            <w:pPr>
              <w:pStyle w:val="Heading3"/>
              <w:spacing w:line="240" w:lineRule="auto"/>
              <w:rPr>
                <w:rFonts w:ascii="Times New Roman" w:hAnsi="Times New Roman" w:cs="Times New Roman"/>
                <w:bCs/>
                <w:sz w:val="20"/>
                <w:szCs w:val="20"/>
              </w:rPr>
            </w:pPr>
            <w:bookmarkStart w:id="25" w:name="_Toc147905371"/>
            <w:bookmarkStart w:id="26" w:name="_Toc176778477"/>
            <w:r w:rsidRPr="0086282B">
              <w:rPr>
                <w:rFonts w:ascii="Times New Roman" w:hAnsi="Times New Roman" w:cs="Times New Roman"/>
                <w:bCs/>
                <w:sz w:val="20"/>
                <w:szCs w:val="20"/>
              </w:rPr>
              <w:t>We have comprehensive HSE campaigns/programs</w:t>
            </w:r>
            <w:bookmarkEnd w:id="25"/>
            <w:bookmarkEnd w:id="26"/>
          </w:p>
        </w:tc>
        <w:tc>
          <w:tcPr>
            <w:tcW w:w="699" w:type="dxa"/>
            <w:shd w:val="clear" w:color="auto" w:fill="auto"/>
            <w:vAlign w:val="bottom"/>
          </w:tcPr>
          <w:p w14:paraId="0307440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38</w:t>
            </w:r>
          </w:p>
        </w:tc>
        <w:tc>
          <w:tcPr>
            <w:tcW w:w="862" w:type="dxa"/>
            <w:shd w:val="clear" w:color="auto" w:fill="auto"/>
            <w:vAlign w:val="bottom"/>
          </w:tcPr>
          <w:p w14:paraId="48CA105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11.2%</w:t>
            </w:r>
          </w:p>
        </w:tc>
        <w:tc>
          <w:tcPr>
            <w:tcW w:w="514" w:type="dxa"/>
            <w:shd w:val="clear" w:color="auto" w:fill="auto"/>
            <w:vAlign w:val="bottom"/>
          </w:tcPr>
          <w:p w14:paraId="0AE0E7B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35" w:type="dxa"/>
            <w:shd w:val="clear" w:color="auto" w:fill="auto"/>
            <w:vAlign w:val="bottom"/>
          </w:tcPr>
          <w:p w14:paraId="712644B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588" w:type="dxa"/>
            <w:shd w:val="clear" w:color="auto" w:fill="auto"/>
            <w:vAlign w:val="bottom"/>
          </w:tcPr>
          <w:p w14:paraId="642766F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199</w:t>
            </w:r>
          </w:p>
        </w:tc>
        <w:tc>
          <w:tcPr>
            <w:tcW w:w="791" w:type="dxa"/>
            <w:shd w:val="clear" w:color="auto" w:fill="auto"/>
            <w:vAlign w:val="bottom"/>
          </w:tcPr>
          <w:p w14:paraId="56A5F20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58.5%</w:t>
            </w:r>
          </w:p>
        </w:tc>
        <w:tc>
          <w:tcPr>
            <w:tcW w:w="544" w:type="dxa"/>
            <w:shd w:val="clear" w:color="auto" w:fill="auto"/>
            <w:vAlign w:val="bottom"/>
          </w:tcPr>
          <w:p w14:paraId="3742469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94</w:t>
            </w:r>
          </w:p>
        </w:tc>
        <w:tc>
          <w:tcPr>
            <w:tcW w:w="904" w:type="dxa"/>
            <w:shd w:val="clear" w:color="auto" w:fill="auto"/>
            <w:vAlign w:val="bottom"/>
          </w:tcPr>
          <w:p w14:paraId="049ADF1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27.6%</w:t>
            </w:r>
          </w:p>
        </w:tc>
        <w:tc>
          <w:tcPr>
            <w:tcW w:w="904" w:type="dxa"/>
            <w:shd w:val="clear" w:color="auto" w:fill="auto"/>
            <w:vAlign w:val="bottom"/>
          </w:tcPr>
          <w:p w14:paraId="446DD6E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1.97</w:t>
            </w:r>
          </w:p>
        </w:tc>
        <w:tc>
          <w:tcPr>
            <w:tcW w:w="904" w:type="dxa"/>
            <w:shd w:val="clear" w:color="auto" w:fill="auto"/>
            <w:vAlign w:val="bottom"/>
          </w:tcPr>
          <w:p w14:paraId="44D9B8A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4B367C6B" w14:textId="77777777" w:rsidTr="0002746A">
        <w:trPr>
          <w:trHeight w:val="304"/>
        </w:trPr>
        <w:tc>
          <w:tcPr>
            <w:tcW w:w="617" w:type="dxa"/>
            <w:shd w:val="clear" w:color="auto" w:fill="auto"/>
          </w:tcPr>
          <w:p w14:paraId="054036CA"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5</w:t>
            </w:r>
          </w:p>
        </w:tc>
        <w:tc>
          <w:tcPr>
            <w:tcW w:w="3114" w:type="dxa"/>
            <w:shd w:val="clear" w:color="auto" w:fill="auto"/>
          </w:tcPr>
          <w:p w14:paraId="0B82A5D9" w14:textId="77777777" w:rsidR="00B01ECC" w:rsidRPr="0086282B" w:rsidRDefault="00B01ECC" w:rsidP="0002746A">
            <w:pPr>
              <w:pStyle w:val="Heading3"/>
              <w:spacing w:line="240" w:lineRule="auto"/>
              <w:rPr>
                <w:rFonts w:ascii="Times New Roman" w:hAnsi="Times New Roman" w:cs="Times New Roman"/>
                <w:bCs/>
                <w:sz w:val="20"/>
                <w:szCs w:val="20"/>
              </w:rPr>
            </w:pPr>
            <w:bookmarkStart w:id="27" w:name="_Toc147905372"/>
            <w:bookmarkStart w:id="28" w:name="_Toc176778478"/>
            <w:r w:rsidRPr="0086282B">
              <w:rPr>
                <w:rFonts w:ascii="Times New Roman" w:hAnsi="Times New Roman" w:cs="Times New Roman"/>
                <w:bCs/>
                <w:sz w:val="20"/>
                <w:szCs w:val="20"/>
              </w:rPr>
              <w:t>We have any HSE trainings for personnel at all levels</w:t>
            </w:r>
            <w:bookmarkEnd w:id="27"/>
            <w:bookmarkEnd w:id="28"/>
          </w:p>
        </w:tc>
        <w:tc>
          <w:tcPr>
            <w:tcW w:w="699" w:type="dxa"/>
            <w:shd w:val="clear" w:color="auto" w:fill="auto"/>
            <w:vAlign w:val="bottom"/>
          </w:tcPr>
          <w:p w14:paraId="2E212DB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39</w:t>
            </w:r>
          </w:p>
        </w:tc>
        <w:tc>
          <w:tcPr>
            <w:tcW w:w="862" w:type="dxa"/>
            <w:shd w:val="clear" w:color="auto" w:fill="auto"/>
            <w:vAlign w:val="bottom"/>
          </w:tcPr>
          <w:p w14:paraId="49E425B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514" w:type="dxa"/>
            <w:shd w:val="clear" w:color="auto" w:fill="auto"/>
            <w:vAlign w:val="bottom"/>
          </w:tcPr>
          <w:p w14:paraId="5088B67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51</w:t>
            </w:r>
          </w:p>
        </w:tc>
        <w:tc>
          <w:tcPr>
            <w:tcW w:w="735" w:type="dxa"/>
            <w:shd w:val="clear" w:color="auto" w:fill="auto"/>
            <w:vAlign w:val="bottom"/>
          </w:tcPr>
          <w:p w14:paraId="27CC3E1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15%</w:t>
            </w:r>
          </w:p>
        </w:tc>
        <w:tc>
          <w:tcPr>
            <w:tcW w:w="588" w:type="dxa"/>
            <w:shd w:val="clear" w:color="auto" w:fill="auto"/>
            <w:vAlign w:val="bottom"/>
          </w:tcPr>
          <w:p w14:paraId="617773F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140</w:t>
            </w:r>
          </w:p>
        </w:tc>
        <w:tc>
          <w:tcPr>
            <w:tcW w:w="791" w:type="dxa"/>
            <w:shd w:val="clear" w:color="auto" w:fill="auto"/>
            <w:vAlign w:val="bottom"/>
          </w:tcPr>
          <w:p w14:paraId="3EA8A29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41.2%</w:t>
            </w:r>
          </w:p>
        </w:tc>
        <w:tc>
          <w:tcPr>
            <w:tcW w:w="544" w:type="dxa"/>
            <w:shd w:val="clear" w:color="auto" w:fill="auto"/>
            <w:vAlign w:val="bottom"/>
          </w:tcPr>
          <w:p w14:paraId="66738A1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110</w:t>
            </w:r>
          </w:p>
        </w:tc>
        <w:tc>
          <w:tcPr>
            <w:tcW w:w="904" w:type="dxa"/>
            <w:shd w:val="clear" w:color="auto" w:fill="auto"/>
            <w:vAlign w:val="bottom"/>
          </w:tcPr>
          <w:p w14:paraId="7984CC5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32.4%</w:t>
            </w:r>
          </w:p>
        </w:tc>
        <w:tc>
          <w:tcPr>
            <w:tcW w:w="904" w:type="dxa"/>
            <w:shd w:val="clear" w:color="auto" w:fill="auto"/>
            <w:vAlign w:val="bottom"/>
          </w:tcPr>
          <w:p w14:paraId="76A05D2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2.06</w:t>
            </w:r>
          </w:p>
        </w:tc>
        <w:tc>
          <w:tcPr>
            <w:tcW w:w="904" w:type="dxa"/>
            <w:shd w:val="clear" w:color="auto" w:fill="auto"/>
            <w:vAlign w:val="bottom"/>
          </w:tcPr>
          <w:p w14:paraId="0123887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1B5D2ABB" w14:textId="77777777" w:rsidTr="0002746A">
        <w:trPr>
          <w:trHeight w:val="358"/>
        </w:trPr>
        <w:tc>
          <w:tcPr>
            <w:tcW w:w="617" w:type="dxa"/>
            <w:shd w:val="clear" w:color="auto" w:fill="auto"/>
          </w:tcPr>
          <w:p w14:paraId="044FEA25"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6</w:t>
            </w:r>
          </w:p>
        </w:tc>
        <w:tc>
          <w:tcPr>
            <w:tcW w:w="3114" w:type="dxa"/>
            <w:shd w:val="clear" w:color="auto" w:fill="auto"/>
          </w:tcPr>
          <w:p w14:paraId="08D64125" w14:textId="77777777" w:rsidR="00B01ECC" w:rsidRPr="0086282B" w:rsidRDefault="00B01ECC" w:rsidP="0002746A">
            <w:pPr>
              <w:pStyle w:val="Heading3"/>
              <w:spacing w:line="240" w:lineRule="auto"/>
              <w:rPr>
                <w:rFonts w:ascii="Times New Roman" w:hAnsi="Times New Roman" w:cs="Times New Roman"/>
                <w:bCs/>
                <w:sz w:val="20"/>
                <w:szCs w:val="20"/>
              </w:rPr>
            </w:pPr>
            <w:bookmarkStart w:id="29" w:name="_Toc147905373"/>
            <w:bookmarkStart w:id="30" w:name="_Toc176778479"/>
            <w:r w:rsidRPr="0086282B">
              <w:rPr>
                <w:rFonts w:ascii="Times New Roman" w:hAnsi="Times New Roman" w:cs="Times New Roman"/>
                <w:bCs/>
                <w:sz w:val="20"/>
                <w:szCs w:val="20"/>
              </w:rPr>
              <w:t>All incidents are investigated</w:t>
            </w:r>
            <w:bookmarkEnd w:id="29"/>
            <w:bookmarkEnd w:id="30"/>
          </w:p>
        </w:tc>
        <w:tc>
          <w:tcPr>
            <w:tcW w:w="699" w:type="dxa"/>
            <w:shd w:val="clear" w:color="auto" w:fill="auto"/>
            <w:vAlign w:val="bottom"/>
          </w:tcPr>
          <w:p w14:paraId="1E8DE8A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53</w:t>
            </w:r>
          </w:p>
        </w:tc>
        <w:tc>
          <w:tcPr>
            <w:tcW w:w="862" w:type="dxa"/>
            <w:shd w:val="clear" w:color="auto" w:fill="auto"/>
            <w:vAlign w:val="bottom"/>
          </w:tcPr>
          <w:p w14:paraId="4523420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15.6%</w:t>
            </w:r>
          </w:p>
        </w:tc>
        <w:tc>
          <w:tcPr>
            <w:tcW w:w="514" w:type="dxa"/>
            <w:shd w:val="clear" w:color="auto" w:fill="auto"/>
            <w:vAlign w:val="bottom"/>
          </w:tcPr>
          <w:p w14:paraId="74AA08C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735" w:type="dxa"/>
            <w:shd w:val="clear" w:color="auto" w:fill="auto"/>
            <w:vAlign w:val="bottom"/>
          </w:tcPr>
          <w:p w14:paraId="3A2061A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88" w:type="dxa"/>
            <w:shd w:val="clear" w:color="auto" w:fill="auto"/>
            <w:vAlign w:val="bottom"/>
          </w:tcPr>
          <w:p w14:paraId="074F6B7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188</w:t>
            </w:r>
          </w:p>
        </w:tc>
        <w:tc>
          <w:tcPr>
            <w:tcW w:w="791" w:type="dxa"/>
            <w:shd w:val="clear" w:color="auto" w:fill="auto"/>
            <w:vAlign w:val="bottom"/>
          </w:tcPr>
          <w:p w14:paraId="0CD94F6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55.3%</w:t>
            </w:r>
          </w:p>
        </w:tc>
        <w:tc>
          <w:tcPr>
            <w:tcW w:w="544" w:type="dxa"/>
            <w:shd w:val="clear" w:color="auto" w:fill="auto"/>
            <w:vAlign w:val="bottom"/>
          </w:tcPr>
          <w:p w14:paraId="07C7E03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904" w:type="dxa"/>
            <w:shd w:val="clear" w:color="auto" w:fill="auto"/>
            <w:vAlign w:val="bottom"/>
          </w:tcPr>
          <w:p w14:paraId="19F2320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21.8%</w:t>
            </w:r>
          </w:p>
        </w:tc>
        <w:tc>
          <w:tcPr>
            <w:tcW w:w="904" w:type="dxa"/>
            <w:shd w:val="clear" w:color="auto" w:fill="auto"/>
            <w:vAlign w:val="bottom"/>
          </w:tcPr>
          <w:p w14:paraId="7B75A39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2.17</w:t>
            </w:r>
          </w:p>
        </w:tc>
        <w:tc>
          <w:tcPr>
            <w:tcW w:w="904" w:type="dxa"/>
            <w:shd w:val="clear" w:color="auto" w:fill="auto"/>
            <w:vAlign w:val="bottom"/>
          </w:tcPr>
          <w:p w14:paraId="6B118D0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4E95DAD5" w14:textId="77777777" w:rsidTr="0002746A">
        <w:trPr>
          <w:trHeight w:val="358"/>
        </w:trPr>
        <w:tc>
          <w:tcPr>
            <w:tcW w:w="617" w:type="dxa"/>
            <w:shd w:val="clear" w:color="auto" w:fill="auto"/>
          </w:tcPr>
          <w:p w14:paraId="603CF6E9"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7</w:t>
            </w:r>
          </w:p>
        </w:tc>
        <w:tc>
          <w:tcPr>
            <w:tcW w:w="3114" w:type="dxa"/>
            <w:shd w:val="clear" w:color="auto" w:fill="auto"/>
          </w:tcPr>
          <w:p w14:paraId="1DD94494"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1" w:name="_Toc147905374"/>
            <w:bookmarkStart w:id="32" w:name="_Toc176778480"/>
            <w:r w:rsidRPr="0086282B">
              <w:rPr>
                <w:rFonts w:ascii="Times New Roman" w:hAnsi="Times New Roman" w:cs="Times New Roman"/>
                <w:bCs/>
                <w:sz w:val="20"/>
                <w:szCs w:val="20"/>
              </w:rPr>
              <w:t>Lessons learned are shared with personnel</w:t>
            </w:r>
            <w:bookmarkEnd w:id="31"/>
            <w:bookmarkEnd w:id="32"/>
          </w:p>
        </w:tc>
        <w:tc>
          <w:tcPr>
            <w:tcW w:w="699" w:type="dxa"/>
            <w:shd w:val="clear" w:color="auto" w:fill="auto"/>
            <w:vAlign w:val="bottom"/>
          </w:tcPr>
          <w:p w14:paraId="3328A5E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45</w:t>
            </w:r>
          </w:p>
        </w:tc>
        <w:tc>
          <w:tcPr>
            <w:tcW w:w="862" w:type="dxa"/>
            <w:shd w:val="clear" w:color="auto" w:fill="auto"/>
            <w:vAlign w:val="bottom"/>
          </w:tcPr>
          <w:p w14:paraId="3970607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13.2%</w:t>
            </w:r>
          </w:p>
        </w:tc>
        <w:tc>
          <w:tcPr>
            <w:tcW w:w="514" w:type="dxa"/>
            <w:shd w:val="clear" w:color="auto" w:fill="auto"/>
            <w:vAlign w:val="bottom"/>
          </w:tcPr>
          <w:p w14:paraId="2732544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w:t>
            </w:r>
          </w:p>
        </w:tc>
        <w:tc>
          <w:tcPr>
            <w:tcW w:w="735" w:type="dxa"/>
            <w:shd w:val="clear" w:color="auto" w:fill="auto"/>
            <w:vAlign w:val="bottom"/>
          </w:tcPr>
          <w:p w14:paraId="50D822D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7.9%</w:t>
            </w:r>
          </w:p>
        </w:tc>
        <w:tc>
          <w:tcPr>
            <w:tcW w:w="588" w:type="dxa"/>
            <w:shd w:val="clear" w:color="auto" w:fill="auto"/>
            <w:vAlign w:val="bottom"/>
          </w:tcPr>
          <w:p w14:paraId="0EBCDC3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182</w:t>
            </w:r>
          </w:p>
        </w:tc>
        <w:tc>
          <w:tcPr>
            <w:tcW w:w="791" w:type="dxa"/>
            <w:shd w:val="clear" w:color="auto" w:fill="auto"/>
            <w:vAlign w:val="bottom"/>
          </w:tcPr>
          <w:p w14:paraId="7E59ACA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53.5%</w:t>
            </w:r>
          </w:p>
        </w:tc>
        <w:tc>
          <w:tcPr>
            <w:tcW w:w="544" w:type="dxa"/>
            <w:shd w:val="clear" w:color="auto" w:fill="auto"/>
            <w:vAlign w:val="bottom"/>
          </w:tcPr>
          <w:p w14:paraId="51409D9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86</w:t>
            </w:r>
          </w:p>
        </w:tc>
        <w:tc>
          <w:tcPr>
            <w:tcW w:w="904" w:type="dxa"/>
            <w:shd w:val="clear" w:color="auto" w:fill="auto"/>
            <w:vAlign w:val="bottom"/>
          </w:tcPr>
          <w:p w14:paraId="36EA827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25.3%</w:t>
            </w:r>
          </w:p>
        </w:tc>
        <w:tc>
          <w:tcPr>
            <w:tcW w:w="904" w:type="dxa"/>
            <w:shd w:val="clear" w:color="auto" w:fill="auto"/>
            <w:vAlign w:val="bottom"/>
          </w:tcPr>
          <w:p w14:paraId="5D9D176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2.09</w:t>
            </w:r>
          </w:p>
        </w:tc>
        <w:tc>
          <w:tcPr>
            <w:tcW w:w="904" w:type="dxa"/>
            <w:shd w:val="clear" w:color="auto" w:fill="auto"/>
            <w:vAlign w:val="bottom"/>
          </w:tcPr>
          <w:p w14:paraId="6E97BF6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760992FA" w14:textId="77777777" w:rsidTr="0002746A">
        <w:trPr>
          <w:trHeight w:val="296"/>
        </w:trPr>
        <w:tc>
          <w:tcPr>
            <w:tcW w:w="617" w:type="dxa"/>
            <w:shd w:val="clear" w:color="auto" w:fill="auto"/>
          </w:tcPr>
          <w:p w14:paraId="65F8FB1D"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8</w:t>
            </w:r>
          </w:p>
        </w:tc>
        <w:tc>
          <w:tcPr>
            <w:tcW w:w="3114" w:type="dxa"/>
            <w:shd w:val="clear" w:color="auto" w:fill="auto"/>
          </w:tcPr>
          <w:p w14:paraId="1BC66A4B"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3" w:name="_Toc147905375"/>
            <w:bookmarkStart w:id="34" w:name="_Toc176778481"/>
            <w:r w:rsidRPr="0086282B">
              <w:rPr>
                <w:rFonts w:ascii="Times New Roman" w:hAnsi="Times New Roman" w:cs="Times New Roman"/>
                <w:bCs/>
                <w:sz w:val="20"/>
                <w:szCs w:val="20"/>
              </w:rPr>
              <w:t>There are hard barriers around hazardous equipment/materials</w:t>
            </w:r>
            <w:bookmarkEnd w:id="33"/>
            <w:bookmarkEnd w:id="34"/>
          </w:p>
        </w:tc>
        <w:tc>
          <w:tcPr>
            <w:tcW w:w="699" w:type="dxa"/>
            <w:shd w:val="clear" w:color="auto" w:fill="auto"/>
            <w:vAlign w:val="bottom"/>
          </w:tcPr>
          <w:p w14:paraId="25E88229"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862" w:type="dxa"/>
            <w:shd w:val="clear" w:color="auto" w:fill="auto"/>
            <w:vAlign w:val="bottom"/>
          </w:tcPr>
          <w:p w14:paraId="63D61A3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14" w:type="dxa"/>
            <w:shd w:val="clear" w:color="auto" w:fill="auto"/>
            <w:vAlign w:val="bottom"/>
          </w:tcPr>
          <w:p w14:paraId="27B96A9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735" w:type="dxa"/>
            <w:shd w:val="clear" w:color="auto" w:fill="auto"/>
            <w:vAlign w:val="bottom"/>
          </w:tcPr>
          <w:p w14:paraId="0F3B8AF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0</w:t>
            </w:r>
          </w:p>
        </w:tc>
        <w:tc>
          <w:tcPr>
            <w:tcW w:w="588" w:type="dxa"/>
            <w:shd w:val="clear" w:color="auto" w:fill="auto"/>
            <w:vAlign w:val="bottom"/>
          </w:tcPr>
          <w:p w14:paraId="7A4FB4B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200</w:t>
            </w:r>
          </w:p>
        </w:tc>
        <w:tc>
          <w:tcPr>
            <w:tcW w:w="791" w:type="dxa"/>
            <w:shd w:val="clear" w:color="auto" w:fill="auto"/>
            <w:vAlign w:val="bottom"/>
          </w:tcPr>
          <w:p w14:paraId="5ED5DD0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58.8%</w:t>
            </w:r>
          </w:p>
        </w:tc>
        <w:tc>
          <w:tcPr>
            <w:tcW w:w="544" w:type="dxa"/>
            <w:shd w:val="clear" w:color="auto" w:fill="auto"/>
            <w:vAlign w:val="bottom"/>
          </w:tcPr>
          <w:p w14:paraId="4D8C2C2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115</w:t>
            </w:r>
          </w:p>
        </w:tc>
        <w:tc>
          <w:tcPr>
            <w:tcW w:w="904" w:type="dxa"/>
            <w:shd w:val="clear" w:color="auto" w:fill="auto"/>
            <w:vAlign w:val="bottom"/>
          </w:tcPr>
          <w:p w14:paraId="1585D3B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33.8%</w:t>
            </w:r>
          </w:p>
        </w:tc>
        <w:tc>
          <w:tcPr>
            <w:tcW w:w="904" w:type="dxa"/>
            <w:shd w:val="clear" w:color="auto" w:fill="auto"/>
            <w:vAlign w:val="bottom"/>
          </w:tcPr>
          <w:p w14:paraId="4A18ED2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1.81</w:t>
            </w:r>
          </w:p>
        </w:tc>
        <w:tc>
          <w:tcPr>
            <w:tcW w:w="904" w:type="dxa"/>
            <w:shd w:val="clear" w:color="auto" w:fill="auto"/>
            <w:vAlign w:val="bottom"/>
          </w:tcPr>
          <w:p w14:paraId="394DBAF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5675F016" w14:textId="77777777" w:rsidTr="0002746A">
        <w:trPr>
          <w:trHeight w:val="358"/>
        </w:trPr>
        <w:tc>
          <w:tcPr>
            <w:tcW w:w="617" w:type="dxa"/>
            <w:shd w:val="clear" w:color="auto" w:fill="auto"/>
          </w:tcPr>
          <w:p w14:paraId="68588272"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9</w:t>
            </w:r>
          </w:p>
        </w:tc>
        <w:tc>
          <w:tcPr>
            <w:tcW w:w="3114" w:type="dxa"/>
            <w:shd w:val="clear" w:color="auto" w:fill="auto"/>
          </w:tcPr>
          <w:p w14:paraId="2691328C"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5" w:name="_Toc147905376"/>
            <w:bookmarkStart w:id="36" w:name="_Toc176778482"/>
            <w:r w:rsidRPr="0086282B">
              <w:rPr>
                <w:rFonts w:ascii="Times New Roman" w:hAnsi="Times New Roman" w:cs="Times New Roman"/>
                <w:bCs/>
                <w:sz w:val="20"/>
                <w:szCs w:val="20"/>
              </w:rPr>
              <w:t>There adequate sign-ages to warn personnel</w:t>
            </w:r>
            <w:bookmarkEnd w:id="35"/>
            <w:bookmarkEnd w:id="36"/>
            <w:r w:rsidRPr="0086282B">
              <w:rPr>
                <w:rFonts w:ascii="Times New Roman" w:hAnsi="Times New Roman" w:cs="Times New Roman"/>
                <w:bCs/>
                <w:sz w:val="20"/>
                <w:szCs w:val="20"/>
              </w:rPr>
              <w:t xml:space="preserve"> </w:t>
            </w:r>
          </w:p>
        </w:tc>
        <w:tc>
          <w:tcPr>
            <w:tcW w:w="699" w:type="dxa"/>
            <w:shd w:val="clear" w:color="auto" w:fill="auto"/>
            <w:vAlign w:val="bottom"/>
          </w:tcPr>
          <w:p w14:paraId="2B4CE44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43</w:t>
            </w:r>
          </w:p>
        </w:tc>
        <w:tc>
          <w:tcPr>
            <w:tcW w:w="862" w:type="dxa"/>
            <w:shd w:val="clear" w:color="auto" w:fill="auto"/>
            <w:vAlign w:val="bottom"/>
          </w:tcPr>
          <w:p w14:paraId="3FDD385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12.6%</w:t>
            </w:r>
          </w:p>
        </w:tc>
        <w:tc>
          <w:tcPr>
            <w:tcW w:w="514" w:type="dxa"/>
            <w:shd w:val="clear" w:color="auto" w:fill="auto"/>
            <w:vAlign w:val="bottom"/>
          </w:tcPr>
          <w:p w14:paraId="24C7AB0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735" w:type="dxa"/>
            <w:shd w:val="clear" w:color="auto" w:fill="auto"/>
            <w:vAlign w:val="bottom"/>
          </w:tcPr>
          <w:p w14:paraId="1AF8758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7.5%</w:t>
            </w:r>
          </w:p>
        </w:tc>
        <w:tc>
          <w:tcPr>
            <w:tcW w:w="588" w:type="dxa"/>
            <w:shd w:val="clear" w:color="auto" w:fill="auto"/>
            <w:vAlign w:val="bottom"/>
          </w:tcPr>
          <w:p w14:paraId="48C14A9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230</w:t>
            </w:r>
          </w:p>
        </w:tc>
        <w:tc>
          <w:tcPr>
            <w:tcW w:w="791" w:type="dxa"/>
            <w:shd w:val="clear" w:color="auto" w:fill="auto"/>
            <w:vAlign w:val="bottom"/>
          </w:tcPr>
          <w:p w14:paraId="3A56F2B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67.6%</w:t>
            </w:r>
          </w:p>
        </w:tc>
        <w:tc>
          <w:tcPr>
            <w:tcW w:w="544" w:type="dxa"/>
            <w:shd w:val="clear" w:color="auto" w:fill="auto"/>
            <w:vAlign w:val="bottom"/>
          </w:tcPr>
          <w:p w14:paraId="34AB613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42</w:t>
            </w:r>
          </w:p>
        </w:tc>
        <w:tc>
          <w:tcPr>
            <w:tcW w:w="904" w:type="dxa"/>
            <w:shd w:val="clear" w:color="auto" w:fill="auto"/>
            <w:vAlign w:val="bottom"/>
          </w:tcPr>
          <w:p w14:paraId="2DBCDD3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12.4%</w:t>
            </w:r>
          </w:p>
        </w:tc>
        <w:tc>
          <w:tcPr>
            <w:tcW w:w="904" w:type="dxa"/>
            <w:shd w:val="clear" w:color="auto" w:fill="auto"/>
            <w:vAlign w:val="bottom"/>
          </w:tcPr>
          <w:p w14:paraId="41801C5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2.20</w:t>
            </w:r>
          </w:p>
        </w:tc>
        <w:tc>
          <w:tcPr>
            <w:tcW w:w="904" w:type="dxa"/>
            <w:shd w:val="clear" w:color="auto" w:fill="auto"/>
            <w:vAlign w:val="bottom"/>
          </w:tcPr>
          <w:p w14:paraId="6ACD064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62B6B10D" w14:textId="77777777" w:rsidTr="0002746A">
        <w:trPr>
          <w:trHeight w:val="358"/>
        </w:trPr>
        <w:tc>
          <w:tcPr>
            <w:tcW w:w="617" w:type="dxa"/>
            <w:shd w:val="clear" w:color="auto" w:fill="auto"/>
          </w:tcPr>
          <w:p w14:paraId="05885B3B"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10</w:t>
            </w:r>
          </w:p>
        </w:tc>
        <w:tc>
          <w:tcPr>
            <w:tcW w:w="3114" w:type="dxa"/>
            <w:shd w:val="clear" w:color="auto" w:fill="auto"/>
          </w:tcPr>
          <w:p w14:paraId="5B2094BD"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7" w:name="_Toc147905377"/>
            <w:bookmarkStart w:id="38" w:name="_Toc176778483"/>
            <w:r w:rsidRPr="0086282B">
              <w:rPr>
                <w:rStyle w:val="hscoswrapper"/>
                <w:rFonts w:ascii="Times New Roman" w:hAnsi="Times New Roman" w:cs="Times New Roman"/>
                <w:bCs/>
                <w:sz w:val="20"/>
                <w:szCs w:val="20"/>
              </w:rPr>
              <w:t>The management carry out safety audit and inspection</w:t>
            </w:r>
            <w:bookmarkEnd w:id="37"/>
            <w:bookmarkEnd w:id="38"/>
          </w:p>
        </w:tc>
        <w:tc>
          <w:tcPr>
            <w:tcW w:w="699" w:type="dxa"/>
            <w:shd w:val="clear" w:color="auto" w:fill="auto"/>
            <w:vAlign w:val="bottom"/>
          </w:tcPr>
          <w:p w14:paraId="0BF6FA3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56</w:t>
            </w:r>
          </w:p>
        </w:tc>
        <w:tc>
          <w:tcPr>
            <w:tcW w:w="862" w:type="dxa"/>
            <w:shd w:val="clear" w:color="auto" w:fill="auto"/>
            <w:vAlign w:val="bottom"/>
          </w:tcPr>
          <w:p w14:paraId="1CEADF5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16.5%</w:t>
            </w:r>
          </w:p>
        </w:tc>
        <w:tc>
          <w:tcPr>
            <w:tcW w:w="514" w:type="dxa"/>
            <w:shd w:val="clear" w:color="auto" w:fill="auto"/>
            <w:vAlign w:val="bottom"/>
          </w:tcPr>
          <w:p w14:paraId="7987A728"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37</w:t>
            </w:r>
          </w:p>
        </w:tc>
        <w:tc>
          <w:tcPr>
            <w:tcW w:w="735" w:type="dxa"/>
            <w:shd w:val="clear" w:color="auto" w:fill="auto"/>
            <w:vAlign w:val="bottom"/>
          </w:tcPr>
          <w:p w14:paraId="6424A87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10.9%</w:t>
            </w:r>
          </w:p>
        </w:tc>
        <w:tc>
          <w:tcPr>
            <w:tcW w:w="588" w:type="dxa"/>
            <w:shd w:val="clear" w:color="auto" w:fill="auto"/>
            <w:vAlign w:val="bottom"/>
          </w:tcPr>
          <w:p w14:paraId="6D5F855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150</w:t>
            </w:r>
          </w:p>
        </w:tc>
        <w:tc>
          <w:tcPr>
            <w:tcW w:w="791" w:type="dxa"/>
            <w:shd w:val="clear" w:color="auto" w:fill="auto"/>
            <w:vAlign w:val="bottom"/>
          </w:tcPr>
          <w:p w14:paraId="048A551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44.1%</w:t>
            </w:r>
          </w:p>
        </w:tc>
        <w:tc>
          <w:tcPr>
            <w:tcW w:w="544" w:type="dxa"/>
            <w:shd w:val="clear" w:color="auto" w:fill="auto"/>
            <w:vAlign w:val="bottom"/>
          </w:tcPr>
          <w:p w14:paraId="49EEECC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97</w:t>
            </w:r>
          </w:p>
        </w:tc>
        <w:tc>
          <w:tcPr>
            <w:tcW w:w="904" w:type="dxa"/>
            <w:shd w:val="clear" w:color="auto" w:fill="auto"/>
            <w:vAlign w:val="bottom"/>
          </w:tcPr>
          <w:p w14:paraId="6DFD980E"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28.5%</w:t>
            </w:r>
          </w:p>
        </w:tc>
        <w:tc>
          <w:tcPr>
            <w:tcW w:w="904" w:type="dxa"/>
            <w:shd w:val="clear" w:color="auto" w:fill="auto"/>
            <w:vAlign w:val="bottom"/>
          </w:tcPr>
          <w:p w14:paraId="34BF392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2.15</w:t>
            </w:r>
          </w:p>
        </w:tc>
        <w:tc>
          <w:tcPr>
            <w:tcW w:w="904" w:type="dxa"/>
            <w:shd w:val="clear" w:color="auto" w:fill="auto"/>
            <w:vAlign w:val="bottom"/>
          </w:tcPr>
          <w:p w14:paraId="2700BF4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05340D3C" w14:textId="77777777" w:rsidTr="0002746A">
        <w:trPr>
          <w:trHeight w:val="236"/>
        </w:trPr>
        <w:tc>
          <w:tcPr>
            <w:tcW w:w="617" w:type="dxa"/>
            <w:shd w:val="clear" w:color="auto" w:fill="auto"/>
          </w:tcPr>
          <w:p w14:paraId="15B32AA6"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11</w:t>
            </w:r>
          </w:p>
        </w:tc>
        <w:tc>
          <w:tcPr>
            <w:tcW w:w="3114" w:type="dxa"/>
            <w:shd w:val="clear" w:color="auto" w:fill="auto"/>
          </w:tcPr>
          <w:p w14:paraId="1577DD80" w14:textId="77777777" w:rsidR="00B01ECC" w:rsidRPr="0086282B" w:rsidRDefault="00B01ECC" w:rsidP="0002746A">
            <w:pPr>
              <w:pStyle w:val="Heading3"/>
              <w:spacing w:line="240" w:lineRule="auto"/>
              <w:rPr>
                <w:rFonts w:ascii="Times New Roman" w:hAnsi="Times New Roman" w:cs="Times New Roman"/>
                <w:bCs/>
                <w:sz w:val="20"/>
                <w:szCs w:val="20"/>
              </w:rPr>
            </w:pPr>
            <w:bookmarkStart w:id="39" w:name="_Toc147905378"/>
            <w:bookmarkStart w:id="40" w:name="_Toc176778484"/>
            <w:r w:rsidRPr="0086282B">
              <w:rPr>
                <w:rStyle w:val="hscoswrapper"/>
                <w:rFonts w:ascii="Times New Roman" w:hAnsi="Times New Roman" w:cs="Times New Roman"/>
                <w:bCs/>
                <w:sz w:val="20"/>
                <w:szCs w:val="20"/>
              </w:rPr>
              <w:t>There are training programs for staff</w:t>
            </w:r>
            <w:bookmarkEnd w:id="39"/>
            <w:bookmarkEnd w:id="40"/>
            <w:r w:rsidRPr="0086282B">
              <w:rPr>
                <w:rStyle w:val="hscoswrapper"/>
                <w:rFonts w:ascii="Times New Roman" w:hAnsi="Times New Roman" w:cs="Times New Roman"/>
                <w:bCs/>
                <w:sz w:val="20"/>
                <w:szCs w:val="20"/>
              </w:rPr>
              <w:t>.</w:t>
            </w:r>
          </w:p>
        </w:tc>
        <w:tc>
          <w:tcPr>
            <w:tcW w:w="699" w:type="dxa"/>
            <w:shd w:val="clear" w:color="auto" w:fill="auto"/>
            <w:vAlign w:val="bottom"/>
          </w:tcPr>
          <w:p w14:paraId="32793E0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862" w:type="dxa"/>
            <w:shd w:val="clear" w:color="auto" w:fill="auto"/>
            <w:vAlign w:val="bottom"/>
          </w:tcPr>
          <w:p w14:paraId="704CA9A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7.4%</w:t>
            </w:r>
          </w:p>
        </w:tc>
        <w:tc>
          <w:tcPr>
            <w:tcW w:w="514" w:type="dxa"/>
            <w:shd w:val="clear" w:color="auto" w:fill="auto"/>
            <w:vAlign w:val="bottom"/>
          </w:tcPr>
          <w:p w14:paraId="4814ED6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46</w:t>
            </w:r>
          </w:p>
        </w:tc>
        <w:tc>
          <w:tcPr>
            <w:tcW w:w="735" w:type="dxa"/>
            <w:shd w:val="clear" w:color="auto" w:fill="auto"/>
            <w:vAlign w:val="bottom"/>
          </w:tcPr>
          <w:p w14:paraId="65E3F60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13.5%</w:t>
            </w:r>
          </w:p>
        </w:tc>
        <w:tc>
          <w:tcPr>
            <w:tcW w:w="588" w:type="dxa"/>
            <w:shd w:val="clear" w:color="auto" w:fill="auto"/>
            <w:vAlign w:val="bottom"/>
          </w:tcPr>
          <w:p w14:paraId="75638A6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249</w:t>
            </w:r>
          </w:p>
        </w:tc>
        <w:tc>
          <w:tcPr>
            <w:tcW w:w="791" w:type="dxa"/>
            <w:shd w:val="clear" w:color="auto" w:fill="auto"/>
            <w:vAlign w:val="bottom"/>
          </w:tcPr>
          <w:p w14:paraId="06C1229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73.2%</w:t>
            </w:r>
          </w:p>
        </w:tc>
        <w:tc>
          <w:tcPr>
            <w:tcW w:w="544" w:type="dxa"/>
            <w:shd w:val="clear" w:color="auto" w:fill="auto"/>
            <w:vAlign w:val="bottom"/>
          </w:tcPr>
          <w:p w14:paraId="3A58522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w:t>
            </w:r>
          </w:p>
        </w:tc>
        <w:tc>
          <w:tcPr>
            <w:tcW w:w="904" w:type="dxa"/>
            <w:shd w:val="clear" w:color="auto" w:fill="auto"/>
            <w:vAlign w:val="bottom"/>
          </w:tcPr>
          <w:p w14:paraId="6955239F"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5.9%</w:t>
            </w:r>
          </w:p>
        </w:tc>
        <w:tc>
          <w:tcPr>
            <w:tcW w:w="904" w:type="dxa"/>
            <w:shd w:val="clear" w:color="auto" w:fill="auto"/>
            <w:vAlign w:val="bottom"/>
          </w:tcPr>
          <w:p w14:paraId="0244691A"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2.22</w:t>
            </w:r>
          </w:p>
        </w:tc>
        <w:tc>
          <w:tcPr>
            <w:tcW w:w="904" w:type="dxa"/>
            <w:shd w:val="clear" w:color="auto" w:fill="auto"/>
            <w:vAlign w:val="bottom"/>
          </w:tcPr>
          <w:p w14:paraId="1580B1D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79C827F5" w14:textId="77777777" w:rsidTr="0002746A">
        <w:trPr>
          <w:trHeight w:val="236"/>
        </w:trPr>
        <w:tc>
          <w:tcPr>
            <w:tcW w:w="617" w:type="dxa"/>
            <w:shd w:val="clear" w:color="auto" w:fill="auto"/>
          </w:tcPr>
          <w:p w14:paraId="38EC65C7"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12</w:t>
            </w:r>
          </w:p>
        </w:tc>
        <w:tc>
          <w:tcPr>
            <w:tcW w:w="3114" w:type="dxa"/>
            <w:shd w:val="clear" w:color="auto" w:fill="auto"/>
          </w:tcPr>
          <w:p w14:paraId="600958DC"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1" w:name="_Toc147905379"/>
            <w:bookmarkStart w:id="42" w:name="_Toc176778485"/>
            <w:proofErr w:type="gramStart"/>
            <w:r w:rsidRPr="0086282B">
              <w:rPr>
                <w:rStyle w:val="hscoswrapper"/>
                <w:rFonts w:ascii="Times New Roman" w:hAnsi="Times New Roman" w:cs="Times New Roman"/>
                <w:bCs/>
                <w:sz w:val="20"/>
                <w:szCs w:val="20"/>
              </w:rPr>
              <w:t>Personnel’s</w:t>
            </w:r>
            <w:proofErr w:type="gramEnd"/>
            <w:r w:rsidRPr="0086282B">
              <w:rPr>
                <w:rStyle w:val="hscoswrapper"/>
                <w:rFonts w:ascii="Times New Roman" w:hAnsi="Times New Roman" w:cs="Times New Roman"/>
                <w:bCs/>
                <w:sz w:val="20"/>
                <w:szCs w:val="20"/>
              </w:rPr>
              <w:t xml:space="preserve"> are issued with PPE’s</w:t>
            </w:r>
            <w:bookmarkEnd w:id="41"/>
            <w:bookmarkEnd w:id="42"/>
          </w:p>
        </w:tc>
        <w:tc>
          <w:tcPr>
            <w:tcW w:w="699" w:type="dxa"/>
            <w:shd w:val="clear" w:color="auto" w:fill="auto"/>
            <w:vAlign w:val="bottom"/>
          </w:tcPr>
          <w:p w14:paraId="61A2DA6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48</w:t>
            </w:r>
          </w:p>
        </w:tc>
        <w:tc>
          <w:tcPr>
            <w:tcW w:w="862" w:type="dxa"/>
            <w:shd w:val="clear" w:color="auto" w:fill="auto"/>
            <w:vAlign w:val="bottom"/>
          </w:tcPr>
          <w:p w14:paraId="3FA132C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14.1%</w:t>
            </w:r>
          </w:p>
        </w:tc>
        <w:tc>
          <w:tcPr>
            <w:tcW w:w="514" w:type="dxa"/>
            <w:shd w:val="clear" w:color="auto" w:fill="auto"/>
            <w:vAlign w:val="bottom"/>
          </w:tcPr>
          <w:p w14:paraId="2626C1B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w:t>
            </w:r>
          </w:p>
        </w:tc>
        <w:tc>
          <w:tcPr>
            <w:tcW w:w="735" w:type="dxa"/>
            <w:shd w:val="clear" w:color="auto" w:fill="auto"/>
            <w:vAlign w:val="bottom"/>
          </w:tcPr>
          <w:p w14:paraId="37E2116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2.6%</w:t>
            </w:r>
          </w:p>
        </w:tc>
        <w:tc>
          <w:tcPr>
            <w:tcW w:w="588" w:type="dxa"/>
            <w:shd w:val="clear" w:color="auto" w:fill="auto"/>
            <w:vAlign w:val="bottom"/>
          </w:tcPr>
          <w:p w14:paraId="76C33FD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189</w:t>
            </w:r>
          </w:p>
        </w:tc>
        <w:tc>
          <w:tcPr>
            <w:tcW w:w="791" w:type="dxa"/>
            <w:shd w:val="clear" w:color="auto" w:fill="auto"/>
            <w:vAlign w:val="bottom"/>
          </w:tcPr>
          <w:p w14:paraId="3B73F7C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55.6%</w:t>
            </w:r>
          </w:p>
        </w:tc>
        <w:tc>
          <w:tcPr>
            <w:tcW w:w="544" w:type="dxa"/>
            <w:shd w:val="clear" w:color="auto" w:fill="auto"/>
            <w:vAlign w:val="bottom"/>
          </w:tcPr>
          <w:p w14:paraId="6AF4CE9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94</w:t>
            </w:r>
          </w:p>
        </w:tc>
        <w:tc>
          <w:tcPr>
            <w:tcW w:w="904" w:type="dxa"/>
            <w:shd w:val="clear" w:color="auto" w:fill="auto"/>
            <w:vAlign w:val="bottom"/>
          </w:tcPr>
          <w:p w14:paraId="4CA5DC5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27.6%</w:t>
            </w:r>
          </w:p>
        </w:tc>
        <w:tc>
          <w:tcPr>
            <w:tcW w:w="904" w:type="dxa"/>
            <w:shd w:val="clear" w:color="auto" w:fill="auto"/>
            <w:vAlign w:val="bottom"/>
          </w:tcPr>
          <w:p w14:paraId="1202775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2.03</w:t>
            </w:r>
          </w:p>
        </w:tc>
        <w:tc>
          <w:tcPr>
            <w:tcW w:w="904" w:type="dxa"/>
            <w:shd w:val="clear" w:color="auto" w:fill="auto"/>
            <w:vAlign w:val="bottom"/>
          </w:tcPr>
          <w:p w14:paraId="03A8B22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0683E4AB" w14:textId="77777777" w:rsidTr="0002746A">
        <w:trPr>
          <w:trHeight w:val="236"/>
        </w:trPr>
        <w:tc>
          <w:tcPr>
            <w:tcW w:w="617" w:type="dxa"/>
            <w:shd w:val="clear" w:color="auto" w:fill="auto"/>
          </w:tcPr>
          <w:p w14:paraId="0EB1EA60"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13</w:t>
            </w:r>
          </w:p>
        </w:tc>
        <w:tc>
          <w:tcPr>
            <w:tcW w:w="3114" w:type="dxa"/>
            <w:shd w:val="clear" w:color="auto" w:fill="auto"/>
          </w:tcPr>
          <w:p w14:paraId="5A792ED4"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3" w:name="_Toc147905380"/>
            <w:bookmarkStart w:id="44" w:name="_Toc176778486"/>
            <w:r w:rsidRPr="0086282B">
              <w:rPr>
                <w:rStyle w:val="hscoswrapper"/>
                <w:rFonts w:ascii="Times New Roman" w:hAnsi="Times New Roman" w:cs="Times New Roman"/>
                <w:bCs/>
                <w:sz w:val="20"/>
                <w:szCs w:val="20"/>
              </w:rPr>
              <w:t>Personnel’s wear PPE</w:t>
            </w:r>
            <w:bookmarkEnd w:id="43"/>
            <w:bookmarkEnd w:id="44"/>
          </w:p>
        </w:tc>
        <w:tc>
          <w:tcPr>
            <w:tcW w:w="699" w:type="dxa"/>
            <w:shd w:val="clear" w:color="auto" w:fill="auto"/>
            <w:vAlign w:val="bottom"/>
          </w:tcPr>
          <w:p w14:paraId="76065F91"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49</w:t>
            </w:r>
          </w:p>
        </w:tc>
        <w:tc>
          <w:tcPr>
            <w:tcW w:w="862" w:type="dxa"/>
            <w:shd w:val="clear" w:color="auto" w:fill="auto"/>
            <w:vAlign w:val="bottom"/>
          </w:tcPr>
          <w:p w14:paraId="6D8D34B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14.4%</w:t>
            </w:r>
          </w:p>
        </w:tc>
        <w:tc>
          <w:tcPr>
            <w:tcW w:w="514" w:type="dxa"/>
            <w:shd w:val="clear" w:color="auto" w:fill="auto"/>
            <w:vAlign w:val="bottom"/>
          </w:tcPr>
          <w:p w14:paraId="5D2D024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45</w:t>
            </w:r>
          </w:p>
        </w:tc>
        <w:tc>
          <w:tcPr>
            <w:tcW w:w="735" w:type="dxa"/>
            <w:shd w:val="clear" w:color="auto" w:fill="auto"/>
            <w:vAlign w:val="bottom"/>
          </w:tcPr>
          <w:p w14:paraId="22BCA8D2"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13.2%</w:t>
            </w:r>
          </w:p>
        </w:tc>
        <w:tc>
          <w:tcPr>
            <w:tcW w:w="588" w:type="dxa"/>
            <w:shd w:val="clear" w:color="auto" w:fill="auto"/>
            <w:vAlign w:val="bottom"/>
          </w:tcPr>
          <w:p w14:paraId="3AA54A05"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160</w:t>
            </w:r>
          </w:p>
        </w:tc>
        <w:tc>
          <w:tcPr>
            <w:tcW w:w="791" w:type="dxa"/>
            <w:shd w:val="clear" w:color="auto" w:fill="auto"/>
            <w:vAlign w:val="bottom"/>
          </w:tcPr>
          <w:p w14:paraId="7215717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47.1%</w:t>
            </w:r>
          </w:p>
        </w:tc>
        <w:tc>
          <w:tcPr>
            <w:tcW w:w="544" w:type="dxa"/>
            <w:shd w:val="clear" w:color="auto" w:fill="auto"/>
            <w:vAlign w:val="bottom"/>
          </w:tcPr>
          <w:p w14:paraId="3BAEBF4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86</w:t>
            </w:r>
          </w:p>
        </w:tc>
        <w:tc>
          <w:tcPr>
            <w:tcW w:w="904" w:type="dxa"/>
            <w:shd w:val="clear" w:color="auto" w:fill="auto"/>
            <w:vAlign w:val="bottom"/>
          </w:tcPr>
          <w:p w14:paraId="39ED6AC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25.3%</w:t>
            </w:r>
          </w:p>
        </w:tc>
        <w:tc>
          <w:tcPr>
            <w:tcW w:w="904" w:type="dxa"/>
            <w:shd w:val="clear" w:color="auto" w:fill="auto"/>
            <w:vAlign w:val="bottom"/>
          </w:tcPr>
          <w:p w14:paraId="64270A0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2.04</w:t>
            </w:r>
          </w:p>
        </w:tc>
        <w:tc>
          <w:tcPr>
            <w:tcW w:w="904" w:type="dxa"/>
            <w:shd w:val="clear" w:color="auto" w:fill="auto"/>
            <w:vAlign w:val="bottom"/>
          </w:tcPr>
          <w:p w14:paraId="48B9447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4872A5F0" w14:textId="77777777" w:rsidTr="0002746A">
        <w:trPr>
          <w:trHeight w:val="236"/>
        </w:trPr>
        <w:tc>
          <w:tcPr>
            <w:tcW w:w="617" w:type="dxa"/>
            <w:shd w:val="clear" w:color="auto" w:fill="auto"/>
          </w:tcPr>
          <w:p w14:paraId="0CE83563" w14:textId="77777777" w:rsidR="00B01ECC" w:rsidRPr="0086282B" w:rsidRDefault="00B01ECC" w:rsidP="0002746A">
            <w:pPr>
              <w:spacing w:line="240" w:lineRule="auto"/>
              <w:rPr>
                <w:rFonts w:ascii="Times New Roman" w:hAnsi="Times New Roman" w:cs="Times New Roman"/>
                <w:bCs/>
                <w:sz w:val="20"/>
                <w:szCs w:val="20"/>
              </w:rPr>
            </w:pPr>
            <w:r w:rsidRPr="0086282B">
              <w:rPr>
                <w:rFonts w:ascii="Times New Roman" w:hAnsi="Times New Roman" w:cs="Times New Roman"/>
                <w:bCs/>
                <w:sz w:val="20"/>
                <w:szCs w:val="20"/>
              </w:rPr>
              <w:t>14</w:t>
            </w:r>
          </w:p>
        </w:tc>
        <w:tc>
          <w:tcPr>
            <w:tcW w:w="3114" w:type="dxa"/>
            <w:shd w:val="clear" w:color="auto" w:fill="auto"/>
          </w:tcPr>
          <w:p w14:paraId="4354D275"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5" w:name="_Toc147905381"/>
            <w:bookmarkStart w:id="46" w:name="_Toc176778487"/>
            <w:r w:rsidRPr="0086282B">
              <w:rPr>
                <w:rStyle w:val="hscoswrapper"/>
                <w:rFonts w:ascii="Times New Roman" w:hAnsi="Times New Roman" w:cs="Times New Roman"/>
                <w:bCs/>
                <w:sz w:val="20"/>
                <w:szCs w:val="20"/>
              </w:rPr>
              <w:t xml:space="preserve">There </w:t>
            </w:r>
            <w:proofErr w:type="gramStart"/>
            <w:r w:rsidRPr="0086282B">
              <w:rPr>
                <w:rStyle w:val="hscoswrapper"/>
                <w:rFonts w:ascii="Times New Roman" w:hAnsi="Times New Roman" w:cs="Times New Roman"/>
                <w:bCs/>
                <w:sz w:val="20"/>
                <w:szCs w:val="20"/>
              </w:rPr>
              <w:t>are</w:t>
            </w:r>
            <w:proofErr w:type="gramEnd"/>
            <w:r w:rsidRPr="0086282B">
              <w:rPr>
                <w:rStyle w:val="hscoswrapper"/>
                <w:rFonts w:ascii="Times New Roman" w:hAnsi="Times New Roman" w:cs="Times New Roman"/>
                <w:bCs/>
                <w:sz w:val="20"/>
                <w:szCs w:val="20"/>
              </w:rPr>
              <w:t xml:space="preserve"> control of PPE’s?</w:t>
            </w:r>
            <w:bookmarkEnd w:id="45"/>
            <w:bookmarkEnd w:id="46"/>
          </w:p>
        </w:tc>
        <w:tc>
          <w:tcPr>
            <w:tcW w:w="699" w:type="dxa"/>
            <w:shd w:val="clear" w:color="auto" w:fill="auto"/>
            <w:vAlign w:val="bottom"/>
          </w:tcPr>
          <w:p w14:paraId="281AB4E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47</w:t>
            </w:r>
          </w:p>
        </w:tc>
        <w:tc>
          <w:tcPr>
            <w:tcW w:w="862" w:type="dxa"/>
            <w:shd w:val="clear" w:color="auto" w:fill="auto"/>
            <w:vAlign w:val="bottom"/>
          </w:tcPr>
          <w:p w14:paraId="239A2EE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13.8%</w:t>
            </w:r>
          </w:p>
        </w:tc>
        <w:tc>
          <w:tcPr>
            <w:tcW w:w="514" w:type="dxa"/>
            <w:shd w:val="clear" w:color="auto" w:fill="auto"/>
            <w:vAlign w:val="bottom"/>
          </w:tcPr>
          <w:p w14:paraId="6D05FD8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w:t>
            </w:r>
          </w:p>
        </w:tc>
        <w:tc>
          <w:tcPr>
            <w:tcW w:w="735" w:type="dxa"/>
            <w:shd w:val="clear" w:color="auto" w:fill="auto"/>
            <w:vAlign w:val="bottom"/>
          </w:tcPr>
          <w:p w14:paraId="19DB1070"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7.5%</w:t>
            </w:r>
          </w:p>
        </w:tc>
        <w:tc>
          <w:tcPr>
            <w:tcW w:w="588" w:type="dxa"/>
            <w:shd w:val="clear" w:color="auto" w:fill="auto"/>
            <w:vAlign w:val="bottom"/>
          </w:tcPr>
          <w:p w14:paraId="041252C3"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180</w:t>
            </w:r>
          </w:p>
        </w:tc>
        <w:tc>
          <w:tcPr>
            <w:tcW w:w="791" w:type="dxa"/>
            <w:shd w:val="clear" w:color="auto" w:fill="auto"/>
            <w:vAlign w:val="bottom"/>
          </w:tcPr>
          <w:p w14:paraId="4DFDAD8C"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52.9%</w:t>
            </w:r>
          </w:p>
        </w:tc>
        <w:tc>
          <w:tcPr>
            <w:tcW w:w="544" w:type="dxa"/>
            <w:shd w:val="clear" w:color="auto" w:fill="auto"/>
            <w:vAlign w:val="bottom"/>
          </w:tcPr>
          <w:p w14:paraId="17F7C23B"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88</w:t>
            </w:r>
          </w:p>
        </w:tc>
        <w:tc>
          <w:tcPr>
            <w:tcW w:w="904" w:type="dxa"/>
            <w:shd w:val="clear" w:color="auto" w:fill="auto"/>
            <w:vAlign w:val="bottom"/>
          </w:tcPr>
          <w:p w14:paraId="16E31A44"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25.9%</w:t>
            </w:r>
          </w:p>
        </w:tc>
        <w:tc>
          <w:tcPr>
            <w:tcW w:w="904" w:type="dxa"/>
            <w:shd w:val="clear" w:color="auto" w:fill="auto"/>
            <w:vAlign w:val="bottom"/>
          </w:tcPr>
          <w:p w14:paraId="21736B76"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bCs/>
                <w:sz w:val="20"/>
                <w:szCs w:val="20"/>
              </w:rPr>
              <w:t>2.09</w:t>
            </w:r>
          </w:p>
        </w:tc>
        <w:tc>
          <w:tcPr>
            <w:tcW w:w="904" w:type="dxa"/>
            <w:shd w:val="clear" w:color="auto" w:fill="auto"/>
            <w:vAlign w:val="bottom"/>
          </w:tcPr>
          <w:p w14:paraId="63EE4FA7"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r w:rsidR="00B01ECC" w:rsidRPr="0086282B" w14:paraId="07499014" w14:textId="77777777" w:rsidTr="0002746A">
        <w:trPr>
          <w:trHeight w:val="236"/>
        </w:trPr>
        <w:tc>
          <w:tcPr>
            <w:tcW w:w="617" w:type="dxa"/>
            <w:tcBorders>
              <w:bottom w:val="single" w:sz="4" w:space="0" w:color="auto"/>
            </w:tcBorders>
            <w:shd w:val="clear" w:color="auto" w:fill="auto"/>
          </w:tcPr>
          <w:p w14:paraId="7154D415" w14:textId="77777777" w:rsidR="00B01ECC" w:rsidRPr="0086282B" w:rsidRDefault="00B01ECC" w:rsidP="0002746A">
            <w:pPr>
              <w:spacing w:line="240" w:lineRule="auto"/>
              <w:rPr>
                <w:rFonts w:ascii="Times New Roman" w:hAnsi="Times New Roman" w:cs="Times New Roman"/>
                <w:bCs/>
                <w:sz w:val="20"/>
                <w:szCs w:val="20"/>
              </w:rPr>
            </w:pPr>
          </w:p>
        </w:tc>
        <w:tc>
          <w:tcPr>
            <w:tcW w:w="3114" w:type="dxa"/>
            <w:tcBorders>
              <w:bottom w:val="single" w:sz="4" w:space="0" w:color="auto"/>
            </w:tcBorders>
            <w:shd w:val="clear" w:color="auto" w:fill="auto"/>
          </w:tcPr>
          <w:p w14:paraId="5E59190C" w14:textId="77777777" w:rsidR="00B01ECC" w:rsidRPr="0086282B" w:rsidRDefault="00B01ECC" w:rsidP="0002746A">
            <w:pPr>
              <w:pStyle w:val="Heading3"/>
              <w:spacing w:line="240" w:lineRule="auto"/>
              <w:rPr>
                <w:rStyle w:val="hscoswrapper"/>
                <w:rFonts w:ascii="Times New Roman" w:hAnsi="Times New Roman" w:cs="Times New Roman"/>
                <w:bCs/>
                <w:sz w:val="20"/>
                <w:szCs w:val="20"/>
              </w:rPr>
            </w:pPr>
            <w:bookmarkStart w:id="47" w:name="_Toc176778488"/>
            <w:r w:rsidRPr="0086282B">
              <w:rPr>
                <w:rStyle w:val="hscoswrapper"/>
                <w:rFonts w:ascii="Times New Roman" w:hAnsi="Times New Roman" w:cs="Times New Roman"/>
                <w:bCs/>
                <w:sz w:val="20"/>
                <w:szCs w:val="20"/>
              </w:rPr>
              <w:t>Average Percentage</w:t>
            </w:r>
            <w:bookmarkEnd w:id="47"/>
          </w:p>
        </w:tc>
        <w:tc>
          <w:tcPr>
            <w:tcW w:w="699" w:type="dxa"/>
            <w:tcBorders>
              <w:bottom w:val="single" w:sz="4" w:space="0" w:color="auto"/>
            </w:tcBorders>
            <w:shd w:val="clear" w:color="auto" w:fill="auto"/>
            <w:vAlign w:val="bottom"/>
          </w:tcPr>
          <w:p w14:paraId="1B22BF19" w14:textId="77777777" w:rsidR="00B01ECC" w:rsidRPr="0086282B" w:rsidRDefault="00B01ECC" w:rsidP="0002746A">
            <w:pPr>
              <w:spacing w:line="240" w:lineRule="auto"/>
              <w:jc w:val="right"/>
              <w:rPr>
                <w:rFonts w:ascii="Times New Roman" w:hAnsi="Times New Roman" w:cs="Times New Roman"/>
                <w:bCs/>
                <w:sz w:val="20"/>
                <w:szCs w:val="20"/>
              </w:rPr>
            </w:pPr>
          </w:p>
        </w:tc>
        <w:tc>
          <w:tcPr>
            <w:tcW w:w="862" w:type="dxa"/>
            <w:tcBorders>
              <w:bottom w:val="single" w:sz="4" w:space="0" w:color="auto"/>
            </w:tcBorders>
            <w:shd w:val="clear" w:color="auto" w:fill="auto"/>
            <w:vAlign w:val="bottom"/>
          </w:tcPr>
          <w:p w14:paraId="1F09DE7A"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12.9%</w:t>
            </w:r>
          </w:p>
        </w:tc>
        <w:tc>
          <w:tcPr>
            <w:tcW w:w="514" w:type="dxa"/>
            <w:tcBorders>
              <w:bottom w:val="single" w:sz="4" w:space="0" w:color="auto"/>
            </w:tcBorders>
            <w:shd w:val="clear" w:color="auto" w:fill="auto"/>
            <w:vAlign w:val="bottom"/>
          </w:tcPr>
          <w:p w14:paraId="58A8B13B" w14:textId="77777777" w:rsidR="00B01ECC" w:rsidRPr="0086282B" w:rsidRDefault="00B01ECC" w:rsidP="0002746A">
            <w:pPr>
              <w:spacing w:line="240" w:lineRule="auto"/>
              <w:jc w:val="right"/>
              <w:rPr>
                <w:rFonts w:ascii="Times New Roman" w:hAnsi="Times New Roman" w:cs="Times New Roman"/>
                <w:b/>
                <w:sz w:val="20"/>
                <w:szCs w:val="20"/>
              </w:rPr>
            </w:pPr>
          </w:p>
        </w:tc>
        <w:tc>
          <w:tcPr>
            <w:tcW w:w="735" w:type="dxa"/>
            <w:tcBorders>
              <w:bottom w:val="single" w:sz="4" w:space="0" w:color="auto"/>
            </w:tcBorders>
            <w:shd w:val="clear" w:color="auto" w:fill="auto"/>
            <w:vAlign w:val="bottom"/>
          </w:tcPr>
          <w:p w14:paraId="5AA40624"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8.1%</w:t>
            </w:r>
          </w:p>
        </w:tc>
        <w:tc>
          <w:tcPr>
            <w:tcW w:w="588" w:type="dxa"/>
            <w:tcBorders>
              <w:bottom w:val="single" w:sz="4" w:space="0" w:color="auto"/>
            </w:tcBorders>
            <w:shd w:val="clear" w:color="auto" w:fill="auto"/>
            <w:vAlign w:val="bottom"/>
          </w:tcPr>
          <w:p w14:paraId="618C6785" w14:textId="77777777" w:rsidR="00B01ECC" w:rsidRPr="0086282B" w:rsidRDefault="00B01ECC" w:rsidP="0002746A">
            <w:pPr>
              <w:spacing w:line="240" w:lineRule="auto"/>
              <w:jc w:val="right"/>
              <w:rPr>
                <w:rFonts w:ascii="Times New Roman" w:hAnsi="Times New Roman" w:cs="Times New Roman"/>
                <w:b/>
                <w:sz w:val="20"/>
                <w:szCs w:val="20"/>
              </w:rPr>
            </w:pPr>
          </w:p>
        </w:tc>
        <w:tc>
          <w:tcPr>
            <w:tcW w:w="791" w:type="dxa"/>
            <w:tcBorders>
              <w:bottom w:val="single" w:sz="4" w:space="0" w:color="auto"/>
            </w:tcBorders>
            <w:shd w:val="clear" w:color="auto" w:fill="auto"/>
            <w:vAlign w:val="bottom"/>
          </w:tcPr>
          <w:p w14:paraId="626C4E5A"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54.7%</w:t>
            </w:r>
          </w:p>
        </w:tc>
        <w:tc>
          <w:tcPr>
            <w:tcW w:w="544" w:type="dxa"/>
            <w:tcBorders>
              <w:bottom w:val="single" w:sz="4" w:space="0" w:color="auto"/>
            </w:tcBorders>
            <w:shd w:val="clear" w:color="auto" w:fill="auto"/>
            <w:vAlign w:val="bottom"/>
          </w:tcPr>
          <w:p w14:paraId="7006C841" w14:textId="77777777" w:rsidR="00B01ECC" w:rsidRPr="0086282B" w:rsidRDefault="00B01ECC" w:rsidP="0002746A">
            <w:pPr>
              <w:spacing w:line="240" w:lineRule="auto"/>
              <w:jc w:val="right"/>
              <w:rPr>
                <w:rFonts w:ascii="Times New Roman" w:hAnsi="Times New Roman" w:cs="Times New Roman"/>
                <w:b/>
                <w:sz w:val="20"/>
                <w:szCs w:val="20"/>
              </w:rPr>
            </w:pPr>
          </w:p>
        </w:tc>
        <w:tc>
          <w:tcPr>
            <w:tcW w:w="904" w:type="dxa"/>
            <w:tcBorders>
              <w:bottom w:val="single" w:sz="4" w:space="0" w:color="auto"/>
            </w:tcBorders>
            <w:shd w:val="clear" w:color="auto" w:fill="auto"/>
            <w:vAlign w:val="bottom"/>
          </w:tcPr>
          <w:p w14:paraId="4F3D6597"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24.4%</w:t>
            </w:r>
          </w:p>
        </w:tc>
        <w:tc>
          <w:tcPr>
            <w:tcW w:w="904" w:type="dxa"/>
            <w:tcBorders>
              <w:bottom w:val="single" w:sz="4" w:space="0" w:color="auto"/>
            </w:tcBorders>
            <w:shd w:val="clear" w:color="auto" w:fill="auto"/>
            <w:vAlign w:val="bottom"/>
          </w:tcPr>
          <w:p w14:paraId="016F34FD" w14:textId="77777777" w:rsidR="00B01ECC" w:rsidRPr="0086282B" w:rsidRDefault="00B01ECC" w:rsidP="0002746A">
            <w:pPr>
              <w:spacing w:line="240" w:lineRule="auto"/>
              <w:jc w:val="right"/>
              <w:rPr>
                <w:rFonts w:ascii="Times New Roman" w:hAnsi="Times New Roman" w:cs="Times New Roman"/>
                <w:b/>
                <w:sz w:val="20"/>
                <w:szCs w:val="20"/>
              </w:rPr>
            </w:pPr>
            <w:r w:rsidRPr="0086282B">
              <w:rPr>
                <w:rFonts w:ascii="Times New Roman" w:hAnsi="Times New Roman" w:cs="Times New Roman"/>
                <w:b/>
                <w:sz w:val="20"/>
                <w:szCs w:val="20"/>
              </w:rPr>
              <w:t>2.12</w:t>
            </w:r>
          </w:p>
        </w:tc>
        <w:tc>
          <w:tcPr>
            <w:tcW w:w="904" w:type="dxa"/>
            <w:tcBorders>
              <w:bottom w:val="single" w:sz="4" w:space="0" w:color="auto"/>
            </w:tcBorders>
            <w:shd w:val="clear" w:color="auto" w:fill="auto"/>
            <w:vAlign w:val="bottom"/>
          </w:tcPr>
          <w:p w14:paraId="22508D4D" w14:textId="77777777" w:rsidR="00B01ECC" w:rsidRPr="0086282B" w:rsidRDefault="00B01ECC" w:rsidP="0002746A">
            <w:pPr>
              <w:spacing w:line="240" w:lineRule="auto"/>
              <w:jc w:val="right"/>
              <w:rPr>
                <w:rFonts w:ascii="Times New Roman" w:hAnsi="Times New Roman" w:cs="Times New Roman"/>
                <w:bCs/>
                <w:sz w:val="20"/>
                <w:szCs w:val="20"/>
              </w:rPr>
            </w:pPr>
            <w:r w:rsidRPr="0086282B">
              <w:rPr>
                <w:rFonts w:ascii="Times New Roman" w:hAnsi="Times New Roman" w:cs="Times New Roman"/>
                <w:sz w:val="18"/>
                <w:szCs w:val="18"/>
              </w:rPr>
              <w:t>Reject</w:t>
            </w:r>
          </w:p>
        </w:tc>
      </w:tr>
    </w:tbl>
    <w:tbl>
      <w:tblPr>
        <w:tblpPr w:leftFromText="180" w:rightFromText="180" w:vertAnchor="text" w:horzAnchor="margin" w:tblpXSpec="center" w:tblpY="1182"/>
        <w:tblW w:w="11133" w:type="dxa"/>
        <w:tblLayout w:type="fixed"/>
        <w:tblLook w:val="04A0" w:firstRow="1" w:lastRow="0" w:firstColumn="1" w:lastColumn="0" w:noHBand="0" w:noVBand="1"/>
      </w:tblPr>
      <w:tblGrid>
        <w:gridCol w:w="3983"/>
        <w:gridCol w:w="893"/>
        <w:gridCol w:w="1103"/>
        <w:gridCol w:w="657"/>
        <w:gridCol w:w="940"/>
        <w:gridCol w:w="752"/>
        <w:gridCol w:w="1116"/>
        <w:gridCol w:w="695"/>
        <w:gridCol w:w="994"/>
      </w:tblGrid>
      <w:tr w:rsidR="0002746A" w:rsidRPr="00FC5CAE" w14:paraId="5FE2A77E" w14:textId="77777777" w:rsidTr="0002746A">
        <w:trPr>
          <w:trHeight w:val="391"/>
        </w:trPr>
        <w:tc>
          <w:tcPr>
            <w:tcW w:w="3983" w:type="dxa"/>
            <w:tcBorders>
              <w:top w:val="single" w:sz="4" w:space="0" w:color="auto"/>
            </w:tcBorders>
          </w:tcPr>
          <w:p w14:paraId="2C290AB9"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bCs/>
              </w:rPr>
              <w:t>Preventive measures of the incidents in Oil &amp; Gas Downstream</w:t>
            </w:r>
          </w:p>
        </w:tc>
        <w:tc>
          <w:tcPr>
            <w:tcW w:w="1996" w:type="dxa"/>
            <w:gridSpan w:val="2"/>
            <w:tcBorders>
              <w:top w:val="single" w:sz="4" w:space="0" w:color="auto"/>
            </w:tcBorders>
          </w:tcPr>
          <w:p w14:paraId="3D8D26EC"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SA</w:t>
            </w:r>
          </w:p>
        </w:tc>
        <w:tc>
          <w:tcPr>
            <w:tcW w:w="1597" w:type="dxa"/>
            <w:gridSpan w:val="2"/>
            <w:tcBorders>
              <w:top w:val="single" w:sz="4" w:space="0" w:color="auto"/>
            </w:tcBorders>
          </w:tcPr>
          <w:p w14:paraId="6B1B0768"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A</w:t>
            </w:r>
          </w:p>
        </w:tc>
        <w:tc>
          <w:tcPr>
            <w:tcW w:w="1868" w:type="dxa"/>
            <w:gridSpan w:val="2"/>
            <w:tcBorders>
              <w:top w:val="single" w:sz="4" w:space="0" w:color="auto"/>
            </w:tcBorders>
          </w:tcPr>
          <w:p w14:paraId="06F816DF"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D</w:t>
            </w:r>
          </w:p>
        </w:tc>
        <w:tc>
          <w:tcPr>
            <w:tcW w:w="1689" w:type="dxa"/>
            <w:gridSpan w:val="2"/>
            <w:tcBorders>
              <w:top w:val="single" w:sz="4" w:space="0" w:color="auto"/>
            </w:tcBorders>
          </w:tcPr>
          <w:p w14:paraId="769226AD"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SD</w:t>
            </w:r>
          </w:p>
        </w:tc>
      </w:tr>
      <w:tr w:rsidR="0002746A" w:rsidRPr="00FC5CAE" w14:paraId="13453485" w14:textId="77777777" w:rsidTr="0002746A">
        <w:trPr>
          <w:trHeight w:val="501"/>
        </w:trPr>
        <w:tc>
          <w:tcPr>
            <w:tcW w:w="3983" w:type="dxa"/>
            <w:tcBorders>
              <w:bottom w:val="single" w:sz="4" w:space="0" w:color="auto"/>
            </w:tcBorders>
          </w:tcPr>
          <w:p w14:paraId="1540754D" w14:textId="77777777" w:rsidR="0002746A" w:rsidRPr="00FC5CAE" w:rsidRDefault="0002746A" w:rsidP="0002746A">
            <w:pPr>
              <w:pStyle w:val="Heading3"/>
              <w:spacing w:line="240" w:lineRule="auto"/>
              <w:rPr>
                <w:rFonts w:ascii="Times New Roman" w:hAnsi="Times New Roman" w:cs="Times New Roman"/>
                <w:sz w:val="22"/>
                <w:szCs w:val="22"/>
              </w:rPr>
            </w:pPr>
          </w:p>
        </w:tc>
        <w:tc>
          <w:tcPr>
            <w:tcW w:w="893" w:type="dxa"/>
            <w:tcBorders>
              <w:bottom w:val="single" w:sz="4" w:space="0" w:color="auto"/>
            </w:tcBorders>
          </w:tcPr>
          <w:p w14:paraId="64E0CD5B" w14:textId="77777777" w:rsidR="0002746A" w:rsidRPr="00FC5CAE" w:rsidRDefault="0002746A" w:rsidP="0002746A">
            <w:pPr>
              <w:spacing w:line="240" w:lineRule="auto"/>
              <w:rPr>
                <w:rFonts w:ascii="Times New Roman" w:hAnsi="Times New Roman" w:cs="Times New Roman"/>
                <w:b/>
              </w:rPr>
            </w:pPr>
            <w:r>
              <w:rPr>
                <w:rFonts w:ascii="Times New Roman" w:hAnsi="Times New Roman" w:cs="Times New Roman"/>
                <w:b/>
              </w:rPr>
              <w:t xml:space="preserve">    </w:t>
            </w:r>
            <w:r w:rsidRPr="00FC5CAE">
              <w:rPr>
                <w:rFonts w:ascii="Times New Roman" w:hAnsi="Times New Roman" w:cs="Times New Roman"/>
                <w:b/>
              </w:rPr>
              <w:t>F</w:t>
            </w:r>
          </w:p>
        </w:tc>
        <w:tc>
          <w:tcPr>
            <w:tcW w:w="1103" w:type="dxa"/>
            <w:tcBorders>
              <w:bottom w:val="single" w:sz="4" w:space="0" w:color="auto"/>
            </w:tcBorders>
          </w:tcPr>
          <w:p w14:paraId="1F3319B7"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c>
          <w:tcPr>
            <w:tcW w:w="657" w:type="dxa"/>
            <w:tcBorders>
              <w:bottom w:val="single" w:sz="4" w:space="0" w:color="auto"/>
            </w:tcBorders>
          </w:tcPr>
          <w:p w14:paraId="066E4C6A"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F</w:t>
            </w:r>
          </w:p>
        </w:tc>
        <w:tc>
          <w:tcPr>
            <w:tcW w:w="940" w:type="dxa"/>
            <w:tcBorders>
              <w:bottom w:val="single" w:sz="4" w:space="0" w:color="auto"/>
            </w:tcBorders>
          </w:tcPr>
          <w:p w14:paraId="50762432"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c>
          <w:tcPr>
            <w:tcW w:w="752" w:type="dxa"/>
            <w:tcBorders>
              <w:bottom w:val="single" w:sz="4" w:space="0" w:color="auto"/>
            </w:tcBorders>
          </w:tcPr>
          <w:p w14:paraId="5F577A03"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F</w:t>
            </w:r>
          </w:p>
        </w:tc>
        <w:tc>
          <w:tcPr>
            <w:tcW w:w="1116" w:type="dxa"/>
            <w:tcBorders>
              <w:bottom w:val="single" w:sz="4" w:space="0" w:color="auto"/>
            </w:tcBorders>
          </w:tcPr>
          <w:p w14:paraId="39F0BBDA"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c>
          <w:tcPr>
            <w:tcW w:w="695" w:type="dxa"/>
            <w:tcBorders>
              <w:bottom w:val="single" w:sz="4" w:space="0" w:color="auto"/>
            </w:tcBorders>
          </w:tcPr>
          <w:p w14:paraId="63637036"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F</w:t>
            </w:r>
          </w:p>
        </w:tc>
        <w:tc>
          <w:tcPr>
            <w:tcW w:w="994" w:type="dxa"/>
            <w:tcBorders>
              <w:bottom w:val="single" w:sz="4" w:space="0" w:color="auto"/>
            </w:tcBorders>
          </w:tcPr>
          <w:p w14:paraId="78D4B589" w14:textId="77777777" w:rsidR="0002746A" w:rsidRPr="00FC5CAE" w:rsidRDefault="0002746A" w:rsidP="0002746A">
            <w:pPr>
              <w:spacing w:line="240" w:lineRule="auto"/>
              <w:rPr>
                <w:rFonts w:ascii="Times New Roman" w:hAnsi="Times New Roman" w:cs="Times New Roman"/>
                <w:b/>
              </w:rPr>
            </w:pPr>
            <w:r w:rsidRPr="00FC5CAE">
              <w:rPr>
                <w:rFonts w:ascii="Times New Roman" w:hAnsi="Times New Roman" w:cs="Times New Roman"/>
                <w:b/>
              </w:rPr>
              <w:t>%</w:t>
            </w:r>
          </w:p>
        </w:tc>
      </w:tr>
    </w:tbl>
    <w:p w14:paraId="60FC8D95" w14:textId="77777777" w:rsidR="005D145A" w:rsidRDefault="00B269C9" w:rsidP="005D145A">
      <w:pPr>
        <w:spacing w:line="480" w:lineRule="auto"/>
        <w:rPr>
          <w:rFonts w:ascii="Times New Roman" w:hAnsi="Times New Roman" w:cs="Times New Roman"/>
          <w:sz w:val="24"/>
          <w:szCs w:val="24"/>
        </w:rPr>
      </w:pPr>
      <w:r>
        <w:rPr>
          <w:rFonts w:ascii="Times New Roman" w:hAnsi="Times New Roman" w:cs="Times New Roman"/>
          <w:b/>
          <w:sz w:val="24"/>
          <w:szCs w:val="24"/>
        </w:rPr>
        <w:t>Table 2</w:t>
      </w:r>
      <w:r w:rsidR="005D145A" w:rsidRPr="00340142">
        <w:rPr>
          <w:rFonts w:ascii="Times New Roman" w:hAnsi="Times New Roman" w:cs="Times New Roman"/>
          <w:b/>
          <w:sz w:val="24"/>
          <w:szCs w:val="24"/>
        </w:rPr>
        <w:t>:</w:t>
      </w:r>
      <w:r w:rsidR="005D145A" w:rsidRPr="00340142">
        <w:rPr>
          <w:rFonts w:ascii="Times New Roman" w:hAnsi="Times New Roman" w:cs="Times New Roman"/>
          <w:sz w:val="24"/>
          <w:szCs w:val="24"/>
        </w:rPr>
        <w:t xml:space="preserve"> Frequency and percentage of the preventive measures that are applied to prevent reoccurrence of these incidents. </w:t>
      </w:r>
    </w:p>
    <w:p w14:paraId="53D080F8" w14:textId="77777777" w:rsidR="005D145A" w:rsidRDefault="00B269C9" w:rsidP="00802A8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2</w:t>
      </w:r>
      <w:r w:rsidR="005D145A" w:rsidRPr="00340142">
        <w:rPr>
          <w:rFonts w:ascii="Times New Roman" w:hAnsi="Times New Roman" w:cs="Times New Roman"/>
          <w:sz w:val="24"/>
          <w:szCs w:val="24"/>
        </w:rPr>
        <w:t xml:space="preserve"> revealed that 54.66% of the respondents disagreed that HSE policy, automatic fire detection, firefighting equipment were in place, 24.35% strongly disagreed, 12.91% strongly agreed while 8.09% agreed.</w:t>
      </w:r>
    </w:p>
    <w:p w14:paraId="00F07CE5" w14:textId="77777777" w:rsidR="005D145A" w:rsidRPr="00340142" w:rsidRDefault="005D145A" w:rsidP="00B269C9">
      <w:pPr>
        <w:spacing w:line="480" w:lineRule="auto"/>
        <w:rPr>
          <w:rFonts w:ascii="Times New Roman" w:hAnsi="Times New Roman" w:cs="Times New Roman"/>
          <w:b/>
          <w:sz w:val="24"/>
          <w:szCs w:val="24"/>
        </w:rPr>
      </w:pPr>
      <w:bookmarkStart w:id="48" w:name="_Toc176778489"/>
      <w:r w:rsidRPr="00340142">
        <w:rPr>
          <w:rFonts w:ascii="Times New Roman" w:hAnsi="Times New Roman" w:cs="Times New Roman"/>
          <w:b/>
          <w:sz w:val="24"/>
          <w:szCs w:val="24"/>
        </w:rPr>
        <w:t xml:space="preserve">Discussion </w:t>
      </w:r>
      <w:bookmarkEnd w:id="48"/>
    </w:p>
    <w:p w14:paraId="24F405A8" w14:textId="77777777" w:rsidR="005D145A" w:rsidRDefault="005D145A" w:rsidP="005D145A">
      <w:pPr>
        <w:rPr>
          <w:rFonts w:ascii="Times New Roman" w:hAnsi="Times New Roman" w:cs="Times New Roman"/>
          <w:sz w:val="24"/>
          <w:szCs w:val="24"/>
        </w:rPr>
      </w:pPr>
      <w:r w:rsidRPr="00340142">
        <w:rPr>
          <w:rFonts w:ascii="Times New Roman" w:hAnsi="Times New Roman" w:cs="Times New Roman"/>
          <w:sz w:val="24"/>
          <w:szCs w:val="24"/>
        </w:rPr>
        <w:t>Discussion is organized according to the following sub-heading.</w:t>
      </w:r>
    </w:p>
    <w:p w14:paraId="4089B4CE" w14:textId="77777777" w:rsidR="00B236A6" w:rsidRPr="00B236A6" w:rsidRDefault="00B236A6" w:rsidP="00B236A6">
      <w:pPr>
        <w:pStyle w:val="Heading3"/>
        <w:rPr>
          <w:rFonts w:ascii="Times New Roman" w:hAnsi="Times New Roman" w:cs="Times New Roman"/>
          <w:b/>
        </w:rPr>
      </w:pPr>
      <w:r w:rsidRPr="00B236A6">
        <w:rPr>
          <w:rFonts w:ascii="Times New Roman" w:hAnsi="Times New Roman" w:cs="Times New Roman"/>
          <w:b/>
        </w:rPr>
        <w:t xml:space="preserve">Factors Responsible for Safety Incidents in Oil and Gas Downstream Companies </w:t>
      </w:r>
    </w:p>
    <w:p w14:paraId="7DEA1FB5" w14:textId="77777777" w:rsidR="00325E3F" w:rsidRPr="00325E3F" w:rsidRDefault="00AD22A8" w:rsidP="00955A95">
      <w:pPr>
        <w:pStyle w:val="NormalWeb"/>
        <w:spacing w:line="480" w:lineRule="auto"/>
      </w:pPr>
      <w:r w:rsidRPr="00B269C9">
        <w:t xml:space="preserve">The safety incidents in oil and gas downstream companies are multifaceted, influenced by a combination of human, organizational, and environmental factors. </w:t>
      </w:r>
      <w:r w:rsidR="005765F3">
        <w:t xml:space="preserve">The study revealed that </w:t>
      </w:r>
      <w:r w:rsidR="005765F3" w:rsidRPr="00340142">
        <w:t xml:space="preserve">34.98% of the respondents strongly agreed that unsafe acts by personnel, unsafe conditions, inadequate supervision etc., are the root causes of the incidents in oil and gas downstream, 20.82% agreed, 19.47% disagreed while 24.77% strongly disagreed. </w:t>
      </w:r>
      <w:r w:rsidR="00325E3F" w:rsidRPr="00325E3F">
        <w:t xml:space="preserve">A prominent factor contributing to safety incidents in the study is human error, specifically unsafe behaviors, lack of training, and non-compliance with safety procedures. Many workers demonstrated poor safety awareness and improper use of safety equipment. This is consistent with studies that highlight human factors as a leading cause of accidents in the oil and gas industry (Kumar </w:t>
      </w:r>
      <w:r w:rsidR="006A1A0A" w:rsidRPr="006A1A0A">
        <w:rPr>
          <w:i/>
        </w:rPr>
        <w:t>et al</w:t>
      </w:r>
      <w:r w:rsidR="00325E3F" w:rsidRPr="00325E3F">
        <w:t xml:space="preserve">., 2018). In a study by </w:t>
      </w:r>
      <w:r w:rsidR="00325E3F" w:rsidRPr="00955A95">
        <w:rPr>
          <w:bCs/>
        </w:rPr>
        <w:t xml:space="preserve">Hofmann </w:t>
      </w:r>
      <w:r w:rsidR="006A1A0A" w:rsidRPr="006A1A0A">
        <w:rPr>
          <w:bCs/>
          <w:i/>
        </w:rPr>
        <w:t>et al</w:t>
      </w:r>
      <w:r w:rsidR="00325E3F" w:rsidRPr="00955A95">
        <w:rPr>
          <w:bCs/>
        </w:rPr>
        <w:t>. (2017)</w:t>
      </w:r>
      <w:r w:rsidR="00325E3F" w:rsidRPr="00325E3F">
        <w:t>, it was found that improper training and inadequate safety culture are major contributors to accidents. This suggests that fostering a culture of safety, proper training, and strict adherence to procedures can reduce human errors.</w:t>
      </w:r>
    </w:p>
    <w:p w14:paraId="19CF553F" w14:textId="77777777" w:rsidR="00325E3F" w:rsidRPr="00325E3F" w:rsidRDefault="00325E3F" w:rsidP="00955A95">
      <w:pPr>
        <w:spacing w:before="100" w:beforeAutospacing="1" w:after="100" w:afterAutospacing="1" w:line="480" w:lineRule="auto"/>
        <w:rPr>
          <w:rFonts w:ascii="Times New Roman" w:eastAsia="Times New Roman" w:hAnsi="Times New Roman" w:cs="Times New Roman"/>
          <w:sz w:val="24"/>
          <w:szCs w:val="24"/>
        </w:rPr>
      </w:pPr>
      <w:r w:rsidRPr="00325E3F">
        <w:rPr>
          <w:rFonts w:ascii="Times New Roman" w:eastAsia="Times New Roman" w:hAnsi="Times New Roman" w:cs="Times New Roman"/>
          <w:sz w:val="24"/>
          <w:szCs w:val="24"/>
        </w:rPr>
        <w:t xml:space="preserve">However, the findings in </w:t>
      </w:r>
      <w:r w:rsidR="003330CA">
        <w:rPr>
          <w:rFonts w:ascii="Times New Roman" w:eastAsia="Times New Roman" w:hAnsi="Times New Roman" w:cs="Times New Roman"/>
          <w:sz w:val="24"/>
          <w:szCs w:val="24"/>
        </w:rPr>
        <w:t xml:space="preserve">Oil and Gas Company in </w:t>
      </w:r>
      <w:r w:rsidRPr="00325E3F">
        <w:rPr>
          <w:rFonts w:ascii="Times New Roman" w:eastAsia="Times New Roman" w:hAnsi="Times New Roman" w:cs="Times New Roman"/>
          <w:sz w:val="24"/>
          <w:szCs w:val="24"/>
        </w:rPr>
        <w:t xml:space="preserve">Port Harcourt also suggest that negligence, especially among less </w:t>
      </w:r>
      <w:r w:rsidR="003330CA">
        <w:rPr>
          <w:rFonts w:ascii="Times New Roman" w:eastAsia="Times New Roman" w:hAnsi="Times New Roman" w:cs="Times New Roman"/>
          <w:sz w:val="24"/>
          <w:szCs w:val="24"/>
        </w:rPr>
        <w:t>experienced workers, contributed</w:t>
      </w:r>
      <w:r w:rsidRPr="00325E3F">
        <w:rPr>
          <w:rFonts w:ascii="Times New Roman" w:eastAsia="Times New Roman" w:hAnsi="Times New Roman" w:cs="Times New Roman"/>
          <w:sz w:val="24"/>
          <w:szCs w:val="24"/>
        </w:rPr>
        <w:t xml:space="preserve"> more significantly than expected compared to global averages. A higher proportion of workers in this region appear to rely on informal safety methods, potentially exacerbating the risk of incidents. This might be attributed to </w:t>
      </w:r>
      <w:r w:rsidRPr="00325E3F">
        <w:rPr>
          <w:rFonts w:ascii="Times New Roman" w:eastAsia="Times New Roman" w:hAnsi="Times New Roman" w:cs="Times New Roman"/>
          <w:sz w:val="24"/>
          <w:szCs w:val="24"/>
        </w:rPr>
        <w:lastRenderedPageBreak/>
        <w:t>socio-economic factors unique to the Niger Delta region, which have not been extensively explored in the literature.</w:t>
      </w:r>
    </w:p>
    <w:p w14:paraId="42061A58" w14:textId="77777777" w:rsidR="00DC4E25" w:rsidRPr="00DC4E25" w:rsidRDefault="00325E3F" w:rsidP="00955A95">
      <w:pPr>
        <w:pStyle w:val="NormalWeb"/>
        <w:spacing w:line="480" w:lineRule="auto"/>
      </w:pPr>
      <w:r w:rsidRPr="00325E3F">
        <w:t xml:space="preserve">Technical failures, including equipment malfunctions and poor maintenance practices, are another significant factor. This aligns with </w:t>
      </w:r>
      <w:r w:rsidRPr="00955A95">
        <w:rPr>
          <w:rFonts w:eastAsiaTheme="majorEastAsia"/>
          <w:bCs/>
        </w:rPr>
        <w:t>Mearns and Yule (2009)</w:t>
      </w:r>
      <w:r w:rsidRPr="00955A95">
        <w:t>,</w:t>
      </w:r>
      <w:r w:rsidRPr="00325E3F">
        <w:t xml:space="preserve"> who indicated that outdated and poorly maintained equipment is a common cause of safety incidents in the oil and gas industry. In Port Harcourt, several companies were found to use aging infrastructure without regular maintenance, resulting in increased accident rates. The literature consistently supports this, as </w:t>
      </w:r>
      <w:r w:rsidRPr="00955A95">
        <w:rPr>
          <w:rFonts w:eastAsiaTheme="majorEastAsia"/>
          <w:bCs/>
        </w:rPr>
        <w:t>Pate-Cornell (2019)</w:t>
      </w:r>
      <w:r w:rsidRPr="00325E3F">
        <w:t xml:space="preserve"> noted that maintenance negligence often leads to catastrophic failures, particularly in high-risk industries like oil and gas.</w:t>
      </w:r>
      <w:r w:rsidR="00DC4E25" w:rsidRPr="00DC4E25">
        <w:t xml:space="preserve"> Furthermore, unsafe operational conditions like overcrowded workspaces, lack of ventilation in storage areas, and inadequate handling of hazardous materials were common in </w:t>
      </w:r>
      <w:r w:rsidR="00DF3417">
        <w:t xml:space="preserve">Oil and Gas </w:t>
      </w:r>
      <w:r w:rsidR="004A7B4B">
        <w:t>Company</w:t>
      </w:r>
      <w:r w:rsidR="00DF3417">
        <w:t xml:space="preserve"> in </w:t>
      </w:r>
      <w:r w:rsidR="00DF3417" w:rsidRPr="00325E3F">
        <w:t>Port Harcourt</w:t>
      </w:r>
      <w:r w:rsidR="00DC4E25" w:rsidRPr="00DC4E25">
        <w:t xml:space="preserve">. According to </w:t>
      </w:r>
      <w:r w:rsidR="00DC4E25" w:rsidRPr="00955A95">
        <w:rPr>
          <w:rFonts w:eastAsiaTheme="majorEastAsia"/>
          <w:bCs/>
        </w:rPr>
        <w:t>Gunningham and Sinclair (2012)</w:t>
      </w:r>
      <w:r w:rsidR="00DC4E25" w:rsidRPr="00DC4E25">
        <w:t xml:space="preserve">, operational inefficiencies and hazardous environments are key contributors to safety risks in the downstream sector. However, the findings in </w:t>
      </w:r>
      <w:r w:rsidR="004E4443">
        <w:t xml:space="preserve">Oil and Gas Company in </w:t>
      </w:r>
      <w:r w:rsidR="004E4443" w:rsidRPr="00325E3F">
        <w:t>Port Harcourt</w:t>
      </w:r>
      <w:r w:rsidR="004E4443" w:rsidRPr="00DC4E25">
        <w:t xml:space="preserve"> </w:t>
      </w:r>
      <w:r w:rsidR="00DC4E25" w:rsidRPr="00DC4E25">
        <w:t xml:space="preserve">indicate a higher prevalence of suboptimal working conditions compared to global reports, potentially due to lower regulatory enforcement in Nigeria. Weak enforcement of safety regulations by governmental agencies emerged as a critical issue. Despite the existence of safety policies like the Petroleum Act and Factories Act, implementation appears inadequate in the Port Harcourt metropolis. This echoes the findings of </w:t>
      </w:r>
      <w:proofErr w:type="spellStart"/>
      <w:r w:rsidR="00DC4E25" w:rsidRPr="00955A95">
        <w:rPr>
          <w:bCs/>
        </w:rPr>
        <w:t>Omofonmwan</w:t>
      </w:r>
      <w:proofErr w:type="spellEnd"/>
      <w:r w:rsidR="00DC4E25" w:rsidRPr="00955A95">
        <w:rPr>
          <w:bCs/>
        </w:rPr>
        <w:t xml:space="preserve"> and Odia (2015)</w:t>
      </w:r>
      <w:r w:rsidR="00DC4E25" w:rsidRPr="00955A95">
        <w:t>,</w:t>
      </w:r>
      <w:r w:rsidR="00DC4E25" w:rsidRPr="00DC4E25">
        <w:t xml:space="preserve"> who argued that the regulatory framework in Nigeria is strong on paper but weak in practice due to corruption, lack of monitoring, and limited resources for enforcement.</w:t>
      </w:r>
    </w:p>
    <w:p w14:paraId="7F2D6E3E" w14:textId="77777777" w:rsidR="00DC4E25" w:rsidRPr="00DC4E25" w:rsidRDefault="00DC4E25" w:rsidP="00955A95">
      <w:pPr>
        <w:spacing w:before="100" w:beforeAutospacing="1" w:after="100" w:afterAutospacing="1" w:line="480" w:lineRule="auto"/>
        <w:rPr>
          <w:rFonts w:ascii="Times New Roman" w:eastAsia="Times New Roman" w:hAnsi="Times New Roman" w:cs="Times New Roman"/>
          <w:sz w:val="24"/>
          <w:szCs w:val="24"/>
        </w:rPr>
      </w:pPr>
      <w:r w:rsidRPr="00DC4E25">
        <w:rPr>
          <w:rFonts w:ascii="Times New Roman" w:eastAsia="Times New Roman" w:hAnsi="Times New Roman" w:cs="Times New Roman"/>
          <w:sz w:val="24"/>
          <w:szCs w:val="24"/>
        </w:rPr>
        <w:t xml:space="preserve">Comparatively, literature from developed countries, such as the U.S. and Norway, demonstrates stronger regulatory oversight and enforcement (e.g., </w:t>
      </w:r>
      <w:proofErr w:type="spellStart"/>
      <w:r w:rsidRPr="00955A95">
        <w:rPr>
          <w:rFonts w:ascii="Times New Roman" w:eastAsia="Times New Roman" w:hAnsi="Times New Roman" w:cs="Times New Roman"/>
          <w:bCs/>
          <w:sz w:val="24"/>
          <w:szCs w:val="24"/>
        </w:rPr>
        <w:t>LeCoze</w:t>
      </w:r>
      <w:proofErr w:type="spellEnd"/>
      <w:r w:rsidRPr="00955A95">
        <w:rPr>
          <w:rFonts w:ascii="Times New Roman" w:eastAsia="Times New Roman" w:hAnsi="Times New Roman" w:cs="Times New Roman"/>
          <w:bCs/>
          <w:sz w:val="24"/>
          <w:szCs w:val="24"/>
        </w:rPr>
        <w:t>, 2016</w:t>
      </w:r>
      <w:r w:rsidRPr="00DC4E25">
        <w:rPr>
          <w:rFonts w:ascii="Times New Roman" w:eastAsia="Times New Roman" w:hAnsi="Times New Roman" w:cs="Times New Roman"/>
          <w:sz w:val="24"/>
          <w:szCs w:val="24"/>
        </w:rPr>
        <w:t xml:space="preserve">), leading to a safer operational </w:t>
      </w:r>
      <w:r w:rsidRPr="00DC4E25">
        <w:rPr>
          <w:rFonts w:ascii="Times New Roman" w:eastAsia="Times New Roman" w:hAnsi="Times New Roman" w:cs="Times New Roman"/>
          <w:sz w:val="24"/>
          <w:szCs w:val="24"/>
        </w:rPr>
        <w:lastRenderedPageBreak/>
        <w:t>environment. The gap between regulatory frameworks in Nigeria and developed countries is stark, with companies in Port Harcourt often bypassing safety protocols to reduce operational costs without facing severe repercussions.</w:t>
      </w:r>
      <w:r w:rsidR="00955A95">
        <w:rPr>
          <w:rFonts w:ascii="Times New Roman" w:eastAsia="Times New Roman" w:hAnsi="Times New Roman" w:cs="Times New Roman"/>
          <w:sz w:val="24"/>
          <w:szCs w:val="24"/>
        </w:rPr>
        <w:t xml:space="preserve"> </w:t>
      </w:r>
      <w:r w:rsidRPr="00DC4E25">
        <w:rPr>
          <w:rFonts w:ascii="Times New Roman" w:eastAsia="Times New Roman" w:hAnsi="Times New Roman" w:cs="Times New Roman"/>
          <w:sz w:val="24"/>
          <w:szCs w:val="24"/>
        </w:rPr>
        <w:t xml:space="preserve">Another critical finding is the lack of effective emergency preparedness and response mechanisms. Many downstream companies in Port Harcourt were found to have inadequate fire safety systems, insufficient first-aid equipment, and poor evacuation plans. This is supported by </w:t>
      </w:r>
      <w:r w:rsidRPr="00955A95">
        <w:rPr>
          <w:rFonts w:ascii="Times New Roman" w:eastAsia="Times New Roman" w:hAnsi="Times New Roman" w:cs="Times New Roman"/>
          <w:bCs/>
          <w:sz w:val="24"/>
          <w:szCs w:val="24"/>
        </w:rPr>
        <w:t xml:space="preserve">Toft </w:t>
      </w:r>
      <w:r w:rsidR="006A1A0A" w:rsidRPr="006A1A0A">
        <w:rPr>
          <w:rFonts w:ascii="Times New Roman" w:eastAsia="Times New Roman" w:hAnsi="Times New Roman" w:cs="Times New Roman"/>
          <w:bCs/>
          <w:i/>
          <w:sz w:val="24"/>
          <w:szCs w:val="24"/>
        </w:rPr>
        <w:t>et al</w:t>
      </w:r>
      <w:r w:rsidRPr="00955A95">
        <w:rPr>
          <w:rFonts w:ascii="Times New Roman" w:eastAsia="Times New Roman" w:hAnsi="Times New Roman" w:cs="Times New Roman"/>
          <w:bCs/>
          <w:sz w:val="24"/>
          <w:szCs w:val="24"/>
        </w:rPr>
        <w:t>. (2012)</w:t>
      </w:r>
      <w:r w:rsidRPr="00DC4E25">
        <w:rPr>
          <w:rFonts w:ascii="Times New Roman" w:eastAsia="Times New Roman" w:hAnsi="Times New Roman" w:cs="Times New Roman"/>
          <w:sz w:val="24"/>
          <w:szCs w:val="24"/>
        </w:rPr>
        <w:t>, who emphasized the importance of emergency preparedness in mitigating the impacts of safety incidents.</w:t>
      </w:r>
    </w:p>
    <w:p w14:paraId="0CEB3D48" w14:textId="77777777" w:rsidR="00DC4E25" w:rsidRPr="00DC4E25" w:rsidRDefault="00DC4E25" w:rsidP="00955A95">
      <w:pPr>
        <w:spacing w:before="100" w:beforeAutospacing="1" w:after="100" w:afterAutospacing="1" w:line="480" w:lineRule="auto"/>
        <w:rPr>
          <w:rFonts w:ascii="Times New Roman" w:eastAsia="Times New Roman" w:hAnsi="Times New Roman" w:cs="Times New Roman"/>
          <w:sz w:val="24"/>
          <w:szCs w:val="24"/>
        </w:rPr>
      </w:pPr>
      <w:r w:rsidRPr="00DC4E25">
        <w:rPr>
          <w:rFonts w:ascii="Times New Roman" w:eastAsia="Times New Roman" w:hAnsi="Times New Roman" w:cs="Times New Roman"/>
          <w:sz w:val="24"/>
          <w:szCs w:val="24"/>
        </w:rPr>
        <w:t xml:space="preserve">In contrast to the global standards, which often emphasize robust emergency systems (e.g., </w:t>
      </w:r>
      <w:r w:rsidRPr="00955A95">
        <w:rPr>
          <w:rFonts w:ascii="Times New Roman" w:eastAsia="Times New Roman" w:hAnsi="Times New Roman" w:cs="Times New Roman"/>
          <w:bCs/>
          <w:sz w:val="24"/>
          <w:szCs w:val="24"/>
        </w:rPr>
        <w:t xml:space="preserve">Hollnagel </w:t>
      </w:r>
      <w:r w:rsidR="006A1A0A" w:rsidRPr="006A1A0A">
        <w:rPr>
          <w:rFonts w:ascii="Times New Roman" w:eastAsia="Times New Roman" w:hAnsi="Times New Roman" w:cs="Times New Roman"/>
          <w:bCs/>
          <w:i/>
          <w:sz w:val="24"/>
          <w:szCs w:val="24"/>
        </w:rPr>
        <w:t>et al</w:t>
      </w:r>
      <w:r w:rsidRPr="00955A95">
        <w:rPr>
          <w:rFonts w:ascii="Times New Roman" w:eastAsia="Times New Roman" w:hAnsi="Times New Roman" w:cs="Times New Roman"/>
          <w:bCs/>
          <w:sz w:val="24"/>
          <w:szCs w:val="24"/>
        </w:rPr>
        <w:t>., 2015</w:t>
      </w:r>
      <w:r w:rsidRPr="00DC4E25">
        <w:rPr>
          <w:rFonts w:ascii="Times New Roman" w:eastAsia="Times New Roman" w:hAnsi="Times New Roman" w:cs="Times New Roman"/>
          <w:sz w:val="24"/>
          <w:szCs w:val="24"/>
        </w:rPr>
        <w:t xml:space="preserve">), the Port Harcourt context shows a clear gap in both planning and execution. This might be linked to inadequate investment in safety infrastructure, which aligns with the findings of </w:t>
      </w:r>
      <w:r w:rsidRPr="00955A95">
        <w:rPr>
          <w:rFonts w:ascii="Times New Roman" w:eastAsia="Times New Roman" w:hAnsi="Times New Roman" w:cs="Times New Roman"/>
          <w:bCs/>
          <w:sz w:val="24"/>
          <w:szCs w:val="24"/>
        </w:rPr>
        <w:t xml:space="preserve">Adebiyi </w:t>
      </w:r>
      <w:r w:rsidR="006A1A0A" w:rsidRPr="006A1A0A">
        <w:rPr>
          <w:rFonts w:ascii="Times New Roman" w:eastAsia="Times New Roman" w:hAnsi="Times New Roman" w:cs="Times New Roman"/>
          <w:bCs/>
          <w:i/>
          <w:sz w:val="24"/>
          <w:szCs w:val="24"/>
        </w:rPr>
        <w:t>et al</w:t>
      </w:r>
      <w:r w:rsidRPr="00955A95">
        <w:rPr>
          <w:rFonts w:ascii="Times New Roman" w:eastAsia="Times New Roman" w:hAnsi="Times New Roman" w:cs="Times New Roman"/>
          <w:bCs/>
          <w:sz w:val="24"/>
          <w:szCs w:val="24"/>
        </w:rPr>
        <w:t>. (2017</w:t>
      </w:r>
      <w:r w:rsidRPr="00DC4E25">
        <w:rPr>
          <w:rFonts w:ascii="Times New Roman" w:eastAsia="Times New Roman" w:hAnsi="Times New Roman" w:cs="Times New Roman"/>
          <w:b/>
          <w:bCs/>
          <w:sz w:val="24"/>
          <w:szCs w:val="24"/>
        </w:rPr>
        <w:t>)</w:t>
      </w:r>
      <w:r w:rsidRPr="00DC4E25">
        <w:rPr>
          <w:rFonts w:ascii="Times New Roman" w:eastAsia="Times New Roman" w:hAnsi="Times New Roman" w:cs="Times New Roman"/>
          <w:sz w:val="24"/>
          <w:szCs w:val="24"/>
        </w:rPr>
        <w:t xml:space="preserve"> regarding poor safety infrastructure in Nigerian industries.</w:t>
      </w:r>
    </w:p>
    <w:p w14:paraId="379AB744" w14:textId="77777777" w:rsidR="005D145A" w:rsidRPr="00340142" w:rsidRDefault="005D145A" w:rsidP="005D145A">
      <w:pPr>
        <w:spacing w:line="480" w:lineRule="auto"/>
        <w:rPr>
          <w:rFonts w:ascii="Times New Roman" w:hAnsi="Times New Roman" w:cs="Times New Roman"/>
          <w:b/>
          <w:sz w:val="24"/>
          <w:szCs w:val="24"/>
        </w:rPr>
      </w:pPr>
      <w:r w:rsidRPr="00340142">
        <w:rPr>
          <w:rFonts w:ascii="Times New Roman" w:hAnsi="Times New Roman" w:cs="Times New Roman"/>
          <w:b/>
          <w:sz w:val="24"/>
          <w:szCs w:val="24"/>
        </w:rPr>
        <w:t>Preventive measures used to prevent r</w:t>
      </w:r>
      <w:r w:rsidR="0010262D">
        <w:rPr>
          <w:rFonts w:ascii="Times New Roman" w:hAnsi="Times New Roman" w:cs="Times New Roman"/>
          <w:b/>
          <w:sz w:val="24"/>
          <w:szCs w:val="24"/>
        </w:rPr>
        <w:t>eoccurrence of incidents</w:t>
      </w:r>
      <w:r w:rsidR="00BE3EAA">
        <w:rPr>
          <w:rFonts w:ascii="Times New Roman" w:hAnsi="Times New Roman" w:cs="Times New Roman"/>
          <w:b/>
          <w:sz w:val="24"/>
          <w:szCs w:val="24"/>
        </w:rPr>
        <w:t xml:space="preserve"> </w:t>
      </w:r>
      <w:r w:rsidR="00FB15C5">
        <w:rPr>
          <w:rFonts w:ascii="Times New Roman" w:hAnsi="Times New Roman" w:cs="Times New Roman"/>
          <w:b/>
          <w:sz w:val="24"/>
          <w:szCs w:val="24"/>
        </w:rPr>
        <w:t xml:space="preserve">in </w:t>
      </w:r>
      <w:r w:rsidR="00BE3EAA" w:rsidRPr="00BE3EAA">
        <w:rPr>
          <w:rFonts w:ascii="Times New Roman" w:eastAsia="Times New Roman" w:hAnsi="Times New Roman" w:cs="Times New Roman"/>
          <w:b/>
          <w:sz w:val="24"/>
          <w:szCs w:val="24"/>
        </w:rPr>
        <w:t xml:space="preserve">Oil and Gas </w:t>
      </w:r>
      <w:r w:rsidR="00BE3EAA" w:rsidRPr="00BE3EAA">
        <w:rPr>
          <w:b/>
        </w:rPr>
        <w:t>Company</w:t>
      </w:r>
      <w:r w:rsidR="00BE3EAA" w:rsidRPr="00BE3EAA">
        <w:rPr>
          <w:rFonts w:ascii="Times New Roman" w:eastAsia="Times New Roman" w:hAnsi="Times New Roman" w:cs="Times New Roman"/>
          <w:b/>
          <w:sz w:val="24"/>
          <w:szCs w:val="24"/>
        </w:rPr>
        <w:t xml:space="preserve"> in Port Harcourt</w:t>
      </w:r>
    </w:p>
    <w:p w14:paraId="457589D0" w14:textId="77777777" w:rsidR="005D145A" w:rsidRPr="00340142" w:rsidRDefault="005D145A" w:rsidP="00802A87">
      <w:pPr>
        <w:spacing w:line="480" w:lineRule="auto"/>
        <w:rPr>
          <w:rFonts w:ascii="Times New Roman" w:hAnsi="Times New Roman" w:cs="Times New Roman"/>
          <w:sz w:val="24"/>
          <w:szCs w:val="24"/>
        </w:rPr>
      </w:pPr>
      <w:r w:rsidRPr="00340142">
        <w:rPr>
          <w:rFonts w:ascii="Times New Roman" w:hAnsi="Times New Roman" w:cs="Times New Roman"/>
          <w:sz w:val="24"/>
          <w:szCs w:val="24"/>
        </w:rPr>
        <w:t>Revealed that 54.66% of the respondents disagreed that HSE policy, automatic fire detection, firefighting equipment, HSE programs, HSE trainings, incident investigations, etc., were in place, 24.35% strongly disagreed, 12.91% strongly agreed while 8.09% agreed</w:t>
      </w:r>
      <w:r w:rsidRPr="00340142">
        <w:rPr>
          <w:rStyle w:val="hscoswrapper"/>
          <w:rFonts w:ascii="Times New Roman" w:hAnsi="Times New Roman" w:cs="Times New Roman"/>
          <w:sz w:val="24"/>
          <w:szCs w:val="24"/>
        </w:rPr>
        <w:t xml:space="preserve">. </w:t>
      </w:r>
      <w:r w:rsidRPr="00340142">
        <w:rPr>
          <w:rFonts w:ascii="Times New Roman" w:hAnsi="Times New Roman" w:cs="Times New Roman"/>
          <w:sz w:val="24"/>
          <w:szCs w:val="24"/>
        </w:rPr>
        <w:t xml:space="preserve">This finding has beneficial implications for safety management because it re-affirms safety participation and safety compliance of employees' role in influencing change, especially where effort and the right climate are encouraged. Similarly, Vinodkumar and Bhasi (2010) affirmed safety management practices as a measure of </w:t>
      </w:r>
      <w:proofErr w:type="spellStart"/>
      <w:r w:rsidRPr="00340142">
        <w:rPr>
          <w:rFonts w:ascii="Times New Roman" w:hAnsi="Times New Roman" w:cs="Times New Roman"/>
          <w:sz w:val="24"/>
          <w:szCs w:val="24"/>
        </w:rPr>
        <w:t>organisational</w:t>
      </w:r>
      <w:proofErr w:type="spellEnd"/>
      <w:r w:rsidRPr="00340142">
        <w:rPr>
          <w:rFonts w:ascii="Times New Roman" w:hAnsi="Times New Roman" w:cs="Times New Roman"/>
          <w:sz w:val="24"/>
          <w:szCs w:val="24"/>
        </w:rPr>
        <w:t xml:space="preserve"> safety culture with a direct significant relationship on employees' safety </w:t>
      </w:r>
      <w:proofErr w:type="spellStart"/>
      <w:r w:rsidRPr="00340142">
        <w:rPr>
          <w:rFonts w:ascii="Times New Roman" w:hAnsi="Times New Roman" w:cs="Times New Roman"/>
          <w:sz w:val="24"/>
          <w:szCs w:val="24"/>
        </w:rPr>
        <w:t>behaviour</w:t>
      </w:r>
      <w:proofErr w:type="spellEnd"/>
      <w:r w:rsidRPr="00340142">
        <w:rPr>
          <w:rFonts w:ascii="Times New Roman" w:hAnsi="Times New Roman" w:cs="Times New Roman"/>
          <w:sz w:val="24"/>
          <w:szCs w:val="24"/>
        </w:rPr>
        <w:t xml:space="preserve"> in eight different high-risk industries observed in India. In addition, safety management practices do not just enhance working conditions but also positively impact </w:t>
      </w:r>
      <w:r w:rsidRPr="00340142">
        <w:rPr>
          <w:rFonts w:ascii="Times New Roman" w:hAnsi="Times New Roman" w:cs="Times New Roman"/>
          <w:sz w:val="24"/>
          <w:szCs w:val="24"/>
        </w:rPr>
        <w:lastRenderedPageBreak/>
        <w:t xml:space="preserve">employee’s </w:t>
      </w:r>
      <w:proofErr w:type="spellStart"/>
      <w:r w:rsidRPr="00340142">
        <w:rPr>
          <w:rFonts w:ascii="Times New Roman" w:hAnsi="Times New Roman" w:cs="Times New Roman"/>
          <w:sz w:val="24"/>
          <w:szCs w:val="24"/>
        </w:rPr>
        <w:t>behaviour</w:t>
      </w:r>
      <w:proofErr w:type="spellEnd"/>
      <w:r w:rsidRPr="00340142">
        <w:rPr>
          <w:rFonts w:ascii="Times New Roman" w:hAnsi="Times New Roman" w:cs="Times New Roman"/>
          <w:sz w:val="24"/>
          <w:szCs w:val="24"/>
        </w:rPr>
        <w:t xml:space="preserve"> in respect to safety, thereby decreasing workplace incidents. Other previous studies also affirmed that enhanced safety culture and safety </w:t>
      </w:r>
      <w:proofErr w:type="spellStart"/>
      <w:r w:rsidRPr="00340142">
        <w:rPr>
          <w:rFonts w:ascii="Times New Roman" w:hAnsi="Times New Roman" w:cs="Times New Roman"/>
          <w:sz w:val="24"/>
          <w:szCs w:val="24"/>
        </w:rPr>
        <w:t>behaviour</w:t>
      </w:r>
      <w:proofErr w:type="spellEnd"/>
      <w:r w:rsidRPr="00340142">
        <w:rPr>
          <w:rFonts w:ascii="Times New Roman" w:hAnsi="Times New Roman" w:cs="Times New Roman"/>
          <w:sz w:val="24"/>
          <w:szCs w:val="24"/>
        </w:rPr>
        <w:t xml:space="preserve"> could serve as a precursor to </w:t>
      </w:r>
      <w:proofErr w:type="spellStart"/>
      <w:r w:rsidRPr="00340142">
        <w:rPr>
          <w:rFonts w:ascii="Times New Roman" w:hAnsi="Times New Roman" w:cs="Times New Roman"/>
          <w:sz w:val="24"/>
          <w:szCs w:val="24"/>
        </w:rPr>
        <w:t>minimising</w:t>
      </w:r>
      <w:proofErr w:type="spellEnd"/>
      <w:r w:rsidRPr="00340142">
        <w:rPr>
          <w:rFonts w:ascii="Times New Roman" w:hAnsi="Times New Roman" w:cs="Times New Roman"/>
          <w:sz w:val="24"/>
          <w:szCs w:val="24"/>
        </w:rPr>
        <w:t xml:space="preserve"> incidents among employees in the oil and gas industry (Means and Yule, 2019</w:t>
      </w:r>
      <w:bookmarkStart w:id="49" w:name="_Toc147905383"/>
      <w:r w:rsidR="00802A87" w:rsidRPr="00340142">
        <w:rPr>
          <w:rFonts w:ascii="Times New Roman" w:hAnsi="Times New Roman" w:cs="Times New Roman"/>
          <w:sz w:val="24"/>
          <w:szCs w:val="24"/>
        </w:rPr>
        <w:t>; Olsen, 2018; Nielsen, 2014).</w:t>
      </w:r>
    </w:p>
    <w:p w14:paraId="4934CFCC" w14:textId="77777777" w:rsidR="005D145A" w:rsidRPr="00340142" w:rsidRDefault="005D145A" w:rsidP="005D145A">
      <w:pPr>
        <w:pStyle w:val="Heading2"/>
        <w:spacing w:line="480" w:lineRule="auto"/>
        <w:rPr>
          <w:rFonts w:ascii="Times New Roman" w:hAnsi="Times New Roman" w:cs="Times New Roman"/>
          <w:sz w:val="24"/>
          <w:szCs w:val="24"/>
        </w:rPr>
      </w:pPr>
      <w:bookmarkStart w:id="50" w:name="_Toc176778494"/>
      <w:bookmarkEnd w:id="49"/>
      <w:r w:rsidRPr="00340142">
        <w:rPr>
          <w:rFonts w:ascii="Times New Roman" w:hAnsi="Times New Roman" w:cs="Times New Roman"/>
          <w:sz w:val="24"/>
          <w:szCs w:val="24"/>
        </w:rPr>
        <w:t>Conclusion</w:t>
      </w:r>
      <w:bookmarkEnd w:id="50"/>
    </w:p>
    <w:p w14:paraId="0A1499C8" w14:textId="77777777" w:rsidR="005D145A" w:rsidRPr="00340142" w:rsidRDefault="005D145A" w:rsidP="005D145A">
      <w:pPr>
        <w:spacing w:line="480" w:lineRule="auto"/>
        <w:rPr>
          <w:rFonts w:ascii="Times New Roman" w:hAnsi="Times New Roman" w:cs="Times New Roman"/>
          <w:b/>
          <w:sz w:val="24"/>
          <w:szCs w:val="24"/>
        </w:rPr>
      </w:pPr>
      <w:r w:rsidRPr="00340142">
        <w:rPr>
          <w:rFonts w:ascii="Times New Roman" w:hAnsi="Times New Roman" w:cs="Times New Roman"/>
          <w:sz w:val="24"/>
          <w:szCs w:val="24"/>
        </w:rPr>
        <w:t xml:space="preserve">Findings from this study indicated that workers at different levels in the Nigeria oil and gas downstream sector experienced safety incidents. </w:t>
      </w:r>
      <w:r w:rsidR="00A33B58" w:rsidRPr="00A33B58">
        <w:rPr>
          <w:rFonts w:ascii="Times New Roman" w:hAnsi="Times New Roman" w:cs="Times New Roman"/>
          <w:sz w:val="24"/>
          <w:szCs w:val="24"/>
        </w:rPr>
        <w:t xml:space="preserve">In summary, the interplay of human, organizational, and environmental factors is critical in understanding safety incidents in the oil and gas downstream sector. A comprehensive approach that integrates human factors engineering, organizational commitment to safety, and an awareness of the operational environment </w:t>
      </w:r>
      <w:r w:rsidR="00FB15C5">
        <w:rPr>
          <w:rFonts w:ascii="Times New Roman" w:hAnsi="Times New Roman" w:cs="Times New Roman"/>
          <w:sz w:val="24"/>
          <w:szCs w:val="24"/>
        </w:rPr>
        <w:t>are</w:t>
      </w:r>
      <w:r w:rsidR="00A33B58" w:rsidRPr="00A33B58">
        <w:rPr>
          <w:rFonts w:ascii="Times New Roman" w:hAnsi="Times New Roman" w:cs="Times New Roman"/>
          <w:sz w:val="24"/>
          <w:szCs w:val="24"/>
        </w:rPr>
        <w:t xml:space="preserve"> essential for enhancing safety performance and mitigating risks. This multifaceted perspective is supported by a robust body of literature, which collectively underscores the complexity of safety management in this high-risk industry.</w:t>
      </w:r>
    </w:p>
    <w:p w14:paraId="535C4ADF" w14:textId="77777777" w:rsidR="005D145A" w:rsidRPr="00340142" w:rsidRDefault="005D145A" w:rsidP="005D145A">
      <w:pPr>
        <w:pStyle w:val="Heading2"/>
        <w:spacing w:line="480" w:lineRule="auto"/>
        <w:rPr>
          <w:rFonts w:ascii="Times New Roman" w:hAnsi="Times New Roman" w:cs="Times New Roman"/>
          <w:sz w:val="24"/>
          <w:szCs w:val="24"/>
        </w:rPr>
      </w:pPr>
      <w:bookmarkStart w:id="51" w:name="_Toc176778495"/>
      <w:r w:rsidRPr="00340142">
        <w:rPr>
          <w:rFonts w:ascii="Times New Roman" w:hAnsi="Times New Roman" w:cs="Times New Roman"/>
          <w:sz w:val="24"/>
          <w:szCs w:val="24"/>
        </w:rPr>
        <w:t>Recommendations</w:t>
      </w:r>
      <w:bookmarkEnd w:id="51"/>
      <w:r w:rsidRPr="00340142">
        <w:rPr>
          <w:rFonts w:ascii="Times New Roman" w:hAnsi="Times New Roman" w:cs="Times New Roman"/>
          <w:sz w:val="24"/>
          <w:szCs w:val="24"/>
        </w:rPr>
        <w:t xml:space="preserve"> </w:t>
      </w:r>
    </w:p>
    <w:p w14:paraId="16B13637" w14:textId="77777777" w:rsidR="005D145A" w:rsidRPr="00340142" w:rsidRDefault="005D145A" w:rsidP="005D145A">
      <w:pPr>
        <w:spacing w:line="480" w:lineRule="auto"/>
        <w:rPr>
          <w:rFonts w:ascii="Times New Roman" w:hAnsi="Times New Roman" w:cs="Times New Roman"/>
          <w:sz w:val="24"/>
          <w:szCs w:val="24"/>
        </w:rPr>
      </w:pPr>
      <w:r w:rsidRPr="00340142">
        <w:rPr>
          <w:rFonts w:ascii="Times New Roman" w:hAnsi="Times New Roman" w:cs="Times New Roman"/>
          <w:sz w:val="24"/>
          <w:szCs w:val="24"/>
        </w:rPr>
        <w:t>Based on the findings of this study, the researcher recommends that for retail outlets petroleum products and gas.</w:t>
      </w:r>
    </w:p>
    <w:p w14:paraId="2779905B" w14:textId="77777777" w:rsidR="005D145A" w:rsidRPr="00340142" w:rsidRDefault="005D145A" w:rsidP="005D145A">
      <w:pPr>
        <w:pStyle w:val="ListParagraph"/>
        <w:numPr>
          <w:ilvl w:val="0"/>
          <w:numId w:val="42"/>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 xml:space="preserve">Downstream companies, especially retailers should have clearly written HSE policy visibly displayed for all workers to understand and ensure enforcement of policies by providing necessary tools. </w:t>
      </w:r>
    </w:p>
    <w:p w14:paraId="7DA3CB9F" w14:textId="77777777" w:rsidR="005D145A" w:rsidRPr="00340142" w:rsidRDefault="005D145A" w:rsidP="005D145A">
      <w:pPr>
        <w:pStyle w:val="ListParagraph"/>
        <w:numPr>
          <w:ilvl w:val="0"/>
          <w:numId w:val="42"/>
        </w:numPr>
        <w:spacing w:line="480" w:lineRule="auto"/>
        <w:ind w:hanging="720"/>
        <w:rPr>
          <w:rFonts w:ascii="Times New Roman" w:hAnsi="Times New Roman" w:cs="Times New Roman"/>
          <w:sz w:val="24"/>
          <w:szCs w:val="24"/>
        </w:rPr>
      </w:pPr>
      <w:r w:rsidRPr="00340142">
        <w:rPr>
          <w:rFonts w:ascii="Times New Roman" w:hAnsi="Times New Roman" w:cs="Times New Roman"/>
          <w:sz w:val="24"/>
          <w:szCs w:val="24"/>
        </w:rPr>
        <w:t>Truck tanker on transit and in terminals should be monitored to ensure full compliance with safety regulations. It is recommended that companies truck tanker drivers should be subjected to defensive driving training. TotalEnergies Nigeria Plc has a standard training facility in Ibadan that can provide these services to the industry.</w:t>
      </w:r>
    </w:p>
    <w:p w14:paraId="0FC7876E" w14:textId="77777777" w:rsidR="005D145A" w:rsidRPr="00340142" w:rsidRDefault="005D145A" w:rsidP="003359D7">
      <w:pPr>
        <w:rPr>
          <w:rFonts w:ascii="Times New Roman" w:hAnsi="Times New Roman" w:cs="Times New Roman"/>
          <w:b/>
          <w:sz w:val="24"/>
          <w:szCs w:val="24"/>
        </w:rPr>
      </w:pPr>
      <w:r w:rsidRPr="00340142">
        <w:rPr>
          <w:rFonts w:ascii="Times New Roman" w:hAnsi="Times New Roman" w:cs="Times New Roman"/>
          <w:b/>
          <w:sz w:val="24"/>
          <w:szCs w:val="24"/>
        </w:rPr>
        <w:lastRenderedPageBreak/>
        <w:t>REFERENCES</w:t>
      </w:r>
    </w:p>
    <w:p w14:paraId="74A33364" w14:textId="77777777" w:rsidR="00B269C9" w:rsidRDefault="00B269C9" w:rsidP="0031572D">
      <w:pPr>
        <w:pStyle w:val="NormalWeb"/>
        <w:ind w:left="900" w:hanging="900"/>
      </w:pPr>
      <w:r>
        <w:t xml:space="preserve">Babatunde, A. O., Ayodele, M. L., </w:t>
      </w:r>
      <w:proofErr w:type="spellStart"/>
      <w:r>
        <w:t>Elegebed</w:t>
      </w:r>
      <w:proofErr w:type="spellEnd"/>
      <w:r>
        <w:t xml:space="preserve">, E. O., Ojo, O. J., </w:t>
      </w:r>
      <w:proofErr w:type="spellStart"/>
      <w:r>
        <w:t>Alawaode</w:t>
      </w:r>
      <w:proofErr w:type="spellEnd"/>
      <w:r>
        <w:t xml:space="preserve">, D. A., Atoyebi, A. O., &amp; </w:t>
      </w:r>
      <w:proofErr w:type="spellStart"/>
      <w:r>
        <w:t>Aibinuonwo</w:t>
      </w:r>
      <w:proofErr w:type="spellEnd"/>
      <w:r>
        <w:t xml:space="preserve">, A. O. (2013). Practice of occupational safety among artisanal miners in a rural community in southwest Nigeria. </w:t>
      </w:r>
      <w:r>
        <w:rPr>
          <w:rStyle w:val="Emphasis"/>
          <w:rFonts w:eastAsiaTheme="majorEastAsia"/>
        </w:rPr>
        <w:t>International Journal of Science, Environment and Technology, 2</w:t>
      </w:r>
      <w:r>
        <w:t>(4), 622-633.</w:t>
      </w:r>
    </w:p>
    <w:p w14:paraId="33F77884" w14:textId="77777777" w:rsidR="00B269C9" w:rsidRDefault="00B269C9" w:rsidP="0031572D">
      <w:pPr>
        <w:pStyle w:val="NormalWeb"/>
        <w:ind w:left="900" w:hanging="900"/>
      </w:pPr>
      <w:r>
        <w:t xml:space="preserve">Ekong, A. (2023). Impact of process safety culture on employee safety motivation in selected oil and gas industries in Nigeria. </w:t>
      </w:r>
      <w:r>
        <w:rPr>
          <w:rStyle w:val="Emphasis"/>
          <w:rFonts w:eastAsiaTheme="majorEastAsia"/>
        </w:rPr>
        <w:t>Journal of Scientific Research and Reports, 29</w:t>
      </w:r>
      <w:r>
        <w:t xml:space="preserve">(12), 38-54. </w:t>
      </w:r>
      <w:hyperlink r:id="rId13" w:tgtFrame="_new" w:history="1">
        <w:r>
          <w:rPr>
            <w:rStyle w:val="Hyperlink"/>
            <w:rFonts w:eastAsiaTheme="majorEastAsia"/>
          </w:rPr>
          <w:t>https://doi.org/10.9734/jsrr/2023/v29i121816</w:t>
        </w:r>
      </w:hyperlink>
    </w:p>
    <w:p w14:paraId="37D73D17" w14:textId="77777777" w:rsidR="00B269C9" w:rsidRDefault="00B269C9" w:rsidP="0031572D">
      <w:pPr>
        <w:pStyle w:val="NormalWeb"/>
        <w:ind w:left="900" w:hanging="900"/>
      </w:pPr>
      <w:proofErr w:type="spellStart"/>
      <w:r>
        <w:t>Kashwani</w:t>
      </w:r>
      <w:proofErr w:type="spellEnd"/>
      <w:r>
        <w:t xml:space="preserve">, G. (2017). Evaluation of safety engineering system in oil and gas construction projects in UAE. </w:t>
      </w:r>
      <w:r>
        <w:rPr>
          <w:rStyle w:val="Emphasis"/>
          <w:rFonts w:eastAsiaTheme="majorEastAsia"/>
        </w:rPr>
        <w:t xml:space="preserve">International Journal of </w:t>
      </w:r>
      <w:proofErr w:type="spellStart"/>
      <w:r>
        <w:rPr>
          <w:rStyle w:val="Emphasis"/>
          <w:rFonts w:eastAsiaTheme="majorEastAsia"/>
        </w:rPr>
        <w:t>Geomate</w:t>
      </w:r>
      <w:proofErr w:type="spellEnd"/>
      <w:r>
        <w:rPr>
          <w:rStyle w:val="Emphasis"/>
          <w:rFonts w:eastAsiaTheme="majorEastAsia"/>
        </w:rPr>
        <w:t>.</w:t>
      </w:r>
      <w:r>
        <w:t xml:space="preserve"> </w:t>
      </w:r>
      <w:hyperlink r:id="rId14" w:tgtFrame="_new" w:history="1">
        <w:r>
          <w:rPr>
            <w:rStyle w:val="Hyperlink"/>
            <w:rFonts w:eastAsiaTheme="majorEastAsia"/>
          </w:rPr>
          <w:t>https://doi.org/10.21660/2017.29.97136</w:t>
        </w:r>
      </w:hyperlink>
    </w:p>
    <w:p w14:paraId="574F6CBA" w14:textId="77777777" w:rsidR="00B269C9" w:rsidRDefault="00B269C9" w:rsidP="0031572D">
      <w:pPr>
        <w:pStyle w:val="NormalWeb"/>
        <w:ind w:left="900" w:hanging="900"/>
      </w:pPr>
      <w:r>
        <w:t xml:space="preserve">Naji, G., Isha, A., </w:t>
      </w:r>
      <w:proofErr w:type="spellStart"/>
      <w:r>
        <w:t>Mohyaldinn</w:t>
      </w:r>
      <w:proofErr w:type="spellEnd"/>
      <w:r>
        <w:t xml:space="preserve">, M., Leka, S., Saleem, M., Rahman, S., ... &amp; </w:t>
      </w:r>
      <w:proofErr w:type="spellStart"/>
      <w:r>
        <w:t>Alzoraiki</w:t>
      </w:r>
      <w:proofErr w:type="spellEnd"/>
      <w:r>
        <w:t xml:space="preserve">, M. (2021). Impact of safety culture on safety performance: Mediating role of psychosocial hazard: An integrated modelling approach. </w:t>
      </w:r>
      <w:r>
        <w:rPr>
          <w:rStyle w:val="Emphasis"/>
          <w:rFonts w:eastAsiaTheme="majorEastAsia"/>
        </w:rPr>
        <w:t>International Journal of Environmental Research and Public Health, 18</w:t>
      </w:r>
      <w:r>
        <w:t xml:space="preserve">(16), 8568. </w:t>
      </w:r>
      <w:hyperlink r:id="rId15" w:tgtFrame="_new" w:history="1">
        <w:r>
          <w:rPr>
            <w:rStyle w:val="Hyperlink"/>
            <w:rFonts w:eastAsiaTheme="majorEastAsia"/>
          </w:rPr>
          <w:t>https://doi.org/10.3390/ijerph18168568</w:t>
        </w:r>
      </w:hyperlink>
    </w:p>
    <w:p w14:paraId="1D0AFF74" w14:textId="77777777" w:rsidR="00B269C9" w:rsidRDefault="00B269C9" w:rsidP="0031572D">
      <w:pPr>
        <w:pStyle w:val="NormalWeb"/>
        <w:ind w:left="900" w:hanging="900"/>
      </w:pPr>
      <w:r>
        <w:t xml:space="preserve">Okezie, E., </w:t>
      </w:r>
      <w:proofErr w:type="spellStart"/>
      <w:r>
        <w:t>Nwaogazie</w:t>
      </w:r>
      <w:proofErr w:type="spellEnd"/>
      <w:r>
        <w:t xml:space="preserve">, I., &amp; Chinemerem, P. (2023). Organizational factors and safety performance levels among local and multinational oil and gas companies in the Niger Delta region of Nigeria. </w:t>
      </w:r>
      <w:r>
        <w:rPr>
          <w:rStyle w:val="Emphasis"/>
          <w:rFonts w:eastAsiaTheme="majorEastAsia"/>
        </w:rPr>
        <w:t>Current Journal of Applied Science and Technology,</w:t>
      </w:r>
      <w:r>
        <w:t xml:space="preserve"> 50-61. </w:t>
      </w:r>
      <w:hyperlink r:id="rId16" w:tgtFrame="_new" w:history="1">
        <w:r>
          <w:rPr>
            <w:rStyle w:val="Hyperlink"/>
            <w:rFonts w:eastAsiaTheme="majorEastAsia"/>
          </w:rPr>
          <w:t>https://doi.org/10.9734/cjast/2023/v42i14047</w:t>
        </w:r>
      </w:hyperlink>
    </w:p>
    <w:p w14:paraId="49F6BD7D" w14:textId="77777777" w:rsidR="00B269C9" w:rsidRDefault="00B269C9" w:rsidP="0031572D">
      <w:pPr>
        <w:pStyle w:val="NormalWeb"/>
        <w:ind w:left="900" w:hanging="900"/>
      </w:pPr>
      <w:proofErr w:type="spellStart"/>
      <w:r>
        <w:t>Omenikolo</w:t>
      </w:r>
      <w:proofErr w:type="spellEnd"/>
      <w:r>
        <w:t xml:space="preserve">, I. A., &amp; Amadi, R. O. (2010). Challenges facing Nigerian local content in the oil and gas industry. </w:t>
      </w:r>
      <w:r>
        <w:rPr>
          <w:rStyle w:val="Emphasis"/>
          <w:rFonts w:eastAsiaTheme="majorEastAsia"/>
        </w:rPr>
        <w:t>Continental Journal of Renewable Energy, 1,</w:t>
      </w:r>
      <w:r>
        <w:t xml:space="preserve"> 15-20.</w:t>
      </w:r>
    </w:p>
    <w:p w14:paraId="19D02EAB" w14:textId="77777777" w:rsidR="00B269C9" w:rsidRDefault="00B269C9" w:rsidP="0031572D">
      <w:pPr>
        <w:pStyle w:val="NormalWeb"/>
        <w:ind w:left="900" w:hanging="900"/>
      </w:pPr>
      <w:r>
        <w:t xml:space="preserve">Oyewole, A. (2024). Human resource management strategies for safety and risk mitigation in the oil and gas industry: A review. </w:t>
      </w:r>
      <w:r>
        <w:rPr>
          <w:rStyle w:val="Emphasis"/>
          <w:rFonts w:eastAsiaTheme="majorEastAsia"/>
        </w:rPr>
        <w:t>International Journal of Management &amp; Entrepreneurship Research, 6</w:t>
      </w:r>
      <w:r>
        <w:t xml:space="preserve">(3), 623-633. </w:t>
      </w:r>
      <w:hyperlink r:id="rId17" w:tgtFrame="_new" w:history="1">
        <w:r>
          <w:rPr>
            <w:rStyle w:val="Hyperlink"/>
            <w:rFonts w:eastAsiaTheme="majorEastAsia"/>
          </w:rPr>
          <w:t>https://doi.org/10.51594/ijmer.v6i3.875</w:t>
        </w:r>
      </w:hyperlink>
    </w:p>
    <w:p w14:paraId="629B09D2" w14:textId="77777777" w:rsidR="00B269C9" w:rsidRDefault="00B269C9" w:rsidP="0031572D">
      <w:pPr>
        <w:pStyle w:val="NormalWeb"/>
        <w:ind w:left="900" w:hanging="900"/>
      </w:pPr>
      <w:r>
        <w:t xml:space="preserve">Thomas, D. (2023). Mitigating recordable incidents in Nigeria's oil &amp; gas construction industry: A human factor engineering (HFE) approach. </w:t>
      </w:r>
      <w:r>
        <w:rPr>
          <w:rStyle w:val="Emphasis"/>
          <w:rFonts w:eastAsiaTheme="majorEastAsia"/>
        </w:rPr>
        <w:t>Journal of Scientific Research and Reports, 29</w:t>
      </w:r>
      <w:r>
        <w:t xml:space="preserve">(11), 1-13. </w:t>
      </w:r>
      <w:hyperlink r:id="rId18" w:tgtFrame="_new" w:history="1">
        <w:r>
          <w:rPr>
            <w:rStyle w:val="Hyperlink"/>
            <w:rFonts w:eastAsiaTheme="majorEastAsia"/>
          </w:rPr>
          <w:t>https://doi.org/10.9734/jsrr/2023/v29i111803</w:t>
        </w:r>
      </w:hyperlink>
    </w:p>
    <w:p w14:paraId="70D4A3DD" w14:textId="77777777" w:rsidR="00B269C9" w:rsidRDefault="00B269C9" w:rsidP="0031572D">
      <w:pPr>
        <w:pStyle w:val="NormalWeb"/>
        <w:ind w:left="900" w:hanging="900"/>
      </w:pPr>
      <w:r>
        <w:t xml:space="preserve">Waqar, A. (2024). Risk evaluation of health and safety procedures in oil refinery and onshore pipeline construction projects: Structural equation modelling approach. </w:t>
      </w:r>
      <w:r>
        <w:rPr>
          <w:rStyle w:val="Emphasis"/>
          <w:rFonts w:eastAsiaTheme="majorEastAsia"/>
        </w:rPr>
        <w:t>IOP Conference Series: Earth and Environmental Science, 1347</w:t>
      </w:r>
      <w:r>
        <w:t xml:space="preserve">(1), 012034. </w:t>
      </w:r>
      <w:hyperlink r:id="rId19" w:tgtFrame="_new" w:history="1">
        <w:r>
          <w:rPr>
            <w:rStyle w:val="Hyperlink"/>
            <w:rFonts w:eastAsiaTheme="majorEastAsia"/>
          </w:rPr>
          <w:t>https://doi.org/10.1088/1755-1315/1347/1/012034</w:t>
        </w:r>
      </w:hyperlink>
    </w:p>
    <w:p w14:paraId="289F48AD" w14:textId="77777777" w:rsidR="00B269C9" w:rsidRDefault="00B269C9" w:rsidP="0031572D">
      <w:pPr>
        <w:pStyle w:val="NormalWeb"/>
        <w:ind w:left="900" w:hanging="900"/>
      </w:pPr>
      <w:r>
        <w:t xml:space="preserve">Zhang, Y., Abdullah, M., Khan, N., Javaid, M., Nazri, M., &amp; Shah, M. (2022). High safety risk assessment in the time of uncertainties (COVID-19): An industrial context. </w:t>
      </w:r>
      <w:r>
        <w:rPr>
          <w:rStyle w:val="Emphasis"/>
          <w:rFonts w:eastAsiaTheme="majorEastAsia"/>
        </w:rPr>
        <w:t>Frontiers in Psychology, 13.</w:t>
      </w:r>
      <w:r>
        <w:t xml:space="preserve"> </w:t>
      </w:r>
      <w:hyperlink r:id="rId20" w:tgtFrame="_new" w:history="1">
        <w:r>
          <w:rPr>
            <w:rStyle w:val="Hyperlink"/>
            <w:rFonts w:eastAsiaTheme="majorEastAsia"/>
          </w:rPr>
          <w:t>https://doi.org/10.3389/fpsyg.2022.834361</w:t>
        </w:r>
      </w:hyperlink>
      <w:r w:rsidR="00B71238">
        <w:t>.</w:t>
      </w:r>
    </w:p>
    <w:sectPr w:rsidR="00B269C9" w:rsidSect="005D145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FB833" w14:textId="77777777" w:rsidR="00F40AC1" w:rsidRDefault="00F40AC1">
      <w:pPr>
        <w:spacing w:after="0" w:line="240" w:lineRule="auto"/>
      </w:pPr>
      <w:r>
        <w:separator/>
      </w:r>
    </w:p>
  </w:endnote>
  <w:endnote w:type="continuationSeparator" w:id="0">
    <w:p w14:paraId="4E258E9E" w14:textId="77777777" w:rsidR="00F40AC1" w:rsidRDefault="00F4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BCA5" w14:textId="77777777" w:rsidR="00D224FF" w:rsidRDefault="00D22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51445"/>
      <w:docPartObj>
        <w:docPartGallery w:val="Page Numbers (Bottom of Page)"/>
        <w:docPartUnique/>
      </w:docPartObj>
    </w:sdtPr>
    <w:sdtEndPr>
      <w:rPr>
        <w:noProof/>
      </w:rPr>
    </w:sdtEndPr>
    <w:sdtContent>
      <w:p w14:paraId="10DE42DB" w14:textId="77777777" w:rsidR="005D145A" w:rsidRDefault="005D145A">
        <w:pPr>
          <w:pStyle w:val="Footer"/>
          <w:jc w:val="right"/>
        </w:pPr>
        <w:r>
          <w:fldChar w:fldCharType="begin"/>
        </w:r>
        <w:r>
          <w:instrText xml:space="preserve"> PAGE   \* MERGEFORMAT </w:instrText>
        </w:r>
        <w:r>
          <w:fldChar w:fldCharType="separate"/>
        </w:r>
        <w:r w:rsidR="00B11CB3">
          <w:rPr>
            <w:noProof/>
          </w:rPr>
          <w:t>2</w:t>
        </w:r>
        <w:r>
          <w:rPr>
            <w:noProof/>
          </w:rPr>
          <w:fldChar w:fldCharType="end"/>
        </w:r>
      </w:p>
    </w:sdtContent>
  </w:sdt>
  <w:p w14:paraId="39B79810" w14:textId="77777777" w:rsidR="005D145A" w:rsidRDefault="005D1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712E" w14:textId="77777777" w:rsidR="00D224FF" w:rsidRDefault="00D2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98EE1" w14:textId="77777777" w:rsidR="00F40AC1" w:rsidRDefault="00F40AC1">
      <w:pPr>
        <w:spacing w:after="0" w:line="240" w:lineRule="auto"/>
      </w:pPr>
      <w:r>
        <w:separator/>
      </w:r>
    </w:p>
  </w:footnote>
  <w:footnote w:type="continuationSeparator" w:id="0">
    <w:p w14:paraId="094C1BF5" w14:textId="77777777" w:rsidR="00F40AC1" w:rsidRDefault="00F4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03DD" w14:textId="57B81F55" w:rsidR="00D224FF" w:rsidRDefault="00D224FF">
    <w:pPr>
      <w:pStyle w:val="Header"/>
    </w:pPr>
    <w:r>
      <w:rPr>
        <w:noProof/>
      </w:rPr>
      <w:pict w14:anchorId="46056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55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6B74" w14:textId="33F7CA9C" w:rsidR="00D224FF" w:rsidRDefault="00D224FF">
    <w:pPr>
      <w:pStyle w:val="Header"/>
    </w:pPr>
    <w:r>
      <w:rPr>
        <w:noProof/>
      </w:rPr>
      <w:pict w14:anchorId="3D886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55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9347" w14:textId="21576191" w:rsidR="00D224FF" w:rsidRDefault="00D224FF">
    <w:pPr>
      <w:pStyle w:val="Header"/>
    </w:pPr>
    <w:r>
      <w:rPr>
        <w:noProof/>
      </w:rPr>
      <w:pict w14:anchorId="25289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55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FBE"/>
    <w:multiLevelType w:val="multilevel"/>
    <w:tmpl w:val="5790C2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4E5346"/>
    <w:multiLevelType w:val="hybridMultilevel"/>
    <w:tmpl w:val="F468DD7A"/>
    <w:lvl w:ilvl="0" w:tplc="31AA8D08">
      <w:start w:val="1"/>
      <w:numFmt w:val="decimal"/>
      <w:lvlText w:val="%1."/>
      <w:lvlJc w:val="left"/>
      <w:pPr>
        <w:ind w:left="7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FD38D034">
      <w:start w:val="1"/>
      <w:numFmt w:val="lowerLetter"/>
      <w:lvlText w:val="%2"/>
      <w:lvlJc w:val="left"/>
      <w:pPr>
        <w:ind w:left="10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18748304">
      <w:start w:val="1"/>
      <w:numFmt w:val="lowerRoman"/>
      <w:lvlText w:val="%3"/>
      <w:lvlJc w:val="left"/>
      <w:pPr>
        <w:ind w:left="18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AE80DDC8">
      <w:start w:val="1"/>
      <w:numFmt w:val="decimal"/>
      <w:lvlText w:val="%4"/>
      <w:lvlJc w:val="left"/>
      <w:pPr>
        <w:ind w:left="25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F7262C1A">
      <w:start w:val="1"/>
      <w:numFmt w:val="lowerLetter"/>
      <w:lvlText w:val="%5"/>
      <w:lvlJc w:val="left"/>
      <w:pPr>
        <w:ind w:left="325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39DAED90">
      <w:start w:val="1"/>
      <w:numFmt w:val="lowerRoman"/>
      <w:lvlText w:val="%6"/>
      <w:lvlJc w:val="left"/>
      <w:pPr>
        <w:ind w:left="397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6DD4CE24">
      <w:start w:val="1"/>
      <w:numFmt w:val="decimal"/>
      <w:lvlText w:val="%7"/>
      <w:lvlJc w:val="left"/>
      <w:pPr>
        <w:ind w:left="46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EBD4B14E">
      <w:start w:val="1"/>
      <w:numFmt w:val="lowerLetter"/>
      <w:lvlText w:val="%8"/>
      <w:lvlJc w:val="left"/>
      <w:pPr>
        <w:ind w:left="54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89D29E84">
      <w:start w:val="1"/>
      <w:numFmt w:val="lowerRoman"/>
      <w:lvlText w:val="%9"/>
      <w:lvlJc w:val="left"/>
      <w:pPr>
        <w:ind w:left="61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6E23343"/>
    <w:multiLevelType w:val="hybridMultilevel"/>
    <w:tmpl w:val="712040D8"/>
    <w:lvl w:ilvl="0" w:tplc="25D4779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469F1"/>
    <w:multiLevelType w:val="hybridMultilevel"/>
    <w:tmpl w:val="0018D9B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C564A"/>
    <w:multiLevelType w:val="multilevel"/>
    <w:tmpl w:val="762AB42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0A0565"/>
    <w:multiLevelType w:val="hybridMultilevel"/>
    <w:tmpl w:val="76B2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07448"/>
    <w:multiLevelType w:val="hybridMultilevel"/>
    <w:tmpl w:val="E6C471B8"/>
    <w:lvl w:ilvl="0" w:tplc="0C660720">
      <w:start w:val="1"/>
      <w:numFmt w:val="lowerRoman"/>
      <w:lvlText w:val="%1."/>
      <w:lvlJc w:val="left"/>
      <w:pPr>
        <w:ind w:left="720"/>
      </w:pPr>
      <w:rPr>
        <w:rFonts w:ascii="Times New Roman" w:eastAsiaTheme="minorHAnsi" w:hAnsi="Times New Roman" w:cs="Times New Roman"/>
        <w:b w:val="0"/>
        <w:i w:val="0"/>
        <w:strike w:val="0"/>
        <w:dstrike w:val="0"/>
        <w:color w:val="000000"/>
        <w:sz w:val="18"/>
        <w:u w:val="none" w:color="000000"/>
        <w:bdr w:val="none" w:sz="0" w:space="0" w:color="auto"/>
        <w:shd w:val="clear" w:color="auto" w:fill="auto"/>
        <w:vertAlign w:val="baseline"/>
      </w:rPr>
    </w:lvl>
    <w:lvl w:ilvl="1" w:tplc="DBBC406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8508EC54">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F2F07422">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A87AF350">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D0242C">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315C0DD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1461FA0">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C40EF5DA">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24104137"/>
    <w:multiLevelType w:val="hybridMultilevel"/>
    <w:tmpl w:val="195AFA5A"/>
    <w:lvl w:ilvl="0" w:tplc="B4687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E3CEF"/>
    <w:multiLevelType w:val="hybridMultilevel"/>
    <w:tmpl w:val="FC865852"/>
    <w:lvl w:ilvl="0" w:tplc="B1BC28E0">
      <w:start w:val="1"/>
      <w:numFmt w:val="lowerRoman"/>
      <w:lvlText w:val="%1."/>
      <w:lvlJc w:val="left"/>
      <w:pPr>
        <w:ind w:left="73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B7A27612">
      <w:start w:val="1"/>
      <w:numFmt w:val="bullet"/>
      <w:lvlText w:val="o"/>
      <w:lvlJc w:val="left"/>
      <w:pPr>
        <w:ind w:left="1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A4C0A70">
      <w:start w:val="1"/>
      <w:numFmt w:val="bullet"/>
      <w:lvlText w:val="▪"/>
      <w:lvlJc w:val="left"/>
      <w:pPr>
        <w:ind w:left="18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8CABCA">
      <w:start w:val="1"/>
      <w:numFmt w:val="bullet"/>
      <w:lvlText w:val="•"/>
      <w:lvlJc w:val="left"/>
      <w:pPr>
        <w:ind w:left="25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36B69A">
      <w:start w:val="1"/>
      <w:numFmt w:val="bullet"/>
      <w:lvlText w:val="o"/>
      <w:lvlJc w:val="left"/>
      <w:pPr>
        <w:ind w:left="3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56CB11A">
      <w:start w:val="1"/>
      <w:numFmt w:val="bullet"/>
      <w:lvlText w:val="▪"/>
      <w:lvlJc w:val="left"/>
      <w:pPr>
        <w:ind w:left="39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74266CC">
      <w:start w:val="1"/>
      <w:numFmt w:val="bullet"/>
      <w:lvlText w:val="•"/>
      <w:lvlJc w:val="left"/>
      <w:pPr>
        <w:ind w:left="4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F7C60AC">
      <w:start w:val="1"/>
      <w:numFmt w:val="bullet"/>
      <w:lvlText w:val="o"/>
      <w:lvlJc w:val="left"/>
      <w:pPr>
        <w:ind w:left="5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E63F94">
      <w:start w:val="1"/>
      <w:numFmt w:val="bullet"/>
      <w:lvlText w:val="▪"/>
      <w:lvlJc w:val="left"/>
      <w:pPr>
        <w:ind w:left="6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E856F96"/>
    <w:multiLevelType w:val="hybridMultilevel"/>
    <w:tmpl w:val="FAC2AB46"/>
    <w:lvl w:ilvl="0" w:tplc="2E46C0FC">
      <w:start w:val="1"/>
      <w:numFmt w:val="lowerRoman"/>
      <w:lvlText w:val="%1."/>
      <w:lvlJc w:val="left"/>
      <w:pPr>
        <w:ind w:left="73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E4DA24F8">
      <w:start w:val="1"/>
      <w:numFmt w:val="bullet"/>
      <w:lvlText w:val="o"/>
      <w:lvlJc w:val="left"/>
      <w:pPr>
        <w:ind w:left="1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D381ED4">
      <w:start w:val="1"/>
      <w:numFmt w:val="bullet"/>
      <w:lvlText w:val="▪"/>
      <w:lvlJc w:val="left"/>
      <w:pPr>
        <w:ind w:left="18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B888528">
      <w:start w:val="1"/>
      <w:numFmt w:val="bullet"/>
      <w:lvlText w:val="•"/>
      <w:lvlJc w:val="left"/>
      <w:pPr>
        <w:ind w:left="25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AD6F538">
      <w:start w:val="1"/>
      <w:numFmt w:val="bullet"/>
      <w:lvlText w:val="o"/>
      <w:lvlJc w:val="left"/>
      <w:pPr>
        <w:ind w:left="3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C0C0CDA">
      <w:start w:val="1"/>
      <w:numFmt w:val="bullet"/>
      <w:lvlText w:val="▪"/>
      <w:lvlJc w:val="left"/>
      <w:pPr>
        <w:ind w:left="39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41C2412">
      <w:start w:val="1"/>
      <w:numFmt w:val="bullet"/>
      <w:lvlText w:val="•"/>
      <w:lvlJc w:val="left"/>
      <w:pPr>
        <w:ind w:left="4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5CD084">
      <w:start w:val="1"/>
      <w:numFmt w:val="bullet"/>
      <w:lvlText w:val="o"/>
      <w:lvlJc w:val="left"/>
      <w:pPr>
        <w:ind w:left="5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DDA6A8E">
      <w:start w:val="1"/>
      <w:numFmt w:val="bullet"/>
      <w:lvlText w:val="▪"/>
      <w:lvlJc w:val="left"/>
      <w:pPr>
        <w:ind w:left="6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347A6BE9"/>
    <w:multiLevelType w:val="hybridMultilevel"/>
    <w:tmpl w:val="89EA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6169"/>
    <w:multiLevelType w:val="hybridMultilevel"/>
    <w:tmpl w:val="81BEFE40"/>
    <w:lvl w:ilvl="0" w:tplc="8D1A9A50">
      <w:start w:val="1"/>
      <w:numFmt w:val="decimal"/>
      <w:lvlText w:val="%1."/>
      <w:lvlJc w:val="left"/>
      <w:pPr>
        <w:ind w:left="2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55B42DDA">
      <w:start w:val="1"/>
      <w:numFmt w:val="lowerLetter"/>
      <w:lvlText w:val="%2"/>
      <w:lvlJc w:val="left"/>
      <w:pPr>
        <w:ind w:left="10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84961018">
      <w:start w:val="1"/>
      <w:numFmt w:val="lowerRoman"/>
      <w:lvlText w:val="%3"/>
      <w:lvlJc w:val="left"/>
      <w:pPr>
        <w:ind w:left="18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A4F60998">
      <w:start w:val="1"/>
      <w:numFmt w:val="decimal"/>
      <w:lvlText w:val="%4"/>
      <w:lvlJc w:val="left"/>
      <w:pPr>
        <w:ind w:left="25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8738E3B6">
      <w:start w:val="1"/>
      <w:numFmt w:val="lowerLetter"/>
      <w:lvlText w:val="%5"/>
      <w:lvlJc w:val="left"/>
      <w:pPr>
        <w:ind w:left="325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68EEE490">
      <w:start w:val="1"/>
      <w:numFmt w:val="lowerRoman"/>
      <w:lvlText w:val="%6"/>
      <w:lvlJc w:val="left"/>
      <w:pPr>
        <w:ind w:left="397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037857B2">
      <w:start w:val="1"/>
      <w:numFmt w:val="decimal"/>
      <w:lvlText w:val="%7"/>
      <w:lvlJc w:val="left"/>
      <w:pPr>
        <w:ind w:left="46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AFBEBB24">
      <w:start w:val="1"/>
      <w:numFmt w:val="lowerLetter"/>
      <w:lvlText w:val="%8"/>
      <w:lvlJc w:val="left"/>
      <w:pPr>
        <w:ind w:left="54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F698EBA8">
      <w:start w:val="1"/>
      <w:numFmt w:val="lowerRoman"/>
      <w:lvlText w:val="%9"/>
      <w:lvlJc w:val="left"/>
      <w:pPr>
        <w:ind w:left="61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3AA9230E"/>
    <w:multiLevelType w:val="hybridMultilevel"/>
    <w:tmpl w:val="2F9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171A5"/>
    <w:multiLevelType w:val="hybridMultilevel"/>
    <w:tmpl w:val="88629D24"/>
    <w:lvl w:ilvl="0" w:tplc="0276A474">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307EA"/>
    <w:multiLevelType w:val="hybridMultilevel"/>
    <w:tmpl w:val="B2D6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2851"/>
    <w:multiLevelType w:val="hybridMultilevel"/>
    <w:tmpl w:val="9762FEB2"/>
    <w:lvl w:ilvl="0" w:tplc="7F3EE4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3065"/>
    <w:multiLevelType w:val="multilevel"/>
    <w:tmpl w:val="845C3F3C"/>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DC41E9"/>
    <w:multiLevelType w:val="hybridMultilevel"/>
    <w:tmpl w:val="EC4C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B486B"/>
    <w:multiLevelType w:val="hybridMultilevel"/>
    <w:tmpl w:val="1E4CBF70"/>
    <w:lvl w:ilvl="0" w:tplc="9ED86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75956"/>
    <w:multiLevelType w:val="hybridMultilevel"/>
    <w:tmpl w:val="8EBC5FC8"/>
    <w:lvl w:ilvl="0" w:tplc="26D652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56C23"/>
    <w:multiLevelType w:val="hybridMultilevel"/>
    <w:tmpl w:val="935CA36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C72FA"/>
    <w:multiLevelType w:val="hybridMultilevel"/>
    <w:tmpl w:val="EFBEF2BC"/>
    <w:lvl w:ilvl="0" w:tplc="43045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E6583"/>
    <w:multiLevelType w:val="hybridMultilevel"/>
    <w:tmpl w:val="11F2C832"/>
    <w:lvl w:ilvl="0" w:tplc="D2A46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B7968"/>
    <w:multiLevelType w:val="hybridMultilevel"/>
    <w:tmpl w:val="4ABEDDD4"/>
    <w:lvl w:ilvl="0" w:tplc="CA301828">
      <w:start w:val="1"/>
      <w:numFmt w:val="decimal"/>
      <w:lvlText w:val="%1."/>
      <w:lvlJc w:val="left"/>
      <w:pPr>
        <w:ind w:left="1080" w:hanging="72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10022"/>
    <w:multiLevelType w:val="hybridMultilevel"/>
    <w:tmpl w:val="8702E522"/>
    <w:lvl w:ilvl="0" w:tplc="D38AF700">
      <w:start w:val="1"/>
      <w:numFmt w:val="decimal"/>
      <w:lvlText w:val="%1."/>
      <w:lvlJc w:val="left"/>
      <w:pPr>
        <w:ind w:left="2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1" w:tplc="41C0CC30">
      <w:start w:val="1"/>
      <w:numFmt w:val="lowerLetter"/>
      <w:lvlText w:val="%2"/>
      <w:lvlJc w:val="left"/>
      <w:pPr>
        <w:ind w:left="10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2" w:tplc="C74C5D68">
      <w:start w:val="1"/>
      <w:numFmt w:val="lowerRoman"/>
      <w:lvlText w:val="%3"/>
      <w:lvlJc w:val="left"/>
      <w:pPr>
        <w:ind w:left="18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3" w:tplc="DEEE104C">
      <w:start w:val="1"/>
      <w:numFmt w:val="decimal"/>
      <w:lvlText w:val="%4"/>
      <w:lvlJc w:val="left"/>
      <w:pPr>
        <w:ind w:left="25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4" w:tplc="AF32A75A">
      <w:start w:val="1"/>
      <w:numFmt w:val="lowerLetter"/>
      <w:lvlText w:val="%5"/>
      <w:lvlJc w:val="left"/>
      <w:pPr>
        <w:ind w:left="325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5" w:tplc="CCF21A0C">
      <w:start w:val="1"/>
      <w:numFmt w:val="lowerRoman"/>
      <w:lvlText w:val="%6"/>
      <w:lvlJc w:val="left"/>
      <w:pPr>
        <w:ind w:left="397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6" w:tplc="A6E2D7C8">
      <w:start w:val="1"/>
      <w:numFmt w:val="decimal"/>
      <w:lvlText w:val="%7"/>
      <w:lvlJc w:val="left"/>
      <w:pPr>
        <w:ind w:left="469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7" w:tplc="8E584622">
      <w:start w:val="1"/>
      <w:numFmt w:val="lowerLetter"/>
      <w:lvlText w:val="%8"/>
      <w:lvlJc w:val="left"/>
      <w:pPr>
        <w:ind w:left="541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lvl w:ilvl="8" w:tplc="F0EE968E">
      <w:start w:val="1"/>
      <w:numFmt w:val="lowerRoman"/>
      <w:lvlText w:val="%9"/>
      <w:lvlJc w:val="left"/>
      <w:pPr>
        <w:ind w:left="6131"/>
      </w:pPr>
      <w:rPr>
        <w:rFonts w:ascii="Calibri" w:eastAsia="Calibri" w:hAnsi="Calibri" w:cs="Calibri"/>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551F3B63"/>
    <w:multiLevelType w:val="hybridMultilevel"/>
    <w:tmpl w:val="E3245F0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5B7"/>
    <w:multiLevelType w:val="hybridMultilevel"/>
    <w:tmpl w:val="83246F3E"/>
    <w:lvl w:ilvl="0" w:tplc="79F41A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142A1"/>
    <w:multiLevelType w:val="hybridMultilevel"/>
    <w:tmpl w:val="9B4C4AFC"/>
    <w:lvl w:ilvl="0" w:tplc="0409001B">
      <w:start w:val="1"/>
      <w:numFmt w:val="lowerRoman"/>
      <w:lvlText w:val="%1."/>
      <w:lvlJc w:val="righ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704E"/>
    <w:multiLevelType w:val="hybridMultilevel"/>
    <w:tmpl w:val="6312488C"/>
    <w:lvl w:ilvl="0" w:tplc="896685F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9ADA94">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42C234">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CFEE80A">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92703A">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845292">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E02172">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8ECA8A">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8642C4">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16477A9"/>
    <w:multiLevelType w:val="hybridMultilevel"/>
    <w:tmpl w:val="D32A77F4"/>
    <w:lvl w:ilvl="0" w:tplc="417A541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0674AC">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C34A276">
      <w:start w:val="1"/>
      <w:numFmt w:val="bullet"/>
      <w:lvlText w:val="▪"/>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59C21F0">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BD8D494">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622B400">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8806F0C">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C46C796">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FF68B20">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622626AD"/>
    <w:multiLevelType w:val="hybridMultilevel"/>
    <w:tmpl w:val="67B4C302"/>
    <w:lvl w:ilvl="0" w:tplc="1188CD74">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31" w15:restartNumberingAfterBreak="0">
    <w:nsid w:val="651D54FF"/>
    <w:multiLevelType w:val="hybridMultilevel"/>
    <w:tmpl w:val="DBB080A2"/>
    <w:lvl w:ilvl="0" w:tplc="C2049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D7F55"/>
    <w:multiLevelType w:val="hybridMultilevel"/>
    <w:tmpl w:val="555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5633B"/>
    <w:multiLevelType w:val="hybridMultilevel"/>
    <w:tmpl w:val="29E0CE28"/>
    <w:lvl w:ilvl="0" w:tplc="C2BEA352">
      <w:start w:val="1"/>
      <w:numFmt w:val="lowerRoman"/>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344387"/>
    <w:multiLevelType w:val="hybridMultilevel"/>
    <w:tmpl w:val="C0CE2726"/>
    <w:lvl w:ilvl="0" w:tplc="516C2D12">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73C7592">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F1E33A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D744BB4">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BE28690">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DFACAC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8328A0A">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E1298BC">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BDAC4E2">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C9C7739"/>
    <w:multiLevelType w:val="hybridMultilevel"/>
    <w:tmpl w:val="14C422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35D54"/>
    <w:multiLevelType w:val="hybridMultilevel"/>
    <w:tmpl w:val="4A02B33C"/>
    <w:lvl w:ilvl="0" w:tplc="B3E6221E">
      <w:start w:val="1"/>
      <w:numFmt w:val="decimal"/>
      <w:lvlText w:val="%1."/>
      <w:lvlJc w:val="left"/>
      <w:pPr>
        <w:ind w:left="0"/>
      </w:pPr>
      <w:rPr>
        <w:rFonts w:ascii="Times New Roman" w:eastAsiaTheme="minorEastAsia" w:hAnsi="Times New Roman" w:cs="Times New Roman"/>
        <w:b w:val="0"/>
        <w:i w:val="0"/>
        <w:strike w:val="0"/>
        <w:dstrike w:val="0"/>
        <w:color w:val="000000"/>
        <w:sz w:val="24"/>
        <w:u w:val="none" w:color="000000"/>
        <w:bdr w:val="none" w:sz="0" w:space="0" w:color="auto"/>
        <w:shd w:val="clear" w:color="auto" w:fill="auto"/>
        <w:vertAlign w:val="baseline"/>
      </w:rPr>
    </w:lvl>
    <w:lvl w:ilvl="1" w:tplc="021A0562">
      <w:start w:val="1"/>
      <w:numFmt w:val="bullet"/>
      <w:lvlText w:val="o"/>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34A0E0E">
      <w:start w:val="1"/>
      <w:numFmt w:val="bullet"/>
      <w:lvlText w:val="▪"/>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A7C49FE">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E52A956">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46000B8">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C202A3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3FA113C">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DF44E58">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722D7F43"/>
    <w:multiLevelType w:val="hybridMultilevel"/>
    <w:tmpl w:val="71A8D864"/>
    <w:lvl w:ilvl="0" w:tplc="039C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720D7"/>
    <w:multiLevelType w:val="hybridMultilevel"/>
    <w:tmpl w:val="AEFCA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52CED"/>
    <w:multiLevelType w:val="hybridMultilevel"/>
    <w:tmpl w:val="7A823CEC"/>
    <w:lvl w:ilvl="0" w:tplc="0409001B">
      <w:start w:val="1"/>
      <w:numFmt w:val="lowerRoman"/>
      <w:lvlText w:val="%1."/>
      <w:lvlJc w:val="right"/>
      <w:pPr>
        <w:ind w:left="720"/>
      </w:pPr>
      <w:rPr>
        <w:b w:val="0"/>
        <w:i w:val="0"/>
        <w:strike w:val="0"/>
        <w:dstrike w:val="0"/>
        <w:color w:val="000000"/>
        <w:sz w:val="24"/>
        <w:u w:val="none" w:color="000000"/>
        <w:bdr w:val="none" w:sz="0" w:space="0" w:color="auto"/>
        <w:shd w:val="clear" w:color="auto" w:fill="auto"/>
        <w:vertAlign w:val="baseline"/>
      </w:rPr>
    </w:lvl>
    <w:lvl w:ilvl="1" w:tplc="873C7592">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F1E33A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D744BB4">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BE28690">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DFACAC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8328A0A">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E1298BC">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BDAC4E2">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5A7464F"/>
    <w:multiLevelType w:val="hybridMultilevel"/>
    <w:tmpl w:val="8FB0E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81D77"/>
    <w:multiLevelType w:val="hybridMultilevel"/>
    <w:tmpl w:val="D0B2F990"/>
    <w:lvl w:ilvl="0" w:tplc="AFE0BB1E">
      <w:start w:val="1"/>
      <w:numFmt w:val="lowerRoman"/>
      <w:lvlText w:val="%1."/>
      <w:lvlJc w:val="left"/>
      <w:pPr>
        <w:ind w:left="1003"/>
      </w:pPr>
      <w:rPr>
        <w:rFonts w:ascii="Times New Roman" w:eastAsiaTheme="minorHAnsi" w:hAnsi="Times New Roman" w:cs="Times New Roman"/>
        <w:b w:val="0"/>
        <w:i w:val="0"/>
        <w:strike w:val="0"/>
        <w:dstrike w:val="0"/>
        <w:color w:val="000000"/>
        <w:sz w:val="20"/>
        <w:u w:val="none" w:color="000000"/>
        <w:bdr w:val="none" w:sz="0" w:space="0" w:color="auto"/>
        <w:shd w:val="clear" w:color="auto" w:fill="auto"/>
        <w:vertAlign w:val="baseline"/>
      </w:rPr>
    </w:lvl>
    <w:lvl w:ilvl="1" w:tplc="25B29CB6">
      <w:start w:val="1"/>
      <w:numFmt w:val="bullet"/>
      <w:lvlText w:val="o"/>
      <w:lvlJc w:val="left"/>
      <w:pPr>
        <w:ind w:left="17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158B558">
      <w:start w:val="1"/>
      <w:numFmt w:val="bullet"/>
      <w:lvlText w:val="▪"/>
      <w:lvlJc w:val="left"/>
      <w:pPr>
        <w:ind w:left="24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4C06B2C">
      <w:start w:val="1"/>
      <w:numFmt w:val="bullet"/>
      <w:lvlText w:val="•"/>
      <w:lvlJc w:val="left"/>
      <w:pPr>
        <w:ind w:left="31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AD6F7E2">
      <w:start w:val="1"/>
      <w:numFmt w:val="bullet"/>
      <w:lvlText w:val="o"/>
      <w:lvlJc w:val="left"/>
      <w:pPr>
        <w:ind w:left="38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A3E4408">
      <w:start w:val="1"/>
      <w:numFmt w:val="bullet"/>
      <w:lvlText w:val="▪"/>
      <w:lvlJc w:val="left"/>
      <w:pPr>
        <w:ind w:left="46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78A7A94">
      <w:start w:val="1"/>
      <w:numFmt w:val="bullet"/>
      <w:lvlText w:val="•"/>
      <w:lvlJc w:val="left"/>
      <w:pPr>
        <w:ind w:left="53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0BC1616">
      <w:start w:val="1"/>
      <w:numFmt w:val="bullet"/>
      <w:lvlText w:val="o"/>
      <w:lvlJc w:val="left"/>
      <w:pPr>
        <w:ind w:left="60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BA82D00">
      <w:start w:val="1"/>
      <w:numFmt w:val="bullet"/>
      <w:lvlText w:val="▪"/>
      <w:lvlJc w:val="left"/>
      <w:pPr>
        <w:ind w:left="67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76AB61BA"/>
    <w:multiLevelType w:val="hybridMultilevel"/>
    <w:tmpl w:val="19C854AC"/>
    <w:lvl w:ilvl="0" w:tplc="C2BEA352">
      <w:start w:val="1"/>
      <w:numFmt w:val="lowerRoman"/>
      <w:lvlText w:val="%1."/>
      <w:lvlJc w:val="left"/>
      <w:pPr>
        <w:ind w:left="1080" w:hanging="72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C452E"/>
    <w:multiLevelType w:val="hybridMultilevel"/>
    <w:tmpl w:val="3FB0CCDA"/>
    <w:lvl w:ilvl="0" w:tplc="3CB0B532">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D22AA"/>
    <w:multiLevelType w:val="hybridMultilevel"/>
    <w:tmpl w:val="B0D8E416"/>
    <w:lvl w:ilvl="0" w:tplc="AC56010E">
      <w:start w:val="1"/>
      <w:numFmt w:val="lowerRoman"/>
      <w:lvlText w:val="%1."/>
      <w:lvlJc w:val="left"/>
      <w:pPr>
        <w:ind w:left="731"/>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1" w:tplc="869E03CE">
      <w:start w:val="1"/>
      <w:numFmt w:val="bullet"/>
      <w:lvlText w:val="o"/>
      <w:lvlJc w:val="left"/>
      <w:pPr>
        <w:ind w:left="1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EF0E618">
      <w:start w:val="1"/>
      <w:numFmt w:val="bullet"/>
      <w:lvlText w:val="▪"/>
      <w:lvlJc w:val="left"/>
      <w:pPr>
        <w:ind w:left="18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DD6916A">
      <w:start w:val="1"/>
      <w:numFmt w:val="bullet"/>
      <w:lvlText w:val="•"/>
      <w:lvlJc w:val="left"/>
      <w:pPr>
        <w:ind w:left="253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0AE9CA">
      <w:start w:val="1"/>
      <w:numFmt w:val="bullet"/>
      <w:lvlText w:val="o"/>
      <w:lvlJc w:val="left"/>
      <w:pPr>
        <w:ind w:left="32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9D8CB9A">
      <w:start w:val="1"/>
      <w:numFmt w:val="bullet"/>
      <w:lvlText w:val="▪"/>
      <w:lvlJc w:val="left"/>
      <w:pPr>
        <w:ind w:left="39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1540CF0">
      <w:start w:val="1"/>
      <w:numFmt w:val="bullet"/>
      <w:lvlText w:val="•"/>
      <w:lvlJc w:val="left"/>
      <w:pPr>
        <w:ind w:left="46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F66CA22">
      <w:start w:val="1"/>
      <w:numFmt w:val="bullet"/>
      <w:lvlText w:val="o"/>
      <w:lvlJc w:val="left"/>
      <w:pPr>
        <w:ind w:left="54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90872F2">
      <w:start w:val="1"/>
      <w:numFmt w:val="bullet"/>
      <w:lvlText w:val="▪"/>
      <w:lvlJc w:val="left"/>
      <w:pPr>
        <w:ind w:left="61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7A2409E0"/>
    <w:multiLevelType w:val="hybridMultilevel"/>
    <w:tmpl w:val="04A0CE54"/>
    <w:lvl w:ilvl="0" w:tplc="241C9DBA">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E2C3EAE">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90E8406">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B1690F6">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9D874CC">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B727FD4">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86C21FC">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A6EE61E">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832E2BC">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7C786C5B"/>
    <w:multiLevelType w:val="multilevel"/>
    <w:tmpl w:val="3A484C36"/>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6995942">
    <w:abstractNumId w:val="40"/>
  </w:num>
  <w:num w:numId="2" w16cid:durableId="476382064">
    <w:abstractNumId w:val="18"/>
  </w:num>
  <w:num w:numId="3" w16cid:durableId="2137872593">
    <w:abstractNumId w:val="31"/>
  </w:num>
  <w:num w:numId="4" w16cid:durableId="649406181">
    <w:abstractNumId w:val="42"/>
  </w:num>
  <w:num w:numId="5" w16cid:durableId="874387211">
    <w:abstractNumId w:val="32"/>
  </w:num>
  <w:num w:numId="6" w16cid:durableId="1181041939">
    <w:abstractNumId w:val="43"/>
  </w:num>
  <w:num w:numId="7" w16cid:durableId="2024236804">
    <w:abstractNumId w:val="12"/>
  </w:num>
  <w:num w:numId="8" w16cid:durableId="604775047">
    <w:abstractNumId w:val="13"/>
  </w:num>
  <w:num w:numId="9" w16cid:durableId="1235241599">
    <w:abstractNumId w:val="22"/>
  </w:num>
  <w:num w:numId="10" w16cid:durableId="1997031603">
    <w:abstractNumId w:val="10"/>
  </w:num>
  <w:num w:numId="11" w16cid:durableId="533613715">
    <w:abstractNumId w:val="46"/>
  </w:num>
  <w:num w:numId="12" w16cid:durableId="1648129661">
    <w:abstractNumId w:val="0"/>
  </w:num>
  <w:num w:numId="13" w16cid:durableId="695079885">
    <w:abstractNumId w:val="38"/>
  </w:num>
  <w:num w:numId="14" w16cid:durableId="1066342540">
    <w:abstractNumId w:val="25"/>
  </w:num>
  <w:num w:numId="15" w16cid:durableId="1331526541">
    <w:abstractNumId w:val="35"/>
  </w:num>
  <w:num w:numId="16" w16cid:durableId="1467821273">
    <w:abstractNumId w:val="8"/>
  </w:num>
  <w:num w:numId="17" w16cid:durableId="844171953">
    <w:abstractNumId w:val="9"/>
  </w:num>
  <w:num w:numId="18" w16cid:durableId="945161353">
    <w:abstractNumId w:val="6"/>
  </w:num>
  <w:num w:numId="19" w16cid:durableId="1271738577">
    <w:abstractNumId w:val="26"/>
  </w:num>
  <w:num w:numId="20" w16cid:durableId="1973712123">
    <w:abstractNumId w:val="29"/>
  </w:num>
  <w:num w:numId="21" w16cid:durableId="1512914828">
    <w:abstractNumId w:val="28"/>
  </w:num>
  <w:num w:numId="22" w16cid:durableId="113670469">
    <w:abstractNumId w:val="36"/>
  </w:num>
  <w:num w:numId="23" w16cid:durableId="862209151">
    <w:abstractNumId w:val="45"/>
  </w:num>
  <w:num w:numId="24" w16cid:durableId="1489980743">
    <w:abstractNumId w:val="41"/>
  </w:num>
  <w:num w:numId="25" w16cid:durableId="252208199">
    <w:abstractNumId w:val="34"/>
  </w:num>
  <w:num w:numId="26" w16cid:durableId="1804616100">
    <w:abstractNumId w:val="44"/>
  </w:num>
  <w:num w:numId="27" w16cid:durableId="1821191772">
    <w:abstractNumId w:val="1"/>
  </w:num>
  <w:num w:numId="28" w16cid:durableId="1986928339">
    <w:abstractNumId w:val="24"/>
  </w:num>
  <w:num w:numId="29" w16cid:durableId="674265768">
    <w:abstractNumId w:val="11"/>
  </w:num>
  <w:num w:numId="30" w16cid:durableId="272247169">
    <w:abstractNumId w:val="23"/>
  </w:num>
  <w:num w:numId="31" w16cid:durableId="914975716">
    <w:abstractNumId w:val="17"/>
  </w:num>
  <w:num w:numId="32" w16cid:durableId="8485545">
    <w:abstractNumId w:val="30"/>
  </w:num>
  <w:num w:numId="33" w16cid:durableId="320277873">
    <w:abstractNumId w:val="19"/>
  </w:num>
  <w:num w:numId="34" w16cid:durableId="1845244977">
    <w:abstractNumId w:val="21"/>
  </w:num>
  <w:num w:numId="35" w16cid:durableId="883326298">
    <w:abstractNumId w:val="2"/>
  </w:num>
  <w:num w:numId="36" w16cid:durableId="2007437755">
    <w:abstractNumId w:val="14"/>
  </w:num>
  <w:num w:numId="37" w16cid:durableId="2031569142">
    <w:abstractNumId w:val="33"/>
  </w:num>
  <w:num w:numId="38" w16cid:durableId="6907060">
    <w:abstractNumId w:val="4"/>
  </w:num>
  <w:num w:numId="39" w16cid:durableId="769014028">
    <w:abstractNumId w:val="27"/>
  </w:num>
  <w:num w:numId="40" w16cid:durableId="1045331349">
    <w:abstractNumId w:val="39"/>
  </w:num>
  <w:num w:numId="41" w16cid:durableId="1189416726">
    <w:abstractNumId w:val="7"/>
  </w:num>
  <w:num w:numId="42" w16cid:durableId="1511329301">
    <w:abstractNumId w:val="37"/>
  </w:num>
  <w:num w:numId="43" w16cid:durableId="1483160728">
    <w:abstractNumId w:val="15"/>
  </w:num>
  <w:num w:numId="44" w16cid:durableId="30419587">
    <w:abstractNumId w:val="3"/>
  </w:num>
  <w:num w:numId="45" w16cid:durableId="1244030193">
    <w:abstractNumId w:val="20"/>
  </w:num>
  <w:num w:numId="46" w16cid:durableId="2017539074">
    <w:abstractNumId w:val="5"/>
  </w:num>
  <w:num w:numId="47" w16cid:durableId="566190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5A"/>
    <w:rsid w:val="0002746A"/>
    <w:rsid w:val="00066078"/>
    <w:rsid w:val="00077BE9"/>
    <w:rsid w:val="00077F15"/>
    <w:rsid w:val="00094867"/>
    <w:rsid w:val="0010262D"/>
    <w:rsid w:val="00114D55"/>
    <w:rsid w:val="00130CC2"/>
    <w:rsid w:val="00151FA7"/>
    <w:rsid w:val="001A0785"/>
    <w:rsid w:val="001D2533"/>
    <w:rsid w:val="002004D5"/>
    <w:rsid w:val="00264186"/>
    <w:rsid w:val="00295937"/>
    <w:rsid w:val="002E154D"/>
    <w:rsid w:val="002E5897"/>
    <w:rsid w:val="002F39A7"/>
    <w:rsid w:val="00307963"/>
    <w:rsid w:val="0031572D"/>
    <w:rsid w:val="00322864"/>
    <w:rsid w:val="00324E50"/>
    <w:rsid w:val="00325E3F"/>
    <w:rsid w:val="003330CA"/>
    <w:rsid w:val="003359D7"/>
    <w:rsid w:val="00337A4D"/>
    <w:rsid w:val="00340142"/>
    <w:rsid w:val="003939D1"/>
    <w:rsid w:val="003D23DA"/>
    <w:rsid w:val="003D2C11"/>
    <w:rsid w:val="003F2D14"/>
    <w:rsid w:val="003F4454"/>
    <w:rsid w:val="00436148"/>
    <w:rsid w:val="00464C11"/>
    <w:rsid w:val="004777B6"/>
    <w:rsid w:val="004A3C3A"/>
    <w:rsid w:val="004A7B4B"/>
    <w:rsid w:val="004E4443"/>
    <w:rsid w:val="004F4FBC"/>
    <w:rsid w:val="00556D2A"/>
    <w:rsid w:val="005714EB"/>
    <w:rsid w:val="005765F3"/>
    <w:rsid w:val="005C5186"/>
    <w:rsid w:val="005D145A"/>
    <w:rsid w:val="005E7FA8"/>
    <w:rsid w:val="0064316B"/>
    <w:rsid w:val="006615E2"/>
    <w:rsid w:val="006A1A0A"/>
    <w:rsid w:val="0074691F"/>
    <w:rsid w:val="0076338C"/>
    <w:rsid w:val="007B60B7"/>
    <w:rsid w:val="007D5139"/>
    <w:rsid w:val="00802A87"/>
    <w:rsid w:val="008D3A55"/>
    <w:rsid w:val="00902902"/>
    <w:rsid w:val="00946179"/>
    <w:rsid w:val="00955A95"/>
    <w:rsid w:val="00962119"/>
    <w:rsid w:val="00963872"/>
    <w:rsid w:val="00982674"/>
    <w:rsid w:val="009B1447"/>
    <w:rsid w:val="009B19BF"/>
    <w:rsid w:val="00A255DB"/>
    <w:rsid w:val="00A33B58"/>
    <w:rsid w:val="00A408DB"/>
    <w:rsid w:val="00A517C4"/>
    <w:rsid w:val="00A542CF"/>
    <w:rsid w:val="00A75244"/>
    <w:rsid w:val="00A964D5"/>
    <w:rsid w:val="00AC5EDF"/>
    <w:rsid w:val="00AD22A8"/>
    <w:rsid w:val="00AD3907"/>
    <w:rsid w:val="00AF54B8"/>
    <w:rsid w:val="00B01ECC"/>
    <w:rsid w:val="00B031C5"/>
    <w:rsid w:val="00B11CB3"/>
    <w:rsid w:val="00B1251D"/>
    <w:rsid w:val="00B236A6"/>
    <w:rsid w:val="00B269C9"/>
    <w:rsid w:val="00B453D9"/>
    <w:rsid w:val="00B605F1"/>
    <w:rsid w:val="00B71238"/>
    <w:rsid w:val="00BC081D"/>
    <w:rsid w:val="00BE3EAA"/>
    <w:rsid w:val="00C030C9"/>
    <w:rsid w:val="00C40A72"/>
    <w:rsid w:val="00D224FF"/>
    <w:rsid w:val="00D6247D"/>
    <w:rsid w:val="00D75884"/>
    <w:rsid w:val="00D75AC9"/>
    <w:rsid w:val="00D920AE"/>
    <w:rsid w:val="00DC4E25"/>
    <w:rsid w:val="00DF3417"/>
    <w:rsid w:val="00E40B94"/>
    <w:rsid w:val="00EB1EC3"/>
    <w:rsid w:val="00ED6CC0"/>
    <w:rsid w:val="00F40AC1"/>
    <w:rsid w:val="00F946EF"/>
    <w:rsid w:val="00FB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864B"/>
  <w15:chartTrackingRefBased/>
  <w15:docId w15:val="{5E1105BC-BB56-4BF8-9579-485E7B05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5A"/>
    <w:pPr>
      <w:spacing w:line="252" w:lineRule="auto"/>
      <w:jc w:val="both"/>
    </w:pPr>
    <w:rPr>
      <w:rFonts w:eastAsiaTheme="minorEastAsia"/>
    </w:rPr>
  </w:style>
  <w:style w:type="paragraph" w:styleId="Heading1">
    <w:name w:val="heading 1"/>
    <w:basedOn w:val="Normal"/>
    <w:next w:val="Normal"/>
    <w:link w:val="Heading1Char"/>
    <w:uiPriority w:val="9"/>
    <w:qFormat/>
    <w:rsid w:val="005D145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D145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D145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D145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D145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45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45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45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45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5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D145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D145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D145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D145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45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45A"/>
    <w:rPr>
      <w:rFonts w:eastAsiaTheme="minorEastAsia"/>
      <w:i/>
      <w:iCs/>
    </w:rPr>
  </w:style>
  <w:style w:type="character" w:customStyle="1" w:styleId="Heading8Char">
    <w:name w:val="Heading 8 Char"/>
    <w:basedOn w:val="DefaultParagraphFont"/>
    <w:link w:val="Heading8"/>
    <w:uiPriority w:val="9"/>
    <w:semiHidden/>
    <w:rsid w:val="005D145A"/>
    <w:rPr>
      <w:rFonts w:eastAsiaTheme="minorEastAsia"/>
      <w:b/>
      <w:bCs/>
    </w:rPr>
  </w:style>
  <w:style w:type="character" w:customStyle="1" w:styleId="Heading9Char">
    <w:name w:val="Heading 9 Char"/>
    <w:basedOn w:val="DefaultParagraphFont"/>
    <w:link w:val="Heading9"/>
    <w:uiPriority w:val="9"/>
    <w:semiHidden/>
    <w:rsid w:val="005D145A"/>
    <w:rPr>
      <w:rFonts w:eastAsiaTheme="minorEastAsia"/>
      <w:i/>
      <w:iCs/>
    </w:rPr>
  </w:style>
  <w:style w:type="character" w:customStyle="1" w:styleId="markedcontent">
    <w:name w:val="markedcontent"/>
    <w:basedOn w:val="DefaultParagraphFont"/>
    <w:rsid w:val="005D145A"/>
  </w:style>
  <w:style w:type="paragraph" w:styleId="ListParagraph">
    <w:name w:val="List Paragraph"/>
    <w:basedOn w:val="Normal"/>
    <w:uiPriority w:val="34"/>
    <w:qFormat/>
    <w:rsid w:val="005D145A"/>
    <w:pPr>
      <w:ind w:left="720"/>
      <w:contextualSpacing/>
    </w:pPr>
  </w:style>
  <w:style w:type="character" w:styleId="Strong">
    <w:name w:val="Strong"/>
    <w:basedOn w:val="DefaultParagraphFont"/>
    <w:uiPriority w:val="22"/>
    <w:qFormat/>
    <w:rsid w:val="005D145A"/>
    <w:rPr>
      <w:b/>
      <w:bCs/>
      <w:color w:val="auto"/>
    </w:rPr>
  </w:style>
  <w:style w:type="table" w:styleId="TableGrid">
    <w:name w:val="Table Grid"/>
    <w:basedOn w:val="TableNormal"/>
    <w:uiPriority w:val="39"/>
    <w:qFormat/>
    <w:rsid w:val="005D145A"/>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D145A"/>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5D145A"/>
    <w:rPr>
      <w:rFonts w:ascii="Microsoft Sans Serif" w:eastAsia="Microsoft Sans Serif" w:hAnsi="Microsoft Sans Serif" w:cs="Microsoft Sans Serif"/>
      <w:sz w:val="24"/>
      <w:szCs w:val="24"/>
    </w:rPr>
  </w:style>
  <w:style w:type="paragraph" w:customStyle="1" w:styleId="Default">
    <w:name w:val="Default"/>
    <w:rsid w:val="005D145A"/>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5D1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D145A"/>
  </w:style>
  <w:style w:type="paragraph" w:styleId="Header">
    <w:name w:val="header"/>
    <w:basedOn w:val="Normal"/>
    <w:link w:val="HeaderChar"/>
    <w:uiPriority w:val="99"/>
    <w:unhideWhenUsed/>
    <w:rsid w:val="005D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5A"/>
    <w:rPr>
      <w:rFonts w:eastAsiaTheme="minorEastAsia"/>
    </w:rPr>
  </w:style>
  <w:style w:type="paragraph" w:styleId="Footer">
    <w:name w:val="footer"/>
    <w:basedOn w:val="Normal"/>
    <w:link w:val="FooterChar"/>
    <w:uiPriority w:val="99"/>
    <w:unhideWhenUsed/>
    <w:rsid w:val="005D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5A"/>
    <w:rPr>
      <w:rFonts w:eastAsiaTheme="minorEastAsia"/>
    </w:rPr>
  </w:style>
  <w:style w:type="table" w:customStyle="1" w:styleId="TableGrid0">
    <w:name w:val="TableGrid"/>
    <w:rsid w:val="005D145A"/>
    <w:pPr>
      <w:spacing w:after="0" w:line="240" w:lineRule="auto"/>
      <w:jc w:val="both"/>
    </w:pPr>
    <w:rPr>
      <w:rFonts w:eastAsiaTheme="minorEastAsia"/>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5D145A"/>
    <w:rPr>
      <w:color w:val="0563C1" w:themeColor="hyperlink"/>
      <w:u w:val="single"/>
    </w:rPr>
  </w:style>
  <w:style w:type="table" w:styleId="TableGridLight">
    <w:name w:val="Grid Table Light"/>
    <w:basedOn w:val="TableNormal"/>
    <w:uiPriority w:val="40"/>
    <w:rsid w:val="005D145A"/>
    <w:pPr>
      <w:spacing w:after="0" w:line="240" w:lineRule="auto"/>
      <w:jc w:val="both"/>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scoswrapper">
    <w:name w:val="hs_cos_wrapper"/>
    <w:basedOn w:val="DefaultParagraphFont"/>
    <w:rsid w:val="005D145A"/>
  </w:style>
  <w:style w:type="paragraph" w:customStyle="1" w:styleId="ListofTable">
    <w:name w:val="List of Table"/>
    <w:basedOn w:val="Normal"/>
    <w:link w:val="ListofTableChar"/>
    <w:autoRedefine/>
    <w:rsid w:val="005D145A"/>
    <w:pPr>
      <w:spacing w:before="120" w:after="240" w:line="480" w:lineRule="auto"/>
    </w:pPr>
    <w:rPr>
      <w:rFonts w:ascii="Times New Roman" w:hAnsi="Times New Roman" w:cs="Times New Roman"/>
      <w:sz w:val="24"/>
      <w:szCs w:val="24"/>
    </w:rPr>
  </w:style>
  <w:style w:type="character" w:customStyle="1" w:styleId="ListofTableChar">
    <w:name w:val="List of Table Char"/>
    <w:basedOn w:val="DefaultParagraphFont"/>
    <w:link w:val="ListofTable"/>
    <w:rsid w:val="005D145A"/>
    <w:rPr>
      <w:rFonts w:ascii="Times New Roman" w:eastAsiaTheme="minorEastAsia" w:hAnsi="Times New Roman" w:cs="Times New Roman"/>
      <w:sz w:val="24"/>
      <w:szCs w:val="24"/>
    </w:rPr>
  </w:style>
  <w:style w:type="paragraph" w:styleId="Caption">
    <w:name w:val="caption"/>
    <w:basedOn w:val="Normal"/>
    <w:next w:val="Normal"/>
    <w:uiPriority w:val="35"/>
    <w:semiHidden/>
    <w:unhideWhenUsed/>
    <w:qFormat/>
    <w:rsid w:val="005D145A"/>
    <w:rPr>
      <w:b/>
      <w:bCs/>
      <w:sz w:val="18"/>
      <w:szCs w:val="18"/>
    </w:rPr>
  </w:style>
  <w:style w:type="paragraph" w:styleId="Title">
    <w:name w:val="Title"/>
    <w:basedOn w:val="Normal"/>
    <w:next w:val="Normal"/>
    <w:link w:val="TitleChar"/>
    <w:uiPriority w:val="10"/>
    <w:qFormat/>
    <w:rsid w:val="005D145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45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45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45A"/>
    <w:rPr>
      <w:rFonts w:asciiTheme="majorHAnsi" w:eastAsiaTheme="majorEastAsia" w:hAnsiTheme="majorHAnsi" w:cstheme="majorBidi"/>
      <w:sz w:val="24"/>
      <w:szCs w:val="24"/>
    </w:rPr>
  </w:style>
  <w:style w:type="character" w:styleId="Emphasis">
    <w:name w:val="Emphasis"/>
    <w:basedOn w:val="DefaultParagraphFont"/>
    <w:uiPriority w:val="20"/>
    <w:qFormat/>
    <w:rsid w:val="005D145A"/>
    <w:rPr>
      <w:i/>
      <w:iCs/>
      <w:color w:val="auto"/>
    </w:rPr>
  </w:style>
  <w:style w:type="paragraph" w:styleId="NoSpacing">
    <w:name w:val="No Spacing"/>
    <w:uiPriority w:val="1"/>
    <w:qFormat/>
    <w:rsid w:val="005D145A"/>
    <w:pPr>
      <w:spacing w:after="0" w:line="240" w:lineRule="auto"/>
      <w:jc w:val="both"/>
    </w:pPr>
    <w:rPr>
      <w:rFonts w:eastAsiaTheme="minorEastAsia"/>
    </w:rPr>
  </w:style>
  <w:style w:type="paragraph" w:styleId="Quote">
    <w:name w:val="Quote"/>
    <w:basedOn w:val="Normal"/>
    <w:next w:val="Normal"/>
    <w:link w:val="QuoteChar"/>
    <w:uiPriority w:val="29"/>
    <w:qFormat/>
    <w:rsid w:val="005D145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45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45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45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45A"/>
    <w:rPr>
      <w:i/>
      <w:iCs/>
      <w:color w:val="auto"/>
    </w:rPr>
  </w:style>
  <w:style w:type="character" w:styleId="IntenseEmphasis">
    <w:name w:val="Intense Emphasis"/>
    <w:basedOn w:val="DefaultParagraphFont"/>
    <w:uiPriority w:val="21"/>
    <w:qFormat/>
    <w:rsid w:val="005D145A"/>
    <w:rPr>
      <w:b/>
      <w:bCs/>
      <w:i/>
      <w:iCs/>
      <w:color w:val="auto"/>
    </w:rPr>
  </w:style>
  <w:style w:type="character" w:styleId="SubtleReference">
    <w:name w:val="Subtle Reference"/>
    <w:basedOn w:val="DefaultParagraphFont"/>
    <w:uiPriority w:val="31"/>
    <w:qFormat/>
    <w:rsid w:val="005D145A"/>
    <w:rPr>
      <w:smallCaps/>
      <w:color w:val="auto"/>
      <w:u w:val="single" w:color="7F7F7F" w:themeColor="text1" w:themeTint="80"/>
    </w:rPr>
  </w:style>
  <w:style w:type="character" w:styleId="IntenseReference">
    <w:name w:val="Intense Reference"/>
    <w:basedOn w:val="DefaultParagraphFont"/>
    <w:uiPriority w:val="32"/>
    <w:qFormat/>
    <w:rsid w:val="005D145A"/>
    <w:rPr>
      <w:b/>
      <w:bCs/>
      <w:smallCaps/>
      <w:color w:val="auto"/>
      <w:u w:val="single"/>
    </w:rPr>
  </w:style>
  <w:style w:type="character" w:styleId="BookTitle">
    <w:name w:val="Book Title"/>
    <w:basedOn w:val="DefaultParagraphFont"/>
    <w:uiPriority w:val="33"/>
    <w:qFormat/>
    <w:rsid w:val="005D145A"/>
    <w:rPr>
      <w:b/>
      <w:bCs/>
      <w:smallCaps/>
      <w:color w:val="auto"/>
    </w:rPr>
  </w:style>
  <w:style w:type="paragraph" w:styleId="TOCHeading">
    <w:name w:val="TOC Heading"/>
    <w:basedOn w:val="Heading1"/>
    <w:next w:val="Normal"/>
    <w:uiPriority w:val="39"/>
    <w:semiHidden/>
    <w:unhideWhenUsed/>
    <w:qFormat/>
    <w:rsid w:val="005D145A"/>
    <w:pPr>
      <w:outlineLvl w:val="9"/>
    </w:pPr>
  </w:style>
  <w:style w:type="paragraph" w:customStyle="1" w:styleId="ListofFigures">
    <w:name w:val="List of Figures"/>
    <w:basedOn w:val="Normal"/>
    <w:link w:val="ListofFiguresChar"/>
    <w:qFormat/>
    <w:rsid w:val="005D145A"/>
    <w:pPr>
      <w:spacing w:after="0" w:line="480" w:lineRule="auto"/>
    </w:pPr>
    <w:rPr>
      <w:rFonts w:ascii="Times New Roman" w:hAnsi="Times New Roman" w:cs="Times New Roman"/>
      <w:sz w:val="24"/>
      <w:szCs w:val="24"/>
    </w:rPr>
  </w:style>
  <w:style w:type="character" w:customStyle="1" w:styleId="ListofFiguresChar">
    <w:name w:val="List of Figures Char"/>
    <w:basedOn w:val="DefaultParagraphFont"/>
    <w:link w:val="ListofFigures"/>
    <w:rsid w:val="005D145A"/>
    <w:rPr>
      <w:rFonts w:ascii="Times New Roman" w:eastAsiaTheme="minorEastAsia" w:hAnsi="Times New Roman" w:cs="Times New Roman"/>
      <w:sz w:val="24"/>
      <w:szCs w:val="24"/>
    </w:rPr>
  </w:style>
  <w:style w:type="paragraph" w:customStyle="1" w:styleId="ListofTables">
    <w:name w:val="List of Tables"/>
    <w:basedOn w:val="Normal"/>
    <w:link w:val="ListofTablesChar"/>
    <w:qFormat/>
    <w:rsid w:val="005D145A"/>
    <w:pPr>
      <w:spacing w:after="0" w:line="480"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5D145A"/>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5D145A"/>
    <w:pPr>
      <w:tabs>
        <w:tab w:val="right" w:pos="9350"/>
      </w:tabs>
      <w:spacing w:after="100" w:line="276" w:lineRule="auto"/>
      <w:jc w:val="center"/>
    </w:pPr>
    <w:rPr>
      <w:rFonts w:ascii="Times New Roman" w:hAnsi="Times New Roman" w:cs="Times New Roman"/>
      <w:b/>
      <w:noProof/>
      <w:sz w:val="24"/>
      <w:szCs w:val="24"/>
      <w:lang w:val="en-GB" w:eastAsia="en-GB"/>
    </w:rPr>
  </w:style>
  <w:style w:type="paragraph" w:styleId="TOC2">
    <w:name w:val="toc 2"/>
    <w:basedOn w:val="Normal"/>
    <w:next w:val="Normal"/>
    <w:autoRedefine/>
    <w:uiPriority w:val="39"/>
    <w:unhideWhenUsed/>
    <w:rsid w:val="005D145A"/>
    <w:pPr>
      <w:spacing w:after="100"/>
      <w:ind w:left="220"/>
    </w:pPr>
  </w:style>
  <w:style w:type="paragraph" w:styleId="TOC3">
    <w:name w:val="toc 3"/>
    <w:basedOn w:val="Normal"/>
    <w:next w:val="Normal"/>
    <w:autoRedefine/>
    <w:uiPriority w:val="39"/>
    <w:unhideWhenUsed/>
    <w:rsid w:val="005D145A"/>
    <w:pPr>
      <w:spacing w:after="100"/>
      <w:ind w:left="440"/>
    </w:pPr>
  </w:style>
  <w:style w:type="character" w:customStyle="1" w:styleId="hgkelc">
    <w:name w:val="hgkelc"/>
    <w:basedOn w:val="DefaultParagraphFont"/>
    <w:rsid w:val="005D145A"/>
  </w:style>
  <w:style w:type="character" w:customStyle="1" w:styleId="cskcde">
    <w:name w:val="cskcde"/>
    <w:basedOn w:val="DefaultParagraphFont"/>
    <w:rsid w:val="005D145A"/>
  </w:style>
  <w:style w:type="paragraph" w:styleId="TOC4">
    <w:name w:val="toc 4"/>
    <w:basedOn w:val="Normal"/>
    <w:next w:val="Normal"/>
    <w:autoRedefine/>
    <w:uiPriority w:val="39"/>
    <w:unhideWhenUsed/>
    <w:rsid w:val="005D145A"/>
    <w:pPr>
      <w:spacing w:after="100" w:line="259" w:lineRule="auto"/>
      <w:ind w:left="660"/>
      <w:jc w:val="left"/>
    </w:pPr>
    <w:rPr>
      <w:kern w:val="2"/>
      <w14:ligatures w14:val="standardContextual"/>
    </w:rPr>
  </w:style>
  <w:style w:type="paragraph" w:styleId="TOC5">
    <w:name w:val="toc 5"/>
    <w:basedOn w:val="Normal"/>
    <w:next w:val="Normal"/>
    <w:autoRedefine/>
    <w:uiPriority w:val="39"/>
    <w:unhideWhenUsed/>
    <w:rsid w:val="005D145A"/>
    <w:pPr>
      <w:spacing w:after="100" w:line="259" w:lineRule="auto"/>
      <w:ind w:left="880"/>
      <w:jc w:val="left"/>
    </w:pPr>
    <w:rPr>
      <w:kern w:val="2"/>
      <w14:ligatures w14:val="standardContextual"/>
    </w:rPr>
  </w:style>
  <w:style w:type="paragraph" w:styleId="TOC6">
    <w:name w:val="toc 6"/>
    <w:basedOn w:val="Normal"/>
    <w:next w:val="Normal"/>
    <w:autoRedefine/>
    <w:uiPriority w:val="39"/>
    <w:unhideWhenUsed/>
    <w:rsid w:val="005D145A"/>
    <w:pPr>
      <w:spacing w:after="100" w:line="259" w:lineRule="auto"/>
      <w:ind w:left="1100"/>
      <w:jc w:val="left"/>
    </w:pPr>
    <w:rPr>
      <w:kern w:val="2"/>
      <w14:ligatures w14:val="standardContextual"/>
    </w:rPr>
  </w:style>
  <w:style w:type="paragraph" w:styleId="TOC7">
    <w:name w:val="toc 7"/>
    <w:basedOn w:val="Normal"/>
    <w:next w:val="Normal"/>
    <w:autoRedefine/>
    <w:uiPriority w:val="39"/>
    <w:unhideWhenUsed/>
    <w:rsid w:val="005D145A"/>
    <w:pPr>
      <w:spacing w:after="100" w:line="259" w:lineRule="auto"/>
      <w:ind w:left="1320"/>
      <w:jc w:val="left"/>
    </w:pPr>
    <w:rPr>
      <w:kern w:val="2"/>
      <w14:ligatures w14:val="standardContextual"/>
    </w:rPr>
  </w:style>
  <w:style w:type="paragraph" w:styleId="TOC8">
    <w:name w:val="toc 8"/>
    <w:basedOn w:val="Normal"/>
    <w:next w:val="Normal"/>
    <w:autoRedefine/>
    <w:uiPriority w:val="39"/>
    <w:unhideWhenUsed/>
    <w:rsid w:val="005D145A"/>
    <w:pPr>
      <w:spacing w:after="100" w:line="259" w:lineRule="auto"/>
      <w:ind w:left="1540"/>
      <w:jc w:val="left"/>
    </w:pPr>
    <w:rPr>
      <w:kern w:val="2"/>
      <w14:ligatures w14:val="standardContextual"/>
    </w:rPr>
  </w:style>
  <w:style w:type="paragraph" w:styleId="TOC9">
    <w:name w:val="toc 9"/>
    <w:basedOn w:val="Normal"/>
    <w:next w:val="Normal"/>
    <w:autoRedefine/>
    <w:uiPriority w:val="39"/>
    <w:unhideWhenUsed/>
    <w:rsid w:val="005D145A"/>
    <w:pPr>
      <w:spacing w:after="100" w:line="259" w:lineRule="auto"/>
      <w:ind w:left="1760"/>
      <w:jc w:val="left"/>
    </w:pPr>
    <w:rPr>
      <w:kern w:val="2"/>
      <w14:ligatures w14:val="standardContextual"/>
    </w:rPr>
  </w:style>
  <w:style w:type="character" w:customStyle="1" w:styleId="UnresolvedMention1">
    <w:name w:val="Unresolved Mention1"/>
    <w:basedOn w:val="DefaultParagraphFont"/>
    <w:uiPriority w:val="99"/>
    <w:semiHidden/>
    <w:unhideWhenUsed/>
    <w:rsid w:val="005D145A"/>
    <w:rPr>
      <w:color w:val="605E5C"/>
      <w:shd w:val="clear" w:color="auto" w:fill="E1DFDD"/>
    </w:rPr>
  </w:style>
  <w:style w:type="character" w:styleId="UnresolvedMention">
    <w:name w:val="Unresolved Mention"/>
    <w:basedOn w:val="DefaultParagraphFont"/>
    <w:uiPriority w:val="99"/>
    <w:semiHidden/>
    <w:unhideWhenUsed/>
    <w:rsid w:val="003F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5069">
      <w:bodyDiv w:val="1"/>
      <w:marLeft w:val="0"/>
      <w:marRight w:val="0"/>
      <w:marTop w:val="0"/>
      <w:marBottom w:val="0"/>
      <w:divBdr>
        <w:top w:val="none" w:sz="0" w:space="0" w:color="auto"/>
        <w:left w:val="none" w:sz="0" w:space="0" w:color="auto"/>
        <w:bottom w:val="none" w:sz="0" w:space="0" w:color="auto"/>
        <w:right w:val="none" w:sz="0" w:space="0" w:color="auto"/>
      </w:divBdr>
      <w:divsChild>
        <w:div w:id="1841962320">
          <w:marLeft w:val="0"/>
          <w:marRight w:val="0"/>
          <w:marTop w:val="0"/>
          <w:marBottom w:val="0"/>
          <w:divBdr>
            <w:top w:val="none" w:sz="0" w:space="0" w:color="auto"/>
            <w:left w:val="none" w:sz="0" w:space="0" w:color="auto"/>
            <w:bottom w:val="none" w:sz="0" w:space="0" w:color="auto"/>
            <w:right w:val="none" w:sz="0" w:space="0" w:color="auto"/>
          </w:divBdr>
          <w:divsChild>
            <w:div w:id="674310924">
              <w:marLeft w:val="0"/>
              <w:marRight w:val="0"/>
              <w:marTop w:val="0"/>
              <w:marBottom w:val="0"/>
              <w:divBdr>
                <w:top w:val="none" w:sz="0" w:space="0" w:color="auto"/>
                <w:left w:val="none" w:sz="0" w:space="0" w:color="auto"/>
                <w:bottom w:val="none" w:sz="0" w:space="0" w:color="auto"/>
                <w:right w:val="none" w:sz="0" w:space="0" w:color="auto"/>
              </w:divBdr>
              <w:divsChild>
                <w:div w:id="836305084">
                  <w:marLeft w:val="0"/>
                  <w:marRight w:val="0"/>
                  <w:marTop w:val="0"/>
                  <w:marBottom w:val="0"/>
                  <w:divBdr>
                    <w:top w:val="none" w:sz="0" w:space="0" w:color="auto"/>
                    <w:left w:val="none" w:sz="0" w:space="0" w:color="auto"/>
                    <w:bottom w:val="none" w:sz="0" w:space="0" w:color="auto"/>
                    <w:right w:val="none" w:sz="0" w:space="0" w:color="auto"/>
                  </w:divBdr>
                  <w:divsChild>
                    <w:div w:id="20990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3218">
      <w:bodyDiv w:val="1"/>
      <w:marLeft w:val="0"/>
      <w:marRight w:val="0"/>
      <w:marTop w:val="0"/>
      <w:marBottom w:val="0"/>
      <w:divBdr>
        <w:top w:val="none" w:sz="0" w:space="0" w:color="auto"/>
        <w:left w:val="none" w:sz="0" w:space="0" w:color="auto"/>
        <w:bottom w:val="none" w:sz="0" w:space="0" w:color="auto"/>
        <w:right w:val="none" w:sz="0" w:space="0" w:color="auto"/>
      </w:divBdr>
    </w:div>
    <w:div w:id="710769633">
      <w:bodyDiv w:val="1"/>
      <w:marLeft w:val="0"/>
      <w:marRight w:val="0"/>
      <w:marTop w:val="0"/>
      <w:marBottom w:val="0"/>
      <w:divBdr>
        <w:top w:val="none" w:sz="0" w:space="0" w:color="auto"/>
        <w:left w:val="none" w:sz="0" w:space="0" w:color="auto"/>
        <w:bottom w:val="none" w:sz="0" w:space="0" w:color="auto"/>
        <w:right w:val="none" w:sz="0" w:space="0" w:color="auto"/>
      </w:divBdr>
    </w:div>
    <w:div w:id="839546010">
      <w:bodyDiv w:val="1"/>
      <w:marLeft w:val="0"/>
      <w:marRight w:val="0"/>
      <w:marTop w:val="0"/>
      <w:marBottom w:val="0"/>
      <w:divBdr>
        <w:top w:val="none" w:sz="0" w:space="0" w:color="auto"/>
        <w:left w:val="none" w:sz="0" w:space="0" w:color="auto"/>
        <w:bottom w:val="none" w:sz="0" w:space="0" w:color="auto"/>
        <w:right w:val="none" w:sz="0" w:space="0" w:color="auto"/>
      </w:divBdr>
    </w:div>
    <w:div w:id="964508707">
      <w:bodyDiv w:val="1"/>
      <w:marLeft w:val="0"/>
      <w:marRight w:val="0"/>
      <w:marTop w:val="0"/>
      <w:marBottom w:val="0"/>
      <w:divBdr>
        <w:top w:val="none" w:sz="0" w:space="0" w:color="auto"/>
        <w:left w:val="none" w:sz="0" w:space="0" w:color="auto"/>
        <w:bottom w:val="none" w:sz="0" w:space="0" w:color="auto"/>
        <w:right w:val="none" w:sz="0" w:space="0" w:color="auto"/>
      </w:divBdr>
    </w:div>
    <w:div w:id="1013993410">
      <w:bodyDiv w:val="1"/>
      <w:marLeft w:val="0"/>
      <w:marRight w:val="0"/>
      <w:marTop w:val="0"/>
      <w:marBottom w:val="0"/>
      <w:divBdr>
        <w:top w:val="none" w:sz="0" w:space="0" w:color="auto"/>
        <w:left w:val="none" w:sz="0" w:space="0" w:color="auto"/>
        <w:bottom w:val="none" w:sz="0" w:space="0" w:color="auto"/>
        <w:right w:val="none" w:sz="0" w:space="0" w:color="auto"/>
      </w:divBdr>
    </w:div>
    <w:div w:id="1970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9734/jsrr/2023/v29i121816" TargetMode="External"/><Relationship Id="rId18" Type="http://schemas.openxmlformats.org/officeDocument/2006/relationships/hyperlink" Target="https://doi.org/10.9734/jsrr/2023/v29i11180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51594/ijmer.v6i3.87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9734/cjast/2023/v42i14047" TargetMode="External"/><Relationship Id="rId20" Type="http://schemas.openxmlformats.org/officeDocument/2006/relationships/hyperlink" Target="https://doi.org/10.3389/fpsyg.2022.8343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ijerph1816856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doi.org/10.1088/1755-1315/1347/1/01203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1660/2017.29.97136"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E38E-443E-93D0-6C0D8B3E947B}"/>
              </c:ext>
            </c:extLst>
          </c:dPt>
          <c:dPt>
            <c:idx val="1"/>
            <c:invertIfNegative val="0"/>
            <c:bubble3D val="0"/>
            <c:spPr>
              <a:solidFill>
                <a:srgbClr val="FF0000"/>
              </a:solidFill>
              <a:ln>
                <a:noFill/>
              </a:ln>
              <a:effectLst/>
            </c:spPr>
            <c:extLst>
              <c:ext xmlns:c16="http://schemas.microsoft.com/office/drawing/2014/chart" uri="{C3380CC4-5D6E-409C-BE32-E72D297353CC}">
                <c16:uniqueId val="{00000003-E38E-443E-93D0-6C0D8B3E947B}"/>
              </c:ext>
            </c:extLst>
          </c:dPt>
          <c:dPt>
            <c:idx val="2"/>
            <c:invertIfNegative val="0"/>
            <c:bubble3D val="0"/>
            <c:spPr>
              <a:solidFill>
                <a:srgbClr val="7030A0"/>
              </a:solidFill>
              <a:ln>
                <a:noFill/>
              </a:ln>
              <a:effectLst/>
            </c:spPr>
            <c:extLst>
              <c:ext xmlns:c16="http://schemas.microsoft.com/office/drawing/2014/chart" uri="{C3380CC4-5D6E-409C-BE32-E72D297353CC}">
                <c16:uniqueId val="{00000005-E38E-443E-93D0-6C0D8B3E94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25-30</c:v>
                </c:pt>
                <c:pt idx="1">
                  <c:v>31 – 35  </c:v>
                </c:pt>
                <c:pt idx="2">
                  <c:v>36 – 40  </c:v>
                </c:pt>
                <c:pt idx="3">
                  <c:v>41 and above</c:v>
                </c:pt>
              </c:strCache>
            </c:strRef>
          </c:cat>
          <c:val>
            <c:numRef>
              <c:f>Sheet1!$B$2:$B$5</c:f>
              <c:numCache>
                <c:formatCode>0%</c:formatCode>
                <c:ptCount val="4"/>
                <c:pt idx="0">
                  <c:v>0.56000000000000005</c:v>
                </c:pt>
                <c:pt idx="1">
                  <c:v>0.28000000000000003</c:v>
                </c:pt>
                <c:pt idx="2">
                  <c:v>0.14000000000000001</c:v>
                </c:pt>
                <c:pt idx="3">
                  <c:v>0.02</c:v>
                </c:pt>
              </c:numCache>
            </c:numRef>
          </c:val>
          <c:extLst>
            <c:ext xmlns:c16="http://schemas.microsoft.com/office/drawing/2014/chart" uri="{C3380CC4-5D6E-409C-BE32-E72D297353CC}">
              <c16:uniqueId val="{00000006-E38E-443E-93D0-6C0D8B3E947B}"/>
            </c:ext>
          </c:extLst>
        </c:ser>
        <c:dLbls>
          <c:dLblPos val="outEnd"/>
          <c:showLegendKey val="0"/>
          <c:showVal val="1"/>
          <c:showCatName val="0"/>
          <c:showSerName val="0"/>
          <c:showPercent val="0"/>
          <c:showBubbleSize val="0"/>
        </c:dLbls>
        <c:gapWidth val="219"/>
        <c:overlap val="-27"/>
        <c:axId val="669135616"/>
        <c:axId val="669139144"/>
      </c:barChart>
      <c:catAx>
        <c:axId val="66913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39144"/>
        <c:crosses val="autoZero"/>
        <c:auto val="1"/>
        <c:lblAlgn val="ctr"/>
        <c:lblOffset val="100"/>
        <c:noMultiLvlLbl val="0"/>
      </c:catAx>
      <c:valAx>
        <c:axId val="669139144"/>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3561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A48E-4EC9-9DD4-FFEF95BF0582}"/>
              </c:ext>
            </c:extLst>
          </c:dPt>
          <c:dPt>
            <c:idx val="1"/>
            <c:invertIfNegative val="0"/>
            <c:bubble3D val="0"/>
            <c:extLst>
              <c:ext xmlns:c16="http://schemas.microsoft.com/office/drawing/2014/chart" uri="{C3380CC4-5D6E-409C-BE32-E72D297353CC}">
                <c16:uniqueId val="{00000003-A48E-4EC9-9DD4-FFEF95BF0582}"/>
              </c:ext>
            </c:extLst>
          </c:dPt>
          <c:dLbls>
            <c:dLbl>
              <c:idx val="0"/>
              <c:tx>
                <c:rich>
                  <a:bodyPr/>
                  <a:lstStyle/>
                  <a:p>
                    <a:fld id="{59A31807-5E81-4CD8-8DC0-E26C44C93EA6}" type="VALUE">
                      <a:rPr lang="en-US" sz="1600">
                        <a:solidFill>
                          <a:schemeClr val="bg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48E-4EC9-9DD4-FFEF95BF0582}"/>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430EBDFB-765B-440F-9B39-9614BD2EF3B7}" type="VALUE">
                      <a:rPr lang="en-US" sz="1200"/>
                      <a:pPr>
                        <a:defRPr/>
                      </a:pPr>
                      <a:t>[VALUE]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A48E-4EC9-9DD4-FFEF95BF05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c:v>
                </c:pt>
              </c:strCache>
            </c:strRef>
          </c:cat>
          <c:val>
            <c:numRef>
              <c:f>Sheet1!$B$2:$B$3</c:f>
              <c:numCache>
                <c:formatCode>0%</c:formatCode>
                <c:ptCount val="2"/>
                <c:pt idx="0">
                  <c:v>0.78</c:v>
                </c:pt>
                <c:pt idx="1">
                  <c:v>0.22</c:v>
                </c:pt>
              </c:numCache>
            </c:numRef>
          </c:val>
          <c:extLst>
            <c:ext xmlns:c16="http://schemas.microsoft.com/office/drawing/2014/chart" uri="{C3380CC4-5D6E-409C-BE32-E72D297353CC}">
              <c16:uniqueId val="{00000004-A48E-4EC9-9DD4-FFEF95BF0582}"/>
            </c:ext>
          </c:extLst>
        </c:ser>
        <c:dLbls>
          <c:showLegendKey val="0"/>
          <c:showVal val="0"/>
          <c:showCatName val="0"/>
          <c:showSerName val="0"/>
          <c:showPercent val="0"/>
          <c:showBubbleSize val="0"/>
        </c:dLbls>
        <c:gapWidth val="100"/>
        <c:axId val="669136792"/>
        <c:axId val="669139928"/>
      </c:barChart>
      <c:valAx>
        <c:axId val="669139928"/>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36792"/>
        <c:crosses val="autoZero"/>
        <c:crossBetween val="between"/>
      </c:valAx>
      <c:catAx>
        <c:axId val="66913679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399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Educational Background</a:t>
            </a:r>
            <a:r>
              <a:rPr lang="en-US" baseline="0"/>
              <a:t> </a:t>
            </a:r>
            <a:endParaRPr lang="en-US"/>
          </a:p>
        </c:rich>
      </c:tx>
      <c:layout>
        <c:manualLayout>
          <c:xMode val="edge"/>
          <c:yMode val="edge"/>
          <c:x val="0.44403926071741034"/>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339E-4C4B-8379-ACEC6226F505}"/>
              </c:ext>
            </c:extLst>
          </c:dPt>
          <c:dPt>
            <c:idx val="1"/>
            <c:invertIfNegative val="0"/>
            <c:bubble3D val="0"/>
            <c:spPr>
              <a:solidFill>
                <a:schemeClr val="accent4"/>
              </a:solidFill>
              <a:ln>
                <a:noFill/>
              </a:ln>
              <a:effectLst/>
              <a:sp3d/>
            </c:spPr>
            <c:extLst>
              <c:ext xmlns:c16="http://schemas.microsoft.com/office/drawing/2014/chart" uri="{C3380CC4-5D6E-409C-BE32-E72D297353CC}">
                <c16:uniqueId val="{00000003-339E-4C4B-8379-ACEC6226F505}"/>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5-339E-4C4B-8379-ACEC6226F5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FSLC/WASSCE</c:v>
                </c:pt>
                <c:pt idx="1">
                  <c:v>OND</c:v>
                </c:pt>
                <c:pt idx="2">
                  <c:v>B.Sc./HND</c:v>
                </c:pt>
                <c:pt idx="3">
                  <c:v>M.Sc</c:v>
                </c:pt>
              </c:strCache>
            </c:strRef>
          </c:cat>
          <c:val>
            <c:numRef>
              <c:f>Sheet1!$B$2:$B$5</c:f>
              <c:numCache>
                <c:formatCode>0%</c:formatCode>
                <c:ptCount val="4"/>
                <c:pt idx="0" formatCode="0.00%">
                  <c:v>0.77800000000000002</c:v>
                </c:pt>
                <c:pt idx="1">
                  <c:v>0.14000000000000001</c:v>
                </c:pt>
                <c:pt idx="2" formatCode="0.00%">
                  <c:v>8.2000000000000003E-2</c:v>
                </c:pt>
                <c:pt idx="3">
                  <c:v>0.04</c:v>
                </c:pt>
              </c:numCache>
            </c:numRef>
          </c:val>
          <c:extLst>
            <c:ext xmlns:c16="http://schemas.microsoft.com/office/drawing/2014/chart" uri="{C3380CC4-5D6E-409C-BE32-E72D297353CC}">
              <c16:uniqueId val="{00000006-339E-4C4B-8379-ACEC6226F505}"/>
            </c:ext>
          </c:extLst>
        </c:ser>
        <c:dLbls>
          <c:showLegendKey val="0"/>
          <c:showVal val="1"/>
          <c:showCatName val="0"/>
          <c:showSerName val="0"/>
          <c:showPercent val="0"/>
          <c:showBubbleSize val="0"/>
        </c:dLbls>
        <c:gapWidth val="100"/>
        <c:shape val="box"/>
        <c:axId val="669140320"/>
        <c:axId val="661674528"/>
        <c:axId val="0"/>
      </c:bar3DChart>
      <c:catAx>
        <c:axId val="669140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674528"/>
        <c:crosses val="autoZero"/>
        <c:auto val="1"/>
        <c:lblAlgn val="ctr"/>
        <c:lblOffset val="100"/>
        <c:noMultiLvlLbl val="0"/>
      </c:catAx>
      <c:valAx>
        <c:axId val="661674528"/>
        <c:scaling>
          <c:orientation val="minMax"/>
          <c:max val="1"/>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162F-4C33-B360-CAF7037D4221}"/>
              </c:ext>
            </c:extLst>
          </c:dPt>
          <c:dPt>
            <c:idx val="1"/>
            <c:invertIfNegative val="0"/>
            <c:bubble3D val="0"/>
            <c:spPr>
              <a:solidFill>
                <a:schemeClr val="accent4"/>
              </a:solidFill>
              <a:ln>
                <a:noFill/>
              </a:ln>
              <a:effectLst/>
              <a:sp3d/>
            </c:spPr>
            <c:extLst>
              <c:ext xmlns:c16="http://schemas.microsoft.com/office/drawing/2014/chart" uri="{C3380CC4-5D6E-409C-BE32-E72D297353CC}">
                <c16:uniqueId val="{00000003-162F-4C33-B360-CAF7037D4221}"/>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5-162F-4C33-B360-CAF7037D42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0 – 4</c:v>
                </c:pt>
                <c:pt idx="1">
                  <c:v>5 – 9</c:v>
                </c:pt>
                <c:pt idx="2">
                  <c:v>10 years and above</c:v>
                </c:pt>
              </c:strCache>
            </c:strRef>
          </c:cat>
          <c:val>
            <c:numRef>
              <c:f>Sheet1!$B$2:$B$4</c:f>
              <c:numCache>
                <c:formatCode>0%</c:formatCode>
                <c:ptCount val="3"/>
                <c:pt idx="0" formatCode="0.00%">
                  <c:v>0.77800000000000002</c:v>
                </c:pt>
                <c:pt idx="1">
                  <c:v>0.14000000000000001</c:v>
                </c:pt>
                <c:pt idx="2" formatCode="0.00%">
                  <c:v>8.2000000000000003E-2</c:v>
                </c:pt>
              </c:numCache>
            </c:numRef>
          </c:val>
          <c:extLst>
            <c:ext xmlns:c16="http://schemas.microsoft.com/office/drawing/2014/chart" uri="{C3380CC4-5D6E-409C-BE32-E72D297353CC}">
              <c16:uniqueId val="{00000006-162F-4C33-B360-CAF7037D4221}"/>
            </c:ext>
          </c:extLst>
        </c:ser>
        <c:dLbls>
          <c:showLegendKey val="0"/>
          <c:showVal val="0"/>
          <c:showCatName val="0"/>
          <c:showSerName val="0"/>
          <c:showPercent val="0"/>
          <c:showBubbleSize val="0"/>
        </c:dLbls>
        <c:gapWidth val="100"/>
        <c:axId val="433849320"/>
        <c:axId val="433850104"/>
      </c:barChart>
      <c:catAx>
        <c:axId val="4338493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850104"/>
        <c:crosses val="autoZero"/>
        <c:auto val="1"/>
        <c:lblAlgn val="ctr"/>
        <c:lblOffset val="100"/>
        <c:noMultiLvlLbl val="0"/>
      </c:catAx>
      <c:valAx>
        <c:axId val="433850104"/>
        <c:scaling>
          <c:orientation val="minMax"/>
          <c:max val="1"/>
        </c:scaling>
        <c:delete val="0"/>
        <c:axPos val="b"/>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849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Series 1</c:v>
                </c:pt>
              </c:strCache>
            </c:strRef>
          </c:tx>
          <c:dPt>
            <c:idx val="0"/>
            <c:bubble3D val="0"/>
            <c:spPr>
              <a:solidFill>
                <a:srgbClr val="00B050"/>
              </a:solidFill>
              <a:ln>
                <a:noFill/>
              </a:ln>
              <a:effectLst/>
              <a:sp3d/>
            </c:spPr>
            <c:extLst>
              <c:ext xmlns:c16="http://schemas.microsoft.com/office/drawing/2014/chart" uri="{C3380CC4-5D6E-409C-BE32-E72D297353CC}">
                <c16:uniqueId val="{00000001-32E3-4D29-A91B-5D03D1EB9653}"/>
              </c:ext>
            </c:extLst>
          </c:dPt>
          <c:dPt>
            <c:idx val="1"/>
            <c:bubble3D val="0"/>
            <c:spPr>
              <a:solidFill>
                <a:schemeClr val="accent1">
                  <a:lumMod val="20000"/>
                  <a:lumOff val="80000"/>
                </a:schemeClr>
              </a:solidFill>
              <a:ln>
                <a:solidFill>
                  <a:schemeClr val="accent1"/>
                </a:solidFill>
              </a:ln>
              <a:effectLst/>
              <a:sp3d>
                <a:contourClr>
                  <a:schemeClr val="accent1"/>
                </a:contourClr>
              </a:sp3d>
            </c:spPr>
            <c:extLst>
              <c:ext xmlns:c16="http://schemas.microsoft.com/office/drawing/2014/chart" uri="{C3380CC4-5D6E-409C-BE32-E72D297353CC}">
                <c16:uniqueId val="{00000003-32E3-4D29-A91B-5D03D1EB9653}"/>
              </c:ext>
            </c:extLst>
          </c:dPt>
          <c:dPt>
            <c:idx val="2"/>
            <c:bubble3D val="0"/>
            <c:spPr>
              <a:solidFill>
                <a:srgbClr val="FFC000"/>
              </a:solidFill>
              <a:ln>
                <a:noFill/>
              </a:ln>
              <a:effectLst/>
              <a:sp3d/>
            </c:spPr>
            <c:extLst>
              <c:ext xmlns:c16="http://schemas.microsoft.com/office/drawing/2014/chart" uri="{C3380CC4-5D6E-409C-BE32-E72D297353CC}">
                <c16:uniqueId val="{00000005-32E3-4D29-A91B-5D03D1EB9653}"/>
              </c:ext>
            </c:extLst>
          </c:dPt>
          <c:dPt>
            <c:idx val="3"/>
            <c:bubble3D val="0"/>
            <c:spPr>
              <a:solidFill>
                <a:srgbClr val="FF0000"/>
              </a:solidFill>
              <a:ln>
                <a:noFill/>
              </a:ln>
              <a:effectLst/>
              <a:sp3d/>
            </c:spPr>
            <c:extLst>
              <c:ext xmlns:c16="http://schemas.microsoft.com/office/drawing/2014/chart" uri="{C3380CC4-5D6E-409C-BE32-E72D297353CC}">
                <c16:uniqueId val="{00000007-E79E-49C6-AED3-971CC267E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Petrol/Diesel Tank Farm</c:v>
                </c:pt>
                <c:pt idx="1">
                  <c:v>Petrol Retail Station</c:v>
                </c:pt>
                <c:pt idx="2">
                  <c:v>Gas Refilling Plant</c:v>
                </c:pt>
                <c:pt idx="3">
                  <c:v>Truck Tanker</c:v>
                </c:pt>
              </c:strCache>
            </c:strRef>
          </c:cat>
          <c:val>
            <c:numRef>
              <c:f>Sheet1!$B$2:$B$5</c:f>
              <c:numCache>
                <c:formatCode>0%</c:formatCode>
                <c:ptCount val="4"/>
                <c:pt idx="0">
                  <c:v>0.13</c:v>
                </c:pt>
                <c:pt idx="1">
                  <c:v>0.41</c:v>
                </c:pt>
                <c:pt idx="2">
                  <c:v>0.38</c:v>
                </c:pt>
                <c:pt idx="3">
                  <c:v>0.08</c:v>
                </c:pt>
              </c:numCache>
            </c:numRef>
          </c:val>
          <c:extLst>
            <c:ext xmlns:c16="http://schemas.microsoft.com/office/drawing/2014/chart" uri="{C3380CC4-5D6E-409C-BE32-E72D297353CC}">
              <c16:uniqueId val="{00000006-32E3-4D29-A91B-5D03D1EB96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B8FC-1ACF-4EE6-9286-AC39273D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Editor-22</cp:lastModifiedBy>
  <cp:revision>7</cp:revision>
  <dcterms:created xsi:type="dcterms:W3CDTF">2025-01-13T13:52:00Z</dcterms:created>
  <dcterms:modified xsi:type="dcterms:W3CDTF">2025-05-13T09:16:00Z</dcterms:modified>
</cp:coreProperties>
</file>