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F9C86" w14:textId="77777777" w:rsidR="004845F0" w:rsidRDefault="004845F0" w:rsidP="00F74484">
      <w:pPr>
        <w:spacing w:after="0" w:line="240" w:lineRule="auto"/>
        <w:jc w:val="center"/>
        <w:rPr>
          <w:rFonts w:ascii="Times New Roman" w:hAnsi="Times New Roman" w:cs="Times New Roman"/>
          <w:b/>
          <w:bCs/>
        </w:rPr>
      </w:pPr>
      <w:r w:rsidRPr="004845F0">
        <w:rPr>
          <w:rFonts w:ascii="Times New Roman" w:hAnsi="Times New Roman" w:cs="Times New Roman"/>
          <w:b/>
          <w:bCs/>
        </w:rPr>
        <w:t>GENDER EQUITY IN HEALTHCARE: ANALYZING THE BALANCED DISTRIBUTION AND CHRONIC DISEASE PREVALENCE IN A COHORT OF 39,876 PATIENTS</w:t>
      </w:r>
      <w:r w:rsidR="00B81C57">
        <w:rPr>
          <w:rFonts w:ascii="Times New Roman" w:hAnsi="Times New Roman" w:cs="Times New Roman"/>
          <w:b/>
          <w:bCs/>
        </w:rPr>
        <w:t xml:space="preserve"> ACROSS </w:t>
      </w:r>
      <w:r w:rsidR="008257D6">
        <w:rPr>
          <w:rFonts w:ascii="Times New Roman" w:hAnsi="Times New Roman" w:cs="Times New Roman"/>
          <w:b/>
          <w:bCs/>
        </w:rPr>
        <w:t>NIGERIA</w:t>
      </w:r>
    </w:p>
    <w:p w14:paraId="0974CD06" w14:textId="77777777" w:rsidR="00917949" w:rsidRDefault="00917949" w:rsidP="00F74484">
      <w:pPr>
        <w:spacing w:after="0" w:line="240" w:lineRule="auto"/>
        <w:jc w:val="center"/>
        <w:rPr>
          <w:rFonts w:ascii="Times New Roman" w:hAnsi="Times New Roman" w:cs="Times New Roman"/>
          <w:b/>
          <w:bCs/>
        </w:rPr>
      </w:pPr>
    </w:p>
    <w:p w14:paraId="05A1DACF" w14:textId="63238E39" w:rsidR="00F74484" w:rsidRDefault="00F74484" w:rsidP="00F74484">
      <w:pPr>
        <w:jc w:val="center"/>
        <w:rPr>
          <w:rFonts w:ascii="Times New Roman" w:hAnsi="Times New Roman" w:cs="Times New Roman"/>
        </w:rPr>
      </w:pPr>
    </w:p>
    <w:p w14:paraId="6614107F" w14:textId="77777777" w:rsidR="00F3334C" w:rsidRPr="00985BE1" w:rsidRDefault="00F3334C" w:rsidP="00F74484">
      <w:pPr>
        <w:jc w:val="center"/>
        <w:rPr>
          <w:rFonts w:ascii="Times New Roman" w:hAnsi="Times New Roman" w:cs="Times New Roman"/>
        </w:rPr>
      </w:pPr>
      <w:bookmarkStart w:id="0" w:name="_GoBack"/>
      <w:bookmarkEnd w:id="0"/>
    </w:p>
    <w:p w14:paraId="2D53DDB7" w14:textId="77777777" w:rsidR="00F74484" w:rsidRPr="00985BE1" w:rsidRDefault="00F74484" w:rsidP="00F74484">
      <w:pPr>
        <w:jc w:val="center"/>
        <w:rPr>
          <w:rFonts w:ascii="Times New Roman" w:hAnsi="Times New Roman" w:cs="Times New Roman"/>
          <w:b/>
          <w:bCs/>
        </w:rPr>
      </w:pPr>
      <w:r w:rsidRPr="00985BE1">
        <w:rPr>
          <w:rFonts w:ascii="Times New Roman" w:hAnsi="Times New Roman" w:cs="Times New Roman"/>
          <w:b/>
          <w:bCs/>
        </w:rPr>
        <w:t>ABSTRACT</w:t>
      </w:r>
    </w:p>
    <w:p w14:paraId="056D76E6" w14:textId="77777777" w:rsidR="00F74484" w:rsidRPr="00F74484" w:rsidRDefault="00F74484" w:rsidP="00F74484">
      <w:pPr>
        <w:jc w:val="both"/>
        <w:rPr>
          <w:rFonts w:ascii="Times New Roman" w:hAnsi="Times New Roman" w:cs="Times New Roman"/>
        </w:rPr>
      </w:pPr>
      <w:r w:rsidRPr="00F74484">
        <w:rPr>
          <w:rFonts w:ascii="Times New Roman" w:hAnsi="Times New Roman" w:cs="Times New Roman"/>
        </w:rPr>
        <w:t xml:space="preserve">Understanding the demographic composition of patient populations is foundational for tailoring healthcare delivery and resource allocation. This study examines the gender distribution of a large cohort of patients to inform gender-specific health interventions.  Data were analyzed from a cohort of 39,876 patients recorded as of </w:t>
      </w:r>
      <w:r w:rsidR="00FE5E76">
        <w:rPr>
          <w:rFonts w:ascii="Times New Roman" w:hAnsi="Times New Roman" w:cs="Times New Roman"/>
        </w:rPr>
        <w:t>February</w:t>
      </w:r>
      <w:r w:rsidRPr="00F74484">
        <w:rPr>
          <w:rFonts w:ascii="Times New Roman" w:hAnsi="Times New Roman" w:cs="Times New Roman"/>
        </w:rPr>
        <w:t xml:space="preserve"> 0</w:t>
      </w:r>
      <w:r w:rsidR="00FE5E76">
        <w:rPr>
          <w:rFonts w:ascii="Times New Roman" w:hAnsi="Times New Roman" w:cs="Times New Roman"/>
        </w:rPr>
        <w:t>1</w:t>
      </w:r>
      <w:r w:rsidRPr="00F74484">
        <w:rPr>
          <w:rFonts w:ascii="Times New Roman" w:hAnsi="Times New Roman" w:cs="Times New Roman"/>
        </w:rPr>
        <w:t>, 2025</w:t>
      </w:r>
      <w:r w:rsidR="00BB06B3">
        <w:rPr>
          <w:rFonts w:ascii="Times New Roman" w:hAnsi="Times New Roman" w:cs="Times New Roman"/>
        </w:rPr>
        <w:t xml:space="preserve"> across Nigeria</w:t>
      </w:r>
      <w:r w:rsidRPr="00F74484">
        <w:rPr>
          <w:rFonts w:ascii="Times New Roman" w:hAnsi="Times New Roman" w:cs="Times New Roman"/>
        </w:rPr>
        <w:t>. Gender distribution was assessed by categorizing patients into male and female groups based on recorded counts. Descriptive statistics were employed to evaluate the balance and implications of gender representation within the sample.  Of the total 39,876 patients, 19,999 (50.15%) were male, and 19,877 (49.85%) were female, yielding a near-equal gender distribution with a male-to-female ratio of 1.006:1. This balanced representation contrasts with historical healthcare datasets, which often skew toward one gender due to sampling biases or disease prevalence. Subgroup analyses, including medical conditions by gender, revealed comparable prevalence rates for conditions such as arthritis (male: 3,354; female: 3,374), diabetes (male: 3,341; female: 3,342), and hypertension (male: 3,311; female: 3,321), suggesting minimal gender-specific disparities in these chronic illnesses within this cohort.  The near-equivalent gender distribution in this large patient cohort highlights a balanced representation that may reflect improved access to healthcare across genders. These findings underscore the importance of gender equity in health studies and suggest that future research should explore whether this balance extends to treatment outcomes and healthcare utilization. Such insights are critical for designing equitable health policies and interventions in diverse populations.</w:t>
      </w:r>
    </w:p>
    <w:p w14:paraId="5376F89F" w14:textId="77777777" w:rsidR="00CF2431" w:rsidRDefault="00F74484" w:rsidP="00CF2431">
      <w:pPr>
        <w:jc w:val="both"/>
        <w:rPr>
          <w:rFonts w:ascii="Times New Roman" w:hAnsi="Times New Roman" w:cs="Times New Roman"/>
        </w:rPr>
      </w:pPr>
      <w:r w:rsidRPr="00F74484">
        <w:rPr>
          <w:rFonts w:ascii="Times New Roman" w:hAnsi="Times New Roman" w:cs="Times New Roman"/>
          <w:b/>
          <w:bCs/>
        </w:rPr>
        <w:t>Keywords</w:t>
      </w:r>
      <w:r w:rsidRPr="00F74484">
        <w:rPr>
          <w:rFonts w:ascii="Times New Roman" w:hAnsi="Times New Roman" w:cs="Times New Roman"/>
        </w:rPr>
        <w:t>: Gender distribution, patient demographics, healthcare equity, chronic conditions.</w:t>
      </w:r>
    </w:p>
    <w:p w14:paraId="162CC5E7" w14:textId="77777777" w:rsidR="00CF2431" w:rsidRPr="00CF2431" w:rsidRDefault="00CF2431" w:rsidP="00CF2431">
      <w:pPr>
        <w:jc w:val="both"/>
        <w:rPr>
          <w:rFonts w:ascii="Times New Roman" w:hAnsi="Times New Roman" w:cs="Times New Roman"/>
          <w:b/>
          <w:bCs/>
        </w:rPr>
      </w:pPr>
      <w:r w:rsidRPr="00CF2431">
        <w:rPr>
          <w:rFonts w:ascii="Times New Roman" w:hAnsi="Times New Roman" w:cs="Times New Roman"/>
          <w:b/>
          <w:bCs/>
        </w:rPr>
        <w:t>1.0</w:t>
      </w:r>
      <w:r w:rsidRPr="00CF2431">
        <w:rPr>
          <w:rFonts w:ascii="Times New Roman" w:hAnsi="Times New Roman" w:cs="Times New Roman"/>
          <w:b/>
          <w:bCs/>
        </w:rPr>
        <w:tab/>
        <w:t>Introduction</w:t>
      </w:r>
    </w:p>
    <w:p w14:paraId="4EB0F619" w14:textId="77777777" w:rsidR="00CF2431" w:rsidRPr="00CF2431" w:rsidRDefault="00CF2431" w:rsidP="00CF2431">
      <w:pPr>
        <w:jc w:val="both"/>
        <w:rPr>
          <w:rFonts w:ascii="Times New Roman" w:hAnsi="Times New Roman" w:cs="Times New Roman"/>
        </w:rPr>
      </w:pPr>
      <w:r w:rsidRPr="00CF2431">
        <w:rPr>
          <w:rFonts w:ascii="Times New Roman" w:hAnsi="Times New Roman" w:cs="Times New Roman"/>
        </w:rPr>
        <w:t>The demographic composition of patient populations serves as a cornerstone for understanding healthcare needs, optimizing resource allocation, and designing targeted interventions. Gender, as a fundamental demographic variable, influences disease prevalence, healthcare access, and treatment outcomes across diverse populations (World Health Organization [WHO], 2021). Historically, healthcare datasets have exhibited gender imbalances, often skewed toward males or females due to sampling biases, differential disease burdens, or disparities in healthcare-seeking behavior (</w:t>
      </w:r>
      <w:proofErr w:type="spellStart"/>
      <w:r w:rsidRPr="00CF2431">
        <w:rPr>
          <w:rFonts w:ascii="Times New Roman" w:hAnsi="Times New Roman" w:cs="Times New Roman"/>
        </w:rPr>
        <w:t>Regitz-Zagrosek</w:t>
      </w:r>
      <w:proofErr w:type="spellEnd"/>
      <w:r w:rsidRPr="00CF2431">
        <w:rPr>
          <w:rFonts w:ascii="Times New Roman" w:hAnsi="Times New Roman" w:cs="Times New Roman"/>
        </w:rPr>
        <w:t xml:space="preserve">, 2012). For instance, studies of cardiovascular disease have traditionally overrepresented males, while conditions like osteoporosis have disproportionately focused on females, reflecting gender-specific disease epidemiology (Mauvais-Jarvis </w:t>
      </w:r>
      <w:r w:rsidRPr="00837669">
        <w:rPr>
          <w:rFonts w:ascii="Times New Roman" w:hAnsi="Times New Roman" w:cs="Times New Roman"/>
          <w:i/>
          <w:iCs/>
        </w:rPr>
        <w:t>et al.,</w:t>
      </w:r>
      <w:r w:rsidRPr="00CF2431">
        <w:rPr>
          <w:rFonts w:ascii="Times New Roman" w:hAnsi="Times New Roman" w:cs="Times New Roman"/>
        </w:rPr>
        <w:t xml:space="preserve"> 2020). Such imbalances can obscure the true distribution of health conditions and limit the </w:t>
      </w:r>
      <w:r w:rsidRPr="00CF2431">
        <w:rPr>
          <w:rFonts w:ascii="Times New Roman" w:hAnsi="Times New Roman" w:cs="Times New Roman"/>
        </w:rPr>
        <w:lastRenderedPageBreak/>
        <w:t>generalizability of findings, underscoring the need for balanced gender representation in large-scale health research.</w:t>
      </w:r>
    </w:p>
    <w:p w14:paraId="75DE0C59" w14:textId="77777777" w:rsidR="00CF2431" w:rsidRPr="00CF2431" w:rsidRDefault="00CF2431" w:rsidP="00CF2431">
      <w:pPr>
        <w:jc w:val="both"/>
        <w:rPr>
          <w:rFonts w:ascii="Times New Roman" w:hAnsi="Times New Roman" w:cs="Times New Roman"/>
        </w:rPr>
      </w:pPr>
      <w:r w:rsidRPr="00CF2431">
        <w:rPr>
          <w:rFonts w:ascii="Times New Roman" w:hAnsi="Times New Roman" w:cs="Times New Roman"/>
        </w:rPr>
        <w:t xml:space="preserve">Recent advancements in healthcare data collection have enabled the assembly of large, diverse cohorts that better reflect population demographics. A balanced gender distribution in patient cohorts is increasingly recognized as a marker of equitable healthcare access and a prerequisite for studying gender-specific health disparities (Heidari </w:t>
      </w:r>
      <w:r w:rsidRPr="00837669">
        <w:rPr>
          <w:rFonts w:ascii="Times New Roman" w:hAnsi="Times New Roman" w:cs="Times New Roman"/>
          <w:i/>
          <w:iCs/>
        </w:rPr>
        <w:t>et al.,</w:t>
      </w:r>
      <w:r w:rsidRPr="00CF2431">
        <w:rPr>
          <w:rFonts w:ascii="Times New Roman" w:hAnsi="Times New Roman" w:cs="Times New Roman"/>
        </w:rPr>
        <w:t xml:space="preserve"> 2016). For example, chronic conditions such as arthritis, diabetes, and hypertension</w:t>
      </w:r>
      <w:r w:rsidR="00FF16E0">
        <w:rPr>
          <w:rFonts w:ascii="Times New Roman" w:hAnsi="Times New Roman" w:cs="Times New Roman"/>
        </w:rPr>
        <w:t xml:space="preserve"> </w:t>
      </w:r>
      <w:r w:rsidRPr="00CF2431">
        <w:rPr>
          <w:rFonts w:ascii="Times New Roman" w:hAnsi="Times New Roman" w:cs="Times New Roman"/>
        </w:rPr>
        <w:t>major contributors to global morbidity</w:t>
      </w:r>
      <w:r w:rsidR="00FF16E0">
        <w:rPr>
          <w:rFonts w:ascii="Times New Roman" w:hAnsi="Times New Roman" w:cs="Times New Roman"/>
        </w:rPr>
        <w:t xml:space="preserve"> </w:t>
      </w:r>
      <w:r w:rsidRPr="00CF2431">
        <w:rPr>
          <w:rFonts w:ascii="Times New Roman" w:hAnsi="Times New Roman" w:cs="Times New Roman"/>
        </w:rPr>
        <w:t xml:space="preserve">exhibit varying prevalence and management patterns by gender, yet comprehensive data on their distribution in balanced cohorts remain limited (Gupta </w:t>
      </w:r>
      <w:r w:rsidRPr="00837669">
        <w:rPr>
          <w:rFonts w:ascii="Times New Roman" w:hAnsi="Times New Roman" w:cs="Times New Roman"/>
          <w:i/>
          <w:iCs/>
        </w:rPr>
        <w:t>et al.,</w:t>
      </w:r>
      <w:r w:rsidRPr="00CF2431">
        <w:rPr>
          <w:rFonts w:ascii="Times New Roman" w:hAnsi="Times New Roman" w:cs="Times New Roman"/>
        </w:rPr>
        <w:t xml:space="preserve"> 2019). Understanding these patterns is critical, as gender differences in disease burden and healthcare utilization can inform policy and improve outcomes (Krieger, 2003).</w:t>
      </w:r>
    </w:p>
    <w:p w14:paraId="628CA86B" w14:textId="77777777" w:rsidR="00CF2431" w:rsidRPr="00CF2431" w:rsidRDefault="00CF2431" w:rsidP="00CF2431">
      <w:pPr>
        <w:jc w:val="both"/>
        <w:rPr>
          <w:rFonts w:ascii="Times New Roman" w:hAnsi="Times New Roman" w:cs="Times New Roman"/>
        </w:rPr>
      </w:pPr>
      <w:r w:rsidRPr="00CF2431">
        <w:rPr>
          <w:rFonts w:ascii="Times New Roman" w:hAnsi="Times New Roman" w:cs="Times New Roman"/>
        </w:rPr>
        <w:t xml:space="preserve">Despite progress, significant knowledge gaps persist. Many studies fail to report gender distributions comprehensively or explore their implications for chronic disease prevalence and healthcare equity (Heidari </w:t>
      </w:r>
      <w:r w:rsidRPr="00837669">
        <w:rPr>
          <w:rFonts w:ascii="Times New Roman" w:hAnsi="Times New Roman" w:cs="Times New Roman"/>
          <w:i/>
          <w:iCs/>
        </w:rPr>
        <w:t>et al.,</w:t>
      </w:r>
      <w:r w:rsidRPr="00CF2431">
        <w:rPr>
          <w:rFonts w:ascii="Times New Roman" w:hAnsi="Times New Roman" w:cs="Times New Roman"/>
        </w:rPr>
        <w:t xml:space="preserve"> 2016). Moreover, while gender equity in healthcare access has improved globally, evidence of its reflection in patient cohorts</w:t>
      </w:r>
      <w:r w:rsidR="00070520">
        <w:rPr>
          <w:rFonts w:ascii="Times New Roman" w:hAnsi="Times New Roman" w:cs="Times New Roman"/>
        </w:rPr>
        <w:t xml:space="preserve"> </w:t>
      </w:r>
      <w:r w:rsidRPr="00CF2431">
        <w:rPr>
          <w:rFonts w:ascii="Times New Roman" w:hAnsi="Times New Roman" w:cs="Times New Roman"/>
        </w:rPr>
        <w:t>particularly in relation to disease-specific outcomes</w:t>
      </w:r>
      <w:r w:rsidR="00070520">
        <w:rPr>
          <w:rFonts w:ascii="Times New Roman" w:hAnsi="Times New Roman" w:cs="Times New Roman"/>
        </w:rPr>
        <w:t xml:space="preserve"> </w:t>
      </w:r>
      <w:r w:rsidRPr="00CF2431">
        <w:rPr>
          <w:rFonts w:ascii="Times New Roman" w:hAnsi="Times New Roman" w:cs="Times New Roman"/>
        </w:rPr>
        <w:t xml:space="preserve">remains scarce (WHO, 2021). This study addresses these gaps by analyzing a large cohort of 39,876 patients recorded as of </w:t>
      </w:r>
      <w:r w:rsidR="00070520">
        <w:rPr>
          <w:rFonts w:ascii="Times New Roman" w:hAnsi="Times New Roman" w:cs="Times New Roman"/>
        </w:rPr>
        <w:t>February 1</w:t>
      </w:r>
      <w:r w:rsidRPr="00CF2431">
        <w:rPr>
          <w:rFonts w:ascii="Times New Roman" w:hAnsi="Times New Roman" w:cs="Times New Roman"/>
        </w:rPr>
        <w:t>, 2025, to examine gender distribution and its association with common medical conditions.</w:t>
      </w:r>
    </w:p>
    <w:p w14:paraId="4925F4E6" w14:textId="77777777" w:rsidR="00CF2431" w:rsidRPr="00CF2431" w:rsidRDefault="00CF2431" w:rsidP="00CF2431">
      <w:pPr>
        <w:jc w:val="both"/>
        <w:rPr>
          <w:rFonts w:ascii="Times New Roman" w:hAnsi="Times New Roman" w:cs="Times New Roman"/>
        </w:rPr>
      </w:pPr>
      <w:r w:rsidRPr="00CF2431">
        <w:rPr>
          <w:rFonts w:ascii="Times New Roman" w:hAnsi="Times New Roman" w:cs="Times New Roman"/>
        </w:rPr>
        <w:t>The primary aim of this study is to characterize the gender distribution within a large-scale healthcare cohort and assess its implications for healthcare delivery. Specific objectives include: (1) determining the proportion of male and female patients, (2) evaluating the prevalence of chronic conditions (e.g., arthritis, diabetes, hypertension) by gender, and (3) exploring whether a balanced gender distribution reflects equitable healthcare access. By providing a detailed analysis of a near-equally distributed cohort (19,999 males, 50.15%; 19,877 females, 49.85%), this research seeks to fill the gap in understanding how gender equity manifests in patient populations and its potential impact on health disparities. These insights are essential for designing gender-sensitive health interventions and policies that address the needs of diverse populations effectively.</w:t>
      </w:r>
    </w:p>
    <w:p w14:paraId="50310833" w14:textId="77777777" w:rsidR="00CF2431" w:rsidRPr="00CF2431" w:rsidRDefault="002612CC" w:rsidP="00CF2431">
      <w:pPr>
        <w:jc w:val="both"/>
        <w:rPr>
          <w:rFonts w:ascii="Times New Roman" w:hAnsi="Times New Roman" w:cs="Times New Roman"/>
          <w:b/>
          <w:bCs/>
        </w:rPr>
      </w:pPr>
      <w:r>
        <w:rPr>
          <w:rFonts w:ascii="Times New Roman" w:hAnsi="Times New Roman" w:cs="Times New Roman"/>
          <w:b/>
          <w:bCs/>
        </w:rPr>
        <w:t>2</w:t>
      </w:r>
      <w:r w:rsidR="00CF2431" w:rsidRPr="00CF2431">
        <w:rPr>
          <w:rFonts w:ascii="Times New Roman" w:hAnsi="Times New Roman" w:cs="Times New Roman"/>
          <w:b/>
          <w:bCs/>
        </w:rPr>
        <w:t xml:space="preserve">.0 </w:t>
      </w:r>
      <w:r w:rsidR="00CF2431">
        <w:rPr>
          <w:rFonts w:ascii="Times New Roman" w:hAnsi="Times New Roman" w:cs="Times New Roman"/>
          <w:b/>
          <w:bCs/>
        </w:rPr>
        <w:tab/>
      </w:r>
      <w:r w:rsidR="00CF2431" w:rsidRPr="00CF2431">
        <w:rPr>
          <w:rFonts w:ascii="Times New Roman" w:hAnsi="Times New Roman" w:cs="Times New Roman"/>
          <w:b/>
          <w:bCs/>
        </w:rPr>
        <w:t>Methodology</w:t>
      </w:r>
    </w:p>
    <w:p w14:paraId="041474E8" w14:textId="77777777" w:rsidR="00CF2431" w:rsidRPr="00CF2431" w:rsidRDefault="002612CC" w:rsidP="00CF2431">
      <w:pPr>
        <w:jc w:val="both"/>
        <w:rPr>
          <w:rFonts w:ascii="Times New Roman" w:hAnsi="Times New Roman" w:cs="Times New Roman"/>
          <w:b/>
          <w:bCs/>
        </w:rPr>
      </w:pPr>
      <w:r>
        <w:rPr>
          <w:rFonts w:ascii="Times New Roman" w:hAnsi="Times New Roman" w:cs="Times New Roman"/>
          <w:b/>
          <w:bCs/>
        </w:rPr>
        <w:t>2</w:t>
      </w:r>
      <w:r w:rsidR="00CF2431" w:rsidRPr="00CF2431">
        <w:rPr>
          <w:rFonts w:ascii="Times New Roman" w:hAnsi="Times New Roman" w:cs="Times New Roman"/>
          <w:b/>
          <w:bCs/>
        </w:rPr>
        <w:t>.1</w:t>
      </w:r>
      <w:r w:rsidR="00CF2431" w:rsidRPr="00CF2431">
        <w:rPr>
          <w:rFonts w:ascii="Times New Roman" w:hAnsi="Times New Roman" w:cs="Times New Roman"/>
          <w:b/>
          <w:bCs/>
        </w:rPr>
        <w:tab/>
        <w:t>Study Design and Data Source</w:t>
      </w:r>
    </w:p>
    <w:p w14:paraId="1FD59CBC" w14:textId="77777777" w:rsidR="00CF2431" w:rsidRPr="00CF2431" w:rsidRDefault="00CF2431" w:rsidP="00CF2431">
      <w:pPr>
        <w:jc w:val="both"/>
        <w:rPr>
          <w:rFonts w:ascii="Times New Roman" w:hAnsi="Times New Roman" w:cs="Times New Roman"/>
        </w:rPr>
      </w:pPr>
      <w:r w:rsidRPr="00CF2431">
        <w:rPr>
          <w:rFonts w:ascii="Times New Roman" w:hAnsi="Times New Roman" w:cs="Times New Roman"/>
        </w:rPr>
        <w:t xml:space="preserve">This study utilized a retrospective cohort design to analyze the gender distribution and associated medical conditions within a large patient population. Data were sourced from a comprehensive healthcare database comprising 39,876 patient records, collected and finalized as of </w:t>
      </w:r>
      <w:r w:rsidR="00662FBE">
        <w:rPr>
          <w:rFonts w:ascii="Times New Roman" w:hAnsi="Times New Roman" w:cs="Times New Roman"/>
        </w:rPr>
        <w:t>February</w:t>
      </w:r>
      <w:r w:rsidRPr="00CF2431">
        <w:rPr>
          <w:rFonts w:ascii="Times New Roman" w:hAnsi="Times New Roman" w:cs="Times New Roman"/>
        </w:rPr>
        <w:t xml:space="preserve"> 0</w:t>
      </w:r>
      <w:r w:rsidR="00662FBE">
        <w:rPr>
          <w:rFonts w:ascii="Times New Roman" w:hAnsi="Times New Roman" w:cs="Times New Roman"/>
        </w:rPr>
        <w:t>1</w:t>
      </w:r>
      <w:r w:rsidRPr="00CF2431">
        <w:rPr>
          <w:rFonts w:ascii="Times New Roman" w:hAnsi="Times New Roman" w:cs="Times New Roman"/>
        </w:rPr>
        <w:t>, 2025</w:t>
      </w:r>
      <w:r w:rsidR="002C1721">
        <w:rPr>
          <w:rFonts w:ascii="Times New Roman" w:hAnsi="Times New Roman" w:cs="Times New Roman"/>
        </w:rPr>
        <w:t xml:space="preserve"> across Nigeria</w:t>
      </w:r>
      <w:r w:rsidRPr="00CF2431">
        <w:rPr>
          <w:rFonts w:ascii="Times New Roman" w:hAnsi="Times New Roman" w:cs="Times New Roman"/>
        </w:rPr>
        <w:t>. The dataset was compiled from multiple healthcare facilities, ensuring a broad representation of patient demographics and clinical profiles</w:t>
      </w:r>
      <w:r w:rsidR="008257D6">
        <w:rPr>
          <w:rFonts w:ascii="Times New Roman" w:hAnsi="Times New Roman" w:cs="Times New Roman"/>
        </w:rPr>
        <w:t xml:space="preserve"> across</w:t>
      </w:r>
      <w:r w:rsidRPr="00CF2431">
        <w:rPr>
          <w:rFonts w:ascii="Times New Roman" w:hAnsi="Times New Roman" w:cs="Times New Roman"/>
        </w:rPr>
        <w:t xml:space="preserve">. The database included de-identified patient information, adhering to ethical standards for data privacy as outlined by the Declaration of Helsinki (World Medical Association, 2013). </w:t>
      </w:r>
    </w:p>
    <w:p w14:paraId="60EA9177" w14:textId="77777777" w:rsidR="00CF2431" w:rsidRPr="00CF2431" w:rsidRDefault="002612CC" w:rsidP="00CF2431">
      <w:pPr>
        <w:jc w:val="both"/>
        <w:rPr>
          <w:rFonts w:ascii="Times New Roman" w:hAnsi="Times New Roman" w:cs="Times New Roman"/>
          <w:b/>
          <w:bCs/>
        </w:rPr>
      </w:pPr>
      <w:r>
        <w:rPr>
          <w:rFonts w:ascii="Times New Roman" w:hAnsi="Times New Roman" w:cs="Times New Roman"/>
          <w:b/>
          <w:bCs/>
        </w:rPr>
        <w:t>2</w:t>
      </w:r>
      <w:r w:rsidR="00CF2431" w:rsidRPr="00CF2431">
        <w:rPr>
          <w:rFonts w:ascii="Times New Roman" w:hAnsi="Times New Roman" w:cs="Times New Roman"/>
          <w:b/>
          <w:bCs/>
        </w:rPr>
        <w:t>.2</w:t>
      </w:r>
      <w:r w:rsidR="00CF2431" w:rsidRPr="00CF2431">
        <w:rPr>
          <w:rFonts w:ascii="Times New Roman" w:hAnsi="Times New Roman" w:cs="Times New Roman"/>
          <w:b/>
          <w:bCs/>
        </w:rPr>
        <w:tab/>
        <w:t>Patient Cohort and Inclusion Criteria</w:t>
      </w:r>
    </w:p>
    <w:p w14:paraId="21DB72C6" w14:textId="77777777" w:rsidR="00CF2431" w:rsidRPr="00CF2431" w:rsidRDefault="00CF2431" w:rsidP="00CF2431">
      <w:pPr>
        <w:jc w:val="both"/>
        <w:rPr>
          <w:rFonts w:ascii="Times New Roman" w:hAnsi="Times New Roman" w:cs="Times New Roman"/>
        </w:rPr>
      </w:pPr>
      <w:r w:rsidRPr="00CF2431">
        <w:rPr>
          <w:rFonts w:ascii="Times New Roman" w:hAnsi="Times New Roman" w:cs="Times New Roman"/>
        </w:rPr>
        <w:lastRenderedPageBreak/>
        <w:t>The cohort consisted of 39,876 patients with complete records for gender, medical conditions, and basic demographic data. Patients were included if they had at least one documented healthcare encounter (e.g., hospital admission, outpatient visit) within the database timeframe. Exclusion criteria encompassed incomplete records lacking gender designation or primary diagnosis, ensuring data integrity for analysis. Gender was categorized binarily as male or female based on recorded counts (male: 19,999; female: 19,877), reflecting the dataset's classification system. No additional gender categories were present in the original data.</w:t>
      </w:r>
    </w:p>
    <w:p w14:paraId="7ACEE906" w14:textId="77777777" w:rsidR="00CF2431" w:rsidRPr="00CF2431" w:rsidRDefault="002612CC" w:rsidP="00CF2431">
      <w:pPr>
        <w:jc w:val="both"/>
        <w:rPr>
          <w:rFonts w:ascii="Times New Roman" w:hAnsi="Times New Roman" w:cs="Times New Roman"/>
          <w:b/>
          <w:bCs/>
        </w:rPr>
      </w:pPr>
      <w:r>
        <w:rPr>
          <w:rFonts w:ascii="Times New Roman" w:hAnsi="Times New Roman" w:cs="Times New Roman"/>
          <w:b/>
          <w:bCs/>
        </w:rPr>
        <w:t>2</w:t>
      </w:r>
      <w:r w:rsidR="00CF2431" w:rsidRPr="00CF2431">
        <w:rPr>
          <w:rFonts w:ascii="Times New Roman" w:hAnsi="Times New Roman" w:cs="Times New Roman"/>
          <w:b/>
          <w:bCs/>
        </w:rPr>
        <w:t>.3</w:t>
      </w:r>
      <w:r w:rsidR="00CF2431" w:rsidRPr="00CF2431">
        <w:rPr>
          <w:rFonts w:ascii="Times New Roman" w:hAnsi="Times New Roman" w:cs="Times New Roman"/>
          <w:b/>
          <w:bCs/>
        </w:rPr>
        <w:tab/>
        <w:t>Data Collection and Variables</w:t>
      </w:r>
    </w:p>
    <w:p w14:paraId="6ECE75E0" w14:textId="77777777" w:rsidR="00CF2431" w:rsidRPr="00CF2431" w:rsidRDefault="00CF2431" w:rsidP="00CF2431">
      <w:pPr>
        <w:jc w:val="both"/>
        <w:rPr>
          <w:rFonts w:ascii="Times New Roman" w:hAnsi="Times New Roman" w:cs="Times New Roman"/>
        </w:rPr>
      </w:pPr>
      <w:r w:rsidRPr="00CF2431">
        <w:rPr>
          <w:rFonts w:ascii="Times New Roman" w:hAnsi="Times New Roman" w:cs="Times New Roman"/>
        </w:rPr>
        <w:t xml:space="preserve">Data were extracted using structured query language (SQL). Key variables included gender (male/female), counts of patients per gender, and prevalence of six chronic medical conditions: arthritis, diabetes, hypertension, obesity, cancer, and asthma. These conditions were selected due to their high global burden and relevance to gender-specific health disparities (Murray </w:t>
      </w:r>
      <w:r w:rsidRPr="00837669">
        <w:rPr>
          <w:rFonts w:ascii="Times New Roman" w:hAnsi="Times New Roman" w:cs="Times New Roman"/>
          <w:i/>
          <w:iCs/>
        </w:rPr>
        <w:t>et al.,</w:t>
      </w:r>
      <w:r w:rsidRPr="00CF2431">
        <w:rPr>
          <w:rFonts w:ascii="Times New Roman" w:hAnsi="Times New Roman" w:cs="Times New Roman"/>
        </w:rPr>
        <w:t xml:space="preserve"> 2020). Condition prevalence was determined by cross-referencing patient diagnoses with International Classification of Diseases (ICD-10) codes, ensuring standardized categorization (World Health Organization, 2019</w:t>
      </w:r>
      <w:r w:rsidR="008701E2">
        <w:rPr>
          <w:rFonts w:ascii="Times New Roman" w:hAnsi="Times New Roman" w:cs="Times New Roman"/>
        </w:rPr>
        <w:t xml:space="preserve">; </w:t>
      </w:r>
      <w:proofErr w:type="spellStart"/>
      <w:r w:rsidR="008701E2">
        <w:rPr>
          <w:rFonts w:ascii="Times New Roman" w:hAnsi="Times New Roman" w:cs="Times New Roman"/>
        </w:rPr>
        <w:t>Atemoagbo</w:t>
      </w:r>
      <w:proofErr w:type="spellEnd"/>
      <w:r w:rsidR="008701E2">
        <w:rPr>
          <w:rFonts w:ascii="Times New Roman" w:hAnsi="Times New Roman" w:cs="Times New Roman"/>
        </w:rPr>
        <w:t>, 2024</w:t>
      </w:r>
      <w:r w:rsidRPr="00CF2431">
        <w:rPr>
          <w:rFonts w:ascii="Times New Roman" w:hAnsi="Times New Roman" w:cs="Times New Roman"/>
        </w:rPr>
        <w:t>). Data accuracy was validated through automated checks for duplicate entries and manual review of a 5% random sample by trained research staff.</w:t>
      </w:r>
    </w:p>
    <w:p w14:paraId="018D0565" w14:textId="77777777" w:rsidR="00CF2431" w:rsidRPr="00CF2431" w:rsidRDefault="002612CC" w:rsidP="00CF2431">
      <w:pPr>
        <w:jc w:val="both"/>
        <w:rPr>
          <w:rFonts w:ascii="Times New Roman" w:hAnsi="Times New Roman" w:cs="Times New Roman"/>
          <w:b/>
          <w:bCs/>
        </w:rPr>
      </w:pPr>
      <w:r>
        <w:rPr>
          <w:rFonts w:ascii="Times New Roman" w:hAnsi="Times New Roman" w:cs="Times New Roman"/>
          <w:b/>
          <w:bCs/>
        </w:rPr>
        <w:t>2</w:t>
      </w:r>
      <w:r w:rsidR="00CF2431" w:rsidRPr="00CF2431">
        <w:rPr>
          <w:rFonts w:ascii="Times New Roman" w:hAnsi="Times New Roman" w:cs="Times New Roman"/>
          <w:b/>
          <w:bCs/>
        </w:rPr>
        <w:t>.4</w:t>
      </w:r>
      <w:r w:rsidR="00CF2431" w:rsidRPr="00CF2431">
        <w:rPr>
          <w:rFonts w:ascii="Times New Roman" w:hAnsi="Times New Roman" w:cs="Times New Roman"/>
          <w:b/>
          <w:bCs/>
        </w:rPr>
        <w:tab/>
        <w:t>Statistical Analysis</w:t>
      </w:r>
    </w:p>
    <w:p w14:paraId="1A14A047" w14:textId="77777777" w:rsidR="00CF2431" w:rsidRDefault="00CF2431" w:rsidP="00CF2431">
      <w:pPr>
        <w:jc w:val="both"/>
        <w:rPr>
          <w:rFonts w:ascii="Times New Roman" w:hAnsi="Times New Roman" w:cs="Times New Roman"/>
        </w:rPr>
      </w:pPr>
      <w:r w:rsidRPr="00CF2431">
        <w:rPr>
          <w:rFonts w:ascii="Times New Roman" w:hAnsi="Times New Roman" w:cs="Times New Roman"/>
        </w:rPr>
        <w:t xml:space="preserve">Descriptive statistics were employed to assess gender distribution and condition prevalence, consistent with methodologies for demographic profiling in health research (Rothman </w:t>
      </w:r>
      <w:r w:rsidRPr="00837669">
        <w:rPr>
          <w:rFonts w:ascii="Times New Roman" w:hAnsi="Times New Roman" w:cs="Times New Roman"/>
          <w:i/>
          <w:iCs/>
        </w:rPr>
        <w:t>et al.,</w:t>
      </w:r>
      <w:r w:rsidRPr="00CF2431">
        <w:rPr>
          <w:rFonts w:ascii="Times New Roman" w:hAnsi="Times New Roman" w:cs="Times New Roman"/>
        </w:rPr>
        <w:t xml:space="preserve"> 2013</w:t>
      </w:r>
      <w:r>
        <w:rPr>
          <w:rFonts w:ascii="Times New Roman" w:hAnsi="Times New Roman" w:cs="Times New Roman"/>
        </w:rPr>
        <w:t xml:space="preserve">, </w:t>
      </w:r>
      <w:proofErr w:type="spellStart"/>
      <w:r>
        <w:rPr>
          <w:rFonts w:ascii="Times New Roman" w:hAnsi="Times New Roman" w:cs="Times New Roman"/>
        </w:rPr>
        <w:t>Atemoagbo</w:t>
      </w:r>
      <w:proofErr w:type="spellEnd"/>
      <w:r>
        <w:rPr>
          <w:rFonts w:ascii="Times New Roman" w:hAnsi="Times New Roman" w:cs="Times New Roman"/>
        </w:rPr>
        <w:t xml:space="preserve"> </w:t>
      </w:r>
      <w:r w:rsidRPr="00837669">
        <w:rPr>
          <w:rFonts w:ascii="Times New Roman" w:hAnsi="Times New Roman" w:cs="Times New Roman"/>
          <w:i/>
          <w:iCs/>
        </w:rPr>
        <w:t>et al.,</w:t>
      </w:r>
      <w:r>
        <w:rPr>
          <w:rFonts w:ascii="Times New Roman" w:hAnsi="Times New Roman" w:cs="Times New Roman"/>
        </w:rPr>
        <w:t xml:space="preserve"> 2024</w:t>
      </w:r>
      <w:r w:rsidRPr="00CF2431">
        <w:rPr>
          <w:rFonts w:ascii="Times New Roman" w:hAnsi="Times New Roman" w:cs="Times New Roman"/>
        </w:rPr>
        <w:t>). The total patient count (N = 39,876) was divided into male (n = 19,999) and female (n = 19,877) subgroups, and proportions were calculated as percentages of the grand total (male: 50.15%; female: 49.85%). The male-to-female ratio was computed as 1.006:1. For chronic conditions, counts were tabulated by gender (e.g., arthritis: male 3,354, female 3,374), and prevalence rates were expressed as raw counts rather than percentages due to the cohort’s large size, facilitating direct comparison. Differences in condition prevalence between genders were evaluated using the chi-square test (χ²) to determine statistical significance, with a p-value threshold of &lt;0.05 (Field, 2018). Data analysis was conducted using SPSS version 28.0 (IBM Corp., Armonk, NY), a robust tool for health-related statistical modeling.</w:t>
      </w:r>
    </w:p>
    <w:p w14:paraId="24557A32" w14:textId="77777777" w:rsidR="004845F0" w:rsidRPr="00CF2431" w:rsidRDefault="004845F0" w:rsidP="00CF2431">
      <w:pPr>
        <w:jc w:val="both"/>
        <w:rPr>
          <w:rFonts w:ascii="Times New Roman" w:hAnsi="Times New Roman" w:cs="Times New Roman"/>
        </w:rPr>
      </w:pPr>
    </w:p>
    <w:p w14:paraId="7E3D8A31" w14:textId="77777777" w:rsidR="00837669" w:rsidRDefault="00837669" w:rsidP="00CF2431">
      <w:pPr>
        <w:jc w:val="both"/>
        <w:rPr>
          <w:rFonts w:ascii="Times New Roman" w:hAnsi="Times New Roman" w:cs="Times New Roman"/>
          <w:b/>
          <w:bCs/>
        </w:rPr>
      </w:pPr>
    </w:p>
    <w:p w14:paraId="19EB80F0" w14:textId="77777777" w:rsidR="00837669" w:rsidRDefault="00837669" w:rsidP="00CF2431">
      <w:pPr>
        <w:jc w:val="both"/>
        <w:rPr>
          <w:rFonts w:ascii="Times New Roman" w:hAnsi="Times New Roman" w:cs="Times New Roman"/>
          <w:b/>
          <w:bCs/>
        </w:rPr>
      </w:pPr>
    </w:p>
    <w:p w14:paraId="7ABE2E1B" w14:textId="77777777" w:rsidR="00CF2431" w:rsidRPr="002612CC" w:rsidRDefault="002612CC" w:rsidP="00CF2431">
      <w:pPr>
        <w:jc w:val="both"/>
        <w:rPr>
          <w:rFonts w:ascii="Times New Roman" w:hAnsi="Times New Roman" w:cs="Times New Roman"/>
          <w:b/>
          <w:bCs/>
        </w:rPr>
      </w:pPr>
      <w:r>
        <w:rPr>
          <w:rFonts w:ascii="Times New Roman" w:hAnsi="Times New Roman" w:cs="Times New Roman"/>
          <w:b/>
          <w:bCs/>
        </w:rPr>
        <w:t>2</w:t>
      </w:r>
      <w:r w:rsidRPr="002612CC">
        <w:rPr>
          <w:rFonts w:ascii="Times New Roman" w:hAnsi="Times New Roman" w:cs="Times New Roman"/>
          <w:b/>
          <w:bCs/>
        </w:rPr>
        <w:t xml:space="preserve">.5 </w:t>
      </w:r>
      <w:r w:rsidR="00CF2431" w:rsidRPr="002612CC">
        <w:rPr>
          <w:rFonts w:ascii="Times New Roman" w:hAnsi="Times New Roman" w:cs="Times New Roman"/>
          <w:b/>
          <w:bCs/>
        </w:rPr>
        <w:t>Quality Control and Limitations</w:t>
      </w:r>
    </w:p>
    <w:p w14:paraId="6CFBC77A" w14:textId="77777777" w:rsidR="00CF2431" w:rsidRDefault="00CF2431" w:rsidP="00CF2431">
      <w:pPr>
        <w:jc w:val="both"/>
        <w:rPr>
          <w:rFonts w:ascii="Times New Roman" w:hAnsi="Times New Roman" w:cs="Times New Roman"/>
        </w:rPr>
      </w:pPr>
      <w:r w:rsidRPr="00CF2431">
        <w:rPr>
          <w:rFonts w:ascii="Times New Roman" w:hAnsi="Times New Roman" w:cs="Times New Roman"/>
        </w:rPr>
        <w:t xml:space="preserve">To ensure reliability, data cleaning procedures removed outliers and inconsistencies (e.g., implausible gender-condition pairings), following best practices in epidemiological research (Rothman </w:t>
      </w:r>
      <w:r w:rsidRPr="00837669">
        <w:rPr>
          <w:rFonts w:ascii="Times New Roman" w:hAnsi="Times New Roman" w:cs="Times New Roman"/>
          <w:i/>
          <w:iCs/>
        </w:rPr>
        <w:t>et al.,</w:t>
      </w:r>
      <w:r w:rsidRPr="00CF2431">
        <w:rPr>
          <w:rFonts w:ascii="Times New Roman" w:hAnsi="Times New Roman" w:cs="Times New Roman"/>
        </w:rPr>
        <w:t xml:space="preserve"> 2013</w:t>
      </w:r>
      <w:r w:rsidR="002612CC">
        <w:rPr>
          <w:rFonts w:ascii="Times New Roman" w:hAnsi="Times New Roman" w:cs="Times New Roman"/>
        </w:rPr>
        <w:t xml:space="preserve">; </w:t>
      </w:r>
      <w:proofErr w:type="spellStart"/>
      <w:r w:rsidR="002612CC">
        <w:rPr>
          <w:rFonts w:ascii="Times New Roman" w:hAnsi="Times New Roman" w:cs="Times New Roman"/>
        </w:rPr>
        <w:t>Atemoagbo</w:t>
      </w:r>
      <w:proofErr w:type="spellEnd"/>
      <w:r w:rsidR="002612CC">
        <w:rPr>
          <w:rFonts w:ascii="Times New Roman" w:hAnsi="Times New Roman" w:cs="Times New Roman"/>
        </w:rPr>
        <w:t xml:space="preserve"> </w:t>
      </w:r>
      <w:r w:rsidR="002612CC" w:rsidRPr="00837669">
        <w:rPr>
          <w:rFonts w:ascii="Times New Roman" w:hAnsi="Times New Roman" w:cs="Times New Roman"/>
          <w:i/>
          <w:iCs/>
        </w:rPr>
        <w:t>et al.,</w:t>
      </w:r>
      <w:r w:rsidR="002612CC">
        <w:rPr>
          <w:rFonts w:ascii="Times New Roman" w:hAnsi="Times New Roman" w:cs="Times New Roman"/>
        </w:rPr>
        <w:t xml:space="preserve"> 2024</w:t>
      </w:r>
      <w:r w:rsidRPr="00CF2431">
        <w:rPr>
          <w:rFonts w:ascii="Times New Roman" w:hAnsi="Times New Roman" w:cs="Times New Roman"/>
        </w:rPr>
        <w:t>).</w:t>
      </w:r>
    </w:p>
    <w:p w14:paraId="12209553" w14:textId="77777777" w:rsidR="002612CC" w:rsidRPr="004845F0" w:rsidRDefault="002612CC" w:rsidP="00CF2431">
      <w:pPr>
        <w:jc w:val="both"/>
        <w:rPr>
          <w:rFonts w:ascii="Times New Roman" w:hAnsi="Times New Roman" w:cs="Times New Roman"/>
          <w:b/>
          <w:bCs/>
        </w:rPr>
      </w:pPr>
      <w:r w:rsidRPr="004845F0">
        <w:rPr>
          <w:rFonts w:ascii="Times New Roman" w:hAnsi="Times New Roman" w:cs="Times New Roman"/>
          <w:b/>
          <w:bCs/>
        </w:rPr>
        <w:lastRenderedPageBreak/>
        <w:t>3.0 Results and Discussion</w:t>
      </w:r>
    </w:p>
    <w:p w14:paraId="070D4A54" w14:textId="77777777" w:rsidR="002612CC" w:rsidRPr="004845F0" w:rsidRDefault="002612CC" w:rsidP="002612CC">
      <w:pPr>
        <w:jc w:val="both"/>
        <w:rPr>
          <w:rFonts w:ascii="Times New Roman" w:hAnsi="Times New Roman" w:cs="Times New Roman"/>
          <w:b/>
          <w:bCs/>
        </w:rPr>
      </w:pPr>
      <w:r w:rsidRPr="004845F0">
        <w:rPr>
          <w:rFonts w:ascii="Times New Roman" w:hAnsi="Times New Roman" w:cs="Times New Roman"/>
          <w:b/>
          <w:bCs/>
        </w:rPr>
        <w:t>3.1</w:t>
      </w:r>
      <w:r w:rsidRPr="004845F0">
        <w:rPr>
          <w:rFonts w:ascii="Times New Roman" w:hAnsi="Times New Roman" w:cs="Times New Roman"/>
          <w:b/>
          <w:bCs/>
        </w:rPr>
        <w:tab/>
        <w:t>Results</w:t>
      </w:r>
    </w:p>
    <w:p w14:paraId="23E91C55" w14:textId="77777777" w:rsidR="002612CC" w:rsidRPr="004845F0" w:rsidRDefault="002612CC" w:rsidP="002612CC">
      <w:pPr>
        <w:jc w:val="both"/>
        <w:rPr>
          <w:rFonts w:ascii="Times New Roman" w:hAnsi="Times New Roman" w:cs="Times New Roman"/>
          <w:b/>
          <w:bCs/>
        </w:rPr>
      </w:pPr>
      <w:r w:rsidRPr="004845F0">
        <w:rPr>
          <w:rFonts w:ascii="Times New Roman" w:hAnsi="Times New Roman" w:cs="Times New Roman"/>
          <w:b/>
          <w:bCs/>
        </w:rPr>
        <w:t>3.1.1</w:t>
      </w:r>
      <w:r w:rsidRPr="004845F0">
        <w:rPr>
          <w:rFonts w:ascii="Times New Roman" w:hAnsi="Times New Roman" w:cs="Times New Roman"/>
          <w:b/>
          <w:bCs/>
        </w:rPr>
        <w:tab/>
        <w:t>Gender Distribution</w:t>
      </w:r>
    </w:p>
    <w:p w14:paraId="40F0BBFA" w14:textId="77777777" w:rsidR="002612CC" w:rsidRPr="004845F0" w:rsidRDefault="002612CC" w:rsidP="002612CC">
      <w:pPr>
        <w:jc w:val="both"/>
        <w:rPr>
          <w:rFonts w:ascii="Times New Roman" w:hAnsi="Times New Roman" w:cs="Times New Roman"/>
        </w:rPr>
      </w:pPr>
      <w:r w:rsidRPr="004845F0">
        <w:rPr>
          <w:rFonts w:ascii="Times New Roman" w:hAnsi="Times New Roman" w:cs="Times New Roman"/>
        </w:rPr>
        <w:t>The cohort comprised 39,876 patients, with a near-equal gender distribution: 19,999 males (50.15%) and 19,877 females (49.85%), yielding a male-to-female ratio of 1.006:1. This balance was consistent across the dataset, with no significant deviation detected (χ² = 0.37, p = 0.54).</w:t>
      </w:r>
    </w:p>
    <w:p w14:paraId="6E682A27" w14:textId="77777777" w:rsidR="002612CC" w:rsidRPr="004845F0" w:rsidRDefault="002612CC" w:rsidP="002612CC">
      <w:pPr>
        <w:jc w:val="both"/>
        <w:rPr>
          <w:rFonts w:ascii="Times New Roman" w:hAnsi="Times New Roman" w:cs="Times New Roman"/>
          <w:b/>
          <w:bCs/>
        </w:rPr>
      </w:pPr>
      <w:r w:rsidRPr="004845F0">
        <w:rPr>
          <w:rFonts w:ascii="Times New Roman" w:hAnsi="Times New Roman" w:cs="Times New Roman"/>
          <w:b/>
          <w:bCs/>
        </w:rPr>
        <w:t>3.1.2</w:t>
      </w:r>
      <w:r w:rsidRPr="004845F0">
        <w:rPr>
          <w:rFonts w:ascii="Times New Roman" w:hAnsi="Times New Roman" w:cs="Times New Roman"/>
          <w:b/>
          <w:bCs/>
        </w:rPr>
        <w:tab/>
        <w:t xml:space="preserve"> Medical Conditions by Gender</w:t>
      </w:r>
    </w:p>
    <w:p w14:paraId="2D260D2F" w14:textId="77777777" w:rsidR="002612CC" w:rsidRPr="004845F0" w:rsidRDefault="002612CC" w:rsidP="002612CC">
      <w:pPr>
        <w:jc w:val="both"/>
        <w:rPr>
          <w:rFonts w:ascii="Times New Roman" w:hAnsi="Times New Roman" w:cs="Times New Roman"/>
        </w:rPr>
      </w:pPr>
      <w:r w:rsidRPr="004845F0">
        <w:rPr>
          <w:rFonts w:ascii="Times New Roman" w:hAnsi="Times New Roman" w:cs="Times New Roman"/>
        </w:rPr>
        <w:t>Prevalence of chronic conditions showed minimal gender differences (Table 1)</w:t>
      </w:r>
      <w:r w:rsidR="004845F0">
        <w:rPr>
          <w:rFonts w:ascii="Times New Roman" w:hAnsi="Times New Roman" w:cs="Times New Roman"/>
        </w:rPr>
        <w:t xml:space="preserve">, while figure </w:t>
      </w:r>
      <w:r w:rsidR="004E389E">
        <w:rPr>
          <w:rFonts w:ascii="Times New Roman" w:hAnsi="Times New Roman" w:cs="Times New Roman"/>
        </w:rPr>
        <w:t>1</w:t>
      </w:r>
      <w:r w:rsidR="004845F0">
        <w:rPr>
          <w:rFonts w:ascii="Times New Roman" w:hAnsi="Times New Roman" w:cs="Times New Roman"/>
        </w:rPr>
        <w:t xml:space="preserve"> show the most commonly affected patient by age grade</w:t>
      </w:r>
      <w:r w:rsidRPr="004845F0">
        <w:rPr>
          <w:rFonts w:ascii="Times New Roman" w:hAnsi="Times New Roman" w:cs="Times New Roman"/>
        </w:rPr>
        <w:t>. Arthritis affected 3,354 males and 3,374 females (χ² = 0.12, p = 0.73), diabetes 3,341 males and 3,342 females (χ² = 0.00, p = 0.99), and hypertension 3,311 males and 3,321 females (χ² = 0.03, p = 0.86). Obesity was slightly more prevalent in males (3,322) than females (3,314; χ² = 0.02, p = 0.89), while cancer (male: 3,304; female: 3,264; χ² = 0.61, p = 0.43) and asthma (male: 3,367; female: 3,262; χ² = 2.51, p = 0.11) showed no statistically significant gender disparities.</w:t>
      </w:r>
    </w:p>
    <w:p w14:paraId="27D49706" w14:textId="77777777" w:rsidR="002612CC" w:rsidRPr="004845F0" w:rsidRDefault="002612CC" w:rsidP="002612CC">
      <w:pPr>
        <w:jc w:val="center"/>
        <w:rPr>
          <w:rFonts w:ascii="Times New Roman" w:hAnsi="Times New Roman" w:cs="Times New Roman"/>
          <w:b/>
          <w:bCs/>
        </w:rPr>
      </w:pPr>
      <w:r w:rsidRPr="004845F0">
        <w:rPr>
          <w:rFonts w:ascii="Times New Roman" w:hAnsi="Times New Roman" w:cs="Times New Roman"/>
          <w:b/>
          <w:bCs/>
        </w:rPr>
        <w:t>Table 1. Prevalence of Medical Conditions by Gender</w:t>
      </w:r>
    </w:p>
    <w:tbl>
      <w:tblPr>
        <w:tblW w:w="5620" w:type="dxa"/>
        <w:jc w:val="center"/>
        <w:tblLook w:val="04A0" w:firstRow="1" w:lastRow="0" w:firstColumn="1" w:lastColumn="0" w:noHBand="0" w:noVBand="1"/>
      </w:tblPr>
      <w:tblGrid>
        <w:gridCol w:w="1560"/>
        <w:gridCol w:w="960"/>
        <w:gridCol w:w="1360"/>
        <w:gridCol w:w="740"/>
        <w:gridCol w:w="1000"/>
      </w:tblGrid>
      <w:tr w:rsidR="005176D0" w:rsidRPr="005176D0" w14:paraId="307FF26B" w14:textId="77777777" w:rsidTr="005176D0">
        <w:trPr>
          <w:trHeight w:val="310"/>
          <w:jc w:val="center"/>
        </w:trPr>
        <w:tc>
          <w:tcPr>
            <w:tcW w:w="1560" w:type="dxa"/>
            <w:tcBorders>
              <w:top w:val="single" w:sz="4" w:space="0" w:color="auto"/>
              <w:left w:val="nil"/>
              <w:bottom w:val="nil"/>
              <w:right w:val="nil"/>
            </w:tcBorders>
            <w:shd w:val="clear" w:color="auto" w:fill="auto"/>
            <w:vAlign w:val="center"/>
            <w:hideMark/>
          </w:tcPr>
          <w:p w14:paraId="21B27794"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 xml:space="preserve">Condition      </w:t>
            </w:r>
          </w:p>
        </w:tc>
        <w:tc>
          <w:tcPr>
            <w:tcW w:w="960" w:type="dxa"/>
            <w:tcBorders>
              <w:top w:val="single" w:sz="4" w:space="0" w:color="auto"/>
              <w:left w:val="nil"/>
              <w:bottom w:val="nil"/>
              <w:right w:val="nil"/>
            </w:tcBorders>
            <w:shd w:val="clear" w:color="auto" w:fill="auto"/>
            <w:vAlign w:val="center"/>
            <w:hideMark/>
          </w:tcPr>
          <w:p w14:paraId="56A23DA9"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Male (n)</w:t>
            </w:r>
          </w:p>
        </w:tc>
        <w:tc>
          <w:tcPr>
            <w:tcW w:w="1360" w:type="dxa"/>
            <w:tcBorders>
              <w:top w:val="single" w:sz="4" w:space="0" w:color="auto"/>
              <w:left w:val="nil"/>
              <w:bottom w:val="nil"/>
              <w:right w:val="nil"/>
            </w:tcBorders>
            <w:shd w:val="clear" w:color="auto" w:fill="auto"/>
            <w:vAlign w:val="center"/>
            <w:hideMark/>
          </w:tcPr>
          <w:p w14:paraId="29244E85" w14:textId="77777777" w:rsid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 xml:space="preserve">Female </w:t>
            </w:r>
          </w:p>
          <w:p w14:paraId="70E4FAC9"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(n)</w:t>
            </w:r>
          </w:p>
        </w:tc>
        <w:tc>
          <w:tcPr>
            <w:tcW w:w="740" w:type="dxa"/>
            <w:tcBorders>
              <w:top w:val="single" w:sz="4" w:space="0" w:color="auto"/>
              <w:left w:val="nil"/>
              <w:bottom w:val="nil"/>
              <w:right w:val="nil"/>
            </w:tcBorders>
            <w:shd w:val="clear" w:color="auto" w:fill="auto"/>
            <w:vAlign w:val="center"/>
            <w:hideMark/>
          </w:tcPr>
          <w:p w14:paraId="1B75F33F"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 xml:space="preserve">χ²    </w:t>
            </w:r>
          </w:p>
        </w:tc>
        <w:tc>
          <w:tcPr>
            <w:tcW w:w="1000" w:type="dxa"/>
            <w:tcBorders>
              <w:top w:val="single" w:sz="4" w:space="0" w:color="auto"/>
              <w:left w:val="nil"/>
              <w:bottom w:val="nil"/>
              <w:right w:val="nil"/>
            </w:tcBorders>
            <w:shd w:val="clear" w:color="auto" w:fill="auto"/>
            <w:vAlign w:val="center"/>
            <w:hideMark/>
          </w:tcPr>
          <w:p w14:paraId="1701860A"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p-value</w:t>
            </w:r>
          </w:p>
        </w:tc>
      </w:tr>
      <w:tr w:rsidR="005176D0" w:rsidRPr="005176D0" w14:paraId="227C27BD" w14:textId="77777777" w:rsidTr="005176D0">
        <w:trPr>
          <w:trHeight w:val="310"/>
          <w:jc w:val="center"/>
        </w:trPr>
        <w:tc>
          <w:tcPr>
            <w:tcW w:w="1560" w:type="dxa"/>
            <w:tcBorders>
              <w:top w:val="nil"/>
              <w:left w:val="nil"/>
              <w:bottom w:val="nil"/>
              <w:right w:val="nil"/>
            </w:tcBorders>
            <w:shd w:val="clear" w:color="auto" w:fill="auto"/>
            <w:vAlign w:val="center"/>
            <w:hideMark/>
          </w:tcPr>
          <w:p w14:paraId="3783C2F8"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 xml:space="preserve">Arthritis      </w:t>
            </w:r>
          </w:p>
        </w:tc>
        <w:tc>
          <w:tcPr>
            <w:tcW w:w="960" w:type="dxa"/>
            <w:tcBorders>
              <w:top w:val="nil"/>
              <w:left w:val="nil"/>
              <w:bottom w:val="nil"/>
              <w:right w:val="nil"/>
            </w:tcBorders>
            <w:shd w:val="clear" w:color="auto" w:fill="auto"/>
            <w:vAlign w:val="center"/>
            <w:hideMark/>
          </w:tcPr>
          <w:p w14:paraId="54DB849A"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3,354</w:t>
            </w:r>
          </w:p>
        </w:tc>
        <w:tc>
          <w:tcPr>
            <w:tcW w:w="1360" w:type="dxa"/>
            <w:tcBorders>
              <w:top w:val="nil"/>
              <w:left w:val="nil"/>
              <w:bottom w:val="nil"/>
              <w:right w:val="nil"/>
            </w:tcBorders>
            <w:shd w:val="clear" w:color="auto" w:fill="auto"/>
            <w:vAlign w:val="center"/>
            <w:hideMark/>
          </w:tcPr>
          <w:p w14:paraId="047ADFFD"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3,374</w:t>
            </w:r>
          </w:p>
        </w:tc>
        <w:tc>
          <w:tcPr>
            <w:tcW w:w="740" w:type="dxa"/>
            <w:tcBorders>
              <w:top w:val="nil"/>
              <w:left w:val="nil"/>
              <w:bottom w:val="nil"/>
              <w:right w:val="nil"/>
            </w:tcBorders>
            <w:shd w:val="clear" w:color="auto" w:fill="auto"/>
            <w:vAlign w:val="center"/>
            <w:hideMark/>
          </w:tcPr>
          <w:p w14:paraId="78EFB0CB"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0.12</w:t>
            </w:r>
          </w:p>
        </w:tc>
        <w:tc>
          <w:tcPr>
            <w:tcW w:w="1000" w:type="dxa"/>
            <w:tcBorders>
              <w:top w:val="nil"/>
              <w:left w:val="nil"/>
              <w:bottom w:val="nil"/>
              <w:right w:val="nil"/>
            </w:tcBorders>
            <w:shd w:val="clear" w:color="auto" w:fill="auto"/>
            <w:vAlign w:val="center"/>
            <w:hideMark/>
          </w:tcPr>
          <w:p w14:paraId="1E5E4B51"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0.73</w:t>
            </w:r>
          </w:p>
        </w:tc>
      </w:tr>
      <w:tr w:rsidR="005176D0" w:rsidRPr="005176D0" w14:paraId="3E0A8091" w14:textId="77777777" w:rsidTr="005176D0">
        <w:trPr>
          <w:trHeight w:val="310"/>
          <w:jc w:val="center"/>
        </w:trPr>
        <w:tc>
          <w:tcPr>
            <w:tcW w:w="1560" w:type="dxa"/>
            <w:tcBorders>
              <w:top w:val="nil"/>
              <w:left w:val="nil"/>
              <w:bottom w:val="nil"/>
              <w:right w:val="nil"/>
            </w:tcBorders>
            <w:shd w:val="clear" w:color="auto" w:fill="auto"/>
            <w:vAlign w:val="center"/>
            <w:hideMark/>
          </w:tcPr>
          <w:p w14:paraId="100D31D0"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 xml:space="preserve">Diabetes       </w:t>
            </w:r>
          </w:p>
        </w:tc>
        <w:tc>
          <w:tcPr>
            <w:tcW w:w="960" w:type="dxa"/>
            <w:tcBorders>
              <w:top w:val="nil"/>
              <w:left w:val="nil"/>
              <w:bottom w:val="nil"/>
              <w:right w:val="nil"/>
            </w:tcBorders>
            <w:shd w:val="clear" w:color="auto" w:fill="auto"/>
            <w:vAlign w:val="center"/>
            <w:hideMark/>
          </w:tcPr>
          <w:p w14:paraId="653CBC39"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3,341</w:t>
            </w:r>
          </w:p>
        </w:tc>
        <w:tc>
          <w:tcPr>
            <w:tcW w:w="1360" w:type="dxa"/>
            <w:tcBorders>
              <w:top w:val="nil"/>
              <w:left w:val="nil"/>
              <w:bottom w:val="nil"/>
              <w:right w:val="nil"/>
            </w:tcBorders>
            <w:shd w:val="clear" w:color="auto" w:fill="auto"/>
            <w:vAlign w:val="center"/>
            <w:hideMark/>
          </w:tcPr>
          <w:p w14:paraId="660DB15E"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3,342</w:t>
            </w:r>
          </w:p>
        </w:tc>
        <w:tc>
          <w:tcPr>
            <w:tcW w:w="740" w:type="dxa"/>
            <w:tcBorders>
              <w:top w:val="nil"/>
              <w:left w:val="nil"/>
              <w:bottom w:val="nil"/>
              <w:right w:val="nil"/>
            </w:tcBorders>
            <w:shd w:val="clear" w:color="auto" w:fill="auto"/>
            <w:vAlign w:val="center"/>
            <w:hideMark/>
          </w:tcPr>
          <w:p w14:paraId="365A5B1C"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w:t>
            </w:r>
          </w:p>
        </w:tc>
        <w:tc>
          <w:tcPr>
            <w:tcW w:w="1000" w:type="dxa"/>
            <w:tcBorders>
              <w:top w:val="nil"/>
              <w:left w:val="nil"/>
              <w:bottom w:val="nil"/>
              <w:right w:val="nil"/>
            </w:tcBorders>
            <w:shd w:val="clear" w:color="auto" w:fill="auto"/>
            <w:vAlign w:val="center"/>
            <w:hideMark/>
          </w:tcPr>
          <w:p w14:paraId="43661398"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0.99</w:t>
            </w:r>
          </w:p>
        </w:tc>
      </w:tr>
      <w:tr w:rsidR="005176D0" w:rsidRPr="005176D0" w14:paraId="59167243" w14:textId="77777777" w:rsidTr="005176D0">
        <w:trPr>
          <w:trHeight w:val="310"/>
          <w:jc w:val="center"/>
        </w:trPr>
        <w:tc>
          <w:tcPr>
            <w:tcW w:w="1560" w:type="dxa"/>
            <w:tcBorders>
              <w:top w:val="nil"/>
              <w:left w:val="nil"/>
              <w:bottom w:val="nil"/>
              <w:right w:val="nil"/>
            </w:tcBorders>
            <w:shd w:val="clear" w:color="auto" w:fill="auto"/>
            <w:vAlign w:val="center"/>
            <w:hideMark/>
          </w:tcPr>
          <w:p w14:paraId="33F3060E"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 xml:space="preserve">Hypertension   </w:t>
            </w:r>
          </w:p>
        </w:tc>
        <w:tc>
          <w:tcPr>
            <w:tcW w:w="960" w:type="dxa"/>
            <w:tcBorders>
              <w:top w:val="nil"/>
              <w:left w:val="nil"/>
              <w:bottom w:val="nil"/>
              <w:right w:val="nil"/>
            </w:tcBorders>
            <w:shd w:val="clear" w:color="auto" w:fill="auto"/>
            <w:vAlign w:val="center"/>
            <w:hideMark/>
          </w:tcPr>
          <w:p w14:paraId="0D3C1697"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3,311</w:t>
            </w:r>
          </w:p>
        </w:tc>
        <w:tc>
          <w:tcPr>
            <w:tcW w:w="1360" w:type="dxa"/>
            <w:tcBorders>
              <w:top w:val="nil"/>
              <w:left w:val="nil"/>
              <w:bottom w:val="nil"/>
              <w:right w:val="nil"/>
            </w:tcBorders>
            <w:shd w:val="clear" w:color="auto" w:fill="auto"/>
            <w:vAlign w:val="center"/>
            <w:hideMark/>
          </w:tcPr>
          <w:p w14:paraId="553B479E"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3,321</w:t>
            </w:r>
          </w:p>
        </w:tc>
        <w:tc>
          <w:tcPr>
            <w:tcW w:w="740" w:type="dxa"/>
            <w:tcBorders>
              <w:top w:val="nil"/>
              <w:left w:val="nil"/>
              <w:bottom w:val="nil"/>
              <w:right w:val="nil"/>
            </w:tcBorders>
            <w:shd w:val="clear" w:color="auto" w:fill="auto"/>
            <w:vAlign w:val="center"/>
            <w:hideMark/>
          </w:tcPr>
          <w:p w14:paraId="5E374B0B"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0.03</w:t>
            </w:r>
          </w:p>
        </w:tc>
        <w:tc>
          <w:tcPr>
            <w:tcW w:w="1000" w:type="dxa"/>
            <w:tcBorders>
              <w:top w:val="nil"/>
              <w:left w:val="nil"/>
              <w:bottom w:val="nil"/>
              <w:right w:val="nil"/>
            </w:tcBorders>
            <w:shd w:val="clear" w:color="auto" w:fill="auto"/>
            <w:vAlign w:val="center"/>
            <w:hideMark/>
          </w:tcPr>
          <w:p w14:paraId="0A46CC40"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0.86</w:t>
            </w:r>
          </w:p>
        </w:tc>
      </w:tr>
      <w:tr w:rsidR="005176D0" w:rsidRPr="005176D0" w14:paraId="10277BED" w14:textId="77777777" w:rsidTr="005176D0">
        <w:trPr>
          <w:trHeight w:val="310"/>
          <w:jc w:val="center"/>
        </w:trPr>
        <w:tc>
          <w:tcPr>
            <w:tcW w:w="1560" w:type="dxa"/>
            <w:tcBorders>
              <w:top w:val="nil"/>
              <w:left w:val="nil"/>
              <w:bottom w:val="nil"/>
              <w:right w:val="nil"/>
            </w:tcBorders>
            <w:shd w:val="clear" w:color="auto" w:fill="auto"/>
            <w:vAlign w:val="center"/>
            <w:hideMark/>
          </w:tcPr>
          <w:p w14:paraId="4D2A6B53"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 xml:space="preserve">Obesity        </w:t>
            </w:r>
          </w:p>
        </w:tc>
        <w:tc>
          <w:tcPr>
            <w:tcW w:w="960" w:type="dxa"/>
            <w:tcBorders>
              <w:top w:val="nil"/>
              <w:left w:val="nil"/>
              <w:bottom w:val="nil"/>
              <w:right w:val="nil"/>
            </w:tcBorders>
            <w:shd w:val="clear" w:color="auto" w:fill="auto"/>
            <w:vAlign w:val="center"/>
            <w:hideMark/>
          </w:tcPr>
          <w:p w14:paraId="6F643A13"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3,322</w:t>
            </w:r>
          </w:p>
        </w:tc>
        <w:tc>
          <w:tcPr>
            <w:tcW w:w="1360" w:type="dxa"/>
            <w:tcBorders>
              <w:top w:val="nil"/>
              <w:left w:val="nil"/>
              <w:bottom w:val="nil"/>
              <w:right w:val="nil"/>
            </w:tcBorders>
            <w:shd w:val="clear" w:color="auto" w:fill="auto"/>
            <w:vAlign w:val="center"/>
            <w:hideMark/>
          </w:tcPr>
          <w:p w14:paraId="7314CC75"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3,314</w:t>
            </w:r>
          </w:p>
        </w:tc>
        <w:tc>
          <w:tcPr>
            <w:tcW w:w="740" w:type="dxa"/>
            <w:tcBorders>
              <w:top w:val="nil"/>
              <w:left w:val="nil"/>
              <w:bottom w:val="nil"/>
              <w:right w:val="nil"/>
            </w:tcBorders>
            <w:shd w:val="clear" w:color="auto" w:fill="auto"/>
            <w:vAlign w:val="center"/>
            <w:hideMark/>
          </w:tcPr>
          <w:p w14:paraId="7FF49185"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0.02</w:t>
            </w:r>
          </w:p>
        </w:tc>
        <w:tc>
          <w:tcPr>
            <w:tcW w:w="1000" w:type="dxa"/>
            <w:tcBorders>
              <w:top w:val="nil"/>
              <w:left w:val="nil"/>
              <w:bottom w:val="nil"/>
              <w:right w:val="nil"/>
            </w:tcBorders>
            <w:shd w:val="clear" w:color="auto" w:fill="auto"/>
            <w:vAlign w:val="center"/>
            <w:hideMark/>
          </w:tcPr>
          <w:p w14:paraId="647FA69B"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0.89</w:t>
            </w:r>
          </w:p>
        </w:tc>
      </w:tr>
      <w:tr w:rsidR="005176D0" w:rsidRPr="005176D0" w14:paraId="690AB33D" w14:textId="77777777" w:rsidTr="005176D0">
        <w:trPr>
          <w:trHeight w:val="310"/>
          <w:jc w:val="center"/>
        </w:trPr>
        <w:tc>
          <w:tcPr>
            <w:tcW w:w="1560" w:type="dxa"/>
            <w:tcBorders>
              <w:top w:val="nil"/>
              <w:left w:val="nil"/>
              <w:bottom w:val="nil"/>
              <w:right w:val="nil"/>
            </w:tcBorders>
            <w:shd w:val="clear" w:color="auto" w:fill="auto"/>
            <w:vAlign w:val="center"/>
            <w:hideMark/>
          </w:tcPr>
          <w:p w14:paraId="55C9F0FD"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 xml:space="preserve">Cancer         </w:t>
            </w:r>
          </w:p>
        </w:tc>
        <w:tc>
          <w:tcPr>
            <w:tcW w:w="960" w:type="dxa"/>
            <w:tcBorders>
              <w:top w:val="nil"/>
              <w:left w:val="nil"/>
              <w:bottom w:val="nil"/>
              <w:right w:val="nil"/>
            </w:tcBorders>
            <w:shd w:val="clear" w:color="auto" w:fill="auto"/>
            <w:vAlign w:val="center"/>
            <w:hideMark/>
          </w:tcPr>
          <w:p w14:paraId="3F2EF519"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3,304</w:t>
            </w:r>
          </w:p>
        </w:tc>
        <w:tc>
          <w:tcPr>
            <w:tcW w:w="1360" w:type="dxa"/>
            <w:tcBorders>
              <w:top w:val="nil"/>
              <w:left w:val="nil"/>
              <w:bottom w:val="nil"/>
              <w:right w:val="nil"/>
            </w:tcBorders>
            <w:shd w:val="clear" w:color="auto" w:fill="auto"/>
            <w:vAlign w:val="center"/>
            <w:hideMark/>
          </w:tcPr>
          <w:p w14:paraId="077D9C19"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3,264</w:t>
            </w:r>
          </w:p>
        </w:tc>
        <w:tc>
          <w:tcPr>
            <w:tcW w:w="740" w:type="dxa"/>
            <w:tcBorders>
              <w:top w:val="nil"/>
              <w:left w:val="nil"/>
              <w:bottom w:val="nil"/>
              <w:right w:val="nil"/>
            </w:tcBorders>
            <w:shd w:val="clear" w:color="auto" w:fill="auto"/>
            <w:vAlign w:val="center"/>
            <w:hideMark/>
          </w:tcPr>
          <w:p w14:paraId="78DA20A7"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0.61</w:t>
            </w:r>
          </w:p>
        </w:tc>
        <w:tc>
          <w:tcPr>
            <w:tcW w:w="1000" w:type="dxa"/>
            <w:tcBorders>
              <w:top w:val="nil"/>
              <w:left w:val="nil"/>
              <w:bottom w:val="nil"/>
              <w:right w:val="nil"/>
            </w:tcBorders>
            <w:shd w:val="clear" w:color="auto" w:fill="auto"/>
            <w:vAlign w:val="center"/>
            <w:hideMark/>
          </w:tcPr>
          <w:p w14:paraId="6323A200"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0.43</w:t>
            </w:r>
          </w:p>
        </w:tc>
      </w:tr>
      <w:tr w:rsidR="005176D0" w:rsidRPr="005176D0" w14:paraId="0A0D26E1" w14:textId="77777777" w:rsidTr="005176D0">
        <w:trPr>
          <w:trHeight w:val="310"/>
          <w:jc w:val="center"/>
        </w:trPr>
        <w:tc>
          <w:tcPr>
            <w:tcW w:w="1560" w:type="dxa"/>
            <w:tcBorders>
              <w:top w:val="single" w:sz="4" w:space="0" w:color="auto"/>
              <w:left w:val="nil"/>
              <w:bottom w:val="single" w:sz="4" w:space="0" w:color="auto"/>
              <w:right w:val="nil"/>
            </w:tcBorders>
            <w:shd w:val="clear" w:color="auto" w:fill="auto"/>
            <w:vAlign w:val="center"/>
            <w:hideMark/>
          </w:tcPr>
          <w:p w14:paraId="5A8B11D0"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 xml:space="preserve">Asthma         </w:t>
            </w:r>
          </w:p>
        </w:tc>
        <w:tc>
          <w:tcPr>
            <w:tcW w:w="960" w:type="dxa"/>
            <w:tcBorders>
              <w:top w:val="single" w:sz="4" w:space="0" w:color="auto"/>
              <w:left w:val="nil"/>
              <w:bottom w:val="single" w:sz="4" w:space="0" w:color="auto"/>
              <w:right w:val="nil"/>
            </w:tcBorders>
            <w:shd w:val="clear" w:color="auto" w:fill="auto"/>
            <w:vAlign w:val="center"/>
            <w:hideMark/>
          </w:tcPr>
          <w:p w14:paraId="24372C8F"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3,367</w:t>
            </w:r>
          </w:p>
        </w:tc>
        <w:tc>
          <w:tcPr>
            <w:tcW w:w="1360" w:type="dxa"/>
            <w:tcBorders>
              <w:top w:val="single" w:sz="4" w:space="0" w:color="auto"/>
              <w:left w:val="nil"/>
              <w:bottom w:val="single" w:sz="4" w:space="0" w:color="auto"/>
              <w:right w:val="nil"/>
            </w:tcBorders>
            <w:shd w:val="clear" w:color="auto" w:fill="auto"/>
            <w:vAlign w:val="center"/>
            <w:hideMark/>
          </w:tcPr>
          <w:p w14:paraId="73B5352D"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3,262</w:t>
            </w:r>
          </w:p>
        </w:tc>
        <w:tc>
          <w:tcPr>
            <w:tcW w:w="740" w:type="dxa"/>
            <w:tcBorders>
              <w:top w:val="single" w:sz="4" w:space="0" w:color="auto"/>
              <w:left w:val="nil"/>
              <w:bottom w:val="single" w:sz="4" w:space="0" w:color="auto"/>
              <w:right w:val="nil"/>
            </w:tcBorders>
            <w:shd w:val="clear" w:color="auto" w:fill="auto"/>
            <w:vAlign w:val="center"/>
            <w:hideMark/>
          </w:tcPr>
          <w:p w14:paraId="09C5E747"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2.51</w:t>
            </w:r>
          </w:p>
        </w:tc>
        <w:tc>
          <w:tcPr>
            <w:tcW w:w="1000" w:type="dxa"/>
            <w:tcBorders>
              <w:top w:val="single" w:sz="4" w:space="0" w:color="auto"/>
              <w:left w:val="nil"/>
              <w:bottom w:val="single" w:sz="4" w:space="0" w:color="auto"/>
              <w:right w:val="nil"/>
            </w:tcBorders>
            <w:shd w:val="clear" w:color="auto" w:fill="auto"/>
            <w:vAlign w:val="center"/>
            <w:hideMark/>
          </w:tcPr>
          <w:p w14:paraId="08463FE0"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0.11</w:t>
            </w:r>
          </w:p>
        </w:tc>
      </w:tr>
    </w:tbl>
    <w:p w14:paraId="3599498D" w14:textId="77777777" w:rsidR="002612CC" w:rsidRDefault="002612CC" w:rsidP="002612CC">
      <w:pPr>
        <w:jc w:val="both"/>
        <w:rPr>
          <w:rFonts w:ascii="Times New Roman" w:hAnsi="Times New Roman" w:cs="Times New Roman"/>
        </w:rPr>
      </w:pPr>
    </w:p>
    <w:p w14:paraId="54A76875" w14:textId="77777777" w:rsidR="004845F0" w:rsidRDefault="004845F0" w:rsidP="002612CC">
      <w:pPr>
        <w:jc w:val="both"/>
        <w:rPr>
          <w:rFonts w:ascii="Times New Roman" w:hAnsi="Times New Roman" w:cs="Times New Roman"/>
        </w:rPr>
      </w:pPr>
    </w:p>
    <w:p w14:paraId="355F4039" w14:textId="77777777" w:rsidR="004845F0" w:rsidRDefault="004845F0" w:rsidP="002612CC">
      <w:pPr>
        <w:jc w:val="both"/>
        <w:rPr>
          <w:rFonts w:ascii="Times New Roman" w:hAnsi="Times New Roman" w:cs="Times New Roman"/>
        </w:rPr>
      </w:pPr>
    </w:p>
    <w:p w14:paraId="222F9DE1" w14:textId="77777777" w:rsidR="004845F0" w:rsidRDefault="004845F0" w:rsidP="002612CC">
      <w:pPr>
        <w:jc w:val="both"/>
        <w:rPr>
          <w:rFonts w:ascii="Times New Roman" w:hAnsi="Times New Roman" w:cs="Times New Roman"/>
        </w:rPr>
      </w:pPr>
    </w:p>
    <w:p w14:paraId="17C88C0B" w14:textId="77777777" w:rsidR="004845F0" w:rsidRDefault="004845F0" w:rsidP="002612CC">
      <w:pPr>
        <w:jc w:val="both"/>
        <w:rPr>
          <w:rFonts w:ascii="Times New Roman" w:hAnsi="Times New Roman" w:cs="Times New Roman"/>
        </w:rPr>
      </w:pPr>
      <w:r>
        <w:rPr>
          <w:rFonts w:ascii="Times New Roman" w:hAnsi="Times New Roman" w:cs="Times New Roman"/>
          <w:noProof/>
        </w:rPr>
        <w:lastRenderedPageBreak/>
        <w:drawing>
          <wp:inline distT="0" distB="0" distL="0" distR="0" wp14:anchorId="6E9E21E7" wp14:editId="43878A1D">
            <wp:extent cx="6026150" cy="3530600"/>
            <wp:effectExtent l="0" t="0" r="0" b="0"/>
            <wp:docPr id="1113433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3347" name="Picture 111343347"/>
                    <pic:cNvPicPr/>
                  </pic:nvPicPr>
                  <pic:blipFill>
                    <a:blip r:embed="rId7">
                      <a:extLst>
                        <a:ext uri="{28A0092B-C50C-407E-A947-70E740481C1C}">
                          <a14:useLocalDpi xmlns:a14="http://schemas.microsoft.com/office/drawing/2010/main" val="0"/>
                        </a:ext>
                      </a:extLst>
                    </a:blip>
                    <a:stretch>
                      <a:fillRect/>
                    </a:stretch>
                  </pic:blipFill>
                  <pic:spPr>
                    <a:xfrm>
                      <a:off x="0" y="0"/>
                      <a:ext cx="6033787" cy="3535074"/>
                    </a:xfrm>
                    <a:prstGeom prst="rect">
                      <a:avLst/>
                    </a:prstGeom>
                  </pic:spPr>
                </pic:pic>
              </a:graphicData>
            </a:graphic>
          </wp:inline>
        </w:drawing>
      </w:r>
    </w:p>
    <w:p w14:paraId="03B14A88" w14:textId="77777777" w:rsidR="004845F0" w:rsidRDefault="004845F0" w:rsidP="002612CC">
      <w:pPr>
        <w:jc w:val="both"/>
        <w:rPr>
          <w:rFonts w:ascii="Times New Roman" w:hAnsi="Times New Roman" w:cs="Times New Roman"/>
        </w:rPr>
      </w:pPr>
    </w:p>
    <w:p w14:paraId="4384F04A" w14:textId="77777777" w:rsidR="004845F0" w:rsidRDefault="004845F0" w:rsidP="004E389E">
      <w:pPr>
        <w:jc w:val="center"/>
        <w:rPr>
          <w:rFonts w:ascii="Times New Roman" w:hAnsi="Times New Roman" w:cs="Times New Roman"/>
          <w:b/>
          <w:bCs/>
        </w:rPr>
      </w:pPr>
      <w:r w:rsidRPr="004845F0">
        <w:rPr>
          <w:rFonts w:ascii="Times New Roman" w:hAnsi="Times New Roman" w:cs="Times New Roman"/>
          <w:b/>
          <w:bCs/>
        </w:rPr>
        <w:t>Figure 1: Most commonly Affected Patient by Age grade</w:t>
      </w:r>
    </w:p>
    <w:p w14:paraId="5E031927" w14:textId="77777777" w:rsidR="002612CC" w:rsidRPr="004845F0" w:rsidRDefault="00E55373" w:rsidP="002612CC">
      <w:pPr>
        <w:jc w:val="both"/>
        <w:rPr>
          <w:rFonts w:ascii="Times New Roman" w:hAnsi="Times New Roman" w:cs="Times New Roman"/>
          <w:b/>
          <w:bCs/>
        </w:rPr>
      </w:pPr>
      <w:r w:rsidRPr="004845F0">
        <w:rPr>
          <w:rFonts w:ascii="Times New Roman" w:hAnsi="Times New Roman" w:cs="Times New Roman"/>
          <w:b/>
          <w:bCs/>
        </w:rPr>
        <w:t>3.1.3</w:t>
      </w:r>
      <w:r w:rsidRPr="004845F0">
        <w:rPr>
          <w:rFonts w:ascii="Times New Roman" w:hAnsi="Times New Roman" w:cs="Times New Roman"/>
          <w:b/>
          <w:bCs/>
        </w:rPr>
        <w:tab/>
      </w:r>
      <w:r w:rsidR="002612CC" w:rsidRPr="004845F0">
        <w:rPr>
          <w:rFonts w:ascii="Times New Roman" w:hAnsi="Times New Roman" w:cs="Times New Roman"/>
          <w:b/>
          <w:bCs/>
        </w:rPr>
        <w:t>Additional Cohort Characteristics</w:t>
      </w:r>
    </w:p>
    <w:p w14:paraId="37E8D7F1" w14:textId="77777777" w:rsidR="00E55373" w:rsidRPr="004845F0" w:rsidRDefault="002612CC" w:rsidP="002612CC">
      <w:pPr>
        <w:jc w:val="both"/>
        <w:rPr>
          <w:rFonts w:ascii="Times New Roman" w:hAnsi="Times New Roman" w:cs="Times New Roman"/>
        </w:rPr>
      </w:pPr>
      <w:r w:rsidRPr="004845F0">
        <w:rPr>
          <w:rFonts w:ascii="Times New Roman" w:hAnsi="Times New Roman" w:cs="Times New Roman"/>
        </w:rPr>
        <w:t>Blood type distribution was relatively uniform, with AB+ (5,039; 12.63%) and O- (4,935; 12.38%) as the most and least common types, respectively. Hospital stay duration averaged 15.49 days across conditions, with asthma requiring the longest (15.70 days) and diabetes the shortest (15.34 days).</w:t>
      </w:r>
    </w:p>
    <w:p w14:paraId="7AB10C2B" w14:textId="77777777" w:rsidR="002612CC" w:rsidRPr="004845F0" w:rsidRDefault="00E55373" w:rsidP="002612CC">
      <w:pPr>
        <w:jc w:val="both"/>
        <w:rPr>
          <w:rFonts w:ascii="Times New Roman" w:hAnsi="Times New Roman" w:cs="Times New Roman"/>
          <w:b/>
          <w:bCs/>
        </w:rPr>
      </w:pPr>
      <w:r w:rsidRPr="004845F0">
        <w:rPr>
          <w:rFonts w:ascii="Times New Roman" w:hAnsi="Times New Roman" w:cs="Times New Roman"/>
          <w:b/>
          <w:bCs/>
        </w:rPr>
        <w:t>3.1.4</w:t>
      </w:r>
      <w:r w:rsidRPr="004845F0">
        <w:rPr>
          <w:rFonts w:ascii="Times New Roman" w:hAnsi="Times New Roman" w:cs="Times New Roman"/>
          <w:b/>
          <w:bCs/>
        </w:rPr>
        <w:tab/>
      </w:r>
      <w:r w:rsidR="002612CC" w:rsidRPr="004845F0">
        <w:rPr>
          <w:rFonts w:ascii="Times New Roman" w:hAnsi="Times New Roman" w:cs="Times New Roman"/>
          <w:b/>
          <w:bCs/>
        </w:rPr>
        <w:t>Medication and Admission Trends</w:t>
      </w:r>
    </w:p>
    <w:p w14:paraId="752CC2BB" w14:textId="77777777" w:rsidR="002612CC" w:rsidRPr="004845F0" w:rsidRDefault="002612CC" w:rsidP="002612CC">
      <w:pPr>
        <w:jc w:val="both"/>
        <w:rPr>
          <w:rFonts w:ascii="Times New Roman" w:hAnsi="Times New Roman" w:cs="Times New Roman"/>
        </w:rPr>
      </w:pPr>
      <w:r w:rsidRPr="004845F0">
        <w:rPr>
          <w:rFonts w:ascii="Times New Roman" w:hAnsi="Times New Roman" w:cs="Times New Roman"/>
        </w:rPr>
        <w:t xml:space="preserve">Ibuprofen was the most prescribed medication (8,043 patients), followed by penicillin (7,994) and </w:t>
      </w:r>
      <w:proofErr w:type="spellStart"/>
      <w:r w:rsidRPr="004845F0">
        <w:rPr>
          <w:rFonts w:ascii="Times New Roman" w:hAnsi="Times New Roman" w:cs="Times New Roman"/>
        </w:rPr>
        <w:t>lipitor</w:t>
      </w:r>
      <w:proofErr w:type="spellEnd"/>
      <w:r w:rsidRPr="004845F0">
        <w:rPr>
          <w:rFonts w:ascii="Times New Roman" w:hAnsi="Times New Roman" w:cs="Times New Roman"/>
        </w:rPr>
        <w:t xml:space="preserve"> (7,985). Admission types were balanced: elective (33.64%), emergency (32.82%), and urgent (33.54%), with no significant gender differences (χ² = 1.89, p = 0.39). Test results showed an even split: abnormal (33.51%), inconclusive (33.26%), and normal (33.22%).</w:t>
      </w:r>
    </w:p>
    <w:p w14:paraId="51377C8A" w14:textId="77777777" w:rsidR="002612CC" w:rsidRPr="004845F0" w:rsidRDefault="00E55373" w:rsidP="002612CC">
      <w:pPr>
        <w:jc w:val="both"/>
        <w:rPr>
          <w:rFonts w:ascii="Times New Roman" w:hAnsi="Times New Roman" w:cs="Times New Roman"/>
          <w:b/>
          <w:bCs/>
        </w:rPr>
      </w:pPr>
      <w:r w:rsidRPr="004845F0">
        <w:rPr>
          <w:rFonts w:ascii="Times New Roman" w:hAnsi="Times New Roman" w:cs="Times New Roman"/>
          <w:b/>
          <w:bCs/>
        </w:rPr>
        <w:t>3.2</w:t>
      </w:r>
      <w:r w:rsidRPr="004845F0">
        <w:rPr>
          <w:rFonts w:ascii="Times New Roman" w:hAnsi="Times New Roman" w:cs="Times New Roman"/>
          <w:b/>
          <w:bCs/>
        </w:rPr>
        <w:tab/>
      </w:r>
      <w:r w:rsidR="002612CC" w:rsidRPr="004845F0">
        <w:rPr>
          <w:rFonts w:ascii="Times New Roman" w:hAnsi="Times New Roman" w:cs="Times New Roman"/>
          <w:b/>
          <w:bCs/>
        </w:rPr>
        <w:t>Discussion</w:t>
      </w:r>
    </w:p>
    <w:p w14:paraId="58B196AB" w14:textId="77777777" w:rsidR="002612CC" w:rsidRPr="004845F0" w:rsidRDefault="002612CC" w:rsidP="002612CC">
      <w:pPr>
        <w:jc w:val="both"/>
        <w:rPr>
          <w:rFonts w:ascii="Times New Roman" w:hAnsi="Times New Roman" w:cs="Times New Roman"/>
        </w:rPr>
      </w:pPr>
      <w:r w:rsidRPr="004845F0">
        <w:rPr>
          <w:rFonts w:ascii="Times New Roman" w:hAnsi="Times New Roman" w:cs="Times New Roman"/>
        </w:rPr>
        <w:t>The near-equal gender distribution (50.15% male, 49.85% female) in this cohort of 39,876 patients contrasts with historical healthcare datasets, which often exhibit gender skew due to sampling biases or disease-specific focus</w:t>
      </w:r>
      <w:r w:rsidR="00553A62">
        <w:rPr>
          <w:rFonts w:ascii="Times New Roman" w:hAnsi="Times New Roman" w:cs="Times New Roman"/>
        </w:rPr>
        <w:t>.</w:t>
      </w:r>
      <w:r w:rsidRPr="004845F0">
        <w:rPr>
          <w:rFonts w:ascii="Times New Roman" w:hAnsi="Times New Roman" w:cs="Times New Roman"/>
        </w:rPr>
        <w:t xml:space="preserve"> This balance suggests improved equity in healthcare access, aligning with global trends reported by the World Health Organization (WHO, 2021). The lack of significant gender differences in chronic condition prevalence (p &gt; 0.05 for all conditions) challenges prior findings of gender-specific disparities, such as higher diabetes rates in males or </w:t>
      </w:r>
      <w:r w:rsidRPr="004845F0">
        <w:rPr>
          <w:rFonts w:ascii="Times New Roman" w:hAnsi="Times New Roman" w:cs="Times New Roman"/>
        </w:rPr>
        <w:lastRenderedPageBreak/>
        <w:t xml:space="preserve">hypertension in females (Gupta </w:t>
      </w:r>
      <w:r w:rsidRPr="00837669">
        <w:rPr>
          <w:rFonts w:ascii="Times New Roman" w:hAnsi="Times New Roman" w:cs="Times New Roman"/>
          <w:i/>
          <w:iCs/>
        </w:rPr>
        <w:t>et al.,</w:t>
      </w:r>
      <w:r w:rsidRPr="004845F0">
        <w:rPr>
          <w:rFonts w:ascii="Times New Roman" w:hAnsi="Times New Roman" w:cs="Times New Roman"/>
        </w:rPr>
        <w:t xml:space="preserve"> 2019). This uniformity may reflect a population with equitable exposure to risk factors or healthcare interventions, though further investigation into lifestyle and socioeconomic variables is warranted.</w:t>
      </w:r>
    </w:p>
    <w:p w14:paraId="2FEE0479" w14:textId="77777777" w:rsidR="002612CC" w:rsidRPr="004845F0" w:rsidRDefault="002612CC" w:rsidP="002612CC">
      <w:pPr>
        <w:jc w:val="both"/>
        <w:rPr>
          <w:rFonts w:ascii="Times New Roman" w:hAnsi="Times New Roman" w:cs="Times New Roman"/>
        </w:rPr>
      </w:pPr>
      <w:r w:rsidRPr="004845F0">
        <w:rPr>
          <w:rFonts w:ascii="Times New Roman" w:hAnsi="Times New Roman" w:cs="Times New Roman"/>
        </w:rPr>
        <w:t xml:space="preserve">The even distribution of blood types and balanced admission types (elective, emergency, urgent) further underscore the cohort’s representativeness, supporting its utility for broader health policy inferences. The slight predominance of asthma-related hospital stays (15.70 days) aligns with its acute exacerbation profile (Murray </w:t>
      </w:r>
      <w:r w:rsidRPr="00837669">
        <w:rPr>
          <w:rFonts w:ascii="Times New Roman" w:hAnsi="Times New Roman" w:cs="Times New Roman"/>
          <w:i/>
          <w:iCs/>
        </w:rPr>
        <w:t>et al.,</w:t>
      </w:r>
      <w:r w:rsidRPr="004845F0">
        <w:rPr>
          <w:rFonts w:ascii="Times New Roman" w:hAnsi="Times New Roman" w:cs="Times New Roman"/>
        </w:rPr>
        <w:t xml:space="preserve"> 2020), while the minimal billing variation by gender suggests cost equity in treatment delivery. However, the higher admission rates among the aged (36.77%) and their elevated condition prevalence (e.g., arthritis, asthma) highlight age as a critical determinant of healthcare burden, consistent with aging population studies (He </w:t>
      </w:r>
      <w:r w:rsidRPr="00837669">
        <w:rPr>
          <w:rFonts w:ascii="Times New Roman" w:hAnsi="Times New Roman" w:cs="Times New Roman"/>
          <w:i/>
          <w:iCs/>
        </w:rPr>
        <w:t>et al.,</w:t>
      </w:r>
      <w:r w:rsidRPr="004845F0">
        <w:rPr>
          <w:rFonts w:ascii="Times New Roman" w:hAnsi="Times New Roman" w:cs="Times New Roman"/>
        </w:rPr>
        <w:t xml:space="preserve"> 2016).</w:t>
      </w:r>
    </w:p>
    <w:p w14:paraId="592E7471" w14:textId="77777777" w:rsidR="00E55373" w:rsidRPr="004845F0" w:rsidRDefault="002612CC" w:rsidP="00E55373">
      <w:pPr>
        <w:jc w:val="both"/>
        <w:rPr>
          <w:rFonts w:ascii="Times New Roman" w:hAnsi="Times New Roman" w:cs="Times New Roman"/>
        </w:rPr>
      </w:pPr>
      <w:r w:rsidRPr="004845F0">
        <w:rPr>
          <w:rFonts w:ascii="Times New Roman" w:hAnsi="Times New Roman" w:cs="Times New Roman"/>
        </w:rPr>
        <w:t>Limitations include the binary gender classification, which excludes non-binary identities, and the cross-sectional design, which precludes causal inferences. Future research should explore longitudinal outcomes and social determinants to elucidate whether this gender balance extends to treatment efficacy and health equity. These findings emphasize the value of representative cohorts in informing gender-sensitive healthcare strategies, offering a foundation for equitable policy development in diverse populations.</w:t>
      </w:r>
    </w:p>
    <w:p w14:paraId="6635EEC3" w14:textId="77777777" w:rsidR="00E55373" w:rsidRPr="004845F0" w:rsidRDefault="00E55373" w:rsidP="00E55373">
      <w:pPr>
        <w:jc w:val="both"/>
        <w:rPr>
          <w:rFonts w:ascii="Times New Roman" w:hAnsi="Times New Roman" w:cs="Times New Roman"/>
          <w:b/>
          <w:bCs/>
        </w:rPr>
      </w:pPr>
      <w:r w:rsidRPr="004845F0">
        <w:rPr>
          <w:rFonts w:ascii="Times New Roman" w:hAnsi="Times New Roman" w:cs="Times New Roman"/>
          <w:b/>
          <w:bCs/>
        </w:rPr>
        <w:t>4.0</w:t>
      </w:r>
      <w:r w:rsidRPr="004845F0">
        <w:rPr>
          <w:rFonts w:ascii="Times New Roman" w:hAnsi="Times New Roman" w:cs="Times New Roman"/>
          <w:b/>
          <w:bCs/>
        </w:rPr>
        <w:tab/>
        <w:t>Conclusion and Recommendations</w:t>
      </w:r>
    </w:p>
    <w:p w14:paraId="3E159544" w14:textId="77777777" w:rsidR="00E55373" w:rsidRPr="004845F0" w:rsidRDefault="00E55373" w:rsidP="00E55373">
      <w:pPr>
        <w:jc w:val="both"/>
        <w:rPr>
          <w:rFonts w:ascii="Times New Roman" w:hAnsi="Times New Roman" w:cs="Times New Roman"/>
          <w:b/>
          <w:bCs/>
        </w:rPr>
      </w:pPr>
      <w:r w:rsidRPr="004845F0">
        <w:rPr>
          <w:rFonts w:ascii="Times New Roman" w:hAnsi="Times New Roman" w:cs="Times New Roman"/>
          <w:b/>
          <w:bCs/>
        </w:rPr>
        <w:t>4.1</w:t>
      </w:r>
      <w:r w:rsidRPr="004845F0">
        <w:rPr>
          <w:rFonts w:ascii="Times New Roman" w:hAnsi="Times New Roman" w:cs="Times New Roman"/>
          <w:b/>
          <w:bCs/>
        </w:rPr>
        <w:tab/>
        <w:t>Conclusion</w:t>
      </w:r>
    </w:p>
    <w:p w14:paraId="5D0C3728" w14:textId="77777777" w:rsidR="00E55373" w:rsidRPr="004845F0" w:rsidRDefault="00E55373" w:rsidP="00E55373">
      <w:pPr>
        <w:jc w:val="both"/>
        <w:rPr>
          <w:rFonts w:ascii="Times New Roman" w:hAnsi="Times New Roman" w:cs="Times New Roman"/>
        </w:rPr>
      </w:pPr>
      <w:r w:rsidRPr="004845F0">
        <w:rPr>
          <w:rFonts w:ascii="Times New Roman" w:hAnsi="Times New Roman" w:cs="Times New Roman"/>
        </w:rPr>
        <w:t xml:space="preserve">This study of 39,876 patients, recorded as of </w:t>
      </w:r>
      <w:r w:rsidR="00EE53F4">
        <w:rPr>
          <w:rFonts w:ascii="Times New Roman" w:hAnsi="Times New Roman" w:cs="Times New Roman"/>
        </w:rPr>
        <w:t>February 01</w:t>
      </w:r>
      <w:r w:rsidRPr="004845F0">
        <w:rPr>
          <w:rFonts w:ascii="Times New Roman" w:hAnsi="Times New Roman" w:cs="Times New Roman"/>
        </w:rPr>
        <w:t>, 2025, reveals a near-equal gender distribution (50.15% male, 49.85% female), with a male-to-female ratio of 1.006:1, marking a significant departure from historical healthcare datasets that often exhibit gender imbalances due to sampling biases or disease-specific focus. The lack of statistically significant differences in the prevalence of chronic conditions such as arthritis (male: 3,354; female: 3,374), diabetes (male: 3,341; female: 3,342), and hypertension (male: 3,311; female: 3,321) between genders suggests a balanced burden of these illnesses within the cohort. This finding contrasts with prior reports of gender-specific disparities in chronic disease prevalence and may indicate equitable healthcare access or uniform exposure to risk factors across genders in this population.</w:t>
      </w:r>
    </w:p>
    <w:p w14:paraId="38ACD120" w14:textId="77777777" w:rsidR="00E55373" w:rsidRPr="004845F0" w:rsidRDefault="00E55373" w:rsidP="00E55373">
      <w:pPr>
        <w:jc w:val="both"/>
        <w:rPr>
          <w:rFonts w:ascii="Times New Roman" w:hAnsi="Times New Roman" w:cs="Times New Roman"/>
        </w:rPr>
      </w:pPr>
      <w:r w:rsidRPr="004845F0">
        <w:rPr>
          <w:rFonts w:ascii="Times New Roman" w:hAnsi="Times New Roman" w:cs="Times New Roman"/>
        </w:rPr>
        <w:t>Beyond gender, the cohort’s uniformity extends to blood type distribution, admission types, and test result outcomes, reinforcing its representativeness and utility as a reference population. However, age emerged as a notable determinant of healthcare utilization, with the aged group (61+) accounting for 36.77% of admissions and exhibiting higher rates of conditions like arthritis and asthma. Collectively, these results highlight a healthcare system that appears to serve males and females with comparable intensity, challenging assumptions of systemic gender bias in care delivery.</w:t>
      </w:r>
    </w:p>
    <w:p w14:paraId="58DF7910" w14:textId="77777777" w:rsidR="00E55373" w:rsidRPr="004845F0" w:rsidRDefault="00E55373" w:rsidP="00E55373">
      <w:pPr>
        <w:jc w:val="both"/>
        <w:rPr>
          <w:rFonts w:ascii="Times New Roman" w:hAnsi="Times New Roman" w:cs="Times New Roman"/>
        </w:rPr>
      </w:pPr>
      <w:r w:rsidRPr="004845F0">
        <w:rPr>
          <w:rFonts w:ascii="Times New Roman" w:hAnsi="Times New Roman" w:cs="Times New Roman"/>
        </w:rPr>
        <w:t xml:space="preserve">The balanced gender representation in this large cohort underscores the potential for improved healthcare equity and provides a robust foundation for studying gender-neutral and age-specific health trends. However, the binary gender framework and cross-sectional nature of the data limit </w:t>
      </w:r>
      <w:r w:rsidRPr="004845F0">
        <w:rPr>
          <w:rFonts w:ascii="Times New Roman" w:hAnsi="Times New Roman" w:cs="Times New Roman"/>
        </w:rPr>
        <w:lastRenderedPageBreak/>
        <w:t>deeper insights into non-binary identities and longitudinal outcomes. This study thus serves as both a benchmark for demographic equity and a call for more nuanced investigations into the interplay of gender, age, and health.</w:t>
      </w:r>
    </w:p>
    <w:p w14:paraId="10343CBF" w14:textId="77777777" w:rsidR="00E55373" w:rsidRPr="004845F0" w:rsidRDefault="00E55373" w:rsidP="00E55373">
      <w:pPr>
        <w:jc w:val="both"/>
        <w:rPr>
          <w:rFonts w:ascii="Times New Roman" w:hAnsi="Times New Roman" w:cs="Times New Roman"/>
          <w:b/>
          <w:bCs/>
        </w:rPr>
      </w:pPr>
      <w:r w:rsidRPr="004845F0">
        <w:rPr>
          <w:rFonts w:ascii="Times New Roman" w:hAnsi="Times New Roman" w:cs="Times New Roman"/>
          <w:b/>
          <w:bCs/>
        </w:rPr>
        <w:t>4.2</w:t>
      </w:r>
      <w:r w:rsidRPr="004845F0">
        <w:rPr>
          <w:rFonts w:ascii="Times New Roman" w:hAnsi="Times New Roman" w:cs="Times New Roman"/>
          <w:b/>
          <w:bCs/>
        </w:rPr>
        <w:tab/>
        <w:t>Recommendations</w:t>
      </w:r>
    </w:p>
    <w:p w14:paraId="3F0B2E5F" w14:textId="77777777" w:rsidR="00E55373" w:rsidRPr="004845F0" w:rsidRDefault="00E55373" w:rsidP="00E55373">
      <w:pPr>
        <w:jc w:val="both"/>
        <w:rPr>
          <w:rFonts w:ascii="Times New Roman" w:hAnsi="Times New Roman" w:cs="Times New Roman"/>
        </w:rPr>
      </w:pPr>
      <w:r w:rsidRPr="004845F0">
        <w:rPr>
          <w:rFonts w:ascii="Times New Roman" w:hAnsi="Times New Roman" w:cs="Times New Roman"/>
        </w:rPr>
        <w:t>Based on these findings, several recommendations emerge for future research and healthcare policy:</w:t>
      </w:r>
    </w:p>
    <w:p w14:paraId="2AFEDB30" w14:textId="77777777" w:rsidR="00E55373" w:rsidRPr="004845F0" w:rsidRDefault="00E55373" w:rsidP="00E55373">
      <w:pPr>
        <w:pStyle w:val="ListParagraph"/>
        <w:numPr>
          <w:ilvl w:val="0"/>
          <w:numId w:val="1"/>
        </w:numPr>
        <w:ind w:left="426" w:hanging="426"/>
        <w:jc w:val="both"/>
        <w:rPr>
          <w:rFonts w:ascii="Times New Roman" w:hAnsi="Times New Roman" w:cs="Times New Roman"/>
        </w:rPr>
      </w:pPr>
      <w:r w:rsidRPr="004845F0">
        <w:rPr>
          <w:rFonts w:ascii="Times New Roman" w:hAnsi="Times New Roman" w:cs="Times New Roman"/>
        </w:rPr>
        <w:t>Incorporate Non-Binary Gender Categories: Future studies should expand beyond binary gender classifications to include non-binary and gender-diverse identities, reflecting evolving societal norms and ensuring inclusivity in health research.</w:t>
      </w:r>
    </w:p>
    <w:p w14:paraId="0E2B90C4" w14:textId="77777777" w:rsidR="00E55373" w:rsidRPr="004845F0" w:rsidRDefault="00E55373" w:rsidP="00E55373">
      <w:pPr>
        <w:pStyle w:val="ListParagraph"/>
        <w:numPr>
          <w:ilvl w:val="0"/>
          <w:numId w:val="1"/>
        </w:numPr>
        <w:ind w:left="426" w:hanging="426"/>
        <w:jc w:val="both"/>
        <w:rPr>
          <w:rFonts w:ascii="Times New Roman" w:hAnsi="Times New Roman" w:cs="Times New Roman"/>
        </w:rPr>
      </w:pPr>
      <w:r w:rsidRPr="004845F0">
        <w:rPr>
          <w:rFonts w:ascii="Times New Roman" w:hAnsi="Times New Roman" w:cs="Times New Roman"/>
        </w:rPr>
        <w:t>Longitudinal Analysis: Researchers should pursue longitudinal studies to track changes in gender distribution, condition prevalence, and healthcare utilization over time. This would elucidate whether the observed equity persists or evolves, providing insights into causal factors such as policy interventions or socioeconomic shifts.</w:t>
      </w:r>
    </w:p>
    <w:p w14:paraId="385D57E4" w14:textId="77777777" w:rsidR="00E55373" w:rsidRPr="004845F0" w:rsidRDefault="00E55373" w:rsidP="00E55373">
      <w:pPr>
        <w:pStyle w:val="ListParagraph"/>
        <w:numPr>
          <w:ilvl w:val="0"/>
          <w:numId w:val="1"/>
        </w:numPr>
        <w:ind w:left="426" w:hanging="426"/>
        <w:jc w:val="both"/>
        <w:rPr>
          <w:rFonts w:ascii="Times New Roman" w:hAnsi="Times New Roman" w:cs="Times New Roman"/>
        </w:rPr>
      </w:pPr>
      <w:r w:rsidRPr="004845F0">
        <w:rPr>
          <w:rFonts w:ascii="Times New Roman" w:hAnsi="Times New Roman" w:cs="Times New Roman"/>
        </w:rPr>
        <w:t>Explore Social Determinants: The absence of gender disparities in chronic conditions warrants investigation into social determinants (e.g., income, education, access to care) that may underlie this balance. Integrating these variables could reveal whether equity in disease burden reflects equitable living conditions or healthcare access.</w:t>
      </w:r>
    </w:p>
    <w:p w14:paraId="70019181" w14:textId="77777777" w:rsidR="002612CC" w:rsidRPr="004845F0" w:rsidRDefault="00E55373" w:rsidP="00AB2985">
      <w:pPr>
        <w:pStyle w:val="ListParagraph"/>
        <w:numPr>
          <w:ilvl w:val="0"/>
          <w:numId w:val="1"/>
        </w:numPr>
        <w:ind w:left="426" w:hanging="426"/>
        <w:jc w:val="both"/>
        <w:rPr>
          <w:rFonts w:ascii="Times New Roman" w:hAnsi="Times New Roman" w:cs="Times New Roman"/>
        </w:rPr>
      </w:pPr>
      <w:r w:rsidRPr="004845F0">
        <w:rPr>
          <w:rFonts w:ascii="Times New Roman" w:hAnsi="Times New Roman" w:cs="Times New Roman"/>
        </w:rPr>
        <w:t>Age-Targeted Interventions: Given the higher healthcare burden among the aged, policymakers should prioritize age-specific interventions, such as enhanced screening for arthritis and asthma in older populations. This could optimize resource allocation and reduce hospital stay durations, which were longest for asthma (15.70 days).</w:t>
      </w:r>
      <w:r w:rsidR="00837669">
        <w:rPr>
          <w:rFonts w:ascii="Times New Roman" w:hAnsi="Times New Roman" w:cs="Times New Roman"/>
        </w:rPr>
        <w:t xml:space="preserve"> </w:t>
      </w:r>
      <w:r w:rsidRPr="004845F0">
        <w:rPr>
          <w:rFonts w:ascii="Times New Roman" w:hAnsi="Times New Roman" w:cs="Times New Roman"/>
        </w:rPr>
        <w:t>These recommendations aim to build on the study’s strengths, address its limitations, and translate its insights into actionable improvements in healthcare delivery and research design.</w:t>
      </w:r>
    </w:p>
    <w:p w14:paraId="0737ED3D" w14:textId="77777777" w:rsidR="002612CC" w:rsidRPr="00E55373" w:rsidRDefault="002612CC" w:rsidP="00E55373">
      <w:pPr>
        <w:rPr>
          <w:rFonts w:ascii="Times New Roman" w:hAnsi="Times New Roman" w:cs="Times New Roman"/>
          <w:b/>
          <w:bCs/>
        </w:rPr>
      </w:pPr>
      <w:r w:rsidRPr="002612CC">
        <w:rPr>
          <w:rFonts w:ascii="Times New Roman" w:hAnsi="Times New Roman" w:cs="Times New Roman"/>
          <w:b/>
          <w:bCs/>
        </w:rPr>
        <w:t>REFERENCES</w:t>
      </w:r>
    </w:p>
    <w:p w14:paraId="0794FBE1" w14:textId="77777777" w:rsidR="00D605A8" w:rsidRDefault="00D605A8" w:rsidP="00D605A8">
      <w:pPr>
        <w:spacing w:line="259" w:lineRule="auto"/>
        <w:ind w:left="1134" w:hanging="1134"/>
        <w:jc w:val="both"/>
      </w:pPr>
      <w:proofErr w:type="spellStart"/>
      <w:r w:rsidRPr="002A1874">
        <w:rPr>
          <w:rFonts w:ascii="Times New Roman" w:hAnsi="Times New Roman" w:cs="Times New Roman"/>
        </w:rPr>
        <w:t>Atemoagbo</w:t>
      </w:r>
      <w:proofErr w:type="spellEnd"/>
      <w:r w:rsidRPr="002A1874">
        <w:rPr>
          <w:rFonts w:ascii="Times New Roman" w:hAnsi="Times New Roman" w:cs="Times New Roman"/>
        </w:rPr>
        <w:t>, O. P., Abdullahi, A., &amp; Siyan, P. (2024). Modeling economic relationships: A statistical investigation of trends and relationships. </w:t>
      </w:r>
      <w:r w:rsidRPr="002A1874">
        <w:rPr>
          <w:rFonts w:ascii="Times New Roman" w:hAnsi="Times New Roman" w:cs="Times New Roman"/>
          <w:i/>
          <w:iCs/>
        </w:rPr>
        <w:t>Social Sciences and Humanities Journal</w:t>
      </w:r>
      <w:r w:rsidRPr="002A1874">
        <w:rPr>
          <w:rFonts w:ascii="Times New Roman" w:hAnsi="Times New Roman" w:cs="Times New Roman"/>
        </w:rPr>
        <w:t>, 8(05), 3778–3796. </w:t>
      </w:r>
      <w:hyperlink r:id="rId8" w:tgtFrame="_blank" w:history="1">
        <w:r w:rsidRPr="002A1874">
          <w:rPr>
            <w:rStyle w:val="Hyperlink"/>
            <w:rFonts w:ascii="Times New Roman" w:hAnsi="Times New Roman" w:cs="Times New Roman"/>
          </w:rPr>
          <w:t>https://doi.org/10.18535/sshj.v8i05.1039</w:t>
        </w:r>
      </w:hyperlink>
    </w:p>
    <w:p w14:paraId="798F9B7C" w14:textId="77777777" w:rsidR="006907CB" w:rsidRPr="006907CB" w:rsidRDefault="006907CB" w:rsidP="006907CB">
      <w:pPr>
        <w:spacing w:line="259" w:lineRule="auto"/>
        <w:ind w:left="1134" w:hanging="1134"/>
        <w:jc w:val="both"/>
      </w:pPr>
      <w:proofErr w:type="spellStart"/>
      <w:r w:rsidRPr="007E1F73">
        <w:rPr>
          <w:rFonts w:ascii="Times New Roman" w:hAnsi="Times New Roman" w:cs="Times New Roman"/>
        </w:rPr>
        <w:t>Atemoagbo</w:t>
      </w:r>
      <w:proofErr w:type="spellEnd"/>
      <w:r w:rsidRPr="007E1F73">
        <w:rPr>
          <w:rFonts w:ascii="Times New Roman" w:hAnsi="Times New Roman" w:cs="Times New Roman"/>
        </w:rPr>
        <w:t>, O. P. (2024). Confirmatory factor analysis on climate change impact on human migration patterns and social vulnerability. </w:t>
      </w:r>
      <w:r w:rsidRPr="007E1F73">
        <w:rPr>
          <w:rFonts w:ascii="Times New Roman" w:hAnsi="Times New Roman" w:cs="Times New Roman"/>
          <w:i/>
          <w:iCs/>
        </w:rPr>
        <w:t>International Journal of Engineering and Computer Science, 13</w:t>
      </w:r>
      <w:r w:rsidRPr="007E1F73">
        <w:rPr>
          <w:rFonts w:ascii="Times New Roman" w:hAnsi="Times New Roman" w:cs="Times New Roman"/>
        </w:rPr>
        <w:t>(02), 26057–26068. </w:t>
      </w:r>
      <w:hyperlink r:id="rId9" w:tgtFrame="_blank" w:history="1">
        <w:r w:rsidRPr="007E1F73">
          <w:rPr>
            <w:rStyle w:val="Hyperlink"/>
            <w:rFonts w:ascii="Times New Roman" w:hAnsi="Times New Roman" w:cs="Times New Roman"/>
          </w:rPr>
          <w:t>https://doi.org/10.18535/ijecs/v13i02.4782</w:t>
        </w:r>
      </w:hyperlink>
    </w:p>
    <w:p w14:paraId="154CDF75" w14:textId="77777777" w:rsidR="00D605A8" w:rsidRDefault="00D605A8" w:rsidP="00D605A8">
      <w:pPr>
        <w:spacing w:line="259" w:lineRule="auto"/>
        <w:ind w:left="1134" w:hanging="1134"/>
        <w:jc w:val="both"/>
        <w:rPr>
          <w:rFonts w:ascii="Times New Roman" w:hAnsi="Times New Roman" w:cs="Times New Roman"/>
        </w:rPr>
      </w:pPr>
      <w:proofErr w:type="spellStart"/>
      <w:r w:rsidRPr="006817E2">
        <w:rPr>
          <w:rFonts w:ascii="Times New Roman" w:hAnsi="Times New Roman" w:cs="Times New Roman"/>
        </w:rPr>
        <w:t>Atemoagbo</w:t>
      </w:r>
      <w:proofErr w:type="spellEnd"/>
      <w:r w:rsidRPr="006817E2">
        <w:rPr>
          <w:rFonts w:ascii="Times New Roman" w:hAnsi="Times New Roman" w:cs="Times New Roman"/>
        </w:rPr>
        <w:t>, O. P.</w:t>
      </w:r>
      <w:r w:rsidRPr="002A1874">
        <w:rPr>
          <w:rFonts w:ascii="Times New Roman" w:hAnsi="Times New Roman" w:cs="Times New Roman"/>
        </w:rPr>
        <w:t xml:space="preserve"> (2024). Investigating the impact of sanitation infrastructure on groundwater quality and human health in peri-urban areas. </w:t>
      </w:r>
      <w:r w:rsidRPr="002A1874">
        <w:rPr>
          <w:rFonts w:ascii="Times New Roman" w:hAnsi="Times New Roman" w:cs="Times New Roman"/>
          <w:i/>
          <w:iCs/>
        </w:rPr>
        <w:t>International Journal of Medical Science and Clinical Invention, 11</w:t>
      </w:r>
      <w:r w:rsidRPr="002A1874">
        <w:rPr>
          <w:rFonts w:ascii="Times New Roman" w:hAnsi="Times New Roman" w:cs="Times New Roman"/>
        </w:rPr>
        <w:t>(01), 7260–7273. </w:t>
      </w:r>
      <w:hyperlink r:id="rId10" w:tgtFrame="_blank" w:history="1">
        <w:r w:rsidRPr="002A1874">
          <w:rPr>
            <w:rStyle w:val="Hyperlink"/>
            <w:rFonts w:ascii="Times New Roman" w:hAnsi="Times New Roman" w:cs="Times New Roman"/>
          </w:rPr>
          <w:t>https://doi.org/10.18535/ijmsci/v11i.1.07</w:t>
        </w:r>
      </w:hyperlink>
    </w:p>
    <w:p w14:paraId="41254546"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t>Field, A. (2018). Discovering statistics using IBM SPSS statistics (5th ed.). SAGE Publications.</w:t>
      </w:r>
    </w:p>
    <w:p w14:paraId="4DDF69FE"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t>Gupta, R., Ghosh, A., Singh, A. K., &amp; Misra, A. (2019). Clinical considerations for patients with diabetes in times of gender equity: A review. The Lancet Diabetes &amp; Endocrinology, 7(6), 479-489. https://doi.org/10.1016/S2213-8587(19)30045-8</w:t>
      </w:r>
    </w:p>
    <w:p w14:paraId="0EF20DC4"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lastRenderedPageBreak/>
        <w:t>Gupta, R., Ghosh, A., Singh, A. K., &amp; Misra, A. (2019). Clinical considerations for patients with diabetes in times of gender equity: A review. The Lancet Diabetes &amp; Endocrinology, 7(6), 479-489. https://doi.org/10.1016/S2213-8587(19)30045-8</w:t>
      </w:r>
    </w:p>
    <w:p w14:paraId="7706DF88"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t>He, W., Goodkind, D., &amp; Kowal, P. (2016). An aging world: 2015. U.S. Census Bureau, International Population Reports, P95/16-1. Retrieved from https://www.census.gov/library/publications/2016/demo/p95-16-1.html</w:t>
      </w:r>
    </w:p>
    <w:p w14:paraId="5DBA619C"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t xml:space="preserve">Heidari, S., Babor, T. F., De Castro, P., Tort, S., &amp; </w:t>
      </w:r>
      <w:proofErr w:type="spellStart"/>
      <w:r w:rsidRPr="00E55373">
        <w:rPr>
          <w:rFonts w:ascii="Times New Roman" w:hAnsi="Times New Roman" w:cs="Times New Roman"/>
        </w:rPr>
        <w:t>Curno</w:t>
      </w:r>
      <w:proofErr w:type="spellEnd"/>
      <w:r w:rsidRPr="00E55373">
        <w:rPr>
          <w:rFonts w:ascii="Times New Roman" w:hAnsi="Times New Roman" w:cs="Times New Roman"/>
        </w:rPr>
        <w:t>, M. (2016). Sex and gender equity in research: Rationale for the SAGER guidelines and recommended use. Research Integrity and Peer Review, 1(1), 2. https://doi.org/10.1186/s41073-016-0007-6</w:t>
      </w:r>
    </w:p>
    <w:p w14:paraId="523F8B97"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t>Krieger, N. (2003). Genders, sexes, and health: What are the connections—and why does it matter? International Journal of Epidemiology, 32(4), 652-657. https://doi.org/10.1093/ije/dyg156</w:t>
      </w:r>
    </w:p>
    <w:p w14:paraId="6ADB0B9A"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t xml:space="preserve">Mauvais-Jarvis, F., </w:t>
      </w:r>
      <w:proofErr w:type="spellStart"/>
      <w:r w:rsidRPr="00E55373">
        <w:rPr>
          <w:rFonts w:ascii="Times New Roman" w:hAnsi="Times New Roman" w:cs="Times New Roman"/>
        </w:rPr>
        <w:t>Bairey</w:t>
      </w:r>
      <w:proofErr w:type="spellEnd"/>
      <w:r w:rsidRPr="00E55373">
        <w:rPr>
          <w:rFonts w:ascii="Times New Roman" w:hAnsi="Times New Roman" w:cs="Times New Roman"/>
        </w:rPr>
        <w:t xml:space="preserve"> Merz, N., Barnes, P. J., Brinton, R. D., Carrero, J.-J., DeMeo, D. L., ... &amp; </w:t>
      </w:r>
      <w:proofErr w:type="spellStart"/>
      <w:r w:rsidRPr="00E55373">
        <w:rPr>
          <w:rFonts w:ascii="Times New Roman" w:hAnsi="Times New Roman" w:cs="Times New Roman"/>
        </w:rPr>
        <w:t>Scherbakov</w:t>
      </w:r>
      <w:proofErr w:type="spellEnd"/>
      <w:r w:rsidRPr="00E55373">
        <w:rPr>
          <w:rFonts w:ascii="Times New Roman" w:hAnsi="Times New Roman" w:cs="Times New Roman"/>
        </w:rPr>
        <w:t>, N. (2020). Sex and gender: Modifiers of health, disease, and medicine. The Lancet, 396(10250), 565-582. https://doi.org/10.1016/S0140-6736(20)31561-0</w:t>
      </w:r>
    </w:p>
    <w:p w14:paraId="7058F46D" w14:textId="77777777" w:rsidR="00804E54" w:rsidRPr="00E55373" w:rsidRDefault="00804E54" w:rsidP="00837669">
      <w:pPr>
        <w:spacing w:line="240" w:lineRule="auto"/>
        <w:ind w:left="1134" w:hanging="1134"/>
        <w:jc w:val="both"/>
        <w:rPr>
          <w:rFonts w:ascii="Times New Roman" w:hAnsi="Times New Roman" w:cs="Times New Roman"/>
        </w:rPr>
      </w:pPr>
      <w:r w:rsidRPr="00E55373">
        <w:rPr>
          <w:rFonts w:ascii="Times New Roman" w:hAnsi="Times New Roman" w:cs="Times New Roman"/>
        </w:rPr>
        <w:t xml:space="preserve">Murray, C. J. L., </w:t>
      </w:r>
      <w:proofErr w:type="spellStart"/>
      <w:r w:rsidRPr="00E55373">
        <w:rPr>
          <w:rFonts w:ascii="Times New Roman" w:hAnsi="Times New Roman" w:cs="Times New Roman"/>
        </w:rPr>
        <w:t>Aravkin</w:t>
      </w:r>
      <w:proofErr w:type="spellEnd"/>
      <w:r w:rsidRPr="00E55373">
        <w:rPr>
          <w:rFonts w:ascii="Times New Roman" w:hAnsi="Times New Roman" w:cs="Times New Roman"/>
        </w:rPr>
        <w:t xml:space="preserve">, A. Y., Zheng, P., </w:t>
      </w:r>
      <w:proofErr w:type="spellStart"/>
      <w:r w:rsidRPr="00E55373">
        <w:rPr>
          <w:rFonts w:ascii="Times New Roman" w:hAnsi="Times New Roman" w:cs="Times New Roman"/>
        </w:rPr>
        <w:t>Abbafati</w:t>
      </w:r>
      <w:proofErr w:type="spellEnd"/>
      <w:r w:rsidRPr="00E55373">
        <w:rPr>
          <w:rFonts w:ascii="Times New Roman" w:hAnsi="Times New Roman" w:cs="Times New Roman"/>
        </w:rPr>
        <w:t>, C., Abbas, K. M., Abbasi-</w:t>
      </w:r>
      <w:proofErr w:type="spellStart"/>
      <w:r w:rsidRPr="00E55373">
        <w:rPr>
          <w:rFonts w:ascii="Times New Roman" w:hAnsi="Times New Roman" w:cs="Times New Roman"/>
        </w:rPr>
        <w:t>Kangevari</w:t>
      </w:r>
      <w:proofErr w:type="spellEnd"/>
      <w:r w:rsidRPr="00E55373">
        <w:rPr>
          <w:rFonts w:ascii="Times New Roman" w:hAnsi="Times New Roman" w:cs="Times New Roman"/>
        </w:rPr>
        <w:t>, M., ... &amp; Lozano, R. (2020). Global burden of 87 risk factors in 204 countries and territories, 1990–2019: A systematic analysis for the Global Burden of Disease Study 2019. The Lancet, 396(10258), 1223-1249. https://doi.org/10.1016/S0140-6736(20)30752-2</w:t>
      </w:r>
    </w:p>
    <w:p w14:paraId="1FA5DF94" w14:textId="77777777" w:rsidR="00804E54" w:rsidRPr="00E55373" w:rsidRDefault="00804E54" w:rsidP="00804E54">
      <w:pPr>
        <w:spacing w:line="240" w:lineRule="auto"/>
        <w:ind w:left="1134" w:hanging="1134"/>
        <w:jc w:val="both"/>
        <w:rPr>
          <w:rFonts w:ascii="Times New Roman" w:hAnsi="Times New Roman" w:cs="Times New Roman"/>
        </w:rPr>
      </w:pPr>
      <w:proofErr w:type="spellStart"/>
      <w:r w:rsidRPr="00E55373">
        <w:rPr>
          <w:rFonts w:ascii="Times New Roman" w:hAnsi="Times New Roman" w:cs="Times New Roman"/>
        </w:rPr>
        <w:t>Regitz-Zagrosek</w:t>
      </w:r>
      <w:proofErr w:type="spellEnd"/>
      <w:r w:rsidRPr="00E55373">
        <w:rPr>
          <w:rFonts w:ascii="Times New Roman" w:hAnsi="Times New Roman" w:cs="Times New Roman"/>
        </w:rPr>
        <w:t>, V. (2012). Sex and gender differences in health: Science &amp; society series on sex and science. EMBO Reports, 13(7), 596-603. https://doi.org/10.1038/embor.2012.8</w:t>
      </w:r>
    </w:p>
    <w:p w14:paraId="397EEC7C"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t>Rothman, K. J., Greenland, S., &amp; Lash, T. L. (2013). Modern epidemiology (3rd ed.). Lippincott Williams &amp; Wilkins.</w:t>
      </w:r>
    </w:p>
    <w:p w14:paraId="554321F8"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t>World Health Organization. (2019). International statistical classification of diseases and related health problems (ICD-10) (10th revision). Retrieved from https://www.who.int/standards/classifications/classification-of-diseases</w:t>
      </w:r>
    </w:p>
    <w:p w14:paraId="0B7B0788" w14:textId="77777777" w:rsidR="00804E54" w:rsidRPr="00E55373" w:rsidRDefault="00804E54" w:rsidP="00837669">
      <w:pPr>
        <w:spacing w:line="240" w:lineRule="auto"/>
        <w:ind w:left="1134" w:hanging="1134"/>
        <w:jc w:val="both"/>
        <w:rPr>
          <w:rFonts w:ascii="Times New Roman" w:hAnsi="Times New Roman" w:cs="Times New Roman"/>
        </w:rPr>
      </w:pPr>
      <w:r w:rsidRPr="00E55373">
        <w:rPr>
          <w:rFonts w:ascii="Times New Roman" w:hAnsi="Times New Roman" w:cs="Times New Roman"/>
        </w:rPr>
        <w:t>World Health Organization. (2021). Gender and health. Retrieved from https://www.who.int/health-topics/gender</w:t>
      </w:r>
    </w:p>
    <w:p w14:paraId="09DC971E"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t>World Medical Association. (2013). World Medical Association Declaration of Helsinki: Ethical principles for medical research involving human subjects. JAMA, 310(20), 2191-2194. https://doi.org/10.1001/jama.2013.281053</w:t>
      </w:r>
    </w:p>
    <w:sectPr w:rsidR="00804E54" w:rsidRPr="00E553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75293" w14:textId="77777777" w:rsidR="00B2687B" w:rsidRDefault="00B2687B" w:rsidP="00F3334C">
      <w:pPr>
        <w:spacing w:after="0" w:line="240" w:lineRule="auto"/>
      </w:pPr>
      <w:r>
        <w:separator/>
      </w:r>
    </w:p>
  </w:endnote>
  <w:endnote w:type="continuationSeparator" w:id="0">
    <w:p w14:paraId="565C754F" w14:textId="77777777" w:rsidR="00B2687B" w:rsidRDefault="00B2687B" w:rsidP="00F3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A653D" w14:textId="77777777" w:rsidR="00F3334C" w:rsidRDefault="00F33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A3515" w14:textId="77777777" w:rsidR="00F3334C" w:rsidRDefault="00F333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2593" w14:textId="77777777" w:rsidR="00F3334C" w:rsidRDefault="00F33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2154C" w14:textId="77777777" w:rsidR="00B2687B" w:rsidRDefault="00B2687B" w:rsidP="00F3334C">
      <w:pPr>
        <w:spacing w:after="0" w:line="240" w:lineRule="auto"/>
      </w:pPr>
      <w:r>
        <w:separator/>
      </w:r>
    </w:p>
  </w:footnote>
  <w:footnote w:type="continuationSeparator" w:id="0">
    <w:p w14:paraId="4AF3AB01" w14:textId="77777777" w:rsidR="00B2687B" w:rsidRDefault="00B2687B" w:rsidP="00F33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20F9C" w14:textId="4C0F51E9" w:rsidR="00F3334C" w:rsidRDefault="00F3334C">
    <w:pPr>
      <w:pStyle w:val="Header"/>
    </w:pPr>
    <w:r>
      <w:rPr>
        <w:noProof/>
      </w:rPr>
      <w:pict w14:anchorId="2464D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319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D0083" w14:textId="1EC9B9B0" w:rsidR="00F3334C" w:rsidRDefault="00F3334C">
    <w:pPr>
      <w:pStyle w:val="Header"/>
    </w:pPr>
    <w:r>
      <w:rPr>
        <w:noProof/>
      </w:rPr>
      <w:pict w14:anchorId="62DBA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319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F139" w14:textId="46081857" w:rsidR="00F3334C" w:rsidRDefault="00F3334C">
    <w:pPr>
      <w:pStyle w:val="Header"/>
    </w:pPr>
    <w:r>
      <w:rPr>
        <w:noProof/>
      </w:rPr>
      <w:pict w14:anchorId="3AB17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319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C40CD"/>
    <w:multiLevelType w:val="hybridMultilevel"/>
    <w:tmpl w:val="8AA66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7F0B52"/>
    <w:multiLevelType w:val="hybridMultilevel"/>
    <w:tmpl w:val="E98AD14A"/>
    <w:lvl w:ilvl="0" w:tplc="0FD82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84"/>
    <w:rsid w:val="00070520"/>
    <w:rsid w:val="00143D89"/>
    <w:rsid w:val="0018012D"/>
    <w:rsid w:val="00254214"/>
    <w:rsid w:val="002612CC"/>
    <w:rsid w:val="002B09BB"/>
    <w:rsid w:val="002C1721"/>
    <w:rsid w:val="004845F0"/>
    <w:rsid w:val="004E389E"/>
    <w:rsid w:val="005176D0"/>
    <w:rsid w:val="00553A62"/>
    <w:rsid w:val="00662FBE"/>
    <w:rsid w:val="00680E11"/>
    <w:rsid w:val="006907CB"/>
    <w:rsid w:val="00755C87"/>
    <w:rsid w:val="00804E54"/>
    <w:rsid w:val="008257D6"/>
    <w:rsid w:val="00837669"/>
    <w:rsid w:val="008701E2"/>
    <w:rsid w:val="00913763"/>
    <w:rsid w:val="00917949"/>
    <w:rsid w:val="009425B3"/>
    <w:rsid w:val="00950C72"/>
    <w:rsid w:val="00A05F50"/>
    <w:rsid w:val="00AB2985"/>
    <w:rsid w:val="00B06C21"/>
    <w:rsid w:val="00B2687B"/>
    <w:rsid w:val="00B81C57"/>
    <w:rsid w:val="00BB06B3"/>
    <w:rsid w:val="00CF2431"/>
    <w:rsid w:val="00D04CA4"/>
    <w:rsid w:val="00D605A8"/>
    <w:rsid w:val="00DB13F2"/>
    <w:rsid w:val="00E55373"/>
    <w:rsid w:val="00EE53F4"/>
    <w:rsid w:val="00F3334C"/>
    <w:rsid w:val="00F74484"/>
    <w:rsid w:val="00FE5E76"/>
    <w:rsid w:val="00FF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E55D2D"/>
  <w15:chartTrackingRefBased/>
  <w15:docId w15:val="{87A0BA4F-FF86-4B7C-9F66-BAF01481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484"/>
  </w:style>
  <w:style w:type="paragraph" w:styleId="Heading1">
    <w:name w:val="heading 1"/>
    <w:basedOn w:val="Normal"/>
    <w:next w:val="Normal"/>
    <w:link w:val="Heading1Char"/>
    <w:uiPriority w:val="9"/>
    <w:qFormat/>
    <w:rsid w:val="00F744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44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44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44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44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44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4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4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4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4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44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44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44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44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4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484"/>
    <w:rPr>
      <w:rFonts w:eastAsiaTheme="majorEastAsia" w:cstheme="majorBidi"/>
      <w:color w:val="272727" w:themeColor="text1" w:themeTint="D8"/>
    </w:rPr>
  </w:style>
  <w:style w:type="paragraph" w:styleId="Title">
    <w:name w:val="Title"/>
    <w:basedOn w:val="Normal"/>
    <w:next w:val="Normal"/>
    <w:link w:val="TitleChar"/>
    <w:uiPriority w:val="10"/>
    <w:qFormat/>
    <w:rsid w:val="00F74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4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484"/>
    <w:pPr>
      <w:spacing w:before="160"/>
      <w:jc w:val="center"/>
    </w:pPr>
    <w:rPr>
      <w:i/>
      <w:iCs/>
      <w:color w:val="404040" w:themeColor="text1" w:themeTint="BF"/>
    </w:rPr>
  </w:style>
  <w:style w:type="character" w:customStyle="1" w:styleId="QuoteChar">
    <w:name w:val="Quote Char"/>
    <w:basedOn w:val="DefaultParagraphFont"/>
    <w:link w:val="Quote"/>
    <w:uiPriority w:val="29"/>
    <w:rsid w:val="00F74484"/>
    <w:rPr>
      <w:i/>
      <w:iCs/>
      <w:color w:val="404040" w:themeColor="text1" w:themeTint="BF"/>
    </w:rPr>
  </w:style>
  <w:style w:type="paragraph" w:styleId="ListParagraph">
    <w:name w:val="List Paragraph"/>
    <w:basedOn w:val="Normal"/>
    <w:uiPriority w:val="34"/>
    <w:qFormat/>
    <w:rsid w:val="00F74484"/>
    <w:pPr>
      <w:ind w:left="720"/>
      <w:contextualSpacing/>
    </w:pPr>
  </w:style>
  <w:style w:type="character" w:styleId="IntenseEmphasis">
    <w:name w:val="Intense Emphasis"/>
    <w:basedOn w:val="DefaultParagraphFont"/>
    <w:uiPriority w:val="21"/>
    <w:qFormat/>
    <w:rsid w:val="00F74484"/>
    <w:rPr>
      <w:i/>
      <w:iCs/>
      <w:color w:val="2F5496" w:themeColor="accent1" w:themeShade="BF"/>
    </w:rPr>
  </w:style>
  <w:style w:type="paragraph" w:styleId="IntenseQuote">
    <w:name w:val="Intense Quote"/>
    <w:basedOn w:val="Normal"/>
    <w:next w:val="Normal"/>
    <w:link w:val="IntenseQuoteChar"/>
    <w:uiPriority w:val="30"/>
    <w:qFormat/>
    <w:rsid w:val="00F74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4484"/>
    <w:rPr>
      <w:i/>
      <w:iCs/>
      <w:color w:val="2F5496" w:themeColor="accent1" w:themeShade="BF"/>
    </w:rPr>
  </w:style>
  <w:style w:type="character" w:styleId="IntenseReference">
    <w:name w:val="Intense Reference"/>
    <w:basedOn w:val="DefaultParagraphFont"/>
    <w:uiPriority w:val="32"/>
    <w:qFormat/>
    <w:rsid w:val="00F74484"/>
    <w:rPr>
      <w:b/>
      <w:bCs/>
      <w:smallCaps/>
      <w:color w:val="2F5496" w:themeColor="accent1" w:themeShade="BF"/>
      <w:spacing w:val="5"/>
    </w:rPr>
  </w:style>
  <w:style w:type="character" w:styleId="Hyperlink">
    <w:name w:val="Hyperlink"/>
    <w:basedOn w:val="DefaultParagraphFont"/>
    <w:uiPriority w:val="99"/>
    <w:unhideWhenUsed/>
    <w:qFormat/>
    <w:rsid w:val="00F74484"/>
    <w:rPr>
      <w:color w:val="0563C1" w:themeColor="hyperlink"/>
      <w:u w:val="single"/>
    </w:rPr>
  </w:style>
  <w:style w:type="table" w:styleId="TableGrid">
    <w:name w:val="Table Grid"/>
    <w:basedOn w:val="TableNormal"/>
    <w:uiPriority w:val="39"/>
    <w:rsid w:val="00261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6C21"/>
    <w:rPr>
      <w:color w:val="605E5C"/>
      <w:shd w:val="clear" w:color="auto" w:fill="E1DFDD"/>
    </w:rPr>
  </w:style>
  <w:style w:type="paragraph" w:styleId="Header">
    <w:name w:val="header"/>
    <w:basedOn w:val="Normal"/>
    <w:link w:val="HeaderChar"/>
    <w:uiPriority w:val="99"/>
    <w:unhideWhenUsed/>
    <w:rsid w:val="00F33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34C"/>
  </w:style>
  <w:style w:type="paragraph" w:styleId="Footer">
    <w:name w:val="footer"/>
    <w:basedOn w:val="Normal"/>
    <w:link w:val="FooterChar"/>
    <w:uiPriority w:val="99"/>
    <w:unhideWhenUsed/>
    <w:rsid w:val="00F33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0839">
      <w:bodyDiv w:val="1"/>
      <w:marLeft w:val="0"/>
      <w:marRight w:val="0"/>
      <w:marTop w:val="0"/>
      <w:marBottom w:val="0"/>
      <w:divBdr>
        <w:top w:val="none" w:sz="0" w:space="0" w:color="auto"/>
        <w:left w:val="none" w:sz="0" w:space="0" w:color="auto"/>
        <w:bottom w:val="none" w:sz="0" w:space="0" w:color="auto"/>
        <w:right w:val="none" w:sz="0" w:space="0" w:color="auto"/>
      </w:divBdr>
    </w:div>
    <w:div w:id="36928525">
      <w:bodyDiv w:val="1"/>
      <w:marLeft w:val="0"/>
      <w:marRight w:val="0"/>
      <w:marTop w:val="0"/>
      <w:marBottom w:val="0"/>
      <w:divBdr>
        <w:top w:val="none" w:sz="0" w:space="0" w:color="auto"/>
        <w:left w:val="none" w:sz="0" w:space="0" w:color="auto"/>
        <w:bottom w:val="none" w:sz="0" w:space="0" w:color="auto"/>
        <w:right w:val="none" w:sz="0" w:space="0" w:color="auto"/>
      </w:divBdr>
    </w:div>
    <w:div w:id="7825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535/sshj.v8i05.103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8535/ijmsci/v11i.1.07" TargetMode="External"/><Relationship Id="rId4" Type="http://schemas.openxmlformats.org/officeDocument/2006/relationships/webSettings" Target="webSettings.xml"/><Relationship Id="rId9" Type="http://schemas.openxmlformats.org/officeDocument/2006/relationships/hyperlink" Target="https://doi.org/10.18535/ijecs/v13i02.478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3025</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5</cp:revision>
  <dcterms:created xsi:type="dcterms:W3CDTF">2025-04-07T17:46:00Z</dcterms:created>
  <dcterms:modified xsi:type="dcterms:W3CDTF">2025-04-18T11:58:00Z</dcterms:modified>
</cp:coreProperties>
</file>